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5EBA9" w14:textId="419761B5" w:rsidR="00250FA5" w:rsidRPr="007141D5" w:rsidRDefault="007141D5" w:rsidP="007141D5">
      <w:pPr>
        <w:pStyle w:val="OutlineHeading1"/>
        <w:rPr>
          <w:iCs/>
        </w:rPr>
      </w:pPr>
      <w:bookmarkStart w:id="0" w:name="_Toc492317071"/>
      <w:bookmarkStart w:id="1" w:name="_Toc81727524"/>
      <w:bookmarkStart w:id="2" w:name="_Toc82600063"/>
      <w:r w:rsidRPr="00A36DE2">
        <w:rPr>
          <w:noProof/>
        </w:rPr>
        <w:drawing>
          <wp:inline distT="0" distB="0" distL="0" distR="0" wp14:anchorId="67814119" wp14:editId="21A58C22">
            <wp:extent cx="5731510" cy="1805940"/>
            <wp:effectExtent l="0" t="0" r="0" b="0"/>
            <wp:docPr id="8" name="Picture 8" descr="M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SA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05940"/>
                    </a:xfrm>
                    <a:prstGeom prst="rect">
                      <a:avLst/>
                    </a:prstGeom>
                    <a:noFill/>
                    <a:ln>
                      <a:noFill/>
                    </a:ln>
                  </pic:spPr>
                </pic:pic>
              </a:graphicData>
            </a:graphic>
          </wp:inline>
        </w:drawing>
      </w:r>
      <w:bookmarkEnd w:id="0"/>
      <w:bookmarkEnd w:id="1"/>
      <w:bookmarkEnd w:id="2"/>
    </w:p>
    <w:p w14:paraId="41F049FD" w14:textId="510BFC32" w:rsidR="00250FA5" w:rsidRPr="007141D5" w:rsidRDefault="000C4582" w:rsidP="007141D5">
      <w:pPr>
        <w:pStyle w:val="NormalWeb"/>
        <w:spacing w:before="0" w:after="0" w:line="210" w:lineRule="atLeast"/>
        <w:jc w:val="center"/>
        <w:rPr>
          <w:rFonts w:ascii="Arial" w:hAnsi="Arial" w:cs="Arial"/>
          <w:b/>
          <w:bCs/>
          <w:i/>
          <w:color w:val="000080"/>
          <w:sz w:val="28"/>
          <w:szCs w:val="28"/>
          <w:lang w:val="en-AU" w:eastAsia="en-AU"/>
        </w:rPr>
      </w:pPr>
      <w:r>
        <w:rPr>
          <w:rFonts w:ascii="Arial" w:hAnsi="Arial" w:cs="Arial"/>
          <w:b/>
          <w:bCs/>
          <w:i/>
          <w:color w:val="000080"/>
          <w:sz w:val="28"/>
          <w:szCs w:val="28"/>
          <w:lang w:val="en-AU" w:eastAsia="en-AU"/>
        </w:rPr>
        <w:t xml:space="preserve">Application </w:t>
      </w:r>
      <w:r w:rsidR="00250FA5" w:rsidRPr="007141D5">
        <w:rPr>
          <w:rFonts w:ascii="Arial" w:hAnsi="Arial" w:cs="Arial"/>
          <w:b/>
          <w:bCs/>
          <w:i/>
          <w:color w:val="000080"/>
          <w:sz w:val="28"/>
          <w:szCs w:val="28"/>
          <w:lang w:val="en-AU" w:eastAsia="en-AU"/>
        </w:rPr>
        <w:t>1522.1 – Programmed Cell Death Ligand 1 (PD-L1) immunohistochemistry testing for access to pembrolizumab as first-line therapy for patients with recurrent (not amenable to local treatment) or metastatic head and neck squamous cell carcinoma</w:t>
      </w:r>
    </w:p>
    <w:p w14:paraId="2A0EE8EC" w14:textId="785E724F" w:rsidR="00250FA5" w:rsidRPr="007141D5" w:rsidRDefault="00250FA5" w:rsidP="007141D5">
      <w:pPr>
        <w:tabs>
          <w:tab w:val="left" w:pos="3420"/>
        </w:tabs>
        <w:spacing w:before="240" w:after="0"/>
        <w:jc w:val="left"/>
        <w:rPr>
          <w:rFonts w:ascii="Arial" w:eastAsia="Times New Roman" w:hAnsi="Arial" w:cs="Arial"/>
          <w:b/>
          <w:szCs w:val="24"/>
          <w:lang w:eastAsia="en-AU"/>
        </w:rPr>
      </w:pPr>
      <w:r w:rsidRPr="007141D5">
        <w:rPr>
          <w:rFonts w:ascii="Arial" w:eastAsia="Times New Roman" w:hAnsi="Arial" w:cs="Arial"/>
          <w:b/>
          <w:szCs w:val="24"/>
          <w:lang w:eastAsia="en-AU"/>
        </w:rPr>
        <w:t xml:space="preserve">Applicant: </w:t>
      </w:r>
      <w:bookmarkStart w:id="3" w:name="_Hlk78872445"/>
      <w:r w:rsidR="007141D5">
        <w:rPr>
          <w:rFonts w:ascii="Arial" w:eastAsia="Times New Roman" w:hAnsi="Arial" w:cs="Arial"/>
          <w:b/>
          <w:szCs w:val="24"/>
          <w:lang w:eastAsia="en-AU"/>
        </w:rPr>
        <w:tab/>
      </w:r>
      <w:r w:rsidRPr="007141D5">
        <w:rPr>
          <w:rFonts w:ascii="Arial" w:eastAsia="Times New Roman" w:hAnsi="Arial" w:cs="Arial"/>
          <w:b/>
          <w:szCs w:val="24"/>
          <w:lang w:eastAsia="en-AU"/>
        </w:rPr>
        <w:t>Merck, Sharp &amp; Dohme</w:t>
      </w:r>
      <w:bookmarkEnd w:id="3"/>
      <w:r w:rsidR="00791F62">
        <w:rPr>
          <w:rFonts w:ascii="Arial" w:eastAsia="Times New Roman" w:hAnsi="Arial" w:cs="Arial"/>
          <w:b/>
          <w:szCs w:val="24"/>
          <w:lang w:eastAsia="en-AU"/>
        </w:rPr>
        <w:t xml:space="preserve"> </w:t>
      </w:r>
      <w:r w:rsidR="00791F62" w:rsidRPr="00791F62">
        <w:rPr>
          <w:rFonts w:ascii="Arial" w:eastAsia="Times New Roman" w:hAnsi="Arial" w:cs="Arial"/>
          <w:b/>
          <w:szCs w:val="24"/>
          <w:lang w:eastAsia="en-AU"/>
        </w:rPr>
        <w:t>(Australia) Pty Limited</w:t>
      </w:r>
    </w:p>
    <w:p w14:paraId="190A649A" w14:textId="5936D2A3" w:rsidR="00250FA5" w:rsidRPr="007141D5" w:rsidRDefault="00250FA5" w:rsidP="007141D5">
      <w:pPr>
        <w:tabs>
          <w:tab w:val="left" w:pos="3420"/>
        </w:tabs>
        <w:spacing w:before="240" w:after="0"/>
        <w:jc w:val="left"/>
        <w:rPr>
          <w:rFonts w:ascii="Arial" w:eastAsia="Times New Roman" w:hAnsi="Arial" w:cs="Arial"/>
          <w:b/>
          <w:szCs w:val="24"/>
          <w:lang w:eastAsia="en-AU"/>
        </w:rPr>
      </w:pPr>
      <w:r w:rsidRPr="007141D5">
        <w:rPr>
          <w:rFonts w:ascii="Arial" w:eastAsia="Times New Roman" w:hAnsi="Arial" w:cs="Arial"/>
          <w:b/>
          <w:szCs w:val="24"/>
          <w:lang w:eastAsia="en-AU"/>
        </w:rPr>
        <w:t xml:space="preserve">Date of </w:t>
      </w:r>
      <w:r w:rsidR="007141D5">
        <w:rPr>
          <w:rFonts w:ascii="Arial" w:eastAsia="Times New Roman" w:hAnsi="Arial" w:cs="Arial"/>
          <w:b/>
          <w:szCs w:val="24"/>
          <w:lang w:eastAsia="en-AU"/>
        </w:rPr>
        <w:t>MSAC</w:t>
      </w:r>
      <w:r w:rsidRPr="007141D5">
        <w:rPr>
          <w:rFonts w:ascii="Arial" w:eastAsia="Times New Roman" w:hAnsi="Arial" w:cs="Arial"/>
          <w:b/>
          <w:szCs w:val="24"/>
          <w:lang w:eastAsia="en-AU"/>
        </w:rPr>
        <w:t xml:space="preserve"> consideration: </w:t>
      </w:r>
      <w:r w:rsidR="007141D5">
        <w:rPr>
          <w:rFonts w:ascii="Arial" w:hAnsi="Arial" w:cs="Arial"/>
          <w:b/>
          <w:szCs w:val="24"/>
        </w:rPr>
        <w:t>83</w:t>
      </w:r>
      <w:r w:rsidR="007141D5" w:rsidRPr="00747517">
        <w:rPr>
          <w:rFonts w:ascii="Arial" w:hAnsi="Arial" w:cs="Arial"/>
          <w:b/>
          <w:szCs w:val="24"/>
          <w:vertAlign w:val="superscript"/>
        </w:rPr>
        <w:t>rd</w:t>
      </w:r>
      <w:r w:rsidR="007141D5">
        <w:rPr>
          <w:rFonts w:ascii="Arial" w:hAnsi="Arial" w:cs="Arial"/>
          <w:b/>
          <w:szCs w:val="24"/>
        </w:rPr>
        <w:t xml:space="preserve"> MSAC Meeting, 25-26 November 2021</w:t>
      </w:r>
    </w:p>
    <w:p w14:paraId="3EC22AA2" w14:textId="0CF6034E" w:rsidR="00250FA5" w:rsidRPr="007141D5" w:rsidRDefault="007141D5" w:rsidP="007141D5">
      <w:pPr>
        <w:spacing w:before="240" w:after="360"/>
        <w:rPr>
          <w:rFonts w:ascii="Times New Roman" w:hAnsi="Times New Roman" w:cs="Times New Roman"/>
          <w:color w:val="0000FF"/>
          <w:szCs w:val="24"/>
          <w:u w:val="single"/>
        </w:rPr>
      </w:pPr>
      <w:r w:rsidRPr="007141D5">
        <w:rPr>
          <w:rFonts w:ascii="Times New Roman" w:hAnsi="Times New Roman" w:cs="Times New Roman"/>
          <w:szCs w:val="24"/>
        </w:rPr>
        <w:t xml:space="preserve">Context for decision: MSAC makes its advice in accordance with its Terms of Reference, </w:t>
      </w:r>
      <w:hyperlink r:id="rId9" w:tooltip="Link to Medical Services Advisory Committee website" w:history="1">
        <w:r w:rsidRPr="007141D5">
          <w:rPr>
            <w:rStyle w:val="Hyperlink"/>
            <w:rFonts w:ascii="Times New Roman" w:hAnsi="Times New Roman" w:cs="Times New Roman"/>
            <w:szCs w:val="24"/>
          </w:rPr>
          <w:t>visit the MSAC website</w:t>
        </w:r>
      </w:hyperlink>
    </w:p>
    <w:p w14:paraId="705BFBBD" w14:textId="61F845F6" w:rsidR="00250FA5" w:rsidRPr="007141D5" w:rsidRDefault="00250FA5" w:rsidP="007141D5">
      <w:pPr>
        <w:pStyle w:val="Heading1"/>
        <w:numPr>
          <w:ilvl w:val="0"/>
          <w:numId w:val="69"/>
        </w:numPr>
        <w:tabs>
          <w:tab w:val="clear" w:pos="1080"/>
        </w:tabs>
        <w:spacing w:before="360" w:line="240" w:lineRule="auto"/>
        <w:ind w:left="720"/>
        <w:rPr>
          <w:rFonts w:ascii="Arial" w:hAnsi="Arial" w:cs="Arial"/>
          <w:bCs/>
          <w:sz w:val="24"/>
          <w:lang w:eastAsia="en-AU"/>
        </w:rPr>
      </w:pPr>
      <w:r w:rsidRPr="007141D5">
        <w:rPr>
          <w:rFonts w:ascii="Arial" w:hAnsi="Arial" w:cs="Arial"/>
          <w:bCs/>
          <w:sz w:val="24"/>
          <w:lang w:eastAsia="en-AU"/>
        </w:rPr>
        <w:t>Purpose of application</w:t>
      </w:r>
    </w:p>
    <w:p w14:paraId="13D57906" w14:textId="2181D5B1" w:rsidR="00250FA5" w:rsidRPr="00250FA5" w:rsidRDefault="00250FA5" w:rsidP="006E6AF0">
      <w:pPr>
        <w:spacing w:before="0" w:after="120"/>
        <w:jc w:val="left"/>
        <w:rPr>
          <w:rFonts w:ascii="Times New Roman" w:eastAsia="Calibri" w:hAnsi="Times New Roman" w:cs="Times New Roman"/>
          <w:szCs w:val="20"/>
        </w:rPr>
      </w:pPr>
      <w:r w:rsidRPr="00250FA5">
        <w:rPr>
          <w:rFonts w:ascii="Times New Roman" w:eastAsia="Calibri" w:hAnsi="Times New Roman" w:cs="Times New Roman"/>
          <w:szCs w:val="20"/>
        </w:rPr>
        <w:t xml:space="preserve">The </w:t>
      </w:r>
      <w:r w:rsidR="00791F62">
        <w:rPr>
          <w:rFonts w:ascii="Times New Roman" w:eastAsia="Calibri" w:hAnsi="Times New Roman" w:cs="Times New Roman"/>
          <w:szCs w:val="20"/>
        </w:rPr>
        <w:t xml:space="preserve">applicant-developed assessment report (ADAR) </w:t>
      </w:r>
      <w:r w:rsidRPr="00250FA5">
        <w:rPr>
          <w:rFonts w:ascii="Times New Roman" w:eastAsia="Calibri" w:hAnsi="Times New Roman" w:cs="Times New Roman"/>
          <w:szCs w:val="20"/>
        </w:rPr>
        <w:t xml:space="preserve">was received from Merck Sharp &amp; Dohme (MSD) by the Department of Health, which </w:t>
      </w:r>
      <w:r w:rsidR="00791F62">
        <w:rPr>
          <w:rFonts w:ascii="Times New Roman" w:eastAsia="Calibri" w:hAnsi="Times New Roman" w:cs="Times New Roman"/>
          <w:szCs w:val="20"/>
        </w:rPr>
        <w:t xml:space="preserve">comprised </w:t>
      </w:r>
      <w:r w:rsidRPr="00250FA5">
        <w:rPr>
          <w:rFonts w:ascii="Times New Roman" w:eastAsia="Calibri" w:hAnsi="Times New Roman" w:cs="Times New Roman"/>
          <w:szCs w:val="20"/>
        </w:rPr>
        <w:t xml:space="preserve">an integrated codependent </w:t>
      </w:r>
      <w:r w:rsidR="00791F62" w:rsidRPr="00250FA5">
        <w:rPr>
          <w:rFonts w:ascii="Times New Roman" w:eastAsia="Calibri" w:hAnsi="Times New Roman" w:cs="Times New Roman"/>
          <w:szCs w:val="20"/>
        </w:rPr>
        <w:t xml:space="preserve">resubmission </w:t>
      </w:r>
      <w:r w:rsidRPr="00250FA5">
        <w:rPr>
          <w:rFonts w:ascii="Times New Roman" w:eastAsia="Calibri" w:hAnsi="Times New Roman" w:cs="Times New Roman"/>
          <w:szCs w:val="20"/>
        </w:rPr>
        <w:t>for:</w:t>
      </w:r>
    </w:p>
    <w:p w14:paraId="7F909C4A" w14:textId="753A4341" w:rsidR="00250FA5" w:rsidRPr="00250FA5" w:rsidRDefault="00250FA5" w:rsidP="00A2043B">
      <w:pPr>
        <w:numPr>
          <w:ilvl w:val="0"/>
          <w:numId w:val="81"/>
        </w:numPr>
        <w:spacing w:before="0"/>
        <w:ind w:left="714" w:hanging="357"/>
        <w:jc w:val="left"/>
        <w:rPr>
          <w:rFonts w:ascii="Times New Roman" w:eastAsia="Calibri" w:hAnsi="Times New Roman" w:cs="Times New Roman"/>
          <w:szCs w:val="20"/>
        </w:rPr>
      </w:pPr>
      <w:r w:rsidRPr="00250FA5">
        <w:rPr>
          <w:rFonts w:ascii="Times New Roman" w:eastAsia="Calibri" w:hAnsi="Times New Roman" w:cs="Times New Roman"/>
          <w:szCs w:val="20"/>
        </w:rPr>
        <w:t>Medicare Benefits Schedule (MBS) listing of a</w:t>
      </w:r>
      <w:r w:rsidR="00CC1B59">
        <w:rPr>
          <w:rFonts w:ascii="Times New Roman" w:eastAsia="Calibri" w:hAnsi="Times New Roman" w:cs="Times New Roman"/>
          <w:szCs w:val="20"/>
        </w:rPr>
        <w:t>n immunohistochemistry</w:t>
      </w:r>
      <w:r w:rsidRPr="00250FA5">
        <w:rPr>
          <w:rFonts w:ascii="Times New Roman" w:eastAsia="Calibri" w:hAnsi="Times New Roman" w:cs="Times New Roman"/>
          <w:szCs w:val="20"/>
        </w:rPr>
        <w:t xml:space="preserve"> test for the evaluation of programmed death ligand 1 (PD-L1) using the combined positive score (CPS) and the 22C3 antibody to determine eligibility for treatment with pembrolizumab in patients with previously untreated recurrent or metastatic (R/M) head and neck squamous cell carcinoma (HNSCC), specifically R/M squamous cell carcinoma (SCC) of the oral cavity, pharynx or larynx; and</w:t>
      </w:r>
    </w:p>
    <w:p w14:paraId="550DDEE1" w14:textId="02F7F179" w:rsidR="00250FA5" w:rsidRPr="00DD5EF9" w:rsidRDefault="00250FA5" w:rsidP="00DD5EF9">
      <w:pPr>
        <w:numPr>
          <w:ilvl w:val="0"/>
          <w:numId w:val="81"/>
        </w:numPr>
        <w:spacing w:before="0"/>
        <w:ind w:left="714" w:hanging="357"/>
        <w:jc w:val="left"/>
        <w:rPr>
          <w:rFonts w:ascii="Times New Roman" w:eastAsia="Calibri" w:hAnsi="Times New Roman" w:cs="Times New Roman"/>
          <w:szCs w:val="20"/>
        </w:rPr>
      </w:pPr>
      <w:r w:rsidRPr="00250FA5">
        <w:rPr>
          <w:rFonts w:ascii="Times New Roman" w:eastAsia="Calibri" w:hAnsi="Times New Roman" w:cs="Times New Roman"/>
          <w:szCs w:val="20"/>
        </w:rPr>
        <w:t>Pharmaceutical Benefits Scheme (PBS) Authority Required listing for treatment with pembrolizumab (as monotherapy or in combination with chemotherapy) for the treatment of previously untreated R/M head and neck HNSCC specifically of the oral cavity, pharynx or larynx in patients who have evidence of PD-L1 expression with a CPS ≥1 in the tumour sample.</w:t>
      </w:r>
    </w:p>
    <w:p w14:paraId="51E31B3B" w14:textId="2D82C973" w:rsidR="00250FA5" w:rsidRDefault="00250FA5" w:rsidP="00DD5EF9">
      <w:pPr>
        <w:spacing w:after="240"/>
        <w:jc w:val="left"/>
        <w:rPr>
          <w:rFonts w:ascii="Times New Roman" w:eastAsia="Calibri" w:hAnsi="Times New Roman" w:cs="Times New Roman"/>
          <w:szCs w:val="20"/>
        </w:rPr>
      </w:pPr>
      <w:r w:rsidRPr="00250FA5">
        <w:rPr>
          <w:rFonts w:ascii="Times New Roman" w:eastAsia="Calibri" w:hAnsi="Times New Roman" w:cs="Times New Roman"/>
          <w:szCs w:val="20"/>
        </w:rPr>
        <w:t>The pre-ESC response requested that pembrolizumab monotherapy be limited to patients with CPS ≥20</w:t>
      </w:r>
      <w:r w:rsidR="00A24DED">
        <w:rPr>
          <w:rFonts w:ascii="Times New Roman" w:eastAsia="Calibri" w:hAnsi="Times New Roman" w:cs="Times New Roman"/>
          <w:szCs w:val="20"/>
        </w:rPr>
        <w:t xml:space="preserve"> for whom this therapy was claimed to have</w:t>
      </w:r>
      <w:r w:rsidRPr="00250FA5">
        <w:rPr>
          <w:rFonts w:ascii="Times New Roman" w:eastAsia="Calibri" w:hAnsi="Times New Roman" w:cs="Times New Roman"/>
          <w:szCs w:val="20"/>
        </w:rPr>
        <w:t xml:space="preserve"> the greatest benefit and </w:t>
      </w:r>
      <w:r w:rsidR="00A24DED">
        <w:rPr>
          <w:rFonts w:ascii="Times New Roman" w:eastAsia="Calibri" w:hAnsi="Times New Roman" w:cs="Times New Roman"/>
          <w:szCs w:val="20"/>
        </w:rPr>
        <w:t xml:space="preserve">for whom </w:t>
      </w:r>
      <w:r w:rsidRPr="00250FA5">
        <w:rPr>
          <w:rFonts w:ascii="Times New Roman" w:eastAsia="Calibri" w:hAnsi="Times New Roman" w:cs="Times New Roman"/>
          <w:szCs w:val="20"/>
        </w:rPr>
        <w:t>the risks related to false positive patients being offered pembrolizumab monotherapy are significantly reduced.</w:t>
      </w:r>
    </w:p>
    <w:p w14:paraId="29723A7A" w14:textId="77777777" w:rsidR="003474FB" w:rsidRPr="003474FB" w:rsidRDefault="003474FB" w:rsidP="003474FB">
      <w:pPr>
        <w:pStyle w:val="Heading1"/>
        <w:numPr>
          <w:ilvl w:val="0"/>
          <w:numId w:val="69"/>
        </w:numPr>
        <w:tabs>
          <w:tab w:val="clear" w:pos="1080"/>
        </w:tabs>
        <w:spacing w:before="360" w:line="240" w:lineRule="auto"/>
        <w:ind w:left="720"/>
        <w:rPr>
          <w:rFonts w:ascii="Arial" w:hAnsi="Arial" w:cs="Arial"/>
          <w:bCs/>
          <w:sz w:val="24"/>
          <w:lang w:eastAsia="en-AU"/>
        </w:rPr>
      </w:pPr>
      <w:r w:rsidRPr="003474FB">
        <w:rPr>
          <w:rFonts w:ascii="Arial" w:hAnsi="Arial" w:cs="Arial"/>
          <w:bCs/>
          <w:sz w:val="24"/>
          <w:lang w:eastAsia="en-AU"/>
        </w:rPr>
        <w:lastRenderedPageBreak/>
        <w:t>MSAC’s advice to the Minister</w:t>
      </w:r>
    </w:p>
    <w:p w14:paraId="1E3A1D9C" w14:textId="5D4EB308" w:rsidR="003474FB" w:rsidRPr="00DA35FB" w:rsidRDefault="003474FB" w:rsidP="003474FB">
      <w:pPr>
        <w:pStyle w:val="Heading2"/>
        <w:numPr>
          <w:ilvl w:val="0"/>
          <w:numId w:val="0"/>
        </w:numPr>
        <w:rPr>
          <w:rFonts w:ascii="Times New Roman" w:hAnsi="Times New Roman" w:cs="Times New Roman"/>
          <w:b w:val="0"/>
          <w:i w:val="0"/>
          <w:sz w:val="24"/>
          <w:szCs w:val="18"/>
        </w:rPr>
      </w:pPr>
      <w:r w:rsidRPr="00DA35FB">
        <w:rPr>
          <w:rFonts w:ascii="Times New Roman" w:hAnsi="Times New Roman" w:cs="Times New Roman"/>
          <w:b w:val="0"/>
          <w:bCs/>
          <w:i w:val="0"/>
          <w:sz w:val="24"/>
          <w:szCs w:val="18"/>
        </w:rPr>
        <w:t xml:space="preserve">After considering the strength of the available evidence in relation to comparative safety, clinical effectiveness and cost-effectiveness, MSAC supported amending MBS item 72814 for PD-L1 immunohistochemistry testing to also include testing of </w:t>
      </w:r>
      <w:r w:rsidR="00D8197C">
        <w:rPr>
          <w:rFonts w:ascii="Times New Roman" w:hAnsi="Times New Roman" w:cs="Times New Roman"/>
          <w:b w:val="0"/>
          <w:bCs/>
          <w:i w:val="0"/>
          <w:sz w:val="24"/>
          <w:szCs w:val="18"/>
        </w:rPr>
        <w:t xml:space="preserve">tumour material from a patient with recurrent or metastatic </w:t>
      </w:r>
      <w:r w:rsidRPr="00DA35FB">
        <w:rPr>
          <w:rFonts w:ascii="Times New Roman" w:hAnsi="Times New Roman" w:cs="Times New Roman"/>
          <w:b w:val="0"/>
          <w:bCs/>
          <w:i w:val="0"/>
          <w:sz w:val="24"/>
          <w:szCs w:val="18"/>
        </w:rPr>
        <w:t xml:space="preserve">squamous cell carcinoma </w:t>
      </w:r>
      <w:r w:rsidR="00D8197C" w:rsidRPr="00D8197C">
        <w:rPr>
          <w:rFonts w:ascii="Times New Roman" w:hAnsi="Times New Roman" w:cs="Times New Roman"/>
          <w:b w:val="0"/>
          <w:bCs/>
          <w:i w:val="0"/>
          <w:sz w:val="24"/>
          <w:szCs w:val="18"/>
        </w:rPr>
        <w:t>of the oral cavity, pharynx or larynx</w:t>
      </w:r>
      <w:r w:rsidRPr="00DA35FB">
        <w:rPr>
          <w:rFonts w:ascii="Times New Roman" w:hAnsi="Times New Roman" w:cs="Times New Roman"/>
          <w:b w:val="0"/>
          <w:bCs/>
          <w:i w:val="0"/>
          <w:sz w:val="24"/>
          <w:szCs w:val="18"/>
        </w:rPr>
        <w:t xml:space="preserve">. MSAC considered that the </w:t>
      </w:r>
      <w:proofErr w:type="spellStart"/>
      <w:r w:rsidRPr="00DA35FB">
        <w:rPr>
          <w:rFonts w:ascii="Times New Roman" w:hAnsi="Times New Roman" w:cs="Times New Roman"/>
          <w:b w:val="0"/>
          <w:bCs/>
          <w:i w:val="0"/>
          <w:sz w:val="24"/>
          <w:szCs w:val="18"/>
        </w:rPr>
        <w:t>codependency</w:t>
      </w:r>
      <w:proofErr w:type="spellEnd"/>
      <w:r w:rsidRPr="00DA35FB">
        <w:rPr>
          <w:rFonts w:ascii="Times New Roman" w:hAnsi="Times New Roman" w:cs="Times New Roman"/>
          <w:b w:val="0"/>
          <w:bCs/>
          <w:i w:val="0"/>
          <w:sz w:val="24"/>
          <w:szCs w:val="18"/>
        </w:rPr>
        <w:t xml:space="preserve"> between varying the PD-L1 CPS and extent of response to pembrolizumab treatment was weak. However, MSAC considered that PD-L1 testing with a CPS threshold of ≥20 has sufficient value in identifying which patients may derive greater benefit from pembrolizumab monotherapy.</w:t>
      </w:r>
    </w:p>
    <w:p w14:paraId="368EA17F" w14:textId="729C3261" w:rsidR="003474FB" w:rsidRDefault="003474FB" w:rsidP="003474FB">
      <w:pPr>
        <w:rPr>
          <w:rFonts w:ascii="Times New Roman" w:hAnsi="Times New Roman" w:cs="Times New Roman"/>
        </w:rPr>
      </w:pPr>
      <w:r w:rsidRPr="003474FB">
        <w:rPr>
          <w:rFonts w:ascii="Times New Roman" w:hAnsi="Times New Roman" w:cs="Times New Roman"/>
        </w:rPr>
        <w:t>M</w:t>
      </w:r>
      <w:r w:rsidR="00EA12D3">
        <w:rPr>
          <w:rFonts w:ascii="Times New Roman" w:hAnsi="Times New Roman" w:cs="Times New Roman"/>
        </w:rPr>
        <w:t>SAC</w:t>
      </w:r>
      <w:r w:rsidRPr="003474FB">
        <w:rPr>
          <w:rFonts w:ascii="Times New Roman" w:hAnsi="Times New Roman" w:cs="Times New Roman"/>
        </w:rPr>
        <w:t xml:space="preserve"> supported the following </w:t>
      </w:r>
      <w:r w:rsidR="00D8197C">
        <w:rPr>
          <w:rFonts w:ascii="Times New Roman" w:hAnsi="Times New Roman" w:cs="Times New Roman"/>
        </w:rPr>
        <w:t xml:space="preserve">amended </w:t>
      </w:r>
      <w:r w:rsidRPr="003474FB">
        <w:rPr>
          <w:rFonts w:ascii="Times New Roman" w:hAnsi="Times New Roman" w:cs="Times New Roman"/>
        </w:rPr>
        <w:t>MBS item:</w:t>
      </w:r>
    </w:p>
    <w:tbl>
      <w:tblPr>
        <w:tblStyle w:val="TableGrid2"/>
        <w:tblW w:w="5000" w:type="pct"/>
        <w:tblCellMar>
          <w:left w:w="0" w:type="dxa"/>
          <w:right w:w="0" w:type="dxa"/>
        </w:tblCellMar>
        <w:tblLook w:val="04A0" w:firstRow="1" w:lastRow="0" w:firstColumn="1" w:lastColumn="0" w:noHBand="0" w:noVBand="1"/>
        <w:tblDescription w:val="MSAC supported MBS item descriptor"/>
      </w:tblPr>
      <w:tblGrid>
        <w:gridCol w:w="9006"/>
      </w:tblGrid>
      <w:tr w:rsidR="004E161F" w:rsidRPr="00081133" w14:paraId="14438F2F" w14:textId="77777777" w:rsidTr="004E161F">
        <w:trPr>
          <w:cnfStyle w:val="100000000000" w:firstRow="1" w:lastRow="0" w:firstColumn="0" w:lastColumn="0" w:oddVBand="0" w:evenVBand="0" w:oddHBand="0" w:evenHBand="0" w:firstRowFirstColumn="0" w:firstRowLastColumn="0" w:lastRowFirstColumn="0" w:lastRowLastColumn="0"/>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64E5C5" w14:textId="77777777" w:rsidR="004E161F" w:rsidRPr="00081133" w:rsidRDefault="004E161F" w:rsidP="004E161F">
            <w:pPr>
              <w:rPr>
                <w:rFonts w:ascii="Times New Roman" w:hAnsi="Times New Roman"/>
                <w:szCs w:val="24"/>
              </w:rPr>
            </w:pPr>
            <w:r w:rsidRPr="00081133">
              <w:rPr>
                <w:rFonts w:ascii="Times New Roman" w:hAnsi="Times New Roman"/>
                <w:szCs w:val="24"/>
              </w:rPr>
              <w:t>72814</w:t>
            </w:r>
          </w:p>
          <w:p w14:paraId="395844C0" w14:textId="77777777" w:rsidR="004E161F" w:rsidRPr="00081133" w:rsidRDefault="004E161F" w:rsidP="00584346">
            <w:pPr>
              <w:rPr>
                <w:rFonts w:ascii="Times New Roman" w:hAnsi="Times New Roman"/>
                <w:szCs w:val="24"/>
              </w:rPr>
            </w:pPr>
            <w:r w:rsidRPr="00081133">
              <w:rPr>
                <w:rFonts w:ascii="Times New Roman" w:hAnsi="Times New Roman"/>
                <w:szCs w:val="24"/>
              </w:rPr>
              <w:t xml:space="preserve">Immunohistochemical examination by </w:t>
            </w:r>
            <w:proofErr w:type="spellStart"/>
            <w:r w:rsidRPr="00081133">
              <w:rPr>
                <w:rFonts w:ascii="Times New Roman" w:hAnsi="Times New Roman"/>
                <w:szCs w:val="24"/>
              </w:rPr>
              <w:t>immunoperoxidase</w:t>
            </w:r>
            <w:proofErr w:type="spellEnd"/>
            <w:r w:rsidRPr="00081133">
              <w:rPr>
                <w:rFonts w:ascii="Times New Roman" w:hAnsi="Times New Roman"/>
                <w:szCs w:val="24"/>
              </w:rPr>
              <w:t xml:space="preserve"> or other labelled antibody techniques using the programmed cell death ligand 1 (PD</w:t>
            </w:r>
            <w:r w:rsidRPr="00081133">
              <w:rPr>
                <w:rFonts w:ascii="Times New Roman" w:hAnsi="Times New Roman"/>
                <w:szCs w:val="24"/>
              </w:rPr>
              <w:noBreakHyphen/>
              <w:t>L1) antibody of tumour material from a patient diagnosed with non</w:t>
            </w:r>
            <w:r w:rsidRPr="00081133">
              <w:rPr>
                <w:rFonts w:ascii="Times New Roman" w:hAnsi="Times New Roman"/>
                <w:szCs w:val="24"/>
              </w:rPr>
              <w:noBreakHyphen/>
              <w:t xml:space="preserve">small cell lung cancer </w:t>
            </w:r>
            <w:r w:rsidRPr="00081133">
              <w:rPr>
                <w:rFonts w:ascii="Times New Roman" w:hAnsi="Times New Roman"/>
                <w:szCs w:val="24"/>
                <w:u w:val="single"/>
              </w:rPr>
              <w:t>or recurrent or metastatic squamous cell carcinoma of the oral cavity, pharynx or larynx</w:t>
            </w:r>
            <w:r w:rsidRPr="00081133">
              <w:rPr>
                <w:rFonts w:ascii="Times New Roman" w:hAnsi="Times New Roman"/>
                <w:szCs w:val="24"/>
              </w:rPr>
              <w:t>.</w:t>
            </w:r>
          </w:p>
          <w:p w14:paraId="0A525996" w14:textId="77777777" w:rsidR="004E161F" w:rsidRPr="00081133" w:rsidRDefault="004E161F" w:rsidP="00584346">
            <w:pPr>
              <w:rPr>
                <w:rFonts w:ascii="Times New Roman" w:hAnsi="Times New Roman"/>
                <w:szCs w:val="24"/>
              </w:rPr>
            </w:pPr>
            <w:r w:rsidRPr="00081133">
              <w:rPr>
                <w:rFonts w:ascii="Times New Roman" w:hAnsi="Times New Roman"/>
                <w:b/>
                <w:bCs/>
                <w:szCs w:val="24"/>
              </w:rPr>
              <w:t xml:space="preserve">Fee: </w:t>
            </w:r>
            <w:r w:rsidRPr="00081133">
              <w:rPr>
                <w:rFonts w:ascii="Times New Roman" w:hAnsi="Times New Roman"/>
                <w:szCs w:val="24"/>
              </w:rPr>
              <w:t xml:space="preserve">$74.50                </w:t>
            </w:r>
            <w:r w:rsidRPr="00081133">
              <w:rPr>
                <w:rFonts w:ascii="Times New Roman" w:hAnsi="Times New Roman"/>
                <w:b/>
                <w:bCs/>
                <w:szCs w:val="24"/>
              </w:rPr>
              <w:t xml:space="preserve">Benefit: </w:t>
            </w:r>
            <w:r w:rsidRPr="00081133">
              <w:rPr>
                <w:rFonts w:ascii="Times New Roman" w:hAnsi="Times New Roman"/>
                <w:szCs w:val="24"/>
              </w:rPr>
              <w:t>75% = $55.90    85% = $63.35</w:t>
            </w:r>
          </w:p>
        </w:tc>
      </w:tr>
    </w:tbl>
    <w:p w14:paraId="0FAE430B" w14:textId="2B4EBF4F" w:rsidR="00302093" w:rsidRDefault="00302093" w:rsidP="00302093">
      <w:pPr>
        <w:spacing w:before="240" w:after="240"/>
        <w:rPr>
          <w:rFonts w:ascii="Times New Roman" w:hAnsi="Times New Roman" w:cs="Times New Roman"/>
          <w:szCs w:val="20"/>
        </w:rPr>
      </w:pPr>
    </w:p>
    <w:tbl>
      <w:tblPr>
        <w:tblStyle w:val="TableGrid2"/>
        <w:tblW w:w="0" w:type="auto"/>
        <w:tblLook w:val="04A0" w:firstRow="1" w:lastRow="0" w:firstColumn="1" w:lastColumn="0" w:noHBand="0" w:noVBand="1"/>
        <w:tblDescription w:val="Consumer summary of MSAC consideration"/>
      </w:tblPr>
      <w:tblGrid>
        <w:gridCol w:w="9016"/>
      </w:tblGrid>
      <w:tr w:rsidR="00302093" w14:paraId="2EC72D01" w14:textId="77777777" w:rsidTr="00302093">
        <w:trPr>
          <w:cnfStyle w:val="100000000000" w:firstRow="1" w:lastRow="0" w:firstColumn="0" w:lastColumn="0" w:oddVBand="0" w:evenVBand="0" w:oddHBand="0" w:evenHBand="0" w:firstRowFirstColumn="0" w:firstRowLastColumn="0" w:lastRowFirstColumn="0" w:lastRowLastColumn="0"/>
          <w:tblHeader/>
        </w:trPr>
        <w:tc>
          <w:tcPr>
            <w:tcW w:w="9016" w:type="dxa"/>
          </w:tcPr>
          <w:p w14:paraId="6B6C24A8" w14:textId="6150A397" w:rsidR="00302093" w:rsidRPr="00302093" w:rsidRDefault="00302093" w:rsidP="00302093">
            <w:pPr>
              <w:spacing w:after="120"/>
              <w:rPr>
                <w:rFonts w:ascii="Times New Roman" w:hAnsi="Times New Roman"/>
                <w:b/>
                <w:bCs/>
              </w:rPr>
            </w:pPr>
            <w:r w:rsidRPr="00302093">
              <w:rPr>
                <w:rFonts w:ascii="Times New Roman" w:hAnsi="Times New Roman"/>
                <w:b/>
                <w:bCs/>
              </w:rPr>
              <w:t>Consumer summary</w:t>
            </w:r>
          </w:p>
        </w:tc>
      </w:tr>
      <w:tr w:rsidR="00302093" w14:paraId="34F34260" w14:textId="77777777" w:rsidTr="00302093">
        <w:tc>
          <w:tcPr>
            <w:tcW w:w="9016" w:type="dxa"/>
          </w:tcPr>
          <w:p w14:paraId="141FCE94" w14:textId="77777777" w:rsidR="00302093" w:rsidRPr="00302093" w:rsidRDefault="00302093" w:rsidP="00302093">
            <w:pPr>
              <w:spacing w:after="240"/>
              <w:rPr>
                <w:rFonts w:ascii="Times New Roman" w:hAnsi="Times New Roman"/>
              </w:rPr>
            </w:pPr>
            <w:r w:rsidRPr="00302093">
              <w:rPr>
                <w:rFonts w:ascii="Times New Roman" w:hAnsi="Times New Roman"/>
              </w:rPr>
              <w:t>This application was from Merck, Sharp &amp; Dohme (Australia) Pty Limited for public funding via the Medicare Benefits Schedule (MBS) for programmed cell death ligand 1 (PD-L1) immunohistochemistry testing to inform decisions about a patient’s suitability for pembrolizumab as first-line treatment of recurrent or metastatic head and neck squamous cell carcinoma. This was a resubmission.</w:t>
            </w:r>
          </w:p>
          <w:p w14:paraId="2344BB4A" w14:textId="77777777" w:rsidR="00302093" w:rsidRPr="00302093" w:rsidRDefault="00302093" w:rsidP="00302093">
            <w:pPr>
              <w:spacing w:before="240" w:after="240"/>
              <w:rPr>
                <w:rFonts w:ascii="Times New Roman" w:hAnsi="Times New Roman"/>
              </w:rPr>
            </w:pPr>
            <w:r w:rsidRPr="00302093">
              <w:rPr>
                <w:rFonts w:ascii="Times New Roman" w:hAnsi="Times New Roman"/>
              </w:rPr>
              <w:t>This application was a codependent application, which means that the applicant also applied to the Pharmaceutical Benefits Advisory Committee (PBAC) to list pembrolizumab on the Pharmaceutical Benefits Scheme (PBS) for those patients shown to be suitable by this immunohistochemistry testing. The PBAC had deferred its recommendation pending advice from MSAC.</w:t>
            </w:r>
          </w:p>
          <w:p w14:paraId="1ED1D037" w14:textId="77777777" w:rsidR="00302093" w:rsidRPr="00302093" w:rsidRDefault="00302093" w:rsidP="00302093">
            <w:pPr>
              <w:spacing w:before="240" w:after="240"/>
              <w:rPr>
                <w:rFonts w:ascii="Times New Roman" w:hAnsi="Times New Roman"/>
              </w:rPr>
            </w:pPr>
            <w:r w:rsidRPr="00302093">
              <w:rPr>
                <w:rFonts w:ascii="Times New Roman" w:hAnsi="Times New Roman"/>
              </w:rPr>
              <w:t>Squamous cell carcinoma of the head or neck starts in the cells inside the mouth, nose or throat. Recurrent means the cancer has come back after being treated, and metastatic means the cancer has spread to other parts of the body.</w:t>
            </w:r>
          </w:p>
          <w:p w14:paraId="722D88A6" w14:textId="77777777" w:rsidR="00302093" w:rsidRPr="00302093" w:rsidRDefault="00302093" w:rsidP="00302093">
            <w:pPr>
              <w:spacing w:before="240" w:after="240"/>
              <w:rPr>
                <w:rFonts w:ascii="Times New Roman" w:hAnsi="Times New Roman"/>
              </w:rPr>
            </w:pPr>
            <w:r w:rsidRPr="00302093">
              <w:rPr>
                <w:rFonts w:ascii="Times New Roman" w:hAnsi="Times New Roman"/>
              </w:rPr>
              <w:t>Immunohistochemistry testing in tumours is a way for doctors to know whether a certain protein is in some tumours and how much of it is there (called “expression”). Sometimes, if a patient’s tumour is expressing certain proteins, some medicines work better, and testing is needed to show that patients are suitable for these medicines. In this application, the PD-L1 test result is reported as a combined positive score (CPS). The applicant stated that those patients with a CPS of 1 or more could be suitable for treatment with pembrolizumab in combination with chemotherapy, and those with a CPS of 20 or more could be suitable for treatment with pembrolizumab alone.</w:t>
            </w:r>
          </w:p>
          <w:p w14:paraId="57E02AC2" w14:textId="1C290C0D" w:rsidR="00302093" w:rsidRPr="00302093" w:rsidRDefault="00302093" w:rsidP="00302093">
            <w:pPr>
              <w:spacing w:before="240" w:after="240"/>
              <w:rPr>
                <w:rFonts w:ascii="Times New Roman" w:hAnsi="Times New Roman"/>
              </w:rPr>
            </w:pPr>
            <w:r w:rsidRPr="00302093">
              <w:rPr>
                <w:rFonts w:ascii="Times New Roman" w:hAnsi="Times New Roman"/>
              </w:rPr>
              <w:lastRenderedPageBreak/>
              <w:t>As previously, MSAC considered that there is not enough evidence to suggest that a patient’s CPS score is linked to pembrolizumab being a better treatment. MSAC also noted that different pathologists may give different CPS scores to the same tumour sample, and there are many reasons why this might happen. However, MSAC considered that the PD-L1 CPS result may usefully add to the information that clinicians may use to determine the best treatment for their patient. Overall, MSAC advised that this testing would be good value for money</w:t>
            </w:r>
            <w:r w:rsidR="00587342">
              <w:rPr>
                <w:rFonts w:ascii="Times New Roman" w:hAnsi="Times New Roman"/>
              </w:rPr>
              <w:t xml:space="preserve"> </w:t>
            </w:r>
            <w:r w:rsidRPr="00302093">
              <w:rPr>
                <w:rFonts w:ascii="Times New Roman" w:hAnsi="Times New Roman"/>
              </w:rPr>
              <w:t>and may reduce PBS expenditure if the test results guide against using pembrolizumab monotherapy by raising doubts about its benefits for a patient.</w:t>
            </w:r>
          </w:p>
          <w:p w14:paraId="4DD54864" w14:textId="77777777" w:rsidR="00302093" w:rsidRPr="00302093" w:rsidRDefault="00302093" w:rsidP="00302093">
            <w:pPr>
              <w:spacing w:before="240" w:after="240"/>
              <w:rPr>
                <w:rFonts w:ascii="Times New Roman" w:hAnsi="Times New Roman"/>
                <w:b/>
                <w:bCs/>
              </w:rPr>
            </w:pPr>
            <w:r w:rsidRPr="00302093">
              <w:rPr>
                <w:rFonts w:ascii="Times New Roman" w:hAnsi="Times New Roman"/>
                <w:b/>
                <w:bCs/>
              </w:rPr>
              <w:t>MSAC’s advice to the Commonwealth Minister for Health</w:t>
            </w:r>
          </w:p>
          <w:p w14:paraId="2A164F77" w14:textId="0A46FE19" w:rsidR="00302093" w:rsidRDefault="00302093" w:rsidP="00302093">
            <w:pPr>
              <w:spacing w:before="240" w:after="240"/>
              <w:rPr>
                <w:rFonts w:ascii="Times New Roman" w:hAnsi="Times New Roman"/>
              </w:rPr>
            </w:pPr>
            <w:r w:rsidRPr="00302093">
              <w:rPr>
                <w:rFonts w:ascii="Times New Roman" w:hAnsi="Times New Roman"/>
              </w:rPr>
              <w:t>MSAC supported changing MBS Item 72814 to also include PD-L1 testing for patients with recurrent or metastatic head and neck squamous cell cancer. MSAC considered a CPS ≥20 threshold may be suitable for guiding access to pembrolizumab monotherapy, and no CPS score is needed for pembrolizumab plus chemotherapy.</w:t>
            </w:r>
          </w:p>
        </w:tc>
      </w:tr>
    </w:tbl>
    <w:p w14:paraId="583390F8" w14:textId="77777777" w:rsidR="003474FB" w:rsidRPr="00081133" w:rsidRDefault="003474FB" w:rsidP="00081133">
      <w:pPr>
        <w:pStyle w:val="Heading1"/>
        <w:numPr>
          <w:ilvl w:val="0"/>
          <w:numId w:val="69"/>
        </w:numPr>
        <w:tabs>
          <w:tab w:val="clear" w:pos="1080"/>
        </w:tabs>
        <w:spacing w:before="360" w:line="240" w:lineRule="auto"/>
        <w:ind w:left="720"/>
        <w:rPr>
          <w:rFonts w:ascii="Arial" w:hAnsi="Arial" w:cs="Arial"/>
          <w:bCs/>
          <w:sz w:val="24"/>
          <w:lang w:eastAsia="en-AU"/>
        </w:rPr>
      </w:pPr>
      <w:r w:rsidRPr="00081133">
        <w:rPr>
          <w:rFonts w:ascii="Arial" w:hAnsi="Arial" w:cs="Arial"/>
          <w:bCs/>
          <w:sz w:val="24"/>
          <w:lang w:eastAsia="en-AU"/>
        </w:rPr>
        <w:lastRenderedPageBreak/>
        <w:t>Summary of consideration and rationale for MSAC’s advice</w:t>
      </w:r>
    </w:p>
    <w:p w14:paraId="4D4D5069" w14:textId="2F289C1C" w:rsidR="003474FB" w:rsidRPr="00081133" w:rsidRDefault="003474FB" w:rsidP="00B2387B">
      <w:pPr>
        <w:jc w:val="left"/>
        <w:rPr>
          <w:rFonts w:ascii="Times New Roman" w:hAnsi="Times New Roman" w:cs="Times New Roman"/>
        </w:rPr>
      </w:pPr>
      <w:r w:rsidRPr="00081133">
        <w:rPr>
          <w:rFonts w:ascii="Times New Roman" w:hAnsi="Times New Roman" w:cs="Times New Roman"/>
        </w:rPr>
        <w:t>MSAC noted the purpose of this codependent resubmission, from Merck, Sharp &amp; Dohm</w:t>
      </w:r>
      <w:r w:rsidR="00CC1B59">
        <w:rPr>
          <w:rFonts w:ascii="Times New Roman" w:hAnsi="Times New Roman" w:cs="Times New Roman"/>
        </w:rPr>
        <w:t>e</w:t>
      </w:r>
      <w:r w:rsidRPr="00081133">
        <w:rPr>
          <w:rFonts w:ascii="Times New Roman" w:hAnsi="Times New Roman" w:cs="Times New Roman"/>
        </w:rPr>
        <w:t>, was to request MBS listing of an immunohistochemistry (IHC) test for the evaluation of PD-L1 expression using the CPS to determine eligibility for treatment with pembrolizumab in patients with previously untreated recurrent or metastatic (R/M) head and neck squamous cell carcinoma (HNSCC) (specifically of the oral cavity, pharynx or larynx); and to request listing for pembrolizumab (as monotherapy or in combination with chemotherapy) on the PBS for the treatment of the same conditions.</w:t>
      </w:r>
    </w:p>
    <w:p w14:paraId="2A12AF93" w14:textId="657C6C10" w:rsidR="003474FB" w:rsidRPr="00081133" w:rsidRDefault="003474FB" w:rsidP="00F85B87">
      <w:pPr>
        <w:spacing w:before="240" w:after="240"/>
        <w:jc w:val="left"/>
        <w:rPr>
          <w:rFonts w:ascii="Times New Roman" w:hAnsi="Times New Roman" w:cs="Times New Roman"/>
        </w:rPr>
      </w:pPr>
      <w:r w:rsidRPr="00081133">
        <w:rPr>
          <w:rFonts w:ascii="Times New Roman" w:hAnsi="Times New Roman" w:cs="Times New Roman"/>
        </w:rPr>
        <w:t xml:space="preserve">MSAC noted that, for the original submission in November 2020, the Pharmaceutical Benefits Advisory Committee (PBAC) did not recommend listing pembrolizumab for these conditions, and MSAC did not support listing the test. MSAC had considered that the evidence presented did not adequately support the claim of </w:t>
      </w:r>
      <w:proofErr w:type="spellStart"/>
      <w:r w:rsidRPr="00081133">
        <w:rPr>
          <w:rFonts w:ascii="Times New Roman" w:hAnsi="Times New Roman" w:cs="Times New Roman"/>
        </w:rPr>
        <w:t>codependency</w:t>
      </w:r>
      <w:proofErr w:type="spellEnd"/>
      <w:r w:rsidRPr="00081133">
        <w:rPr>
          <w:rFonts w:ascii="Times New Roman" w:hAnsi="Times New Roman" w:cs="Times New Roman"/>
        </w:rPr>
        <w:t xml:space="preserve"> (</w:t>
      </w:r>
      <w:hyperlink r:id="rId10" w:history="1">
        <w:r w:rsidRPr="00081133">
          <w:rPr>
            <w:rStyle w:val="Hyperlink"/>
            <w:rFonts w:ascii="Times New Roman" w:hAnsi="Times New Roman" w:cs="Times New Roman"/>
          </w:rPr>
          <w:t>Application 1522 Public Summary Document</w:t>
        </w:r>
      </w:hyperlink>
      <w:r w:rsidRPr="00081133">
        <w:rPr>
          <w:rFonts w:ascii="Times New Roman" w:hAnsi="Times New Roman" w:cs="Times New Roman"/>
        </w:rPr>
        <w:t>, page 1).</w:t>
      </w:r>
    </w:p>
    <w:p w14:paraId="45216510" w14:textId="2E2B8FBA" w:rsidR="00C87C5F" w:rsidRPr="00C87C5F" w:rsidRDefault="003474FB" w:rsidP="00B2387B">
      <w:pPr>
        <w:jc w:val="left"/>
        <w:rPr>
          <w:rFonts w:ascii="Times New Roman" w:hAnsi="Times New Roman" w:cs="Times New Roman"/>
        </w:rPr>
      </w:pPr>
      <w:r w:rsidRPr="00081133">
        <w:rPr>
          <w:rFonts w:ascii="Times New Roman" w:hAnsi="Times New Roman" w:cs="Times New Roman"/>
        </w:rPr>
        <w:t xml:space="preserve">MSAC noted that the </w:t>
      </w:r>
      <w:r w:rsidR="00DA35FB">
        <w:rPr>
          <w:rFonts w:ascii="Times New Roman" w:hAnsi="Times New Roman" w:cs="Times New Roman"/>
        </w:rPr>
        <w:t>re</w:t>
      </w:r>
      <w:r w:rsidRPr="00081133">
        <w:rPr>
          <w:rFonts w:ascii="Times New Roman" w:hAnsi="Times New Roman" w:cs="Times New Roman"/>
        </w:rPr>
        <w:t xml:space="preserve">submission </w:t>
      </w:r>
      <w:r w:rsidR="00DA35FB">
        <w:rPr>
          <w:rFonts w:ascii="Times New Roman" w:hAnsi="Times New Roman" w:cs="Times New Roman"/>
        </w:rPr>
        <w:t xml:space="preserve">initially </w:t>
      </w:r>
      <w:r w:rsidRPr="00081133">
        <w:rPr>
          <w:rFonts w:ascii="Times New Roman" w:hAnsi="Times New Roman" w:cs="Times New Roman"/>
        </w:rPr>
        <w:t xml:space="preserve">proposed a CPS threshold </w:t>
      </w:r>
      <w:r w:rsidRPr="00081133">
        <w:rPr>
          <w:rFonts w:ascii="Symbol" w:eastAsia="Symbol" w:hAnsi="Symbol" w:cs="Symbol"/>
        </w:rPr>
        <w:t>³</w:t>
      </w:r>
      <w:r w:rsidRPr="00081133">
        <w:rPr>
          <w:rFonts w:ascii="Times New Roman" w:hAnsi="Times New Roman" w:cs="Times New Roman"/>
        </w:rPr>
        <w:t xml:space="preserve">1 for patients to be eligible for pembrolizumab monotherapy or combination therapy. This </w:t>
      </w:r>
      <w:r w:rsidR="00DA35FB">
        <w:rPr>
          <w:rFonts w:ascii="Times New Roman" w:hAnsi="Times New Roman" w:cs="Times New Roman"/>
        </w:rPr>
        <w:t>was</w:t>
      </w:r>
      <w:r w:rsidRPr="00081133">
        <w:rPr>
          <w:rFonts w:ascii="Times New Roman" w:hAnsi="Times New Roman" w:cs="Times New Roman"/>
        </w:rPr>
        <w:t xml:space="preserve"> revised </w:t>
      </w:r>
      <w:r w:rsidR="00DA35FB">
        <w:rPr>
          <w:rFonts w:ascii="Times New Roman" w:hAnsi="Times New Roman" w:cs="Times New Roman"/>
        </w:rPr>
        <w:t>in the pre</w:t>
      </w:r>
      <w:r w:rsidR="00C844EB">
        <w:rPr>
          <w:rFonts w:ascii="Times New Roman" w:hAnsi="Times New Roman" w:cs="Times New Roman"/>
        </w:rPr>
        <w:t>-</w:t>
      </w:r>
      <w:r w:rsidR="00DA35FB">
        <w:rPr>
          <w:rFonts w:ascii="Times New Roman" w:hAnsi="Times New Roman" w:cs="Times New Roman"/>
        </w:rPr>
        <w:t xml:space="preserve">ESC response to </w:t>
      </w:r>
      <w:r w:rsidR="00B27342">
        <w:rPr>
          <w:rFonts w:ascii="Times New Roman" w:hAnsi="Times New Roman" w:cs="Times New Roman"/>
        </w:rPr>
        <w:t xml:space="preserve">a </w:t>
      </w:r>
      <w:r w:rsidRPr="00081133">
        <w:rPr>
          <w:rFonts w:ascii="Times New Roman" w:hAnsi="Times New Roman" w:cs="Times New Roman"/>
        </w:rPr>
        <w:t xml:space="preserve">CPS </w:t>
      </w:r>
      <w:r w:rsidR="00B27342">
        <w:rPr>
          <w:rFonts w:ascii="Times New Roman" w:hAnsi="Times New Roman" w:cs="Times New Roman"/>
        </w:rPr>
        <w:t>score</w:t>
      </w:r>
      <w:r w:rsidR="00B27342" w:rsidRPr="00081133">
        <w:rPr>
          <w:rFonts w:ascii="Times New Roman" w:hAnsi="Times New Roman" w:cs="Times New Roman"/>
        </w:rPr>
        <w:t xml:space="preserve"> </w:t>
      </w:r>
      <w:r w:rsidRPr="00081133">
        <w:rPr>
          <w:rFonts w:ascii="Symbol" w:eastAsia="Symbol" w:hAnsi="Symbol" w:cs="Symbol"/>
        </w:rPr>
        <w:t>³</w:t>
      </w:r>
      <w:r w:rsidRPr="00081133">
        <w:rPr>
          <w:rFonts w:ascii="Times New Roman" w:hAnsi="Times New Roman" w:cs="Times New Roman"/>
        </w:rPr>
        <w:t xml:space="preserve">20 for eligibility for pembrolizumab monotherapy, and retained the threshold of </w:t>
      </w:r>
      <w:r w:rsidRPr="00081133">
        <w:rPr>
          <w:rFonts w:ascii="Symbol" w:eastAsia="Symbol" w:hAnsi="Symbol" w:cs="Symbol"/>
        </w:rPr>
        <w:t>³</w:t>
      </w:r>
      <w:r w:rsidRPr="00081133">
        <w:rPr>
          <w:rFonts w:ascii="Times New Roman" w:hAnsi="Times New Roman" w:cs="Times New Roman"/>
        </w:rPr>
        <w:t>1 for combination therapy. MSAC noted that the PBAC had deferred its decision at its November 2021 meeting, pending advice from MSAC. The PBAC considered that, based on the data provided, pembrolizumab plus chemotherapy was clinically superior to first-line chemotherapy alone in the CPS ≥1 population and also in the “all-comers” population (</w:t>
      </w:r>
      <w:r w:rsidR="00545C6E">
        <w:rPr>
          <w:rFonts w:ascii="Times New Roman" w:hAnsi="Times New Roman" w:cs="Times New Roman"/>
        </w:rPr>
        <w:t xml:space="preserve">that is, </w:t>
      </w:r>
      <w:r w:rsidRPr="00081133">
        <w:rPr>
          <w:rFonts w:ascii="Times New Roman" w:hAnsi="Times New Roman" w:cs="Times New Roman"/>
        </w:rPr>
        <w:t>regardless of CPS). The PBAC considered that, on this basis, it was preferable that listing of pembrolizumab in combination with chemotherapy not exclude patients with CPS &lt;1. The PBAC expressed a preference for recommending the CPS ≥20 threshold for pembrolizumab monotherapy and an all-comers population for pembrolizumab plus chemotherapy.</w:t>
      </w:r>
      <w:r w:rsidR="00DA35FB">
        <w:rPr>
          <w:rFonts w:ascii="Times New Roman" w:hAnsi="Times New Roman" w:cs="Times New Roman"/>
        </w:rPr>
        <w:t xml:space="preserve"> </w:t>
      </w:r>
      <w:r w:rsidR="00C87C5F" w:rsidRPr="00C87C5F">
        <w:rPr>
          <w:rFonts w:ascii="Times New Roman" w:hAnsi="Times New Roman" w:cs="Times New Roman"/>
        </w:rPr>
        <w:t>The PBAC requested that MSAC provide advice on:</w:t>
      </w:r>
    </w:p>
    <w:p w14:paraId="2D2F02A3" w14:textId="77777777" w:rsidR="00C87C5F" w:rsidRPr="00C87C5F" w:rsidRDefault="00C87C5F" w:rsidP="00A2043B">
      <w:pPr>
        <w:numPr>
          <w:ilvl w:val="0"/>
          <w:numId w:val="81"/>
        </w:numPr>
        <w:spacing w:before="0"/>
        <w:ind w:left="714" w:hanging="357"/>
        <w:jc w:val="left"/>
        <w:rPr>
          <w:rFonts w:ascii="Times New Roman" w:hAnsi="Times New Roman" w:cs="Times New Roman"/>
        </w:rPr>
      </w:pPr>
      <w:r w:rsidRPr="00C87C5F">
        <w:rPr>
          <w:rFonts w:ascii="Times New Roman" w:hAnsi="Times New Roman" w:cs="Times New Roman"/>
        </w:rPr>
        <w:t xml:space="preserve">The practical reasons for </w:t>
      </w:r>
      <w:r w:rsidRPr="00A2043B">
        <w:rPr>
          <w:rFonts w:ascii="Times New Roman" w:eastAsia="Calibri" w:hAnsi="Times New Roman" w:cs="Times New Roman"/>
          <w:szCs w:val="20"/>
        </w:rPr>
        <w:t>whether</w:t>
      </w:r>
      <w:r w:rsidRPr="00C87C5F">
        <w:rPr>
          <w:rFonts w:ascii="Times New Roman" w:hAnsi="Times New Roman" w:cs="Times New Roman"/>
        </w:rPr>
        <w:t xml:space="preserve"> to have reduced confidence in the results of PD-L1 testing using a CPS threshold of ≥1 compared to higher thresholds or no threshold at all.</w:t>
      </w:r>
    </w:p>
    <w:p w14:paraId="7F84E94C" w14:textId="77777777" w:rsidR="00C87C5F" w:rsidRPr="00C87C5F" w:rsidRDefault="00C87C5F" w:rsidP="00A2043B">
      <w:pPr>
        <w:numPr>
          <w:ilvl w:val="0"/>
          <w:numId w:val="81"/>
        </w:numPr>
        <w:spacing w:before="0"/>
        <w:ind w:left="714" w:hanging="357"/>
        <w:jc w:val="left"/>
        <w:rPr>
          <w:rFonts w:ascii="Times New Roman" w:hAnsi="Times New Roman" w:cs="Times New Roman"/>
        </w:rPr>
      </w:pPr>
      <w:r w:rsidRPr="00C87C5F">
        <w:rPr>
          <w:rFonts w:ascii="Times New Roman" w:hAnsi="Times New Roman" w:cs="Times New Roman"/>
        </w:rPr>
        <w:t xml:space="preserve">More </w:t>
      </w:r>
      <w:r w:rsidRPr="00A2043B">
        <w:rPr>
          <w:rFonts w:ascii="Times New Roman" w:eastAsia="Calibri" w:hAnsi="Times New Roman" w:cs="Times New Roman"/>
          <w:szCs w:val="20"/>
        </w:rPr>
        <w:t>specifically</w:t>
      </w:r>
      <w:r w:rsidRPr="00C87C5F">
        <w:rPr>
          <w:rFonts w:ascii="Times New Roman" w:hAnsi="Times New Roman" w:cs="Times New Roman"/>
        </w:rPr>
        <w:t xml:space="preserve">, the practical difference between CPS thresholds of ≥1 and ≥20 in terms of confidence in the results obtained in the context of the </w:t>
      </w:r>
      <w:proofErr w:type="spellStart"/>
      <w:r w:rsidRPr="00C87C5F">
        <w:rPr>
          <w:rFonts w:ascii="Times New Roman" w:hAnsi="Times New Roman" w:cs="Times New Roman"/>
        </w:rPr>
        <w:t>codependence</w:t>
      </w:r>
      <w:proofErr w:type="spellEnd"/>
      <w:r w:rsidRPr="00C87C5F">
        <w:rPr>
          <w:rFonts w:ascii="Times New Roman" w:hAnsi="Times New Roman" w:cs="Times New Roman"/>
        </w:rPr>
        <w:t xml:space="preserve"> with pembrolizumab monotherapy. Would a CPS threshold of ≥20 be expected to ensure that false positives and their negative consequences are minimised in the population receiving pembrolizumab monotherapy?</w:t>
      </w:r>
    </w:p>
    <w:p w14:paraId="69E2603E" w14:textId="1A6430A9" w:rsidR="00DA35FB" w:rsidRPr="00081133" w:rsidRDefault="00C87C5F" w:rsidP="00710FC1">
      <w:pPr>
        <w:numPr>
          <w:ilvl w:val="0"/>
          <w:numId w:val="100"/>
        </w:numPr>
        <w:rPr>
          <w:rFonts w:ascii="Times New Roman" w:hAnsi="Times New Roman" w:cs="Times New Roman"/>
          <w:color w:val="000000"/>
          <w:szCs w:val="20"/>
        </w:rPr>
      </w:pPr>
      <w:r w:rsidRPr="00C87C5F">
        <w:rPr>
          <w:rFonts w:ascii="Times New Roman" w:hAnsi="Times New Roman" w:cs="Times New Roman"/>
        </w:rPr>
        <w:t xml:space="preserve">The </w:t>
      </w:r>
      <w:r w:rsidRPr="00A2043B">
        <w:rPr>
          <w:rFonts w:ascii="Times New Roman" w:eastAsia="Calibri" w:hAnsi="Times New Roman" w:cs="Times New Roman"/>
          <w:szCs w:val="20"/>
        </w:rPr>
        <w:t>expected</w:t>
      </w:r>
      <w:r w:rsidRPr="00C87C5F">
        <w:rPr>
          <w:rFonts w:ascii="Times New Roman" w:hAnsi="Times New Roman" w:cs="Times New Roman"/>
        </w:rPr>
        <w:t xml:space="preserve"> differences in population sizes based on the different CPS thresholds (for financials and caps). For patients likely to be treated with pembrolizumab monotherapy what proportion of patients would be expected to have CPS &lt;1 and what proportion would be expected to have CPS &lt;20?</w:t>
      </w:r>
    </w:p>
    <w:p w14:paraId="3F0595F1" w14:textId="428A805C" w:rsidR="00710FC1" w:rsidRDefault="003474FB" w:rsidP="00F85B87">
      <w:pPr>
        <w:spacing w:before="240" w:after="240"/>
        <w:jc w:val="left"/>
        <w:rPr>
          <w:rFonts w:ascii="Times New Roman" w:hAnsi="Times New Roman" w:cs="Times New Roman"/>
        </w:rPr>
      </w:pPr>
      <w:r w:rsidRPr="00081133">
        <w:rPr>
          <w:rFonts w:ascii="Times New Roman" w:hAnsi="Times New Roman" w:cs="Times New Roman"/>
        </w:rPr>
        <w:t xml:space="preserve">MSAC noted that </w:t>
      </w:r>
      <w:r w:rsidR="00161D7B">
        <w:rPr>
          <w:rFonts w:ascii="Times New Roman" w:hAnsi="Times New Roman" w:cs="Times New Roman"/>
        </w:rPr>
        <w:t xml:space="preserve">the ADAR </w:t>
      </w:r>
      <w:r w:rsidR="00161D7B" w:rsidRPr="00081133">
        <w:rPr>
          <w:rFonts w:ascii="Times New Roman" w:hAnsi="Times New Roman" w:cs="Times New Roman"/>
        </w:rPr>
        <w:t>presented</w:t>
      </w:r>
      <w:r w:rsidR="00161D7B" w:rsidRPr="00081133" w:rsidDel="00161D7B">
        <w:rPr>
          <w:rFonts w:ascii="Times New Roman" w:hAnsi="Times New Roman" w:cs="Times New Roman"/>
        </w:rPr>
        <w:t xml:space="preserve"> </w:t>
      </w:r>
      <w:r w:rsidR="00161D7B">
        <w:rPr>
          <w:rFonts w:ascii="Times New Roman" w:hAnsi="Times New Roman" w:cs="Times New Roman"/>
        </w:rPr>
        <w:t xml:space="preserve">results from </w:t>
      </w:r>
      <w:r w:rsidRPr="00081133">
        <w:rPr>
          <w:rFonts w:ascii="Times New Roman" w:hAnsi="Times New Roman" w:cs="Times New Roman"/>
        </w:rPr>
        <w:t>the Keynote trial (KN048</w:t>
      </w:r>
      <w:r w:rsidR="00161D7B">
        <w:rPr>
          <w:rFonts w:ascii="Times New Roman" w:hAnsi="Times New Roman" w:cs="Times New Roman"/>
        </w:rPr>
        <w:t>)</w:t>
      </w:r>
      <w:r w:rsidRPr="00081133">
        <w:rPr>
          <w:rFonts w:ascii="Times New Roman" w:hAnsi="Times New Roman" w:cs="Times New Roman"/>
        </w:rPr>
        <w:t xml:space="preserve">, with an additional 12 months of follow-up. </w:t>
      </w:r>
      <w:r w:rsidR="00710FC1">
        <w:rPr>
          <w:rFonts w:ascii="Times New Roman" w:hAnsi="Times New Roman" w:cs="Times New Roman"/>
        </w:rPr>
        <w:t xml:space="preserve">MSAC noted that KN048 was stratified by </w:t>
      </w:r>
      <w:r w:rsidR="00B76FF9">
        <w:rPr>
          <w:rFonts w:ascii="Times New Roman" w:hAnsi="Times New Roman" w:cs="Times New Roman"/>
        </w:rPr>
        <w:t>tumour proportion score (</w:t>
      </w:r>
      <w:r w:rsidR="00710FC1">
        <w:rPr>
          <w:rFonts w:ascii="Times New Roman" w:hAnsi="Times New Roman" w:cs="Times New Roman"/>
        </w:rPr>
        <w:t>TPS</w:t>
      </w:r>
      <w:r w:rsidR="00B76FF9">
        <w:rPr>
          <w:rFonts w:ascii="Times New Roman" w:hAnsi="Times New Roman" w:cs="Times New Roman"/>
        </w:rPr>
        <w:t xml:space="preserve">, </w:t>
      </w:r>
      <w:r w:rsidR="002E20F1">
        <w:rPr>
          <w:rFonts w:ascii="Times New Roman" w:hAnsi="Times New Roman" w:cs="Times New Roman"/>
        </w:rPr>
        <w:t xml:space="preserve">using the </w:t>
      </w:r>
      <w:r w:rsidR="00D54294">
        <w:rPr>
          <w:rFonts w:ascii="Times New Roman" w:hAnsi="Times New Roman" w:cs="Times New Roman"/>
        </w:rPr>
        <w:t>≥50% threshold)</w:t>
      </w:r>
      <w:r w:rsidR="009A1BC3">
        <w:rPr>
          <w:rFonts w:ascii="Times New Roman" w:hAnsi="Times New Roman" w:cs="Times New Roman"/>
        </w:rPr>
        <w:t>,</w:t>
      </w:r>
      <w:r w:rsidR="00161D7B">
        <w:rPr>
          <w:rFonts w:ascii="Times New Roman" w:hAnsi="Times New Roman" w:cs="Times New Roman"/>
        </w:rPr>
        <w:t xml:space="preserve"> this could have biased the results</w:t>
      </w:r>
      <w:r w:rsidR="009A1BC3">
        <w:rPr>
          <w:rFonts w:ascii="Times New Roman" w:hAnsi="Times New Roman" w:cs="Times New Roman"/>
        </w:rPr>
        <w:t xml:space="preserve"> by recruiting a higher proportion of such patients than would be expected in Australian practice</w:t>
      </w:r>
      <w:r w:rsidR="00161D7B">
        <w:rPr>
          <w:rFonts w:ascii="Times New Roman" w:hAnsi="Times New Roman" w:cs="Times New Roman"/>
        </w:rPr>
        <w:t>.</w:t>
      </w:r>
      <w:r w:rsidR="00161D7B" w:rsidRPr="00081133">
        <w:rPr>
          <w:rFonts w:ascii="Times New Roman" w:hAnsi="Times New Roman" w:cs="Times New Roman"/>
        </w:rPr>
        <w:t xml:space="preserve"> </w:t>
      </w:r>
      <w:r w:rsidR="00E902F3" w:rsidRPr="00081133">
        <w:rPr>
          <w:rFonts w:ascii="Times New Roman" w:hAnsi="Times New Roman" w:cs="Times New Roman"/>
        </w:rPr>
        <w:t xml:space="preserve">MSAC noted </w:t>
      </w:r>
      <w:r w:rsidR="00161D7B" w:rsidRPr="00081133">
        <w:rPr>
          <w:rFonts w:ascii="Times New Roman" w:hAnsi="Times New Roman" w:cs="Times New Roman"/>
        </w:rPr>
        <w:t>KN048</w:t>
      </w:r>
      <w:r w:rsidR="00161D7B">
        <w:rPr>
          <w:rFonts w:ascii="Times New Roman" w:hAnsi="Times New Roman" w:cs="Times New Roman"/>
        </w:rPr>
        <w:t xml:space="preserve"> had a </w:t>
      </w:r>
      <w:r w:rsidR="00E902F3" w:rsidRPr="00081133">
        <w:rPr>
          <w:rFonts w:ascii="Times New Roman" w:hAnsi="Times New Roman" w:cs="Times New Roman"/>
        </w:rPr>
        <w:t>complex study design</w:t>
      </w:r>
      <w:r w:rsidR="00161D7B">
        <w:rPr>
          <w:rFonts w:ascii="Times New Roman" w:hAnsi="Times New Roman" w:cs="Times New Roman"/>
        </w:rPr>
        <w:t xml:space="preserve"> and statistical analysis</w:t>
      </w:r>
      <w:r w:rsidR="009A1BC3">
        <w:rPr>
          <w:rFonts w:ascii="Times New Roman" w:hAnsi="Times New Roman" w:cs="Times New Roman"/>
        </w:rPr>
        <w:t xml:space="preserve"> plan</w:t>
      </w:r>
      <w:r w:rsidR="00942005">
        <w:rPr>
          <w:rFonts w:ascii="Times New Roman" w:hAnsi="Times New Roman" w:cs="Times New Roman"/>
        </w:rPr>
        <w:t xml:space="preserve">. </w:t>
      </w:r>
      <w:r w:rsidR="00942005" w:rsidRPr="00942005">
        <w:rPr>
          <w:rFonts w:ascii="Times New Roman" w:hAnsi="Times New Roman" w:cs="Times New Roman"/>
        </w:rPr>
        <w:t xml:space="preserve">As previously, MSAC considered that this </w:t>
      </w:r>
      <w:r w:rsidR="00942005">
        <w:rPr>
          <w:rFonts w:ascii="Times New Roman" w:hAnsi="Times New Roman" w:cs="Times New Roman"/>
        </w:rPr>
        <w:t xml:space="preserve">trial does </w:t>
      </w:r>
      <w:r w:rsidR="00942005" w:rsidRPr="00942005">
        <w:rPr>
          <w:rFonts w:ascii="Times New Roman" w:hAnsi="Times New Roman" w:cs="Times New Roman"/>
        </w:rPr>
        <w:t xml:space="preserve">not </w:t>
      </w:r>
      <w:r w:rsidR="00942005">
        <w:rPr>
          <w:rFonts w:ascii="Times New Roman" w:hAnsi="Times New Roman" w:cs="Times New Roman"/>
        </w:rPr>
        <w:t xml:space="preserve">provide </w:t>
      </w:r>
      <w:r w:rsidR="00942005" w:rsidRPr="00942005">
        <w:rPr>
          <w:rFonts w:ascii="Times New Roman" w:hAnsi="Times New Roman" w:cs="Times New Roman"/>
        </w:rPr>
        <w:t xml:space="preserve">enough evidence to </w:t>
      </w:r>
      <w:r w:rsidR="00942005">
        <w:rPr>
          <w:rFonts w:ascii="Times New Roman" w:hAnsi="Times New Roman" w:cs="Times New Roman"/>
        </w:rPr>
        <w:t xml:space="preserve">confirm </w:t>
      </w:r>
      <w:r w:rsidR="00942005" w:rsidRPr="00942005">
        <w:rPr>
          <w:rFonts w:ascii="Times New Roman" w:hAnsi="Times New Roman" w:cs="Times New Roman"/>
        </w:rPr>
        <w:t xml:space="preserve">that a patient’s CPS score is linked to </w:t>
      </w:r>
      <w:r w:rsidR="00942005">
        <w:rPr>
          <w:rFonts w:ascii="Times New Roman" w:hAnsi="Times New Roman" w:cs="Times New Roman"/>
        </w:rPr>
        <w:t xml:space="preserve">a variation in the treatment effect of </w:t>
      </w:r>
      <w:r w:rsidR="00942005" w:rsidRPr="00942005">
        <w:rPr>
          <w:rFonts w:ascii="Times New Roman" w:hAnsi="Times New Roman" w:cs="Times New Roman"/>
        </w:rPr>
        <w:t>pembrolizumab</w:t>
      </w:r>
      <w:r w:rsidR="00942005">
        <w:rPr>
          <w:rFonts w:ascii="Times New Roman" w:hAnsi="Times New Roman" w:cs="Times New Roman"/>
        </w:rPr>
        <w:t>.</w:t>
      </w:r>
      <w:r w:rsidR="002835E0" w:rsidRPr="002835E0">
        <w:rPr>
          <w:rFonts w:ascii="Times New Roman" w:hAnsi="Times New Roman" w:cs="Times New Roman"/>
        </w:rPr>
        <w:t xml:space="preserve"> </w:t>
      </w:r>
      <w:r w:rsidR="002835E0">
        <w:rPr>
          <w:rFonts w:ascii="Times New Roman" w:hAnsi="Times New Roman" w:cs="Times New Roman"/>
        </w:rPr>
        <w:t>Specifically, while the overall survival and PFS of KN048 were analysed by CPS&gt;1 and CPS ≥20</w:t>
      </w:r>
      <w:r w:rsidR="00B76FF9">
        <w:rPr>
          <w:rFonts w:ascii="Times New Roman" w:hAnsi="Times New Roman" w:cs="Times New Roman"/>
        </w:rPr>
        <w:t>,</w:t>
      </w:r>
      <w:r w:rsidR="002835E0">
        <w:rPr>
          <w:rFonts w:ascii="Times New Roman" w:hAnsi="Times New Roman" w:cs="Times New Roman"/>
        </w:rPr>
        <w:t xml:space="preserve"> the stratification of KN048 remained on the basis of TPS ≥50% and hence comparisons on the basis of CPS were effectively non-randomised and thus subject to bias.</w:t>
      </w:r>
    </w:p>
    <w:p w14:paraId="14643B3A" w14:textId="1C722469" w:rsidR="00637D34" w:rsidRDefault="00724889" w:rsidP="00F85B87">
      <w:pPr>
        <w:spacing w:before="240" w:after="240"/>
        <w:jc w:val="left"/>
        <w:rPr>
          <w:rFonts w:ascii="Times New Roman" w:hAnsi="Times New Roman" w:cs="Times New Roman"/>
        </w:rPr>
      </w:pPr>
      <w:r w:rsidRPr="00081133">
        <w:rPr>
          <w:rFonts w:ascii="Times New Roman" w:hAnsi="Times New Roman" w:cs="Times New Roman"/>
        </w:rPr>
        <w:t xml:space="preserve">MSAC noted a publication by Rasmussen </w:t>
      </w:r>
      <w:r w:rsidR="004D6186">
        <w:rPr>
          <w:rFonts w:ascii="Times New Roman" w:hAnsi="Times New Roman" w:cs="Times New Roman"/>
        </w:rPr>
        <w:t>(2019)</w:t>
      </w:r>
      <w:r w:rsidRPr="00081133">
        <w:rPr>
          <w:rStyle w:val="FootnoteReference"/>
          <w:rFonts w:ascii="Times New Roman" w:hAnsi="Times New Roman" w:cs="Times New Roman"/>
        </w:rPr>
        <w:footnoteReference w:id="2"/>
      </w:r>
      <w:r w:rsidRPr="00081133">
        <w:rPr>
          <w:rFonts w:ascii="Times New Roman" w:hAnsi="Times New Roman" w:cs="Times New Roman"/>
        </w:rPr>
        <w:t xml:space="preserve"> exploring </w:t>
      </w:r>
      <w:proofErr w:type="spellStart"/>
      <w:r w:rsidRPr="00081133">
        <w:rPr>
          <w:rFonts w:ascii="Times New Roman" w:hAnsi="Times New Roman" w:cs="Times New Roman"/>
        </w:rPr>
        <w:t>intratumour</w:t>
      </w:r>
      <w:proofErr w:type="spellEnd"/>
      <w:r w:rsidRPr="00081133">
        <w:rPr>
          <w:rFonts w:ascii="Times New Roman" w:hAnsi="Times New Roman" w:cs="Times New Roman"/>
        </w:rPr>
        <w:t xml:space="preserve"> heterogeneity in PDL1 expression in HNSCC. The study found that no </w:t>
      </w:r>
      <w:r w:rsidR="00554CBF">
        <w:rPr>
          <w:rFonts w:ascii="Times New Roman" w:hAnsi="Times New Roman" w:cs="Times New Roman"/>
        </w:rPr>
        <w:t>lesions</w:t>
      </w:r>
      <w:r w:rsidRPr="00081133">
        <w:rPr>
          <w:rFonts w:ascii="Times New Roman" w:hAnsi="Times New Roman" w:cs="Times New Roman"/>
        </w:rPr>
        <w:t xml:space="preserve"> were true negative with a </w:t>
      </w:r>
      <w:r w:rsidR="00554CBF">
        <w:rPr>
          <w:rFonts w:ascii="Times New Roman" w:hAnsi="Times New Roman" w:cs="Times New Roman"/>
        </w:rPr>
        <w:t xml:space="preserve">CPS </w:t>
      </w:r>
      <w:r w:rsidR="00F224C6">
        <w:rPr>
          <w:rFonts w:ascii="Times New Roman" w:hAnsi="Times New Roman" w:cs="Times New Roman"/>
        </w:rPr>
        <w:t xml:space="preserve">threshold of </w:t>
      </w:r>
      <w:r w:rsidRPr="00081133">
        <w:rPr>
          <w:rFonts w:ascii="Times New Roman" w:hAnsi="Times New Roman" w:cs="Times New Roman"/>
        </w:rPr>
        <w:t>1</w:t>
      </w:r>
      <w:r>
        <w:rPr>
          <w:rFonts w:ascii="Times New Roman" w:hAnsi="Times New Roman" w:cs="Times New Roman"/>
        </w:rPr>
        <w:t xml:space="preserve"> and that PD-L1 positivity varied markedly within HNSCC tumours. MSAC considered these differences in the PD-L1 positivity within tumours would affect test </w:t>
      </w:r>
      <w:r w:rsidR="00161D7B">
        <w:rPr>
          <w:rFonts w:ascii="Times New Roman" w:hAnsi="Times New Roman" w:cs="Times New Roman"/>
        </w:rPr>
        <w:t>performance</w:t>
      </w:r>
      <w:r w:rsidR="00637D34">
        <w:rPr>
          <w:rFonts w:ascii="Times New Roman" w:hAnsi="Times New Roman" w:cs="Times New Roman"/>
        </w:rPr>
        <w:t>.</w:t>
      </w:r>
    </w:p>
    <w:p w14:paraId="7E94313A" w14:textId="1E2BD81B" w:rsidR="003474FB" w:rsidRPr="00081133" w:rsidRDefault="00005F3A" w:rsidP="00F85B87">
      <w:pPr>
        <w:spacing w:before="240" w:after="240"/>
        <w:jc w:val="left"/>
        <w:rPr>
          <w:rFonts w:ascii="Times New Roman" w:hAnsi="Times New Roman" w:cs="Times New Roman"/>
        </w:rPr>
      </w:pPr>
      <w:r>
        <w:rPr>
          <w:rFonts w:ascii="Times New Roman" w:hAnsi="Times New Roman" w:cs="Times New Roman"/>
        </w:rPr>
        <w:t xml:space="preserve">MSAC considered the impact of different testing protocols on PD-L1 scoring. MSAC considered that </w:t>
      </w:r>
      <w:r w:rsidR="00302093">
        <w:rPr>
          <w:rFonts w:ascii="Times New Roman" w:hAnsi="Times New Roman" w:cs="Times New Roman"/>
        </w:rPr>
        <w:t xml:space="preserve">the </w:t>
      </w:r>
      <w:r>
        <w:rPr>
          <w:rFonts w:ascii="Times New Roman" w:hAnsi="Times New Roman" w:cs="Times New Roman"/>
        </w:rPr>
        <w:t xml:space="preserve">SP263 antibody was mostly commonly used in Australia whereas the 22C3 antibody was used in the KN048 trial. MSAC considered </w:t>
      </w:r>
      <w:proofErr w:type="spellStart"/>
      <w:r>
        <w:rPr>
          <w:rFonts w:ascii="Times New Roman" w:hAnsi="Times New Roman" w:cs="Times New Roman"/>
        </w:rPr>
        <w:t>Crosta</w:t>
      </w:r>
      <w:proofErr w:type="spellEnd"/>
      <w:r>
        <w:rPr>
          <w:rFonts w:ascii="Times New Roman" w:hAnsi="Times New Roman" w:cs="Times New Roman"/>
        </w:rPr>
        <w:t xml:space="preserve"> (2021)</w:t>
      </w:r>
      <w:r w:rsidR="004D6186" w:rsidRPr="00081133">
        <w:rPr>
          <w:rStyle w:val="FootnoteReference"/>
          <w:rFonts w:ascii="Times New Roman" w:hAnsi="Times New Roman" w:cs="Times New Roman"/>
        </w:rPr>
        <w:footnoteReference w:id="3"/>
      </w:r>
      <w:r>
        <w:rPr>
          <w:rFonts w:ascii="Times New Roman" w:hAnsi="Times New Roman" w:cs="Times New Roman"/>
        </w:rPr>
        <w:t xml:space="preserve"> was particularly informative as it compared the clinical utility standard with several other testing protocols. MSAC considered Protocol 4 (SP263 antibody clone and Ventana Benchmark Platform) would be most informative for Australian clinical practice. </w:t>
      </w:r>
      <w:r w:rsidR="00DF2BC1" w:rsidRPr="00DF2BC1">
        <w:rPr>
          <w:rFonts w:ascii="Times New Roman" w:eastAsia="Calibri" w:hAnsi="Times New Roman" w:cs="Times New Roman"/>
          <w:bCs/>
          <w:szCs w:val="24"/>
        </w:rPr>
        <w:t xml:space="preserve">MSAC highlighted that </w:t>
      </w:r>
      <w:proofErr w:type="spellStart"/>
      <w:r w:rsidR="00DF2BC1" w:rsidRPr="00DF2BC1">
        <w:rPr>
          <w:rFonts w:ascii="Times New Roman" w:eastAsia="Calibri" w:hAnsi="Times New Roman" w:cs="Times New Roman"/>
          <w:bCs/>
          <w:szCs w:val="24"/>
        </w:rPr>
        <w:t>Crosta</w:t>
      </w:r>
      <w:proofErr w:type="spellEnd"/>
      <w:r w:rsidR="00DF2BC1" w:rsidRPr="00DF2BC1">
        <w:rPr>
          <w:rFonts w:ascii="Times New Roman" w:eastAsia="Calibri" w:hAnsi="Times New Roman" w:cs="Times New Roman"/>
          <w:bCs/>
          <w:szCs w:val="24"/>
        </w:rPr>
        <w:t xml:space="preserve"> (2021) demonstrated that there may be false negatives at the CPS ≥20 threshold using </w:t>
      </w:r>
      <w:r w:rsidR="004D6186">
        <w:rPr>
          <w:rFonts w:ascii="Times New Roman" w:eastAsia="Calibri" w:hAnsi="Times New Roman" w:cs="Times New Roman"/>
          <w:bCs/>
          <w:szCs w:val="24"/>
        </w:rPr>
        <w:t xml:space="preserve">Protocol 4 </w:t>
      </w:r>
      <w:r w:rsidR="00DF2BC1" w:rsidRPr="00DF2BC1">
        <w:rPr>
          <w:rFonts w:ascii="Times New Roman" w:eastAsia="Calibri" w:hAnsi="Times New Roman" w:cs="Times New Roman"/>
          <w:bCs/>
          <w:szCs w:val="24"/>
        </w:rPr>
        <w:t xml:space="preserve">compared with the </w:t>
      </w:r>
      <w:r w:rsidR="004D6186">
        <w:rPr>
          <w:rFonts w:ascii="Times New Roman" w:eastAsia="Calibri" w:hAnsi="Times New Roman" w:cs="Times New Roman"/>
          <w:bCs/>
          <w:szCs w:val="24"/>
        </w:rPr>
        <w:t>clinical utility standard.</w:t>
      </w:r>
      <w:r w:rsidR="003C3924" w:rsidRPr="003C3924">
        <w:rPr>
          <w:rFonts w:ascii="Times New Roman" w:hAnsi="Times New Roman" w:cs="Times New Roman"/>
        </w:rPr>
        <w:t xml:space="preserve"> </w:t>
      </w:r>
      <w:r w:rsidR="003C3924" w:rsidRPr="00081133">
        <w:rPr>
          <w:rFonts w:ascii="Times New Roman" w:hAnsi="Times New Roman" w:cs="Times New Roman"/>
        </w:rPr>
        <w:t xml:space="preserve">MSAC </w:t>
      </w:r>
      <w:r w:rsidR="003C3924">
        <w:rPr>
          <w:rFonts w:ascii="Times New Roman" w:hAnsi="Times New Roman" w:cs="Times New Roman"/>
        </w:rPr>
        <w:t xml:space="preserve">considered that this </w:t>
      </w:r>
      <w:r w:rsidR="003C3924" w:rsidRPr="00081133">
        <w:rPr>
          <w:rFonts w:ascii="Times New Roman" w:hAnsi="Times New Roman" w:cs="Times New Roman"/>
        </w:rPr>
        <w:t xml:space="preserve">suggested that using CPS ≥20 would lead to more false negatives and very few false positives, which may be an appropriately conservative </w:t>
      </w:r>
      <w:r w:rsidR="00F224C6">
        <w:rPr>
          <w:rFonts w:ascii="Times New Roman" w:hAnsi="Times New Roman" w:cs="Times New Roman"/>
        </w:rPr>
        <w:t>threshold</w:t>
      </w:r>
      <w:r w:rsidR="003C3924" w:rsidRPr="00081133">
        <w:rPr>
          <w:rFonts w:ascii="Times New Roman" w:hAnsi="Times New Roman" w:cs="Times New Roman"/>
        </w:rPr>
        <w:t>.</w:t>
      </w:r>
    </w:p>
    <w:p w14:paraId="6B14F9B0" w14:textId="20930D77" w:rsidR="00EB1ED8" w:rsidRDefault="003474FB" w:rsidP="00110DCA">
      <w:pPr>
        <w:pStyle w:val="Default"/>
        <w:spacing w:after="240"/>
      </w:pPr>
      <w:r w:rsidRPr="00081133">
        <w:t xml:space="preserve">MSAC noted issues relating to discordance in CPS scoring results among pathologists. The resubmission provided the CPS scoring results from pathologist training in Australia in November 2020. </w:t>
      </w:r>
      <w:r w:rsidR="004B4016">
        <w:t xml:space="preserve">MSAC noted that all pathologists demonstrated at least 85% concordance, however all pathologists were discordant from the consensus score in at least one case. MSAC noted that </w:t>
      </w:r>
      <w:r w:rsidR="00161D7B">
        <w:t xml:space="preserve">there was high </w:t>
      </w:r>
      <w:r w:rsidR="004B4016">
        <w:t>v</w:t>
      </w:r>
      <w:r w:rsidRPr="00081133">
        <w:t xml:space="preserve">ariation in scoring of </w:t>
      </w:r>
      <w:r w:rsidR="004D6186">
        <w:t xml:space="preserve">some </w:t>
      </w:r>
      <w:r w:rsidRPr="00081133">
        <w:t xml:space="preserve">tissue samples. </w:t>
      </w:r>
      <w:r w:rsidR="00EB1ED8">
        <w:t>MSAC noted that there were high CPS samples with highly variable scoring as well as samples with low CPS score</w:t>
      </w:r>
      <w:r w:rsidR="00EC0769">
        <w:t>s</w:t>
      </w:r>
      <w:r w:rsidR="00EB1ED8">
        <w:t xml:space="preserve"> (0-2) that were difficult to score.</w:t>
      </w:r>
    </w:p>
    <w:p w14:paraId="10EE5FEA" w14:textId="08F57E67" w:rsidR="00324A36" w:rsidRPr="00324A36" w:rsidRDefault="003474FB" w:rsidP="00F85B87">
      <w:pPr>
        <w:pStyle w:val="Default"/>
        <w:spacing w:before="240" w:after="240"/>
        <w:rPr>
          <w:rFonts w:eastAsia="Calibri"/>
          <w:bCs/>
        </w:rPr>
      </w:pPr>
      <w:r w:rsidRPr="00081133">
        <w:t>MSAC noted a range of factors that may affect scoring</w:t>
      </w:r>
      <w:r w:rsidR="00110DCA">
        <w:t>.</w:t>
      </w:r>
      <w:r w:rsidRPr="00081133">
        <w:t xml:space="preserve"> </w:t>
      </w:r>
      <w:r w:rsidR="00110DCA" w:rsidRPr="00110DCA">
        <w:rPr>
          <w:rFonts w:eastAsia="Calibri"/>
          <w:bCs/>
        </w:rPr>
        <w:t xml:space="preserve">PD-L1 assessment requires careful assessment of cells within a sample that could contribute to inter-observer variability of CPS scoring. This includes assessment of individual cells as some do not contribute to the assessment of CPS score, differentiation of granular membrane staining and granular cytoplasmic staining which can be difficult, exclusion of tissue with edge and crush artifacts. MSAC also noted that PD-L1 expression could be affected by inflammation and radiation, and whether samples had undergone appropriate fixation. </w:t>
      </w:r>
      <w:r w:rsidR="00EB1ED8">
        <w:rPr>
          <w:rFonts w:eastAsia="Calibri"/>
          <w:bCs/>
        </w:rPr>
        <w:t xml:space="preserve">MSAC noted that </w:t>
      </w:r>
      <w:proofErr w:type="spellStart"/>
      <w:r w:rsidR="00EB1ED8" w:rsidRPr="00EB1ED8">
        <w:rPr>
          <w:rFonts w:eastAsia="Calibri"/>
          <w:bCs/>
        </w:rPr>
        <w:t>Nordic</w:t>
      </w:r>
      <w:r w:rsidR="00EA12D3">
        <w:rPr>
          <w:rFonts w:eastAsia="Calibri"/>
          <w:bCs/>
        </w:rPr>
        <w:t>QC</w:t>
      </w:r>
      <w:proofErr w:type="spellEnd"/>
      <w:r w:rsidR="00EB1ED8" w:rsidRPr="00EB1ED8">
        <w:rPr>
          <w:rFonts w:eastAsia="Calibri"/>
          <w:bCs/>
        </w:rPr>
        <w:t xml:space="preserve"> Immunohistochemical Quality Control</w:t>
      </w:r>
      <w:r w:rsidR="00EB1ED8">
        <w:rPr>
          <w:rFonts w:eastAsia="Calibri"/>
          <w:bCs/>
        </w:rPr>
        <w:t xml:space="preserve"> were moving towards drug-disease combinations for their quality assurance programs.</w:t>
      </w:r>
    </w:p>
    <w:p w14:paraId="16317223" w14:textId="484B4F9B" w:rsidR="003474FB" w:rsidRDefault="00110DCA" w:rsidP="00F85B87">
      <w:pPr>
        <w:spacing w:before="240" w:after="240"/>
        <w:jc w:val="left"/>
        <w:rPr>
          <w:rFonts w:ascii="Times New Roman" w:hAnsi="Times New Roman" w:cs="Times New Roman"/>
        </w:rPr>
      </w:pPr>
      <w:r>
        <w:rPr>
          <w:rFonts w:ascii="Times New Roman" w:hAnsi="Times New Roman" w:cs="Times New Roman"/>
        </w:rPr>
        <w:t>MSAC noted that t</w:t>
      </w:r>
      <w:r w:rsidR="003474FB" w:rsidRPr="00081133">
        <w:rPr>
          <w:rFonts w:ascii="Times New Roman" w:hAnsi="Times New Roman" w:cs="Times New Roman"/>
        </w:rPr>
        <w:t xml:space="preserve">here is also a lack of detail in the </w:t>
      </w:r>
      <w:r w:rsidRPr="00110DCA">
        <w:rPr>
          <w:rFonts w:ascii="Times New Roman" w:hAnsi="Times New Roman" w:cs="Times New Roman"/>
        </w:rPr>
        <w:t xml:space="preserve">PD-L1 IHC 22C3 </w:t>
      </w:r>
      <w:proofErr w:type="spellStart"/>
      <w:r w:rsidRPr="00110DCA">
        <w:rPr>
          <w:rFonts w:ascii="Times New Roman" w:hAnsi="Times New Roman" w:cs="Times New Roman"/>
        </w:rPr>
        <w:t>pharmDx</w:t>
      </w:r>
      <w:proofErr w:type="spellEnd"/>
      <w:r w:rsidRPr="00110DCA">
        <w:rPr>
          <w:rFonts w:ascii="Times New Roman" w:hAnsi="Times New Roman" w:cs="Times New Roman"/>
        </w:rPr>
        <w:t xml:space="preserve"> </w:t>
      </w:r>
      <w:r w:rsidR="00EA12D3">
        <w:rPr>
          <w:rFonts w:ascii="Times New Roman" w:hAnsi="Times New Roman" w:cs="Times New Roman"/>
        </w:rPr>
        <w:t xml:space="preserve">kit </w:t>
      </w:r>
      <w:r w:rsidRPr="00110DCA">
        <w:rPr>
          <w:rFonts w:ascii="Times New Roman" w:hAnsi="Times New Roman" w:cs="Times New Roman"/>
        </w:rPr>
        <w:t>Interpretation Manual</w:t>
      </w:r>
      <w:r>
        <w:rPr>
          <w:rStyle w:val="FootnoteReference"/>
          <w:rFonts w:ascii="Times New Roman" w:hAnsi="Times New Roman" w:cs="Times New Roman"/>
        </w:rPr>
        <w:footnoteReference w:id="4"/>
      </w:r>
      <w:r w:rsidR="003474FB" w:rsidRPr="00081133">
        <w:rPr>
          <w:rFonts w:ascii="Times New Roman" w:hAnsi="Times New Roman" w:cs="Times New Roman"/>
        </w:rPr>
        <w:t xml:space="preserve"> on how to score </w:t>
      </w:r>
      <w:r>
        <w:rPr>
          <w:rFonts w:ascii="Times New Roman" w:hAnsi="Times New Roman" w:cs="Times New Roman"/>
        </w:rPr>
        <w:t xml:space="preserve">borderline </w:t>
      </w:r>
      <w:r w:rsidR="003474FB" w:rsidRPr="00081133">
        <w:rPr>
          <w:rFonts w:ascii="Times New Roman" w:hAnsi="Times New Roman" w:cs="Times New Roman"/>
        </w:rPr>
        <w:t xml:space="preserve">cases. The interpretation manual also does not advise </w:t>
      </w:r>
      <w:r w:rsidR="005B6F71">
        <w:rPr>
          <w:rFonts w:ascii="Times New Roman" w:hAnsi="Times New Roman" w:cs="Times New Roman"/>
        </w:rPr>
        <w:t>on reporting a</w:t>
      </w:r>
      <w:r w:rsidR="003474FB" w:rsidRPr="00081133">
        <w:rPr>
          <w:rFonts w:ascii="Times New Roman" w:hAnsi="Times New Roman" w:cs="Times New Roman"/>
        </w:rPr>
        <w:t xml:space="preserve"> score between 0 and 1</w:t>
      </w:r>
      <w:r>
        <w:rPr>
          <w:rFonts w:ascii="Times New Roman" w:hAnsi="Times New Roman" w:cs="Times New Roman"/>
        </w:rPr>
        <w:t xml:space="preserve"> (</w:t>
      </w:r>
      <w:r w:rsidR="005B6F71">
        <w:rPr>
          <w:rFonts w:ascii="Times New Roman" w:hAnsi="Times New Roman" w:cs="Times New Roman"/>
        </w:rPr>
        <w:t xml:space="preserve">i.e. </w:t>
      </w:r>
      <w:r>
        <w:rPr>
          <w:rFonts w:ascii="Times New Roman" w:hAnsi="Times New Roman" w:cs="Times New Roman"/>
        </w:rPr>
        <w:t>1 positive cell per 200 tumour cells)</w:t>
      </w:r>
      <w:r w:rsidR="003474FB" w:rsidRPr="00081133">
        <w:rPr>
          <w:rFonts w:ascii="Times New Roman" w:hAnsi="Times New Roman" w:cs="Times New Roman"/>
        </w:rPr>
        <w:t xml:space="preserve">, meaning that pathologists may be more likely to round up to 1 rather than down to 0. If this is the case, then the proportion of patients given a score of 1 or more would likely be greater than 85%. MSAC also noted the possibility </w:t>
      </w:r>
      <w:r>
        <w:rPr>
          <w:rFonts w:ascii="Times New Roman" w:hAnsi="Times New Roman" w:cs="Times New Roman"/>
        </w:rPr>
        <w:t xml:space="preserve">that </w:t>
      </w:r>
      <w:r w:rsidR="003474FB" w:rsidRPr="00081133">
        <w:rPr>
          <w:rFonts w:ascii="Times New Roman" w:hAnsi="Times New Roman" w:cs="Times New Roman"/>
        </w:rPr>
        <w:t xml:space="preserve">pathologists </w:t>
      </w:r>
      <w:r>
        <w:rPr>
          <w:rFonts w:ascii="Times New Roman" w:hAnsi="Times New Roman" w:cs="Times New Roman"/>
        </w:rPr>
        <w:t xml:space="preserve">may be inclined overestimate CPS scores close to the threshold for treatment eligibility so that patients can access more treatment options. </w:t>
      </w:r>
      <w:r w:rsidR="00EB1ED8">
        <w:rPr>
          <w:rFonts w:ascii="Times New Roman" w:hAnsi="Times New Roman" w:cs="Times New Roman"/>
        </w:rPr>
        <w:t xml:space="preserve">MSAC considered this may </w:t>
      </w:r>
      <w:r w:rsidR="00A8743D">
        <w:rPr>
          <w:rFonts w:ascii="Times New Roman" w:hAnsi="Times New Roman" w:cs="Times New Roman"/>
        </w:rPr>
        <w:t xml:space="preserve">also </w:t>
      </w:r>
      <w:r w:rsidR="00EB1ED8">
        <w:rPr>
          <w:rFonts w:ascii="Times New Roman" w:hAnsi="Times New Roman" w:cs="Times New Roman"/>
        </w:rPr>
        <w:t xml:space="preserve">be true for samples with a CPS close to 20 </w:t>
      </w:r>
      <w:r w:rsidR="001C181C">
        <w:rPr>
          <w:rFonts w:ascii="Times New Roman" w:hAnsi="Times New Roman" w:cs="Times New Roman"/>
        </w:rPr>
        <w:t xml:space="preserve">if </w:t>
      </w:r>
      <w:r w:rsidR="00EB1ED8">
        <w:rPr>
          <w:rFonts w:ascii="Times New Roman" w:hAnsi="Times New Roman" w:cs="Times New Roman"/>
        </w:rPr>
        <w:t xml:space="preserve">a CPS score of 20 </w:t>
      </w:r>
      <w:r w:rsidR="001C181C">
        <w:rPr>
          <w:rFonts w:ascii="Times New Roman" w:hAnsi="Times New Roman" w:cs="Times New Roman"/>
        </w:rPr>
        <w:t xml:space="preserve">is defined in a PBS restriction to </w:t>
      </w:r>
      <w:r w:rsidR="00EB1ED8">
        <w:rPr>
          <w:rFonts w:ascii="Times New Roman" w:hAnsi="Times New Roman" w:cs="Times New Roman"/>
        </w:rPr>
        <w:t>allow patients to avoid chemotherapy.</w:t>
      </w:r>
    </w:p>
    <w:p w14:paraId="434337AE" w14:textId="11161C51" w:rsidR="005A643E" w:rsidRPr="00081133" w:rsidRDefault="00324A36" w:rsidP="00F85B87">
      <w:pPr>
        <w:spacing w:before="240" w:after="240"/>
        <w:jc w:val="left"/>
        <w:rPr>
          <w:rFonts w:ascii="Times New Roman" w:hAnsi="Times New Roman" w:cs="Times New Roman"/>
        </w:rPr>
      </w:pPr>
      <w:r w:rsidRPr="00081133">
        <w:rPr>
          <w:rFonts w:ascii="Times New Roman" w:hAnsi="Times New Roman" w:cs="Times New Roman"/>
        </w:rPr>
        <w:t xml:space="preserve">MSAC noted the applicant’s pre-MSAC response </w:t>
      </w:r>
      <w:r w:rsidR="005B6F71">
        <w:rPr>
          <w:rFonts w:ascii="Times New Roman" w:hAnsi="Times New Roman" w:cs="Times New Roman"/>
        </w:rPr>
        <w:t>that practices</w:t>
      </w:r>
      <w:r w:rsidRPr="00081133">
        <w:rPr>
          <w:rFonts w:ascii="Times New Roman" w:hAnsi="Times New Roman" w:cs="Times New Roman"/>
        </w:rPr>
        <w:t xml:space="preserve"> </w:t>
      </w:r>
      <w:r w:rsidR="005B6F71">
        <w:rPr>
          <w:rFonts w:ascii="Times New Roman" w:hAnsi="Times New Roman" w:cs="Times New Roman"/>
        </w:rPr>
        <w:t xml:space="preserve">such as </w:t>
      </w:r>
      <w:r w:rsidRPr="00081133">
        <w:rPr>
          <w:rFonts w:ascii="Times New Roman" w:hAnsi="Times New Roman" w:cs="Times New Roman"/>
        </w:rPr>
        <w:t>peer-to-peer training, quality assurance programs and using the consensus approach for tissue that is difficult to score</w:t>
      </w:r>
      <w:r w:rsidR="005B6F71">
        <w:rPr>
          <w:rFonts w:ascii="Times New Roman" w:hAnsi="Times New Roman" w:cs="Times New Roman"/>
        </w:rPr>
        <w:t xml:space="preserve"> would reduce inter</w:t>
      </w:r>
      <w:r w:rsidR="00A8743D">
        <w:rPr>
          <w:rFonts w:ascii="Times New Roman" w:hAnsi="Times New Roman" w:cs="Times New Roman"/>
        </w:rPr>
        <w:t>-</w:t>
      </w:r>
      <w:r w:rsidR="005B6F71">
        <w:rPr>
          <w:rFonts w:ascii="Times New Roman" w:hAnsi="Times New Roman" w:cs="Times New Roman"/>
        </w:rPr>
        <w:t>observer variability</w:t>
      </w:r>
      <w:r w:rsidRPr="00081133">
        <w:rPr>
          <w:rFonts w:ascii="Times New Roman" w:hAnsi="Times New Roman" w:cs="Times New Roman"/>
        </w:rPr>
        <w:t xml:space="preserve">. However, given the </w:t>
      </w:r>
      <w:r w:rsidR="005B6F71">
        <w:rPr>
          <w:rFonts w:ascii="Times New Roman" w:hAnsi="Times New Roman" w:cs="Times New Roman"/>
        </w:rPr>
        <w:t xml:space="preserve">many </w:t>
      </w:r>
      <w:r w:rsidRPr="00081133">
        <w:rPr>
          <w:rFonts w:ascii="Times New Roman" w:hAnsi="Times New Roman" w:cs="Times New Roman"/>
        </w:rPr>
        <w:t xml:space="preserve">issues </w:t>
      </w:r>
      <w:r w:rsidR="005B6F71">
        <w:rPr>
          <w:rFonts w:ascii="Times New Roman" w:hAnsi="Times New Roman" w:cs="Times New Roman"/>
        </w:rPr>
        <w:t xml:space="preserve">that may lead to variability in CPS scoring, </w:t>
      </w:r>
      <w:r w:rsidRPr="00081133">
        <w:rPr>
          <w:rFonts w:ascii="Times New Roman" w:hAnsi="Times New Roman" w:cs="Times New Roman"/>
        </w:rPr>
        <w:t xml:space="preserve">MSAC </w:t>
      </w:r>
      <w:r w:rsidR="00A8743D">
        <w:rPr>
          <w:rFonts w:ascii="Times New Roman" w:hAnsi="Times New Roman" w:cs="Times New Roman"/>
        </w:rPr>
        <w:t>considered</w:t>
      </w:r>
      <w:r w:rsidRPr="00081133">
        <w:rPr>
          <w:rFonts w:ascii="Times New Roman" w:hAnsi="Times New Roman" w:cs="Times New Roman"/>
        </w:rPr>
        <w:t xml:space="preserve"> that these measures </w:t>
      </w:r>
      <w:r w:rsidR="005B6F71">
        <w:rPr>
          <w:rFonts w:ascii="Times New Roman" w:hAnsi="Times New Roman" w:cs="Times New Roman"/>
        </w:rPr>
        <w:t>would</w:t>
      </w:r>
      <w:r w:rsidRPr="00081133">
        <w:rPr>
          <w:rFonts w:ascii="Times New Roman" w:hAnsi="Times New Roman" w:cs="Times New Roman"/>
        </w:rPr>
        <w:t xml:space="preserve"> </w:t>
      </w:r>
      <w:r w:rsidR="00A8743D">
        <w:rPr>
          <w:rFonts w:ascii="Times New Roman" w:hAnsi="Times New Roman" w:cs="Times New Roman"/>
        </w:rPr>
        <w:t xml:space="preserve">not </w:t>
      </w:r>
      <w:r w:rsidR="00FD3DFD">
        <w:rPr>
          <w:rFonts w:ascii="Times New Roman" w:hAnsi="Times New Roman" w:cs="Times New Roman"/>
        </w:rPr>
        <w:t xml:space="preserve">sufficiently </w:t>
      </w:r>
      <w:r w:rsidRPr="00081133">
        <w:rPr>
          <w:rFonts w:ascii="Times New Roman" w:hAnsi="Times New Roman" w:cs="Times New Roman"/>
        </w:rPr>
        <w:t xml:space="preserve">reduce </w:t>
      </w:r>
      <w:r w:rsidR="005B6F71">
        <w:rPr>
          <w:rFonts w:ascii="Times New Roman" w:hAnsi="Times New Roman" w:cs="Times New Roman"/>
        </w:rPr>
        <w:t>inter observer variability</w:t>
      </w:r>
      <w:r w:rsidRPr="00081133">
        <w:rPr>
          <w:rFonts w:ascii="Times New Roman" w:hAnsi="Times New Roman" w:cs="Times New Roman"/>
        </w:rPr>
        <w:t>.</w:t>
      </w:r>
    </w:p>
    <w:p w14:paraId="47246BC6" w14:textId="1DF9AA73" w:rsidR="00B210C3" w:rsidRDefault="00E93BC4" w:rsidP="00F85B87">
      <w:pPr>
        <w:spacing w:before="240" w:after="240"/>
        <w:jc w:val="left"/>
        <w:rPr>
          <w:rFonts w:ascii="Times New Roman" w:hAnsi="Times New Roman" w:cs="Times New Roman"/>
        </w:rPr>
      </w:pPr>
      <w:r>
        <w:rPr>
          <w:rFonts w:ascii="Times New Roman" w:hAnsi="Times New Roman" w:cs="Times New Roman"/>
        </w:rPr>
        <w:t xml:space="preserve">In relation to </w:t>
      </w:r>
      <w:r w:rsidR="00B210C3">
        <w:rPr>
          <w:rFonts w:ascii="Times New Roman" w:hAnsi="Times New Roman" w:cs="Times New Roman"/>
        </w:rPr>
        <w:t xml:space="preserve">PD-L1 </w:t>
      </w:r>
      <w:r w:rsidR="00FD3DFD">
        <w:rPr>
          <w:rFonts w:ascii="Times New Roman" w:hAnsi="Times New Roman" w:cs="Times New Roman"/>
        </w:rPr>
        <w:t>test</w:t>
      </w:r>
      <w:r w:rsidR="00B210C3">
        <w:rPr>
          <w:rFonts w:ascii="Times New Roman" w:hAnsi="Times New Roman" w:cs="Times New Roman"/>
        </w:rPr>
        <w:t xml:space="preserve">ing using </w:t>
      </w:r>
      <w:r>
        <w:rPr>
          <w:rFonts w:ascii="Times New Roman" w:hAnsi="Times New Roman" w:cs="Times New Roman"/>
        </w:rPr>
        <w:t>a</w:t>
      </w:r>
      <w:r w:rsidR="00B210C3">
        <w:rPr>
          <w:rFonts w:ascii="Times New Roman" w:hAnsi="Times New Roman" w:cs="Times New Roman"/>
        </w:rPr>
        <w:t xml:space="preserve"> CPS threshold</w:t>
      </w:r>
      <w:r w:rsidR="00FD3DFD">
        <w:rPr>
          <w:rFonts w:ascii="Times New Roman" w:hAnsi="Times New Roman" w:cs="Times New Roman"/>
        </w:rPr>
        <w:t xml:space="preserve"> </w:t>
      </w:r>
      <w:r>
        <w:rPr>
          <w:rFonts w:ascii="Times New Roman" w:hAnsi="Times New Roman" w:cs="Times New Roman"/>
        </w:rPr>
        <w:t>of ≥1</w:t>
      </w:r>
      <w:r w:rsidR="00FD3DFD">
        <w:rPr>
          <w:rFonts w:ascii="Times New Roman" w:hAnsi="Times New Roman" w:cs="Times New Roman"/>
        </w:rPr>
        <w:t xml:space="preserve">, </w:t>
      </w:r>
      <w:r w:rsidR="00B210C3" w:rsidRPr="00B210C3">
        <w:rPr>
          <w:rFonts w:ascii="Times New Roman" w:hAnsi="Times New Roman" w:cs="Times New Roman"/>
        </w:rPr>
        <w:t>MSAC considered there were several practical considerations that limited its confidence in PD</w:t>
      </w:r>
      <w:r w:rsidR="005B6F71">
        <w:rPr>
          <w:rFonts w:ascii="Times New Roman" w:hAnsi="Times New Roman" w:cs="Times New Roman"/>
        </w:rPr>
        <w:noBreakHyphen/>
      </w:r>
      <w:r w:rsidR="00B210C3" w:rsidRPr="00B210C3">
        <w:rPr>
          <w:rFonts w:ascii="Times New Roman" w:hAnsi="Times New Roman" w:cs="Times New Roman"/>
        </w:rPr>
        <w:t>L1 CPS assessment in clinical practice</w:t>
      </w:r>
      <w:r w:rsidR="00B210C3">
        <w:rPr>
          <w:rFonts w:ascii="Times New Roman" w:hAnsi="Times New Roman" w:cs="Times New Roman"/>
        </w:rPr>
        <w:t>.</w:t>
      </w:r>
      <w:r w:rsidR="00B210C3" w:rsidRPr="00B210C3">
        <w:rPr>
          <w:rFonts w:ascii="Times New Roman" w:hAnsi="Times New Roman" w:cs="Times New Roman"/>
        </w:rPr>
        <w:t xml:space="preserve"> </w:t>
      </w:r>
      <w:r w:rsidR="00B210C3">
        <w:rPr>
          <w:rFonts w:ascii="Times New Roman" w:hAnsi="Times New Roman" w:cs="Times New Roman"/>
        </w:rPr>
        <w:t xml:space="preserve">This was because </w:t>
      </w:r>
      <w:r w:rsidR="00587342">
        <w:rPr>
          <w:rFonts w:ascii="Times New Roman" w:hAnsi="Times New Roman" w:cs="Times New Roman"/>
        </w:rPr>
        <w:t xml:space="preserve">of </w:t>
      </w:r>
      <w:r w:rsidR="00B210C3">
        <w:rPr>
          <w:rFonts w:ascii="Times New Roman" w:hAnsi="Times New Roman" w:cs="Times New Roman"/>
        </w:rPr>
        <w:t xml:space="preserve">variability in assessment due to different </w:t>
      </w:r>
      <w:r w:rsidR="00FD3DFD">
        <w:rPr>
          <w:rFonts w:ascii="Times New Roman" w:hAnsi="Times New Roman" w:cs="Times New Roman"/>
        </w:rPr>
        <w:t>test protocol</w:t>
      </w:r>
      <w:r w:rsidR="00B210C3">
        <w:rPr>
          <w:rFonts w:ascii="Times New Roman" w:hAnsi="Times New Roman" w:cs="Times New Roman"/>
        </w:rPr>
        <w:t>s</w:t>
      </w:r>
      <w:r w:rsidR="00FD3DFD">
        <w:rPr>
          <w:rFonts w:ascii="Times New Roman" w:hAnsi="Times New Roman" w:cs="Times New Roman"/>
        </w:rPr>
        <w:t>,</w:t>
      </w:r>
      <w:r w:rsidR="00B210C3">
        <w:rPr>
          <w:rFonts w:ascii="Times New Roman" w:hAnsi="Times New Roman" w:cs="Times New Roman"/>
        </w:rPr>
        <w:t xml:space="preserve"> and</w:t>
      </w:r>
      <w:r w:rsidR="00FD3DFD">
        <w:rPr>
          <w:rFonts w:ascii="Times New Roman" w:hAnsi="Times New Roman" w:cs="Times New Roman"/>
        </w:rPr>
        <w:t xml:space="preserve"> inter-observer variability</w:t>
      </w:r>
      <w:r w:rsidR="00B210C3">
        <w:rPr>
          <w:rFonts w:ascii="Times New Roman" w:hAnsi="Times New Roman" w:cs="Times New Roman"/>
        </w:rPr>
        <w:t xml:space="preserve"> that would occur in clinical practice. </w:t>
      </w:r>
      <w:r w:rsidR="006B2F98">
        <w:rPr>
          <w:rFonts w:ascii="Times New Roman" w:hAnsi="Times New Roman" w:cs="Times New Roman"/>
        </w:rPr>
        <w:t>MSAC advised against relying on a CPS threshold of ≥1 because all HNSCC tumours are expected to have some sections that would meet this threshold</w:t>
      </w:r>
      <w:r w:rsidR="00B210C3" w:rsidRPr="00B210C3">
        <w:rPr>
          <w:rFonts w:ascii="Times New Roman" w:eastAsia="Calibri" w:hAnsi="Times New Roman" w:cs="Times New Roman"/>
          <w:bCs/>
          <w:szCs w:val="24"/>
        </w:rPr>
        <w:t>.</w:t>
      </w:r>
    </w:p>
    <w:p w14:paraId="5D2568E9" w14:textId="7FC36011" w:rsidR="00B210C3" w:rsidRPr="00B210C3" w:rsidRDefault="00B210C3" w:rsidP="00B210C3">
      <w:pPr>
        <w:pStyle w:val="Default"/>
        <w:spacing w:after="240"/>
        <w:rPr>
          <w:rFonts w:eastAsia="Calibri"/>
          <w:bCs/>
        </w:rPr>
      </w:pPr>
      <w:r w:rsidRPr="00B210C3">
        <w:t xml:space="preserve">MSAC considered there </w:t>
      </w:r>
      <w:r w:rsidR="006B2F98">
        <w:t xml:space="preserve">would be a practical difference </w:t>
      </w:r>
      <w:r w:rsidRPr="00B210C3">
        <w:t xml:space="preserve">in testing tumour samples at the CPS threshold </w:t>
      </w:r>
      <w:r w:rsidR="006B2F98">
        <w:t xml:space="preserve">of </w:t>
      </w:r>
      <w:r w:rsidR="006B2F98" w:rsidRPr="00B210C3">
        <w:t xml:space="preserve">≥20 </w:t>
      </w:r>
      <w:r w:rsidRPr="00B210C3">
        <w:t xml:space="preserve">to determine eligibility for pembrolizumab monotherapy. </w:t>
      </w:r>
      <w:r w:rsidRPr="00B210C3">
        <w:rPr>
          <w:rFonts w:eastAsia="Calibri"/>
          <w:bCs/>
        </w:rPr>
        <w:t>MSAC noted the applicant’s response that if false positives occur, this would occur in the CPS 15-19 range</w:t>
      </w:r>
      <w:r w:rsidR="00DD3641">
        <w:rPr>
          <w:rFonts w:eastAsia="Calibri"/>
          <w:bCs/>
        </w:rPr>
        <w:t xml:space="preserve"> remote from the CPS threshold of </w:t>
      </w:r>
      <w:r w:rsidR="00DD3641">
        <w:t>≥1</w:t>
      </w:r>
      <w:r w:rsidRPr="00B210C3">
        <w:rPr>
          <w:rFonts w:eastAsia="Calibri"/>
          <w:bCs/>
        </w:rPr>
        <w:t xml:space="preserve">, </w:t>
      </w:r>
      <w:r w:rsidR="00DD3641">
        <w:rPr>
          <w:rFonts w:eastAsia="Calibri"/>
          <w:bCs/>
        </w:rPr>
        <w:t xml:space="preserve">and less likely affected by the mosaicism that particularly affects the CPS threshold of </w:t>
      </w:r>
      <w:r w:rsidR="00DD3641">
        <w:t>≥1</w:t>
      </w:r>
      <w:r w:rsidRPr="00B210C3">
        <w:rPr>
          <w:rFonts w:eastAsia="Calibri"/>
          <w:bCs/>
        </w:rPr>
        <w:t>.</w:t>
      </w:r>
    </w:p>
    <w:p w14:paraId="3AA4A402" w14:textId="7A293389" w:rsidR="003474FB" w:rsidRPr="00081133" w:rsidRDefault="003474FB" w:rsidP="00F85B87">
      <w:pPr>
        <w:spacing w:before="240" w:after="240"/>
        <w:jc w:val="left"/>
        <w:rPr>
          <w:rFonts w:ascii="Times New Roman" w:hAnsi="Times New Roman" w:cs="Times New Roman"/>
        </w:rPr>
      </w:pPr>
      <w:r w:rsidRPr="00081133">
        <w:rPr>
          <w:rFonts w:ascii="Times New Roman" w:hAnsi="Times New Roman" w:cs="Times New Roman"/>
        </w:rPr>
        <w:t xml:space="preserve">In the economic evaluation, MSAC noted that the base case in the original submission assumed that CPS testing had 100% sensitivity and specificity (with 96% used in scenario analysis), but that this had been revised to 96% in the base case and 85% in </w:t>
      </w:r>
      <w:r w:rsidR="00A8743D">
        <w:rPr>
          <w:rFonts w:ascii="Times New Roman" w:hAnsi="Times New Roman" w:cs="Times New Roman"/>
        </w:rPr>
        <w:t xml:space="preserve">a </w:t>
      </w:r>
      <w:r w:rsidRPr="00081133">
        <w:rPr>
          <w:rFonts w:ascii="Times New Roman" w:hAnsi="Times New Roman" w:cs="Times New Roman"/>
        </w:rPr>
        <w:t xml:space="preserve">scenario analysis. Changes to PD-L1 test sensitivity </w:t>
      </w:r>
      <w:r w:rsidR="005B6F71">
        <w:rPr>
          <w:rFonts w:ascii="Times New Roman" w:hAnsi="Times New Roman" w:cs="Times New Roman"/>
        </w:rPr>
        <w:t>did not substantially</w:t>
      </w:r>
      <w:r w:rsidRPr="00081133">
        <w:rPr>
          <w:rFonts w:ascii="Times New Roman" w:hAnsi="Times New Roman" w:cs="Times New Roman"/>
        </w:rPr>
        <w:t xml:space="preserve"> impact the incremental cost-effectiveness ratio (ICER).</w:t>
      </w:r>
    </w:p>
    <w:p w14:paraId="5934C667" w14:textId="215219D5" w:rsidR="003474FB" w:rsidRPr="005C34E2" w:rsidRDefault="003474FB" w:rsidP="00F85B87">
      <w:pPr>
        <w:pStyle w:val="Default"/>
        <w:spacing w:before="240" w:after="240"/>
        <w:rPr>
          <w:rFonts w:eastAsia="Calibri"/>
          <w:bCs/>
        </w:rPr>
      </w:pPr>
      <w:r w:rsidRPr="00081133">
        <w:t xml:space="preserve">MSAC noted the financial and budgetary impacts showed a net cost saving to the MBS as a result of cost offsets from administration of </w:t>
      </w:r>
      <w:r w:rsidR="006055B5">
        <w:t>chemotherapy</w:t>
      </w:r>
      <w:r w:rsidRPr="00081133">
        <w:t xml:space="preserve">. </w:t>
      </w:r>
      <w:r w:rsidR="005C34E2" w:rsidRPr="005C34E2">
        <w:rPr>
          <w:rFonts w:eastAsia="Calibri"/>
          <w:bCs/>
        </w:rPr>
        <w:t xml:space="preserve">MSAC advised that the </w:t>
      </w:r>
      <w:r w:rsidR="00A32004">
        <w:rPr>
          <w:rFonts w:eastAsia="Calibri"/>
          <w:bCs/>
        </w:rPr>
        <w:t xml:space="preserve">estimated </w:t>
      </w:r>
      <w:r w:rsidR="005C34E2" w:rsidRPr="005C34E2">
        <w:rPr>
          <w:rFonts w:eastAsia="Calibri"/>
          <w:bCs/>
        </w:rPr>
        <w:t xml:space="preserve">proportion of patients expected to have </w:t>
      </w:r>
      <w:r w:rsidR="00A32004">
        <w:rPr>
          <w:rFonts w:eastAsia="Calibri"/>
          <w:bCs/>
        </w:rPr>
        <w:t xml:space="preserve">tumours with </w:t>
      </w:r>
      <w:r w:rsidR="005C34E2" w:rsidRPr="005C34E2">
        <w:rPr>
          <w:rFonts w:eastAsia="Calibri"/>
          <w:bCs/>
        </w:rPr>
        <w:t xml:space="preserve">CPS ≥1 </w:t>
      </w:r>
      <w:r w:rsidR="005B6F71">
        <w:rPr>
          <w:rFonts w:eastAsia="Calibri"/>
          <w:bCs/>
        </w:rPr>
        <w:t>should be unchanged at</w:t>
      </w:r>
      <w:r w:rsidR="005C34E2" w:rsidRPr="005C34E2">
        <w:rPr>
          <w:rFonts w:eastAsia="Calibri"/>
          <w:bCs/>
        </w:rPr>
        <w:t xml:space="preserve"> 8</w:t>
      </w:r>
      <w:r w:rsidR="00F224C6">
        <w:rPr>
          <w:rFonts w:eastAsia="Calibri"/>
          <w:bCs/>
        </w:rPr>
        <w:t>5</w:t>
      </w:r>
      <w:r w:rsidR="005C34E2" w:rsidRPr="005C34E2">
        <w:rPr>
          <w:rFonts w:eastAsia="Calibri"/>
          <w:bCs/>
        </w:rPr>
        <w:t xml:space="preserve">% and </w:t>
      </w:r>
      <w:r w:rsidR="005B6F71">
        <w:rPr>
          <w:rFonts w:eastAsia="Calibri"/>
          <w:bCs/>
        </w:rPr>
        <w:t xml:space="preserve">that </w:t>
      </w:r>
      <w:r w:rsidR="005C34E2" w:rsidRPr="005C34E2">
        <w:rPr>
          <w:rFonts w:eastAsia="Calibri"/>
          <w:bCs/>
        </w:rPr>
        <w:t xml:space="preserve">40-50% of </w:t>
      </w:r>
      <w:r w:rsidR="005B6F71">
        <w:rPr>
          <w:rFonts w:eastAsia="Calibri"/>
          <w:bCs/>
        </w:rPr>
        <w:t xml:space="preserve">all </w:t>
      </w:r>
      <w:r w:rsidR="005C34E2" w:rsidRPr="005C34E2">
        <w:rPr>
          <w:rFonts w:eastAsia="Calibri"/>
          <w:bCs/>
        </w:rPr>
        <w:t>patients would have tumours with CPS ≥20</w:t>
      </w:r>
      <w:r w:rsidR="0061068C">
        <w:rPr>
          <w:rFonts w:eastAsia="Calibri"/>
          <w:bCs/>
        </w:rPr>
        <w:t>, with the applicant proposing an estimate of 44.2%</w:t>
      </w:r>
      <w:r w:rsidR="00F224C6">
        <w:rPr>
          <w:rFonts w:eastAsia="Calibri"/>
          <w:bCs/>
        </w:rPr>
        <w:t xml:space="preserve"> from KN048 (Table 11)</w:t>
      </w:r>
      <w:r w:rsidR="005C34E2" w:rsidRPr="005C34E2">
        <w:rPr>
          <w:rFonts w:eastAsia="Calibri"/>
          <w:bCs/>
        </w:rPr>
        <w:t>.</w:t>
      </w:r>
    </w:p>
    <w:p w14:paraId="3B288714" w14:textId="5113FDEC" w:rsidR="00DD5EF9" w:rsidRDefault="00833A28" w:rsidP="00F85B87">
      <w:pPr>
        <w:spacing w:before="240" w:after="240"/>
        <w:jc w:val="left"/>
        <w:rPr>
          <w:rFonts w:ascii="Times New Roman" w:hAnsi="Times New Roman" w:cs="Times New Roman"/>
        </w:rPr>
      </w:pPr>
      <w:r w:rsidRPr="00833A28">
        <w:rPr>
          <w:rFonts w:ascii="Times New Roman" w:hAnsi="Times New Roman" w:cs="Times New Roman"/>
        </w:rPr>
        <w:t xml:space="preserve">MSAC considered that the PD-L1 CPS result may usefully add to the variables that clinicians may use to determine the best treatment for their patient. Overall, MSAC advised that this </w:t>
      </w:r>
      <w:r>
        <w:rPr>
          <w:rFonts w:ascii="Times New Roman" w:hAnsi="Times New Roman" w:cs="Times New Roman"/>
        </w:rPr>
        <w:t xml:space="preserve">testing </w:t>
      </w:r>
      <w:r w:rsidRPr="00833A28">
        <w:rPr>
          <w:rFonts w:ascii="Times New Roman" w:hAnsi="Times New Roman" w:cs="Times New Roman"/>
        </w:rPr>
        <w:t>may reduce PBS expenditure if the test results guide against using pembrolizumab by raising doubts about its benefits for a patient.</w:t>
      </w:r>
      <w:r>
        <w:rPr>
          <w:rFonts w:ascii="Times New Roman" w:hAnsi="Times New Roman" w:cs="Times New Roman"/>
        </w:rPr>
        <w:t xml:space="preserve"> </w:t>
      </w:r>
      <w:r w:rsidR="00DA35FB" w:rsidRPr="00081133">
        <w:rPr>
          <w:rFonts w:ascii="Times New Roman" w:hAnsi="Times New Roman" w:cs="Times New Roman"/>
        </w:rPr>
        <w:t xml:space="preserve">MSAC noted that PD-L1 testing is currently funded under the MBS through item 72814 for non-small cell lung cancer (NSCLC) patients </w:t>
      </w:r>
      <w:r w:rsidR="00E93BC4">
        <w:rPr>
          <w:rFonts w:ascii="Times New Roman" w:hAnsi="Times New Roman" w:cs="Times New Roman"/>
        </w:rPr>
        <w:t xml:space="preserve">and </w:t>
      </w:r>
      <w:r w:rsidR="00DA35FB" w:rsidRPr="00081133">
        <w:rPr>
          <w:rFonts w:ascii="Times New Roman" w:hAnsi="Times New Roman" w:cs="Times New Roman"/>
        </w:rPr>
        <w:t xml:space="preserve">supported </w:t>
      </w:r>
      <w:r w:rsidR="00E93BC4">
        <w:rPr>
          <w:rFonts w:ascii="Times New Roman" w:hAnsi="Times New Roman" w:cs="Times New Roman"/>
        </w:rPr>
        <w:t xml:space="preserve">amending </w:t>
      </w:r>
      <w:r w:rsidR="00DA35FB" w:rsidRPr="00081133">
        <w:rPr>
          <w:rFonts w:ascii="Times New Roman" w:hAnsi="Times New Roman" w:cs="Times New Roman"/>
        </w:rPr>
        <w:t xml:space="preserve">the descriptor for </w:t>
      </w:r>
      <w:r w:rsidR="00E93BC4">
        <w:rPr>
          <w:rFonts w:ascii="Times New Roman" w:hAnsi="Times New Roman" w:cs="Times New Roman"/>
        </w:rPr>
        <w:t xml:space="preserve">this item to include the proposed population for testing. </w:t>
      </w:r>
      <w:r w:rsidR="00DA35FB" w:rsidRPr="00081133">
        <w:rPr>
          <w:rFonts w:ascii="Times New Roman" w:hAnsi="Times New Roman" w:cs="Times New Roman"/>
        </w:rPr>
        <w:t>72814.</w:t>
      </w:r>
      <w:r w:rsidR="005C34E2">
        <w:rPr>
          <w:rFonts w:ascii="Times New Roman" w:hAnsi="Times New Roman" w:cs="Times New Roman"/>
        </w:rPr>
        <w:t xml:space="preserve"> </w:t>
      </w:r>
      <w:r w:rsidR="00783DB8">
        <w:rPr>
          <w:rFonts w:ascii="Times New Roman" w:hAnsi="Times New Roman" w:cs="Times New Roman"/>
        </w:rPr>
        <w:t xml:space="preserve">MSAC </w:t>
      </w:r>
      <w:r w:rsidR="0012088B">
        <w:rPr>
          <w:rFonts w:ascii="Times New Roman" w:hAnsi="Times New Roman" w:cs="Times New Roman"/>
        </w:rPr>
        <w:t xml:space="preserve">advised </w:t>
      </w:r>
      <w:r w:rsidR="00783DB8">
        <w:rPr>
          <w:rFonts w:ascii="Times New Roman" w:hAnsi="Times New Roman" w:cs="Times New Roman"/>
        </w:rPr>
        <w:t xml:space="preserve">that an explanatory note </w:t>
      </w:r>
      <w:r w:rsidR="0012088B">
        <w:rPr>
          <w:rFonts w:ascii="Times New Roman" w:hAnsi="Times New Roman" w:cs="Times New Roman"/>
        </w:rPr>
        <w:t>should request</w:t>
      </w:r>
      <w:r w:rsidR="00783DB8">
        <w:rPr>
          <w:rFonts w:ascii="Times New Roman" w:hAnsi="Times New Roman" w:cs="Times New Roman"/>
        </w:rPr>
        <w:t xml:space="preserve"> the pathology report to specify the antibody and technique used and for fine needle aspirates to be excluded as these are not an appropriate sample type.</w:t>
      </w:r>
    </w:p>
    <w:p w14:paraId="4760B960" w14:textId="3277A241" w:rsidR="00250FA5" w:rsidRPr="00DD5EF9" w:rsidRDefault="00250FA5" w:rsidP="00DD5EF9">
      <w:pPr>
        <w:pStyle w:val="Heading1"/>
        <w:numPr>
          <w:ilvl w:val="0"/>
          <w:numId w:val="69"/>
        </w:numPr>
        <w:tabs>
          <w:tab w:val="clear" w:pos="1080"/>
        </w:tabs>
        <w:spacing w:before="240" w:after="240" w:line="240" w:lineRule="auto"/>
        <w:ind w:left="720"/>
        <w:rPr>
          <w:rFonts w:ascii="Arial" w:hAnsi="Arial" w:cs="Arial"/>
          <w:bCs/>
          <w:sz w:val="24"/>
          <w:lang w:eastAsia="en-AU"/>
        </w:rPr>
      </w:pPr>
      <w:r w:rsidRPr="00DD5EF9">
        <w:rPr>
          <w:rFonts w:ascii="Arial" w:hAnsi="Arial" w:cs="Arial"/>
          <w:bCs/>
          <w:sz w:val="24"/>
          <w:lang w:eastAsia="en-AU"/>
        </w:rPr>
        <w:t>Background</w:t>
      </w:r>
    </w:p>
    <w:p w14:paraId="64B46F77" w14:textId="77777777" w:rsidR="00250FA5" w:rsidRPr="00250FA5" w:rsidRDefault="00250FA5" w:rsidP="00250FA5">
      <w:pPr>
        <w:spacing w:before="0" w:after="240"/>
        <w:jc w:val="left"/>
        <w:rPr>
          <w:rFonts w:ascii="Times New Roman" w:eastAsia="Calibri" w:hAnsi="Times New Roman" w:cs="Arial"/>
          <w:highlight w:val="cyan"/>
        </w:rPr>
      </w:pPr>
      <w:r w:rsidRPr="00250FA5">
        <w:rPr>
          <w:rFonts w:ascii="Times New Roman" w:eastAsia="Calibri" w:hAnsi="Times New Roman" w:cs="Arial"/>
        </w:rPr>
        <w:t>MSAC has previously considered PD-L1 testing for access to pembrolizumab as first-line therapy for patients with recurrent (not amendable to local treatment) or metastatic head and neck squamous cell carcinoma.</w:t>
      </w:r>
    </w:p>
    <w:p w14:paraId="79250F07" w14:textId="0C00237F" w:rsidR="00250FA5" w:rsidRPr="00250FA5" w:rsidRDefault="00250FA5" w:rsidP="00250FA5">
      <w:pPr>
        <w:spacing w:before="0" w:after="240"/>
        <w:jc w:val="left"/>
        <w:rPr>
          <w:rFonts w:ascii="Times New Roman" w:eastAsia="Calibri" w:hAnsi="Times New Roman" w:cs="Arial"/>
        </w:rPr>
      </w:pPr>
      <w:r w:rsidRPr="00250FA5">
        <w:rPr>
          <w:rFonts w:ascii="Times New Roman" w:eastAsia="Calibri" w:hAnsi="Times New Roman" w:cs="Arial"/>
        </w:rPr>
        <w:t>The original application was considered by MSAC at its November 2020 meeting.</w:t>
      </w:r>
    </w:p>
    <w:p w14:paraId="1DBE87D7" w14:textId="4F896FA4" w:rsidR="00250FA5" w:rsidRPr="00250FA5" w:rsidRDefault="00250FA5" w:rsidP="00250FA5">
      <w:pPr>
        <w:keepNext/>
        <w:keepLines/>
        <w:widowControl w:val="0"/>
        <w:spacing w:before="0" w:after="0"/>
        <w:ind w:left="992" w:hanging="992"/>
        <w:contextualSpacing/>
        <w:jc w:val="left"/>
        <w:rPr>
          <w:rFonts w:ascii="Arial Narrow" w:eastAsia="Calibri" w:hAnsi="Arial Narrow" w:cs="Arial"/>
          <w:b/>
          <w:iCs/>
          <w:sz w:val="20"/>
          <w:szCs w:val="18"/>
        </w:rPr>
      </w:pPr>
      <w:r w:rsidRPr="00250FA5">
        <w:rPr>
          <w:rFonts w:ascii="Arial Narrow" w:eastAsia="Calibri" w:hAnsi="Arial Narrow" w:cs="Arial"/>
          <w:b/>
          <w:iCs/>
          <w:sz w:val="20"/>
          <w:szCs w:val="18"/>
        </w:rPr>
        <w:t xml:space="preserve">Table </w:t>
      </w:r>
      <w:r w:rsidRPr="00250FA5">
        <w:rPr>
          <w:rFonts w:ascii="Arial Narrow" w:eastAsia="Calibri" w:hAnsi="Arial Narrow" w:cs="Arial"/>
          <w:b/>
          <w:iCs/>
          <w:sz w:val="20"/>
          <w:szCs w:val="18"/>
        </w:rPr>
        <w:fldChar w:fldCharType="begin"/>
      </w:r>
      <w:r w:rsidRPr="00250FA5">
        <w:rPr>
          <w:rFonts w:ascii="Arial Narrow" w:eastAsia="Calibri" w:hAnsi="Arial Narrow" w:cs="Arial"/>
          <w:b/>
          <w:iCs/>
          <w:sz w:val="20"/>
          <w:szCs w:val="18"/>
        </w:rPr>
        <w:instrText xml:space="preserve"> SEQ Table \* ARABIC </w:instrText>
      </w:r>
      <w:r w:rsidRPr="00250FA5">
        <w:rPr>
          <w:rFonts w:ascii="Arial Narrow" w:eastAsia="Calibri" w:hAnsi="Arial Narrow" w:cs="Arial"/>
          <w:b/>
          <w:iCs/>
          <w:sz w:val="20"/>
          <w:szCs w:val="18"/>
        </w:rPr>
        <w:fldChar w:fldCharType="separate"/>
      </w:r>
      <w:r w:rsidR="00783DB8">
        <w:rPr>
          <w:rFonts w:ascii="Arial Narrow" w:eastAsia="Calibri" w:hAnsi="Arial Narrow" w:cs="Arial"/>
          <w:b/>
          <w:iCs/>
          <w:noProof/>
          <w:sz w:val="20"/>
          <w:szCs w:val="18"/>
        </w:rPr>
        <w:t>1</w:t>
      </w:r>
      <w:r w:rsidRPr="00250FA5">
        <w:rPr>
          <w:rFonts w:ascii="Arial Narrow" w:eastAsia="Calibri" w:hAnsi="Arial Narrow" w:cs="Arial"/>
          <w:b/>
          <w:iCs/>
          <w:noProof/>
          <w:sz w:val="20"/>
          <w:szCs w:val="18"/>
        </w:rPr>
        <w:fldChar w:fldCharType="end"/>
      </w:r>
      <w:r w:rsidR="00F54109" w:rsidRPr="00250FA5">
        <w:rPr>
          <w:rFonts w:ascii="Arial Narrow" w:eastAsia="Calibri" w:hAnsi="Arial Narrow" w:cs="Times New Roman"/>
          <w:b/>
          <w:iCs/>
          <w:noProof/>
          <w:sz w:val="20"/>
          <w:szCs w:val="18"/>
        </w:rPr>
        <w:tab/>
      </w:r>
      <w:r w:rsidRPr="00250FA5">
        <w:rPr>
          <w:rFonts w:ascii="Arial Narrow" w:eastAsia="Calibri" w:hAnsi="Arial Narrow" w:cs="Arial"/>
          <w:b/>
          <w:iCs/>
          <w:sz w:val="20"/>
          <w:szCs w:val="18"/>
        </w:rPr>
        <w:t>MSAC concerns and how these were addressed in the resubmission</w:t>
      </w:r>
    </w:p>
    <w:tbl>
      <w:tblPr>
        <w:tblStyle w:val="PBAC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14"/>
        <w:gridCol w:w="5902"/>
      </w:tblGrid>
      <w:tr w:rsidR="00250FA5" w:rsidRPr="00250FA5" w14:paraId="4F98321F" w14:textId="77777777" w:rsidTr="00250FA5">
        <w:trPr>
          <w:cnfStyle w:val="100000000000" w:firstRow="1" w:lastRow="0" w:firstColumn="0" w:lastColumn="0" w:oddVBand="0" w:evenVBand="0" w:oddHBand="0" w:evenHBand="0" w:firstRowFirstColumn="0" w:firstRowLastColumn="0" w:lastRowFirstColumn="0" w:lastRowLastColumn="0"/>
          <w:cantSplit/>
          <w:tblHeader/>
        </w:trPr>
        <w:tc>
          <w:tcPr>
            <w:tcW w:w="3114" w:type="dxa"/>
            <w:shd w:val="clear" w:color="auto" w:fill="FFFFFF"/>
            <w:vAlign w:val="center"/>
          </w:tcPr>
          <w:p w14:paraId="316E062B" w14:textId="210D598D" w:rsidR="00250FA5" w:rsidRPr="00250FA5" w:rsidRDefault="00250FA5" w:rsidP="00250FA5">
            <w:pPr>
              <w:spacing w:before="40" w:after="40"/>
              <w:jc w:val="left"/>
              <w:rPr>
                <w:rFonts w:ascii="Arial Narrow" w:eastAsia="Calibri" w:hAnsi="Arial Narrow" w:cs="Times New Roman"/>
                <w:sz w:val="20"/>
                <w:szCs w:val="24"/>
              </w:rPr>
            </w:pPr>
            <w:r w:rsidRPr="00250FA5">
              <w:rPr>
                <w:rFonts w:ascii="Arial Narrow" w:eastAsia="Calibri" w:hAnsi="Arial Narrow" w:cs="Times New Roman"/>
                <w:sz w:val="20"/>
                <w:szCs w:val="24"/>
              </w:rPr>
              <w:t>MSAC issue (MSAC Application 1522</w:t>
            </w:r>
            <w:r w:rsidR="002537A9">
              <w:rPr>
                <w:rFonts w:ascii="Arial Narrow" w:eastAsia="Calibri" w:hAnsi="Arial Narrow" w:cs="Times New Roman"/>
                <w:sz w:val="20"/>
                <w:szCs w:val="24"/>
              </w:rPr>
              <w:t xml:space="preserve">, </w:t>
            </w:r>
            <w:r w:rsidRPr="00250FA5">
              <w:rPr>
                <w:rFonts w:ascii="Arial Narrow" w:eastAsia="Calibri" w:hAnsi="Arial Narrow" w:cs="Times New Roman"/>
                <w:sz w:val="20"/>
                <w:szCs w:val="24"/>
              </w:rPr>
              <w:t>November 2020</w:t>
            </w:r>
            <w:r w:rsidR="002537A9">
              <w:rPr>
                <w:rFonts w:ascii="Arial Narrow" w:eastAsia="Calibri" w:hAnsi="Arial Narrow" w:cs="Times New Roman"/>
                <w:sz w:val="20"/>
                <w:szCs w:val="24"/>
              </w:rPr>
              <w:t xml:space="preserve"> PSD</w:t>
            </w:r>
            <w:r w:rsidRPr="00250FA5">
              <w:rPr>
                <w:rFonts w:ascii="Arial Narrow" w:eastAsia="Calibri" w:hAnsi="Arial Narrow" w:cs="Times New Roman"/>
                <w:sz w:val="20"/>
                <w:szCs w:val="24"/>
              </w:rPr>
              <w:t>)</w:t>
            </w:r>
          </w:p>
        </w:tc>
        <w:tc>
          <w:tcPr>
            <w:tcW w:w="5902" w:type="dxa"/>
            <w:shd w:val="clear" w:color="auto" w:fill="FFFFFF"/>
            <w:vAlign w:val="center"/>
          </w:tcPr>
          <w:p w14:paraId="64EF68E6" w14:textId="7C5E7D19" w:rsidR="00250FA5" w:rsidRPr="00250FA5" w:rsidRDefault="00250FA5" w:rsidP="00250FA5">
            <w:pPr>
              <w:spacing w:before="40" w:after="40"/>
              <w:jc w:val="left"/>
              <w:rPr>
                <w:rFonts w:ascii="Arial Narrow" w:eastAsia="Calibri" w:hAnsi="Arial Narrow" w:cs="Times New Roman"/>
                <w:sz w:val="20"/>
                <w:szCs w:val="24"/>
              </w:rPr>
            </w:pPr>
            <w:r w:rsidRPr="00250FA5">
              <w:rPr>
                <w:rFonts w:ascii="Arial Narrow" w:eastAsia="Calibri" w:hAnsi="Arial Narrow" w:cs="Times New Roman"/>
                <w:sz w:val="20"/>
                <w:szCs w:val="24"/>
              </w:rPr>
              <w:t>How it is addressed in the resubmission</w:t>
            </w:r>
          </w:p>
        </w:tc>
      </w:tr>
      <w:tr w:rsidR="00250FA5" w:rsidRPr="00250FA5" w14:paraId="7B49E2A1" w14:textId="77777777" w:rsidTr="00250FA5">
        <w:trPr>
          <w:cantSplit/>
        </w:trPr>
        <w:tc>
          <w:tcPr>
            <w:tcW w:w="3114" w:type="dxa"/>
            <w:shd w:val="clear" w:color="auto" w:fill="FFFFFF"/>
            <w:vAlign w:val="center"/>
          </w:tcPr>
          <w:p w14:paraId="1CC79EB0" w14:textId="77777777" w:rsidR="00250FA5" w:rsidRPr="002D0668" w:rsidRDefault="00250FA5" w:rsidP="00250FA5">
            <w:pPr>
              <w:spacing w:before="40" w:after="40"/>
              <w:jc w:val="left"/>
              <w:rPr>
                <w:rFonts w:ascii="Arial Narrow" w:eastAsia="Calibri" w:hAnsi="Arial Narrow" w:cs="Times New Roman"/>
                <w:b/>
                <w:bCs/>
                <w:sz w:val="20"/>
                <w:szCs w:val="24"/>
              </w:rPr>
            </w:pPr>
            <w:r w:rsidRPr="002D0668">
              <w:rPr>
                <w:rFonts w:ascii="Arial Narrow" w:eastAsia="Calibri" w:hAnsi="Arial Narrow" w:cs="Times New Roman"/>
                <w:b/>
                <w:bCs/>
                <w:sz w:val="20"/>
                <w:szCs w:val="24"/>
              </w:rPr>
              <w:t>Biological rationale</w:t>
            </w:r>
          </w:p>
          <w:p w14:paraId="229B057D" w14:textId="0C0D709B" w:rsidR="00250FA5" w:rsidRPr="00250FA5" w:rsidRDefault="00250FA5" w:rsidP="00A00C1A">
            <w:pPr>
              <w:spacing w:before="40" w:after="40"/>
              <w:jc w:val="left"/>
              <w:rPr>
                <w:rFonts w:ascii="Arial Narrow" w:eastAsia="Calibri" w:hAnsi="Arial Narrow" w:cs="Times New Roman"/>
                <w:sz w:val="20"/>
                <w:szCs w:val="24"/>
              </w:rPr>
            </w:pPr>
            <w:r w:rsidRPr="00250FA5">
              <w:rPr>
                <w:rFonts w:ascii="Arial Narrow" w:eastAsia="Calibri" w:hAnsi="Arial Narrow" w:cs="Times New Roman"/>
                <w:sz w:val="20"/>
                <w:szCs w:val="24"/>
              </w:rPr>
              <w:t>MSAC considered that the biological rationale for the proposed codependence was weak.</w:t>
            </w:r>
          </w:p>
        </w:tc>
        <w:tc>
          <w:tcPr>
            <w:tcW w:w="5902" w:type="dxa"/>
            <w:shd w:val="clear" w:color="auto" w:fill="FFFFFF"/>
            <w:vAlign w:val="center"/>
          </w:tcPr>
          <w:p w14:paraId="302E4CED" w14:textId="09788D6C" w:rsidR="00250FA5" w:rsidRPr="00250FA5" w:rsidRDefault="00250FA5" w:rsidP="00250FA5">
            <w:pPr>
              <w:spacing w:before="40" w:after="40"/>
              <w:jc w:val="left"/>
              <w:rPr>
                <w:rFonts w:ascii="Arial Narrow" w:eastAsia="Calibri" w:hAnsi="Arial Narrow" w:cs="Times New Roman"/>
                <w:i/>
                <w:iCs/>
                <w:sz w:val="20"/>
                <w:szCs w:val="24"/>
              </w:rPr>
            </w:pPr>
            <w:r w:rsidRPr="00250FA5">
              <w:rPr>
                <w:rFonts w:ascii="Arial Narrow" w:eastAsia="Calibri" w:hAnsi="Arial Narrow" w:cs="Times New Roman"/>
                <w:sz w:val="20"/>
                <w:szCs w:val="24"/>
              </w:rPr>
              <w:t>The resubmission stated that the selection of CPS rather than TPS in HNSCC is based on rigorous scientific analysis of which methodology best predicted response for patients using on 4 clinical trials, including 2 phase 3 trials and over 1300 patients, rather than biological explanation. Therefore, the commentary considered the biological rationale as to why CPS but not TPS would be correlated with pembrolizumab efficacy in R/M HNSCC remains unclear.</w:t>
            </w:r>
            <w:r w:rsidRPr="00250FA5">
              <w:rPr>
                <w:rFonts w:ascii="Arial Narrow" w:eastAsia="Calibri" w:hAnsi="Arial Narrow" w:cs="Times New Roman"/>
                <w:i/>
                <w:iCs/>
                <w:sz w:val="20"/>
                <w:szCs w:val="24"/>
              </w:rPr>
              <w:t xml:space="preserve"> </w:t>
            </w:r>
            <w:r w:rsidRPr="00250FA5">
              <w:rPr>
                <w:rFonts w:ascii="Arial Narrow" w:eastAsia="Calibri" w:hAnsi="Arial Narrow" w:cs="Times New Roman"/>
                <w:sz w:val="20"/>
                <w:szCs w:val="24"/>
              </w:rPr>
              <w:t>The results of KN048 further validated that the CPS ≥1 cut point as a treatment effect modification was observed for both pembrolizumab monotherapy and pembrolizumab plus chemotherapy at this cut point.</w:t>
            </w:r>
          </w:p>
        </w:tc>
      </w:tr>
      <w:tr w:rsidR="00250FA5" w:rsidRPr="00250FA5" w14:paraId="349B603C" w14:textId="77777777" w:rsidTr="00250FA5">
        <w:trPr>
          <w:cantSplit/>
        </w:trPr>
        <w:tc>
          <w:tcPr>
            <w:tcW w:w="3114" w:type="dxa"/>
            <w:shd w:val="clear" w:color="auto" w:fill="FFFFFF"/>
            <w:vAlign w:val="center"/>
          </w:tcPr>
          <w:p w14:paraId="5C884614" w14:textId="77777777" w:rsidR="00250FA5" w:rsidRPr="002D0668" w:rsidRDefault="00250FA5" w:rsidP="00250FA5">
            <w:pPr>
              <w:spacing w:before="40" w:after="40"/>
              <w:jc w:val="left"/>
              <w:rPr>
                <w:rFonts w:ascii="Arial Narrow" w:eastAsia="Calibri" w:hAnsi="Arial Narrow" w:cs="Times New Roman"/>
                <w:b/>
                <w:bCs/>
                <w:sz w:val="20"/>
                <w:szCs w:val="24"/>
              </w:rPr>
            </w:pPr>
            <w:r w:rsidRPr="002D0668">
              <w:rPr>
                <w:rFonts w:ascii="Arial Narrow" w:eastAsia="Calibri" w:hAnsi="Arial Narrow" w:cs="Times New Roman"/>
                <w:b/>
                <w:bCs/>
                <w:sz w:val="20"/>
                <w:szCs w:val="24"/>
              </w:rPr>
              <w:t>Sensitivity/specificity</w:t>
            </w:r>
          </w:p>
          <w:p w14:paraId="49000E19" w14:textId="26F10F16" w:rsidR="00250FA5" w:rsidRPr="00250FA5" w:rsidRDefault="00250FA5" w:rsidP="00A00C1A">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MSAC noted the high sensitivity and low specificity reported for the test at the threshold of CPS ≥1, and that the apparently high sensitivity might be due to the test classifying over 80% of patients as being CPS ≥1 rather than the test accurately identifying patients who will respond to pembrolizumab.</w:t>
            </w:r>
          </w:p>
        </w:tc>
        <w:tc>
          <w:tcPr>
            <w:tcW w:w="5902" w:type="dxa"/>
            <w:shd w:val="clear" w:color="auto" w:fill="FFFFFF"/>
            <w:vAlign w:val="center"/>
          </w:tcPr>
          <w:p w14:paraId="2229B1EC" w14:textId="2E4D16C6" w:rsidR="00250FA5" w:rsidRPr="00250FA5" w:rsidRDefault="00250FA5" w:rsidP="00250FA5">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Although no additional studies were noted in the updated literature search, the resubmission argued that at the CPS ≥1 cut-point, the test will capture the broadest pool of patients likely to respond to pembrolizumab due to the high prevalence at this cut point. In this way PD-L1 was an enrichment biomarker, which enriches the population with patients more likely to benefit from pembrolizumab treatment. Furthermore, no clinical benefit was observed in the CPS &lt;1 subgroup in KN048 treated with either pembrolizumab monotherapy and pembrolizumab plus chemotherapy, thought the commentary noted that the CPS &lt;1 subgroup in KN048 lacked statistical power and was not powered to detect statistically significant differences.</w:t>
            </w:r>
          </w:p>
        </w:tc>
      </w:tr>
      <w:tr w:rsidR="00250FA5" w:rsidRPr="00250FA5" w14:paraId="0BDEE379" w14:textId="77777777" w:rsidTr="00250FA5">
        <w:trPr>
          <w:cantSplit/>
        </w:trPr>
        <w:tc>
          <w:tcPr>
            <w:tcW w:w="3114" w:type="dxa"/>
            <w:shd w:val="clear" w:color="auto" w:fill="FFFFFF"/>
            <w:vAlign w:val="center"/>
          </w:tcPr>
          <w:p w14:paraId="47C7ABCC" w14:textId="77777777" w:rsidR="00250FA5" w:rsidRPr="002D0668" w:rsidRDefault="00250FA5" w:rsidP="00250FA5">
            <w:pPr>
              <w:spacing w:before="40" w:after="40"/>
              <w:jc w:val="left"/>
              <w:rPr>
                <w:rFonts w:ascii="Arial Narrow" w:eastAsia="Calibri" w:hAnsi="Arial Narrow" w:cs="Times New Roman"/>
                <w:b/>
                <w:bCs/>
                <w:sz w:val="20"/>
                <w:szCs w:val="24"/>
              </w:rPr>
            </w:pPr>
            <w:r w:rsidRPr="002D0668">
              <w:rPr>
                <w:rFonts w:ascii="Arial Narrow" w:eastAsia="Calibri" w:hAnsi="Arial Narrow" w:cs="Times New Roman"/>
                <w:b/>
                <w:bCs/>
                <w:sz w:val="20"/>
                <w:szCs w:val="24"/>
              </w:rPr>
              <w:t>Stratification</w:t>
            </w:r>
          </w:p>
          <w:p w14:paraId="52168E52" w14:textId="77777777" w:rsidR="00250FA5" w:rsidRPr="00250FA5" w:rsidRDefault="00250FA5" w:rsidP="00250FA5">
            <w:pPr>
              <w:spacing w:before="40" w:after="40"/>
              <w:jc w:val="left"/>
              <w:rPr>
                <w:rFonts w:ascii="Arial Narrow" w:eastAsia="Calibri" w:hAnsi="Arial Narrow" w:cs="Times New Roman"/>
                <w:sz w:val="20"/>
                <w:szCs w:val="24"/>
              </w:rPr>
            </w:pPr>
            <w:r w:rsidRPr="00250FA5">
              <w:rPr>
                <w:rFonts w:ascii="Arial Narrow" w:eastAsia="Calibri" w:hAnsi="Arial Narrow" w:cs="Times New Roman"/>
                <w:sz w:val="20"/>
                <w:szCs w:val="24"/>
              </w:rPr>
              <w:t>In KN048, after patient enrolment, but before data analysis, the trial protocol was amended from stratification of PD-L1 status from TPS ≥50 to CPS ≥1.</w:t>
            </w:r>
          </w:p>
          <w:p w14:paraId="465EB821" w14:textId="335129C0" w:rsidR="00250FA5" w:rsidRPr="00250FA5" w:rsidRDefault="00250FA5" w:rsidP="00250FA5">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This led to an increase in risk of bias</w:t>
            </w:r>
            <w:r w:rsidR="002D0668">
              <w:rPr>
                <w:rFonts w:ascii="Arial Narrow" w:eastAsia="Calibri" w:hAnsi="Arial Narrow" w:cs="Times New Roman"/>
                <w:sz w:val="20"/>
                <w:szCs w:val="24"/>
              </w:rPr>
              <w:t>.</w:t>
            </w:r>
          </w:p>
        </w:tc>
        <w:tc>
          <w:tcPr>
            <w:tcW w:w="5902" w:type="dxa"/>
            <w:shd w:val="clear" w:color="auto" w:fill="FFFFFF"/>
            <w:vAlign w:val="center"/>
          </w:tcPr>
          <w:p w14:paraId="3ACAA9BF" w14:textId="6EC4146D" w:rsidR="00250FA5" w:rsidRPr="00250FA5" w:rsidRDefault="00250FA5" w:rsidP="00250FA5">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 xml:space="preserve">The trial stratification remained at TPS&gt;=50% for the entire trial. Hence </w:t>
            </w:r>
            <w:proofErr w:type="spellStart"/>
            <w:r w:rsidRPr="00250FA5">
              <w:rPr>
                <w:rFonts w:ascii="Arial Narrow" w:eastAsia="Calibri" w:hAnsi="Arial Narrow" w:cs="Times New Roman"/>
                <w:sz w:val="20"/>
                <w:szCs w:val="24"/>
              </w:rPr>
              <w:t>randomisation</w:t>
            </w:r>
            <w:proofErr w:type="spellEnd"/>
            <w:r w:rsidRPr="00250FA5">
              <w:rPr>
                <w:rFonts w:ascii="Arial Narrow" w:eastAsia="Calibri" w:hAnsi="Arial Narrow" w:cs="Times New Roman"/>
                <w:sz w:val="20"/>
                <w:szCs w:val="24"/>
              </w:rPr>
              <w:t xml:space="preserve"> by TPS was maintained for the duration of the trial. The definition of the biomarker was changed in the study objectives and statistical analysis plan from TPS to CPS at amendment 5 prior to data analysis, after evidence from KN012/KN055 showed that CPS was more sensitive in HNSCC tissue, especially at low cut points.</w:t>
            </w:r>
          </w:p>
        </w:tc>
      </w:tr>
      <w:tr w:rsidR="00250FA5" w:rsidRPr="00250FA5" w14:paraId="5C3E5996" w14:textId="77777777" w:rsidTr="00250FA5">
        <w:trPr>
          <w:cantSplit/>
        </w:trPr>
        <w:tc>
          <w:tcPr>
            <w:tcW w:w="3114" w:type="dxa"/>
            <w:shd w:val="clear" w:color="auto" w:fill="FFFFFF"/>
            <w:vAlign w:val="center"/>
          </w:tcPr>
          <w:p w14:paraId="00C95FB2" w14:textId="77777777" w:rsidR="00250FA5" w:rsidRPr="002D0668" w:rsidRDefault="00250FA5" w:rsidP="00250FA5">
            <w:pPr>
              <w:spacing w:before="40" w:after="40"/>
              <w:jc w:val="left"/>
              <w:rPr>
                <w:rFonts w:ascii="Arial Narrow" w:eastAsia="Calibri" w:hAnsi="Arial Narrow" w:cs="Times New Roman"/>
                <w:b/>
                <w:bCs/>
                <w:sz w:val="20"/>
                <w:szCs w:val="24"/>
              </w:rPr>
            </w:pPr>
            <w:r w:rsidRPr="002D0668">
              <w:rPr>
                <w:rFonts w:ascii="Arial Narrow" w:eastAsia="Calibri" w:hAnsi="Arial Narrow" w:cs="Times New Roman"/>
                <w:b/>
                <w:bCs/>
                <w:sz w:val="20"/>
                <w:szCs w:val="24"/>
              </w:rPr>
              <w:t>Baseline characteristics imbalanced by CPS subgroup</w:t>
            </w:r>
          </w:p>
          <w:p w14:paraId="77D0D0ED" w14:textId="7429ED26" w:rsidR="00250FA5" w:rsidRPr="00250FA5" w:rsidRDefault="00250FA5" w:rsidP="00A00C1A">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MSAC also noted the baseline characteristics by CPS subgroup were imbalanced – for example, there were more women and fewer patients with larynx cancer in the pembrolizumab plus chemotherapy arm.</w:t>
            </w:r>
          </w:p>
        </w:tc>
        <w:tc>
          <w:tcPr>
            <w:tcW w:w="5902" w:type="dxa"/>
            <w:shd w:val="clear" w:color="auto" w:fill="FFFFFF"/>
            <w:vAlign w:val="center"/>
          </w:tcPr>
          <w:p w14:paraId="20EC0158" w14:textId="2EB8BCCC" w:rsidR="00250FA5" w:rsidRPr="00250FA5" w:rsidRDefault="00250FA5" w:rsidP="00250FA5">
            <w:pPr>
              <w:spacing w:before="40" w:after="40"/>
              <w:jc w:val="left"/>
              <w:rPr>
                <w:rFonts w:ascii="Arial Narrow" w:eastAsia="Calibri" w:hAnsi="Arial Narrow" w:cs="Times New Roman"/>
                <w:sz w:val="20"/>
                <w:szCs w:val="24"/>
              </w:rPr>
            </w:pPr>
            <w:r w:rsidRPr="00250FA5">
              <w:rPr>
                <w:rFonts w:ascii="Arial Narrow" w:eastAsia="Calibri" w:hAnsi="Arial Narrow" w:cs="Times New Roman"/>
                <w:sz w:val="20"/>
                <w:szCs w:val="24"/>
              </w:rPr>
              <w:t xml:space="preserve">Multivariate analyses were conducted adjusting for multiple baseline demographic and disease characteristics for the CPS ≥1 population where there was a </w:t>
            </w:r>
            <w:r w:rsidRPr="00250FA5">
              <w:rPr>
                <w:rFonts w:ascii="Times New Roman" w:eastAsia="Calibri" w:hAnsi="Times New Roman" w:cs="Times New Roman"/>
                <w:sz w:val="20"/>
                <w:szCs w:val="24"/>
              </w:rPr>
              <w:t>≥</w:t>
            </w:r>
            <w:r w:rsidRPr="00250FA5">
              <w:rPr>
                <w:rFonts w:ascii="Arial Narrow" w:eastAsia="Calibri" w:hAnsi="Arial Narrow" w:cs="Times New Roman"/>
                <w:sz w:val="20"/>
                <w:szCs w:val="24"/>
              </w:rPr>
              <w:t>5% difference between treatment arms. For participants receiving pembrolizumab monotherapy, the results from the multivariate analysis showed an OS HR for the CPS ≥ 1 population of 0.75 (95% CI: 0.61, 0.93). which was comparable to the interim analysis 2 results (OS HR = 0.78 (95% CI: 0.64, 0.96) and the final analysis result (OS HR = 0.74, 95% CI 0.61, 0.90)</w:t>
            </w:r>
            <w:r w:rsidR="002D0668">
              <w:rPr>
                <w:rFonts w:ascii="Arial Narrow" w:eastAsia="Calibri" w:hAnsi="Arial Narrow" w:cs="Times New Roman"/>
                <w:sz w:val="20"/>
                <w:szCs w:val="24"/>
              </w:rPr>
              <w:t>.</w:t>
            </w:r>
          </w:p>
          <w:p w14:paraId="250F6FBD" w14:textId="72B6DC53" w:rsidR="00250FA5" w:rsidRPr="00250FA5" w:rsidRDefault="00250FA5" w:rsidP="00250FA5">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For participants receiving pembrolizumab plus chemotherapy, the results from the multivariate analysis showed an OS HR of 0.71 (95% CI: 0.57, 0.88). This was compared to the primary outcome based on interim analysis 2 data showing an OS HR = 0.71 (95% CI: 0.57, 0.88) and the final analysis OS HR = 0.65 (0.53, 0.80). Therefore, it was argued that the minor imbalances in baseline characteristics had no significant effect on the outcomes of this trial.</w:t>
            </w:r>
          </w:p>
        </w:tc>
      </w:tr>
      <w:tr w:rsidR="00250FA5" w:rsidRPr="00250FA5" w14:paraId="37B9BFD9" w14:textId="77777777" w:rsidTr="00250FA5">
        <w:trPr>
          <w:cantSplit/>
        </w:trPr>
        <w:tc>
          <w:tcPr>
            <w:tcW w:w="3114" w:type="dxa"/>
            <w:shd w:val="clear" w:color="auto" w:fill="FFFFFF"/>
            <w:vAlign w:val="center"/>
          </w:tcPr>
          <w:p w14:paraId="5EFFA49C" w14:textId="77777777" w:rsidR="00250FA5" w:rsidRPr="00AE47D0" w:rsidRDefault="00250FA5" w:rsidP="00250FA5">
            <w:pPr>
              <w:spacing w:before="40" w:after="40"/>
              <w:jc w:val="left"/>
              <w:rPr>
                <w:rFonts w:ascii="Arial Narrow" w:eastAsia="Calibri" w:hAnsi="Arial Narrow" w:cs="Times New Roman"/>
                <w:b/>
                <w:bCs/>
                <w:sz w:val="20"/>
                <w:szCs w:val="24"/>
              </w:rPr>
            </w:pPr>
            <w:r w:rsidRPr="00AE47D0">
              <w:rPr>
                <w:rFonts w:ascii="Arial Narrow" w:eastAsia="Calibri" w:hAnsi="Arial Narrow" w:cs="Times New Roman"/>
                <w:b/>
                <w:bCs/>
                <w:sz w:val="20"/>
                <w:szCs w:val="24"/>
              </w:rPr>
              <w:t xml:space="preserve">Proportion of patients with CPS </w:t>
            </w:r>
            <w:r w:rsidRPr="00AE47D0">
              <w:rPr>
                <w:rFonts w:ascii="Arial Narrow" w:eastAsia="Calibri" w:hAnsi="Arial Narrow" w:cs="Times New Roman"/>
                <w:b/>
                <w:bCs/>
                <w:sz w:val="20"/>
                <w:szCs w:val="24"/>
                <w:u w:val="single"/>
              </w:rPr>
              <w:t>&gt;</w:t>
            </w:r>
            <w:r w:rsidRPr="00AE47D0">
              <w:rPr>
                <w:rFonts w:ascii="Arial Narrow" w:eastAsia="Calibri" w:hAnsi="Arial Narrow" w:cs="Times New Roman"/>
                <w:b/>
                <w:bCs/>
                <w:sz w:val="20"/>
                <w:szCs w:val="24"/>
              </w:rPr>
              <w:t>1</w:t>
            </w:r>
          </w:p>
          <w:p w14:paraId="08AB3281" w14:textId="2507C96E" w:rsidR="00250FA5" w:rsidRPr="00250FA5" w:rsidRDefault="00250FA5" w:rsidP="00A00C1A">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As a result, 85.3% of KN048 patients had CPS ≥1 and the proportion of patients with CPS ≥20 was also disproportionately increased. MSAC noted the PD-L1 CPS &gt;1 prevalence of 45.6% in de Ruiter 2019.</w:t>
            </w:r>
          </w:p>
        </w:tc>
        <w:tc>
          <w:tcPr>
            <w:tcW w:w="5902" w:type="dxa"/>
            <w:shd w:val="clear" w:color="auto" w:fill="FFFFFF"/>
            <w:vAlign w:val="center"/>
          </w:tcPr>
          <w:p w14:paraId="2ABD357D" w14:textId="4416B844" w:rsidR="00250FA5" w:rsidRPr="00250FA5" w:rsidRDefault="00250FA5" w:rsidP="00250FA5">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The resubmission uses a CPS ≥1 prevalence of 80%, in line with the PBAC recommendations (paragraph 6.78, pembrolizumab PSD, November 2020 PBAC Meeting)</w:t>
            </w:r>
            <w:r w:rsidR="00A00C1A">
              <w:rPr>
                <w:rFonts w:ascii="Arial Narrow" w:eastAsia="Calibri" w:hAnsi="Arial Narrow" w:cs="Times New Roman"/>
                <w:sz w:val="20"/>
                <w:szCs w:val="24"/>
              </w:rPr>
              <w:t>.</w:t>
            </w:r>
          </w:p>
        </w:tc>
      </w:tr>
      <w:tr w:rsidR="00250FA5" w:rsidRPr="00250FA5" w14:paraId="1A5AFD03" w14:textId="77777777" w:rsidTr="00250FA5">
        <w:trPr>
          <w:cantSplit/>
        </w:trPr>
        <w:tc>
          <w:tcPr>
            <w:tcW w:w="3114" w:type="dxa"/>
            <w:shd w:val="clear" w:color="auto" w:fill="FFFFFF"/>
            <w:vAlign w:val="center"/>
          </w:tcPr>
          <w:p w14:paraId="6C01AD97" w14:textId="77777777" w:rsidR="00250FA5" w:rsidRPr="00AE47D0" w:rsidRDefault="00250FA5" w:rsidP="00250FA5">
            <w:pPr>
              <w:spacing w:before="40" w:after="40"/>
              <w:jc w:val="left"/>
              <w:rPr>
                <w:rFonts w:ascii="Arial Narrow" w:eastAsia="Calibri" w:hAnsi="Arial Narrow" w:cs="Times New Roman"/>
                <w:b/>
                <w:bCs/>
                <w:sz w:val="20"/>
                <w:szCs w:val="24"/>
              </w:rPr>
            </w:pPr>
            <w:r w:rsidRPr="00AE47D0">
              <w:rPr>
                <w:rFonts w:ascii="Arial Narrow" w:eastAsia="Calibri" w:hAnsi="Arial Narrow" w:cs="Times New Roman"/>
                <w:b/>
                <w:bCs/>
                <w:sz w:val="20"/>
                <w:szCs w:val="24"/>
              </w:rPr>
              <w:t>Antibody concordance</w:t>
            </w:r>
          </w:p>
          <w:p w14:paraId="58CEBE5F" w14:textId="62103FAD" w:rsidR="00250FA5" w:rsidRPr="00250FA5" w:rsidRDefault="00250FA5" w:rsidP="00A00C1A">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MSAC noted there was poor concordance between 22C3 antibody used to test PD-L1 positivity in the KN048 trial and other PD-L1 IHC antibodies (SP263, SP142 and 28-8).</w:t>
            </w:r>
          </w:p>
        </w:tc>
        <w:tc>
          <w:tcPr>
            <w:tcW w:w="5902" w:type="dxa"/>
            <w:shd w:val="clear" w:color="auto" w:fill="FFFFFF"/>
            <w:vAlign w:val="center"/>
          </w:tcPr>
          <w:p w14:paraId="0E6A2D5D" w14:textId="1CBC11BF" w:rsidR="00250FA5" w:rsidRPr="00250FA5" w:rsidRDefault="00250FA5" w:rsidP="00250FA5">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 xml:space="preserve">Consistent with the previous submission and MSAC’s previous consideration, there is currently insufficient evidence to support the concordance of the 22C3 antibody and the SP263 antibody. Hence the </w:t>
            </w:r>
            <w:r w:rsidR="00AE47D0">
              <w:rPr>
                <w:rFonts w:ascii="Arial Narrow" w:eastAsia="Calibri" w:hAnsi="Arial Narrow" w:cs="Times New Roman"/>
                <w:sz w:val="20"/>
                <w:szCs w:val="24"/>
              </w:rPr>
              <w:t>applicant</w:t>
            </w:r>
            <w:r w:rsidRPr="00250FA5">
              <w:rPr>
                <w:rFonts w:ascii="Arial Narrow" w:eastAsia="Calibri" w:hAnsi="Arial Narrow" w:cs="Times New Roman"/>
                <w:sz w:val="20"/>
                <w:szCs w:val="24"/>
              </w:rPr>
              <w:t xml:space="preserve"> is recommending that that MBS item number is restricted to the 22C3 antibody.</w:t>
            </w:r>
          </w:p>
        </w:tc>
      </w:tr>
      <w:tr w:rsidR="00250FA5" w:rsidRPr="00250FA5" w14:paraId="61615018" w14:textId="77777777" w:rsidTr="00250FA5">
        <w:trPr>
          <w:cantSplit/>
        </w:trPr>
        <w:tc>
          <w:tcPr>
            <w:tcW w:w="3114" w:type="dxa"/>
            <w:shd w:val="clear" w:color="auto" w:fill="FFFFFF"/>
            <w:vAlign w:val="center"/>
          </w:tcPr>
          <w:p w14:paraId="2FA926B8" w14:textId="77777777" w:rsidR="00250FA5" w:rsidRPr="00AE47D0" w:rsidRDefault="00250FA5" w:rsidP="00250FA5">
            <w:pPr>
              <w:spacing w:before="40" w:after="40"/>
              <w:jc w:val="left"/>
              <w:rPr>
                <w:rFonts w:ascii="Arial Narrow" w:eastAsia="Calibri" w:hAnsi="Arial Narrow" w:cs="Times New Roman"/>
                <w:b/>
                <w:bCs/>
                <w:sz w:val="20"/>
                <w:szCs w:val="24"/>
              </w:rPr>
            </w:pPr>
            <w:proofErr w:type="spellStart"/>
            <w:r w:rsidRPr="00AE47D0">
              <w:rPr>
                <w:rFonts w:ascii="Arial Narrow" w:eastAsia="Calibri" w:hAnsi="Arial Narrow" w:cs="Times New Roman"/>
                <w:b/>
                <w:bCs/>
                <w:sz w:val="20"/>
                <w:szCs w:val="24"/>
              </w:rPr>
              <w:t>Tumour</w:t>
            </w:r>
            <w:proofErr w:type="spellEnd"/>
            <w:r w:rsidRPr="00AE47D0">
              <w:rPr>
                <w:rFonts w:ascii="Arial Narrow" w:eastAsia="Calibri" w:hAnsi="Arial Narrow" w:cs="Times New Roman"/>
                <w:b/>
                <w:bCs/>
                <w:sz w:val="20"/>
                <w:szCs w:val="24"/>
              </w:rPr>
              <w:t xml:space="preserve"> samples</w:t>
            </w:r>
          </w:p>
          <w:p w14:paraId="1F3CA2F0" w14:textId="317FE786" w:rsidR="00250FA5" w:rsidRPr="00250FA5" w:rsidRDefault="00250FA5" w:rsidP="00A00C1A">
            <w:pPr>
              <w:spacing w:before="40" w:after="40"/>
              <w:jc w:val="left"/>
              <w:rPr>
                <w:rFonts w:ascii="Arial Narrow" w:eastAsia="Calibri" w:hAnsi="Arial Narrow" w:cs="Times New Roman"/>
                <w:bCs/>
                <w:sz w:val="20"/>
                <w:szCs w:val="24"/>
                <w:highlight w:val="cyan"/>
              </w:rPr>
            </w:pPr>
            <w:r w:rsidRPr="00250FA5">
              <w:rPr>
                <w:rFonts w:ascii="Arial Narrow" w:eastAsia="Calibri" w:hAnsi="Arial Narrow" w:cs="Times New Roman"/>
                <w:sz w:val="20"/>
                <w:szCs w:val="24"/>
              </w:rPr>
              <w:t>MSAC noted the 22C3 antibody has not been validated for use with FNA as raised in the pre-ESC response. MSAC advised that FNA would not be appropriate for CPS testing because CPS testing requires staining of adjacent immune cells which may not be appropriately captured in a</w:t>
            </w:r>
            <w:r w:rsidR="00AE47D0">
              <w:rPr>
                <w:rFonts w:ascii="Arial Narrow" w:eastAsia="Calibri" w:hAnsi="Arial Narrow" w:cs="Times New Roman"/>
                <w:sz w:val="20"/>
                <w:szCs w:val="24"/>
              </w:rPr>
              <w:t>n</w:t>
            </w:r>
            <w:r w:rsidRPr="00250FA5">
              <w:rPr>
                <w:rFonts w:ascii="Arial Narrow" w:eastAsia="Calibri" w:hAnsi="Arial Narrow" w:cs="Times New Roman"/>
                <w:sz w:val="20"/>
                <w:szCs w:val="24"/>
              </w:rPr>
              <w:t xml:space="preserve"> FNA.</w:t>
            </w:r>
          </w:p>
        </w:tc>
        <w:tc>
          <w:tcPr>
            <w:tcW w:w="5902" w:type="dxa"/>
            <w:shd w:val="clear" w:color="auto" w:fill="FFFFFF"/>
            <w:vAlign w:val="center"/>
          </w:tcPr>
          <w:p w14:paraId="7443A016" w14:textId="05CE7876" w:rsidR="00250FA5" w:rsidRPr="00250FA5" w:rsidRDefault="00AE47D0" w:rsidP="00250FA5">
            <w:pPr>
              <w:spacing w:before="40" w:after="40"/>
              <w:jc w:val="left"/>
              <w:rPr>
                <w:rFonts w:ascii="Arial Narrow" w:eastAsia="Calibri" w:hAnsi="Arial Narrow" w:cs="Times New Roman"/>
                <w:sz w:val="20"/>
                <w:szCs w:val="24"/>
                <w:highlight w:val="cyan"/>
              </w:rPr>
            </w:pPr>
            <w:r>
              <w:rPr>
                <w:rFonts w:ascii="Arial Narrow" w:eastAsia="Calibri" w:hAnsi="Arial Narrow" w:cs="Times New Roman"/>
                <w:sz w:val="20"/>
                <w:szCs w:val="24"/>
              </w:rPr>
              <w:t xml:space="preserve">The applicant supported MSAC’s </w:t>
            </w:r>
            <w:r w:rsidR="00250FA5" w:rsidRPr="00250FA5">
              <w:rPr>
                <w:rFonts w:ascii="Arial Narrow" w:eastAsia="Calibri" w:hAnsi="Arial Narrow" w:cs="Times New Roman"/>
                <w:sz w:val="20"/>
                <w:szCs w:val="24"/>
              </w:rPr>
              <w:t>position, given the weak evidence base for use of FNA. MSD proposes that the item descriptor should specify core biopsy or excision, as these tissue types were used in KN048.</w:t>
            </w:r>
          </w:p>
        </w:tc>
      </w:tr>
      <w:tr w:rsidR="00250FA5" w:rsidRPr="00250FA5" w14:paraId="6D1005E2" w14:textId="77777777" w:rsidTr="00250FA5">
        <w:trPr>
          <w:cantSplit/>
        </w:trPr>
        <w:tc>
          <w:tcPr>
            <w:tcW w:w="3114" w:type="dxa"/>
            <w:shd w:val="clear" w:color="auto" w:fill="FFFFFF"/>
            <w:vAlign w:val="center"/>
          </w:tcPr>
          <w:p w14:paraId="6D4A9C55" w14:textId="46A92D8E" w:rsidR="00250FA5" w:rsidRPr="00AE47D0" w:rsidRDefault="00250FA5" w:rsidP="00250FA5">
            <w:pPr>
              <w:spacing w:before="40" w:after="40"/>
              <w:jc w:val="left"/>
              <w:rPr>
                <w:rFonts w:ascii="Arial Narrow" w:eastAsia="Calibri" w:hAnsi="Arial Narrow" w:cs="Times New Roman"/>
                <w:b/>
                <w:bCs/>
                <w:sz w:val="20"/>
                <w:szCs w:val="24"/>
              </w:rPr>
            </w:pPr>
            <w:r w:rsidRPr="00AE47D0">
              <w:rPr>
                <w:rFonts w:ascii="Arial Narrow" w:eastAsia="Calibri" w:hAnsi="Arial Narrow" w:cs="Times New Roman"/>
                <w:b/>
                <w:bCs/>
                <w:sz w:val="20"/>
                <w:szCs w:val="24"/>
              </w:rPr>
              <w:t>Pathologist training</w:t>
            </w:r>
          </w:p>
          <w:p w14:paraId="625C4D22" w14:textId="77777777" w:rsidR="00250FA5" w:rsidRPr="00250FA5" w:rsidRDefault="00250FA5" w:rsidP="00250FA5">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 xml:space="preserve">MSAC considered necessary a mechanism to train pathologists on the interpretation of PD-L1 CPS testing in HNSCC and validation of their competency is required. </w:t>
            </w:r>
            <w:r w:rsidRPr="00250FA5">
              <w:rPr>
                <w:rFonts w:ascii="Arial Narrow" w:eastAsia="Calibri" w:hAnsi="Arial Narrow" w:cs="Calibri"/>
                <w:sz w:val="20"/>
                <w:szCs w:val="24"/>
              </w:rPr>
              <w:t>(Section 3 p4,</w:t>
            </w:r>
            <w:r w:rsidRPr="00250FA5">
              <w:rPr>
                <w:rFonts w:ascii="Arial Narrow" w:eastAsia="Calibri" w:hAnsi="Arial Narrow" w:cs="Times New Roman"/>
                <w:sz w:val="20"/>
                <w:szCs w:val="24"/>
              </w:rPr>
              <w:t xml:space="preserve"> </w:t>
            </w:r>
            <w:r w:rsidRPr="00250FA5">
              <w:rPr>
                <w:rFonts w:ascii="Arial Narrow" w:eastAsia="Calibri" w:hAnsi="Arial Narrow" w:cs="Calibri"/>
                <w:sz w:val="20"/>
                <w:szCs w:val="24"/>
              </w:rPr>
              <w:t>application no. 1522 PSD, November 2020 MSAC Meeting)</w:t>
            </w:r>
          </w:p>
        </w:tc>
        <w:tc>
          <w:tcPr>
            <w:tcW w:w="5902" w:type="dxa"/>
            <w:shd w:val="clear" w:color="auto" w:fill="FFFFFF"/>
            <w:vAlign w:val="center"/>
          </w:tcPr>
          <w:p w14:paraId="0A07ECB1" w14:textId="02CAD381" w:rsidR="00250FA5" w:rsidRPr="00250FA5" w:rsidRDefault="00250FA5" w:rsidP="00250FA5">
            <w:pPr>
              <w:spacing w:before="40" w:after="40"/>
              <w:jc w:val="left"/>
              <w:rPr>
                <w:rFonts w:ascii="Arial Narrow" w:eastAsia="Calibri" w:hAnsi="Arial Narrow" w:cs="Times New Roman"/>
                <w:sz w:val="20"/>
                <w:szCs w:val="24"/>
                <w:highlight w:val="cyan"/>
              </w:rPr>
            </w:pPr>
            <w:r w:rsidRPr="00250FA5">
              <w:rPr>
                <w:rFonts w:ascii="Arial Narrow" w:eastAsia="Calibri" w:hAnsi="Arial Narrow" w:cs="Times New Roman"/>
                <w:sz w:val="20"/>
                <w:szCs w:val="24"/>
              </w:rPr>
              <w:t xml:space="preserve">The </w:t>
            </w:r>
            <w:r w:rsidR="00AE47D0">
              <w:rPr>
                <w:rFonts w:ascii="Arial Narrow" w:eastAsia="Calibri" w:hAnsi="Arial Narrow" w:cs="Times New Roman"/>
                <w:sz w:val="20"/>
                <w:szCs w:val="24"/>
              </w:rPr>
              <w:t>applicant has</w:t>
            </w:r>
            <w:r w:rsidRPr="00250FA5">
              <w:rPr>
                <w:rFonts w:ascii="Arial Narrow" w:eastAsia="Calibri" w:hAnsi="Arial Narrow" w:cs="Times New Roman"/>
                <w:sz w:val="20"/>
                <w:szCs w:val="24"/>
              </w:rPr>
              <w:t xml:space="preserve"> supported training for four pathologists as trainers in PD-L1 testing for R/M HNSCC and these pathologists have trained 22 pathologists with plans to train an additional 48 in 2021. This was likely to cover the majority of pathologists who will encounter HNSCC PD-L1 testing as HNSCC treatment is relatively </w:t>
            </w:r>
            <w:proofErr w:type="spellStart"/>
            <w:r w:rsidRPr="00250FA5">
              <w:rPr>
                <w:rFonts w:ascii="Arial Narrow" w:eastAsia="Calibri" w:hAnsi="Arial Narrow" w:cs="Times New Roman"/>
                <w:sz w:val="20"/>
                <w:szCs w:val="24"/>
              </w:rPr>
              <w:t>centralised</w:t>
            </w:r>
            <w:proofErr w:type="spellEnd"/>
            <w:r w:rsidRPr="00250FA5">
              <w:rPr>
                <w:rFonts w:ascii="Arial Narrow" w:eastAsia="Calibri" w:hAnsi="Arial Narrow" w:cs="Times New Roman"/>
                <w:sz w:val="20"/>
                <w:szCs w:val="24"/>
              </w:rPr>
              <w:t>. For the pathologists trained to date, all pathologists have passed the training course, achieving at least 85% concordance with index cases, indicating that Australia pathologists can accurately score using the CPS approach. MSD is in regular contact with the RCPAQAP regarding a QAP.</w:t>
            </w:r>
          </w:p>
        </w:tc>
      </w:tr>
    </w:tbl>
    <w:p w14:paraId="1ABEA92A" w14:textId="77777777" w:rsidR="00250FA5" w:rsidRPr="00250FA5" w:rsidRDefault="00250FA5" w:rsidP="00250FA5">
      <w:pPr>
        <w:widowControl w:val="0"/>
        <w:spacing w:before="0" w:after="240"/>
        <w:contextualSpacing/>
        <w:rPr>
          <w:rFonts w:ascii="Arial Narrow" w:eastAsia="Times New Roman" w:hAnsi="Arial Narrow" w:cs="Arial"/>
          <w:snapToGrid w:val="0"/>
          <w:sz w:val="18"/>
          <w:szCs w:val="18"/>
        </w:rPr>
      </w:pPr>
      <w:r w:rsidRPr="00250FA5">
        <w:rPr>
          <w:rFonts w:ascii="Arial Narrow" w:eastAsia="Times New Roman" w:hAnsi="Arial Narrow" w:cs="Arial"/>
          <w:snapToGrid w:val="0"/>
          <w:sz w:val="18"/>
          <w:szCs w:val="18"/>
        </w:rPr>
        <w:t xml:space="preserve">CPS = combined positive score; </w:t>
      </w:r>
      <w:r w:rsidRPr="00250FA5">
        <w:rPr>
          <w:rFonts w:ascii="Arial Narrow" w:eastAsia="Times New Roman" w:hAnsi="Arial Narrow" w:cs="Arial"/>
          <w:snapToGrid w:val="0"/>
          <w:sz w:val="18"/>
          <w:szCs w:val="20"/>
        </w:rPr>
        <w:t xml:space="preserve">FNA = fine needle aspirates; HNSCC = head and neck squamous cell carcinoma; </w:t>
      </w:r>
      <w:r w:rsidRPr="00250FA5">
        <w:rPr>
          <w:rFonts w:ascii="Arial Narrow" w:eastAsia="Times New Roman" w:hAnsi="Arial Narrow" w:cs="Arial"/>
          <w:snapToGrid w:val="0"/>
          <w:sz w:val="18"/>
          <w:szCs w:val="18"/>
        </w:rPr>
        <w:t>PD-L1 = programmed cell death ligand 1;</w:t>
      </w:r>
      <w:r w:rsidRPr="00250FA5">
        <w:rPr>
          <w:rFonts w:ascii="Arial Narrow" w:eastAsia="Times New Roman" w:hAnsi="Arial Narrow" w:cs="Arial"/>
          <w:snapToGrid w:val="0"/>
          <w:sz w:val="18"/>
          <w:szCs w:val="20"/>
        </w:rPr>
        <w:t xml:space="preserve"> PSD = public summary document; QAP = Quality Assurance Program; RCPAQAP = Royal College of Pathologists Quality Assurance Programs; TPS = tumour proportion score</w:t>
      </w:r>
    </w:p>
    <w:p w14:paraId="1B9FBBF4" w14:textId="5333170C" w:rsidR="00250FA5" w:rsidRPr="00DD5EF9" w:rsidRDefault="00250FA5" w:rsidP="00DD5EF9">
      <w:pPr>
        <w:widowControl w:val="0"/>
        <w:spacing w:before="0" w:after="0"/>
        <w:contextualSpacing/>
        <w:rPr>
          <w:rFonts w:ascii="Arial Narrow" w:eastAsia="Times New Roman" w:hAnsi="Arial Narrow" w:cs="Arial"/>
          <w:snapToGrid w:val="0"/>
          <w:sz w:val="18"/>
          <w:szCs w:val="20"/>
        </w:rPr>
      </w:pPr>
      <w:r w:rsidRPr="00250FA5">
        <w:rPr>
          <w:rFonts w:ascii="Arial Narrow" w:eastAsia="Times New Roman" w:hAnsi="Arial Narrow" w:cs="Arial"/>
          <w:snapToGrid w:val="0"/>
          <w:sz w:val="18"/>
          <w:szCs w:val="20"/>
        </w:rPr>
        <w:t>Source: Table 1.1, pages ii-iii of the resubmission</w:t>
      </w:r>
    </w:p>
    <w:p w14:paraId="73112352" w14:textId="710965CE" w:rsidR="00250FA5" w:rsidRPr="00DD5EF9" w:rsidRDefault="00250FA5" w:rsidP="00DD5EF9">
      <w:pPr>
        <w:pStyle w:val="Heading1"/>
        <w:numPr>
          <w:ilvl w:val="0"/>
          <w:numId w:val="69"/>
        </w:numPr>
        <w:tabs>
          <w:tab w:val="clear" w:pos="1080"/>
        </w:tabs>
        <w:spacing w:before="240" w:after="240" w:line="240" w:lineRule="auto"/>
        <w:ind w:left="720"/>
        <w:rPr>
          <w:rFonts w:ascii="Arial" w:hAnsi="Arial" w:cs="Arial"/>
          <w:bCs/>
          <w:sz w:val="24"/>
          <w:lang w:eastAsia="en-AU"/>
        </w:rPr>
      </w:pPr>
      <w:r w:rsidRPr="00DD5EF9">
        <w:rPr>
          <w:rFonts w:ascii="Arial" w:hAnsi="Arial" w:cs="Arial"/>
          <w:bCs/>
          <w:sz w:val="24"/>
          <w:lang w:eastAsia="en-AU"/>
        </w:rPr>
        <w:t>Prerequisites to implementation of any funding advice</w:t>
      </w:r>
    </w:p>
    <w:p w14:paraId="7384F141" w14:textId="0549717A"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The PD-L1 IHC 22C3 </w:t>
      </w:r>
      <w:proofErr w:type="spellStart"/>
      <w:r w:rsidRPr="00250FA5">
        <w:rPr>
          <w:rFonts w:ascii="Times New Roman" w:eastAsia="Calibri" w:hAnsi="Times New Roman" w:cs="Times New Roman"/>
        </w:rPr>
        <w:t>pharmDx</w:t>
      </w:r>
      <w:proofErr w:type="spellEnd"/>
      <w:r w:rsidRPr="00250FA5">
        <w:rPr>
          <w:rFonts w:ascii="Times New Roman" w:eastAsia="Calibri" w:hAnsi="Times New Roman" w:cs="Times New Roman"/>
        </w:rPr>
        <w:t xml:space="preserve"> kit is currently approved for use in identifying patients with NSCLC who would be eligible for pembrolizumab. As pembrolizumab has been approved by the TGA for use in the CPS ≥1 population, the resubmission claim</w:t>
      </w:r>
      <w:r w:rsidR="003C20B8">
        <w:rPr>
          <w:rFonts w:ascii="Times New Roman" w:eastAsia="Calibri" w:hAnsi="Times New Roman" w:cs="Times New Roman"/>
        </w:rPr>
        <w:t>ed</w:t>
      </w:r>
      <w:r w:rsidRPr="00250FA5">
        <w:rPr>
          <w:rFonts w:ascii="Times New Roman" w:eastAsia="Calibri" w:hAnsi="Times New Roman" w:cs="Times New Roman"/>
        </w:rPr>
        <w:t xml:space="preserve"> that the Instructions for Use are in the process of being updated with the proposed text:</w:t>
      </w:r>
    </w:p>
    <w:p w14:paraId="4E283D2E"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“PD-L1 IHC 22C3 </w:t>
      </w:r>
      <w:proofErr w:type="spellStart"/>
      <w:r w:rsidRPr="00250FA5">
        <w:rPr>
          <w:rFonts w:ascii="Times New Roman" w:eastAsia="Calibri" w:hAnsi="Times New Roman" w:cs="Times New Roman"/>
        </w:rPr>
        <w:t>pharmDx</w:t>
      </w:r>
      <w:proofErr w:type="spellEnd"/>
      <w:r w:rsidRPr="00250FA5">
        <w:rPr>
          <w:rFonts w:ascii="Times New Roman" w:eastAsia="Calibri" w:hAnsi="Times New Roman" w:cs="Times New Roman"/>
        </w:rPr>
        <w:t xml:space="preserve"> is indicated as an aid in identifying HNSCC (Head and neck squamous cell carcinoma) patients for treatment with KEYTRUDA® (pembrolizumab) at PD-L1 expression level CPS ≥1.”</w:t>
      </w:r>
    </w:p>
    <w:p w14:paraId="78BFDD35"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TGA classifies all in vitro diagnostic (IVD) companion diagnostics as class 3 IVDs.</w:t>
      </w:r>
    </w:p>
    <w:p w14:paraId="73962FBD" w14:textId="77777777" w:rsidR="00250FA5" w:rsidRPr="00DD5EF9" w:rsidRDefault="00250FA5" w:rsidP="00DD5EF9">
      <w:pPr>
        <w:pStyle w:val="Heading1"/>
        <w:numPr>
          <w:ilvl w:val="0"/>
          <w:numId w:val="69"/>
        </w:numPr>
        <w:tabs>
          <w:tab w:val="clear" w:pos="1080"/>
        </w:tabs>
        <w:spacing w:before="240" w:after="240" w:line="240" w:lineRule="auto"/>
        <w:ind w:left="720"/>
        <w:rPr>
          <w:rFonts w:ascii="Arial" w:hAnsi="Arial" w:cs="Arial"/>
          <w:bCs/>
          <w:sz w:val="24"/>
          <w:lang w:eastAsia="en-AU"/>
        </w:rPr>
      </w:pPr>
      <w:r w:rsidRPr="00DD5EF9">
        <w:rPr>
          <w:rFonts w:ascii="Arial" w:hAnsi="Arial" w:cs="Arial"/>
          <w:bCs/>
          <w:sz w:val="24"/>
          <w:lang w:eastAsia="en-AU"/>
        </w:rPr>
        <w:t>Proposal for public funding</w:t>
      </w:r>
    </w:p>
    <w:p w14:paraId="4CE6AD72" w14:textId="3FB34692" w:rsidR="00250FA5" w:rsidRPr="00250FA5" w:rsidRDefault="00250FA5" w:rsidP="00250FA5">
      <w:pPr>
        <w:keepNext/>
        <w:keepLines/>
        <w:widowControl w:val="0"/>
        <w:spacing w:before="0" w:after="0"/>
        <w:ind w:left="992" w:hanging="992"/>
        <w:contextualSpacing/>
        <w:jc w:val="left"/>
        <w:rPr>
          <w:rFonts w:ascii="Arial Narrow" w:eastAsia="Calibri" w:hAnsi="Arial Narrow" w:cs="Times New Roman"/>
          <w:b/>
          <w:iCs/>
          <w:sz w:val="20"/>
          <w:szCs w:val="18"/>
        </w:rPr>
      </w:pPr>
      <w:r w:rsidRPr="00250FA5">
        <w:rPr>
          <w:rFonts w:ascii="Arial Narrow" w:eastAsia="Calibri" w:hAnsi="Arial Narrow" w:cs="Times New Roman"/>
          <w:b/>
          <w:iCs/>
          <w:sz w:val="20"/>
          <w:szCs w:val="18"/>
        </w:rPr>
        <w:t xml:space="preserve">Table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Table \* ARABIC </w:instrText>
      </w:r>
      <w:r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2</w:t>
      </w:r>
      <w:r w:rsidRPr="00250FA5">
        <w:rPr>
          <w:rFonts w:ascii="Arial Narrow" w:eastAsia="Calibri" w:hAnsi="Arial Narrow" w:cs="Times New Roman"/>
          <w:b/>
          <w:iCs/>
          <w:noProof/>
          <w:sz w:val="20"/>
          <w:szCs w:val="18"/>
        </w:rPr>
        <w:fldChar w:fldCharType="end"/>
      </w:r>
      <w:r w:rsidRPr="00250FA5">
        <w:rPr>
          <w:rFonts w:ascii="Arial Narrow" w:eastAsia="Calibri" w:hAnsi="Arial Narrow" w:cs="Times New Roman"/>
          <w:b/>
          <w:iCs/>
          <w:noProof/>
          <w:sz w:val="20"/>
          <w:szCs w:val="18"/>
        </w:rPr>
        <w:tab/>
      </w:r>
      <w:r w:rsidRPr="00250FA5">
        <w:rPr>
          <w:rFonts w:ascii="Arial Narrow" w:eastAsia="Calibri" w:hAnsi="Arial Narrow" w:cs="Times New Roman"/>
          <w:b/>
          <w:iCs/>
          <w:sz w:val="20"/>
          <w:szCs w:val="18"/>
        </w:rPr>
        <w:t>Proposed MBS listing (pre-ESC response)</w:t>
      </w:r>
    </w:p>
    <w:tbl>
      <w:tblPr>
        <w:tblStyle w:val="TableGrid2"/>
        <w:tblW w:w="491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listing (pre-ESC response)"/>
      </w:tblPr>
      <w:tblGrid>
        <w:gridCol w:w="8868"/>
      </w:tblGrid>
      <w:tr w:rsidR="00250FA5" w:rsidRPr="00250FA5" w14:paraId="65D04EF3" w14:textId="77777777" w:rsidTr="00250FA5">
        <w:trPr>
          <w:cnfStyle w:val="100000000000" w:firstRow="1" w:lastRow="0" w:firstColumn="0" w:lastColumn="0" w:oddVBand="0" w:evenVBand="0" w:oddHBand="0" w:evenHBand="0" w:firstRowFirstColumn="0" w:firstRowLastColumn="0" w:lastRowFirstColumn="0" w:lastRowLastColumn="0"/>
        </w:trPr>
        <w:tc>
          <w:tcPr>
            <w:tcW w:w="5000" w:type="pct"/>
            <w:tcBorders>
              <w:top w:val="single" w:sz="4" w:space="0" w:color="000000"/>
              <w:left w:val="single" w:sz="4" w:space="0" w:color="000000"/>
              <w:bottom w:val="single" w:sz="4" w:space="0" w:color="000000"/>
              <w:right w:val="single" w:sz="4" w:space="0" w:color="000000"/>
            </w:tcBorders>
            <w:hideMark/>
          </w:tcPr>
          <w:p w14:paraId="4898DAC3" w14:textId="77777777" w:rsidR="00250FA5" w:rsidRPr="00250FA5" w:rsidRDefault="00250FA5" w:rsidP="00250FA5">
            <w:pPr>
              <w:keepNext/>
              <w:keepLines/>
              <w:widowControl w:val="0"/>
              <w:spacing w:before="40" w:line="254" w:lineRule="auto"/>
              <w:jc w:val="left"/>
              <w:rPr>
                <w:rFonts w:ascii="Arial Narrow" w:eastAsia="Calibri" w:hAnsi="Arial Narrow"/>
                <w:sz w:val="20"/>
              </w:rPr>
            </w:pPr>
            <w:r w:rsidRPr="00250FA5">
              <w:rPr>
                <w:rFonts w:ascii="Arial Narrow" w:eastAsia="Calibri" w:hAnsi="Arial Narrow"/>
                <w:sz w:val="20"/>
              </w:rPr>
              <w:t>Category 6 – Pathology Services</w:t>
            </w:r>
          </w:p>
          <w:p w14:paraId="2B0D3758" w14:textId="77777777" w:rsidR="00250FA5" w:rsidRPr="00250FA5" w:rsidRDefault="00250FA5" w:rsidP="00250FA5">
            <w:pPr>
              <w:keepNext/>
              <w:keepLines/>
              <w:widowControl w:val="0"/>
              <w:spacing w:before="40" w:line="254" w:lineRule="auto"/>
              <w:jc w:val="left"/>
              <w:rPr>
                <w:rFonts w:ascii="Arial Narrow" w:eastAsia="Calibri" w:hAnsi="Arial Narrow"/>
                <w:sz w:val="20"/>
              </w:rPr>
            </w:pPr>
            <w:r w:rsidRPr="00250FA5">
              <w:rPr>
                <w:rFonts w:ascii="Arial Narrow" w:eastAsia="Calibri" w:hAnsi="Arial Narrow"/>
                <w:sz w:val="20"/>
              </w:rPr>
              <w:t>MBS item number</w:t>
            </w:r>
          </w:p>
          <w:p w14:paraId="3510EFE7" w14:textId="77777777" w:rsidR="00250FA5" w:rsidRPr="00250FA5" w:rsidRDefault="00250FA5" w:rsidP="00250FA5">
            <w:pPr>
              <w:keepNext/>
              <w:keepLines/>
              <w:widowControl w:val="0"/>
              <w:spacing w:before="40" w:line="254" w:lineRule="auto"/>
              <w:jc w:val="left"/>
              <w:rPr>
                <w:rFonts w:ascii="Arial Narrow" w:eastAsia="Calibri" w:hAnsi="Arial Narrow"/>
                <w:sz w:val="20"/>
              </w:rPr>
            </w:pPr>
            <w:r w:rsidRPr="00250FA5">
              <w:rPr>
                <w:rFonts w:ascii="Arial Narrow" w:eastAsia="Calibri" w:hAnsi="Arial Narrow"/>
                <w:sz w:val="20"/>
              </w:rPr>
              <w:t xml:space="preserve">Immunohistochemical examination by </w:t>
            </w:r>
            <w:proofErr w:type="spellStart"/>
            <w:r w:rsidRPr="00250FA5">
              <w:rPr>
                <w:rFonts w:ascii="Arial Narrow" w:eastAsia="Calibri" w:hAnsi="Arial Narrow"/>
                <w:sz w:val="20"/>
              </w:rPr>
              <w:t>immunoperoxidase</w:t>
            </w:r>
            <w:proofErr w:type="spellEnd"/>
            <w:r w:rsidRPr="00250FA5">
              <w:rPr>
                <w:rFonts w:ascii="Arial Narrow" w:eastAsia="Calibri" w:hAnsi="Arial Narrow"/>
                <w:sz w:val="20"/>
              </w:rPr>
              <w:t xml:space="preserve"> or other labelled antibody techniques using the 22C3 PD-L1 antibody of tumour material from </w:t>
            </w:r>
            <w:r w:rsidRPr="00EA12D3">
              <w:rPr>
                <w:rFonts w:ascii="Arial Narrow" w:eastAsia="Calibri" w:hAnsi="Arial Narrow"/>
                <w:i/>
                <w:iCs/>
                <w:sz w:val="20"/>
              </w:rPr>
              <w:t xml:space="preserve">a core biopsy or </w:t>
            </w:r>
            <w:r w:rsidRPr="00EA12D3">
              <w:rPr>
                <w:rFonts w:ascii="Arial Narrow" w:eastAsia="Calibri" w:hAnsi="Arial Narrow"/>
                <w:i/>
                <w:iCs/>
                <w:strike/>
                <w:sz w:val="20"/>
              </w:rPr>
              <w:t xml:space="preserve">excision </w:t>
            </w:r>
            <w:r w:rsidRPr="00EA12D3">
              <w:rPr>
                <w:rFonts w:ascii="Arial Narrow" w:eastAsia="Calibri" w:hAnsi="Arial Narrow"/>
                <w:i/>
                <w:iCs/>
                <w:sz w:val="20"/>
              </w:rPr>
              <w:t>resection specimen of a</w:t>
            </w:r>
            <w:r w:rsidRPr="00EA12D3">
              <w:rPr>
                <w:rFonts w:ascii="Arial Narrow" w:eastAsia="Calibri" w:hAnsi="Arial Narrow"/>
                <w:sz w:val="20"/>
              </w:rPr>
              <w:t xml:space="preserve"> </w:t>
            </w:r>
            <w:r w:rsidRPr="00250FA5">
              <w:rPr>
                <w:rFonts w:ascii="Arial Narrow" w:eastAsia="Calibri" w:hAnsi="Arial Narrow"/>
                <w:sz w:val="20"/>
              </w:rPr>
              <w:t>patient diagnosed with recurrent or metastatic squamous cell carcinoma of the oral cavity, pharynx or larynx incurable by local therapies to determine if the requirements relating to programmed cell death ligand 1 (PD-L1) status for access to pembrolizumab under the Pharmaceutical Benefits Scheme (PBS) are fulfilled.</w:t>
            </w:r>
          </w:p>
        </w:tc>
      </w:tr>
      <w:tr w:rsidR="00250FA5" w:rsidRPr="00250FA5" w14:paraId="3DB5A312" w14:textId="77777777" w:rsidTr="00250FA5">
        <w:tc>
          <w:tcPr>
            <w:tcW w:w="5000" w:type="pct"/>
            <w:tcBorders>
              <w:top w:val="single" w:sz="4" w:space="0" w:color="000000"/>
              <w:left w:val="single" w:sz="4" w:space="0" w:color="000000"/>
              <w:bottom w:val="single" w:sz="4" w:space="0" w:color="000000"/>
              <w:right w:val="single" w:sz="4" w:space="0" w:color="000000"/>
            </w:tcBorders>
            <w:hideMark/>
          </w:tcPr>
          <w:p w14:paraId="0371BEE9" w14:textId="44AE9985" w:rsidR="00250FA5" w:rsidRPr="00250FA5" w:rsidRDefault="00250FA5" w:rsidP="00250FA5">
            <w:pPr>
              <w:keepNext/>
              <w:keepLines/>
              <w:widowControl w:val="0"/>
              <w:spacing w:before="40" w:line="254" w:lineRule="auto"/>
              <w:jc w:val="left"/>
              <w:rPr>
                <w:rFonts w:eastAsia="Calibri"/>
                <w:sz w:val="20"/>
              </w:rPr>
            </w:pPr>
            <w:r w:rsidRPr="00250FA5">
              <w:rPr>
                <w:rFonts w:eastAsia="Calibri"/>
                <w:sz w:val="20"/>
              </w:rPr>
              <w:t>Fee: $74.50  75% = $55.90  85% = $63.35</w:t>
            </w:r>
          </w:p>
        </w:tc>
      </w:tr>
    </w:tbl>
    <w:p w14:paraId="69E481BE" w14:textId="19CFF5F2" w:rsidR="00250FA5" w:rsidRPr="00EA12D3" w:rsidRDefault="00250FA5" w:rsidP="002537A9">
      <w:pPr>
        <w:widowControl w:val="0"/>
        <w:snapToGrid w:val="0"/>
        <w:spacing w:before="0" w:after="0"/>
        <w:rPr>
          <w:rFonts w:ascii="Arial Narrow" w:eastAsia="Times New Roman" w:hAnsi="Arial Narrow" w:cs="Arial"/>
          <w:i/>
          <w:iCs/>
          <w:sz w:val="18"/>
          <w:szCs w:val="20"/>
        </w:rPr>
      </w:pPr>
      <w:r w:rsidRPr="00250FA5">
        <w:rPr>
          <w:rFonts w:ascii="Arial Narrow" w:eastAsia="Times New Roman" w:hAnsi="Arial Narrow" w:cs="Arial"/>
          <w:sz w:val="18"/>
          <w:szCs w:val="20"/>
        </w:rPr>
        <w:t xml:space="preserve">Source: p161 of the resubmission and pp3-4 of the pre-ESC response </w:t>
      </w:r>
      <w:r w:rsidRPr="00EA12D3">
        <w:rPr>
          <w:rFonts w:ascii="Arial Narrow" w:eastAsia="Times New Roman" w:hAnsi="Arial Narrow" w:cs="Arial"/>
          <w:i/>
          <w:iCs/>
          <w:sz w:val="18"/>
          <w:szCs w:val="20"/>
        </w:rPr>
        <w:t xml:space="preserve">(changes </w:t>
      </w:r>
      <w:r w:rsidR="00AE47D0" w:rsidRPr="00EA12D3">
        <w:rPr>
          <w:rFonts w:ascii="Arial Narrow" w:eastAsia="Times New Roman" w:hAnsi="Arial Narrow" w:cs="Arial"/>
          <w:i/>
          <w:iCs/>
          <w:sz w:val="18"/>
          <w:szCs w:val="20"/>
        </w:rPr>
        <w:t xml:space="preserve">from resubmission request </w:t>
      </w:r>
      <w:r w:rsidRPr="00EA12D3">
        <w:rPr>
          <w:rFonts w:ascii="Arial Narrow" w:eastAsia="Times New Roman" w:hAnsi="Arial Narrow" w:cs="Arial"/>
          <w:i/>
          <w:iCs/>
          <w:sz w:val="18"/>
          <w:szCs w:val="20"/>
        </w:rPr>
        <w:t xml:space="preserve">in </w:t>
      </w:r>
      <w:r w:rsidR="00EA12D3" w:rsidRPr="00EA12D3">
        <w:rPr>
          <w:rFonts w:ascii="Arial Narrow" w:eastAsia="Times New Roman" w:hAnsi="Arial Narrow" w:cs="Arial"/>
          <w:i/>
          <w:iCs/>
          <w:sz w:val="18"/>
          <w:szCs w:val="20"/>
        </w:rPr>
        <w:t>italics</w:t>
      </w:r>
      <w:r w:rsidRPr="00EA12D3">
        <w:rPr>
          <w:rFonts w:ascii="Arial Narrow" w:eastAsia="Times New Roman" w:hAnsi="Arial Narrow" w:cs="Arial"/>
          <w:i/>
          <w:iCs/>
          <w:sz w:val="18"/>
          <w:szCs w:val="20"/>
        </w:rPr>
        <w:t>).</w:t>
      </w:r>
    </w:p>
    <w:p w14:paraId="7E524570" w14:textId="76C7ABE7" w:rsidR="00250FA5" w:rsidRPr="00250FA5" w:rsidRDefault="00250FA5" w:rsidP="00DD5EF9">
      <w:pPr>
        <w:spacing w:before="240" w:after="240"/>
        <w:jc w:val="left"/>
        <w:rPr>
          <w:rFonts w:ascii="Times New Roman" w:eastAsia="Calibri" w:hAnsi="Times New Roman" w:cs="Times New Roman"/>
        </w:rPr>
      </w:pPr>
      <w:r w:rsidRPr="00250FA5">
        <w:rPr>
          <w:rFonts w:ascii="Times New Roman" w:eastAsia="Calibri" w:hAnsi="Times New Roman" w:cs="Times New Roman"/>
        </w:rPr>
        <w:t>The proposed MBS listing was identical to the requested listing in the previous submission however, the pre-ESC response revised the descriptor to specify that testing is to be performed on tumour material from a core biopsy or excision.</w:t>
      </w:r>
      <w:r w:rsidR="00AE47D0">
        <w:rPr>
          <w:rFonts w:ascii="Times New Roman" w:eastAsia="Calibri" w:hAnsi="Times New Roman" w:cs="Times New Roman"/>
        </w:rPr>
        <w:t xml:space="preserve"> The ESCs preferred the term “resection” to “excision”.</w:t>
      </w:r>
    </w:p>
    <w:p w14:paraId="353EDDB6"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Times New Roman" w:hAnsi="Times New Roman" w:cs="Times New Roman"/>
          <w:szCs w:val="20"/>
          <w:lang w:eastAsia="en-AU"/>
        </w:rPr>
        <w:t>The resubmission sought PBS listing of pembrolizumab for patients whose tumours express PD-L1 CPS ≥1. The pre-ESC response proposed limiting pembrolizumab monotherapy for patients whose tumours express PD-L1 CPS ≥20.</w:t>
      </w:r>
    </w:p>
    <w:p w14:paraId="47CC6B0E"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proposed MBS fee was consistent with the fee for current PD-L1 testing for NSCLC (MBS item 72814).</w:t>
      </w:r>
    </w:p>
    <w:p w14:paraId="0833CD0F" w14:textId="70C607A7" w:rsidR="00250FA5" w:rsidRPr="00250FA5" w:rsidRDefault="00616D73" w:rsidP="00250FA5">
      <w:pPr>
        <w:spacing w:before="0" w:after="240"/>
        <w:jc w:val="left"/>
        <w:rPr>
          <w:rFonts w:ascii="Times New Roman" w:eastAsia="Calibri" w:hAnsi="Times New Roman" w:cs="Arial"/>
        </w:rPr>
      </w:pPr>
      <w:bookmarkStart w:id="4" w:name="_Hlk85019637"/>
      <w:r>
        <w:rPr>
          <w:rFonts w:ascii="Times New Roman" w:eastAsia="Calibri" w:hAnsi="Times New Roman" w:cs="Times New Roman"/>
        </w:rPr>
        <w:t xml:space="preserve">In considering </w:t>
      </w:r>
      <w:r w:rsidR="00250FA5" w:rsidRPr="00250FA5">
        <w:rPr>
          <w:rFonts w:ascii="Times New Roman" w:eastAsia="Calibri" w:hAnsi="Times New Roman" w:cs="Times New Roman"/>
        </w:rPr>
        <w:t>the previous submission</w:t>
      </w:r>
      <w:r>
        <w:rPr>
          <w:rFonts w:ascii="Times New Roman" w:eastAsia="Calibri" w:hAnsi="Times New Roman" w:cs="Times New Roman"/>
        </w:rPr>
        <w:t>,</w:t>
      </w:r>
      <w:r w:rsidR="00250FA5" w:rsidRPr="00250FA5">
        <w:rPr>
          <w:rFonts w:ascii="Times New Roman" w:eastAsia="Calibri" w:hAnsi="Times New Roman" w:cs="Times New Roman"/>
        </w:rPr>
        <w:t xml:space="preserve"> </w:t>
      </w:r>
      <w:bookmarkEnd w:id="4"/>
      <w:r w:rsidR="00250FA5" w:rsidRPr="00250FA5">
        <w:rPr>
          <w:rFonts w:ascii="Times New Roman" w:eastAsia="Calibri" w:hAnsi="Times New Roman" w:cs="Times New Roman"/>
        </w:rPr>
        <w:t>the ESCs noted that the proposed item descriptor was for squamous cell carcinoma (SCC) of the oral cavity, pharynx or larynx while the TGA indication for pembrolizumab is for head and neck squamous cell carcinoma (HNSCC). The ESCs noted that the requested item descriptor was consistent with the existing PBS listing for nivolumab and the requested restriction for pembrolizumab. The ESCs supported limiting PD-L1 testing to the 22C3 antibody in the item descriptor as there was poor concordance between 22C3 and other antibodies used in PD-L1 testing. (Section 14 p20, application no. 1522 public summary document (PSD), November 2020 MSAC Meeting)</w:t>
      </w:r>
    </w:p>
    <w:p w14:paraId="464E6B2D" w14:textId="76A3AEB7" w:rsidR="00250FA5" w:rsidRPr="00250FA5" w:rsidRDefault="00616D73" w:rsidP="00250FA5">
      <w:pPr>
        <w:spacing w:before="0" w:after="240"/>
        <w:jc w:val="left"/>
        <w:rPr>
          <w:rFonts w:ascii="Times New Roman" w:eastAsia="Calibri" w:hAnsi="Times New Roman" w:cs="Times New Roman"/>
        </w:rPr>
      </w:pPr>
      <w:r>
        <w:rPr>
          <w:rFonts w:ascii="Times New Roman" w:eastAsia="Calibri" w:hAnsi="Times New Roman" w:cs="Times New Roman"/>
        </w:rPr>
        <w:t xml:space="preserve">In considering </w:t>
      </w:r>
      <w:r w:rsidRPr="00250FA5">
        <w:rPr>
          <w:rFonts w:ascii="Times New Roman" w:eastAsia="Calibri" w:hAnsi="Times New Roman" w:cs="Times New Roman"/>
        </w:rPr>
        <w:t>the previous submission</w:t>
      </w:r>
      <w:r>
        <w:rPr>
          <w:rFonts w:ascii="Times New Roman" w:eastAsia="Calibri" w:hAnsi="Times New Roman" w:cs="Times New Roman"/>
        </w:rPr>
        <w:t>,</w:t>
      </w:r>
      <w:r w:rsidRPr="00250FA5">
        <w:rPr>
          <w:rFonts w:ascii="Times New Roman" w:eastAsia="Calibri" w:hAnsi="Times New Roman" w:cs="Times New Roman"/>
        </w:rPr>
        <w:t xml:space="preserve"> </w:t>
      </w:r>
      <w:r w:rsidR="00250FA5" w:rsidRPr="00250FA5">
        <w:rPr>
          <w:rFonts w:ascii="Times New Roman" w:eastAsia="Calibri" w:hAnsi="Times New Roman" w:cs="Times New Roman"/>
        </w:rPr>
        <w:t xml:space="preserve">MSAC noted there is some evidence there may be differences in PD-L1 status between resection and core biopsy specimens. The </w:t>
      </w:r>
      <w:r>
        <w:rPr>
          <w:rFonts w:ascii="Times New Roman" w:eastAsia="Calibri" w:hAnsi="Times New Roman" w:cs="Times New Roman"/>
        </w:rPr>
        <w:t xml:space="preserve">related </w:t>
      </w:r>
      <w:r w:rsidR="00250FA5" w:rsidRPr="00250FA5">
        <w:rPr>
          <w:rFonts w:ascii="Times New Roman" w:eastAsia="Calibri" w:hAnsi="Times New Roman" w:cs="Times New Roman"/>
        </w:rPr>
        <w:t xml:space="preserve">pre-ESC </w:t>
      </w:r>
      <w:r w:rsidR="003824BB">
        <w:rPr>
          <w:rFonts w:ascii="Times New Roman" w:eastAsia="Calibri" w:hAnsi="Times New Roman" w:cs="Times New Roman"/>
        </w:rPr>
        <w:t>r</w:t>
      </w:r>
      <w:r w:rsidR="00250FA5" w:rsidRPr="00250FA5">
        <w:rPr>
          <w:rFonts w:ascii="Times New Roman" w:eastAsia="Calibri" w:hAnsi="Times New Roman" w:cs="Times New Roman"/>
        </w:rPr>
        <w:t>esponse also highlighted that the product information for the 22C3 antibody states that fine needle aspirates (FNA) have not been validated and considered that limiting to either core biopsy or excision would be consistent with tissue samples used in the KN048 trial. (Section 14 p20, application no. 1522 PSD, November 2020 MSAC Meeting).</w:t>
      </w:r>
    </w:p>
    <w:p w14:paraId="49727610" w14:textId="39C11E92" w:rsidR="00250FA5" w:rsidRPr="00FF7462" w:rsidRDefault="00250FA5" w:rsidP="00616D73">
      <w:pPr>
        <w:spacing w:before="0" w:after="240"/>
        <w:jc w:val="left"/>
        <w:rPr>
          <w:rFonts w:ascii="Times New Roman" w:eastAsia="Calibri" w:hAnsi="Times New Roman" w:cs="Times New Roman"/>
          <w:szCs w:val="20"/>
          <w:lang w:eastAsia="en-AU"/>
        </w:rPr>
      </w:pPr>
      <w:r w:rsidRPr="00250FA5">
        <w:rPr>
          <w:rFonts w:ascii="Times New Roman" w:eastAsia="Calibri" w:hAnsi="Times New Roman" w:cs="Times New Roman"/>
        </w:rPr>
        <w:t xml:space="preserve">The commentary </w:t>
      </w:r>
      <w:r w:rsidR="00616D73">
        <w:rPr>
          <w:rFonts w:ascii="Times New Roman" w:eastAsia="Calibri" w:hAnsi="Times New Roman" w:cs="Times New Roman"/>
        </w:rPr>
        <w:t xml:space="preserve">for the resubmission </w:t>
      </w:r>
      <w:r w:rsidRPr="00250FA5">
        <w:rPr>
          <w:rFonts w:ascii="Times New Roman" w:eastAsia="Calibri" w:hAnsi="Times New Roman" w:cs="Times New Roman"/>
        </w:rPr>
        <w:t>highlighted that the ESCs had previously suggested that the proposed item descriptor should specify that PD-L1 CPS testing should occur once per cancer recurrence or metastasis. (p21, application no. 1522 PSD, November 2020 MSAC Meeting)</w:t>
      </w:r>
    </w:p>
    <w:p w14:paraId="4728200D" w14:textId="46678E36"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resubmission expect</w:t>
      </w:r>
      <w:r w:rsidR="00141940">
        <w:rPr>
          <w:rFonts w:ascii="Times New Roman" w:eastAsia="Calibri" w:hAnsi="Times New Roman" w:cs="Times New Roman"/>
        </w:rPr>
        <w:t>ed</w:t>
      </w:r>
      <w:r w:rsidRPr="00250FA5">
        <w:rPr>
          <w:rFonts w:ascii="Times New Roman" w:eastAsia="Calibri" w:hAnsi="Times New Roman" w:cs="Times New Roman"/>
        </w:rPr>
        <w:t xml:space="preserve"> that the majority of 22C3 antibody assay tests will be laboratory developed tests conducted on the Ventana </w:t>
      </w:r>
      <w:proofErr w:type="spellStart"/>
      <w:r w:rsidRPr="00250FA5">
        <w:rPr>
          <w:rFonts w:ascii="Times New Roman" w:eastAsia="Calibri" w:hAnsi="Times New Roman" w:cs="Times New Roman"/>
        </w:rPr>
        <w:t>BenchMark</w:t>
      </w:r>
      <w:proofErr w:type="spellEnd"/>
      <w:r w:rsidRPr="00250FA5">
        <w:rPr>
          <w:rFonts w:ascii="Times New Roman" w:eastAsia="Calibri" w:hAnsi="Times New Roman" w:cs="Times New Roman"/>
        </w:rPr>
        <w:t xml:space="preserve"> XT platform as the majority of platforms in Australia are Ventana (approximately 95%). While this is different to the 22C3 </w:t>
      </w:r>
      <w:proofErr w:type="spellStart"/>
      <w:r w:rsidRPr="00250FA5">
        <w:rPr>
          <w:rFonts w:ascii="Times New Roman" w:eastAsia="Calibri" w:hAnsi="Times New Roman" w:cs="Times New Roman"/>
        </w:rPr>
        <w:t>pharmDx</w:t>
      </w:r>
      <w:proofErr w:type="spellEnd"/>
      <w:r w:rsidRPr="00250FA5">
        <w:rPr>
          <w:rFonts w:ascii="Times New Roman" w:eastAsia="Calibri" w:hAnsi="Times New Roman" w:cs="Times New Roman"/>
        </w:rPr>
        <w:t xml:space="preserve"> kit used in the pembrolizumab clinical trials which requires the </w:t>
      </w:r>
      <w:proofErr w:type="spellStart"/>
      <w:r w:rsidRPr="00250FA5">
        <w:rPr>
          <w:rFonts w:ascii="Times New Roman" w:eastAsia="Calibri" w:hAnsi="Times New Roman" w:cs="Times New Roman"/>
        </w:rPr>
        <w:t>Autostainer</w:t>
      </w:r>
      <w:proofErr w:type="spellEnd"/>
      <w:r w:rsidRPr="00250FA5">
        <w:rPr>
          <w:rFonts w:ascii="Times New Roman" w:eastAsia="Calibri" w:hAnsi="Times New Roman" w:cs="Times New Roman"/>
        </w:rPr>
        <w:t xml:space="preserve"> Link 48 platform, there is a high level of concordance between the 22C3 antibody protocols between the two platforms. Therefore, it is likely that the PD-L1 test for R/M HNSCC will be available at any NATA accredited laboratory in Australia.</w:t>
      </w:r>
    </w:p>
    <w:p w14:paraId="69625D33" w14:textId="491311A1" w:rsidR="00250FA5" w:rsidRPr="00250FA5" w:rsidRDefault="00250FA5" w:rsidP="00250FA5">
      <w:pPr>
        <w:spacing w:before="0" w:after="240"/>
        <w:jc w:val="left"/>
        <w:rPr>
          <w:rFonts w:ascii="Times New Roman" w:eastAsia="Calibri" w:hAnsi="Times New Roman" w:cs="Arial"/>
        </w:rPr>
      </w:pPr>
      <w:r w:rsidRPr="00250FA5">
        <w:rPr>
          <w:rFonts w:ascii="Times New Roman" w:eastAsia="Calibri" w:hAnsi="Times New Roman" w:cs="Times New Roman"/>
        </w:rPr>
        <w:t xml:space="preserve">The resubmission provided some details of the proposed quality assurance program. The </w:t>
      </w:r>
      <w:r w:rsidR="00AE47D0">
        <w:rPr>
          <w:rFonts w:ascii="Times New Roman" w:eastAsia="Calibri" w:hAnsi="Times New Roman" w:cs="Times New Roman"/>
        </w:rPr>
        <w:t xml:space="preserve">applicant has </w:t>
      </w:r>
      <w:r w:rsidRPr="00250FA5">
        <w:rPr>
          <w:rFonts w:ascii="Times New Roman" w:eastAsia="Calibri" w:hAnsi="Times New Roman" w:cs="Times New Roman"/>
        </w:rPr>
        <w:t xml:space="preserve">supported training for four pathologists as trainers in PD-L1 testing for R/M HNSCC and these pathologists have trained 22 pathologists with plans to train an additional 48 in 2021. For the pathologists trained to date, all pathologists have passed the training course, achieving at least 85% concordance with index cases. The </w:t>
      </w:r>
      <w:r w:rsidR="00AE47D0">
        <w:rPr>
          <w:rFonts w:ascii="Times New Roman" w:eastAsia="Calibri" w:hAnsi="Times New Roman" w:cs="Times New Roman"/>
        </w:rPr>
        <w:t>applicant</w:t>
      </w:r>
      <w:r w:rsidRPr="00250FA5">
        <w:rPr>
          <w:rFonts w:ascii="Times New Roman" w:eastAsia="Calibri" w:hAnsi="Times New Roman" w:cs="Times New Roman"/>
        </w:rPr>
        <w:t xml:space="preserve"> is in contact with the Royal College of Pathologists Quality Assurance Programs (RCPAQAP) regarding on going plans for PD-L1 testing for their members related to both technical and interpretation modules offered.</w:t>
      </w:r>
    </w:p>
    <w:p w14:paraId="3F4F4E5A" w14:textId="1FA24945" w:rsidR="00250FA5" w:rsidRPr="00DD5EF9" w:rsidRDefault="00250FA5" w:rsidP="00DD5EF9">
      <w:pPr>
        <w:pStyle w:val="Heading1"/>
        <w:numPr>
          <w:ilvl w:val="0"/>
          <w:numId w:val="69"/>
        </w:numPr>
        <w:tabs>
          <w:tab w:val="clear" w:pos="1080"/>
        </w:tabs>
        <w:spacing w:before="240" w:after="240" w:line="240" w:lineRule="auto"/>
        <w:ind w:left="720"/>
        <w:rPr>
          <w:rFonts w:ascii="Arial" w:hAnsi="Arial" w:cs="Arial"/>
          <w:bCs/>
          <w:sz w:val="24"/>
          <w:lang w:eastAsia="en-AU"/>
        </w:rPr>
      </w:pPr>
      <w:r w:rsidRPr="00DD5EF9">
        <w:rPr>
          <w:rFonts w:ascii="Arial" w:hAnsi="Arial" w:cs="Arial"/>
          <w:bCs/>
          <w:sz w:val="24"/>
          <w:lang w:eastAsia="en-AU"/>
        </w:rPr>
        <w:t xml:space="preserve">Summary of </w:t>
      </w:r>
      <w:r w:rsidR="00AE47D0" w:rsidRPr="00DD5EF9">
        <w:rPr>
          <w:rFonts w:ascii="Arial" w:hAnsi="Arial" w:cs="Arial"/>
          <w:bCs/>
          <w:sz w:val="24"/>
          <w:lang w:eastAsia="en-AU"/>
        </w:rPr>
        <w:t>public consultation feedback/consumer issues</w:t>
      </w:r>
    </w:p>
    <w:p w14:paraId="607DA0D8" w14:textId="6D930E30" w:rsidR="00250FA5" w:rsidRPr="00250FA5" w:rsidRDefault="00250FA5" w:rsidP="003C20B8">
      <w:pPr>
        <w:spacing w:before="0" w:after="240"/>
        <w:jc w:val="left"/>
        <w:rPr>
          <w:rFonts w:ascii="Times New Roman" w:eastAsia="Times New Roman" w:hAnsi="Times New Roman" w:cs="Times New Roman"/>
          <w:iCs/>
          <w:szCs w:val="20"/>
          <w:lang w:eastAsia="en-AU"/>
        </w:rPr>
      </w:pPr>
      <w:r w:rsidRPr="00250FA5">
        <w:rPr>
          <w:rFonts w:ascii="Times New Roman" w:eastAsia="Times New Roman" w:hAnsi="Times New Roman" w:cs="Times New Roman"/>
          <w:iCs/>
          <w:szCs w:val="20"/>
          <w:lang w:eastAsia="en-AU"/>
        </w:rPr>
        <w:t xml:space="preserve">Consultation feedback was received from one consumer organisation - </w:t>
      </w:r>
      <w:r w:rsidR="003C20B8">
        <w:rPr>
          <w:rFonts w:ascii="Times New Roman" w:eastAsia="Times New Roman" w:hAnsi="Times New Roman" w:cs="Times New Roman"/>
          <w:iCs/>
          <w:szCs w:val="20"/>
          <w:lang w:eastAsia="en-AU"/>
        </w:rPr>
        <w:t>Head</w:t>
      </w:r>
      <w:r w:rsidR="003C20B8" w:rsidRPr="00250FA5">
        <w:rPr>
          <w:rFonts w:ascii="Times New Roman" w:eastAsia="Times New Roman" w:hAnsi="Times New Roman" w:cs="Times New Roman"/>
          <w:iCs/>
          <w:szCs w:val="20"/>
          <w:lang w:eastAsia="en-AU"/>
        </w:rPr>
        <w:t xml:space="preserve"> </w:t>
      </w:r>
      <w:r w:rsidRPr="00250FA5">
        <w:rPr>
          <w:rFonts w:ascii="Times New Roman" w:eastAsia="Times New Roman" w:hAnsi="Times New Roman" w:cs="Times New Roman"/>
          <w:iCs/>
          <w:szCs w:val="20"/>
          <w:lang w:eastAsia="en-AU"/>
        </w:rPr>
        <w:t>and Neck Cancer Australia. The feedback was supportive of PD-L1 testing and pembrolizumab treatment. The feedback highlighted that head and neck cancer can leave a person unable to speak, it can leave them with devastating facial disfigurements and take away basic abilities such as eating, breathing, speaking, drinking and swallowing all of which can have a profound impact on a patient’s physical and psychological wellbeing. The feedback stated there is an unmet clinical need for effective treatments recurrent or metastatic head and neck cancer.</w:t>
      </w:r>
    </w:p>
    <w:p w14:paraId="1530A280" w14:textId="1D648F32" w:rsidR="00250FA5" w:rsidRPr="00250FA5" w:rsidRDefault="00250FA5" w:rsidP="00DD5EF9">
      <w:pPr>
        <w:spacing w:after="0"/>
        <w:jc w:val="left"/>
        <w:rPr>
          <w:rFonts w:ascii="Times New Roman" w:eastAsia="Times New Roman" w:hAnsi="Times New Roman" w:cs="Times New Roman"/>
          <w:sz w:val="6"/>
          <w:szCs w:val="6"/>
          <w:lang w:eastAsia="en-AU"/>
        </w:rPr>
      </w:pPr>
      <w:r w:rsidRPr="00250FA5">
        <w:rPr>
          <w:rFonts w:ascii="Times New Roman" w:eastAsia="Times New Roman" w:hAnsi="Times New Roman" w:cs="Times New Roman"/>
          <w:szCs w:val="20"/>
          <w:lang w:eastAsia="en-AU"/>
        </w:rPr>
        <w:t>PASC previously noted the following targeted consultation feedback (</w:t>
      </w:r>
      <w:hyperlink r:id="rId11" w:history="1">
        <w:r w:rsidRPr="00250FA5">
          <w:rPr>
            <w:rFonts w:ascii="Times New Roman" w:eastAsia="Times New Roman" w:hAnsi="Times New Roman" w:cs="Times New Roman"/>
            <w:color w:val="0000FF"/>
            <w:szCs w:val="20"/>
            <w:u w:val="single"/>
            <w:lang w:eastAsia="en-AU"/>
          </w:rPr>
          <w:t>Ratified PICO confirmation 1522</w:t>
        </w:r>
      </w:hyperlink>
      <w:r w:rsidRPr="00250FA5">
        <w:rPr>
          <w:rFonts w:ascii="Times New Roman" w:eastAsia="Times New Roman" w:hAnsi="Times New Roman" w:cs="Times New Roman"/>
          <w:szCs w:val="20"/>
          <w:lang w:eastAsia="en-AU"/>
        </w:rPr>
        <w:t>, 2020, p17):</w:t>
      </w:r>
      <w:r w:rsidRPr="00250FA5">
        <w:rPr>
          <w:rFonts w:ascii="Times New Roman" w:eastAsia="Times New Roman" w:hAnsi="Times New Roman" w:cs="Times New Roman"/>
          <w:szCs w:val="20"/>
          <w:lang w:eastAsia="en-AU"/>
        </w:rPr>
        <w:br/>
      </w:r>
    </w:p>
    <w:p w14:paraId="05D6C2A6" w14:textId="78D5A911" w:rsidR="00250FA5" w:rsidRPr="00C41B17" w:rsidRDefault="00250FA5" w:rsidP="00A2043B">
      <w:pPr>
        <w:numPr>
          <w:ilvl w:val="0"/>
          <w:numId w:val="81"/>
        </w:numPr>
        <w:spacing w:before="0"/>
        <w:ind w:left="714" w:hanging="357"/>
        <w:jc w:val="left"/>
        <w:rPr>
          <w:rFonts w:ascii="Times New Roman" w:eastAsia="Times New Roman" w:hAnsi="Times New Roman" w:cs="Times New Roman"/>
          <w:szCs w:val="24"/>
          <w:lang w:eastAsia="en-AU"/>
        </w:rPr>
      </w:pPr>
      <w:r w:rsidRPr="00250FA5">
        <w:rPr>
          <w:rFonts w:ascii="Times New Roman" w:eastAsia="Times New Roman" w:hAnsi="Times New Roman" w:cs="Times New Roman"/>
          <w:szCs w:val="20"/>
          <w:lang w:eastAsia="en-AU"/>
        </w:rPr>
        <w:tab/>
      </w:r>
      <w:r w:rsidRPr="00250FA5">
        <w:rPr>
          <w:rFonts w:ascii="Times New Roman" w:eastAsia="Times New Roman" w:hAnsi="Times New Roman" w:cs="Times New Roman"/>
          <w:iCs/>
          <w:szCs w:val="20"/>
          <w:lang w:eastAsia="en-AU"/>
        </w:rPr>
        <w:t xml:space="preserve">Royal College of Pathologists </w:t>
      </w:r>
      <w:r w:rsidRPr="00A2043B">
        <w:rPr>
          <w:rFonts w:ascii="Times New Roman" w:eastAsia="Calibri" w:hAnsi="Times New Roman" w:cs="Times New Roman"/>
          <w:szCs w:val="20"/>
        </w:rPr>
        <w:t>of</w:t>
      </w:r>
      <w:r w:rsidRPr="00250FA5">
        <w:rPr>
          <w:rFonts w:ascii="Times New Roman" w:eastAsia="Times New Roman" w:hAnsi="Times New Roman" w:cs="Times New Roman"/>
          <w:iCs/>
          <w:szCs w:val="20"/>
          <w:lang w:eastAsia="en-AU"/>
        </w:rPr>
        <w:t xml:space="preserve"> Australasia (RCPA):</w:t>
      </w:r>
      <w:r w:rsidRPr="00250FA5">
        <w:rPr>
          <w:rFonts w:ascii="Times New Roman" w:eastAsia="Times New Roman" w:hAnsi="Times New Roman" w:cs="Times New Roman"/>
          <w:szCs w:val="20"/>
          <w:lang w:eastAsia="en-AU"/>
        </w:rPr>
        <w:t xml:space="preserve"> While supporting this application (1522), the respondent highlighted previously raised issues about the imperfect nature of PD-L1 IHC as a predictive biomarker for selecting patients likely to respond to immunotherapy. The</w:t>
      </w:r>
      <w:r w:rsidR="00616D73">
        <w:rPr>
          <w:rFonts w:ascii="Times New Roman" w:eastAsia="Times New Roman" w:hAnsi="Times New Roman" w:cs="Times New Roman"/>
          <w:szCs w:val="20"/>
          <w:lang w:eastAsia="en-AU"/>
        </w:rPr>
        <w:t xml:space="preserve"> RCPA</w:t>
      </w:r>
      <w:r w:rsidRPr="00250FA5">
        <w:rPr>
          <w:rFonts w:ascii="Times New Roman" w:eastAsia="Times New Roman" w:hAnsi="Times New Roman" w:cs="Times New Roman"/>
          <w:szCs w:val="20"/>
          <w:lang w:eastAsia="en-AU"/>
        </w:rPr>
        <w:t xml:space="preserve"> also highlighted challenges associated with different scoring algorithms for different tumour types, and inter-operability of assays. Despite this, the</w:t>
      </w:r>
      <w:r w:rsidR="00616D73">
        <w:rPr>
          <w:rFonts w:ascii="Times New Roman" w:eastAsia="Times New Roman" w:hAnsi="Times New Roman" w:cs="Times New Roman"/>
          <w:szCs w:val="20"/>
          <w:lang w:eastAsia="en-AU"/>
        </w:rPr>
        <w:t xml:space="preserve"> RCPA</w:t>
      </w:r>
      <w:r w:rsidRPr="00250FA5">
        <w:rPr>
          <w:rFonts w:ascii="Times New Roman" w:eastAsia="Times New Roman" w:hAnsi="Times New Roman" w:cs="Times New Roman"/>
          <w:szCs w:val="20"/>
          <w:lang w:eastAsia="en-AU"/>
        </w:rPr>
        <w:t xml:space="preserve"> acknowledge</w:t>
      </w:r>
      <w:r w:rsidR="00616D73">
        <w:rPr>
          <w:rFonts w:ascii="Times New Roman" w:eastAsia="Times New Roman" w:hAnsi="Times New Roman" w:cs="Times New Roman"/>
          <w:szCs w:val="20"/>
          <w:lang w:eastAsia="en-AU"/>
        </w:rPr>
        <w:t>d</w:t>
      </w:r>
      <w:r w:rsidRPr="00250FA5">
        <w:rPr>
          <w:rFonts w:ascii="Times New Roman" w:eastAsia="Times New Roman" w:hAnsi="Times New Roman" w:cs="Times New Roman"/>
          <w:szCs w:val="20"/>
          <w:lang w:eastAsia="en-AU"/>
        </w:rPr>
        <w:t xml:space="preserve"> there is no clear alternative assay or gold standard, and it is the best test currently available. The RCPA </w:t>
      </w:r>
      <w:r w:rsidR="00616D73">
        <w:rPr>
          <w:rFonts w:ascii="Times New Roman" w:eastAsia="Times New Roman" w:hAnsi="Times New Roman" w:cs="Times New Roman"/>
          <w:szCs w:val="20"/>
          <w:lang w:eastAsia="en-AU"/>
        </w:rPr>
        <w:t xml:space="preserve">also </w:t>
      </w:r>
      <w:r w:rsidRPr="00250FA5">
        <w:rPr>
          <w:rFonts w:ascii="Times New Roman" w:eastAsia="Times New Roman" w:hAnsi="Times New Roman" w:cs="Times New Roman"/>
          <w:iCs/>
          <w:szCs w:val="20"/>
          <w:lang w:eastAsia="en-AU"/>
        </w:rPr>
        <w:t>noted ‘In the head and neck, the combined positive score is a useful PD-L1 scoring method’ of PD-L1 testing to assist in selecting patients who may benefit from immunotherapy. RCPA noted ‘the importance of Quality Assurance Programs (QAP) and accurate training in the diagnostic evaluation of PD-L1 positivity in this context. The assessment of PD-L1 is challenging in existing testing contexts, as it can suffer from variability and ambiguities in interpretation. Multiple PD-L1 antibodies are available. There is also variation in the affinity and staining intensity of the tumour cells and immune infiltrate. However, this can be managed with a high standard of training and QAP involvement.’</w:t>
      </w:r>
    </w:p>
    <w:p w14:paraId="04703BB8" w14:textId="543AD10F" w:rsidR="00250FA5" w:rsidRPr="00DD5EF9" w:rsidRDefault="00250FA5" w:rsidP="00B2387B">
      <w:pPr>
        <w:numPr>
          <w:ilvl w:val="0"/>
          <w:numId w:val="81"/>
        </w:numPr>
        <w:spacing w:before="0" w:after="0"/>
        <w:ind w:left="714" w:hanging="357"/>
        <w:jc w:val="left"/>
        <w:rPr>
          <w:rFonts w:ascii="Times New Roman" w:eastAsia="Times New Roman" w:hAnsi="Times New Roman" w:cs="Times New Roman"/>
          <w:szCs w:val="20"/>
          <w:lang w:eastAsia="en-AU"/>
        </w:rPr>
      </w:pPr>
      <w:r w:rsidRPr="00B2387B">
        <w:rPr>
          <w:rFonts w:ascii="Times New Roman" w:eastAsia="Times New Roman" w:hAnsi="Times New Roman" w:cs="Times New Roman"/>
          <w:szCs w:val="20"/>
          <w:lang w:eastAsia="en-AU"/>
        </w:rPr>
        <w:tab/>
        <w:t xml:space="preserve">Specialist / medical oncologist — </w:t>
      </w:r>
      <w:r w:rsidRPr="00250FA5">
        <w:rPr>
          <w:rFonts w:ascii="Times New Roman" w:eastAsia="Times New Roman" w:hAnsi="Times New Roman" w:cs="Times New Roman"/>
          <w:szCs w:val="20"/>
          <w:lang w:eastAsia="en-AU"/>
        </w:rPr>
        <w:t xml:space="preserve">Peter </w:t>
      </w:r>
      <w:r w:rsidRPr="00A2043B">
        <w:rPr>
          <w:rFonts w:ascii="Times New Roman" w:eastAsia="Calibri" w:hAnsi="Times New Roman" w:cs="Times New Roman"/>
          <w:szCs w:val="20"/>
        </w:rPr>
        <w:t>MacCallum</w:t>
      </w:r>
      <w:r w:rsidRPr="00250FA5">
        <w:rPr>
          <w:rFonts w:ascii="Times New Roman" w:eastAsia="Times New Roman" w:hAnsi="Times New Roman" w:cs="Times New Roman"/>
          <w:szCs w:val="20"/>
          <w:lang w:eastAsia="en-AU"/>
        </w:rPr>
        <w:t xml:space="preserve"> Cancer Centre, Melbourne: Supports the application, but declared a conflict of interest as an investigator in KEYNOTE-048.</w:t>
      </w:r>
    </w:p>
    <w:p w14:paraId="4FE5D24A" w14:textId="69209EF1" w:rsidR="00250FA5" w:rsidRPr="00DD5EF9" w:rsidRDefault="00250FA5" w:rsidP="00DD5EF9">
      <w:pPr>
        <w:pStyle w:val="Heading1"/>
        <w:numPr>
          <w:ilvl w:val="0"/>
          <w:numId w:val="69"/>
        </w:numPr>
        <w:tabs>
          <w:tab w:val="clear" w:pos="1080"/>
        </w:tabs>
        <w:spacing w:before="240" w:after="240" w:line="240" w:lineRule="auto"/>
        <w:ind w:left="720"/>
        <w:rPr>
          <w:rFonts w:ascii="Arial" w:hAnsi="Arial" w:cs="Arial"/>
          <w:bCs/>
          <w:sz w:val="24"/>
          <w:lang w:eastAsia="en-AU"/>
        </w:rPr>
      </w:pPr>
      <w:r w:rsidRPr="00DD5EF9">
        <w:rPr>
          <w:rFonts w:ascii="Arial" w:hAnsi="Arial" w:cs="Arial"/>
          <w:bCs/>
          <w:sz w:val="24"/>
          <w:lang w:eastAsia="en-AU"/>
        </w:rPr>
        <w:t>Proposed intervention’s place in clinical management</w:t>
      </w:r>
    </w:p>
    <w:p w14:paraId="495F5CF9" w14:textId="77777777" w:rsidR="00DD5EF9" w:rsidRPr="00250FA5" w:rsidRDefault="00DD5EF9" w:rsidP="00DD5EF9">
      <w:pPr>
        <w:keepNext/>
        <w:keepLines/>
        <w:spacing w:after="0"/>
        <w:jc w:val="left"/>
        <w:outlineLvl w:val="1"/>
        <w:rPr>
          <w:rFonts w:ascii="Times New Roman" w:eastAsia="Times New Roman" w:hAnsi="Times New Roman" w:cs="Times New Roman"/>
          <w:bCs/>
          <w:i/>
          <w:szCs w:val="26"/>
          <w:lang w:eastAsia="en-AU"/>
        </w:rPr>
      </w:pPr>
      <w:r w:rsidRPr="00250FA5">
        <w:rPr>
          <w:rFonts w:ascii="Times New Roman" w:eastAsia="Times New Roman" w:hAnsi="Times New Roman" w:cs="Times New Roman"/>
          <w:bCs/>
          <w:i/>
          <w:szCs w:val="26"/>
          <w:lang w:eastAsia="en-AU"/>
        </w:rPr>
        <w:t>Description of proposed intervention</w:t>
      </w:r>
    </w:p>
    <w:p w14:paraId="6A7EA594" w14:textId="77777777" w:rsidR="00DD5EF9" w:rsidRPr="00250FA5" w:rsidRDefault="00DD5EF9" w:rsidP="00DD5EF9">
      <w:pPr>
        <w:spacing w:before="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The proposed medical service is an immunohistochemical (IHC) test for evaluation of PD-L1 expression to determine eligibility for treatment with pembrolizumab in patients with R/M SCC of the oral cavity, pharynx and larynx incurable by local therapies who have not had prior systemic therapy administered in the recurrent or metastatic setting. Tumour material obtained via a resected biopsy or core biopsy as part of usual care to confirm disease progression will be used for immunohistochemical testing using the 22C3 antibody as part of the </w:t>
      </w:r>
      <w:proofErr w:type="spellStart"/>
      <w:r w:rsidRPr="00250FA5">
        <w:rPr>
          <w:rFonts w:ascii="Times New Roman" w:eastAsia="Times New Roman" w:hAnsi="Times New Roman" w:cs="Times New Roman"/>
          <w:szCs w:val="20"/>
          <w:lang w:eastAsia="en-AU"/>
        </w:rPr>
        <w:t>PharmDX</w:t>
      </w:r>
      <w:proofErr w:type="spellEnd"/>
      <w:r w:rsidRPr="00250FA5">
        <w:rPr>
          <w:rFonts w:ascii="Times New Roman" w:eastAsia="Times New Roman" w:hAnsi="Times New Roman" w:cs="Times New Roman"/>
          <w:szCs w:val="20"/>
          <w:lang w:eastAsia="en-AU"/>
        </w:rPr>
        <w:t xml:space="preserve"> kit or as a laboratory developed test (LDT). The testing would be done by a pathologist alongside other immunohistochemical tests which are done routinely.</w:t>
      </w:r>
    </w:p>
    <w:p w14:paraId="66FF0C3D" w14:textId="77777777" w:rsidR="00DD5EF9" w:rsidRPr="00250FA5" w:rsidRDefault="00DD5EF9" w:rsidP="00DD5EF9">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The CPS algorithm was nominated to be used to score PD-L1 IHC staining. CPS measures the number of PD-L1 stained cells, including tumour cells, lymphocytes, and macrophages, divided by the total number of viable tumour cells, multiplied by 100. The Keynote-048 (KN048; the pembrolizumab trial presented in the ADAR), used the 22C3 </w:t>
      </w:r>
      <w:proofErr w:type="spellStart"/>
      <w:r w:rsidRPr="00250FA5">
        <w:rPr>
          <w:rFonts w:ascii="Times New Roman" w:eastAsia="Times New Roman" w:hAnsi="Times New Roman" w:cs="Times New Roman"/>
          <w:szCs w:val="20"/>
          <w:lang w:eastAsia="en-AU"/>
        </w:rPr>
        <w:t>PharmDX</w:t>
      </w:r>
      <w:proofErr w:type="spellEnd"/>
      <w:r w:rsidRPr="00250FA5">
        <w:rPr>
          <w:rFonts w:ascii="Times New Roman" w:eastAsia="Times New Roman" w:hAnsi="Times New Roman" w:cs="Times New Roman"/>
          <w:szCs w:val="20"/>
          <w:lang w:eastAsia="en-AU"/>
        </w:rPr>
        <w:t xml:space="preserve"> kit which requires the </w:t>
      </w:r>
      <w:proofErr w:type="spellStart"/>
      <w:r w:rsidRPr="00250FA5">
        <w:rPr>
          <w:rFonts w:ascii="Times New Roman" w:eastAsia="Times New Roman" w:hAnsi="Times New Roman" w:cs="Times New Roman"/>
          <w:szCs w:val="20"/>
          <w:lang w:eastAsia="en-AU"/>
        </w:rPr>
        <w:t>Autostainer</w:t>
      </w:r>
      <w:proofErr w:type="spellEnd"/>
      <w:r w:rsidRPr="00250FA5">
        <w:rPr>
          <w:rFonts w:ascii="Times New Roman" w:eastAsia="Times New Roman" w:hAnsi="Times New Roman" w:cs="Times New Roman"/>
          <w:szCs w:val="20"/>
          <w:lang w:eastAsia="en-AU"/>
        </w:rPr>
        <w:t xml:space="preserve"> Link 48 platform.</w:t>
      </w:r>
    </w:p>
    <w:p w14:paraId="3EC1498F" w14:textId="1DA81363" w:rsidR="00250FA5" w:rsidRPr="005A1C99" w:rsidRDefault="00250FA5" w:rsidP="00DD5EF9">
      <w:pPr>
        <w:spacing w:before="240" w:after="240"/>
        <w:jc w:val="left"/>
        <w:rPr>
          <w:rFonts w:ascii="Times New Roman" w:eastAsia="Calibri" w:hAnsi="Times New Roman" w:cs="Times New Roman"/>
          <w:szCs w:val="24"/>
        </w:rPr>
      </w:pPr>
      <w:r w:rsidRPr="00250FA5">
        <w:rPr>
          <w:rFonts w:ascii="Times New Roman" w:eastAsia="Calibri" w:hAnsi="Times New Roman" w:cs="Times New Roman"/>
        </w:rPr>
        <w:t xml:space="preserve">The clinical management algorithms for current practice and for the intended use of testing for PD-L1 and pembrolizumab for the treatment of R/M HNSCC </w:t>
      </w:r>
      <w:r w:rsidRPr="005A1C99">
        <w:rPr>
          <w:rFonts w:ascii="Times New Roman" w:eastAsia="Calibri" w:hAnsi="Times New Roman" w:cs="Times New Roman"/>
          <w:szCs w:val="24"/>
        </w:rPr>
        <w:t xml:space="preserve">are presented in </w:t>
      </w:r>
      <w:r w:rsidRPr="005A1C99">
        <w:rPr>
          <w:rFonts w:ascii="Times New Roman" w:hAnsi="Times New Roman" w:cs="Times New Roman"/>
          <w:szCs w:val="24"/>
        </w:rPr>
        <w:fldChar w:fldCharType="begin"/>
      </w:r>
      <w:r w:rsidRPr="005A1C99">
        <w:rPr>
          <w:rFonts w:ascii="Times New Roman" w:hAnsi="Times New Roman" w:cs="Times New Roman"/>
          <w:szCs w:val="24"/>
        </w:rPr>
        <w:instrText xml:space="preserve"> REF _Ref84576472 \h </w:instrText>
      </w:r>
      <w:r w:rsidR="005A1C99" w:rsidRPr="005A1C99">
        <w:rPr>
          <w:rFonts w:ascii="Times New Roman" w:hAnsi="Times New Roman" w:cs="Times New Roman"/>
          <w:szCs w:val="24"/>
        </w:rPr>
        <w:instrText xml:space="preserve"> \* MERGEFORMAT </w:instrText>
      </w:r>
      <w:r w:rsidRPr="005A1C99">
        <w:rPr>
          <w:rFonts w:ascii="Times New Roman" w:hAnsi="Times New Roman" w:cs="Times New Roman"/>
          <w:szCs w:val="24"/>
        </w:rPr>
      </w:r>
      <w:r w:rsidRPr="005A1C99">
        <w:rPr>
          <w:rFonts w:ascii="Times New Roman" w:hAnsi="Times New Roman" w:cs="Times New Roman"/>
          <w:szCs w:val="24"/>
        </w:rPr>
        <w:fldChar w:fldCharType="separate"/>
      </w:r>
      <w:r w:rsidR="000635B6" w:rsidRPr="000635B6">
        <w:rPr>
          <w:rFonts w:ascii="Times New Roman" w:hAnsi="Times New Roman" w:cs="Times New Roman"/>
          <w:szCs w:val="24"/>
        </w:rPr>
        <w:t xml:space="preserve">Figure </w:t>
      </w:r>
      <w:r w:rsidR="00530E8C">
        <w:rPr>
          <w:rFonts w:ascii="Times New Roman" w:hAnsi="Times New Roman" w:cs="Times New Roman"/>
          <w:szCs w:val="24"/>
        </w:rPr>
        <w:t>1</w:t>
      </w:r>
      <w:r w:rsidRPr="005A1C99">
        <w:rPr>
          <w:rFonts w:ascii="Times New Roman" w:hAnsi="Times New Roman" w:cs="Times New Roman"/>
          <w:szCs w:val="24"/>
        </w:rPr>
        <w:fldChar w:fldCharType="end"/>
      </w:r>
      <w:r w:rsidRPr="005A1C99">
        <w:rPr>
          <w:rFonts w:ascii="Times New Roman" w:eastAsia="Calibri" w:hAnsi="Times New Roman" w:cs="Times New Roman"/>
          <w:szCs w:val="24"/>
        </w:rPr>
        <w:t xml:space="preserve"> and </w:t>
      </w:r>
      <w:r w:rsidRPr="005A1C99">
        <w:rPr>
          <w:rFonts w:ascii="Times New Roman" w:eastAsia="Calibri" w:hAnsi="Times New Roman" w:cs="Times New Roman"/>
          <w:szCs w:val="24"/>
        </w:rPr>
        <w:fldChar w:fldCharType="begin"/>
      </w:r>
      <w:r w:rsidRPr="005A1C99">
        <w:rPr>
          <w:rFonts w:ascii="Times New Roman" w:eastAsia="Calibri" w:hAnsi="Times New Roman" w:cs="Times New Roman"/>
          <w:szCs w:val="24"/>
        </w:rPr>
        <w:instrText xml:space="preserve"> REF _Ref84576475 \h </w:instrText>
      </w:r>
      <w:r w:rsidR="005A1C99" w:rsidRPr="005A1C99">
        <w:rPr>
          <w:rFonts w:ascii="Times New Roman" w:eastAsia="Calibri" w:hAnsi="Times New Roman" w:cs="Times New Roman"/>
          <w:szCs w:val="24"/>
        </w:rPr>
        <w:instrText xml:space="preserve"> \* MERGEFORMAT </w:instrText>
      </w:r>
      <w:r w:rsidRPr="005A1C99">
        <w:rPr>
          <w:rFonts w:ascii="Times New Roman" w:eastAsia="Calibri" w:hAnsi="Times New Roman" w:cs="Times New Roman"/>
          <w:szCs w:val="24"/>
        </w:rPr>
      </w:r>
      <w:r w:rsidRPr="005A1C99">
        <w:rPr>
          <w:rFonts w:ascii="Times New Roman" w:eastAsia="Calibri" w:hAnsi="Times New Roman" w:cs="Times New Roman"/>
          <w:szCs w:val="24"/>
        </w:rPr>
        <w:fldChar w:fldCharType="separate"/>
      </w:r>
      <w:r w:rsidR="000635B6" w:rsidRPr="000635B6">
        <w:rPr>
          <w:rFonts w:ascii="Times New Roman" w:eastAsia="Times New Roman" w:hAnsi="Times New Roman" w:cs="Times New Roman"/>
          <w:iCs/>
          <w:szCs w:val="24"/>
        </w:rPr>
        <w:t xml:space="preserve">Figure </w:t>
      </w:r>
      <w:r w:rsidR="00530E8C">
        <w:rPr>
          <w:rFonts w:ascii="Times New Roman" w:eastAsia="Times New Roman" w:hAnsi="Times New Roman" w:cs="Times New Roman"/>
          <w:iCs/>
          <w:szCs w:val="24"/>
        </w:rPr>
        <w:t>2</w:t>
      </w:r>
      <w:r w:rsidRPr="005A1C99">
        <w:rPr>
          <w:rFonts w:ascii="Times New Roman" w:eastAsia="Calibri" w:hAnsi="Times New Roman" w:cs="Times New Roman"/>
          <w:szCs w:val="24"/>
        </w:rPr>
        <w:fldChar w:fldCharType="end"/>
      </w:r>
      <w:r w:rsidRPr="005A1C99">
        <w:rPr>
          <w:rFonts w:ascii="Times New Roman" w:eastAsia="Calibri" w:hAnsi="Times New Roman" w:cs="Times New Roman"/>
          <w:szCs w:val="24"/>
        </w:rPr>
        <w:t>.</w:t>
      </w:r>
    </w:p>
    <w:p w14:paraId="182FC346" w14:textId="77777777" w:rsidR="00250FA5" w:rsidRPr="00250FA5" w:rsidRDefault="00250FA5" w:rsidP="00616D73">
      <w:pPr>
        <w:keepNext/>
        <w:spacing w:before="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noProof/>
          <w:szCs w:val="20"/>
          <w:lang w:eastAsia="en-AU"/>
        </w:rPr>
        <w:drawing>
          <wp:inline distT="0" distB="0" distL="0" distR="0" wp14:anchorId="015CF7E3" wp14:editId="4F48C1CB">
            <wp:extent cx="6116321" cy="3086100"/>
            <wp:effectExtent l="0" t="0" r="0" b="0"/>
            <wp:docPr id="6" name="Picture 3" descr="Current treatment algorithm for patients with R/M HNSCC presented in the re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urrent treatment algorithm for patients with R/M HNSCC presented in the resubmission"/>
                    <pic:cNvPicPr/>
                  </pic:nvPicPr>
                  <pic:blipFill>
                    <a:blip r:embed="rId12">
                      <a:extLst>
                        <a:ext uri="{28A0092B-C50C-407E-A947-70E740481C1C}">
                          <a14:useLocalDpi xmlns:a14="http://schemas.microsoft.com/office/drawing/2010/main" val="0"/>
                        </a:ext>
                      </a:extLst>
                    </a:blip>
                    <a:stretch>
                      <a:fillRect/>
                    </a:stretch>
                  </pic:blipFill>
                  <pic:spPr>
                    <a:xfrm>
                      <a:off x="0" y="0"/>
                      <a:ext cx="6116321" cy="3086100"/>
                    </a:xfrm>
                    <a:prstGeom prst="rect">
                      <a:avLst/>
                    </a:prstGeom>
                  </pic:spPr>
                </pic:pic>
              </a:graphicData>
            </a:graphic>
          </wp:inline>
        </w:drawing>
      </w:r>
    </w:p>
    <w:p w14:paraId="7B63237A" w14:textId="10F5F455" w:rsidR="00250FA5" w:rsidRPr="00250FA5" w:rsidRDefault="00250FA5" w:rsidP="002537A9">
      <w:pPr>
        <w:keepNext/>
        <w:spacing w:before="0" w:after="40"/>
        <w:ind w:left="993" w:hanging="993"/>
        <w:jc w:val="left"/>
        <w:outlineLvl w:val="4"/>
        <w:rPr>
          <w:rFonts w:ascii="Arial Narrow" w:eastAsia="Times New Roman" w:hAnsi="Arial Narrow" w:cs="Arial"/>
          <w:b/>
          <w:bCs/>
          <w:iCs/>
          <w:sz w:val="20"/>
          <w:szCs w:val="20"/>
        </w:rPr>
      </w:pPr>
      <w:bookmarkStart w:id="5" w:name="_Ref84576472"/>
      <w:r w:rsidRPr="00250FA5">
        <w:rPr>
          <w:rFonts w:ascii="Arial Narrow" w:eastAsia="Times New Roman" w:hAnsi="Arial Narrow" w:cs="Arial"/>
          <w:b/>
          <w:bCs/>
          <w:iCs/>
          <w:sz w:val="20"/>
          <w:szCs w:val="20"/>
        </w:rPr>
        <w:t xml:space="preserve">Figure </w:t>
      </w:r>
      <w:r w:rsidRPr="00250FA5">
        <w:rPr>
          <w:rFonts w:ascii="Arial Narrow" w:eastAsia="Times New Roman" w:hAnsi="Arial Narrow" w:cs="Arial"/>
          <w:b/>
          <w:bCs/>
          <w:iCs/>
          <w:sz w:val="20"/>
          <w:szCs w:val="20"/>
        </w:rPr>
        <w:fldChar w:fldCharType="begin"/>
      </w:r>
      <w:r w:rsidRPr="00250FA5">
        <w:rPr>
          <w:rFonts w:ascii="Arial Narrow" w:eastAsia="Times New Roman" w:hAnsi="Arial Narrow" w:cs="Arial"/>
          <w:b/>
          <w:bCs/>
          <w:iCs/>
          <w:sz w:val="20"/>
          <w:szCs w:val="20"/>
        </w:rPr>
        <w:instrText xml:space="preserve"> SEQ Figure \* ARABIC </w:instrText>
      </w:r>
      <w:r w:rsidRPr="00250FA5">
        <w:rPr>
          <w:rFonts w:ascii="Arial Narrow" w:eastAsia="Times New Roman" w:hAnsi="Arial Narrow" w:cs="Arial"/>
          <w:b/>
          <w:bCs/>
          <w:iCs/>
          <w:sz w:val="20"/>
          <w:szCs w:val="20"/>
        </w:rPr>
        <w:fldChar w:fldCharType="separate"/>
      </w:r>
      <w:r w:rsidR="004F186B">
        <w:rPr>
          <w:rFonts w:ascii="Arial Narrow" w:eastAsia="Times New Roman" w:hAnsi="Arial Narrow" w:cs="Arial"/>
          <w:b/>
          <w:bCs/>
          <w:iCs/>
          <w:noProof/>
          <w:sz w:val="20"/>
          <w:szCs w:val="20"/>
        </w:rPr>
        <w:t>1</w:t>
      </w:r>
      <w:r w:rsidRPr="00250FA5">
        <w:rPr>
          <w:rFonts w:ascii="Arial Narrow" w:eastAsia="Times New Roman" w:hAnsi="Arial Narrow" w:cs="Arial"/>
          <w:b/>
          <w:bCs/>
          <w:iCs/>
          <w:sz w:val="20"/>
          <w:szCs w:val="20"/>
        </w:rPr>
        <w:fldChar w:fldCharType="end"/>
      </w:r>
      <w:bookmarkEnd w:id="5"/>
      <w:r w:rsidR="00F54109" w:rsidRPr="00250FA5">
        <w:rPr>
          <w:rFonts w:ascii="Arial Narrow" w:eastAsia="Calibri" w:hAnsi="Arial Narrow" w:cs="Times New Roman"/>
          <w:b/>
          <w:iCs/>
          <w:noProof/>
          <w:sz w:val="20"/>
          <w:szCs w:val="18"/>
        </w:rPr>
        <w:tab/>
      </w:r>
      <w:r w:rsidRPr="00250FA5">
        <w:rPr>
          <w:rFonts w:ascii="Arial Narrow" w:eastAsia="Times New Roman" w:hAnsi="Arial Narrow" w:cs="Arial"/>
          <w:b/>
          <w:bCs/>
          <w:iCs/>
          <w:sz w:val="20"/>
          <w:szCs w:val="20"/>
        </w:rPr>
        <w:t>Current treatment algorithm for patients with R/M HNSCC presented in the resubmission</w:t>
      </w:r>
    </w:p>
    <w:p w14:paraId="46BC41F2" w14:textId="66F79ABC" w:rsidR="00250FA5" w:rsidRPr="00F85B87" w:rsidRDefault="00250FA5" w:rsidP="00250FA5">
      <w:pPr>
        <w:spacing w:before="0" w:after="0"/>
        <w:jc w:val="left"/>
        <w:rPr>
          <w:rFonts w:ascii="Arial Narrow" w:eastAsia="Times New Roman" w:hAnsi="Arial Narrow" w:cs="Times New Roman"/>
          <w:sz w:val="18"/>
          <w:szCs w:val="18"/>
          <w:lang w:eastAsia="en-AU"/>
        </w:rPr>
      </w:pPr>
      <w:r w:rsidRPr="00250FA5">
        <w:rPr>
          <w:rFonts w:ascii="Arial Narrow" w:eastAsia="Times New Roman" w:hAnsi="Arial Narrow" w:cs="Times New Roman"/>
          <w:sz w:val="18"/>
          <w:szCs w:val="18"/>
          <w:lang w:eastAsia="en-AU"/>
        </w:rPr>
        <w:t>Source: Figure 1.2-1, p 7 of the submission</w:t>
      </w:r>
    </w:p>
    <w:p w14:paraId="3F3AAD7E" w14:textId="77777777" w:rsidR="00250FA5" w:rsidRPr="00250FA5" w:rsidRDefault="00250FA5" w:rsidP="00616D73">
      <w:pPr>
        <w:keepNext/>
        <w:spacing w:before="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noProof/>
          <w:szCs w:val="20"/>
          <w:lang w:eastAsia="en-AU"/>
        </w:rPr>
        <w:drawing>
          <wp:inline distT="0" distB="0" distL="0" distR="0" wp14:anchorId="65EBED66" wp14:editId="082D2F55">
            <wp:extent cx="5731510" cy="2967875"/>
            <wp:effectExtent l="0" t="0" r="2540" b="4445"/>
            <wp:docPr id="28" name="Picture 28" descr="Proposed treatment algorithm for patients with R/M HNSCC presented in the re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Proposed treatment algorithm for patients with R/M HNSCC presented in the resubmission"/>
                    <pic:cNvPicPr/>
                  </pic:nvPicPr>
                  <pic:blipFill>
                    <a:blip r:embed="rId13">
                      <a:extLst>
                        <a:ext uri="{28A0092B-C50C-407E-A947-70E740481C1C}">
                          <a14:useLocalDpi xmlns:a14="http://schemas.microsoft.com/office/drawing/2010/main" val="0"/>
                        </a:ext>
                      </a:extLst>
                    </a:blip>
                    <a:stretch>
                      <a:fillRect/>
                    </a:stretch>
                  </pic:blipFill>
                  <pic:spPr>
                    <a:xfrm>
                      <a:off x="0" y="0"/>
                      <a:ext cx="5731510" cy="2967875"/>
                    </a:xfrm>
                    <a:prstGeom prst="rect">
                      <a:avLst/>
                    </a:prstGeom>
                    <a:ln w="3175">
                      <a:noFill/>
                    </a:ln>
                  </pic:spPr>
                </pic:pic>
              </a:graphicData>
            </a:graphic>
          </wp:inline>
        </w:drawing>
      </w:r>
    </w:p>
    <w:p w14:paraId="491E86AD" w14:textId="05E47228" w:rsidR="00250FA5" w:rsidRPr="00250FA5" w:rsidRDefault="00250FA5" w:rsidP="002537A9">
      <w:pPr>
        <w:keepNext/>
        <w:spacing w:before="0" w:after="40"/>
        <w:ind w:left="993" w:hanging="993"/>
        <w:jc w:val="left"/>
        <w:outlineLvl w:val="4"/>
        <w:rPr>
          <w:rFonts w:ascii="Arial Narrow" w:eastAsia="Times New Roman" w:hAnsi="Arial Narrow" w:cs="Arial"/>
          <w:b/>
          <w:bCs/>
          <w:iCs/>
          <w:sz w:val="20"/>
          <w:szCs w:val="20"/>
        </w:rPr>
      </w:pPr>
      <w:bookmarkStart w:id="6" w:name="_Ref84576475"/>
      <w:r w:rsidRPr="00250FA5">
        <w:rPr>
          <w:rFonts w:ascii="Arial Narrow" w:eastAsia="Times New Roman" w:hAnsi="Arial Narrow" w:cs="Arial"/>
          <w:b/>
          <w:bCs/>
          <w:iCs/>
          <w:sz w:val="20"/>
          <w:szCs w:val="20"/>
        </w:rPr>
        <w:t>Figure</w:t>
      </w:r>
      <w:r w:rsidR="00155FA9">
        <w:rPr>
          <w:rFonts w:ascii="Arial Narrow" w:eastAsia="Times New Roman" w:hAnsi="Arial Narrow" w:cs="Arial"/>
          <w:b/>
          <w:bCs/>
          <w:iCs/>
          <w:sz w:val="20"/>
          <w:szCs w:val="20"/>
        </w:rPr>
        <w:t xml:space="preserve"> </w:t>
      </w:r>
      <w:r w:rsidRPr="00250FA5">
        <w:rPr>
          <w:rFonts w:ascii="Arial Narrow" w:eastAsia="Times New Roman" w:hAnsi="Arial Narrow" w:cs="Arial"/>
          <w:b/>
          <w:bCs/>
          <w:iCs/>
          <w:sz w:val="20"/>
          <w:szCs w:val="20"/>
        </w:rPr>
        <w:fldChar w:fldCharType="begin"/>
      </w:r>
      <w:r w:rsidRPr="00250FA5">
        <w:rPr>
          <w:rFonts w:ascii="Arial Narrow" w:eastAsia="Times New Roman" w:hAnsi="Arial Narrow" w:cs="Arial"/>
          <w:b/>
          <w:bCs/>
          <w:iCs/>
          <w:sz w:val="20"/>
          <w:szCs w:val="20"/>
        </w:rPr>
        <w:instrText xml:space="preserve"> SEQ Figure \* ARABIC </w:instrText>
      </w:r>
      <w:r w:rsidRPr="00250FA5">
        <w:rPr>
          <w:rFonts w:ascii="Arial Narrow" w:eastAsia="Times New Roman" w:hAnsi="Arial Narrow" w:cs="Arial"/>
          <w:b/>
          <w:bCs/>
          <w:iCs/>
          <w:sz w:val="20"/>
          <w:szCs w:val="20"/>
        </w:rPr>
        <w:fldChar w:fldCharType="separate"/>
      </w:r>
      <w:r w:rsidR="004F186B">
        <w:rPr>
          <w:rFonts w:ascii="Arial Narrow" w:eastAsia="Times New Roman" w:hAnsi="Arial Narrow" w:cs="Arial"/>
          <w:b/>
          <w:bCs/>
          <w:iCs/>
          <w:noProof/>
          <w:sz w:val="20"/>
          <w:szCs w:val="20"/>
        </w:rPr>
        <w:t>2</w:t>
      </w:r>
      <w:r w:rsidRPr="00250FA5">
        <w:rPr>
          <w:rFonts w:ascii="Arial Narrow" w:eastAsia="Times New Roman" w:hAnsi="Arial Narrow" w:cs="Arial"/>
          <w:b/>
          <w:bCs/>
          <w:iCs/>
          <w:sz w:val="20"/>
          <w:szCs w:val="20"/>
        </w:rPr>
        <w:fldChar w:fldCharType="end"/>
      </w:r>
      <w:bookmarkEnd w:id="6"/>
      <w:r w:rsidR="00F54109" w:rsidRPr="00250FA5">
        <w:rPr>
          <w:rFonts w:ascii="Arial Narrow" w:eastAsia="Calibri" w:hAnsi="Arial Narrow" w:cs="Times New Roman"/>
          <w:b/>
          <w:iCs/>
          <w:noProof/>
          <w:sz w:val="20"/>
          <w:szCs w:val="18"/>
        </w:rPr>
        <w:tab/>
      </w:r>
      <w:r w:rsidRPr="00250FA5">
        <w:rPr>
          <w:rFonts w:ascii="Arial Narrow" w:eastAsia="Times New Roman" w:hAnsi="Arial Narrow" w:cs="Arial"/>
          <w:b/>
          <w:bCs/>
          <w:iCs/>
          <w:sz w:val="20"/>
          <w:szCs w:val="20"/>
        </w:rPr>
        <w:t>Proposed treatment algorithm for patients with R/M HNSCC presented in the resubmission</w:t>
      </w:r>
    </w:p>
    <w:p w14:paraId="332174C3" w14:textId="77777777" w:rsidR="00250FA5" w:rsidRPr="00250FA5" w:rsidRDefault="00250FA5" w:rsidP="001A2575">
      <w:pPr>
        <w:spacing w:before="0" w:after="0"/>
        <w:jc w:val="left"/>
        <w:rPr>
          <w:rFonts w:ascii="Arial Narrow" w:eastAsia="Times New Roman" w:hAnsi="Arial Narrow" w:cs="Times New Roman"/>
          <w:sz w:val="18"/>
          <w:szCs w:val="18"/>
          <w:lang w:eastAsia="en-AU"/>
        </w:rPr>
      </w:pPr>
      <w:r w:rsidRPr="00250FA5">
        <w:rPr>
          <w:rFonts w:ascii="Arial Narrow" w:eastAsia="Times New Roman" w:hAnsi="Arial Narrow" w:cs="Times New Roman"/>
          <w:sz w:val="18"/>
          <w:szCs w:val="18"/>
          <w:lang w:eastAsia="en-AU"/>
        </w:rPr>
        <w:t>Source: Figure 1.2-2, p 7 of the submission</w:t>
      </w:r>
    </w:p>
    <w:p w14:paraId="695A533D" w14:textId="48AF48A2" w:rsidR="00250FA5" w:rsidRPr="00616D73" w:rsidRDefault="00250FA5" w:rsidP="00DD5EF9">
      <w:pPr>
        <w:spacing w:before="240" w:after="240"/>
        <w:jc w:val="left"/>
        <w:rPr>
          <w:rFonts w:ascii="Times New Roman" w:eastAsia="Times New Roman" w:hAnsi="Times New Roman" w:cs="Times New Roman"/>
          <w:szCs w:val="20"/>
          <w:lang w:eastAsia="en-AU"/>
        </w:rPr>
      </w:pPr>
      <w:r w:rsidRPr="00250FA5">
        <w:rPr>
          <w:rFonts w:ascii="Times New Roman" w:eastAsia="Calibri" w:hAnsi="Times New Roman" w:cs="Times New Roman"/>
        </w:rPr>
        <w:t xml:space="preserve">The proposed medical service is an IHC test for evaluation of PD-L1 expression to determine eligibility for treatment with pembrolizumab in patients with R/M HNSCC of the oral cavity, pharynx and larynx incurable by local therapies who have not had prior systemic therapy administered in the recurrent or metastatic setting. Tumour material obtained via a resected biopsy or core biopsy as part of usual care to confirm disease progression would be used for IHC testing using the 22C3 antibody as part of the </w:t>
      </w:r>
      <w:proofErr w:type="spellStart"/>
      <w:r w:rsidRPr="00250FA5">
        <w:rPr>
          <w:rFonts w:ascii="Times New Roman" w:eastAsia="Calibri" w:hAnsi="Times New Roman" w:cs="Times New Roman"/>
        </w:rPr>
        <w:t>pharmDx</w:t>
      </w:r>
      <w:proofErr w:type="spellEnd"/>
      <w:r w:rsidRPr="00250FA5">
        <w:rPr>
          <w:rFonts w:ascii="Times New Roman" w:eastAsia="Calibri" w:hAnsi="Times New Roman" w:cs="Times New Roman"/>
        </w:rPr>
        <w:t xml:space="preserve"> kit or as a laboratory developed test (LDT). The testing would be done by a pathologist alongside other IHC tests which are done routinely.</w:t>
      </w:r>
    </w:p>
    <w:p w14:paraId="493839C1"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resubmission claimed that a sample biopsy is currently routinely conducted in the majority of recurrent patients to confirm recurrence. For patients who are unable to be re-biopsied or who have insufficient fresh tissue for testing, archival tissue from their biopsy at the initial diagnosis would be used for PD-L1 testing. Following the previous submission the ESCs agreed that a fresh sample was preferred, though positivity and negativity rates for PD-L1 were similar for archival and fresh tissue in KN048. The ESCs had previously agreed that the evidence presented in the submission suggested that the prevalence of CPS ≥1 was similar between fresh and archival tissue, but did provide evidence that the archival or fresh tissue samples were accurately classified and therefore did not fully support the claim that fresh and archival tissue would be interchangeable. Additionally, the ESCs had previously noted that there is some evidence that PD-L1 expression is dynamic and can vary between the primary tumour and metastases. (Section 14 p21, application no. 1522 PSD, November 2020 MSAC Meeting)</w:t>
      </w:r>
    </w:p>
    <w:p w14:paraId="0D0C7EDA"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The CPS algorithm was nominated to be used to score PD-L1 IHC staining. CPS measures the number of PD-L1 stained cells, including tumour cells, lymphocytes, and macrophages, divided by the total number of viable tumour cells, multiplied by 100. KN048 used the 22C3 </w:t>
      </w:r>
      <w:proofErr w:type="spellStart"/>
      <w:r w:rsidRPr="00250FA5">
        <w:rPr>
          <w:rFonts w:ascii="Times New Roman" w:eastAsia="Calibri" w:hAnsi="Times New Roman" w:cs="Times New Roman"/>
        </w:rPr>
        <w:t>pharmDx</w:t>
      </w:r>
      <w:proofErr w:type="spellEnd"/>
      <w:r w:rsidRPr="00250FA5">
        <w:rPr>
          <w:rFonts w:ascii="Times New Roman" w:eastAsia="Calibri" w:hAnsi="Times New Roman" w:cs="Times New Roman"/>
        </w:rPr>
        <w:t xml:space="preserve"> kit which requires the </w:t>
      </w:r>
      <w:proofErr w:type="spellStart"/>
      <w:r w:rsidRPr="00250FA5">
        <w:rPr>
          <w:rFonts w:ascii="Times New Roman" w:eastAsia="Calibri" w:hAnsi="Times New Roman" w:cs="Times New Roman"/>
        </w:rPr>
        <w:t>Autostainer</w:t>
      </w:r>
      <w:proofErr w:type="spellEnd"/>
      <w:r w:rsidRPr="00250FA5">
        <w:rPr>
          <w:rFonts w:ascii="Times New Roman" w:eastAsia="Calibri" w:hAnsi="Times New Roman" w:cs="Times New Roman"/>
        </w:rPr>
        <w:t xml:space="preserve"> Link 48 platform.</w:t>
      </w:r>
    </w:p>
    <w:p w14:paraId="336B2D97" w14:textId="3DBDE9DA"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In the resubmission the proposed treatment algorithm was updated to recommend use of core biopsies or excisional samples if possible. MSAC previously noted the 22C3 antibody has not been validated for use with FNA, and advised that FNA would not be appropriate for CPS testing because CPS testing requires staining of adjacent immune cells which may not be appropriately captured in a FNA. (p4, application no. 1522 PSD, November 2020 MSAC Meeting)</w:t>
      </w:r>
    </w:p>
    <w:p w14:paraId="1ACE1132" w14:textId="078242C6" w:rsidR="001A2575" w:rsidRPr="00250FA5" w:rsidRDefault="00250FA5" w:rsidP="00250FA5">
      <w:pPr>
        <w:spacing w:before="0" w:after="240"/>
        <w:jc w:val="left"/>
        <w:rPr>
          <w:rFonts w:ascii="Times New Roman" w:eastAsia="Calibri" w:hAnsi="Times New Roman" w:cs="Arial"/>
        </w:rPr>
      </w:pPr>
      <w:r w:rsidRPr="00250FA5">
        <w:rPr>
          <w:rFonts w:ascii="Times New Roman" w:eastAsia="Calibri" w:hAnsi="Times New Roman" w:cs="Arial"/>
        </w:rPr>
        <w:t xml:space="preserve">MSAC had previously considered that the biological rationale for the proposed </w:t>
      </w:r>
      <w:proofErr w:type="spellStart"/>
      <w:r w:rsidRPr="00250FA5">
        <w:rPr>
          <w:rFonts w:ascii="Times New Roman" w:eastAsia="Calibri" w:hAnsi="Times New Roman" w:cs="Arial"/>
        </w:rPr>
        <w:t>codependence</w:t>
      </w:r>
      <w:proofErr w:type="spellEnd"/>
      <w:r w:rsidRPr="00250FA5">
        <w:rPr>
          <w:rFonts w:ascii="Times New Roman" w:eastAsia="Calibri" w:hAnsi="Times New Roman" w:cs="Arial"/>
        </w:rPr>
        <w:t xml:space="preserve"> was weak and that reflecting this lack of a cohesive rationale, pembrolizumab is approved by the Therapeutic Goods Administration (TGA) for the treatment of several different tumour types with varying requirements of PD-L1 positivity and that the submission to PBAC for second-line pembrolizumab monotherapy for recurrent or metastatic HNSCC (after failure of platinum-based chemotherapy) was not limited to patients whose tumours express PD-L1. (Section 3 p2, application no. 1522 PSD, November 2020 MSAC Meeting)</w:t>
      </w:r>
    </w:p>
    <w:p w14:paraId="72C5693B" w14:textId="1160C71C" w:rsidR="00250FA5" w:rsidRPr="00DD5EF9" w:rsidRDefault="00250FA5" w:rsidP="00DD5EF9">
      <w:pPr>
        <w:pStyle w:val="Heading1"/>
        <w:numPr>
          <w:ilvl w:val="0"/>
          <w:numId w:val="69"/>
        </w:numPr>
        <w:tabs>
          <w:tab w:val="clear" w:pos="1080"/>
        </w:tabs>
        <w:spacing w:before="240" w:after="240" w:line="240" w:lineRule="auto"/>
        <w:ind w:left="720"/>
        <w:rPr>
          <w:rFonts w:ascii="Arial" w:hAnsi="Arial" w:cs="Arial"/>
          <w:bCs/>
          <w:sz w:val="24"/>
          <w:lang w:eastAsia="en-AU"/>
        </w:rPr>
      </w:pPr>
      <w:r w:rsidRPr="00DD5EF9">
        <w:rPr>
          <w:rFonts w:ascii="Arial" w:hAnsi="Arial" w:cs="Arial"/>
          <w:bCs/>
          <w:sz w:val="24"/>
          <w:lang w:eastAsia="en-AU"/>
        </w:rPr>
        <w:t>Comparator</w:t>
      </w:r>
    </w:p>
    <w:p w14:paraId="1A62F91E" w14:textId="77777777" w:rsidR="00250FA5" w:rsidRPr="00250FA5" w:rsidRDefault="00250FA5" w:rsidP="00250FA5">
      <w:pPr>
        <w:spacing w:before="0" w:after="0"/>
        <w:jc w:val="left"/>
        <w:rPr>
          <w:rFonts w:ascii="Times New Roman" w:eastAsia="Calibri" w:hAnsi="Times New Roman" w:cs="Times New Roman"/>
          <w:szCs w:val="20"/>
        </w:rPr>
      </w:pPr>
      <w:r w:rsidRPr="00250FA5">
        <w:rPr>
          <w:rFonts w:ascii="Times New Roman" w:eastAsia="Calibri" w:hAnsi="Times New Roman" w:cs="Times New Roman"/>
          <w:szCs w:val="20"/>
        </w:rPr>
        <w:t xml:space="preserve">As in the previous submission, no PD-L1 testing was the </w:t>
      </w:r>
      <w:r w:rsidRPr="00250FA5">
        <w:rPr>
          <w:rFonts w:ascii="Times New Roman" w:eastAsia="Calibri" w:hAnsi="Times New Roman" w:cs="Times New Roman"/>
          <w:iCs/>
          <w:szCs w:val="20"/>
        </w:rPr>
        <w:t>appropriate</w:t>
      </w:r>
      <w:r w:rsidRPr="00250FA5">
        <w:rPr>
          <w:rFonts w:ascii="Times New Roman" w:eastAsia="Calibri" w:hAnsi="Times New Roman" w:cs="Times New Roman"/>
          <w:i/>
          <w:szCs w:val="20"/>
        </w:rPr>
        <w:t xml:space="preserve"> </w:t>
      </w:r>
      <w:r w:rsidRPr="00250FA5">
        <w:rPr>
          <w:rFonts w:ascii="Times New Roman" w:eastAsia="Calibri" w:hAnsi="Times New Roman" w:cs="Times New Roman"/>
          <w:szCs w:val="20"/>
        </w:rPr>
        <w:t>nominated comparator as PD-L1 testing is not part of the treatment with the current standard of care for R/M HNSCC patients.</w:t>
      </w:r>
    </w:p>
    <w:p w14:paraId="0FC0CEFF" w14:textId="6550C7C5" w:rsidR="00250FA5" w:rsidRPr="00250FA5" w:rsidRDefault="00250FA5" w:rsidP="00DD5EF9">
      <w:pPr>
        <w:spacing w:before="240" w:after="0"/>
        <w:jc w:val="left"/>
        <w:rPr>
          <w:rFonts w:ascii="Times New Roman" w:eastAsia="Calibri" w:hAnsi="Times New Roman" w:cs="Times New Roman"/>
          <w:szCs w:val="20"/>
        </w:rPr>
      </w:pPr>
      <w:r w:rsidRPr="00250FA5">
        <w:rPr>
          <w:rFonts w:ascii="Times New Roman" w:eastAsia="Calibri" w:hAnsi="Times New Roman" w:cs="Times New Roman"/>
          <w:szCs w:val="20"/>
        </w:rPr>
        <w:t>Standard of care (SoC), defined as first-line (1L) carboplatin or cisplatin and 5-FU (chemotherapy), followed by second-line (2L) nivolumab in 50% of patients was nominated as the comparator for pembrolizumab ± chemotherapy. In the previous submission 1L chemotherapy followed by 2L nivolumab in 66.7% of patients was nominated as comparator.</w:t>
      </w:r>
    </w:p>
    <w:p w14:paraId="14E3FE61" w14:textId="0A5A98AB" w:rsidR="00250FA5" w:rsidRPr="00250FA5" w:rsidRDefault="00250FA5" w:rsidP="00DD5EF9">
      <w:pPr>
        <w:spacing w:before="240" w:after="240"/>
        <w:jc w:val="left"/>
        <w:rPr>
          <w:rFonts w:ascii="Times New Roman" w:eastAsia="Calibri" w:hAnsi="Times New Roman" w:cs="Times New Roman"/>
          <w:szCs w:val="20"/>
        </w:rPr>
      </w:pPr>
      <w:r w:rsidRPr="00250FA5">
        <w:rPr>
          <w:rFonts w:ascii="Times New Roman" w:eastAsia="Calibri" w:hAnsi="Times New Roman" w:cs="Times New Roman"/>
          <w:szCs w:val="20"/>
        </w:rPr>
        <w:t xml:space="preserve">The commentary considered </w:t>
      </w:r>
      <w:r w:rsidR="001A2575">
        <w:rPr>
          <w:rFonts w:ascii="Times New Roman" w:eastAsia="Calibri" w:hAnsi="Times New Roman" w:cs="Times New Roman"/>
          <w:szCs w:val="20"/>
        </w:rPr>
        <w:t xml:space="preserve">that the </w:t>
      </w:r>
      <w:r w:rsidRPr="00250FA5">
        <w:rPr>
          <w:rFonts w:ascii="Times New Roman" w:eastAsia="Calibri" w:hAnsi="Times New Roman" w:cs="Times New Roman"/>
          <w:szCs w:val="20"/>
        </w:rPr>
        <w:t>resubmission inappropriately included patients who were eligible but did not use 2L nivolumab in its estimates. The commentary considered that there was no justification to include these patients in the economic model or financial estimates as they never received 2L nivolumab, and as such, the 50% figure was likely overestimated. Based on the resubmission’s assumptions, an overestimate in the proportion of patients treated with 2L nivolumab will lead to an underestimate in the ICER and financial impact of listing pembrolizumab.</w:t>
      </w:r>
    </w:p>
    <w:p w14:paraId="68DCD08E" w14:textId="16566691" w:rsidR="00250FA5" w:rsidRPr="00DD5EF9" w:rsidRDefault="00250FA5" w:rsidP="00DD5EF9">
      <w:pPr>
        <w:pStyle w:val="Heading1"/>
        <w:numPr>
          <w:ilvl w:val="0"/>
          <w:numId w:val="69"/>
        </w:numPr>
        <w:tabs>
          <w:tab w:val="clear" w:pos="1080"/>
        </w:tabs>
        <w:spacing w:before="240" w:after="240" w:line="240" w:lineRule="auto"/>
        <w:ind w:left="720"/>
        <w:rPr>
          <w:rFonts w:ascii="Arial" w:hAnsi="Arial" w:cs="Arial"/>
          <w:bCs/>
          <w:sz w:val="24"/>
          <w:lang w:eastAsia="en-AU"/>
        </w:rPr>
      </w:pPr>
      <w:r w:rsidRPr="00DD5EF9">
        <w:rPr>
          <w:rFonts w:ascii="Arial" w:hAnsi="Arial" w:cs="Arial"/>
          <w:bCs/>
          <w:sz w:val="24"/>
          <w:lang w:eastAsia="en-AU"/>
        </w:rPr>
        <w:t>Comparative safety</w:t>
      </w:r>
    </w:p>
    <w:p w14:paraId="7A39B432" w14:textId="774FC0C2" w:rsidR="00250FA5" w:rsidRPr="00250FA5" w:rsidRDefault="00250FA5" w:rsidP="00250FA5">
      <w:pPr>
        <w:keepNext/>
        <w:keepLines/>
        <w:spacing w:before="0" w:after="120"/>
        <w:jc w:val="left"/>
        <w:outlineLvl w:val="1"/>
        <w:rPr>
          <w:rFonts w:ascii="Times New Roman" w:eastAsia="Times New Roman" w:hAnsi="Times New Roman" w:cs="Times New Roman"/>
          <w:bCs/>
          <w:i/>
          <w:szCs w:val="26"/>
          <w:lang w:eastAsia="en-AU"/>
        </w:rPr>
      </w:pPr>
      <w:r w:rsidRPr="00250FA5">
        <w:rPr>
          <w:rFonts w:ascii="Times New Roman" w:eastAsia="Times New Roman" w:hAnsi="Times New Roman" w:cs="Times New Roman"/>
          <w:bCs/>
          <w:i/>
          <w:szCs w:val="26"/>
          <w:lang w:eastAsia="en-AU"/>
        </w:rPr>
        <w:t>Overview of the evidence base</w:t>
      </w:r>
    </w:p>
    <w:p w14:paraId="12C2CF7D" w14:textId="77777777" w:rsidR="00250FA5" w:rsidRPr="00250FA5" w:rsidRDefault="00250FA5" w:rsidP="001A2575">
      <w:pPr>
        <w:spacing w:before="0" w:after="0"/>
        <w:jc w:val="left"/>
        <w:rPr>
          <w:rFonts w:ascii="Times New Roman" w:eastAsia="Calibri" w:hAnsi="Times New Roman" w:cs="Times New Roman"/>
        </w:rPr>
      </w:pPr>
      <w:r w:rsidRPr="00250FA5">
        <w:rPr>
          <w:rFonts w:ascii="Times New Roman" w:eastAsia="Calibri" w:hAnsi="Times New Roman" w:cs="Times New Roman"/>
        </w:rPr>
        <w:t>Compared to the results presented in the previous submission the following changes were made in the resubmission:</w:t>
      </w:r>
    </w:p>
    <w:p w14:paraId="569EA27C" w14:textId="77777777" w:rsidR="00250FA5" w:rsidRPr="00250FA5" w:rsidRDefault="00250FA5" w:rsidP="00A2043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An additional 12 months of follow up overall survival (OS) data was reported for KN048.</w:t>
      </w:r>
    </w:p>
    <w:p w14:paraId="220DC1DC" w14:textId="1CF6A47C" w:rsidR="001A2575" w:rsidRPr="00DD5EF9" w:rsidRDefault="00250FA5" w:rsidP="00B2387B">
      <w:pPr>
        <w:numPr>
          <w:ilvl w:val="0"/>
          <w:numId w:val="81"/>
        </w:numPr>
        <w:spacing w:before="0" w:after="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Unlike in the previous </w:t>
      </w:r>
      <w:r w:rsidRPr="00A2043B">
        <w:rPr>
          <w:rFonts w:ascii="Times New Roman" w:eastAsia="Calibri" w:hAnsi="Times New Roman" w:cs="Times New Roman"/>
          <w:szCs w:val="20"/>
        </w:rPr>
        <w:t>submission</w:t>
      </w:r>
      <w:r w:rsidRPr="00250FA5">
        <w:rPr>
          <w:rFonts w:ascii="Times New Roman" w:eastAsia="Calibri" w:hAnsi="Times New Roman" w:cs="Times New Roman"/>
        </w:rPr>
        <w:t xml:space="preserve"> where an indirect analysis using data from KN048 and EXTREME (using cetuximab plus chemotherapy as the common comparator) was presented as the main analysis, the resubmission has based the clinical claim and economic model on the results of KN048 alone, using 1L cetuximab plus chemotherapy as proxy for 1L chemotherapy alone, with the indirect comparison of KN048 and EXTREME used as supportive data.</w:t>
      </w:r>
    </w:p>
    <w:p w14:paraId="1F768E3B" w14:textId="0EE27E23" w:rsidR="00250FA5" w:rsidRPr="00250FA5" w:rsidRDefault="00250FA5" w:rsidP="00DD5EF9">
      <w:pPr>
        <w:spacing w:before="240" w:after="240"/>
        <w:jc w:val="left"/>
        <w:rPr>
          <w:rFonts w:ascii="Times New Roman" w:eastAsia="Calibri" w:hAnsi="Times New Roman" w:cs="Times New Roman"/>
        </w:rPr>
      </w:pPr>
      <w:r w:rsidRPr="00250FA5">
        <w:rPr>
          <w:rFonts w:ascii="Times New Roman" w:eastAsia="Calibri" w:hAnsi="Times New Roman" w:cs="Times New Roman"/>
        </w:rPr>
        <w:t>As in the previous submission, the approach taken in the resubmission is to present evidence that has been linked to support the contention that targeting of CPS ≥1 with pembrolizumab will identify patients with R/M HNSCC who may derive the most benefit from immunotherapy.</w:t>
      </w:r>
    </w:p>
    <w:p w14:paraId="223B3EA8" w14:textId="770DB10B" w:rsidR="00250FA5" w:rsidRPr="00250FA5" w:rsidRDefault="00250FA5" w:rsidP="00250FA5">
      <w:pPr>
        <w:keepNext/>
        <w:keepLines/>
        <w:widowControl w:val="0"/>
        <w:spacing w:before="0" w:after="0"/>
        <w:ind w:left="992" w:hanging="992"/>
        <w:contextualSpacing/>
        <w:jc w:val="left"/>
        <w:rPr>
          <w:rFonts w:ascii="Arial Narrow" w:eastAsia="Calibri" w:hAnsi="Arial Narrow" w:cs="Times New Roman"/>
          <w:b/>
          <w:iCs/>
          <w:sz w:val="20"/>
          <w:szCs w:val="18"/>
        </w:rPr>
      </w:pPr>
      <w:bookmarkStart w:id="7" w:name="_Ref85191780"/>
      <w:r w:rsidRPr="00250FA5">
        <w:rPr>
          <w:rFonts w:ascii="Arial Narrow" w:eastAsia="Calibri" w:hAnsi="Arial Narrow" w:cs="Times New Roman"/>
          <w:b/>
          <w:iCs/>
          <w:sz w:val="20"/>
          <w:szCs w:val="18"/>
        </w:rPr>
        <w:t xml:space="preserve">Table </w:t>
      </w:r>
      <w:bookmarkEnd w:id="7"/>
      <w:r w:rsidR="00B622E5" w:rsidRPr="00250FA5">
        <w:rPr>
          <w:rFonts w:ascii="Arial Narrow" w:eastAsia="Calibri" w:hAnsi="Arial Narrow" w:cs="Times New Roman"/>
          <w:b/>
          <w:iCs/>
          <w:sz w:val="20"/>
          <w:szCs w:val="18"/>
        </w:rPr>
        <w:fldChar w:fldCharType="begin"/>
      </w:r>
      <w:r w:rsidR="00B622E5" w:rsidRPr="00250FA5">
        <w:rPr>
          <w:rFonts w:ascii="Arial Narrow" w:eastAsia="Calibri" w:hAnsi="Arial Narrow" w:cs="Times New Roman"/>
          <w:b/>
          <w:iCs/>
          <w:sz w:val="20"/>
          <w:szCs w:val="18"/>
        </w:rPr>
        <w:instrText xml:space="preserve"> SEQ Table \* ARABIC </w:instrText>
      </w:r>
      <w:r w:rsidR="00B622E5"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3</w:t>
      </w:r>
      <w:r w:rsidR="00B622E5" w:rsidRPr="00250FA5">
        <w:rPr>
          <w:rFonts w:ascii="Arial Narrow" w:eastAsia="Calibri" w:hAnsi="Arial Narrow" w:cs="Times New Roman"/>
          <w:b/>
          <w:iCs/>
          <w:sz w:val="20"/>
          <w:szCs w:val="18"/>
        </w:rPr>
        <w:fldChar w:fldCharType="end"/>
      </w:r>
      <w:r w:rsidRPr="00250FA5">
        <w:rPr>
          <w:rFonts w:ascii="Arial Narrow" w:eastAsia="Calibri" w:hAnsi="Arial Narrow" w:cs="Times New Roman"/>
          <w:b/>
          <w:iCs/>
          <w:sz w:val="20"/>
          <w:szCs w:val="18"/>
        </w:rPr>
        <w:tab/>
        <w:t>Summary of the linked evidence approach</w:t>
      </w:r>
    </w:p>
    <w:tbl>
      <w:tblPr>
        <w:tblStyle w:val="TableGrid2"/>
        <w:tblW w:w="5000" w:type="pct"/>
        <w:tblLook w:val="04A0" w:firstRow="1" w:lastRow="0" w:firstColumn="1" w:lastColumn="0" w:noHBand="0" w:noVBand="1"/>
        <w:tblDescription w:val="Summary of the linked evidence approach"/>
      </w:tblPr>
      <w:tblGrid>
        <w:gridCol w:w="1414"/>
        <w:gridCol w:w="3118"/>
        <w:gridCol w:w="1700"/>
        <w:gridCol w:w="2784"/>
      </w:tblGrid>
      <w:tr w:rsidR="00250FA5" w:rsidRPr="00250FA5" w14:paraId="483B2A70" w14:textId="77777777" w:rsidTr="00250FA5">
        <w:trPr>
          <w:cnfStyle w:val="100000000000" w:firstRow="1" w:lastRow="0" w:firstColumn="0" w:lastColumn="0" w:oddVBand="0" w:evenVBand="0" w:oddHBand="0" w:evenHBand="0" w:firstRowFirstColumn="0" w:firstRowLastColumn="0" w:lastRowFirstColumn="0" w:lastRowLastColumn="0"/>
        </w:trPr>
        <w:tc>
          <w:tcPr>
            <w:tcW w:w="784" w:type="pct"/>
            <w:tcBorders>
              <w:top w:val="single" w:sz="4" w:space="0" w:color="auto"/>
              <w:left w:val="single" w:sz="4" w:space="0" w:color="auto"/>
              <w:bottom w:val="single" w:sz="4" w:space="0" w:color="auto"/>
              <w:right w:val="single" w:sz="4" w:space="0" w:color="auto"/>
            </w:tcBorders>
            <w:vAlign w:val="center"/>
          </w:tcPr>
          <w:p w14:paraId="55DF88F9" w14:textId="77777777" w:rsidR="00250FA5" w:rsidRPr="00250FA5" w:rsidRDefault="00250FA5" w:rsidP="00250FA5">
            <w:pPr>
              <w:keepNext/>
              <w:keepLines/>
              <w:spacing w:before="40" w:line="254" w:lineRule="auto"/>
              <w:jc w:val="left"/>
              <w:rPr>
                <w:rFonts w:ascii="Arial Narrow" w:eastAsia="Calibri" w:hAnsi="Arial Narrow"/>
                <w:b/>
                <w:sz w:val="20"/>
              </w:rPr>
            </w:pPr>
          </w:p>
        </w:tc>
        <w:tc>
          <w:tcPr>
            <w:tcW w:w="1729" w:type="pct"/>
            <w:tcBorders>
              <w:top w:val="single" w:sz="4" w:space="0" w:color="auto"/>
              <w:left w:val="single" w:sz="4" w:space="0" w:color="auto"/>
              <w:bottom w:val="single" w:sz="4" w:space="0" w:color="auto"/>
              <w:right w:val="single" w:sz="4" w:space="0" w:color="auto"/>
            </w:tcBorders>
            <w:vAlign w:val="center"/>
            <w:hideMark/>
          </w:tcPr>
          <w:p w14:paraId="7B969F68" w14:textId="77777777" w:rsidR="00250FA5" w:rsidRPr="00250FA5" w:rsidRDefault="00250FA5" w:rsidP="00250FA5">
            <w:pPr>
              <w:keepNext/>
              <w:keepLines/>
              <w:spacing w:before="40" w:line="254" w:lineRule="auto"/>
              <w:jc w:val="left"/>
              <w:rPr>
                <w:rFonts w:ascii="Arial Narrow" w:eastAsia="Calibri" w:hAnsi="Arial Narrow"/>
                <w:b/>
                <w:sz w:val="20"/>
              </w:rPr>
            </w:pPr>
            <w:r w:rsidRPr="00250FA5">
              <w:rPr>
                <w:rFonts w:ascii="Arial Narrow" w:eastAsia="Calibri" w:hAnsi="Arial Narrow"/>
                <w:b/>
                <w:sz w:val="20"/>
              </w:rPr>
              <w:t>Type of evidence supplied</w:t>
            </w:r>
          </w:p>
        </w:tc>
        <w:tc>
          <w:tcPr>
            <w:tcW w:w="943" w:type="pct"/>
            <w:tcBorders>
              <w:top w:val="single" w:sz="4" w:space="0" w:color="auto"/>
              <w:left w:val="single" w:sz="4" w:space="0" w:color="auto"/>
              <w:bottom w:val="single" w:sz="4" w:space="0" w:color="auto"/>
              <w:right w:val="single" w:sz="4" w:space="0" w:color="auto"/>
            </w:tcBorders>
            <w:vAlign w:val="center"/>
            <w:hideMark/>
          </w:tcPr>
          <w:p w14:paraId="5C6E48A6" w14:textId="77777777" w:rsidR="00250FA5" w:rsidRPr="00250FA5" w:rsidRDefault="00250FA5" w:rsidP="00250FA5">
            <w:pPr>
              <w:keepNext/>
              <w:keepLines/>
              <w:spacing w:before="40" w:line="254" w:lineRule="auto"/>
              <w:jc w:val="left"/>
              <w:rPr>
                <w:rFonts w:ascii="Arial Narrow" w:eastAsia="Calibri" w:hAnsi="Arial Narrow"/>
                <w:b/>
                <w:sz w:val="20"/>
              </w:rPr>
            </w:pPr>
            <w:r w:rsidRPr="00250FA5">
              <w:rPr>
                <w:rFonts w:ascii="Arial Narrow" w:eastAsia="Calibri" w:hAnsi="Arial Narrow"/>
                <w:b/>
                <w:sz w:val="20"/>
              </w:rPr>
              <w:t>Extent of evidence supplied</w:t>
            </w:r>
          </w:p>
        </w:tc>
        <w:tc>
          <w:tcPr>
            <w:tcW w:w="1544" w:type="pct"/>
            <w:tcBorders>
              <w:top w:val="single" w:sz="4" w:space="0" w:color="auto"/>
              <w:left w:val="single" w:sz="4" w:space="0" w:color="auto"/>
              <w:bottom w:val="single" w:sz="4" w:space="0" w:color="auto"/>
              <w:right w:val="single" w:sz="4" w:space="0" w:color="auto"/>
            </w:tcBorders>
            <w:vAlign w:val="center"/>
            <w:hideMark/>
          </w:tcPr>
          <w:p w14:paraId="0DE5E97D" w14:textId="77777777" w:rsidR="00250FA5" w:rsidRPr="00250FA5" w:rsidRDefault="00250FA5" w:rsidP="00250FA5">
            <w:pPr>
              <w:keepNext/>
              <w:keepLines/>
              <w:spacing w:before="40" w:line="254" w:lineRule="auto"/>
              <w:jc w:val="left"/>
              <w:rPr>
                <w:rFonts w:ascii="Arial Narrow" w:eastAsia="Calibri" w:hAnsi="Arial Narrow"/>
                <w:b/>
                <w:sz w:val="20"/>
              </w:rPr>
            </w:pPr>
            <w:r w:rsidRPr="00250FA5">
              <w:rPr>
                <w:rFonts w:ascii="Arial Narrow" w:eastAsia="Calibri" w:hAnsi="Arial Narrow"/>
                <w:b/>
                <w:sz w:val="20"/>
              </w:rPr>
              <w:t>Overall risk of bias in clinical trials</w:t>
            </w:r>
          </w:p>
        </w:tc>
      </w:tr>
      <w:tr w:rsidR="00250FA5" w:rsidRPr="00250FA5" w14:paraId="2A1557E8" w14:textId="77777777" w:rsidTr="00250FA5">
        <w:tc>
          <w:tcPr>
            <w:tcW w:w="784" w:type="pct"/>
            <w:tcBorders>
              <w:top w:val="single" w:sz="4" w:space="0" w:color="auto"/>
              <w:left w:val="single" w:sz="4" w:space="0" w:color="auto"/>
              <w:bottom w:val="single" w:sz="4" w:space="0" w:color="auto"/>
              <w:right w:val="single" w:sz="4" w:space="0" w:color="auto"/>
            </w:tcBorders>
            <w:vAlign w:val="center"/>
            <w:hideMark/>
          </w:tcPr>
          <w:p w14:paraId="20D7F636" w14:textId="77777777" w:rsidR="00250FA5" w:rsidRPr="00250FA5" w:rsidRDefault="00250FA5" w:rsidP="00250FA5">
            <w:pPr>
              <w:keepNext/>
              <w:keepLines/>
              <w:spacing w:before="0" w:after="0"/>
              <w:jc w:val="left"/>
              <w:rPr>
                <w:rFonts w:eastAsia="Calibri"/>
                <w:sz w:val="20"/>
              </w:rPr>
            </w:pPr>
            <w:r w:rsidRPr="00250FA5">
              <w:rPr>
                <w:rFonts w:eastAsia="Calibri"/>
                <w:sz w:val="20"/>
              </w:rPr>
              <w:t>Accuracy and performance of the test (analytical validity)</w:t>
            </w:r>
          </w:p>
        </w:tc>
        <w:tc>
          <w:tcPr>
            <w:tcW w:w="1729" w:type="pct"/>
            <w:tcBorders>
              <w:top w:val="single" w:sz="4" w:space="0" w:color="auto"/>
              <w:left w:val="single" w:sz="4" w:space="0" w:color="auto"/>
              <w:bottom w:val="single" w:sz="4" w:space="0" w:color="auto"/>
              <w:right w:val="single" w:sz="4" w:space="0" w:color="auto"/>
            </w:tcBorders>
            <w:vAlign w:val="center"/>
            <w:hideMark/>
          </w:tcPr>
          <w:p w14:paraId="180D4232" w14:textId="2A2B4540" w:rsidR="00250FA5" w:rsidRPr="00250FA5" w:rsidRDefault="00250FA5" w:rsidP="00250FA5">
            <w:pPr>
              <w:keepNext/>
              <w:keepLines/>
              <w:spacing w:before="0" w:after="0"/>
              <w:jc w:val="left"/>
              <w:rPr>
                <w:rFonts w:eastAsia="Calibri"/>
                <w:sz w:val="20"/>
              </w:rPr>
            </w:pPr>
            <w:r w:rsidRPr="00250FA5">
              <w:rPr>
                <w:rFonts w:eastAsia="Calibri"/>
                <w:sz w:val="20"/>
              </w:rPr>
              <w:t>Emancipator 2020 included a portion of patients enrolled in KN012 and KN055 (n=252) and aimed to determine whether CPS or TPS is the preferred PD-L1 scoring method in advanced HNSCC. Cohen 2019 (n=475) reported a similar study with the patients in KN040.</w:t>
            </w:r>
          </w:p>
          <w:p w14:paraId="4FB14411" w14:textId="07B5512D" w:rsidR="00250FA5" w:rsidRPr="00250FA5" w:rsidRDefault="00250FA5" w:rsidP="00250FA5">
            <w:pPr>
              <w:keepNext/>
              <w:keepLines/>
              <w:spacing w:before="0" w:after="0"/>
              <w:jc w:val="left"/>
              <w:rPr>
                <w:rFonts w:eastAsia="Calibri"/>
                <w:sz w:val="20"/>
              </w:rPr>
            </w:pPr>
            <w:r w:rsidRPr="00250FA5">
              <w:rPr>
                <w:rFonts w:eastAsia="Calibri"/>
                <w:sz w:val="20"/>
              </w:rPr>
              <w:t xml:space="preserve">No reference </w:t>
            </w:r>
            <w:r w:rsidR="005D18E0" w:rsidRPr="005D18E0">
              <w:rPr>
                <w:rFonts w:eastAsia="Calibri"/>
                <w:sz w:val="20"/>
              </w:rPr>
              <w:t xml:space="preserve">standard </w:t>
            </w:r>
            <w:r w:rsidRPr="00250FA5">
              <w:rPr>
                <w:rFonts w:eastAsia="Calibri"/>
                <w:sz w:val="20"/>
              </w:rPr>
              <w:t>was identified</w:t>
            </w:r>
            <w:r w:rsidR="001A2575">
              <w:rPr>
                <w:rFonts w:eastAsia="Calibri"/>
                <w:sz w:val="20"/>
              </w:rPr>
              <w:t>.</w:t>
            </w:r>
          </w:p>
        </w:tc>
        <w:tc>
          <w:tcPr>
            <w:tcW w:w="943" w:type="pct"/>
            <w:tcBorders>
              <w:top w:val="single" w:sz="4" w:space="0" w:color="auto"/>
              <w:left w:val="single" w:sz="4" w:space="0" w:color="auto"/>
              <w:bottom w:val="single" w:sz="4" w:space="0" w:color="auto"/>
              <w:right w:val="single" w:sz="4" w:space="0" w:color="auto"/>
            </w:tcBorders>
            <w:vAlign w:val="center"/>
            <w:hideMark/>
          </w:tcPr>
          <w:p w14:paraId="5E8D1A17" w14:textId="77777777" w:rsidR="00250FA5" w:rsidRPr="00250FA5" w:rsidRDefault="00253F27" w:rsidP="00250FA5">
            <w:pPr>
              <w:keepNext/>
              <w:keepLines/>
              <w:tabs>
                <w:tab w:val="left" w:pos="317"/>
              </w:tabs>
              <w:spacing w:before="0" w:after="0"/>
              <w:ind w:right="311"/>
              <w:jc w:val="left"/>
              <w:rPr>
                <w:rFonts w:eastAsia="Calibri"/>
                <w:sz w:val="20"/>
              </w:rPr>
            </w:pPr>
            <w:sdt>
              <w:sdtPr>
                <w:rPr>
                  <w:rFonts w:eastAsia="Calibri"/>
                  <w:sz w:val="20"/>
                </w:rPr>
                <w:id w:val="-633788567"/>
                <w14:checkbox>
                  <w14:checked w14:val="0"/>
                  <w14:checkedState w14:val="2612" w14:font="MS Gothic"/>
                  <w14:uncheckedState w14:val="2610" w14:font="MS Gothic"/>
                </w14:checkbox>
              </w:sdtPr>
              <w:sdtEndPr/>
              <w:sdtContent>
                <w:r w:rsidR="00250FA5" w:rsidRPr="00250FA5">
                  <w:rPr>
                    <w:rFonts w:ascii="Segoe UI Symbol" w:eastAsia="Calibri" w:hAnsi="Segoe UI Symbol" w:cs="Segoe UI Symbol"/>
                    <w:sz w:val="20"/>
                  </w:rPr>
                  <w:t>☐</w:t>
                </w:r>
              </w:sdtContent>
            </w:sdt>
            <w:r w:rsidR="00250FA5" w:rsidRPr="00250FA5">
              <w:rPr>
                <w:rFonts w:eastAsia="Calibri"/>
                <w:sz w:val="20"/>
              </w:rPr>
              <w:tab/>
              <w:t>k=2 n=727</w:t>
            </w:r>
          </w:p>
        </w:tc>
        <w:tc>
          <w:tcPr>
            <w:tcW w:w="1544" w:type="pct"/>
            <w:tcBorders>
              <w:top w:val="single" w:sz="4" w:space="0" w:color="auto"/>
              <w:left w:val="single" w:sz="4" w:space="0" w:color="auto"/>
              <w:bottom w:val="single" w:sz="4" w:space="0" w:color="auto"/>
              <w:right w:val="single" w:sz="4" w:space="0" w:color="auto"/>
            </w:tcBorders>
            <w:vAlign w:val="center"/>
            <w:hideMark/>
          </w:tcPr>
          <w:p w14:paraId="662EBCFE" w14:textId="4D525BC6" w:rsidR="00250FA5" w:rsidRPr="00250FA5" w:rsidRDefault="00250FA5" w:rsidP="00250FA5">
            <w:pPr>
              <w:keepNext/>
              <w:keepLines/>
              <w:spacing w:before="0" w:after="0"/>
              <w:jc w:val="left"/>
              <w:rPr>
                <w:rFonts w:eastAsia="Calibri"/>
                <w:sz w:val="20"/>
              </w:rPr>
            </w:pPr>
            <w:r w:rsidRPr="00250FA5">
              <w:rPr>
                <w:rFonts w:eastAsia="Calibri"/>
                <w:sz w:val="20"/>
              </w:rPr>
              <w:t>An updated full QUADAS-2 assessment provided in the resubmission. Overall risk of bias was considered to be high.</w:t>
            </w:r>
          </w:p>
        </w:tc>
      </w:tr>
      <w:tr w:rsidR="00250FA5" w:rsidRPr="00250FA5" w14:paraId="179A38A9" w14:textId="77777777" w:rsidTr="00250FA5">
        <w:tc>
          <w:tcPr>
            <w:tcW w:w="784" w:type="pct"/>
            <w:tcBorders>
              <w:top w:val="single" w:sz="4" w:space="0" w:color="auto"/>
              <w:left w:val="single" w:sz="4" w:space="0" w:color="auto"/>
              <w:bottom w:val="single" w:sz="4" w:space="0" w:color="auto"/>
              <w:right w:val="single" w:sz="4" w:space="0" w:color="auto"/>
            </w:tcBorders>
            <w:vAlign w:val="center"/>
            <w:hideMark/>
          </w:tcPr>
          <w:p w14:paraId="0FDA2DE2" w14:textId="77777777" w:rsidR="00250FA5" w:rsidRPr="00250FA5" w:rsidRDefault="00250FA5" w:rsidP="00250FA5">
            <w:pPr>
              <w:keepNext/>
              <w:keepLines/>
              <w:spacing w:before="0" w:after="0"/>
              <w:jc w:val="left"/>
              <w:rPr>
                <w:rFonts w:eastAsia="Calibri"/>
                <w:sz w:val="20"/>
              </w:rPr>
            </w:pPr>
            <w:r w:rsidRPr="00250FA5">
              <w:rPr>
                <w:rFonts w:eastAsia="Calibri"/>
                <w:sz w:val="20"/>
              </w:rPr>
              <w:t>Prognostic evidence</w:t>
            </w:r>
          </w:p>
        </w:tc>
        <w:tc>
          <w:tcPr>
            <w:tcW w:w="1729" w:type="pct"/>
            <w:tcBorders>
              <w:top w:val="single" w:sz="4" w:space="0" w:color="auto"/>
              <w:left w:val="single" w:sz="4" w:space="0" w:color="auto"/>
              <w:bottom w:val="single" w:sz="4" w:space="0" w:color="auto"/>
              <w:right w:val="single" w:sz="4" w:space="0" w:color="auto"/>
            </w:tcBorders>
            <w:vAlign w:val="center"/>
            <w:hideMark/>
          </w:tcPr>
          <w:p w14:paraId="401EFF55" w14:textId="77777777" w:rsidR="00250FA5" w:rsidRPr="00250FA5" w:rsidRDefault="00250FA5" w:rsidP="00250FA5">
            <w:pPr>
              <w:keepNext/>
              <w:keepLines/>
              <w:spacing w:before="0" w:after="0"/>
              <w:jc w:val="left"/>
              <w:rPr>
                <w:rFonts w:eastAsia="Calibri"/>
                <w:sz w:val="20"/>
              </w:rPr>
            </w:pPr>
            <w:r w:rsidRPr="00250FA5">
              <w:rPr>
                <w:rFonts w:eastAsia="Calibri"/>
                <w:sz w:val="20"/>
              </w:rPr>
              <w:t xml:space="preserve">Five systematic reviews – </w:t>
            </w:r>
            <w:proofErr w:type="spellStart"/>
            <w:r w:rsidRPr="00250FA5">
              <w:rPr>
                <w:rFonts w:eastAsia="Calibri"/>
                <w:sz w:val="20"/>
              </w:rPr>
              <w:t>Lenouvel</w:t>
            </w:r>
            <w:proofErr w:type="spellEnd"/>
            <w:r w:rsidRPr="00250FA5">
              <w:rPr>
                <w:rFonts w:eastAsia="Calibri"/>
                <w:sz w:val="20"/>
              </w:rPr>
              <w:t xml:space="preserve"> 2020 (n=2532), Tang 2020 (n=1729), Troiano 2019 (n=1060), Yang 2018 (n=3105) and Peng 2017 (n=1777) – which examined the relationship between PD-L1 and survival in HNSCC were identified by the submission.</w:t>
            </w:r>
          </w:p>
        </w:tc>
        <w:tc>
          <w:tcPr>
            <w:tcW w:w="943" w:type="pct"/>
            <w:tcBorders>
              <w:top w:val="single" w:sz="4" w:space="0" w:color="auto"/>
              <w:left w:val="single" w:sz="4" w:space="0" w:color="auto"/>
              <w:bottom w:val="single" w:sz="4" w:space="0" w:color="auto"/>
              <w:right w:val="single" w:sz="4" w:space="0" w:color="auto"/>
            </w:tcBorders>
            <w:vAlign w:val="center"/>
            <w:hideMark/>
          </w:tcPr>
          <w:p w14:paraId="00363D9E" w14:textId="77777777" w:rsidR="00250FA5" w:rsidRPr="00250FA5" w:rsidRDefault="00253F27" w:rsidP="00250FA5">
            <w:pPr>
              <w:keepNext/>
              <w:keepLines/>
              <w:tabs>
                <w:tab w:val="left" w:pos="326"/>
              </w:tabs>
              <w:spacing w:before="0" w:after="0"/>
              <w:jc w:val="left"/>
              <w:rPr>
                <w:rFonts w:eastAsia="Calibri"/>
                <w:sz w:val="20"/>
              </w:rPr>
            </w:pPr>
            <w:sdt>
              <w:sdtPr>
                <w:rPr>
                  <w:rFonts w:eastAsia="Calibri"/>
                  <w:sz w:val="20"/>
                </w:rPr>
                <w:id w:val="1102373601"/>
                <w14:checkbox>
                  <w14:checked w14:val="0"/>
                  <w14:checkedState w14:val="2612" w14:font="MS Gothic"/>
                  <w14:uncheckedState w14:val="2610" w14:font="MS Gothic"/>
                </w14:checkbox>
              </w:sdtPr>
              <w:sdtEndPr/>
              <w:sdtContent>
                <w:r w:rsidR="00250FA5" w:rsidRPr="00250FA5">
                  <w:rPr>
                    <w:rFonts w:ascii="Segoe UI Symbol" w:eastAsia="Calibri" w:hAnsi="Segoe UI Symbol" w:cs="Segoe UI Symbol"/>
                    <w:sz w:val="20"/>
                  </w:rPr>
                  <w:t>☐</w:t>
                </w:r>
              </w:sdtContent>
            </w:sdt>
            <w:r w:rsidR="00250FA5" w:rsidRPr="00250FA5">
              <w:rPr>
                <w:rFonts w:eastAsia="Calibri"/>
                <w:sz w:val="20"/>
              </w:rPr>
              <w:tab/>
              <w:t>k=5 n=10,203</w:t>
            </w:r>
          </w:p>
        </w:tc>
        <w:tc>
          <w:tcPr>
            <w:tcW w:w="1544" w:type="pct"/>
            <w:tcBorders>
              <w:top w:val="single" w:sz="4" w:space="0" w:color="auto"/>
              <w:left w:val="single" w:sz="4" w:space="0" w:color="auto"/>
              <w:bottom w:val="single" w:sz="4" w:space="0" w:color="auto"/>
              <w:right w:val="single" w:sz="4" w:space="0" w:color="auto"/>
            </w:tcBorders>
            <w:vAlign w:val="center"/>
            <w:hideMark/>
          </w:tcPr>
          <w:p w14:paraId="3BE692CB" w14:textId="611D2B72" w:rsidR="00250FA5" w:rsidRPr="005B3A88" w:rsidRDefault="00250FA5" w:rsidP="00250FA5">
            <w:pPr>
              <w:keepNext/>
              <w:keepLines/>
              <w:spacing w:before="0" w:after="0"/>
              <w:jc w:val="left"/>
              <w:rPr>
                <w:rFonts w:eastAsia="Calibri"/>
                <w:sz w:val="20"/>
              </w:rPr>
            </w:pPr>
            <w:r w:rsidRPr="005B3A88">
              <w:rPr>
                <w:rFonts w:eastAsia="Calibri"/>
                <w:sz w:val="20"/>
              </w:rPr>
              <w:t xml:space="preserve">Risk of bias was not assessed by the resubmission. </w:t>
            </w:r>
            <w:r w:rsidR="001A2575" w:rsidRPr="005B3A88">
              <w:rPr>
                <w:rFonts w:eastAsia="Calibri"/>
                <w:sz w:val="20"/>
              </w:rPr>
              <w:t>There was s</w:t>
            </w:r>
            <w:r w:rsidRPr="005B3A88">
              <w:rPr>
                <w:rFonts w:eastAsia="Calibri"/>
                <w:sz w:val="20"/>
              </w:rPr>
              <w:t>ignificant overlap in the included trials of the systematic reviews.</w:t>
            </w:r>
          </w:p>
        </w:tc>
      </w:tr>
      <w:tr w:rsidR="00250FA5" w:rsidRPr="00250FA5" w14:paraId="2603585A" w14:textId="77777777" w:rsidTr="00250FA5">
        <w:tc>
          <w:tcPr>
            <w:tcW w:w="784" w:type="pct"/>
            <w:tcBorders>
              <w:top w:val="single" w:sz="4" w:space="0" w:color="auto"/>
              <w:left w:val="single" w:sz="4" w:space="0" w:color="auto"/>
              <w:bottom w:val="single" w:sz="4" w:space="0" w:color="auto"/>
              <w:right w:val="single" w:sz="4" w:space="0" w:color="auto"/>
            </w:tcBorders>
            <w:vAlign w:val="center"/>
            <w:hideMark/>
          </w:tcPr>
          <w:p w14:paraId="127C7521" w14:textId="77777777" w:rsidR="00250FA5" w:rsidRPr="00250FA5" w:rsidRDefault="00250FA5" w:rsidP="00250FA5">
            <w:pPr>
              <w:keepNext/>
              <w:keepLines/>
              <w:spacing w:before="0" w:after="0"/>
              <w:jc w:val="left"/>
              <w:rPr>
                <w:rFonts w:eastAsia="Calibri"/>
                <w:sz w:val="20"/>
              </w:rPr>
            </w:pPr>
            <w:r w:rsidRPr="00250FA5">
              <w:rPr>
                <w:rFonts w:eastAsia="Calibri"/>
                <w:sz w:val="20"/>
              </w:rPr>
              <w:t xml:space="preserve">Change in patient management </w:t>
            </w:r>
          </w:p>
        </w:tc>
        <w:tc>
          <w:tcPr>
            <w:tcW w:w="1729" w:type="pct"/>
            <w:tcBorders>
              <w:top w:val="single" w:sz="4" w:space="0" w:color="auto"/>
              <w:left w:val="single" w:sz="4" w:space="0" w:color="auto"/>
              <w:bottom w:val="single" w:sz="4" w:space="0" w:color="auto"/>
              <w:right w:val="single" w:sz="4" w:space="0" w:color="auto"/>
            </w:tcBorders>
            <w:vAlign w:val="center"/>
            <w:hideMark/>
          </w:tcPr>
          <w:p w14:paraId="4BA61C46" w14:textId="77777777" w:rsidR="00250FA5" w:rsidRPr="00250FA5" w:rsidRDefault="00250FA5" w:rsidP="00250FA5">
            <w:pPr>
              <w:keepNext/>
              <w:keepLines/>
              <w:spacing w:before="0" w:after="0"/>
              <w:jc w:val="left"/>
              <w:rPr>
                <w:rFonts w:eastAsia="Calibri"/>
                <w:iCs/>
                <w:sz w:val="20"/>
              </w:rPr>
            </w:pPr>
            <w:r w:rsidRPr="00250FA5">
              <w:rPr>
                <w:rFonts w:eastAsia="Calibri"/>
                <w:iCs/>
                <w:sz w:val="20"/>
              </w:rPr>
              <w:t>Not explicitly assessed. CPS thresholds were based on KN048 results.</w:t>
            </w:r>
          </w:p>
        </w:tc>
        <w:tc>
          <w:tcPr>
            <w:tcW w:w="943" w:type="pct"/>
            <w:tcBorders>
              <w:top w:val="single" w:sz="4" w:space="0" w:color="auto"/>
              <w:left w:val="single" w:sz="4" w:space="0" w:color="auto"/>
              <w:bottom w:val="single" w:sz="4" w:space="0" w:color="auto"/>
              <w:right w:val="single" w:sz="4" w:space="0" w:color="auto"/>
            </w:tcBorders>
            <w:vAlign w:val="center"/>
            <w:hideMark/>
          </w:tcPr>
          <w:p w14:paraId="3E97867E" w14:textId="77777777" w:rsidR="00250FA5" w:rsidRPr="00250FA5" w:rsidRDefault="00253F27" w:rsidP="00250FA5">
            <w:pPr>
              <w:keepNext/>
              <w:keepLines/>
              <w:tabs>
                <w:tab w:val="left" w:pos="364"/>
              </w:tabs>
              <w:spacing w:before="0" w:after="0"/>
              <w:jc w:val="left"/>
              <w:rPr>
                <w:rFonts w:eastAsia="Calibri"/>
                <w:sz w:val="20"/>
              </w:rPr>
            </w:pPr>
            <w:sdt>
              <w:sdtPr>
                <w:rPr>
                  <w:rFonts w:eastAsia="Calibri"/>
                  <w:sz w:val="20"/>
                </w:rPr>
                <w:id w:val="1099532526"/>
                <w14:checkbox>
                  <w14:checked w14:val="1"/>
                  <w14:checkedState w14:val="2612" w14:font="MS Gothic"/>
                  <w14:uncheckedState w14:val="2610" w14:font="MS Gothic"/>
                </w14:checkbox>
              </w:sdtPr>
              <w:sdtEndPr/>
              <w:sdtContent>
                <w:r w:rsidR="00250FA5" w:rsidRPr="00250FA5">
                  <w:rPr>
                    <w:rFonts w:ascii="Segoe UI Symbol" w:eastAsia="Calibri" w:hAnsi="Segoe UI Symbol" w:cs="Segoe UI Symbol"/>
                    <w:sz w:val="20"/>
                  </w:rPr>
                  <w:t>☒</w:t>
                </w:r>
              </w:sdtContent>
            </w:sdt>
            <w:r w:rsidR="00250FA5" w:rsidRPr="00250FA5">
              <w:rPr>
                <w:rFonts w:eastAsia="Calibri"/>
                <w:sz w:val="20"/>
              </w:rPr>
              <w:tab/>
              <w:t>k=0 n=0</w:t>
            </w:r>
          </w:p>
        </w:tc>
        <w:tc>
          <w:tcPr>
            <w:tcW w:w="1544" w:type="pct"/>
            <w:tcBorders>
              <w:top w:val="single" w:sz="4" w:space="0" w:color="auto"/>
              <w:left w:val="single" w:sz="4" w:space="0" w:color="auto"/>
              <w:bottom w:val="single" w:sz="4" w:space="0" w:color="auto"/>
              <w:right w:val="single" w:sz="4" w:space="0" w:color="auto"/>
            </w:tcBorders>
            <w:vAlign w:val="center"/>
            <w:hideMark/>
          </w:tcPr>
          <w:p w14:paraId="560F5A2D" w14:textId="77777777" w:rsidR="00250FA5" w:rsidRPr="005B3A88" w:rsidRDefault="00250FA5" w:rsidP="00250FA5">
            <w:pPr>
              <w:keepNext/>
              <w:keepLines/>
              <w:spacing w:before="0" w:after="0"/>
              <w:jc w:val="left"/>
              <w:rPr>
                <w:rFonts w:eastAsia="Calibri"/>
                <w:sz w:val="20"/>
              </w:rPr>
            </w:pPr>
            <w:r w:rsidRPr="005B3A88">
              <w:rPr>
                <w:rFonts w:eastAsia="Calibri"/>
                <w:sz w:val="20"/>
              </w:rPr>
              <w:t>NA</w:t>
            </w:r>
          </w:p>
        </w:tc>
      </w:tr>
      <w:tr w:rsidR="00250FA5" w:rsidRPr="00250FA5" w14:paraId="090248C3" w14:textId="77777777" w:rsidTr="00250FA5">
        <w:tc>
          <w:tcPr>
            <w:tcW w:w="784" w:type="pct"/>
            <w:tcBorders>
              <w:top w:val="single" w:sz="4" w:space="0" w:color="auto"/>
              <w:left w:val="single" w:sz="4" w:space="0" w:color="auto"/>
              <w:bottom w:val="nil"/>
              <w:right w:val="single" w:sz="4" w:space="0" w:color="auto"/>
            </w:tcBorders>
            <w:vAlign w:val="center"/>
            <w:hideMark/>
          </w:tcPr>
          <w:p w14:paraId="69612CAA" w14:textId="77777777" w:rsidR="00250FA5" w:rsidRPr="00250FA5" w:rsidRDefault="00250FA5" w:rsidP="00250FA5">
            <w:pPr>
              <w:keepNext/>
              <w:keepLines/>
              <w:spacing w:before="0" w:after="0"/>
              <w:jc w:val="left"/>
              <w:rPr>
                <w:rFonts w:eastAsia="Calibri"/>
                <w:sz w:val="20"/>
              </w:rPr>
            </w:pPr>
            <w:r w:rsidRPr="00250FA5">
              <w:rPr>
                <w:rFonts w:eastAsia="Calibri"/>
                <w:sz w:val="20"/>
              </w:rPr>
              <w:t>Treatment effectiveness</w:t>
            </w:r>
          </w:p>
        </w:tc>
        <w:tc>
          <w:tcPr>
            <w:tcW w:w="1729" w:type="pct"/>
            <w:tcBorders>
              <w:top w:val="single" w:sz="4" w:space="0" w:color="auto"/>
              <w:left w:val="single" w:sz="4" w:space="0" w:color="auto"/>
              <w:bottom w:val="nil"/>
              <w:right w:val="single" w:sz="4" w:space="0" w:color="auto"/>
            </w:tcBorders>
            <w:vAlign w:val="center"/>
          </w:tcPr>
          <w:p w14:paraId="4FFB69E5" w14:textId="77777777" w:rsidR="00250FA5" w:rsidRPr="00250FA5" w:rsidRDefault="00250FA5" w:rsidP="00250FA5">
            <w:pPr>
              <w:keepNext/>
              <w:keepLines/>
              <w:spacing w:before="0" w:after="0"/>
              <w:jc w:val="left"/>
              <w:rPr>
                <w:rFonts w:eastAsia="Calibri"/>
                <w:sz w:val="20"/>
              </w:rPr>
            </w:pPr>
          </w:p>
        </w:tc>
        <w:tc>
          <w:tcPr>
            <w:tcW w:w="943" w:type="pct"/>
            <w:tcBorders>
              <w:top w:val="single" w:sz="4" w:space="0" w:color="auto"/>
              <w:left w:val="single" w:sz="4" w:space="0" w:color="auto"/>
              <w:bottom w:val="nil"/>
              <w:right w:val="single" w:sz="4" w:space="0" w:color="auto"/>
            </w:tcBorders>
            <w:vAlign w:val="center"/>
          </w:tcPr>
          <w:p w14:paraId="7B1A64DB" w14:textId="77777777" w:rsidR="00250FA5" w:rsidRPr="00250FA5" w:rsidRDefault="00250FA5" w:rsidP="00250FA5">
            <w:pPr>
              <w:keepNext/>
              <w:keepLines/>
              <w:spacing w:before="0" w:after="0"/>
              <w:jc w:val="left"/>
              <w:rPr>
                <w:rFonts w:eastAsia="Calibri"/>
                <w:sz w:val="20"/>
              </w:rPr>
            </w:pPr>
          </w:p>
        </w:tc>
        <w:tc>
          <w:tcPr>
            <w:tcW w:w="1544" w:type="pct"/>
            <w:tcBorders>
              <w:top w:val="single" w:sz="4" w:space="0" w:color="auto"/>
              <w:left w:val="single" w:sz="4" w:space="0" w:color="auto"/>
              <w:bottom w:val="nil"/>
              <w:right w:val="single" w:sz="4" w:space="0" w:color="auto"/>
            </w:tcBorders>
            <w:vAlign w:val="center"/>
          </w:tcPr>
          <w:p w14:paraId="3E9C30A0" w14:textId="77777777" w:rsidR="00250FA5" w:rsidRPr="005B3A88" w:rsidRDefault="00250FA5" w:rsidP="00250FA5">
            <w:pPr>
              <w:keepNext/>
              <w:keepLines/>
              <w:spacing w:before="0" w:after="0"/>
              <w:jc w:val="left"/>
              <w:rPr>
                <w:rFonts w:eastAsia="Calibri"/>
                <w:sz w:val="20"/>
                <w:highlight w:val="yellow"/>
              </w:rPr>
            </w:pPr>
          </w:p>
        </w:tc>
      </w:tr>
      <w:tr w:rsidR="00250FA5" w:rsidRPr="00250FA5" w14:paraId="188434C0" w14:textId="77777777" w:rsidTr="00250FA5">
        <w:tc>
          <w:tcPr>
            <w:tcW w:w="784" w:type="pct"/>
            <w:tcBorders>
              <w:top w:val="nil"/>
              <w:left w:val="single" w:sz="4" w:space="0" w:color="auto"/>
              <w:bottom w:val="single" w:sz="4" w:space="0" w:color="auto"/>
              <w:right w:val="single" w:sz="4" w:space="0" w:color="auto"/>
            </w:tcBorders>
            <w:vAlign w:val="center"/>
            <w:hideMark/>
          </w:tcPr>
          <w:p w14:paraId="37AE2420" w14:textId="77777777" w:rsidR="00250FA5" w:rsidRPr="00250FA5" w:rsidRDefault="00250FA5" w:rsidP="00250FA5">
            <w:pPr>
              <w:keepNext/>
              <w:keepLines/>
              <w:spacing w:before="0" w:after="0"/>
              <w:jc w:val="left"/>
              <w:rPr>
                <w:rFonts w:eastAsia="Calibri"/>
                <w:sz w:val="20"/>
              </w:rPr>
            </w:pPr>
            <w:r w:rsidRPr="00250FA5">
              <w:rPr>
                <w:rFonts w:eastAsia="Calibri"/>
                <w:sz w:val="20"/>
              </w:rPr>
              <w:t>Predictive effect</w:t>
            </w:r>
          </w:p>
          <w:p w14:paraId="2EACBDD0" w14:textId="77777777" w:rsidR="00250FA5" w:rsidRPr="00250FA5" w:rsidRDefault="00250FA5" w:rsidP="00250FA5">
            <w:pPr>
              <w:keepNext/>
              <w:keepLines/>
              <w:spacing w:before="0" w:after="0"/>
              <w:jc w:val="left"/>
              <w:rPr>
                <w:rFonts w:eastAsia="Calibri"/>
                <w:sz w:val="20"/>
              </w:rPr>
            </w:pPr>
            <w:r w:rsidRPr="00250FA5">
              <w:rPr>
                <w:rFonts w:eastAsia="Calibri"/>
                <w:sz w:val="20"/>
              </w:rPr>
              <w:t>(treatment effect variation)</w:t>
            </w:r>
          </w:p>
        </w:tc>
        <w:tc>
          <w:tcPr>
            <w:tcW w:w="1729" w:type="pct"/>
            <w:tcBorders>
              <w:top w:val="nil"/>
              <w:left w:val="single" w:sz="4" w:space="0" w:color="auto"/>
              <w:bottom w:val="single" w:sz="4" w:space="0" w:color="auto"/>
              <w:right w:val="single" w:sz="4" w:space="0" w:color="auto"/>
            </w:tcBorders>
            <w:vAlign w:val="center"/>
            <w:hideMark/>
          </w:tcPr>
          <w:p w14:paraId="33FA9467" w14:textId="77777777" w:rsidR="00250FA5" w:rsidRPr="00250FA5" w:rsidRDefault="00250FA5" w:rsidP="00250FA5">
            <w:pPr>
              <w:keepNext/>
              <w:keepLines/>
              <w:spacing w:before="0" w:after="0"/>
              <w:jc w:val="left"/>
              <w:rPr>
                <w:rFonts w:eastAsia="Calibri"/>
                <w:sz w:val="20"/>
              </w:rPr>
            </w:pPr>
            <w:r w:rsidRPr="00250FA5">
              <w:rPr>
                <w:rFonts w:eastAsia="Calibri"/>
                <w:sz w:val="20"/>
              </w:rPr>
              <w:t>Based on KN048 with subgroups defined using CPS.</w:t>
            </w:r>
          </w:p>
        </w:tc>
        <w:tc>
          <w:tcPr>
            <w:tcW w:w="943" w:type="pct"/>
            <w:tcBorders>
              <w:top w:val="nil"/>
              <w:left w:val="single" w:sz="4" w:space="0" w:color="auto"/>
              <w:bottom w:val="single" w:sz="4" w:space="0" w:color="auto"/>
              <w:right w:val="single" w:sz="4" w:space="0" w:color="auto"/>
            </w:tcBorders>
            <w:vAlign w:val="center"/>
            <w:hideMark/>
          </w:tcPr>
          <w:p w14:paraId="2F1C03F8" w14:textId="77777777" w:rsidR="00250FA5" w:rsidRPr="00250FA5" w:rsidRDefault="00253F27" w:rsidP="00250FA5">
            <w:pPr>
              <w:keepNext/>
              <w:keepLines/>
              <w:tabs>
                <w:tab w:val="left" w:pos="364"/>
              </w:tabs>
              <w:spacing w:before="0" w:after="0"/>
              <w:jc w:val="left"/>
              <w:rPr>
                <w:rFonts w:eastAsia="Calibri"/>
                <w:sz w:val="20"/>
              </w:rPr>
            </w:pPr>
            <w:sdt>
              <w:sdtPr>
                <w:rPr>
                  <w:rFonts w:eastAsia="Calibri"/>
                  <w:sz w:val="20"/>
                </w:rPr>
                <w:id w:val="1669981897"/>
                <w14:checkbox>
                  <w14:checked w14:val="0"/>
                  <w14:checkedState w14:val="2612" w14:font="MS Gothic"/>
                  <w14:uncheckedState w14:val="2610" w14:font="MS Gothic"/>
                </w14:checkbox>
              </w:sdtPr>
              <w:sdtEndPr/>
              <w:sdtContent>
                <w:r w:rsidR="00250FA5" w:rsidRPr="00250FA5">
                  <w:rPr>
                    <w:rFonts w:ascii="Segoe UI Symbol" w:eastAsia="Calibri" w:hAnsi="Segoe UI Symbol" w:cs="Segoe UI Symbol"/>
                    <w:sz w:val="20"/>
                  </w:rPr>
                  <w:t>☐</w:t>
                </w:r>
              </w:sdtContent>
            </w:sdt>
            <w:r w:rsidR="00250FA5" w:rsidRPr="00250FA5">
              <w:rPr>
                <w:rFonts w:eastAsia="Calibri"/>
                <w:sz w:val="20"/>
              </w:rPr>
              <w:tab/>
              <w:t>k=1 n=477</w:t>
            </w:r>
          </w:p>
        </w:tc>
        <w:tc>
          <w:tcPr>
            <w:tcW w:w="1544" w:type="pct"/>
            <w:tcBorders>
              <w:top w:val="nil"/>
              <w:left w:val="single" w:sz="4" w:space="0" w:color="auto"/>
              <w:bottom w:val="single" w:sz="4" w:space="0" w:color="auto"/>
              <w:right w:val="single" w:sz="4" w:space="0" w:color="auto"/>
            </w:tcBorders>
            <w:vAlign w:val="center"/>
            <w:hideMark/>
          </w:tcPr>
          <w:p w14:paraId="4CC76540" w14:textId="789E6002" w:rsidR="00250FA5" w:rsidRPr="005B3A88" w:rsidRDefault="00250FA5" w:rsidP="00250FA5">
            <w:pPr>
              <w:keepNext/>
              <w:keepLines/>
              <w:spacing w:before="0" w:after="0"/>
              <w:jc w:val="left"/>
              <w:rPr>
                <w:rFonts w:eastAsia="Calibri"/>
                <w:sz w:val="20"/>
              </w:rPr>
            </w:pPr>
            <w:r w:rsidRPr="005B3A88">
              <w:rPr>
                <w:rFonts w:eastAsia="Calibri"/>
                <w:sz w:val="20"/>
              </w:rPr>
              <w:t xml:space="preserve">Overall risk of bias </w:t>
            </w:r>
            <w:r w:rsidR="005B3A88">
              <w:rPr>
                <w:rFonts w:eastAsia="Calibri"/>
                <w:sz w:val="20"/>
              </w:rPr>
              <w:t xml:space="preserve">was </w:t>
            </w:r>
            <w:r w:rsidRPr="005B3A88">
              <w:rPr>
                <w:rFonts w:eastAsia="Calibri"/>
                <w:sz w:val="20"/>
              </w:rPr>
              <w:t>considered low because of the objective nature of the overall survival endpoint.</w:t>
            </w:r>
            <w:r w:rsidR="005B3A88">
              <w:rPr>
                <w:rFonts w:eastAsia="Calibri"/>
                <w:sz w:val="20"/>
              </w:rPr>
              <w:t xml:space="preserve"> </w:t>
            </w:r>
            <w:r w:rsidRPr="005B3A88">
              <w:rPr>
                <w:rFonts w:eastAsia="Calibri"/>
                <w:sz w:val="20"/>
              </w:rPr>
              <w:t xml:space="preserve">However, </w:t>
            </w:r>
            <w:r w:rsidR="005B3A88">
              <w:rPr>
                <w:rFonts w:eastAsia="Calibri"/>
                <w:sz w:val="20"/>
              </w:rPr>
              <w:t xml:space="preserve">the </w:t>
            </w:r>
            <w:r w:rsidRPr="005B3A88">
              <w:rPr>
                <w:rFonts w:eastAsia="Calibri"/>
                <w:sz w:val="20"/>
              </w:rPr>
              <w:t>risk of bias may possibly be higher due to the change in protocol from measuring PD-L1 via TPS to CPS.</w:t>
            </w:r>
          </w:p>
        </w:tc>
      </w:tr>
    </w:tbl>
    <w:p w14:paraId="22E85DD4" w14:textId="77777777" w:rsidR="00250FA5" w:rsidRPr="00250FA5" w:rsidRDefault="00250FA5" w:rsidP="00250FA5">
      <w:pPr>
        <w:keepNext/>
        <w:keepLines/>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CPS = combined positive score, k=number of studies, n=number of patients, NA=not applicable, TPS = tumour proportion score</w:t>
      </w:r>
    </w:p>
    <w:p w14:paraId="47644AB5" w14:textId="77777777" w:rsidR="00250FA5" w:rsidRPr="00250FA5" w:rsidRDefault="00250FA5" w:rsidP="002537A9">
      <w:pPr>
        <w:snapToGrid w:val="0"/>
        <w:spacing w:before="0" w:after="240"/>
        <w:rPr>
          <w:rFonts w:ascii="Arial Narrow" w:eastAsia="Times New Roman" w:hAnsi="Arial Narrow" w:cs="Arial"/>
          <w:sz w:val="18"/>
          <w:szCs w:val="20"/>
        </w:rPr>
      </w:pPr>
      <w:r w:rsidRPr="00250FA5">
        <w:rPr>
          <w:rFonts w:ascii="Arial Narrow" w:eastAsia="Times New Roman" w:hAnsi="Arial Narrow" w:cs="Arial"/>
          <w:sz w:val="18"/>
          <w:szCs w:val="20"/>
        </w:rPr>
        <w:t>Source: Table 2.13-1, p164 and Table 2.14-4, p168 of the resubmission</w:t>
      </w:r>
    </w:p>
    <w:p w14:paraId="0E4C8F89" w14:textId="48FB189C" w:rsidR="001A2575" w:rsidRPr="00250FA5" w:rsidRDefault="00250FA5" w:rsidP="00DD5EF9">
      <w:pPr>
        <w:spacing w:before="240" w:after="240"/>
        <w:jc w:val="left"/>
        <w:rPr>
          <w:rFonts w:ascii="Times New Roman" w:eastAsia="Calibri" w:hAnsi="Times New Roman" w:cs="Times New Roman"/>
        </w:rPr>
      </w:pPr>
      <w:r w:rsidRPr="00250FA5">
        <w:rPr>
          <w:rFonts w:ascii="Times New Roman" w:eastAsia="Calibri" w:hAnsi="Times New Roman" w:cs="Times New Roman"/>
        </w:rPr>
        <w:t xml:space="preserve">The data available to inform the comparison are summarised in </w:t>
      </w:r>
      <w:r w:rsidRPr="00250FA5">
        <w:rPr>
          <w:rFonts w:ascii="Times New Roman" w:eastAsia="Calibri" w:hAnsi="Times New Roman" w:cs="Times New Roman"/>
        </w:rPr>
        <w:fldChar w:fldCharType="begin"/>
      </w:r>
      <w:r w:rsidRPr="00250FA5">
        <w:rPr>
          <w:rFonts w:ascii="Times New Roman" w:eastAsia="Calibri" w:hAnsi="Times New Roman" w:cs="Times New Roman"/>
        </w:rPr>
        <w:instrText xml:space="preserve"> REF _Ref80057168 \h  \* MERGEFORMAT </w:instrText>
      </w:r>
      <w:r w:rsidRPr="00250FA5">
        <w:rPr>
          <w:rFonts w:ascii="Times New Roman" w:eastAsia="Calibri" w:hAnsi="Times New Roman" w:cs="Times New Roman"/>
        </w:rPr>
      </w:r>
      <w:r w:rsidRPr="00250FA5">
        <w:rPr>
          <w:rFonts w:ascii="Times New Roman" w:eastAsia="Calibri" w:hAnsi="Times New Roman" w:cs="Times New Roman"/>
        </w:rPr>
        <w:fldChar w:fldCharType="separate"/>
      </w:r>
      <w:r w:rsidR="000635B6" w:rsidRPr="000635B6">
        <w:rPr>
          <w:rFonts w:ascii="Times New Roman" w:eastAsia="Calibri" w:hAnsi="Times New Roman" w:cs="Times New Roman"/>
        </w:rPr>
        <w:t xml:space="preserve">Table </w:t>
      </w:r>
      <w:r w:rsidR="000635B6" w:rsidRPr="002537A9">
        <w:rPr>
          <w:rFonts w:ascii="Times New Roman" w:eastAsia="Calibri" w:hAnsi="Times New Roman" w:cs="Times New Roman"/>
          <w:bCs/>
          <w:iCs/>
          <w:noProof/>
          <w:szCs w:val="24"/>
        </w:rPr>
        <w:t>4</w:t>
      </w:r>
      <w:r w:rsidRPr="00250FA5">
        <w:rPr>
          <w:rFonts w:ascii="Times New Roman" w:eastAsia="Calibri" w:hAnsi="Times New Roman" w:cs="Times New Roman"/>
        </w:rPr>
        <w:fldChar w:fldCharType="end"/>
      </w:r>
      <w:r w:rsidRPr="00250FA5">
        <w:rPr>
          <w:rFonts w:ascii="Times New Roman" w:eastAsia="Calibri" w:hAnsi="Times New Roman" w:cs="Times New Roman"/>
        </w:rPr>
        <w:t>. The data available was the same as in the previous submission, however in the resubmission only data from KN048 was presented in the main analysis with cetuximab plus chemotherapy arm used as proxy for chemotherapy.</w:t>
      </w:r>
    </w:p>
    <w:p w14:paraId="2D8EF2F4" w14:textId="634DF239" w:rsidR="00250FA5" w:rsidRPr="00250FA5" w:rsidRDefault="00250FA5" w:rsidP="00250FA5">
      <w:pPr>
        <w:keepNext/>
        <w:keepLines/>
        <w:widowControl w:val="0"/>
        <w:spacing w:before="0" w:after="0"/>
        <w:ind w:left="992" w:hanging="992"/>
        <w:contextualSpacing/>
        <w:jc w:val="left"/>
        <w:rPr>
          <w:rFonts w:ascii="Arial Narrow" w:eastAsia="Calibri" w:hAnsi="Arial Narrow" w:cs="Arial"/>
          <w:b/>
          <w:iCs/>
          <w:sz w:val="20"/>
          <w:szCs w:val="18"/>
        </w:rPr>
      </w:pPr>
      <w:bookmarkStart w:id="8" w:name="_Ref80057168"/>
      <w:r w:rsidRPr="00250FA5">
        <w:rPr>
          <w:rFonts w:ascii="Arial Narrow" w:eastAsia="Calibri" w:hAnsi="Arial Narrow" w:cs="Times New Roman"/>
          <w:b/>
          <w:iCs/>
          <w:sz w:val="20"/>
          <w:szCs w:val="18"/>
        </w:rPr>
        <w:t xml:space="preserve">Table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Table \* ARABIC </w:instrText>
      </w:r>
      <w:r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4</w:t>
      </w:r>
      <w:r w:rsidRPr="00250FA5">
        <w:rPr>
          <w:rFonts w:ascii="Arial Narrow" w:eastAsia="Calibri" w:hAnsi="Arial Narrow" w:cs="Times New Roman"/>
          <w:b/>
          <w:iCs/>
          <w:sz w:val="20"/>
          <w:szCs w:val="18"/>
        </w:rPr>
        <w:fldChar w:fldCharType="end"/>
      </w:r>
      <w:bookmarkEnd w:id="8"/>
      <w:r w:rsidRPr="00250FA5">
        <w:rPr>
          <w:rFonts w:ascii="Arial Narrow" w:eastAsia="Calibri" w:hAnsi="Arial Narrow" w:cs="Times New Roman"/>
          <w:b/>
          <w:iCs/>
          <w:sz w:val="20"/>
          <w:szCs w:val="18"/>
        </w:rPr>
        <w:tab/>
        <w:t>Data availability to inform comparisons</w:t>
      </w:r>
    </w:p>
    <w:tbl>
      <w:tblPr>
        <w:tblStyle w:val="TableGrid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ata availability to inform comparisons"/>
      </w:tblPr>
      <w:tblGrid>
        <w:gridCol w:w="3114"/>
        <w:gridCol w:w="2952"/>
        <w:gridCol w:w="2950"/>
      </w:tblGrid>
      <w:tr w:rsidR="00250FA5" w:rsidRPr="00250FA5" w14:paraId="22E78449" w14:textId="77777777" w:rsidTr="00250FA5">
        <w:trPr>
          <w:cnfStyle w:val="100000000000" w:firstRow="1" w:lastRow="0" w:firstColumn="0" w:lastColumn="0" w:oddVBand="0" w:evenVBand="0" w:oddHBand="0" w:evenHBand="0" w:firstRowFirstColumn="0" w:firstRowLastColumn="0" w:lastRowFirstColumn="0" w:lastRowLastColumn="0"/>
        </w:trPr>
        <w:tc>
          <w:tcPr>
            <w:tcW w:w="1727" w:type="pct"/>
            <w:tcBorders>
              <w:top w:val="single" w:sz="4" w:space="0" w:color="000000"/>
              <w:left w:val="single" w:sz="4" w:space="0" w:color="000000"/>
              <w:bottom w:val="single" w:sz="4" w:space="0" w:color="000000"/>
              <w:right w:val="single" w:sz="4" w:space="0" w:color="000000"/>
            </w:tcBorders>
            <w:hideMark/>
          </w:tcPr>
          <w:p w14:paraId="600B4425" w14:textId="77777777" w:rsidR="00250FA5" w:rsidRPr="00250FA5" w:rsidRDefault="00250FA5" w:rsidP="00250FA5">
            <w:pPr>
              <w:keepNext/>
              <w:keepLines/>
              <w:widowControl w:val="0"/>
              <w:spacing w:before="0" w:after="0"/>
              <w:jc w:val="left"/>
              <w:rPr>
                <w:rFonts w:ascii="Arial Narrow" w:eastAsia="Calibri" w:hAnsi="Arial Narrow"/>
                <w:sz w:val="20"/>
              </w:rPr>
            </w:pPr>
            <w:r w:rsidRPr="00250FA5">
              <w:rPr>
                <w:rFonts w:ascii="Arial Narrow" w:eastAsia="Calibri" w:hAnsi="Arial Narrow"/>
                <w:sz w:val="20"/>
              </w:rPr>
              <w:t>Proposed test vs no test</w:t>
            </w:r>
          </w:p>
        </w:tc>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2B42208D" w14:textId="77777777" w:rsidR="00250FA5" w:rsidRPr="00250FA5" w:rsidRDefault="00250FA5" w:rsidP="00250FA5">
            <w:pPr>
              <w:keepNext/>
              <w:keepLines/>
              <w:widowControl w:val="0"/>
              <w:spacing w:before="0" w:after="0"/>
              <w:jc w:val="center"/>
              <w:rPr>
                <w:rFonts w:ascii="Arial Narrow" w:eastAsia="Calibri" w:hAnsi="Arial Narrow"/>
                <w:b/>
                <w:sz w:val="20"/>
              </w:rPr>
            </w:pPr>
            <w:r w:rsidRPr="00250FA5">
              <w:rPr>
                <w:rFonts w:ascii="Arial Narrow" w:eastAsia="Calibri" w:hAnsi="Arial Narrow"/>
                <w:sz w:val="20"/>
              </w:rPr>
              <w:t>Subgroup analysis of KN048</w:t>
            </w:r>
          </w:p>
        </w:tc>
      </w:tr>
      <w:tr w:rsidR="00250FA5" w:rsidRPr="00250FA5" w14:paraId="19688546" w14:textId="77777777" w:rsidTr="00250FA5">
        <w:tc>
          <w:tcPr>
            <w:tcW w:w="1727" w:type="pct"/>
            <w:tcBorders>
              <w:top w:val="single" w:sz="4" w:space="0" w:color="000000"/>
              <w:left w:val="single" w:sz="4" w:space="0" w:color="000000"/>
              <w:bottom w:val="single" w:sz="4" w:space="0" w:color="000000"/>
              <w:right w:val="single" w:sz="4" w:space="0" w:color="000000"/>
            </w:tcBorders>
            <w:hideMark/>
          </w:tcPr>
          <w:p w14:paraId="26CAADCD" w14:textId="77777777" w:rsidR="00250FA5" w:rsidRPr="00250FA5" w:rsidRDefault="00250FA5" w:rsidP="00250FA5">
            <w:pPr>
              <w:keepNext/>
              <w:keepLines/>
              <w:widowControl w:val="0"/>
              <w:spacing w:before="0" w:after="0"/>
              <w:jc w:val="left"/>
              <w:rPr>
                <w:rFonts w:eastAsia="Calibri"/>
                <w:sz w:val="20"/>
              </w:rPr>
            </w:pPr>
            <w:r w:rsidRPr="00250FA5">
              <w:rPr>
                <w:rFonts w:eastAsia="Calibri"/>
                <w:sz w:val="20"/>
              </w:rPr>
              <w:t>Proposed test vs alternative test</w:t>
            </w:r>
          </w:p>
        </w:tc>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487A5DAD" w14:textId="77777777" w:rsidR="00250FA5" w:rsidRPr="00250FA5" w:rsidRDefault="00250FA5" w:rsidP="00250FA5">
            <w:pPr>
              <w:keepNext/>
              <w:keepLines/>
              <w:widowControl w:val="0"/>
              <w:spacing w:before="0" w:after="0"/>
              <w:jc w:val="center"/>
              <w:rPr>
                <w:rFonts w:eastAsia="Calibri"/>
                <w:b/>
                <w:sz w:val="20"/>
              </w:rPr>
            </w:pPr>
            <w:r w:rsidRPr="00250FA5">
              <w:rPr>
                <w:rFonts w:eastAsia="Calibri"/>
                <w:sz w:val="20"/>
              </w:rPr>
              <w:t>NA</w:t>
            </w:r>
          </w:p>
        </w:tc>
      </w:tr>
      <w:tr w:rsidR="00250FA5" w:rsidRPr="00250FA5" w14:paraId="252C7D19" w14:textId="77777777" w:rsidTr="00250FA5">
        <w:tc>
          <w:tcPr>
            <w:tcW w:w="1727" w:type="pct"/>
            <w:tcBorders>
              <w:top w:val="single" w:sz="4" w:space="0" w:color="000000"/>
              <w:left w:val="single" w:sz="4" w:space="0" w:color="000000"/>
              <w:bottom w:val="single" w:sz="4" w:space="0" w:color="000000"/>
              <w:right w:val="single" w:sz="4" w:space="0" w:color="000000"/>
            </w:tcBorders>
          </w:tcPr>
          <w:p w14:paraId="59CD9696" w14:textId="77777777" w:rsidR="00250FA5" w:rsidRPr="00250FA5" w:rsidRDefault="00250FA5" w:rsidP="00250FA5">
            <w:pPr>
              <w:keepNext/>
              <w:keepLines/>
              <w:widowControl w:val="0"/>
              <w:spacing w:before="0" w:after="0"/>
              <w:jc w:val="left"/>
              <w:rPr>
                <w:rFonts w:eastAsia="Calibri"/>
                <w:sz w:val="20"/>
              </w:rPr>
            </w:pP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3F16CF42" w14:textId="77777777" w:rsidR="00250FA5" w:rsidRPr="00250FA5" w:rsidRDefault="00250FA5" w:rsidP="00250FA5">
            <w:pPr>
              <w:keepNext/>
              <w:keepLines/>
              <w:widowControl w:val="0"/>
              <w:spacing w:before="0" w:after="0"/>
              <w:jc w:val="center"/>
              <w:rPr>
                <w:rFonts w:eastAsia="Calibri"/>
                <w:b/>
                <w:sz w:val="20"/>
              </w:rPr>
            </w:pPr>
            <w:r w:rsidRPr="00250FA5">
              <w:rPr>
                <w:rFonts w:eastAsia="Calibri"/>
                <w:b/>
                <w:sz w:val="20"/>
              </w:rPr>
              <w:t>Pembrolizumab</w:t>
            </w:r>
          </w:p>
        </w:tc>
        <w:tc>
          <w:tcPr>
            <w:tcW w:w="1636" w:type="pct"/>
            <w:tcBorders>
              <w:top w:val="single" w:sz="4" w:space="0" w:color="000000"/>
              <w:left w:val="single" w:sz="4" w:space="0" w:color="000000"/>
              <w:bottom w:val="single" w:sz="4" w:space="0" w:color="000000"/>
              <w:right w:val="single" w:sz="4" w:space="0" w:color="000000"/>
            </w:tcBorders>
            <w:vAlign w:val="center"/>
            <w:hideMark/>
          </w:tcPr>
          <w:p w14:paraId="6919FDDA" w14:textId="77777777" w:rsidR="00250FA5" w:rsidRPr="00250FA5" w:rsidRDefault="00250FA5" w:rsidP="00250FA5">
            <w:pPr>
              <w:keepNext/>
              <w:keepLines/>
              <w:widowControl w:val="0"/>
              <w:spacing w:before="0" w:after="0"/>
              <w:jc w:val="center"/>
              <w:rPr>
                <w:rFonts w:eastAsia="Calibri"/>
                <w:b/>
                <w:sz w:val="20"/>
              </w:rPr>
            </w:pPr>
            <w:r w:rsidRPr="00250FA5">
              <w:rPr>
                <w:rFonts w:eastAsia="Calibri"/>
                <w:b/>
                <w:sz w:val="20"/>
              </w:rPr>
              <w:t>Chemotherapy</w:t>
            </w:r>
          </w:p>
        </w:tc>
      </w:tr>
      <w:tr w:rsidR="00250FA5" w:rsidRPr="00250FA5" w14:paraId="2BC8DC37" w14:textId="77777777" w:rsidTr="00250FA5">
        <w:tc>
          <w:tcPr>
            <w:tcW w:w="1727" w:type="pct"/>
            <w:tcBorders>
              <w:top w:val="single" w:sz="4" w:space="0" w:color="000000"/>
              <w:left w:val="single" w:sz="4" w:space="0" w:color="000000"/>
              <w:bottom w:val="single" w:sz="4" w:space="0" w:color="000000"/>
              <w:right w:val="single" w:sz="4" w:space="0" w:color="000000"/>
            </w:tcBorders>
            <w:hideMark/>
          </w:tcPr>
          <w:p w14:paraId="36C7E6F3" w14:textId="77777777" w:rsidR="00250FA5" w:rsidRPr="00250FA5" w:rsidRDefault="00250FA5" w:rsidP="00250FA5">
            <w:pPr>
              <w:keepNext/>
              <w:keepLines/>
              <w:widowControl w:val="0"/>
              <w:spacing w:before="0" w:after="0"/>
              <w:jc w:val="left"/>
              <w:rPr>
                <w:rFonts w:eastAsia="Calibri"/>
                <w:sz w:val="20"/>
              </w:rPr>
            </w:pPr>
            <w:r w:rsidRPr="00250FA5">
              <w:rPr>
                <w:rFonts w:eastAsia="Calibri"/>
                <w:sz w:val="20"/>
              </w:rPr>
              <w:t>Biomarker test positive</w:t>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2DF3BAF7" w14:textId="77777777" w:rsidR="00250FA5" w:rsidRPr="00250FA5" w:rsidRDefault="00250FA5" w:rsidP="00250FA5">
            <w:pPr>
              <w:keepNext/>
              <w:keepLines/>
              <w:widowControl w:val="0"/>
              <w:spacing w:before="0" w:after="0"/>
              <w:jc w:val="center"/>
              <w:rPr>
                <w:rFonts w:eastAsia="Calibri"/>
                <w:sz w:val="20"/>
              </w:rPr>
            </w:pPr>
            <w:r w:rsidRPr="00250FA5">
              <w:rPr>
                <w:rFonts w:eastAsia="Calibri"/>
                <w:sz w:val="20"/>
              </w:rPr>
              <w:t>KN048</w:t>
            </w:r>
          </w:p>
        </w:tc>
        <w:tc>
          <w:tcPr>
            <w:tcW w:w="1636" w:type="pct"/>
            <w:tcBorders>
              <w:top w:val="single" w:sz="4" w:space="0" w:color="000000"/>
              <w:left w:val="single" w:sz="4" w:space="0" w:color="000000"/>
              <w:bottom w:val="single" w:sz="4" w:space="0" w:color="000000"/>
              <w:right w:val="single" w:sz="4" w:space="0" w:color="000000"/>
            </w:tcBorders>
            <w:vAlign w:val="center"/>
            <w:hideMark/>
          </w:tcPr>
          <w:p w14:paraId="7A586287" w14:textId="77777777" w:rsidR="00250FA5" w:rsidRPr="00250FA5" w:rsidRDefault="00250FA5" w:rsidP="00250FA5">
            <w:pPr>
              <w:keepNext/>
              <w:keepLines/>
              <w:widowControl w:val="0"/>
              <w:spacing w:before="0" w:after="0"/>
              <w:jc w:val="center"/>
              <w:rPr>
                <w:rFonts w:eastAsia="Calibri"/>
                <w:sz w:val="20"/>
              </w:rPr>
            </w:pPr>
            <w:r w:rsidRPr="00250FA5">
              <w:rPr>
                <w:rFonts w:eastAsia="Calibri"/>
                <w:sz w:val="20"/>
              </w:rPr>
              <w:t>KN048*</w:t>
            </w:r>
          </w:p>
        </w:tc>
      </w:tr>
      <w:tr w:rsidR="00250FA5" w:rsidRPr="00250FA5" w14:paraId="44E4FD73" w14:textId="77777777" w:rsidTr="00250FA5">
        <w:tc>
          <w:tcPr>
            <w:tcW w:w="1727" w:type="pct"/>
            <w:tcBorders>
              <w:top w:val="single" w:sz="4" w:space="0" w:color="000000"/>
              <w:left w:val="single" w:sz="4" w:space="0" w:color="000000"/>
              <w:bottom w:val="single" w:sz="4" w:space="0" w:color="000000"/>
              <w:right w:val="single" w:sz="4" w:space="0" w:color="000000"/>
            </w:tcBorders>
            <w:hideMark/>
          </w:tcPr>
          <w:p w14:paraId="53B4F788" w14:textId="77777777" w:rsidR="00250FA5" w:rsidRPr="00250FA5" w:rsidRDefault="00250FA5" w:rsidP="00250FA5">
            <w:pPr>
              <w:keepNext/>
              <w:keepLines/>
              <w:widowControl w:val="0"/>
              <w:spacing w:before="0" w:after="0"/>
              <w:jc w:val="left"/>
              <w:rPr>
                <w:rFonts w:eastAsia="Calibri"/>
                <w:sz w:val="20"/>
              </w:rPr>
            </w:pPr>
            <w:r w:rsidRPr="00250FA5">
              <w:rPr>
                <w:rFonts w:eastAsia="Calibri"/>
                <w:sz w:val="20"/>
              </w:rPr>
              <w:t>Biomarker test negative</w:t>
            </w:r>
            <w:r w:rsidRPr="00250FA5">
              <w:rPr>
                <w:rFonts w:eastAsia="Calibri"/>
                <w:b/>
                <w:sz w:val="20"/>
              </w:rPr>
              <w:t xml:space="preserve"> </w:t>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6088F62B" w14:textId="77777777" w:rsidR="00250FA5" w:rsidRPr="00250FA5" w:rsidRDefault="00250FA5" w:rsidP="00250FA5">
            <w:pPr>
              <w:keepNext/>
              <w:keepLines/>
              <w:widowControl w:val="0"/>
              <w:spacing w:before="0" w:after="0"/>
              <w:jc w:val="center"/>
              <w:rPr>
                <w:rFonts w:eastAsia="Calibri"/>
                <w:sz w:val="20"/>
              </w:rPr>
            </w:pPr>
            <w:r w:rsidRPr="00250FA5">
              <w:rPr>
                <w:rFonts w:eastAsia="Calibri"/>
                <w:sz w:val="20"/>
              </w:rPr>
              <w:t>KN048</w:t>
            </w:r>
          </w:p>
        </w:tc>
        <w:tc>
          <w:tcPr>
            <w:tcW w:w="1636" w:type="pct"/>
            <w:tcBorders>
              <w:top w:val="single" w:sz="4" w:space="0" w:color="000000"/>
              <w:left w:val="single" w:sz="4" w:space="0" w:color="000000"/>
              <w:bottom w:val="single" w:sz="4" w:space="0" w:color="000000"/>
              <w:right w:val="single" w:sz="4" w:space="0" w:color="000000"/>
            </w:tcBorders>
            <w:vAlign w:val="center"/>
            <w:hideMark/>
          </w:tcPr>
          <w:p w14:paraId="0158C0B1" w14:textId="77777777" w:rsidR="00250FA5" w:rsidRPr="00250FA5" w:rsidRDefault="00250FA5" w:rsidP="00250FA5">
            <w:pPr>
              <w:keepNext/>
              <w:keepLines/>
              <w:widowControl w:val="0"/>
              <w:spacing w:before="0" w:after="0"/>
              <w:jc w:val="center"/>
              <w:rPr>
                <w:rFonts w:eastAsia="Calibri"/>
                <w:sz w:val="20"/>
              </w:rPr>
            </w:pPr>
            <w:r w:rsidRPr="00250FA5">
              <w:rPr>
                <w:rFonts w:eastAsia="Calibri"/>
                <w:sz w:val="20"/>
              </w:rPr>
              <w:t>KN048*</w:t>
            </w:r>
          </w:p>
        </w:tc>
      </w:tr>
    </w:tbl>
    <w:p w14:paraId="1FDBF2A2" w14:textId="77777777" w:rsidR="00250FA5" w:rsidRPr="00250FA5" w:rsidRDefault="00250FA5" w:rsidP="00250FA5">
      <w:pPr>
        <w:keepNext/>
        <w:keepLines/>
        <w:widowControl w:val="0"/>
        <w:snapToGrid w:val="0"/>
        <w:spacing w:before="0" w:after="0"/>
        <w:contextualSpacing/>
        <w:rPr>
          <w:rFonts w:ascii="Arial Narrow" w:eastAsia="Times New Roman" w:hAnsi="Arial Narrow" w:cs="Arial"/>
          <w:sz w:val="18"/>
          <w:szCs w:val="20"/>
        </w:rPr>
      </w:pPr>
      <w:r w:rsidRPr="00250FA5">
        <w:rPr>
          <w:rFonts w:ascii="Arial Narrow" w:eastAsia="Times New Roman" w:hAnsi="Arial Narrow" w:cs="Arial"/>
          <w:sz w:val="18"/>
          <w:szCs w:val="20"/>
        </w:rPr>
        <w:t>Source: constructed during evaluation</w:t>
      </w:r>
    </w:p>
    <w:p w14:paraId="53F7E53A" w14:textId="77777777" w:rsidR="00250FA5" w:rsidRPr="00250FA5" w:rsidRDefault="00250FA5" w:rsidP="002537A9">
      <w:pPr>
        <w:widowControl w:val="0"/>
        <w:tabs>
          <w:tab w:val="left" w:pos="284"/>
        </w:tabs>
        <w:snapToGrid w:val="0"/>
        <w:spacing w:before="0" w:after="240"/>
        <w:rPr>
          <w:rFonts w:ascii="Arial Narrow" w:eastAsia="Times New Roman" w:hAnsi="Arial Narrow" w:cs="Arial"/>
          <w:sz w:val="18"/>
          <w:szCs w:val="20"/>
        </w:rPr>
      </w:pPr>
      <w:r w:rsidRPr="00250FA5">
        <w:rPr>
          <w:rFonts w:ascii="Arial Narrow" w:eastAsia="Times New Roman" w:hAnsi="Arial Narrow" w:cs="Arial"/>
          <w:sz w:val="18"/>
          <w:szCs w:val="20"/>
        </w:rPr>
        <w:t>*Cetuximab plus chemotherapy arm used as proxy for chemotherapy.</w:t>
      </w:r>
    </w:p>
    <w:p w14:paraId="6821BAA2" w14:textId="77777777" w:rsidR="00250FA5" w:rsidRPr="00250FA5" w:rsidRDefault="00250FA5" w:rsidP="00250FA5">
      <w:pPr>
        <w:jc w:val="left"/>
        <w:rPr>
          <w:rFonts w:ascii="Times New Roman" w:eastAsia="Calibri" w:hAnsi="Times New Roman" w:cs="Times New Roman"/>
        </w:rPr>
      </w:pPr>
      <w:r w:rsidRPr="00250FA5">
        <w:rPr>
          <w:rFonts w:ascii="Times New Roman" w:eastAsia="Calibri" w:hAnsi="Times New Roman" w:cs="Times New Roman"/>
        </w:rPr>
        <w:t>KN048 underwent many protocol changes. These included:</w:t>
      </w:r>
    </w:p>
    <w:p w14:paraId="7101CD83" w14:textId="6ED62343" w:rsidR="00250FA5" w:rsidRPr="00250FA5" w:rsidRDefault="00250FA5" w:rsidP="00A2043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OS was </w:t>
      </w:r>
      <w:r w:rsidRPr="00A2043B">
        <w:rPr>
          <w:rFonts w:ascii="Times New Roman" w:eastAsia="Calibri" w:hAnsi="Times New Roman" w:cs="Times New Roman"/>
          <w:szCs w:val="20"/>
        </w:rPr>
        <w:t>moved</w:t>
      </w:r>
      <w:r w:rsidRPr="00250FA5">
        <w:rPr>
          <w:rFonts w:ascii="Times New Roman" w:eastAsia="Calibri" w:hAnsi="Times New Roman" w:cs="Times New Roman"/>
        </w:rPr>
        <w:t xml:space="preserve"> from a secondary efficacy endpoint to a primary endpoint;</w:t>
      </w:r>
    </w:p>
    <w:p w14:paraId="6D3613AC" w14:textId="2813A8F8" w:rsidR="00250FA5" w:rsidRPr="00250FA5" w:rsidRDefault="00250FA5" w:rsidP="00A2043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The </w:t>
      </w:r>
      <w:r w:rsidRPr="00A2043B">
        <w:rPr>
          <w:rFonts w:ascii="Times New Roman" w:eastAsia="Calibri" w:hAnsi="Times New Roman" w:cs="Times New Roman"/>
          <w:szCs w:val="20"/>
        </w:rPr>
        <w:t>definition</w:t>
      </w:r>
      <w:r w:rsidRPr="00250FA5">
        <w:rPr>
          <w:rFonts w:ascii="Times New Roman" w:eastAsia="Calibri" w:hAnsi="Times New Roman" w:cs="Times New Roman"/>
        </w:rPr>
        <w:t xml:space="preserve"> of the PD-L1 positive subpopulations were updated from TPS to CPS. The resubmission clarified that the KN048 remained stratified by TPS throughout;</w:t>
      </w:r>
    </w:p>
    <w:p w14:paraId="4E9D9BB4" w14:textId="1545EDAA" w:rsidR="00250FA5" w:rsidRPr="00250FA5" w:rsidRDefault="00250FA5" w:rsidP="00A2043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Added </w:t>
      </w:r>
      <w:r w:rsidRPr="00A2043B">
        <w:rPr>
          <w:rFonts w:ascii="Times New Roman" w:eastAsia="Calibri" w:hAnsi="Times New Roman" w:cs="Times New Roman"/>
          <w:szCs w:val="20"/>
        </w:rPr>
        <w:t>hypotheses</w:t>
      </w:r>
      <w:r w:rsidRPr="00250FA5">
        <w:rPr>
          <w:rFonts w:ascii="Times New Roman" w:eastAsia="Calibri" w:hAnsi="Times New Roman" w:cs="Times New Roman"/>
        </w:rPr>
        <w:t xml:space="preserve"> for PFS and OS superiority in the biomarker-positive subpopulation comparison of pembrolizumab in combination with chemotherapy versus the comparator arm;</w:t>
      </w:r>
    </w:p>
    <w:p w14:paraId="0F6B29BA" w14:textId="36BB55BF" w:rsidR="00250FA5" w:rsidRPr="00250FA5" w:rsidRDefault="00250FA5" w:rsidP="00B2387B">
      <w:pPr>
        <w:numPr>
          <w:ilvl w:val="0"/>
          <w:numId w:val="81"/>
        </w:numPr>
        <w:spacing w:before="0" w:after="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Updates to the </w:t>
      </w:r>
      <w:r w:rsidRPr="00A2043B">
        <w:rPr>
          <w:rFonts w:ascii="Times New Roman" w:eastAsia="Calibri" w:hAnsi="Times New Roman" w:cs="Times New Roman"/>
          <w:szCs w:val="20"/>
        </w:rPr>
        <w:t>statistical</w:t>
      </w:r>
      <w:r w:rsidRPr="00250FA5">
        <w:rPr>
          <w:rFonts w:ascii="Times New Roman" w:eastAsia="Calibri" w:hAnsi="Times New Roman" w:cs="Times New Roman"/>
        </w:rPr>
        <w:t xml:space="preserve"> methods, power and sample size calculation, multiplicity strategy and analysis plans.</w:t>
      </w:r>
    </w:p>
    <w:p w14:paraId="1D2C762D" w14:textId="77777777" w:rsidR="00250FA5" w:rsidRPr="00250FA5" w:rsidRDefault="00250FA5" w:rsidP="00B2387B">
      <w:pPr>
        <w:spacing w:before="240"/>
        <w:jc w:val="left"/>
        <w:rPr>
          <w:rFonts w:ascii="Times New Roman" w:eastAsia="Calibri" w:hAnsi="Times New Roman" w:cs="Times New Roman"/>
        </w:rPr>
      </w:pPr>
      <w:r w:rsidRPr="00250FA5">
        <w:rPr>
          <w:rFonts w:ascii="Times New Roman" w:eastAsia="Calibri" w:hAnsi="Times New Roman" w:cs="Times New Roman"/>
        </w:rPr>
        <w:t>KN048 aimed to control the overall type I error rate at 2.5% (one-sided) by allocating the error rate (alpha) across the primary hypotheses. This consisted of:</w:t>
      </w:r>
    </w:p>
    <w:p w14:paraId="4DBE5944" w14:textId="77777777" w:rsidR="00250FA5" w:rsidRPr="00250FA5" w:rsidRDefault="00250FA5" w:rsidP="00A2043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0.19% allocated to each PFS hypothesis of pembrolizumab monotherapy versus standard treatment (H1) and pembrolizumab plus chemotherapy versus standard treatment (H4) in participants with PD-L1 CPS ≥20;</w:t>
      </w:r>
    </w:p>
    <w:p w14:paraId="1A735308" w14:textId="77777777" w:rsidR="00250FA5" w:rsidRPr="00250FA5" w:rsidRDefault="00250FA5" w:rsidP="00A2043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0.02% allocated to </w:t>
      </w:r>
      <w:r w:rsidRPr="00A2043B">
        <w:rPr>
          <w:rFonts w:ascii="Times New Roman" w:eastAsia="Calibri" w:hAnsi="Times New Roman" w:cs="Times New Roman"/>
          <w:szCs w:val="20"/>
        </w:rPr>
        <w:t>PFS</w:t>
      </w:r>
      <w:r w:rsidRPr="00250FA5">
        <w:rPr>
          <w:rFonts w:ascii="Times New Roman" w:eastAsia="Calibri" w:hAnsi="Times New Roman" w:cs="Times New Roman"/>
        </w:rPr>
        <w:t xml:space="preserve"> hypothesis of pembrolizumab plus chemotherapy versus standard treatment in all participants (H6);</w:t>
      </w:r>
    </w:p>
    <w:p w14:paraId="55451EC4" w14:textId="14DD54BF" w:rsidR="00250FA5" w:rsidRPr="00250FA5" w:rsidRDefault="00250FA5" w:rsidP="00A2043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0.7% allocated to </w:t>
      </w:r>
      <w:r w:rsidRPr="00A2043B">
        <w:rPr>
          <w:rFonts w:ascii="Times New Roman" w:eastAsia="Calibri" w:hAnsi="Times New Roman" w:cs="Times New Roman"/>
          <w:szCs w:val="20"/>
        </w:rPr>
        <w:t>each</w:t>
      </w:r>
      <w:r w:rsidRPr="00250FA5">
        <w:rPr>
          <w:rFonts w:ascii="Times New Roman" w:eastAsia="Calibri" w:hAnsi="Times New Roman" w:cs="Times New Roman"/>
        </w:rPr>
        <w:t xml:space="preserve"> OS hypothesis of pembrolizumab monotherapy versus standard treatment (H7) and pembrolizumab plus chemotherapy versus standard treatment (H11)</w:t>
      </w:r>
      <w:r w:rsidR="005B3A88">
        <w:rPr>
          <w:rFonts w:ascii="Times New Roman" w:eastAsia="Calibri" w:hAnsi="Times New Roman" w:cs="Times New Roman"/>
        </w:rPr>
        <w:t xml:space="preserve"> </w:t>
      </w:r>
      <w:r w:rsidRPr="00250FA5">
        <w:rPr>
          <w:rFonts w:ascii="Times New Roman" w:eastAsia="Calibri" w:hAnsi="Times New Roman" w:cs="Times New Roman"/>
        </w:rPr>
        <w:t>in participants with PD-L1 CPS ≥20; and</w:t>
      </w:r>
    </w:p>
    <w:p w14:paraId="57BA1C45" w14:textId="77777777" w:rsidR="00250FA5" w:rsidRPr="00250FA5" w:rsidRDefault="00250FA5" w:rsidP="00B2387B">
      <w:pPr>
        <w:numPr>
          <w:ilvl w:val="0"/>
          <w:numId w:val="81"/>
        </w:numPr>
        <w:spacing w:before="0" w:after="0"/>
        <w:ind w:left="714" w:hanging="357"/>
        <w:jc w:val="left"/>
        <w:rPr>
          <w:rFonts w:ascii="Times New Roman" w:eastAsia="Calibri" w:hAnsi="Times New Roman" w:cs="Times New Roman"/>
        </w:rPr>
      </w:pPr>
      <w:r w:rsidRPr="00250FA5">
        <w:rPr>
          <w:rFonts w:ascii="Times New Roman" w:eastAsia="Calibri" w:hAnsi="Times New Roman" w:cs="Times New Roman"/>
        </w:rPr>
        <w:t>0.7% allocated to OS non-inferiority hypothesis of pembrolizumab plus chemotherapy versus standard treatment in all participants (H13).</w:t>
      </w:r>
    </w:p>
    <w:p w14:paraId="19DB5F75" w14:textId="6D292783" w:rsidR="00250FA5" w:rsidRPr="00250FA5" w:rsidRDefault="00250FA5" w:rsidP="00B2387B">
      <w:pPr>
        <w:spacing w:before="240"/>
        <w:jc w:val="left"/>
        <w:rPr>
          <w:rFonts w:ascii="Times New Roman" w:eastAsia="Calibri" w:hAnsi="Times New Roman" w:cs="Times New Roman"/>
        </w:rPr>
      </w:pPr>
      <w:r w:rsidRPr="00250FA5">
        <w:rPr>
          <w:rFonts w:ascii="Times New Roman" w:eastAsia="Calibri" w:hAnsi="Times New Roman" w:cs="Times New Roman"/>
        </w:rPr>
        <w:t xml:space="preserve">The final multiplicity strategy including the updated efficacy boundaries after taking into consideration of all alpha rollovers are presented in </w:t>
      </w:r>
      <w:r w:rsidRPr="00250FA5">
        <w:rPr>
          <w:rFonts w:ascii="Times New Roman" w:eastAsia="Calibri" w:hAnsi="Times New Roman" w:cs="Times New Roman"/>
        </w:rPr>
        <w:fldChar w:fldCharType="begin"/>
      </w:r>
      <w:r w:rsidRPr="00250FA5">
        <w:rPr>
          <w:rFonts w:ascii="Times New Roman" w:eastAsia="Calibri" w:hAnsi="Times New Roman" w:cs="Times New Roman"/>
        </w:rPr>
        <w:instrText xml:space="preserve"> REF _Ref84938421 \h </w:instrText>
      </w:r>
      <w:r w:rsidR="005031A5">
        <w:rPr>
          <w:rFonts w:ascii="Times New Roman" w:eastAsia="Calibri" w:hAnsi="Times New Roman" w:cs="Times New Roman"/>
        </w:rPr>
        <w:instrText xml:space="preserve"> \* MERGEFORMAT </w:instrText>
      </w:r>
      <w:r w:rsidRPr="00250FA5">
        <w:rPr>
          <w:rFonts w:ascii="Times New Roman" w:eastAsia="Calibri" w:hAnsi="Times New Roman" w:cs="Times New Roman"/>
        </w:rPr>
      </w:r>
      <w:r w:rsidRPr="00250FA5">
        <w:rPr>
          <w:rFonts w:ascii="Times New Roman" w:eastAsia="Calibri" w:hAnsi="Times New Roman" w:cs="Times New Roman"/>
        </w:rPr>
        <w:fldChar w:fldCharType="separate"/>
      </w:r>
      <w:r w:rsidR="000635B6" w:rsidRPr="000635B6">
        <w:rPr>
          <w:rFonts w:ascii="Times New Roman" w:eastAsia="Calibri" w:hAnsi="Times New Roman" w:cs="Times New Roman"/>
        </w:rPr>
        <w:t xml:space="preserve">Figure </w:t>
      </w:r>
      <w:r w:rsidR="00530E8C">
        <w:rPr>
          <w:rFonts w:ascii="Times New Roman" w:eastAsia="Calibri" w:hAnsi="Times New Roman" w:cs="Times New Roman"/>
        </w:rPr>
        <w:t>3</w:t>
      </w:r>
      <w:r w:rsidRPr="00250FA5">
        <w:rPr>
          <w:rFonts w:ascii="Times New Roman" w:eastAsia="Calibri" w:hAnsi="Times New Roman" w:cs="Times New Roman"/>
        </w:rPr>
        <w:fldChar w:fldCharType="end"/>
      </w:r>
      <w:r w:rsidRPr="00250FA5">
        <w:rPr>
          <w:rFonts w:ascii="Times New Roman" w:eastAsia="Calibri" w:hAnsi="Times New Roman" w:cs="Times New Roman"/>
        </w:rPr>
        <w:t xml:space="preserve"> (refer to Predictive </w:t>
      </w:r>
      <w:r w:rsidR="0059517E" w:rsidRPr="00250FA5">
        <w:rPr>
          <w:rFonts w:ascii="Times New Roman" w:eastAsia="Calibri" w:hAnsi="Times New Roman" w:cs="Times New Roman"/>
        </w:rPr>
        <w:t>e</w:t>
      </w:r>
      <w:r w:rsidRPr="00250FA5">
        <w:rPr>
          <w:rFonts w:ascii="Times New Roman" w:eastAsia="Calibri" w:hAnsi="Times New Roman" w:cs="Times New Roman"/>
        </w:rPr>
        <w:t>vidence).</w:t>
      </w:r>
    </w:p>
    <w:p w14:paraId="0FE9BD8F" w14:textId="77F9DF3F" w:rsidR="00250FA5" w:rsidRPr="00250FA5" w:rsidRDefault="00250FA5" w:rsidP="00250FA5">
      <w:pPr>
        <w:jc w:val="left"/>
        <w:rPr>
          <w:rFonts w:ascii="Times New Roman" w:eastAsia="Calibri" w:hAnsi="Times New Roman" w:cs="Times New Roman"/>
        </w:rPr>
      </w:pPr>
      <w:r w:rsidRPr="00250FA5">
        <w:rPr>
          <w:rFonts w:ascii="Times New Roman" w:eastAsia="Calibri" w:hAnsi="Times New Roman" w:cs="Times New Roman"/>
        </w:rPr>
        <w:t>The resubmission claimed that the use of cetuximab plus chemotherapy efficacy data instead of 1L chemotherapy only underestimated the incremental treatment benefit of pembrolizumab in this line of therapy. Additionally, in the resubmission, the proportion of patients who received 2L nivolumab in the comparator arm of KN048 was inflated to 50% (from 26% in KN048) using a simplified two stage model with no re-censoring based on Latimer 2013 with a corresponding HR adjustment, to approximate the efficacy of SoC in Australia</w:t>
      </w:r>
      <w:r w:rsidRPr="005B3A88">
        <w:rPr>
          <w:rFonts w:ascii="Times New Roman" w:eastAsia="Calibri" w:hAnsi="Times New Roman" w:cs="Times New Roman"/>
          <w:i/>
          <w:iCs/>
        </w:rPr>
        <w:t>.</w:t>
      </w:r>
      <w:r w:rsidRPr="00250FA5">
        <w:rPr>
          <w:rFonts w:ascii="Times New Roman" w:eastAsia="Calibri" w:hAnsi="Times New Roman" w:cs="Times New Roman"/>
          <w:i/>
          <w:iCs/>
        </w:rPr>
        <w:t xml:space="preserve"> </w:t>
      </w:r>
      <w:r w:rsidRPr="005B3A88">
        <w:rPr>
          <w:rFonts w:ascii="Times New Roman" w:eastAsia="Calibri" w:hAnsi="Times New Roman" w:cs="Times New Roman"/>
        </w:rPr>
        <w:t xml:space="preserve">The commentary considered </w:t>
      </w:r>
      <w:r w:rsidR="005B3A88">
        <w:rPr>
          <w:rFonts w:ascii="Times New Roman" w:eastAsia="Calibri" w:hAnsi="Times New Roman" w:cs="Times New Roman"/>
        </w:rPr>
        <w:t xml:space="preserve">reasonable the resubmissions’ </w:t>
      </w:r>
      <w:r w:rsidRPr="005B3A88">
        <w:rPr>
          <w:rFonts w:ascii="Times New Roman" w:eastAsia="Calibri" w:hAnsi="Times New Roman" w:cs="Times New Roman"/>
        </w:rPr>
        <w:t>claim that using 1L cetuximab plus chemotherapy data instead of 1L chemotherapy alone data would have underestimated the incremental benefit of pembrolizumab.</w:t>
      </w:r>
      <w:r w:rsidRPr="00250FA5">
        <w:rPr>
          <w:rFonts w:ascii="Times New Roman" w:eastAsia="Calibri" w:hAnsi="Times New Roman" w:cs="Times New Roman"/>
        </w:rPr>
        <w:t xml:space="preserve"> </w:t>
      </w:r>
      <w:r w:rsidRPr="005B3A88">
        <w:rPr>
          <w:rFonts w:ascii="Times New Roman" w:eastAsia="Calibri" w:hAnsi="Times New Roman" w:cs="Times New Roman"/>
        </w:rPr>
        <w:t xml:space="preserve">However, the commentary considered </w:t>
      </w:r>
      <w:r w:rsidR="005B3A88">
        <w:rPr>
          <w:rFonts w:ascii="Times New Roman" w:eastAsia="Calibri" w:hAnsi="Times New Roman" w:cs="Times New Roman"/>
        </w:rPr>
        <w:t xml:space="preserve">that </w:t>
      </w:r>
      <w:r w:rsidRPr="005B3A88">
        <w:rPr>
          <w:rFonts w:ascii="Times New Roman" w:eastAsia="Calibri" w:hAnsi="Times New Roman" w:cs="Times New Roman"/>
        </w:rPr>
        <w:t>the resubmission’s estimates of 2L nivolumab likely underestimated the benefit of 2L nivolumab in R/M HNSCC</w:t>
      </w:r>
      <w:r w:rsidRPr="00250FA5">
        <w:rPr>
          <w:rFonts w:ascii="Times New Roman" w:eastAsia="Calibri" w:hAnsi="Times New Roman" w:cs="Times New Roman"/>
        </w:rPr>
        <w:t>.</w:t>
      </w:r>
    </w:p>
    <w:p w14:paraId="1519D751" w14:textId="77777777" w:rsidR="00250FA5" w:rsidRPr="00250FA5" w:rsidRDefault="00250FA5" w:rsidP="00250FA5">
      <w:pPr>
        <w:keepNext/>
        <w:keepLines/>
        <w:spacing w:before="0" w:after="120"/>
        <w:jc w:val="left"/>
        <w:outlineLvl w:val="1"/>
        <w:rPr>
          <w:rFonts w:ascii="Times New Roman" w:eastAsia="Times New Roman" w:hAnsi="Times New Roman" w:cs="Times New Roman"/>
          <w:bCs/>
          <w:i/>
          <w:szCs w:val="26"/>
          <w:lang w:eastAsia="en-AU"/>
        </w:rPr>
      </w:pPr>
      <w:r w:rsidRPr="00250FA5">
        <w:rPr>
          <w:rFonts w:ascii="Times New Roman" w:eastAsia="Times New Roman" w:hAnsi="Times New Roman" w:cs="Times New Roman"/>
          <w:bCs/>
          <w:i/>
          <w:szCs w:val="26"/>
          <w:lang w:eastAsia="en-AU"/>
        </w:rPr>
        <w:t>Adverse events from testing</w:t>
      </w:r>
    </w:p>
    <w:p w14:paraId="1B65F307" w14:textId="77777777" w:rsidR="00250FA5" w:rsidRPr="00250FA5" w:rsidRDefault="00250FA5" w:rsidP="00250FA5">
      <w:pPr>
        <w:spacing w:before="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As PD-L1 testing is intended to be done on tissue previously biopsied for confirmation or diagnosis of recurrence or metastasis, it was not anticipated that there will be any additional adverse events from testing.</w:t>
      </w:r>
    </w:p>
    <w:p w14:paraId="2EC89C8F" w14:textId="2FCB7196" w:rsidR="00250FA5" w:rsidRPr="00B07022" w:rsidRDefault="00250FA5" w:rsidP="00B07022">
      <w:pPr>
        <w:keepNext/>
        <w:keepLines/>
        <w:spacing w:before="200" w:after="120"/>
        <w:jc w:val="left"/>
        <w:outlineLvl w:val="1"/>
        <w:rPr>
          <w:rFonts w:ascii="Times New Roman" w:eastAsia="Times New Roman" w:hAnsi="Times New Roman" w:cs="Times New Roman"/>
          <w:i/>
          <w:szCs w:val="26"/>
          <w:lang w:eastAsia="en-AU"/>
        </w:rPr>
      </w:pPr>
      <w:r w:rsidRPr="00250FA5">
        <w:rPr>
          <w:rFonts w:ascii="Times New Roman" w:eastAsia="Times New Roman" w:hAnsi="Times New Roman" w:cs="Times New Roman"/>
          <w:i/>
          <w:szCs w:val="26"/>
          <w:lang w:eastAsia="en-AU"/>
        </w:rPr>
        <w:t>Adverse events from changes in clinical management</w:t>
      </w:r>
    </w:p>
    <w:p w14:paraId="444B06EC" w14:textId="2AD145D6" w:rsidR="00250FA5" w:rsidRPr="005B3A88" w:rsidRDefault="00250FA5" w:rsidP="00250FA5">
      <w:pPr>
        <w:jc w:val="left"/>
        <w:rPr>
          <w:rFonts w:ascii="Times New Roman" w:eastAsia="Calibri" w:hAnsi="Times New Roman" w:cs="Times New Roman"/>
        </w:rPr>
      </w:pPr>
      <w:r w:rsidRPr="005B3A88">
        <w:rPr>
          <w:rFonts w:ascii="Times New Roman" w:eastAsia="Calibri" w:hAnsi="Times New Roman" w:cs="Times New Roman"/>
        </w:rPr>
        <w:t xml:space="preserve">The commentary considered </w:t>
      </w:r>
      <w:r w:rsidR="005B3A88">
        <w:rPr>
          <w:rFonts w:ascii="Times New Roman" w:eastAsia="Calibri" w:hAnsi="Times New Roman" w:cs="Times New Roman"/>
        </w:rPr>
        <w:t xml:space="preserve">that </w:t>
      </w:r>
      <w:r w:rsidRPr="005B3A88">
        <w:rPr>
          <w:rFonts w:ascii="Times New Roman" w:eastAsia="Calibri" w:hAnsi="Times New Roman" w:cs="Times New Roman"/>
        </w:rPr>
        <w:t>false positives results from CPS testing (at the CPS</w:t>
      </w:r>
      <w:r w:rsidR="005B3A88">
        <w:rPr>
          <w:rFonts w:ascii="Times New Roman" w:eastAsia="Calibri" w:hAnsi="Times New Roman" w:cs="Times New Roman"/>
        </w:rPr>
        <w:t xml:space="preserve"> </w:t>
      </w:r>
      <w:r w:rsidRPr="005B3A88">
        <w:rPr>
          <w:rFonts w:ascii="Times New Roman" w:eastAsia="Calibri" w:hAnsi="Times New Roman" w:cs="Times New Roman"/>
        </w:rPr>
        <w:t>≥1 threshold) would result in patients who should be treated with SoC being exposed to pembrolizumab. If patients received pembrolizumab monotherapy instead of SoC, they may have a worse clinical outcome with a lower OS observed for patients with CPS &lt;1 (hazard ratio (HR) 1.72, 95% CI 1.06, 2.79).</w:t>
      </w:r>
      <w:r w:rsidRPr="00250FA5">
        <w:rPr>
          <w:rFonts w:ascii="Times New Roman" w:eastAsia="Calibri" w:hAnsi="Times New Roman" w:cs="Times New Roman"/>
          <w:i/>
          <w:iCs/>
        </w:rPr>
        <w:t xml:space="preserve"> </w:t>
      </w:r>
      <w:r w:rsidRPr="005B3A88">
        <w:rPr>
          <w:rFonts w:ascii="Times New Roman" w:eastAsia="Calibri" w:hAnsi="Times New Roman" w:cs="Times New Roman"/>
        </w:rPr>
        <w:t xml:space="preserve">If a false positive would result in patients receiving pembrolizumab plus chemotherapy instead of SoC, they would be exposed to additional adverse events with no corresponding benefit in efficacy. Additionally, the commentary considered that false positive patients would </w:t>
      </w:r>
      <w:r w:rsidRPr="00250FA5">
        <w:rPr>
          <w:rFonts w:ascii="Times New Roman" w:eastAsia="Calibri" w:hAnsi="Times New Roman" w:cs="Times New Roman"/>
        </w:rPr>
        <w:t>not be eligible for</w:t>
      </w:r>
      <w:r w:rsidRPr="005B3A88">
        <w:rPr>
          <w:rFonts w:ascii="Times New Roman" w:eastAsia="Calibri" w:hAnsi="Times New Roman" w:cs="Times New Roman"/>
        </w:rPr>
        <w:t xml:space="preserve"> treatment with PBS-subsidised 2L nivolumab based on the current restrictions, which restricts use to patients who have not received prior treatment with a programmed cell death-1 (PD-1) inhibitor for this condition.</w:t>
      </w:r>
    </w:p>
    <w:p w14:paraId="0D556307" w14:textId="39067FB6" w:rsidR="00250FA5" w:rsidRPr="00250FA5" w:rsidRDefault="00250FA5" w:rsidP="00250FA5">
      <w:pPr>
        <w:jc w:val="left"/>
        <w:rPr>
          <w:rFonts w:ascii="Times New Roman" w:eastAsia="Calibri" w:hAnsi="Times New Roman" w:cs="Times New Roman"/>
          <w:i/>
          <w:iCs/>
        </w:rPr>
      </w:pPr>
      <w:r w:rsidRPr="00250FA5">
        <w:rPr>
          <w:rFonts w:ascii="Times New Roman" w:eastAsia="Calibri" w:hAnsi="Times New Roman" w:cs="Times New Roman"/>
        </w:rPr>
        <w:t xml:space="preserve">The commentary considered </w:t>
      </w:r>
      <w:r w:rsidR="005B3A88">
        <w:rPr>
          <w:rFonts w:ascii="Times New Roman" w:eastAsia="Calibri" w:hAnsi="Times New Roman" w:cs="Times New Roman"/>
        </w:rPr>
        <w:t xml:space="preserve">that </w:t>
      </w:r>
      <w:r w:rsidRPr="005B3A88">
        <w:rPr>
          <w:rFonts w:ascii="Times New Roman" w:eastAsia="Calibri" w:hAnsi="Times New Roman" w:cs="Times New Roman"/>
        </w:rPr>
        <w:t>false negatives from CPS testing would result in patients who would benefit from pembrolizumab therapy being treated with SoC instead. In patients who would have been treated with pembrolizumab monotherapy, a false negative would expose patients to adverse events associated with chemotherapy (such as neutropenia and anaemia) rather than immune related adverse events (such as hypothyroidism and pneumonitis).</w:t>
      </w:r>
    </w:p>
    <w:p w14:paraId="1FC4CE79" w14:textId="77777777" w:rsidR="00250FA5" w:rsidRPr="005702F6" w:rsidRDefault="00250FA5" w:rsidP="005702F6">
      <w:pPr>
        <w:pStyle w:val="Heading1"/>
        <w:numPr>
          <w:ilvl w:val="0"/>
          <w:numId w:val="69"/>
        </w:numPr>
        <w:tabs>
          <w:tab w:val="clear" w:pos="1080"/>
        </w:tabs>
        <w:spacing w:before="240" w:after="240" w:line="240" w:lineRule="auto"/>
        <w:ind w:left="720"/>
        <w:rPr>
          <w:rFonts w:ascii="Arial" w:hAnsi="Arial" w:cs="Arial"/>
          <w:bCs/>
          <w:sz w:val="24"/>
          <w:lang w:eastAsia="en-AU"/>
        </w:rPr>
      </w:pPr>
      <w:r w:rsidRPr="005702F6">
        <w:rPr>
          <w:rFonts w:ascii="Arial" w:hAnsi="Arial" w:cs="Arial"/>
          <w:bCs/>
          <w:sz w:val="24"/>
          <w:lang w:eastAsia="en-AU"/>
        </w:rPr>
        <w:t>Comparative effectiveness</w:t>
      </w:r>
    </w:p>
    <w:p w14:paraId="5C31C402" w14:textId="77777777" w:rsidR="00250FA5" w:rsidRPr="00250FA5" w:rsidRDefault="00250FA5" w:rsidP="005702F6">
      <w:pPr>
        <w:keepNext/>
        <w:keepLines/>
        <w:spacing w:before="0" w:after="120"/>
        <w:jc w:val="left"/>
        <w:outlineLvl w:val="1"/>
        <w:rPr>
          <w:rFonts w:ascii="Times New Roman" w:eastAsia="Times New Roman" w:hAnsi="Times New Roman" w:cs="Times New Roman"/>
          <w:i/>
          <w:szCs w:val="26"/>
          <w:lang w:eastAsia="en-AU"/>
        </w:rPr>
      </w:pPr>
      <w:r w:rsidRPr="00250FA5">
        <w:rPr>
          <w:rFonts w:ascii="Times New Roman" w:eastAsia="Times New Roman" w:hAnsi="Times New Roman" w:cs="Times New Roman"/>
          <w:i/>
          <w:szCs w:val="26"/>
          <w:lang w:eastAsia="en-AU"/>
        </w:rPr>
        <w:t>Prognostic evidence</w:t>
      </w:r>
    </w:p>
    <w:p w14:paraId="7C396893" w14:textId="780CB619"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resubmission identified five meta-analyses which considered the relationship between PD-L1 and prognosis in patients with HNSCC, including one meta-analysis newly identified in the resubmission (</w:t>
      </w:r>
      <w:proofErr w:type="spellStart"/>
      <w:r w:rsidRPr="00250FA5">
        <w:rPr>
          <w:rFonts w:ascii="Times New Roman" w:eastAsia="Calibri" w:hAnsi="Times New Roman" w:cs="Times New Roman"/>
        </w:rPr>
        <w:t>Lenouvel</w:t>
      </w:r>
      <w:proofErr w:type="spellEnd"/>
      <w:r w:rsidRPr="00250FA5">
        <w:rPr>
          <w:rFonts w:ascii="Times New Roman" w:eastAsia="Calibri" w:hAnsi="Times New Roman" w:cs="Times New Roman"/>
        </w:rPr>
        <w:t xml:space="preserve"> 2020). A further two additional meta-analyses were identified during the evaluation (Li 2017 and Jia 2019). A range of outcomes including OS, PFS, disease free survival (DFS), disease specific survival (DSS) were reported in the included meta-analyses. A summary of the study characteristics in the seven meta-analyses is presented in </w:t>
      </w:r>
      <w:r w:rsidRPr="00207102">
        <w:rPr>
          <w:rFonts w:ascii="Times New Roman" w:eastAsia="Calibri" w:hAnsi="Times New Roman" w:cs="Times New Roman"/>
          <w:szCs w:val="24"/>
        </w:rPr>
        <w:fldChar w:fldCharType="begin"/>
      </w:r>
      <w:r w:rsidRPr="00207102">
        <w:rPr>
          <w:rFonts w:ascii="Times New Roman" w:eastAsia="Calibri" w:hAnsi="Times New Roman" w:cs="Times New Roman"/>
          <w:szCs w:val="24"/>
        </w:rPr>
        <w:instrText xml:space="preserve"> REF _Ref80057238 \h  \* MERGEFORMAT </w:instrText>
      </w:r>
      <w:r w:rsidRPr="00207102">
        <w:rPr>
          <w:rFonts w:ascii="Times New Roman" w:eastAsia="Calibri" w:hAnsi="Times New Roman" w:cs="Times New Roman"/>
          <w:szCs w:val="24"/>
        </w:rPr>
      </w:r>
      <w:r w:rsidRPr="00207102">
        <w:rPr>
          <w:rFonts w:ascii="Times New Roman" w:eastAsia="Calibri" w:hAnsi="Times New Roman" w:cs="Times New Roman"/>
          <w:szCs w:val="24"/>
        </w:rPr>
        <w:fldChar w:fldCharType="separate"/>
      </w:r>
      <w:r w:rsidR="000635B6" w:rsidRPr="000635B6">
        <w:rPr>
          <w:rFonts w:ascii="Times New Roman" w:eastAsia="Calibri" w:hAnsi="Times New Roman" w:cs="Times New Roman"/>
          <w:szCs w:val="24"/>
        </w:rPr>
        <w:t xml:space="preserve">Table </w:t>
      </w:r>
      <w:r w:rsidR="000635B6" w:rsidRPr="000635B6">
        <w:rPr>
          <w:rFonts w:ascii="Times New Roman" w:eastAsia="Calibri" w:hAnsi="Times New Roman" w:cs="Times New Roman"/>
          <w:iCs/>
          <w:noProof/>
          <w:szCs w:val="24"/>
        </w:rPr>
        <w:t>5</w:t>
      </w:r>
      <w:r w:rsidRPr="00207102">
        <w:rPr>
          <w:rFonts w:ascii="Times New Roman" w:eastAsia="Calibri" w:hAnsi="Times New Roman" w:cs="Times New Roman"/>
          <w:szCs w:val="24"/>
        </w:rPr>
        <w:fldChar w:fldCharType="end"/>
      </w:r>
      <w:r w:rsidRPr="00207102">
        <w:rPr>
          <w:rFonts w:ascii="Times New Roman" w:eastAsia="Calibri" w:hAnsi="Times New Roman" w:cs="Times New Roman"/>
          <w:szCs w:val="24"/>
        </w:rPr>
        <w:t>.</w:t>
      </w:r>
    </w:p>
    <w:p w14:paraId="416DC62A" w14:textId="40525F08" w:rsidR="00250FA5" w:rsidRPr="00250FA5" w:rsidRDefault="00250FA5" w:rsidP="00250FA5">
      <w:pPr>
        <w:keepNext/>
        <w:keepLines/>
        <w:widowControl w:val="0"/>
        <w:spacing w:before="0" w:after="0"/>
        <w:ind w:left="992" w:hanging="992"/>
        <w:contextualSpacing/>
        <w:jc w:val="left"/>
        <w:rPr>
          <w:rFonts w:ascii="Arial Narrow" w:eastAsia="Calibri" w:hAnsi="Arial Narrow" w:cs="Times New Roman"/>
          <w:b/>
          <w:iCs/>
          <w:sz w:val="20"/>
          <w:szCs w:val="18"/>
        </w:rPr>
      </w:pPr>
      <w:bookmarkStart w:id="9" w:name="_Ref80057238"/>
      <w:r w:rsidRPr="00250FA5">
        <w:rPr>
          <w:rFonts w:ascii="Arial Narrow" w:eastAsia="Calibri" w:hAnsi="Arial Narrow" w:cs="Times New Roman"/>
          <w:b/>
          <w:iCs/>
          <w:sz w:val="20"/>
          <w:szCs w:val="18"/>
        </w:rPr>
        <w:t xml:space="preserve">Table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Table \* ARABIC </w:instrText>
      </w:r>
      <w:r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5</w:t>
      </w:r>
      <w:r w:rsidRPr="00250FA5">
        <w:rPr>
          <w:rFonts w:ascii="Arial Narrow" w:eastAsia="Calibri" w:hAnsi="Arial Narrow" w:cs="Times New Roman"/>
          <w:b/>
          <w:iCs/>
          <w:sz w:val="20"/>
          <w:szCs w:val="18"/>
        </w:rPr>
        <w:fldChar w:fldCharType="end"/>
      </w:r>
      <w:bookmarkEnd w:id="9"/>
      <w:r w:rsidRPr="00250FA5">
        <w:rPr>
          <w:rFonts w:ascii="Arial Narrow" w:eastAsia="Calibri" w:hAnsi="Arial Narrow" w:cs="Times New Roman"/>
          <w:b/>
          <w:iCs/>
          <w:sz w:val="20"/>
          <w:szCs w:val="18"/>
        </w:rPr>
        <w:tab/>
        <w:t>Summary of meta-analyses on prognostic value of PD-L1</w:t>
      </w:r>
    </w:p>
    <w:tbl>
      <w:tblPr>
        <w:tblStyle w:val="PBACtable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134"/>
        <w:gridCol w:w="1134"/>
        <w:gridCol w:w="4201"/>
      </w:tblGrid>
      <w:tr w:rsidR="00250FA5" w:rsidRPr="00250FA5" w14:paraId="4A3757B8" w14:textId="77777777" w:rsidTr="00250FA5">
        <w:trPr>
          <w:cnfStyle w:val="100000000000" w:firstRow="1" w:lastRow="0" w:firstColumn="0" w:lastColumn="0" w:oddVBand="0" w:evenVBand="0" w:oddHBand="0" w:evenHBand="0" w:firstRowFirstColumn="0" w:firstRowLastColumn="0" w:lastRowFirstColumn="0" w:lastRowLastColumn="0"/>
          <w:trHeight w:val="227"/>
        </w:trPr>
        <w:tc>
          <w:tcPr>
            <w:tcW w:w="1413" w:type="dxa"/>
            <w:tcBorders>
              <w:top w:val="single" w:sz="4" w:space="0" w:color="auto"/>
              <w:left w:val="single" w:sz="4" w:space="0" w:color="auto"/>
              <w:bottom w:val="single" w:sz="4" w:space="0" w:color="auto"/>
              <w:right w:val="single" w:sz="4" w:space="0" w:color="auto"/>
            </w:tcBorders>
            <w:vAlign w:val="center"/>
            <w:hideMark/>
          </w:tcPr>
          <w:p w14:paraId="2B580F5A" w14:textId="3E11A1D4" w:rsidR="00250FA5" w:rsidRPr="00250FA5" w:rsidRDefault="00250FA5" w:rsidP="00250FA5">
            <w:pPr>
              <w:keepNext/>
              <w:keepLines/>
              <w:spacing w:before="0"/>
              <w:jc w:val="left"/>
              <w:rPr>
                <w:rFonts w:ascii="Arial Narrow" w:eastAsia="Times New Roman" w:hAnsi="Arial Narrow" w:cs="Times New Roman"/>
                <w:sz w:val="20"/>
              </w:rPr>
            </w:pPr>
            <w:r w:rsidRPr="00250FA5">
              <w:rPr>
                <w:rFonts w:ascii="Arial Narrow" w:eastAsia="Times New Roman" w:hAnsi="Arial Narrow" w:cs="Times New Roman"/>
                <w:sz w:val="20"/>
              </w:rPr>
              <w:t>Study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51BE38"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Patient population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FB51F9"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Number of studies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847906"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Number of patients</w:t>
            </w:r>
          </w:p>
        </w:tc>
        <w:tc>
          <w:tcPr>
            <w:tcW w:w="4201" w:type="dxa"/>
            <w:tcBorders>
              <w:top w:val="single" w:sz="4" w:space="0" w:color="auto"/>
              <w:left w:val="single" w:sz="4" w:space="0" w:color="auto"/>
              <w:bottom w:val="single" w:sz="4" w:space="0" w:color="auto"/>
              <w:right w:val="single" w:sz="4" w:space="0" w:color="auto"/>
            </w:tcBorders>
            <w:vAlign w:val="center"/>
            <w:hideMark/>
          </w:tcPr>
          <w:p w14:paraId="6F23C487" w14:textId="77777777" w:rsidR="00250FA5" w:rsidRPr="00250FA5" w:rsidRDefault="00250FA5" w:rsidP="00250FA5">
            <w:pPr>
              <w:keepNext/>
              <w:keepLines/>
              <w:spacing w:before="0"/>
              <w:jc w:val="left"/>
              <w:rPr>
                <w:rFonts w:ascii="Arial Narrow" w:eastAsia="Times New Roman" w:hAnsi="Arial Narrow" w:cs="Times New Roman"/>
                <w:sz w:val="20"/>
              </w:rPr>
            </w:pPr>
            <w:r w:rsidRPr="00250FA5">
              <w:rPr>
                <w:rFonts w:ascii="Arial Narrow" w:eastAsia="Times New Roman" w:hAnsi="Arial Narrow" w:cs="Times New Roman"/>
                <w:sz w:val="20"/>
              </w:rPr>
              <w:t>Conclusion</w:t>
            </w:r>
          </w:p>
        </w:tc>
      </w:tr>
      <w:tr w:rsidR="00250FA5" w:rsidRPr="00250FA5" w14:paraId="4806E3FE" w14:textId="77777777" w:rsidTr="00250FA5">
        <w:trPr>
          <w:trHeight w:val="227"/>
        </w:trPr>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82CFE3E" w14:textId="77777777" w:rsidR="00250FA5" w:rsidRPr="00250FA5" w:rsidRDefault="00250FA5" w:rsidP="00250FA5">
            <w:pPr>
              <w:keepNext/>
              <w:keepLines/>
              <w:spacing w:before="0"/>
              <w:jc w:val="left"/>
              <w:rPr>
                <w:rFonts w:ascii="Arial Narrow" w:eastAsia="Times New Roman" w:hAnsi="Arial Narrow" w:cs="Times New Roman"/>
                <w:sz w:val="20"/>
              </w:rPr>
            </w:pPr>
            <w:r w:rsidRPr="00250FA5">
              <w:rPr>
                <w:rFonts w:ascii="Arial Narrow" w:eastAsia="Times New Roman" w:hAnsi="Arial Narrow" w:cs="Times New Roman"/>
                <w:sz w:val="20"/>
              </w:rPr>
              <w:t>Tang 2020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22668C"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HNSCC</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4AA0E"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BCA078"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1729</w:t>
            </w:r>
          </w:p>
        </w:tc>
        <w:tc>
          <w:tcPr>
            <w:tcW w:w="4201" w:type="dxa"/>
            <w:vMerge w:val="restart"/>
            <w:tcBorders>
              <w:top w:val="single" w:sz="4" w:space="0" w:color="auto"/>
              <w:left w:val="single" w:sz="4" w:space="0" w:color="auto"/>
              <w:bottom w:val="single" w:sz="4" w:space="0" w:color="auto"/>
              <w:right w:val="single" w:sz="4" w:space="0" w:color="auto"/>
            </w:tcBorders>
            <w:hideMark/>
          </w:tcPr>
          <w:p w14:paraId="1D650894" w14:textId="77777777" w:rsidR="00250FA5" w:rsidRPr="00250FA5" w:rsidRDefault="00250FA5" w:rsidP="00250FA5">
            <w:pPr>
              <w:keepNext/>
              <w:keepLines/>
              <w:spacing w:before="0"/>
              <w:jc w:val="left"/>
              <w:rPr>
                <w:rFonts w:ascii="Arial Narrow" w:eastAsia="Times New Roman" w:hAnsi="Arial Narrow" w:cs="Times New Roman"/>
                <w:sz w:val="20"/>
              </w:rPr>
            </w:pPr>
            <w:r w:rsidRPr="00250FA5">
              <w:rPr>
                <w:rFonts w:ascii="Arial Narrow" w:eastAsia="Times New Roman" w:hAnsi="Arial Narrow" w:cs="Times New Roman"/>
                <w:sz w:val="20"/>
              </w:rPr>
              <w:t xml:space="preserve">No relationship between PD-L1 and prognosis </w:t>
            </w:r>
          </w:p>
        </w:tc>
      </w:tr>
      <w:tr w:rsidR="00250FA5" w:rsidRPr="00250FA5" w14:paraId="51250684" w14:textId="77777777" w:rsidTr="00250FA5">
        <w:trPr>
          <w:trHeight w:val="227"/>
        </w:trPr>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55307" w14:textId="77777777" w:rsidR="00250FA5" w:rsidRPr="00250FA5" w:rsidRDefault="00250FA5" w:rsidP="00250FA5">
            <w:pPr>
              <w:keepNext/>
              <w:keepLines/>
              <w:spacing w:before="0"/>
              <w:jc w:val="left"/>
              <w:rPr>
                <w:rFonts w:ascii="Arial Narrow" w:eastAsia="Times New Roman" w:hAnsi="Arial Narrow" w:cs="Times New Roman"/>
                <w:sz w:val="20"/>
              </w:rPr>
            </w:pPr>
            <w:r w:rsidRPr="00250FA5">
              <w:rPr>
                <w:rFonts w:ascii="Arial Narrow" w:eastAsia="Times New Roman" w:hAnsi="Arial Narrow" w:cs="Times New Roman"/>
                <w:sz w:val="20"/>
              </w:rPr>
              <w:t>Troiano 2019</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2EFF86"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Oral SCC</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0D7232"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E2E30B"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1060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D1902" w14:textId="77777777" w:rsidR="00250FA5" w:rsidRPr="00250FA5" w:rsidRDefault="00250FA5" w:rsidP="00250FA5">
            <w:pPr>
              <w:spacing w:before="0"/>
              <w:jc w:val="left"/>
              <w:rPr>
                <w:rFonts w:ascii="Arial Narrow" w:eastAsia="Times New Roman" w:hAnsi="Arial Narrow" w:cs="Times New Roman"/>
                <w:sz w:val="20"/>
              </w:rPr>
            </w:pPr>
          </w:p>
        </w:tc>
      </w:tr>
      <w:tr w:rsidR="00250FA5" w:rsidRPr="00250FA5" w14:paraId="71CD3C0C" w14:textId="77777777" w:rsidTr="00250FA5">
        <w:trPr>
          <w:trHeight w:val="227"/>
        </w:trPr>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1477D6EA" w14:textId="77777777" w:rsidR="00250FA5" w:rsidRPr="00250FA5" w:rsidRDefault="00250FA5" w:rsidP="00250FA5">
            <w:pPr>
              <w:keepNext/>
              <w:keepLines/>
              <w:spacing w:before="0"/>
              <w:jc w:val="left"/>
              <w:rPr>
                <w:rFonts w:ascii="Arial Narrow" w:eastAsia="Times New Roman" w:hAnsi="Arial Narrow" w:cs="Times New Roman"/>
                <w:sz w:val="20"/>
              </w:rPr>
            </w:pPr>
            <w:r w:rsidRPr="00250FA5">
              <w:rPr>
                <w:rFonts w:ascii="Arial Narrow" w:eastAsia="Times New Roman" w:hAnsi="Arial Narrow" w:cs="Times New Roman"/>
                <w:sz w:val="20"/>
              </w:rPr>
              <w:t>Yang 2018</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7C8422"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HNSCC</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5DDE0"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23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7DA5D4"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3105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F8C7B" w14:textId="77777777" w:rsidR="00250FA5" w:rsidRPr="00250FA5" w:rsidRDefault="00250FA5" w:rsidP="00250FA5">
            <w:pPr>
              <w:spacing w:before="0"/>
              <w:jc w:val="left"/>
              <w:rPr>
                <w:rFonts w:ascii="Arial Narrow" w:eastAsia="Times New Roman" w:hAnsi="Arial Narrow" w:cs="Times New Roman"/>
                <w:sz w:val="20"/>
              </w:rPr>
            </w:pPr>
          </w:p>
        </w:tc>
      </w:tr>
      <w:tr w:rsidR="00250FA5" w:rsidRPr="00250FA5" w14:paraId="2F9A29D5" w14:textId="77777777" w:rsidTr="00250FA5">
        <w:trPr>
          <w:trHeight w:val="227"/>
        </w:trPr>
        <w:tc>
          <w:tcPr>
            <w:tcW w:w="1413" w:type="dxa"/>
            <w:tcBorders>
              <w:top w:val="single" w:sz="4" w:space="0" w:color="auto"/>
              <w:left w:val="single" w:sz="4" w:space="0" w:color="auto"/>
              <w:bottom w:val="single" w:sz="4" w:space="0" w:color="auto"/>
              <w:right w:val="single" w:sz="4" w:space="0" w:color="auto"/>
            </w:tcBorders>
            <w:hideMark/>
          </w:tcPr>
          <w:p w14:paraId="698591BE" w14:textId="77777777" w:rsidR="00250FA5" w:rsidRPr="00250FA5" w:rsidRDefault="00250FA5" w:rsidP="00250FA5">
            <w:pPr>
              <w:keepNext/>
              <w:keepLines/>
              <w:spacing w:before="0"/>
              <w:jc w:val="left"/>
              <w:rPr>
                <w:rFonts w:ascii="Arial Narrow" w:eastAsia="Times New Roman" w:hAnsi="Arial Narrow" w:cs="Times New Roman"/>
                <w:sz w:val="20"/>
              </w:rPr>
            </w:pPr>
            <w:proofErr w:type="spellStart"/>
            <w:r w:rsidRPr="00250FA5">
              <w:rPr>
                <w:rFonts w:ascii="Arial Narrow" w:eastAsia="Times New Roman" w:hAnsi="Arial Narrow" w:cs="Times New Roman"/>
                <w:sz w:val="20"/>
              </w:rPr>
              <w:t>Lenouvel</w:t>
            </w:r>
            <w:proofErr w:type="spellEnd"/>
            <w:r w:rsidRPr="00250FA5">
              <w:rPr>
                <w:rFonts w:ascii="Arial Narrow" w:eastAsia="Times New Roman" w:hAnsi="Arial Narrow" w:cs="Times New Roman"/>
                <w:sz w:val="20"/>
              </w:rPr>
              <w:t xml:space="preserve"> 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3509C1"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OSCC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C401E3"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8933F7"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2532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B3DB0" w14:textId="77777777" w:rsidR="00250FA5" w:rsidRPr="00250FA5" w:rsidRDefault="00250FA5" w:rsidP="00250FA5">
            <w:pPr>
              <w:spacing w:before="0"/>
              <w:jc w:val="left"/>
              <w:rPr>
                <w:rFonts w:ascii="Arial Narrow" w:eastAsia="Times New Roman" w:hAnsi="Arial Narrow" w:cs="Times New Roman"/>
                <w:sz w:val="20"/>
              </w:rPr>
            </w:pPr>
          </w:p>
        </w:tc>
      </w:tr>
      <w:tr w:rsidR="00250FA5" w:rsidRPr="00250FA5" w14:paraId="41F0E84B" w14:textId="77777777" w:rsidTr="00250FA5">
        <w:trPr>
          <w:trHeight w:val="227"/>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43A041" w14:textId="77777777" w:rsidR="00250FA5" w:rsidRPr="00250FA5" w:rsidRDefault="00250FA5" w:rsidP="00250FA5">
            <w:pPr>
              <w:keepNext/>
              <w:keepLines/>
              <w:spacing w:before="0"/>
              <w:jc w:val="left"/>
              <w:rPr>
                <w:rFonts w:ascii="Arial Narrow" w:eastAsia="Times New Roman" w:hAnsi="Arial Narrow" w:cs="Times New Roman"/>
                <w:sz w:val="20"/>
              </w:rPr>
            </w:pPr>
            <w:r w:rsidRPr="00250FA5">
              <w:rPr>
                <w:rFonts w:ascii="Arial Narrow" w:eastAsia="Times New Roman" w:hAnsi="Arial Narrow" w:cs="Times New Roman"/>
                <w:sz w:val="20"/>
              </w:rPr>
              <w:t>Peng 2017</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67A937"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HNSCC</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D38762"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FDA3BA"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1777</w:t>
            </w:r>
          </w:p>
        </w:tc>
        <w:tc>
          <w:tcPr>
            <w:tcW w:w="4201" w:type="dxa"/>
            <w:tcBorders>
              <w:top w:val="single" w:sz="4" w:space="0" w:color="auto"/>
              <w:left w:val="single" w:sz="4" w:space="0" w:color="auto"/>
              <w:bottom w:val="single" w:sz="4" w:space="0" w:color="auto"/>
              <w:right w:val="single" w:sz="4" w:space="0" w:color="auto"/>
            </w:tcBorders>
            <w:shd w:val="clear" w:color="auto" w:fill="D9D9D9"/>
            <w:hideMark/>
          </w:tcPr>
          <w:p w14:paraId="0A7EEA58" w14:textId="77777777" w:rsidR="00250FA5" w:rsidRPr="00250FA5" w:rsidRDefault="00250FA5" w:rsidP="00250FA5">
            <w:pPr>
              <w:keepNext/>
              <w:keepLines/>
              <w:spacing w:before="0"/>
              <w:jc w:val="left"/>
              <w:rPr>
                <w:rFonts w:ascii="Arial Narrow" w:eastAsia="Times New Roman" w:hAnsi="Arial Narrow" w:cs="Times New Roman"/>
                <w:sz w:val="20"/>
              </w:rPr>
            </w:pPr>
            <w:r w:rsidRPr="00250FA5">
              <w:rPr>
                <w:rFonts w:ascii="Arial Narrow" w:eastAsia="Times New Roman" w:hAnsi="Arial Narrow" w:cs="Times New Roman"/>
                <w:sz w:val="20"/>
              </w:rPr>
              <w:t>PD-L1 overexpression associated with poor cancer specific survival</w:t>
            </w:r>
          </w:p>
        </w:tc>
      </w:tr>
      <w:tr w:rsidR="00250FA5" w:rsidRPr="00250FA5" w14:paraId="28149640" w14:textId="77777777" w:rsidTr="00250FA5">
        <w:trPr>
          <w:trHeight w:val="227"/>
        </w:trPr>
        <w:tc>
          <w:tcPr>
            <w:tcW w:w="1413" w:type="dxa"/>
            <w:tcBorders>
              <w:top w:val="single" w:sz="4" w:space="0" w:color="auto"/>
              <w:left w:val="single" w:sz="4" w:space="0" w:color="auto"/>
              <w:bottom w:val="single" w:sz="4" w:space="0" w:color="auto"/>
              <w:right w:val="single" w:sz="4" w:space="0" w:color="auto"/>
            </w:tcBorders>
            <w:vAlign w:val="center"/>
            <w:hideMark/>
          </w:tcPr>
          <w:p w14:paraId="520C532C" w14:textId="77777777" w:rsidR="00250FA5" w:rsidRPr="00250FA5" w:rsidRDefault="00250FA5" w:rsidP="00250FA5">
            <w:pPr>
              <w:keepNext/>
              <w:keepLines/>
              <w:spacing w:before="0"/>
              <w:jc w:val="left"/>
              <w:rPr>
                <w:rFonts w:ascii="Arial Narrow" w:eastAsia="Times New Roman" w:hAnsi="Arial Narrow" w:cs="Times New Roman"/>
                <w:iCs/>
                <w:sz w:val="20"/>
              </w:rPr>
            </w:pPr>
            <w:r w:rsidRPr="00250FA5">
              <w:rPr>
                <w:rFonts w:ascii="Arial Narrow" w:eastAsia="Times New Roman" w:hAnsi="Arial Narrow" w:cs="Times New Roman"/>
                <w:iCs/>
                <w:sz w:val="20"/>
              </w:rPr>
              <w:t>Li 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DF953A" w14:textId="77777777" w:rsidR="00250FA5" w:rsidRPr="00250FA5" w:rsidRDefault="00250FA5" w:rsidP="00250FA5">
            <w:pPr>
              <w:keepNext/>
              <w:keepLines/>
              <w:spacing w:before="0"/>
              <w:jc w:val="center"/>
              <w:rPr>
                <w:rFonts w:ascii="Arial Narrow" w:eastAsia="Times New Roman" w:hAnsi="Arial Narrow" w:cs="Times New Roman"/>
                <w:iCs/>
                <w:sz w:val="20"/>
              </w:rPr>
            </w:pPr>
            <w:r w:rsidRPr="00250FA5">
              <w:rPr>
                <w:rFonts w:ascii="Arial Narrow" w:eastAsia="Times New Roman" w:hAnsi="Arial Narrow" w:cs="Times New Roman"/>
                <w:iCs/>
                <w:sz w:val="20"/>
              </w:rPr>
              <w:t>HNSCC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6CAE88" w14:textId="77777777" w:rsidR="00250FA5" w:rsidRPr="00250FA5" w:rsidRDefault="00250FA5" w:rsidP="00250FA5">
            <w:pPr>
              <w:keepNext/>
              <w:keepLines/>
              <w:spacing w:before="0"/>
              <w:jc w:val="center"/>
              <w:rPr>
                <w:rFonts w:ascii="Arial Narrow" w:eastAsia="Times New Roman" w:hAnsi="Arial Narrow" w:cs="Times New Roman"/>
                <w:iCs/>
                <w:sz w:val="20"/>
              </w:rPr>
            </w:pPr>
            <w:r w:rsidRPr="00250FA5">
              <w:rPr>
                <w:rFonts w:ascii="Arial Narrow" w:eastAsia="Times New Roman" w:hAnsi="Arial Narrow" w:cs="Times New Roman"/>
                <w:iCs/>
                <w:sz w:val="20"/>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7076C9" w14:textId="77777777" w:rsidR="00250FA5" w:rsidRPr="00250FA5" w:rsidRDefault="00250FA5" w:rsidP="00250FA5">
            <w:pPr>
              <w:keepNext/>
              <w:keepLines/>
              <w:spacing w:before="0"/>
              <w:jc w:val="center"/>
              <w:rPr>
                <w:rFonts w:ascii="Arial Narrow" w:eastAsia="Times New Roman" w:hAnsi="Arial Narrow" w:cs="Times New Roman"/>
                <w:iCs/>
                <w:sz w:val="20"/>
              </w:rPr>
            </w:pPr>
            <w:r w:rsidRPr="00250FA5">
              <w:rPr>
                <w:rFonts w:ascii="Arial Narrow" w:eastAsia="Times New Roman" w:hAnsi="Arial Narrow" w:cs="Times New Roman"/>
                <w:iCs/>
                <w:sz w:val="20"/>
              </w:rPr>
              <w:t>2869</w:t>
            </w:r>
          </w:p>
        </w:tc>
        <w:tc>
          <w:tcPr>
            <w:tcW w:w="4201" w:type="dxa"/>
            <w:tcBorders>
              <w:top w:val="single" w:sz="4" w:space="0" w:color="auto"/>
              <w:left w:val="single" w:sz="4" w:space="0" w:color="auto"/>
              <w:bottom w:val="single" w:sz="4" w:space="0" w:color="auto"/>
              <w:right w:val="single" w:sz="4" w:space="0" w:color="auto"/>
            </w:tcBorders>
            <w:hideMark/>
          </w:tcPr>
          <w:p w14:paraId="768A05FC" w14:textId="77777777" w:rsidR="00250FA5" w:rsidRPr="00250FA5" w:rsidRDefault="00250FA5" w:rsidP="00250FA5">
            <w:pPr>
              <w:keepNext/>
              <w:keepLines/>
              <w:spacing w:before="0"/>
              <w:jc w:val="left"/>
              <w:rPr>
                <w:rFonts w:ascii="Arial Narrow" w:eastAsia="Times New Roman" w:hAnsi="Arial Narrow" w:cs="Times New Roman"/>
                <w:iCs/>
                <w:sz w:val="20"/>
              </w:rPr>
            </w:pPr>
            <w:r w:rsidRPr="00250FA5">
              <w:rPr>
                <w:rFonts w:ascii="Arial Narrow" w:eastAsia="Times New Roman" w:hAnsi="Arial Narrow" w:cs="Times New Roman"/>
                <w:iCs/>
                <w:sz w:val="20"/>
              </w:rPr>
              <w:t>Positive expression of PD-L1 could serve as a predictor for poor prognosis of patients with OSCC and Asian patients with HNC, however, the findings still need to be confirmed by large-scale, prospective studies.</w:t>
            </w:r>
          </w:p>
        </w:tc>
      </w:tr>
      <w:tr w:rsidR="00250FA5" w:rsidRPr="00250FA5" w14:paraId="7C76D4FD" w14:textId="77777777" w:rsidTr="00250FA5">
        <w:trPr>
          <w:trHeight w:val="227"/>
        </w:trPr>
        <w:tc>
          <w:tcPr>
            <w:tcW w:w="1413" w:type="dxa"/>
            <w:tcBorders>
              <w:top w:val="single" w:sz="4" w:space="0" w:color="auto"/>
              <w:left w:val="single" w:sz="4" w:space="0" w:color="auto"/>
              <w:bottom w:val="single" w:sz="4" w:space="0" w:color="auto"/>
              <w:right w:val="single" w:sz="4" w:space="0" w:color="auto"/>
            </w:tcBorders>
            <w:vAlign w:val="center"/>
            <w:hideMark/>
          </w:tcPr>
          <w:p w14:paraId="38D4D8E9" w14:textId="77777777" w:rsidR="00250FA5" w:rsidRPr="00250FA5" w:rsidRDefault="00250FA5" w:rsidP="00250FA5">
            <w:pPr>
              <w:keepNext/>
              <w:keepLines/>
              <w:spacing w:before="0"/>
              <w:jc w:val="left"/>
              <w:rPr>
                <w:rFonts w:ascii="Arial Narrow" w:eastAsia="Times New Roman" w:hAnsi="Arial Narrow" w:cs="Times New Roman"/>
                <w:iCs/>
                <w:sz w:val="20"/>
              </w:rPr>
            </w:pPr>
            <w:r w:rsidRPr="00250FA5">
              <w:rPr>
                <w:rFonts w:ascii="Arial Narrow" w:eastAsia="Times New Roman" w:hAnsi="Arial Narrow" w:cs="Times New Roman"/>
                <w:iCs/>
                <w:sz w:val="20"/>
              </w:rPr>
              <w:t>Jia 2019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923D4E" w14:textId="77777777" w:rsidR="00250FA5" w:rsidRPr="00250FA5" w:rsidRDefault="00250FA5" w:rsidP="00250FA5">
            <w:pPr>
              <w:keepNext/>
              <w:keepLines/>
              <w:spacing w:before="0"/>
              <w:jc w:val="center"/>
              <w:rPr>
                <w:rFonts w:ascii="Arial Narrow" w:eastAsia="Times New Roman" w:hAnsi="Arial Narrow" w:cs="Times New Roman"/>
                <w:iCs/>
                <w:sz w:val="20"/>
              </w:rPr>
            </w:pPr>
            <w:r w:rsidRPr="00250FA5">
              <w:rPr>
                <w:rFonts w:ascii="Arial Narrow" w:eastAsia="Times New Roman" w:hAnsi="Arial Narrow" w:cs="Times New Roman"/>
                <w:iCs/>
                <w:sz w:val="20"/>
              </w:rPr>
              <w:t>HNSCC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46D14B" w14:textId="77777777" w:rsidR="00250FA5" w:rsidRPr="00250FA5" w:rsidRDefault="00250FA5" w:rsidP="00250FA5">
            <w:pPr>
              <w:keepNext/>
              <w:keepLines/>
              <w:spacing w:before="0"/>
              <w:jc w:val="center"/>
              <w:rPr>
                <w:rFonts w:ascii="Arial Narrow" w:eastAsia="Times New Roman" w:hAnsi="Arial Narrow" w:cs="Times New Roman"/>
                <w:iCs/>
                <w:sz w:val="20"/>
              </w:rPr>
            </w:pPr>
            <w:r w:rsidRPr="00250FA5">
              <w:rPr>
                <w:rFonts w:ascii="Arial Narrow" w:eastAsia="Times New Roman" w:hAnsi="Arial Narrow" w:cs="Times New Roman"/>
                <w:iCs/>
                <w:sz w:val="20"/>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D82308" w14:textId="77777777" w:rsidR="00250FA5" w:rsidRPr="00250FA5" w:rsidRDefault="00250FA5" w:rsidP="00250FA5">
            <w:pPr>
              <w:keepNext/>
              <w:keepLines/>
              <w:spacing w:before="0"/>
              <w:jc w:val="center"/>
              <w:rPr>
                <w:rFonts w:ascii="Arial Narrow" w:eastAsia="Times New Roman" w:hAnsi="Arial Narrow" w:cs="Times New Roman"/>
                <w:iCs/>
                <w:sz w:val="20"/>
              </w:rPr>
            </w:pPr>
            <w:r w:rsidRPr="00250FA5">
              <w:rPr>
                <w:rFonts w:ascii="Arial Narrow" w:eastAsia="Times New Roman" w:hAnsi="Arial Narrow" w:cs="Times New Roman"/>
                <w:iCs/>
                <w:sz w:val="20"/>
              </w:rPr>
              <w:t>4854</w:t>
            </w:r>
          </w:p>
        </w:tc>
        <w:tc>
          <w:tcPr>
            <w:tcW w:w="4201" w:type="dxa"/>
            <w:tcBorders>
              <w:top w:val="single" w:sz="4" w:space="0" w:color="auto"/>
              <w:left w:val="single" w:sz="4" w:space="0" w:color="auto"/>
              <w:bottom w:val="single" w:sz="4" w:space="0" w:color="auto"/>
              <w:right w:val="single" w:sz="4" w:space="0" w:color="auto"/>
            </w:tcBorders>
            <w:hideMark/>
          </w:tcPr>
          <w:p w14:paraId="1EC4BC41" w14:textId="77777777" w:rsidR="00250FA5" w:rsidRPr="00250FA5" w:rsidRDefault="00250FA5" w:rsidP="00250FA5">
            <w:pPr>
              <w:keepNext/>
              <w:keepLines/>
              <w:spacing w:before="0"/>
              <w:jc w:val="left"/>
              <w:rPr>
                <w:rFonts w:ascii="Arial Narrow" w:eastAsia="Times New Roman" w:hAnsi="Arial Narrow" w:cs="Times New Roman"/>
                <w:iCs/>
                <w:sz w:val="20"/>
              </w:rPr>
            </w:pPr>
            <w:r w:rsidRPr="00250FA5">
              <w:rPr>
                <w:rFonts w:ascii="Arial Narrow" w:eastAsia="Times New Roman" w:hAnsi="Arial Narrow" w:cs="Times New Roman"/>
                <w:iCs/>
                <w:sz w:val="20"/>
              </w:rPr>
              <w:t>PD-L1 is a potential prognostic predictor in head and neck cancer.</w:t>
            </w:r>
          </w:p>
        </w:tc>
      </w:tr>
    </w:tbl>
    <w:p w14:paraId="75D5E3C5" w14:textId="77777777" w:rsidR="00250FA5" w:rsidRPr="00250FA5" w:rsidRDefault="00250FA5" w:rsidP="00250FA5">
      <w:pPr>
        <w:keepNext/>
        <w:keepLines/>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HNSCC = head and neck squamous cell carcinoma, OSCC = oral squamous cell carcinoma, SCC = squamous cell carcinoma</w:t>
      </w:r>
    </w:p>
    <w:p w14:paraId="298FF221" w14:textId="77777777" w:rsidR="00250FA5" w:rsidRPr="00250FA5" w:rsidRDefault="00250FA5" w:rsidP="00250FA5">
      <w:pPr>
        <w:keepNext/>
        <w:keepLines/>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Grey shaded cells indicate studies included in the previous submission</w:t>
      </w:r>
    </w:p>
    <w:p w14:paraId="0A6E97F3" w14:textId="77777777" w:rsidR="00250FA5" w:rsidRPr="00250FA5" w:rsidRDefault="00250FA5" w:rsidP="002537A9">
      <w:pPr>
        <w:snapToGrid w:val="0"/>
        <w:spacing w:before="0" w:after="240"/>
        <w:rPr>
          <w:rFonts w:ascii="Arial Narrow" w:eastAsia="Times New Roman" w:hAnsi="Arial Narrow" w:cs="Arial"/>
          <w:sz w:val="18"/>
          <w:szCs w:val="20"/>
        </w:rPr>
      </w:pPr>
      <w:r w:rsidRPr="00250FA5">
        <w:rPr>
          <w:rFonts w:ascii="Arial Narrow" w:eastAsia="Times New Roman" w:hAnsi="Arial Narrow" w:cs="Arial"/>
          <w:sz w:val="18"/>
          <w:szCs w:val="20"/>
        </w:rPr>
        <w:t>Source: Table 2.13-1, p164 of the resubmission, Li 2017 and Jia 2019</w:t>
      </w:r>
    </w:p>
    <w:p w14:paraId="46C9C856"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commentary highlighted that Yang 2018, which was the largest of the systematic reviews by number of patient and studies, noted that, in the only study in pharyngeal SCC (</w:t>
      </w:r>
      <w:proofErr w:type="spellStart"/>
      <w:r w:rsidRPr="00250FA5">
        <w:rPr>
          <w:rFonts w:ascii="Times New Roman" w:eastAsia="Calibri" w:hAnsi="Times New Roman" w:cs="Times New Roman"/>
        </w:rPr>
        <w:t>Vassilakopoulou</w:t>
      </w:r>
      <w:proofErr w:type="spellEnd"/>
      <w:r w:rsidRPr="00250FA5">
        <w:rPr>
          <w:rFonts w:ascii="Times New Roman" w:eastAsia="Calibri" w:hAnsi="Times New Roman" w:cs="Times New Roman"/>
        </w:rPr>
        <w:t xml:space="preserve"> 2016, n=260), high PD-L1 expression (&gt;59</w:t>
      </w:r>
      <w:r w:rsidRPr="00250FA5">
        <w:rPr>
          <w:rFonts w:ascii="Times New Roman" w:eastAsia="Calibri" w:hAnsi="Times New Roman" w:cs="Times New Roman"/>
          <w:vertAlign w:val="superscript"/>
        </w:rPr>
        <w:t>th</w:t>
      </w:r>
      <w:r w:rsidRPr="00250FA5">
        <w:rPr>
          <w:rFonts w:ascii="Times New Roman" w:eastAsia="Calibri" w:hAnsi="Times New Roman" w:cs="Times New Roman"/>
        </w:rPr>
        <w:t xml:space="preserve"> percentile in automated quantitative protein analysis) was associated with longer OS in multivariate analysis (HR=0.570, 95% CI: 0.333, 0.973, P=0.039). Yang 2018 also found that patients with positive PD-L1 expression had improved PFS compared to patients with negative PD-L1 expression (HR=0.71, 95% CI: 0.55, 0.93, P=0.01) across six studies.</w:t>
      </w:r>
    </w:p>
    <w:p w14:paraId="46175E0A" w14:textId="0FBC232C"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The commentary noted that there were several studies (e.g. Cho 2011, Oliveira-Costa 2015 and </w:t>
      </w:r>
      <w:proofErr w:type="spellStart"/>
      <w:r w:rsidRPr="00250FA5">
        <w:rPr>
          <w:rFonts w:ascii="Times New Roman" w:eastAsia="Calibri" w:hAnsi="Times New Roman" w:cs="Times New Roman"/>
        </w:rPr>
        <w:t>Satgunaseelan</w:t>
      </w:r>
      <w:proofErr w:type="spellEnd"/>
      <w:r w:rsidRPr="00250FA5">
        <w:rPr>
          <w:rFonts w:ascii="Times New Roman" w:eastAsia="Calibri" w:hAnsi="Times New Roman" w:cs="Times New Roman"/>
        </w:rPr>
        <w:t xml:space="preserve"> 2016) which were included in all the identified meta-analyses and a number of other studies which were included in multiple meta-analyses as such, the agreement between the various meta-analyses on the overall HNSCC population should have been expected.</w:t>
      </w:r>
    </w:p>
    <w:p w14:paraId="097F7476"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commentary identified two additional meta-analyses (Li 2017 and Jia 2019) both of which reported statistically significant correlations between PD-L1 expression and OS outcomes in different subgroups. However the direction of the effect and the subgroups differed, with Li 2017 reporting worse OS outcomes in patients with oral squamous cell carcinoma or from Asian countries/regions and positive PD-L1 expression and Jia 2019 reporting better OS outcomes in nasopharyngeal carcinoma patients with higher expression of PD-L1. The commentary considered that given the potentially contradictory nature of the results it was difficult to draw any additional conclusions regarding the prognostic effect of PD-L1 expression and OS for patients with HNSCC. Nonetheless, there may not be sufficient evidence to conclude that PD-L1 expression has no prognostic impact on overall survival in HNSCC of the oral cavity, pharynx or larynx.</w:t>
      </w:r>
    </w:p>
    <w:p w14:paraId="79A389A3" w14:textId="77777777" w:rsidR="00250FA5" w:rsidRPr="00250FA5" w:rsidRDefault="00250FA5" w:rsidP="008431D6">
      <w:pPr>
        <w:keepNext/>
        <w:keepLines/>
        <w:spacing w:before="0" w:after="120"/>
        <w:jc w:val="left"/>
        <w:outlineLvl w:val="1"/>
        <w:rPr>
          <w:rFonts w:ascii="Times New Roman" w:eastAsia="Times New Roman" w:hAnsi="Times New Roman" w:cs="Times New Roman"/>
          <w:bCs/>
          <w:i/>
          <w:szCs w:val="26"/>
          <w:lang w:eastAsia="en-AU"/>
        </w:rPr>
      </w:pPr>
      <w:r w:rsidRPr="00250FA5">
        <w:rPr>
          <w:rFonts w:ascii="Times New Roman" w:eastAsia="Times New Roman" w:hAnsi="Times New Roman" w:cs="Times New Roman"/>
          <w:bCs/>
          <w:i/>
          <w:szCs w:val="26"/>
          <w:lang w:eastAsia="en-AU"/>
        </w:rPr>
        <w:t>Predictive evidence</w:t>
      </w:r>
    </w:p>
    <w:p w14:paraId="792A334E" w14:textId="7C7F6B14" w:rsidR="00250FA5" w:rsidRPr="00250FA5" w:rsidRDefault="00250FA5" w:rsidP="00250FA5">
      <w:pPr>
        <w:spacing w:before="0" w:after="240"/>
        <w:jc w:val="left"/>
        <w:rPr>
          <w:rFonts w:ascii="Times New Roman" w:eastAsia="Calibri" w:hAnsi="Times New Roman" w:cs="Times New Roman"/>
        </w:rPr>
      </w:pPr>
      <w:r w:rsidRPr="001D4929">
        <w:rPr>
          <w:rFonts w:ascii="Times New Roman" w:eastAsia="Calibri" w:hAnsi="Times New Roman" w:cs="Times New Roman"/>
          <w:szCs w:val="24"/>
        </w:rPr>
        <w:fldChar w:fldCharType="begin"/>
      </w:r>
      <w:r w:rsidRPr="001D4929">
        <w:rPr>
          <w:rFonts w:ascii="Times New Roman" w:eastAsia="Calibri" w:hAnsi="Times New Roman" w:cs="Times New Roman"/>
          <w:szCs w:val="24"/>
        </w:rPr>
        <w:instrText xml:space="preserve"> REF _Ref84938421 \h </w:instrText>
      </w:r>
      <w:r w:rsidR="001D4929" w:rsidRPr="001D4929">
        <w:rPr>
          <w:rFonts w:ascii="Times New Roman" w:eastAsia="Calibri" w:hAnsi="Times New Roman" w:cs="Times New Roman"/>
          <w:szCs w:val="24"/>
        </w:rPr>
        <w:instrText xml:space="preserve"> \* MERGEFORMAT </w:instrText>
      </w:r>
      <w:r w:rsidRPr="001D4929">
        <w:rPr>
          <w:rFonts w:ascii="Times New Roman" w:eastAsia="Calibri" w:hAnsi="Times New Roman" w:cs="Times New Roman"/>
          <w:szCs w:val="24"/>
        </w:rPr>
      </w:r>
      <w:r w:rsidRPr="001D4929">
        <w:rPr>
          <w:rFonts w:ascii="Times New Roman" w:eastAsia="Calibri" w:hAnsi="Times New Roman" w:cs="Times New Roman"/>
          <w:szCs w:val="24"/>
        </w:rPr>
        <w:fldChar w:fldCharType="separate"/>
      </w:r>
      <w:r w:rsidR="000635B6" w:rsidRPr="000635B6">
        <w:rPr>
          <w:rFonts w:ascii="Times New Roman" w:eastAsia="Times New Roman" w:hAnsi="Times New Roman" w:cs="Times New Roman"/>
          <w:iCs/>
          <w:szCs w:val="24"/>
        </w:rPr>
        <w:t xml:space="preserve">Figure </w:t>
      </w:r>
      <w:r w:rsidR="00530E8C">
        <w:rPr>
          <w:rFonts w:ascii="Times New Roman" w:eastAsia="Times New Roman" w:hAnsi="Times New Roman" w:cs="Times New Roman"/>
          <w:iCs/>
          <w:szCs w:val="24"/>
        </w:rPr>
        <w:t>3</w:t>
      </w:r>
      <w:r w:rsidRPr="001D4929">
        <w:rPr>
          <w:rFonts w:ascii="Times New Roman" w:eastAsia="Calibri" w:hAnsi="Times New Roman" w:cs="Times New Roman"/>
          <w:szCs w:val="24"/>
        </w:rPr>
        <w:fldChar w:fldCharType="end"/>
      </w:r>
      <w:r w:rsidRPr="001D4929">
        <w:rPr>
          <w:rFonts w:ascii="Times New Roman" w:eastAsia="Calibri" w:hAnsi="Times New Roman" w:cs="Times New Roman"/>
          <w:szCs w:val="24"/>
        </w:rPr>
        <w:t xml:space="preserve"> presents</w:t>
      </w:r>
      <w:r w:rsidRPr="00250FA5">
        <w:rPr>
          <w:rFonts w:ascii="Times New Roman" w:eastAsia="Calibri" w:hAnsi="Times New Roman" w:cs="Times New Roman"/>
        </w:rPr>
        <w:t xml:space="preserve"> the final multiplicity strategy, including alpha reallocation.</w:t>
      </w:r>
    </w:p>
    <w:p w14:paraId="62FF23FB" w14:textId="77777777" w:rsidR="00250FA5" w:rsidRPr="00250FA5" w:rsidRDefault="00250FA5" w:rsidP="00250FA5">
      <w:pPr>
        <w:keepNext/>
        <w:jc w:val="left"/>
        <w:rPr>
          <w:rFonts w:ascii="Times New Roman" w:eastAsia="Times New Roman" w:hAnsi="Times New Roman" w:cs="Times New Roman"/>
          <w:szCs w:val="20"/>
          <w:lang w:eastAsia="en-AU"/>
        </w:rPr>
      </w:pPr>
      <w:r w:rsidRPr="00250FA5">
        <w:rPr>
          <w:rFonts w:ascii="Times New Roman" w:eastAsia="Calibri" w:hAnsi="Times New Roman" w:cs="Times New Roman"/>
          <w:noProof/>
          <w:lang w:eastAsia="en-AU"/>
        </w:rPr>
        <w:drawing>
          <wp:inline distT="0" distB="0" distL="0" distR="0" wp14:anchorId="28EBAEE4" wp14:editId="507D0B4F">
            <wp:extent cx="5438775" cy="3417946"/>
            <wp:effectExtent l="0" t="0" r="0" b="0"/>
            <wp:docPr id="4" name="Picture 4" descr="KEYNOTE-048 multiplicity strategy and alpha reallocation 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KEYNOTE-048 multiplicity strategy and alpha reallocation schema"/>
                    <pic:cNvPicPr/>
                  </pic:nvPicPr>
                  <pic:blipFill>
                    <a:blip r:embed="rId14">
                      <a:extLst>
                        <a:ext uri="{28A0092B-C50C-407E-A947-70E740481C1C}">
                          <a14:useLocalDpi xmlns:a14="http://schemas.microsoft.com/office/drawing/2010/main" val="0"/>
                        </a:ext>
                      </a:extLst>
                    </a:blip>
                    <a:stretch>
                      <a:fillRect/>
                    </a:stretch>
                  </pic:blipFill>
                  <pic:spPr>
                    <a:xfrm>
                      <a:off x="0" y="0"/>
                      <a:ext cx="5448732" cy="3424204"/>
                    </a:xfrm>
                    <a:prstGeom prst="rect">
                      <a:avLst/>
                    </a:prstGeom>
                  </pic:spPr>
                </pic:pic>
              </a:graphicData>
            </a:graphic>
          </wp:inline>
        </w:drawing>
      </w:r>
    </w:p>
    <w:p w14:paraId="71143CB5" w14:textId="2AD9D82D" w:rsidR="00250FA5" w:rsidRPr="00250FA5" w:rsidRDefault="00250FA5" w:rsidP="002537A9">
      <w:pPr>
        <w:keepNext/>
        <w:spacing w:before="0" w:after="40"/>
        <w:ind w:left="993" w:hanging="993"/>
        <w:jc w:val="left"/>
        <w:outlineLvl w:val="4"/>
        <w:rPr>
          <w:rFonts w:ascii="Arial Narrow" w:eastAsia="Times New Roman" w:hAnsi="Arial Narrow" w:cs="Arial"/>
          <w:b/>
          <w:bCs/>
          <w:iCs/>
          <w:sz w:val="20"/>
          <w:szCs w:val="20"/>
        </w:rPr>
      </w:pPr>
      <w:bookmarkStart w:id="10" w:name="_Ref84938421"/>
      <w:bookmarkStart w:id="11" w:name="_Ref85192321"/>
      <w:r w:rsidRPr="00250FA5">
        <w:rPr>
          <w:rFonts w:ascii="Arial Narrow" w:eastAsia="Times New Roman" w:hAnsi="Arial Narrow" w:cs="Arial"/>
          <w:b/>
          <w:bCs/>
          <w:iCs/>
          <w:sz w:val="20"/>
          <w:szCs w:val="20"/>
        </w:rPr>
        <w:t>Figure</w:t>
      </w:r>
      <w:r w:rsidR="00F54109">
        <w:rPr>
          <w:rFonts w:ascii="Arial Narrow" w:eastAsia="Times New Roman" w:hAnsi="Arial Narrow" w:cs="Arial"/>
          <w:b/>
          <w:bCs/>
          <w:iCs/>
          <w:sz w:val="20"/>
          <w:szCs w:val="20"/>
        </w:rPr>
        <w:t xml:space="preserve"> </w:t>
      </w:r>
      <w:r w:rsidRPr="00250FA5">
        <w:rPr>
          <w:rFonts w:ascii="Arial Narrow" w:eastAsia="Times New Roman" w:hAnsi="Arial Narrow" w:cs="Arial"/>
          <w:b/>
          <w:bCs/>
          <w:iCs/>
          <w:sz w:val="20"/>
          <w:szCs w:val="20"/>
        </w:rPr>
        <w:fldChar w:fldCharType="begin"/>
      </w:r>
      <w:r w:rsidRPr="00250FA5">
        <w:rPr>
          <w:rFonts w:ascii="Arial Narrow" w:eastAsia="Times New Roman" w:hAnsi="Arial Narrow" w:cs="Arial"/>
          <w:b/>
          <w:bCs/>
          <w:iCs/>
          <w:sz w:val="20"/>
          <w:szCs w:val="20"/>
        </w:rPr>
        <w:instrText xml:space="preserve"> SEQ Figure \* ARABIC </w:instrText>
      </w:r>
      <w:r w:rsidRPr="00250FA5">
        <w:rPr>
          <w:rFonts w:ascii="Arial Narrow" w:eastAsia="Times New Roman" w:hAnsi="Arial Narrow" w:cs="Arial"/>
          <w:b/>
          <w:bCs/>
          <w:iCs/>
          <w:sz w:val="20"/>
          <w:szCs w:val="20"/>
        </w:rPr>
        <w:fldChar w:fldCharType="separate"/>
      </w:r>
      <w:r w:rsidR="004F186B">
        <w:rPr>
          <w:rFonts w:ascii="Arial Narrow" w:eastAsia="Times New Roman" w:hAnsi="Arial Narrow" w:cs="Arial"/>
          <w:b/>
          <w:bCs/>
          <w:iCs/>
          <w:noProof/>
          <w:sz w:val="20"/>
          <w:szCs w:val="20"/>
        </w:rPr>
        <w:t>3</w:t>
      </w:r>
      <w:r w:rsidRPr="00250FA5">
        <w:rPr>
          <w:rFonts w:ascii="Arial Narrow" w:eastAsia="Times New Roman" w:hAnsi="Arial Narrow" w:cs="Arial"/>
          <w:b/>
          <w:bCs/>
          <w:iCs/>
          <w:sz w:val="20"/>
          <w:szCs w:val="20"/>
        </w:rPr>
        <w:fldChar w:fldCharType="end"/>
      </w:r>
      <w:bookmarkEnd w:id="10"/>
      <w:r w:rsidRPr="00250FA5">
        <w:rPr>
          <w:rFonts w:ascii="Arial Narrow" w:eastAsia="Times New Roman" w:hAnsi="Arial Narrow" w:cs="Arial"/>
          <w:b/>
          <w:bCs/>
          <w:iCs/>
          <w:sz w:val="20"/>
          <w:szCs w:val="20"/>
        </w:rPr>
        <w:tab/>
        <w:t>KEYNOTE-048 multiplicity strategy and alpha reallocation schema</w:t>
      </w:r>
      <w:bookmarkEnd w:id="11"/>
    </w:p>
    <w:p w14:paraId="3069D481" w14:textId="77777777" w:rsidR="00250FA5" w:rsidRPr="00250FA5" w:rsidRDefault="00250FA5" w:rsidP="00530E8C">
      <w:pPr>
        <w:keepNext/>
        <w:keepLines/>
        <w:widowControl w:val="0"/>
        <w:spacing w:before="60" w:after="120"/>
        <w:contextualSpacing/>
        <w:jc w:val="left"/>
        <w:rPr>
          <w:rFonts w:ascii="Arial Narrow" w:eastAsia="Calibri" w:hAnsi="Arial Narrow" w:cs="Arial"/>
          <w:snapToGrid w:val="0"/>
          <w:sz w:val="18"/>
          <w:szCs w:val="20"/>
        </w:rPr>
      </w:pPr>
      <w:r w:rsidRPr="00250FA5">
        <w:rPr>
          <w:rFonts w:ascii="Arial Narrow" w:eastAsia="Calibri" w:hAnsi="Arial Narrow" w:cs="Arial"/>
          <w:snapToGrid w:val="0"/>
          <w:sz w:val="18"/>
          <w:szCs w:val="20"/>
        </w:rPr>
        <w:t xml:space="preserve">Source: Figure 9-2, p113 of the KN048 CSR </w:t>
      </w:r>
    </w:p>
    <w:p w14:paraId="670A304D" w14:textId="54E8C0A9" w:rsidR="00250FA5" w:rsidRDefault="00250FA5" w:rsidP="005702F6">
      <w:pPr>
        <w:widowControl w:val="0"/>
        <w:spacing w:before="60" w:after="240"/>
        <w:jc w:val="left"/>
        <w:rPr>
          <w:rFonts w:ascii="Arial Narrow" w:eastAsia="Times New Roman" w:hAnsi="Arial Narrow" w:cs="Arial"/>
          <w:snapToGrid w:val="0"/>
          <w:sz w:val="18"/>
          <w:szCs w:val="20"/>
        </w:rPr>
      </w:pPr>
      <w:r w:rsidRPr="00250FA5">
        <w:rPr>
          <w:rFonts w:ascii="Arial Narrow" w:eastAsia="Times New Roman" w:hAnsi="Arial Narrow" w:cs="Arial"/>
          <w:snapToGrid w:val="0"/>
          <w:sz w:val="18"/>
          <w:szCs w:val="20"/>
        </w:rPr>
        <w:t>C = pembrolizumab plus chemotherapy; CPS = combined positive score; CSR = clinical study report; M = pembrolizumab monotherapy; OS = overall survival; PD-L1= programmed death ligand 1; PFS = progression-free survival; S = cetuximab plus chemotherapy (standard treatment)</w:t>
      </w:r>
    </w:p>
    <w:p w14:paraId="0CEBF934" w14:textId="74DBD89F" w:rsidR="00250FA5" w:rsidRPr="00250FA5" w:rsidRDefault="00B54A42" w:rsidP="00250FA5">
      <w:pPr>
        <w:jc w:val="left"/>
        <w:rPr>
          <w:rFonts w:ascii="Times New Roman" w:eastAsia="Calibri" w:hAnsi="Times New Roman" w:cs="Times New Roman"/>
        </w:rPr>
      </w:pPr>
      <w:r>
        <w:rPr>
          <w:rFonts w:ascii="Times New Roman" w:eastAsia="Calibri" w:hAnsi="Times New Roman" w:cs="Times New Roman"/>
        </w:rPr>
        <w:t xml:space="preserve">Not all hypotheses were tested. </w:t>
      </w:r>
      <w:r w:rsidR="00250FA5" w:rsidRPr="00250FA5">
        <w:rPr>
          <w:rFonts w:ascii="Times New Roman" w:eastAsia="Calibri" w:hAnsi="Times New Roman" w:cs="Times New Roman"/>
        </w:rPr>
        <w:t>The final analysis used the remaining Type I error</w:t>
      </w:r>
      <w:r w:rsidR="006726C4">
        <w:rPr>
          <w:rFonts w:ascii="Times New Roman" w:eastAsia="Calibri" w:hAnsi="Times New Roman" w:cs="Times New Roman"/>
        </w:rPr>
        <w:t xml:space="preserve"> (alpha)</w:t>
      </w:r>
      <w:r w:rsidR="00250FA5" w:rsidRPr="00250FA5">
        <w:rPr>
          <w:rFonts w:ascii="Times New Roman" w:eastAsia="Calibri" w:hAnsi="Times New Roman" w:cs="Times New Roman"/>
        </w:rPr>
        <w:t xml:space="preserve"> not spent at earlier analyses. The KN048 CSR concluded that the major change at final analysis was that statistical superiority for OS was demonstrated for the CPS ≥1 and CPS ≥20 populations for pembrolizumab plus chemotherapy versus standard treatment (H12 and H11 were achieved at the final analysis, respectively).</w:t>
      </w:r>
    </w:p>
    <w:p w14:paraId="53C403B3" w14:textId="77607FAD" w:rsidR="00250FA5" w:rsidRPr="00250FA5" w:rsidRDefault="00250FA5" w:rsidP="005702F6">
      <w:pPr>
        <w:spacing w:before="240" w:after="120"/>
        <w:jc w:val="left"/>
        <w:rPr>
          <w:rFonts w:ascii="Times New Roman" w:eastAsia="Calibri" w:hAnsi="Times New Roman" w:cs="Times New Roman"/>
        </w:rPr>
      </w:pPr>
      <w:r w:rsidRPr="00250FA5">
        <w:rPr>
          <w:rFonts w:ascii="Times New Roman" w:eastAsia="Calibri" w:hAnsi="Times New Roman" w:cs="Times New Roman"/>
        </w:rPr>
        <w:t>Several of the hypothes</w:t>
      </w:r>
      <w:r w:rsidR="00924E61">
        <w:rPr>
          <w:rFonts w:ascii="Times New Roman" w:eastAsia="Calibri" w:hAnsi="Times New Roman" w:cs="Times New Roman"/>
        </w:rPr>
        <w:t>e</w:t>
      </w:r>
      <w:r w:rsidRPr="00250FA5">
        <w:rPr>
          <w:rFonts w:ascii="Times New Roman" w:eastAsia="Calibri" w:hAnsi="Times New Roman" w:cs="Times New Roman"/>
        </w:rPr>
        <w:t xml:space="preserve">s were </w:t>
      </w:r>
      <w:r w:rsidR="00924E61">
        <w:rPr>
          <w:rFonts w:ascii="Times New Roman" w:eastAsia="Calibri" w:hAnsi="Times New Roman" w:cs="Times New Roman"/>
        </w:rPr>
        <w:t>successful after</w:t>
      </w:r>
      <w:r w:rsidRPr="00250FA5">
        <w:rPr>
          <w:rFonts w:ascii="Times New Roman" w:eastAsia="Calibri" w:hAnsi="Times New Roman" w:cs="Times New Roman"/>
        </w:rPr>
        <w:t xml:space="preserve"> reallocation of alpha across the hypothes</w:t>
      </w:r>
      <w:r w:rsidR="00B16979">
        <w:rPr>
          <w:rFonts w:ascii="Times New Roman" w:eastAsia="Calibri" w:hAnsi="Times New Roman" w:cs="Times New Roman"/>
        </w:rPr>
        <w:t>e</w:t>
      </w:r>
      <w:r w:rsidRPr="00250FA5">
        <w:rPr>
          <w:rFonts w:ascii="Times New Roman" w:eastAsia="Calibri" w:hAnsi="Times New Roman" w:cs="Times New Roman"/>
        </w:rPr>
        <w:t>s. Th</w:t>
      </w:r>
      <w:r w:rsidR="00FF7462">
        <w:rPr>
          <w:rFonts w:ascii="Times New Roman" w:eastAsia="Calibri" w:hAnsi="Times New Roman" w:cs="Times New Roman"/>
        </w:rPr>
        <w:t>ese</w:t>
      </w:r>
      <w:r w:rsidRPr="00250FA5">
        <w:rPr>
          <w:rFonts w:ascii="Times New Roman" w:eastAsia="Calibri" w:hAnsi="Times New Roman" w:cs="Times New Roman"/>
        </w:rPr>
        <w:t xml:space="preserve"> included:</w:t>
      </w:r>
    </w:p>
    <w:p w14:paraId="21CED2A1" w14:textId="76FB31F9" w:rsidR="00250FA5" w:rsidRPr="00250FA5" w:rsidRDefault="00250FA5" w:rsidP="00A2043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Hypothesis 8: </w:t>
      </w:r>
      <w:r w:rsidRPr="00A2043B">
        <w:rPr>
          <w:rFonts w:ascii="Times New Roman" w:eastAsia="Calibri" w:hAnsi="Times New Roman" w:cs="Times New Roman"/>
          <w:szCs w:val="20"/>
        </w:rPr>
        <w:t>Pembrolizumab</w:t>
      </w:r>
      <w:r w:rsidRPr="00250FA5">
        <w:rPr>
          <w:rFonts w:ascii="Times New Roman" w:eastAsia="Calibri" w:hAnsi="Times New Roman" w:cs="Times New Roman"/>
        </w:rPr>
        <w:t xml:space="preserve"> monotherapy prolongs OS in 1L R/M HNSCC participants with PD-L1 ≥1 CPS compared to standard treatment;</w:t>
      </w:r>
    </w:p>
    <w:p w14:paraId="167333D9" w14:textId="1FD26B28" w:rsidR="00250FA5" w:rsidRPr="00250FA5" w:rsidRDefault="00250FA5" w:rsidP="00A2043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Hypothesis 9: </w:t>
      </w:r>
      <w:r w:rsidRPr="00A2043B">
        <w:rPr>
          <w:rFonts w:ascii="Times New Roman" w:eastAsia="Calibri" w:hAnsi="Times New Roman" w:cs="Times New Roman"/>
          <w:szCs w:val="20"/>
        </w:rPr>
        <w:t>Pembrolizumab</w:t>
      </w:r>
      <w:r w:rsidRPr="00250FA5">
        <w:rPr>
          <w:rFonts w:ascii="Times New Roman" w:eastAsia="Calibri" w:hAnsi="Times New Roman" w:cs="Times New Roman"/>
        </w:rPr>
        <w:t xml:space="preserve"> monotherapy is noninferior to standard treatment in terms of OS in all 1L R/M HNSCC participants;</w:t>
      </w:r>
    </w:p>
    <w:p w14:paraId="5C98B8A3" w14:textId="4E6E7B03" w:rsidR="00250FA5" w:rsidRPr="00250FA5" w:rsidRDefault="00250FA5" w:rsidP="00A2043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Hypothesis 12: </w:t>
      </w:r>
      <w:r w:rsidRPr="00A2043B">
        <w:rPr>
          <w:rFonts w:ascii="Times New Roman" w:eastAsia="Calibri" w:hAnsi="Times New Roman" w:cs="Times New Roman"/>
          <w:szCs w:val="20"/>
        </w:rPr>
        <w:t>Pembrolizumab</w:t>
      </w:r>
      <w:r w:rsidRPr="00250FA5">
        <w:rPr>
          <w:rFonts w:ascii="Times New Roman" w:eastAsia="Calibri" w:hAnsi="Times New Roman" w:cs="Times New Roman"/>
        </w:rPr>
        <w:t xml:space="preserve"> in combination with chemotherapy prolongs OS in 1L R/M HNSCC participants with PD-L1 ≥1 CPS compared to standard treatment;</w:t>
      </w:r>
    </w:p>
    <w:p w14:paraId="69F036E1" w14:textId="25F72B95" w:rsidR="00250FA5" w:rsidRPr="00250FA5" w:rsidRDefault="00250FA5" w:rsidP="00B2387B">
      <w:pPr>
        <w:numPr>
          <w:ilvl w:val="0"/>
          <w:numId w:val="81"/>
        </w:numPr>
        <w:spacing w:before="0" w:after="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Hypothesis 14: </w:t>
      </w:r>
      <w:r w:rsidRPr="00A2043B">
        <w:rPr>
          <w:rFonts w:ascii="Times New Roman" w:eastAsia="Calibri" w:hAnsi="Times New Roman" w:cs="Times New Roman"/>
          <w:szCs w:val="20"/>
        </w:rPr>
        <w:t>Pembrolizumab</w:t>
      </w:r>
      <w:r w:rsidRPr="00250FA5">
        <w:rPr>
          <w:rFonts w:ascii="Times New Roman" w:eastAsia="Calibri" w:hAnsi="Times New Roman" w:cs="Times New Roman"/>
        </w:rPr>
        <w:t xml:space="preserve"> in combination with chemotherapy prolongs OS in all 1L R/M HNSCC participants compared to standard treatment.</w:t>
      </w:r>
    </w:p>
    <w:p w14:paraId="3F7644A2" w14:textId="4932189C" w:rsidR="00250FA5" w:rsidRPr="00250FA5" w:rsidRDefault="00250FA5" w:rsidP="0059517E">
      <w:pPr>
        <w:spacing w:before="240" w:after="240"/>
        <w:jc w:val="left"/>
        <w:rPr>
          <w:rFonts w:ascii="Times New Roman" w:eastAsia="Calibri" w:hAnsi="Times New Roman" w:cs="Times New Roman"/>
        </w:rPr>
      </w:pPr>
      <w:r w:rsidRPr="00250FA5">
        <w:rPr>
          <w:rFonts w:ascii="Times New Roman" w:eastAsia="Calibri" w:hAnsi="Times New Roman" w:cs="Times New Roman"/>
        </w:rPr>
        <w:t xml:space="preserve">The overall survival of patients by PD-L1 status in KN048 are reported in </w:t>
      </w:r>
      <w:r w:rsidRPr="00250FA5">
        <w:rPr>
          <w:rFonts w:ascii="Times New Roman" w:eastAsia="Calibri" w:hAnsi="Times New Roman" w:cs="Times New Roman"/>
        </w:rPr>
        <w:fldChar w:fldCharType="begin"/>
      </w:r>
      <w:r w:rsidRPr="00250FA5">
        <w:rPr>
          <w:rFonts w:ascii="Times New Roman" w:eastAsia="Calibri" w:hAnsi="Times New Roman" w:cs="Times New Roman"/>
        </w:rPr>
        <w:instrText xml:space="preserve"> REF _Ref80057265 \h  \* MERGEFORMAT </w:instrText>
      </w:r>
      <w:r w:rsidRPr="00250FA5">
        <w:rPr>
          <w:rFonts w:ascii="Times New Roman" w:eastAsia="Calibri" w:hAnsi="Times New Roman" w:cs="Times New Roman"/>
        </w:rPr>
      </w:r>
      <w:r w:rsidRPr="00250FA5">
        <w:rPr>
          <w:rFonts w:ascii="Times New Roman" w:eastAsia="Calibri" w:hAnsi="Times New Roman" w:cs="Times New Roman"/>
        </w:rPr>
        <w:fldChar w:fldCharType="separate"/>
      </w:r>
      <w:r w:rsidR="000635B6" w:rsidRPr="000635B6">
        <w:rPr>
          <w:rFonts w:ascii="Times New Roman" w:eastAsia="Calibri" w:hAnsi="Times New Roman" w:cs="Times New Roman"/>
        </w:rPr>
        <w:t xml:space="preserve">Table </w:t>
      </w:r>
      <w:r w:rsidR="000635B6" w:rsidRPr="000635B6">
        <w:rPr>
          <w:rFonts w:ascii="Times New Roman" w:eastAsia="Calibri" w:hAnsi="Times New Roman" w:cs="Times New Roman"/>
          <w:bCs/>
          <w:iCs/>
          <w:noProof/>
          <w:szCs w:val="24"/>
        </w:rPr>
        <w:t>6</w:t>
      </w:r>
      <w:r w:rsidRPr="00250FA5">
        <w:rPr>
          <w:rFonts w:ascii="Times New Roman" w:eastAsia="Calibri" w:hAnsi="Times New Roman" w:cs="Times New Roman"/>
        </w:rPr>
        <w:fldChar w:fldCharType="end"/>
      </w:r>
      <w:r w:rsidRPr="00250FA5">
        <w:rPr>
          <w:rFonts w:ascii="Times New Roman" w:eastAsia="Calibri" w:hAnsi="Times New Roman" w:cs="Times New Roman"/>
        </w:rPr>
        <w:t>. As in the previous submission, the resubmission claimed that the OS HR results for both pembrolizumab monotherapy and pembrolizumab + chemotherapy indicated an increasing clinical benefit with increasing levels of PD-L1 expression. Also, as in the previous submission, the resubmission acknowledged that the results in the PD-L1 CPS&lt;1 population were based on a small sample size as the trial was not powered to show a difference between CPS ≥1 and CPS &lt;1. (KN048 was powered to show a difference between pembrolizumab monotherapy and pembrolizumab + chemotherapy and SoC in CPS</w:t>
      </w:r>
      <w:r w:rsidR="00FF7462">
        <w:rPr>
          <w:rFonts w:ascii="Times New Roman" w:eastAsia="Calibri" w:hAnsi="Times New Roman" w:cs="Times New Roman"/>
        </w:rPr>
        <w:t xml:space="preserve"> </w:t>
      </w:r>
      <w:r w:rsidRPr="00250FA5">
        <w:rPr>
          <w:rFonts w:ascii="Times New Roman" w:eastAsia="Calibri" w:hAnsi="Times New Roman" w:cs="Times New Roman"/>
        </w:rPr>
        <w:t>≥20 and CPS</w:t>
      </w:r>
      <w:r w:rsidR="00FF7462">
        <w:rPr>
          <w:rFonts w:ascii="Times New Roman" w:eastAsia="Calibri" w:hAnsi="Times New Roman" w:cs="Times New Roman"/>
        </w:rPr>
        <w:t xml:space="preserve"> </w:t>
      </w:r>
      <w:r w:rsidRPr="00250FA5">
        <w:rPr>
          <w:rFonts w:ascii="Times New Roman" w:eastAsia="Calibri" w:hAnsi="Times New Roman" w:cs="Times New Roman"/>
        </w:rPr>
        <w:t>≥1 populations).</w:t>
      </w:r>
    </w:p>
    <w:p w14:paraId="3733CE19" w14:textId="0246FC09" w:rsidR="00250FA5" w:rsidRPr="00250FA5" w:rsidRDefault="00250FA5" w:rsidP="00250FA5">
      <w:pPr>
        <w:keepNext/>
        <w:keepLines/>
        <w:widowControl w:val="0"/>
        <w:spacing w:before="0" w:after="0"/>
        <w:ind w:left="992" w:hanging="992"/>
        <w:contextualSpacing/>
        <w:jc w:val="left"/>
        <w:rPr>
          <w:rFonts w:ascii="Arial Narrow" w:eastAsia="Calibri" w:hAnsi="Arial Narrow" w:cs="Times New Roman"/>
          <w:b/>
          <w:iCs/>
          <w:sz w:val="20"/>
          <w:szCs w:val="18"/>
        </w:rPr>
      </w:pPr>
      <w:bookmarkStart w:id="12" w:name="_Ref80057265"/>
      <w:r w:rsidRPr="00250FA5">
        <w:rPr>
          <w:rFonts w:ascii="Arial Narrow" w:eastAsia="Calibri" w:hAnsi="Arial Narrow" w:cs="Times New Roman"/>
          <w:b/>
          <w:iCs/>
          <w:sz w:val="20"/>
          <w:szCs w:val="18"/>
        </w:rPr>
        <w:t xml:space="preserve">Table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Table \* ARABIC </w:instrText>
      </w:r>
      <w:r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6</w:t>
      </w:r>
      <w:r w:rsidRPr="00250FA5">
        <w:rPr>
          <w:rFonts w:ascii="Arial Narrow" w:eastAsia="Calibri" w:hAnsi="Arial Narrow" w:cs="Times New Roman"/>
          <w:b/>
          <w:iCs/>
          <w:sz w:val="20"/>
          <w:szCs w:val="18"/>
        </w:rPr>
        <w:fldChar w:fldCharType="end"/>
      </w:r>
      <w:bookmarkEnd w:id="12"/>
      <w:r w:rsidRPr="00250FA5">
        <w:rPr>
          <w:rFonts w:ascii="Arial Narrow" w:eastAsia="Calibri" w:hAnsi="Arial Narrow" w:cs="Times New Roman"/>
          <w:b/>
          <w:iCs/>
          <w:sz w:val="20"/>
          <w:szCs w:val="18"/>
        </w:rPr>
        <w:tab/>
        <w:t>Overall survival in KN048 by CPS status</w:t>
      </w:r>
    </w:p>
    <w:tbl>
      <w:tblPr>
        <w:tblStyle w:val="PBACtable6"/>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2579"/>
        <w:gridCol w:w="1803"/>
        <w:gridCol w:w="1804"/>
      </w:tblGrid>
      <w:tr w:rsidR="00250FA5" w:rsidRPr="00250FA5" w14:paraId="4B8E21BB" w14:textId="77777777" w:rsidTr="00250FA5">
        <w:trPr>
          <w:cnfStyle w:val="100000000000" w:firstRow="1" w:lastRow="0" w:firstColumn="0" w:lastColumn="0" w:oddVBand="0" w:evenVBand="0" w:oddHBand="0" w:evenHBand="0" w:firstRowFirstColumn="0" w:firstRowLastColumn="0" w:lastRowFirstColumn="0" w:lastRowLastColumn="0"/>
          <w:trHeight w:val="170"/>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976675A" w14:textId="77777777" w:rsidR="00250FA5" w:rsidRPr="00250FA5" w:rsidRDefault="00250FA5" w:rsidP="00250FA5">
            <w:pPr>
              <w:keepNext/>
              <w:keepLines/>
              <w:spacing w:before="0"/>
              <w:rPr>
                <w:rFonts w:ascii="Arial Narrow" w:hAnsi="Arial Narrow"/>
                <w:sz w:val="20"/>
                <w:szCs w:val="20"/>
              </w:rPr>
            </w:pPr>
          </w:p>
        </w:tc>
        <w:tc>
          <w:tcPr>
            <w:tcW w:w="4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7D278"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Previous submission (three</w:t>
            </w:r>
            <w:r w:rsidRPr="00250FA5">
              <w:rPr>
                <w:rFonts w:ascii="Arial Narrow" w:hAnsi="Arial Narrow"/>
                <w:sz w:val="20"/>
                <w:szCs w:val="20"/>
              </w:rPr>
              <w:noBreakHyphen/>
              <w:t>year follow-up)</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21936"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Current resubmission (four</w:t>
            </w:r>
            <w:r w:rsidRPr="00250FA5">
              <w:rPr>
                <w:rFonts w:ascii="Arial Narrow" w:hAnsi="Arial Narrow"/>
                <w:sz w:val="20"/>
                <w:szCs w:val="20"/>
              </w:rPr>
              <w:noBreakHyphen/>
              <w:t>year follow-up)</w:t>
            </w:r>
          </w:p>
        </w:tc>
      </w:tr>
      <w:tr w:rsidR="00250FA5" w:rsidRPr="00250FA5" w14:paraId="0A3AF1E6"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tcPr>
          <w:p w14:paraId="26B0D91A" w14:textId="77777777" w:rsidR="00250FA5" w:rsidRPr="00250FA5" w:rsidRDefault="00250FA5" w:rsidP="00250FA5">
            <w:pPr>
              <w:keepNext/>
              <w:keepLines/>
              <w:spacing w:before="0"/>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9858FF0"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
                <w:bCs/>
                <w:sz w:val="20"/>
                <w:szCs w:val="20"/>
              </w:rPr>
              <w:t>OS HR</w:t>
            </w:r>
          </w:p>
        </w:tc>
        <w:tc>
          <w:tcPr>
            <w:tcW w:w="2579" w:type="dxa"/>
            <w:tcBorders>
              <w:top w:val="single" w:sz="4" w:space="0" w:color="auto"/>
              <w:left w:val="single" w:sz="4" w:space="0" w:color="auto"/>
              <w:bottom w:val="single" w:sz="4" w:space="0" w:color="auto"/>
              <w:right w:val="single" w:sz="4" w:space="0" w:color="auto"/>
            </w:tcBorders>
            <w:vAlign w:val="center"/>
            <w:hideMark/>
          </w:tcPr>
          <w:p w14:paraId="43EFCDB1"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
                <w:bCs/>
                <w:sz w:val="20"/>
                <w:szCs w:val="20"/>
              </w:rPr>
              <w:t>Test for interaction</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1B2E188"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
                <w:bCs/>
                <w:sz w:val="20"/>
                <w:szCs w:val="20"/>
              </w:rPr>
              <w:t>OS HR</w:t>
            </w:r>
          </w:p>
        </w:tc>
        <w:tc>
          <w:tcPr>
            <w:tcW w:w="1804" w:type="dxa"/>
            <w:tcBorders>
              <w:top w:val="single" w:sz="4" w:space="0" w:color="auto"/>
              <w:left w:val="single" w:sz="4" w:space="0" w:color="auto"/>
              <w:bottom w:val="single" w:sz="4" w:space="0" w:color="auto"/>
              <w:right w:val="single" w:sz="4" w:space="0" w:color="auto"/>
            </w:tcBorders>
            <w:vAlign w:val="center"/>
            <w:hideMark/>
          </w:tcPr>
          <w:p w14:paraId="2682FD44"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
                <w:bCs/>
                <w:sz w:val="20"/>
                <w:szCs w:val="20"/>
              </w:rPr>
              <w:t>Test for interaction</w:t>
            </w:r>
          </w:p>
        </w:tc>
      </w:tr>
      <w:tr w:rsidR="00250FA5" w:rsidRPr="00250FA5" w14:paraId="55934A6A" w14:textId="77777777" w:rsidTr="00250FA5">
        <w:trPr>
          <w:trHeight w:val="170"/>
        </w:trPr>
        <w:tc>
          <w:tcPr>
            <w:tcW w:w="9016" w:type="dxa"/>
            <w:gridSpan w:val="5"/>
            <w:tcBorders>
              <w:top w:val="single" w:sz="4" w:space="0" w:color="auto"/>
              <w:left w:val="single" w:sz="4" w:space="0" w:color="auto"/>
              <w:bottom w:val="single" w:sz="4" w:space="0" w:color="auto"/>
              <w:right w:val="single" w:sz="4" w:space="0" w:color="auto"/>
            </w:tcBorders>
            <w:hideMark/>
          </w:tcPr>
          <w:p w14:paraId="125EB004"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Pembrolizumab monotherapy cohort</w:t>
            </w:r>
          </w:p>
        </w:tc>
      </w:tr>
      <w:tr w:rsidR="00250FA5" w:rsidRPr="00250FA5" w14:paraId="02F2774B"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hideMark/>
          </w:tcPr>
          <w:p w14:paraId="0E9AB0DC" w14:textId="77777777" w:rsidR="00250FA5" w:rsidRPr="00250FA5" w:rsidRDefault="00250FA5" w:rsidP="00250FA5">
            <w:pPr>
              <w:keepNext/>
              <w:keepLines/>
              <w:spacing w:before="0"/>
              <w:rPr>
                <w:rFonts w:ascii="Arial Narrow" w:hAnsi="Arial Narrow"/>
                <w:sz w:val="20"/>
                <w:szCs w:val="20"/>
              </w:rPr>
            </w:pPr>
            <w:proofErr w:type="spellStart"/>
            <w:r w:rsidRPr="00250FA5">
              <w:rPr>
                <w:rFonts w:ascii="Arial Narrow" w:hAnsi="Arial Narrow"/>
                <w:sz w:val="20"/>
                <w:szCs w:val="20"/>
              </w:rPr>
              <w:t>ITT</w:t>
            </w:r>
            <w:r w:rsidRPr="00250FA5">
              <w:rPr>
                <w:rFonts w:ascii="Arial Narrow" w:hAnsi="Arial Narrow"/>
                <w:sz w:val="20"/>
                <w:szCs w:val="20"/>
                <w:vertAlign w:val="superscript"/>
              </w:rPr>
              <w:t>a</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5F7F8E0F"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Cs/>
                <w:sz w:val="20"/>
                <w:szCs w:val="20"/>
              </w:rPr>
              <w:t xml:space="preserve">0.83 (0.70, 0.99) </w:t>
            </w:r>
            <w:r w:rsidRPr="00250FA5">
              <w:rPr>
                <w:rFonts w:ascii="Arial Narrow" w:hAnsi="Arial Narrow"/>
                <w:bCs/>
                <w:sz w:val="20"/>
                <w:szCs w:val="20"/>
                <w:vertAlign w:val="superscript"/>
              </w:rPr>
              <w:t>a</w:t>
            </w:r>
          </w:p>
        </w:tc>
        <w:tc>
          <w:tcPr>
            <w:tcW w:w="2579" w:type="dxa"/>
            <w:tcBorders>
              <w:top w:val="single" w:sz="4" w:space="0" w:color="auto"/>
              <w:left w:val="single" w:sz="4" w:space="0" w:color="auto"/>
              <w:bottom w:val="single" w:sz="4" w:space="0" w:color="auto"/>
              <w:right w:val="single" w:sz="4" w:space="0" w:color="auto"/>
            </w:tcBorders>
            <w:vAlign w:val="center"/>
            <w:hideMark/>
          </w:tcPr>
          <w:p w14:paraId="3B79C0BF"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NA</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8E43D6C"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 xml:space="preserve">0.81 (0.68, 0.97) </w:t>
            </w:r>
            <w:r w:rsidRPr="00250FA5">
              <w:rPr>
                <w:rFonts w:ascii="Arial Narrow" w:hAnsi="Arial Narrow"/>
                <w:sz w:val="20"/>
                <w:szCs w:val="20"/>
                <w:vertAlign w:val="superscript"/>
              </w:rPr>
              <w:t>a</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715307F"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NA</w:t>
            </w:r>
          </w:p>
        </w:tc>
      </w:tr>
      <w:tr w:rsidR="00250FA5" w:rsidRPr="00250FA5" w14:paraId="524267BC"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hideMark/>
          </w:tcPr>
          <w:p w14:paraId="2AD7352A"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 &lt;1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1F5997"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
                <w:sz w:val="20"/>
                <w:szCs w:val="20"/>
              </w:rPr>
              <w:t>1.72 (1.06, 2.79)</w:t>
            </w: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14:paraId="56BCAB5A"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0.002(89.8%)</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F069010" w14:textId="77777777" w:rsidR="00250FA5" w:rsidRPr="00250FA5" w:rsidRDefault="00250FA5" w:rsidP="00250FA5">
            <w:pPr>
              <w:keepNext/>
              <w:keepLines/>
              <w:spacing w:before="0"/>
              <w:jc w:val="center"/>
              <w:rPr>
                <w:rFonts w:ascii="Arial Narrow" w:hAnsi="Arial Narrow"/>
                <w:sz w:val="20"/>
                <w:szCs w:val="20"/>
                <w:vertAlign w:val="superscript"/>
              </w:rPr>
            </w:pPr>
            <w:r w:rsidRPr="00250FA5">
              <w:rPr>
                <w:rFonts w:ascii="Arial Narrow" w:hAnsi="Arial Narrow"/>
                <w:sz w:val="20"/>
                <w:szCs w:val="20"/>
              </w:rPr>
              <w:t xml:space="preserve">1.53 (0.95, 2.48) </w:t>
            </w:r>
            <w:r w:rsidRPr="00250FA5">
              <w:rPr>
                <w:rFonts w:ascii="Arial Narrow" w:hAnsi="Arial Narrow"/>
                <w:sz w:val="20"/>
                <w:szCs w:val="20"/>
                <w:vertAlign w:val="superscript"/>
              </w:rPr>
              <w:t>b</w:t>
            </w:r>
          </w:p>
        </w:tc>
        <w:tc>
          <w:tcPr>
            <w:tcW w:w="1804" w:type="dxa"/>
            <w:vMerge w:val="restart"/>
            <w:tcBorders>
              <w:top w:val="single" w:sz="4" w:space="0" w:color="auto"/>
              <w:left w:val="single" w:sz="4" w:space="0" w:color="auto"/>
              <w:bottom w:val="single" w:sz="4" w:space="0" w:color="auto"/>
              <w:right w:val="single" w:sz="4" w:space="0" w:color="auto"/>
            </w:tcBorders>
            <w:vAlign w:val="center"/>
            <w:hideMark/>
          </w:tcPr>
          <w:p w14:paraId="59D16CA9" w14:textId="34DB52D0"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0.006 (86.93%)</w:t>
            </w:r>
          </w:p>
        </w:tc>
      </w:tr>
      <w:tr w:rsidR="00250FA5" w:rsidRPr="00250FA5" w14:paraId="085D0C05" w14:textId="77777777" w:rsidTr="00250FA5">
        <w:trPr>
          <w:trHeight w:val="60"/>
        </w:trPr>
        <w:tc>
          <w:tcPr>
            <w:tcW w:w="1271" w:type="dxa"/>
            <w:tcBorders>
              <w:top w:val="single" w:sz="4" w:space="0" w:color="auto"/>
              <w:left w:val="single" w:sz="4" w:space="0" w:color="auto"/>
              <w:bottom w:val="single" w:sz="4" w:space="0" w:color="auto"/>
              <w:right w:val="single" w:sz="4" w:space="0" w:color="auto"/>
            </w:tcBorders>
            <w:hideMark/>
          </w:tcPr>
          <w:p w14:paraId="5892770E"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 ≥1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EE332C"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
                <w:sz w:val="20"/>
                <w:szCs w:val="20"/>
              </w:rPr>
              <w:t>0.74 (0.61, 0.90)</w:t>
            </w:r>
          </w:p>
        </w:tc>
        <w:tc>
          <w:tcPr>
            <w:tcW w:w="2579" w:type="dxa"/>
            <w:vMerge/>
            <w:tcBorders>
              <w:top w:val="single" w:sz="4" w:space="0" w:color="auto"/>
              <w:left w:val="single" w:sz="4" w:space="0" w:color="auto"/>
              <w:bottom w:val="single" w:sz="4" w:space="0" w:color="auto"/>
              <w:right w:val="single" w:sz="4" w:space="0" w:color="auto"/>
            </w:tcBorders>
            <w:vAlign w:val="center"/>
            <w:hideMark/>
          </w:tcPr>
          <w:p w14:paraId="1E2DE5B8" w14:textId="77777777" w:rsidR="00250FA5" w:rsidRPr="00250FA5" w:rsidRDefault="00250FA5" w:rsidP="00250FA5">
            <w:pPr>
              <w:spacing w:before="0"/>
              <w:jc w:val="left"/>
              <w:rPr>
                <w:rFonts w:ascii="Arial Narrow" w:hAnsi="Arial Narrow"/>
                <w:sz w:val="20"/>
                <w:szCs w:val="20"/>
              </w:rPr>
            </w:pPr>
          </w:p>
        </w:tc>
        <w:tc>
          <w:tcPr>
            <w:tcW w:w="1803" w:type="dxa"/>
            <w:tcBorders>
              <w:top w:val="single" w:sz="4" w:space="0" w:color="auto"/>
              <w:left w:val="single" w:sz="4" w:space="0" w:color="auto"/>
              <w:bottom w:val="single" w:sz="4" w:space="0" w:color="auto"/>
              <w:right w:val="single" w:sz="4" w:space="0" w:color="auto"/>
            </w:tcBorders>
            <w:vAlign w:val="center"/>
            <w:hideMark/>
          </w:tcPr>
          <w:p w14:paraId="61D2894D" w14:textId="77777777" w:rsidR="00250FA5" w:rsidRPr="00250FA5" w:rsidRDefault="00250FA5" w:rsidP="00250FA5">
            <w:pPr>
              <w:keepNext/>
              <w:keepLines/>
              <w:spacing w:before="0"/>
              <w:jc w:val="center"/>
              <w:rPr>
                <w:rFonts w:ascii="Arial Narrow" w:hAnsi="Arial Narrow"/>
                <w:b/>
                <w:bCs/>
                <w:sz w:val="20"/>
                <w:szCs w:val="20"/>
              </w:rPr>
            </w:pPr>
            <w:r w:rsidRPr="00250FA5">
              <w:rPr>
                <w:rFonts w:ascii="Arial Narrow" w:hAnsi="Arial Narrow"/>
                <w:b/>
                <w:bCs/>
                <w:sz w:val="20"/>
                <w:szCs w:val="20"/>
              </w:rPr>
              <w:t>0.74 (0.61, 0.89)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A376C" w14:textId="77777777" w:rsidR="00250FA5" w:rsidRPr="00250FA5" w:rsidRDefault="00250FA5" w:rsidP="00250FA5">
            <w:pPr>
              <w:spacing w:before="0"/>
              <w:jc w:val="left"/>
              <w:rPr>
                <w:rFonts w:ascii="Arial Narrow" w:hAnsi="Arial Narrow"/>
                <w:sz w:val="20"/>
                <w:szCs w:val="20"/>
              </w:rPr>
            </w:pPr>
          </w:p>
        </w:tc>
      </w:tr>
      <w:tr w:rsidR="00250FA5" w:rsidRPr="00250FA5" w14:paraId="4BFABEC0"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vAlign w:val="center"/>
            <w:hideMark/>
          </w:tcPr>
          <w:p w14:paraId="74A2D0DD"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1≤ CPS &lt;20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339F34"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0.92 (0.70,1.20)</w:t>
            </w: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14:paraId="486F5D8A"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Cs/>
                <w:sz w:val="20"/>
                <w:szCs w:val="20"/>
              </w:rPr>
              <w:t>&lt;0.001 (86.81%)</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3645431" w14:textId="10F95AA6"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 xml:space="preserve">0.91 </w:t>
            </w:r>
            <w:r w:rsidR="00FF7462">
              <w:rPr>
                <w:rFonts w:ascii="Arial Narrow" w:hAnsi="Arial Narrow"/>
                <w:sz w:val="20"/>
                <w:szCs w:val="20"/>
              </w:rPr>
              <w:t>(</w:t>
            </w:r>
            <w:r w:rsidRPr="00250FA5">
              <w:rPr>
                <w:rFonts w:ascii="Arial Narrow" w:hAnsi="Arial Narrow"/>
                <w:sz w:val="20"/>
                <w:szCs w:val="20"/>
              </w:rPr>
              <w:t>0.70; 1.19</w:t>
            </w:r>
            <w:r w:rsidR="00FF7462">
              <w:rPr>
                <w:rFonts w:ascii="Arial Narrow" w:hAnsi="Arial Narrow"/>
                <w:sz w:val="20"/>
                <w:szCs w:val="20"/>
              </w:rPr>
              <w:t>)</w:t>
            </w:r>
          </w:p>
        </w:tc>
        <w:tc>
          <w:tcPr>
            <w:tcW w:w="1804" w:type="dxa"/>
            <w:vMerge w:val="restart"/>
            <w:tcBorders>
              <w:top w:val="single" w:sz="4" w:space="0" w:color="auto"/>
              <w:left w:val="single" w:sz="4" w:space="0" w:color="auto"/>
              <w:bottom w:val="single" w:sz="4" w:space="0" w:color="auto"/>
              <w:right w:val="single" w:sz="4" w:space="0" w:color="auto"/>
            </w:tcBorders>
            <w:vAlign w:val="center"/>
            <w:hideMark/>
          </w:tcPr>
          <w:p w14:paraId="6AFECC91" w14:textId="1C5916CF"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0.003 (82.93%)</w:t>
            </w:r>
          </w:p>
        </w:tc>
      </w:tr>
      <w:tr w:rsidR="00250FA5" w:rsidRPr="00250FA5" w14:paraId="4D1A6564"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vAlign w:val="center"/>
            <w:hideMark/>
          </w:tcPr>
          <w:p w14:paraId="6D74B120"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 ≥20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BC0F9D"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
                <w:sz w:val="20"/>
                <w:szCs w:val="20"/>
              </w:rPr>
              <w:t>0.58 (0.44,0.78)</w:t>
            </w:r>
          </w:p>
        </w:tc>
        <w:tc>
          <w:tcPr>
            <w:tcW w:w="2579" w:type="dxa"/>
            <w:vMerge/>
            <w:tcBorders>
              <w:top w:val="single" w:sz="4" w:space="0" w:color="auto"/>
              <w:left w:val="single" w:sz="4" w:space="0" w:color="auto"/>
              <w:bottom w:val="single" w:sz="4" w:space="0" w:color="auto"/>
              <w:right w:val="single" w:sz="4" w:space="0" w:color="auto"/>
            </w:tcBorders>
            <w:vAlign w:val="center"/>
            <w:hideMark/>
          </w:tcPr>
          <w:p w14:paraId="39AFBE98" w14:textId="77777777" w:rsidR="00250FA5" w:rsidRPr="00250FA5" w:rsidRDefault="00250FA5" w:rsidP="00250FA5">
            <w:pPr>
              <w:spacing w:before="0"/>
              <w:jc w:val="left"/>
              <w:rPr>
                <w:rFonts w:ascii="Arial Narrow" w:hAnsi="Arial Narrow"/>
                <w:sz w:val="20"/>
                <w:szCs w:val="20"/>
              </w:rPr>
            </w:pPr>
          </w:p>
        </w:tc>
        <w:tc>
          <w:tcPr>
            <w:tcW w:w="1803" w:type="dxa"/>
            <w:tcBorders>
              <w:top w:val="single" w:sz="4" w:space="0" w:color="auto"/>
              <w:left w:val="single" w:sz="4" w:space="0" w:color="auto"/>
              <w:bottom w:val="single" w:sz="4" w:space="0" w:color="auto"/>
              <w:right w:val="single" w:sz="4" w:space="0" w:color="auto"/>
            </w:tcBorders>
            <w:vAlign w:val="center"/>
            <w:hideMark/>
          </w:tcPr>
          <w:p w14:paraId="262FAEC7" w14:textId="64E48860" w:rsidR="00250FA5" w:rsidRPr="00250FA5" w:rsidRDefault="00250FA5" w:rsidP="00250FA5">
            <w:pPr>
              <w:keepNext/>
              <w:keepLines/>
              <w:spacing w:before="0"/>
              <w:jc w:val="center"/>
              <w:rPr>
                <w:rFonts w:ascii="Arial Narrow" w:hAnsi="Arial Narrow"/>
                <w:b/>
                <w:bCs/>
                <w:sz w:val="20"/>
                <w:szCs w:val="20"/>
              </w:rPr>
            </w:pPr>
            <w:r w:rsidRPr="00250FA5">
              <w:rPr>
                <w:rFonts w:ascii="Arial Narrow" w:hAnsi="Arial Narrow"/>
                <w:b/>
                <w:bCs/>
                <w:sz w:val="20"/>
                <w:szCs w:val="20"/>
              </w:rPr>
              <w:t xml:space="preserve">0.60 </w:t>
            </w:r>
            <w:r w:rsidR="00FF7462">
              <w:rPr>
                <w:rFonts w:ascii="Arial Narrow" w:hAnsi="Arial Narrow"/>
                <w:b/>
                <w:bCs/>
                <w:sz w:val="20"/>
                <w:szCs w:val="20"/>
              </w:rPr>
              <w:t>(</w:t>
            </w:r>
            <w:r w:rsidRPr="00250FA5">
              <w:rPr>
                <w:rFonts w:ascii="Arial Narrow" w:hAnsi="Arial Narrow"/>
                <w:b/>
                <w:bCs/>
                <w:sz w:val="20"/>
                <w:szCs w:val="20"/>
              </w:rPr>
              <w:t>0.46; 0.80</w:t>
            </w:r>
            <w:r w:rsidR="00FF7462">
              <w:rPr>
                <w:rFonts w:ascii="Arial Narrow" w:hAnsi="Arial Narrow"/>
                <w:b/>
                <w:bCs/>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0CECE" w14:textId="77777777" w:rsidR="00250FA5" w:rsidRPr="00250FA5" w:rsidRDefault="00250FA5" w:rsidP="00250FA5">
            <w:pPr>
              <w:spacing w:before="0"/>
              <w:jc w:val="left"/>
              <w:rPr>
                <w:rFonts w:ascii="Arial Narrow" w:hAnsi="Arial Narrow"/>
                <w:sz w:val="20"/>
                <w:szCs w:val="20"/>
              </w:rPr>
            </w:pPr>
          </w:p>
        </w:tc>
      </w:tr>
      <w:tr w:rsidR="00250FA5" w:rsidRPr="00250FA5" w14:paraId="47D55BED"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hideMark/>
          </w:tcPr>
          <w:p w14:paraId="08B07BC8"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 &lt;20</w:t>
            </w:r>
          </w:p>
        </w:tc>
        <w:tc>
          <w:tcPr>
            <w:tcW w:w="1559" w:type="dxa"/>
            <w:tcBorders>
              <w:top w:val="single" w:sz="4" w:space="0" w:color="auto"/>
              <w:left w:val="single" w:sz="4" w:space="0" w:color="auto"/>
              <w:bottom w:val="single" w:sz="4" w:space="0" w:color="auto"/>
              <w:right w:val="single" w:sz="4" w:space="0" w:color="auto"/>
            </w:tcBorders>
            <w:hideMark/>
          </w:tcPr>
          <w:p w14:paraId="758961F3" w14:textId="77777777" w:rsidR="00250FA5" w:rsidRPr="00250FA5" w:rsidRDefault="00250FA5" w:rsidP="00250FA5">
            <w:pPr>
              <w:keepNext/>
              <w:keepLines/>
              <w:spacing w:before="0"/>
              <w:jc w:val="center"/>
              <w:rPr>
                <w:rFonts w:ascii="Arial Narrow" w:hAnsi="Arial Narrow"/>
                <w:b/>
                <w:sz w:val="20"/>
                <w:szCs w:val="20"/>
              </w:rPr>
            </w:pPr>
            <w:r w:rsidRPr="00250FA5">
              <w:rPr>
                <w:rFonts w:ascii="Arial Narrow" w:hAnsi="Arial Narrow"/>
                <w:sz w:val="20"/>
                <w:szCs w:val="20"/>
              </w:rPr>
              <w:t>NR</w:t>
            </w:r>
          </w:p>
        </w:tc>
        <w:tc>
          <w:tcPr>
            <w:tcW w:w="2579" w:type="dxa"/>
            <w:vMerge w:val="restart"/>
            <w:tcBorders>
              <w:top w:val="single" w:sz="4" w:space="0" w:color="auto"/>
              <w:left w:val="single" w:sz="4" w:space="0" w:color="auto"/>
              <w:right w:val="single" w:sz="4" w:space="0" w:color="auto"/>
            </w:tcBorders>
            <w:vAlign w:val="center"/>
            <w:hideMark/>
          </w:tcPr>
          <w:p w14:paraId="327F8D42"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NR</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25AD8B1" w14:textId="4FAB659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 xml:space="preserve">1.02 </w:t>
            </w:r>
            <w:r w:rsidR="00FF7462">
              <w:rPr>
                <w:rFonts w:ascii="Arial Narrow" w:hAnsi="Arial Narrow"/>
                <w:sz w:val="20"/>
                <w:szCs w:val="20"/>
              </w:rPr>
              <w:t>(</w:t>
            </w:r>
            <w:r w:rsidRPr="00250FA5">
              <w:rPr>
                <w:rFonts w:ascii="Arial Narrow" w:hAnsi="Arial Narrow"/>
                <w:sz w:val="20"/>
                <w:szCs w:val="20"/>
              </w:rPr>
              <w:t>0.81; 1.28</w:t>
            </w:r>
            <w:r w:rsidR="00FF7462">
              <w:rPr>
                <w:rFonts w:ascii="Arial Narrow" w:hAnsi="Arial Narrow"/>
                <w:sz w:val="20"/>
                <w:szCs w:val="20"/>
              </w:rPr>
              <w:t>)</w:t>
            </w:r>
          </w:p>
        </w:tc>
        <w:tc>
          <w:tcPr>
            <w:tcW w:w="1804" w:type="dxa"/>
            <w:vMerge w:val="restart"/>
            <w:tcBorders>
              <w:top w:val="single" w:sz="4" w:space="0" w:color="auto"/>
              <w:left w:val="single" w:sz="4" w:space="0" w:color="auto"/>
              <w:bottom w:val="single" w:sz="4" w:space="0" w:color="auto"/>
              <w:right w:val="single" w:sz="4" w:space="0" w:color="auto"/>
            </w:tcBorders>
            <w:vAlign w:val="center"/>
            <w:hideMark/>
          </w:tcPr>
          <w:p w14:paraId="5237F596"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0.004 (87.85%)</w:t>
            </w:r>
          </w:p>
        </w:tc>
      </w:tr>
      <w:tr w:rsidR="00250FA5" w:rsidRPr="00250FA5" w14:paraId="65487B23"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hideMark/>
          </w:tcPr>
          <w:p w14:paraId="5F34642B"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 ≥20</w:t>
            </w:r>
          </w:p>
        </w:tc>
        <w:tc>
          <w:tcPr>
            <w:tcW w:w="1559" w:type="dxa"/>
            <w:tcBorders>
              <w:top w:val="single" w:sz="4" w:space="0" w:color="auto"/>
              <w:left w:val="single" w:sz="4" w:space="0" w:color="auto"/>
              <w:bottom w:val="single" w:sz="4" w:space="0" w:color="auto"/>
              <w:right w:val="single" w:sz="4" w:space="0" w:color="auto"/>
            </w:tcBorders>
            <w:hideMark/>
          </w:tcPr>
          <w:p w14:paraId="77F3B3FD" w14:textId="77777777" w:rsidR="00250FA5" w:rsidRPr="00250FA5" w:rsidRDefault="00250FA5" w:rsidP="00250FA5">
            <w:pPr>
              <w:keepNext/>
              <w:keepLines/>
              <w:spacing w:before="0"/>
              <w:jc w:val="center"/>
              <w:rPr>
                <w:rFonts w:ascii="Arial Narrow" w:hAnsi="Arial Narrow"/>
                <w:b/>
                <w:sz w:val="20"/>
                <w:szCs w:val="20"/>
              </w:rPr>
            </w:pPr>
            <w:r w:rsidRPr="00250FA5">
              <w:rPr>
                <w:rFonts w:ascii="Arial Narrow" w:hAnsi="Arial Narrow"/>
                <w:sz w:val="20"/>
                <w:szCs w:val="20"/>
              </w:rPr>
              <w:t>NR</w:t>
            </w:r>
          </w:p>
        </w:tc>
        <w:tc>
          <w:tcPr>
            <w:tcW w:w="2579" w:type="dxa"/>
            <w:vMerge/>
            <w:tcBorders>
              <w:left w:val="single" w:sz="4" w:space="0" w:color="auto"/>
              <w:bottom w:val="single" w:sz="4" w:space="0" w:color="auto"/>
              <w:right w:val="single" w:sz="4" w:space="0" w:color="auto"/>
            </w:tcBorders>
            <w:hideMark/>
          </w:tcPr>
          <w:p w14:paraId="5B4CE01A" w14:textId="77777777" w:rsidR="00250FA5" w:rsidRPr="00250FA5" w:rsidRDefault="00250FA5" w:rsidP="00250FA5">
            <w:pPr>
              <w:keepNext/>
              <w:keepLines/>
              <w:spacing w:before="0"/>
              <w:jc w:val="center"/>
              <w:rPr>
                <w:rFonts w:ascii="Arial Narrow" w:hAnsi="Arial Narrow"/>
                <w:sz w:val="20"/>
                <w:szCs w:val="20"/>
              </w:rPr>
            </w:pPr>
          </w:p>
        </w:tc>
        <w:tc>
          <w:tcPr>
            <w:tcW w:w="1803" w:type="dxa"/>
            <w:tcBorders>
              <w:top w:val="single" w:sz="4" w:space="0" w:color="auto"/>
              <w:left w:val="single" w:sz="4" w:space="0" w:color="auto"/>
              <w:bottom w:val="single" w:sz="4" w:space="0" w:color="auto"/>
              <w:right w:val="single" w:sz="4" w:space="0" w:color="auto"/>
            </w:tcBorders>
            <w:vAlign w:val="center"/>
            <w:hideMark/>
          </w:tcPr>
          <w:p w14:paraId="2F3E3491" w14:textId="4F5DF011" w:rsidR="00250FA5" w:rsidRPr="0059517E" w:rsidRDefault="00250FA5" w:rsidP="00250FA5">
            <w:pPr>
              <w:keepNext/>
              <w:keepLines/>
              <w:spacing w:before="0"/>
              <w:jc w:val="center"/>
              <w:rPr>
                <w:rFonts w:ascii="Arial Narrow" w:hAnsi="Arial Narrow"/>
                <w:b/>
                <w:bCs/>
                <w:sz w:val="20"/>
                <w:szCs w:val="20"/>
              </w:rPr>
            </w:pPr>
            <w:r w:rsidRPr="0059517E">
              <w:rPr>
                <w:rFonts w:ascii="Arial Narrow" w:hAnsi="Arial Narrow"/>
                <w:b/>
                <w:bCs/>
                <w:sz w:val="20"/>
                <w:szCs w:val="20"/>
              </w:rPr>
              <w:t xml:space="preserve">0.60 </w:t>
            </w:r>
            <w:r w:rsidR="00FF7462">
              <w:rPr>
                <w:rFonts w:ascii="Arial Narrow" w:hAnsi="Arial Narrow"/>
                <w:b/>
                <w:bCs/>
                <w:sz w:val="20"/>
                <w:szCs w:val="20"/>
              </w:rPr>
              <w:t>(</w:t>
            </w:r>
            <w:r w:rsidRPr="0059517E">
              <w:rPr>
                <w:rFonts w:ascii="Arial Narrow" w:hAnsi="Arial Narrow"/>
                <w:b/>
                <w:bCs/>
                <w:sz w:val="20"/>
                <w:szCs w:val="20"/>
              </w:rPr>
              <w:t>0.46;0.80</w:t>
            </w:r>
            <w:r w:rsidR="00FF7462">
              <w:rPr>
                <w:rFonts w:ascii="Arial Narrow" w:hAnsi="Arial Narrow"/>
                <w:b/>
                <w:bCs/>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36078" w14:textId="77777777" w:rsidR="00250FA5" w:rsidRPr="00250FA5" w:rsidRDefault="00250FA5" w:rsidP="00250FA5">
            <w:pPr>
              <w:spacing w:before="0"/>
              <w:jc w:val="left"/>
              <w:rPr>
                <w:rFonts w:ascii="Arial Narrow" w:hAnsi="Arial Narrow"/>
                <w:sz w:val="20"/>
                <w:szCs w:val="20"/>
                <w:highlight w:val="yellow"/>
              </w:rPr>
            </w:pPr>
          </w:p>
        </w:tc>
      </w:tr>
      <w:tr w:rsidR="00250FA5" w:rsidRPr="00250FA5" w14:paraId="70B1308D" w14:textId="77777777" w:rsidTr="00250FA5">
        <w:trPr>
          <w:trHeight w:val="170"/>
        </w:trPr>
        <w:tc>
          <w:tcPr>
            <w:tcW w:w="9016" w:type="dxa"/>
            <w:gridSpan w:val="5"/>
            <w:tcBorders>
              <w:top w:val="single" w:sz="4" w:space="0" w:color="auto"/>
              <w:left w:val="single" w:sz="4" w:space="0" w:color="auto"/>
              <w:bottom w:val="single" w:sz="4" w:space="0" w:color="auto"/>
              <w:right w:val="single" w:sz="4" w:space="0" w:color="auto"/>
            </w:tcBorders>
            <w:hideMark/>
          </w:tcPr>
          <w:p w14:paraId="28A8D99D"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Pembrolizumab + chemotherapy cohort</w:t>
            </w:r>
          </w:p>
        </w:tc>
      </w:tr>
      <w:tr w:rsidR="00250FA5" w:rsidRPr="00250FA5" w14:paraId="0A29B766"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hideMark/>
          </w:tcPr>
          <w:p w14:paraId="58A08D3A" w14:textId="783F95E5"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ITT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56DB97"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
                <w:bCs/>
                <w:sz w:val="20"/>
                <w:szCs w:val="20"/>
              </w:rPr>
              <w:t>0.72 (0.60, 0.87)</w:t>
            </w:r>
          </w:p>
        </w:tc>
        <w:tc>
          <w:tcPr>
            <w:tcW w:w="2579" w:type="dxa"/>
            <w:tcBorders>
              <w:top w:val="single" w:sz="4" w:space="0" w:color="auto"/>
              <w:left w:val="single" w:sz="4" w:space="0" w:color="auto"/>
              <w:bottom w:val="single" w:sz="4" w:space="0" w:color="auto"/>
              <w:right w:val="single" w:sz="4" w:space="0" w:color="auto"/>
            </w:tcBorders>
            <w:vAlign w:val="center"/>
            <w:hideMark/>
          </w:tcPr>
          <w:p w14:paraId="7932EA72"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NA</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1591944" w14:textId="77777777" w:rsidR="00250FA5" w:rsidRPr="00250FA5" w:rsidRDefault="00250FA5" w:rsidP="00250FA5">
            <w:pPr>
              <w:keepNext/>
              <w:keepLines/>
              <w:spacing w:before="0"/>
              <w:jc w:val="center"/>
              <w:rPr>
                <w:rFonts w:ascii="Arial Narrow" w:hAnsi="Arial Narrow"/>
                <w:b/>
                <w:bCs/>
                <w:sz w:val="20"/>
                <w:szCs w:val="20"/>
              </w:rPr>
            </w:pPr>
            <w:r w:rsidRPr="00250FA5">
              <w:rPr>
                <w:rFonts w:ascii="Arial Narrow" w:hAnsi="Arial Narrow"/>
                <w:b/>
                <w:bCs/>
                <w:sz w:val="20"/>
                <w:szCs w:val="20"/>
              </w:rPr>
              <w:t>0.71 (0.59, 0.85)</w:t>
            </w:r>
          </w:p>
        </w:tc>
        <w:tc>
          <w:tcPr>
            <w:tcW w:w="1804" w:type="dxa"/>
            <w:tcBorders>
              <w:top w:val="single" w:sz="4" w:space="0" w:color="auto"/>
              <w:left w:val="single" w:sz="4" w:space="0" w:color="auto"/>
              <w:bottom w:val="single" w:sz="4" w:space="0" w:color="auto"/>
              <w:right w:val="single" w:sz="4" w:space="0" w:color="auto"/>
            </w:tcBorders>
            <w:vAlign w:val="center"/>
            <w:hideMark/>
          </w:tcPr>
          <w:p w14:paraId="422B174D"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NA</w:t>
            </w:r>
          </w:p>
        </w:tc>
      </w:tr>
      <w:tr w:rsidR="00250FA5" w:rsidRPr="00250FA5" w14:paraId="6491FBAC"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hideMark/>
          </w:tcPr>
          <w:p w14:paraId="7D6D7009"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 &lt;1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6FFB02"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1.18 (0.73, 1.90)</w:t>
            </w: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14:paraId="64FD71BD"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0.025(80.2%)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A013CB8" w14:textId="77777777" w:rsidR="00250FA5" w:rsidRPr="00250FA5" w:rsidRDefault="00250FA5" w:rsidP="00250FA5">
            <w:pPr>
              <w:keepNext/>
              <w:keepLines/>
              <w:spacing w:before="0"/>
              <w:jc w:val="center"/>
              <w:rPr>
                <w:rFonts w:ascii="Arial Narrow" w:hAnsi="Arial Narrow"/>
                <w:sz w:val="20"/>
                <w:szCs w:val="20"/>
                <w:vertAlign w:val="superscript"/>
              </w:rPr>
            </w:pPr>
            <w:r w:rsidRPr="00250FA5">
              <w:rPr>
                <w:rFonts w:ascii="Arial Narrow" w:hAnsi="Arial Narrow"/>
                <w:sz w:val="20"/>
                <w:szCs w:val="20"/>
              </w:rPr>
              <w:t xml:space="preserve">1.21 (0.76, 1.94) </w:t>
            </w:r>
            <w:r w:rsidRPr="00250FA5">
              <w:rPr>
                <w:rFonts w:ascii="Arial Narrow" w:hAnsi="Arial Narrow"/>
                <w:sz w:val="20"/>
                <w:szCs w:val="20"/>
                <w:vertAlign w:val="superscript"/>
              </w:rPr>
              <w:t>b</w:t>
            </w:r>
          </w:p>
        </w:tc>
        <w:tc>
          <w:tcPr>
            <w:tcW w:w="1804" w:type="dxa"/>
            <w:vMerge w:val="restart"/>
            <w:tcBorders>
              <w:top w:val="single" w:sz="4" w:space="0" w:color="auto"/>
              <w:left w:val="single" w:sz="4" w:space="0" w:color="auto"/>
              <w:bottom w:val="single" w:sz="4" w:space="0" w:color="auto"/>
              <w:right w:val="single" w:sz="4" w:space="0" w:color="auto"/>
            </w:tcBorders>
            <w:vAlign w:val="center"/>
            <w:hideMark/>
          </w:tcPr>
          <w:p w14:paraId="4C834F9C" w14:textId="69F02C5A"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0.014 (83.4%)</w:t>
            </w:r>
          </w:p>
        </w:tc>
      </w:tr>
      <w:tr w:rsidR="00250FA5" w:rsidRPr="00250FA5" w14:paraId="366E873B"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hideMark/>
          </w:tcPr>
          <w:p w14:paraId="4F70D3D2"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 ≥1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7AED11"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
                <w:sz w:val="20"/>
                <w:szCs w:val="20"/>
              </w:rPr>
              <w:t>0.65 (0.53, 0.80)</w:t>
            </w:r>
          </w:p>
        </w:tc>
        <w:tc>
          <w:tcPr>
            <w:tcW w:w="2579" w:type="dxa"/>
            <w:vMerge/>
            <w:tcBorders>
              <w:top w:val="single" w:sz="4" w:space="0" w:color="auto"/>
              <w:left w:val="single" w:sz="4" w:space="0" w:color="auto"/>
              <w:bottom w:val="single" w:sz="4" w:space="0" w:color="auto"/>
              <w:right w:val="single" w:sz="4" w:space="0" w:color="auto"/>
            </w:tcBorders>
            <w:vAlign w:val="center"/>
            <w:hideMark/>
          </w:tcPr>
          <w:p w14:paraId="24E56D7C" w14:textId="77777777" w:rsidR="00250FA5" w:rsidRPr="00250FA5" w:rsidRDefault="00250FA5" w:rsidP="00250FA5">
            <w:pPr>
              <w:spacing w:before="0"/>
              <w:jc w:val="left"/>
              <w:rPr>
                <w:rFonts w:ascii="Arial Narrow" w:hAnsi="Arial Narrow"/>
                <w:sz w:val="20"/>
                <w:szCs w:val="20"/>
              </w:rPr>
            </w:pPr>
          </w:p>
        </w:tc>
        <w:tc>
          <w:tcPr>
            <w:tcW w:w="1803" w:type="dxa"/>
            <w:tcBorders>
              <w:top w:val="single" w:sz="4" w:space="0" w:color="auto"/>
              <w:left w:val="single" w:sz="4" w:space="0" w:color="auto"/>
              <w:bottom w:val="single" w:sz="4" w:space="0" w:color="auto"/>
              <w:right w:val="single" w:sz="4" w:space="0" w:color="auto"/>
            </w:tcBorders>
            <w:vAlign w:val="center"/>
            <w:hideMark/>
          </w:tcPr>
          <w:p w14:paraId="10A5EC64" w14:textId="77777777" w:rsidR="00250FA5" w:rsidRPr="00250FA5" w:rsidRDefault="00250FA5" w:rsidP="00250FA5">
            <w:pPr>
              <w:keepNext/>
              <w:keepLines/>
              <w:spacing w:before="0"/>
              <w:jc w:val="center"/>
              <w:rPr>
                <w:rFonts w:ascii="Arial Narrow" w:hAnsi="Arial Narrow"/>
                <w:b/>
                <w:bCs/>
                <w:sz w:val="20"/>
                <w:szCs w:val="20"/>
              </w:rPr>
            </w:pPr>
            <w:r w:rsidRPr="00250FA5">
              <w:rPr>
                <w:rFonts w:ascii="Arial Narrow" w:hAnsi="Arial Narrow"/>
                <w:b/>
                <w:bCs/>
                <w:sz w:val="20"/>
                <w:szCs w:val="20"/>
              </w:rPr>
              <w:t>0.64 (0.53, 0.78)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A7099" w14:textId="77777777" w:rsidR="00250FA5" w:rsidRPr="00250FA5" w:rsidRDefault="00250FA5" w:rsidP="00250FA5">
            <w:pPr>
              <w:spacing w:before="0"/>
              <w:jc w:val="left"/>
              <w:rPr>
                <w:rFonts w:ascii="Arial Narrow" w:hAnsi="Arial Narrow"/>
                <w:sz w:val="20"/>
                <w:szCs w:val="20"/>
              </w:rPr>
            </w:pPr>
          </w:p>
        </w:tc>
      </w:tr>
      <w:tr w:rsidR="00250FA5" w:rsidRPr="00250FA5" w14:paraId="4ADAD262"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vAlign w:val="center"/>
            <w:hideMark/>
          </w:tcPr>
          <w:p w14:paraId="4946C09E"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1≤ CPS &lt;20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58539A"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
                <w:sz w:val="20"/>
                <w:szCs w:val="20"/>
              </w:rPr>
              <w:t>0.71 (0.54, 0.94)</w:t>
            </w: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14:paraId="698C0B7E"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0.067 (63.08%)</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CA1C4BA"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0.68 (0.52, 0.90)</w:t>
            </w:r>
          </w:p>
        </w:tc>
        <w:tc>
          <w:tcPr>
            <w:tcW w:w="1804" w:type="dxa"/>
            <w:vMerge w:val="restart"/>
            <w:tcBorders>
              <w:top w:val="single" w:sz="4" w:space="0" w:color="auto"/>
              <w:left w:val="single" w:sz="4" w:space="0" w:color="auto"/>
              <w:bottom w:val="single" w:sz="4" w:space="0" w:color="auto"/>
              <w:right w:val="single" w:sz="4" w:space="0" w:color="auto"/>
            </w:tcBorders>
            <w:vAlign w:val="center"/>
            <w:hideMark/>
          </w:tcPr>
          <w:p w14:paraId="2504F940" w14:textId="3DE2680A"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0.049 (66.78%)</w:t>
            </w:r>
          </w:p>
        </w:tc>
      </w:tr>
      <w:tr w:rsidR="00250FA5" w:rsidRPr="00250FA5" w14:paraId="41C7C7F2"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vAlign w:val="center"/>
            <w:hideMark/>
          </w:tcPr>
          <w:p w14:paraId="47C5D40A"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 ≥20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6466B1"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b/>
                <w:sz w:val="20"/>
                <w:szCs w:val="20"/>
              </w:rPr>
              <w:t>0.60 (0.45, 0.82)</w:t>
            </w:r>
          </w:p>
        </w:tc>
        <w:tc>
          <w:tcPr>
            <w:tcW w:w="2579" w:type="dxa"/>
            <w:vMerge/>
            <w:tcBorders>
              <w:top w:val="single" w:sz="4" w:space="0" w:color="auto"/>
              <w:left w:val="single" w:sz="4" w:space="0" w:color="auto"/>
              <w:bottom w:val="single" w:sz="4" w:space="0" w:color="auto"/>
              <w:right w:val="single" w:sz="4" w:space="0" w:color="auto"/>
            </w:tcBorders>
            <w:vAlign w:val="center"/>
            <w:hideMark/>
          </w:tcPr>
          <w:p w14:paraId="25C44CB9" w14:textId="77777777" w:rsidR="00250FA5" w:rsidRPr="00250FA5" w:rsidRDefault="00250FA5" w:rsidP="00250FA5">
            <w:pPr>
              <w:spacing w:before="0"/>
              <w:jc w:val="left"/>
              <w:rPr>
                <w:rFonts w:ascii="Arial Narrow" w:hAnsi="Arial Narrow"/>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C0266D" w14:textId="77777777" w:rsidR="00250FA5" w:rsidRPr="00250FA5" w:rsidRDefault="00250FA5" w:rsidP="00250FA5">
            <w:pPr>
              <w:spacing w:before="0"/>
              <w:jc w:val="center"/>
              <w:rPr>
                <w:rFonts w:ascii="Arial Narrow" w:hAnsi="Arial Narrow"/>
                <w:sz w:val="20"/>
                <w:szCs w:val="20"/>
              </w:rPr>
            </w:pPr>
            <w:r w:rsidRPr="0059517E">
              <w:rPr>
                <w:rFonts w:ascii="Arial Narrow" w:hAnsi="Arial Narrow"/>
                <w:b/>
                <w:bCs/>
                <w:sz w:val="20"/>
                <w:szCs w:val="20"/>
              </w:rPr>
              <w:t>0.62 (0.46, 0.83)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F1FE7" w14:textId="77777777" w:rsidR="00250FA5" w:rsidRPr="00250FA5" w:rsidRDefault="00250FA5" w:rsidP="00250FA5">
            <w:pPr>
              <w:spacing w:before="0"/>
              <w:jc w:val="left"/>
              <w:rPr>
                <w:rFonts w:ascii="Arial Narrow" w:hAnsi="Arial Narrow"/>
                <w:sz w:val="20"/>
                <w:szCs w:val="20"/>
              </w:rPr>
            </w:pPr>
          </w:p>
        </w:tc>
      </w:tr>
      <w:tr w:rsidR="00250FA5" w:rsidRPr="00250FA5" w14:paraId="1D22E040"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tcPr>
          <w:p w14:paraId="284E5F64"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 &lt;20</w:t>
            </w:r>
          </w:p>
        </w:tc>
        <w:tc>
          <w:tcPr>
            <w:tcW w:w="1559" w:type="dxa"/>
            <w:tcBorders>
              <w:top w:val="single" w:sz="4" w:space="0" w:color="auto"/>
              <w:left w:val="single" w:sz="4" w:space="0" w:color="auto"/>
              <w:bottom w:val="single" w:sz="4" w:space="0" w:color="auto"/>
              <w:right w:val="single" w:sz="4" w:space="0" w:color="auto"/>
            </w:tcBorders>
            <w:vAlign w:val="center"/>
          </w:tcPr>
          <w:p w14:paraId="61AE35F3" w14:textId="77777777" w:rsidR="00250FA5" w:rsidRPr="00250FA5" w:rsidRDefault="00250FA5" w:rsidP="00250FA5">
            <w:pPr>
              <w:keepNext/>
              <w:keepLines/>
              <w:spacing w:before="0"/>
              <w:jc w:val="center"/>
              <w:rPr>
                <w:rFonts w:ascii="Arial Narrow" w:hAnsi="Arial Narrow"/>
                <w:bCs/>
                <w:sz w:val="20"/>
                <w:szCs w:val="20"/>
              </w:rPr>
            </w:pPr>
            <w:r w:rsidRPr="00250FA5">
              <w:rPr>
                <w:rFonts w:ascii="Arial Narrow" w:hAnsi="Arial Narrow"/>
                <w:bCs/>
                <w:sz w:val="20"/>
                <w:szCs w:val="20"/>
              </w:rPr>
              <w:t>NR</w:t>
            </w:r>
          </w:p>
        </w:tc>
        <w:tc>
          <w:tcPr>
            <w:tcW w:w="2579" w:type="dxa"/>
            <w:vMerge w:val="restart"/>
            <w:tcBorders>
              <w:top w:val="single" w:sz="4" w:space="0" w:color="auto"/>
              <w:left w:val="single" w:sz="4" w:space="0" w:color="auto"/>
              <w:right w:val="single" w:sz="4" w:space="0" w:color="auto"/>
            </w:tcBorders>
            <w:vAlign w:val="center"/>
          </w:tcPr>
          <w:p w14:paraId="73589513" w14:textId="14F882D8" w:rsidR="00250FA5" w:rsidRPr="00FF7462" w:rsidRDefault="00250FA5" w:rsidP="00250FA5">
            <w:pPr>
              <w:spacing w:before="0"/>
              <w:jc w:val="center"/>
              <w:rPr>
                <w:rFonts w:ascii="Arial Narrow" w:hAnsi="Arial Narrow"/>
                <w:sz w:val="20"/>
                <w:szCs w:val="20"/>
              </w:rPr>
            </w:pPr>
            <w:r w:rsidRPr="00FF7462">
              <w:rPr>
                <w:rFonts w:ascii="Arial Narrow" w:hAnsi="Arial Narrow"/>
                <w:sz w:val="20"/>
                <w:szCs w:val="20"/>
              </w:rPr>
              <w:t>0.109</w:t>
            </w:r>
          </w:p>
        </w:tc>
        <w:tc>
          <w:tcPr>
            <w:tcW w:w="0" w:type="auto"/>
            <w:tcBorders>
              <w:top w:val="single" w:sz="4" w:space="0" w:color="auto"/>
              <w:left w:val="single" w:sz="4" w:space="0" w:color="auto"/>
              <w:bottom w:val="single" w:sz="4" w:space="0" w:color="auto"/>
              <w:right w:val="single" w:sz="4" w:space="0" w:color="auto"/>
            </w:tcBorders>
            <w:vAlign w:val="center"/>
          </w:tcPr>
          <w:p w14:paraId="285BE607" w14:textId="77777777" w:rsidR="00250FA5" w:rsidRPr="00250FA5" w:rsidRDefault="00250FA5" w:rsidP="00250FA5">
            <w:pPr>
              <w:spacing w:before="0"/>
              <w:jc w:val="center"/>
              <w:rPr>
                <w:rFonts w:ascii="Arial Narrow" w:hAnsi="Arial Narrow"/>
                <w:sz w:val="20"/>
                <w:szCs w:val="20"/>
              </w:rPr>
            </w:pPr>
            <w:r w:rsidRPr="00250FA5">
              <w:rPr>
                <w:rFonts w:ascii="Arial Narrow" w:hAnsi="Arial Narrow"/>
                <w:sz w:val="20"/>
                <w:szCs w:val="20"/>
              </w:rPr>
              <w:t>0.80 (0.63, 1.00)</w:t>
            </w:r>
          </w:p>
        </w:tc>
        <w:tc>
          <w:tcPr>
            <w:tcW w:w="0" w:type="auto"/>
            <w:vMerge w:val="restart"/>
            <w:tcBorders>
              <w:top w:val="single" w:sz="4" w:space="0" w:color="auto"/>
              <w:left w:val="single" w:sz="4" w:space="0" w:color="auto"/>
              <w:right w:val="single" w:sz="4" w:space="0" w:color="auto"/>
            </w:tcBorders>
            <w:vAlign w:val="center"/>
          </w:tcPr>
          <w:p w14:paraId="68945236" w14:textId="77777777" w:rsidR="00250FA5" w:rsidRPr="00250FA5" w:rsidRDefault="00250FA5" w:rsidP="00250FA5">
            <w:pPr>
              <w:spacing w:before="0"/>
              <w:jc w:val="center"/>
              <w:rPr>
                <w:rFonts w:ascii="Arial Narrow" w:hAnsi="Arial Narrow"/>
                <w:sz w:val="20"/>
                <w:szCs w:val="20"/>
              </w:rPr>
            </w:pPr>
            <w:r w:rsidRPr="00250FA5">
              <w:rPr>
                <w:rFonts w:ascii="Arial Narrow" w:hAnsi="Arial Narrow"/>
                <w:sz w:val="20"/>
                <w:szCs w:val="20"/>
              </w:rPr>
              <w:t>0.180 (44.42%)</w:t>
            </w:r>
          </w:p>
        </w:tc>
      </w:tr>
      <w:tr w:rsidR="00250FA5" w:rsidRPr="00250FA5" w14:paraId="6ED3BEB8" w14:textId="77777777" w:rsidTr="00250FA5">
        <w:trPr>
          <w:trHeight w:val="170"/>
        </w:trPr>
        <w:tc>
          <w:tcPr>
            <w:tcW w:w="1271" w:type="dxa"/>
            <w:tcBorders>
              <w:top w:val="single" w:sz="4" w:space="0" w:color="auto"/>
              <w:left w:val="single" w:sz="4" w:space="0" w:color="auto"/>
              <w:bottom w:val="single" w:sz="4" w:space="0" w:color="auto"/>
              <w:right w:val="single" w:sz="4" w:space="0" w:color="auto"/>
            </w:tcBorders>
          </w:tcPr>
          <w:p w14:paraId="5E01A9AD"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 ≥20</w:t>
            </w:r>
          </w:p>
        </w:tc>
        <w:tc>
          <w:tcPr>
            <w:tcW w:w="1559" w:type="dxa"/>
            <w:tcBorders>
              <w:top w:val="single" w:sz="4" w:space="0" w:color="auto"/>
              <w:left w:val="single" w:sz="4" w:space="0" w:color="auto"/>
              <w:bottom w:val="single" w:sz="4" w:space="0" w:color="auto"/>
              <w:right w:val="single" w:sz="4" w:space="0" w:color="auto"/>
            </w:tcBorders>
            <w:vAlign w:val="center"/>
          </w:tcPr>
          <w:p w14:paraId="00D7350F" w14:textId="77777777" w:rsidR="00250FA5" w:rsidRPr="00250FA5" w:rsidRDefault="00250FA5" w:rsidP="00250FA5">
            <w:pPr>
              <w:keepNext/>
              <w:keepLines/>
              <w:spacing w:before="0"/>
              <w:jc w:val="center"/>
              <w:rPr>
                <w:rFonts w:ascii="Arial Narrow" w:hAnsi="Arial Narrow"/>
                <w:b/>
                <w:sz w:val="20"/>
                <w:szCs w:val="20"/>
              </w:rPr>
            </w:pPr>
            <w:r w:rsidRPr="00250FA5">
              <w:rPr>
                <w:rFonts w:ascii="Arial Narrow" w:hAnsi="Arial Narrow"/>
                <w:b/>
                <w:sz w:val="20"/>
                <w:szCs w:val="20"/>
              </w:rPr>
              <w:t>0.60 (0.45, 0.82)</w:t>
            </w:r>
          </w:p>
        </w:tc>
        <w:tc>
          <w:tcPr>
            <w:tcW w:w="2579" w:type="dxa"/>
            <w:vMerge/>
            <w:tcBorders>
              <w:left w:val="single" w:sz="4" w:space="0" w:color="auto"/>
              <w:bottom w:val="single" w:sz="4" w:space="0" w:color="auto"/>
              <w:right w:val="single" w:sz="4" w:space="0" w:color="auto"/>
            </w:tcBorders>
            <w:vAlign w:val="center"/>
          </w:tcPr>
          <w:p w14:paraId="5B1B2071" w14:textId="77777777" w:rsidR="00250FA5" w:rsidRPr="00250FA5" w:rsidRDefault="00250FA5" w:rsidP="00250FA5">
            <w:pPr>
              <w:spacing w:before="0"/>
              <w:jc w:val="left"/>
              <w:rPr>
                <w:rFonts w:ascii="Arial Narrow" w:hAnsi="Arial Narrow"/>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AB87E65" w14:textId="77777777" w:rsidR="00250FA5" w:rsidRPr="0059517E" w:rsidRDefault="00250FA5" w:rsidP="00250FA5">
            <w:pPr>
              <w:spacing w:before="0"/>
              <w:jc w:val="center"/>
              <w:rPr>
                <w:rFonts w:ascii="Arial Narrow" w:hAnsi="Arial Narrow"/>
                <w:b/>
                <w:bCs/>
                <w:sz w:val="20"/>
                <w:szCs w:val="20"/>
              </w:rPr>
            </w:pPr>
            <w:r w:rsidRPr="0059517E">
              <w:rPr>
                <w:rFonts w:ascii="Arial Narrow" w:hAnsi="Arial Narrow"/>
                <w:b/>
                <w:bCs/>
                <w:sz w:val="20"/>
                <w:szCs w:val="20"/>
              </w:rPr>
              <w:t>0.62 (0.46, 0.83)</w:t>
            </w:r>
          </w:p>
        </w:tc>
        <w:tc>
          <w:tcPr>
            <w:tcW w:w="0" w:type="auto"/>
            <w:vMerge/>
            <w:tcBorders>
              <w:left w:val="single" w:sz="4" w:space="0" w:color="auto"/>
              <w:bottom w:val="single" w:sz="4" w:space="0" w:color="auto"/>
              <w:right w:val="single" w:sz="4" w:space="0" w:color="auto"/>
            </w:tcBorders>
            <w:vAlign w:val="center"/>
          </w:tcPr>
          <w:p w14:paraId="52D5CAD9" w14:textId="77777777" w:rsidR="00250FA5" w:rsidRPr="00250FA5" w:rsidRDefault="00250FA5" w:rsidP="00250FA5">
            <w:pPr>
              <w:spacing w:before="0"/>
              <w:jc w:val="left"/>
              <w:rPr>
                <w:rFonts w:ascii="Arial Narrow" w:hAnsi="Arial Narrow"/>
                <w:sz w:val="20"/>
                <w:szCs w:val="20"/>
              </w:rPr>
            </w:pPr>
          </w:p>
        </w:tc>
      </w:tr>
    </w:tbl>
    <w:p w14:paraId="4C489B85" w14:textId="5BC43D41" w:rsidR="00250FA5" w:rsidRPr="00250FA5" w:rsidRDefault="00250FA5" w:rsidP="00250FA5">
      <w:pPr>
        <w:keepNext/>
        <w:keepLines/>
        <w:spacing w:before="0" w:after="0"/>
        <w:rPr>
          <w:rFonts w:ascii="Arial Narrow" w:eastAsia="Calibri" w:hAnsi="Arial Narrow" w:cs="Arial"/>
          <w:sz w:val="18"/>
          <w:szCs w:val="18"/>
        </w:rPr>
      </w:pPr>
      <w:r w:rsidRPr="00250FA5">
        <w:rPr>
          <w:rFonts w:ascii="Arial Narrow" w:eastAsia="Calibri" w:hAnsi="Arial Narrow" w:cs="Times New Roman"/>
          <w:sz w:val="18"/>
          <w:szCs w:val="18"/>
        </w:rPr>
        <w:t>Source: Table 2.5-4, p75, Table 2.5-12, p89-90, Table 2.6-1, p117 and Table 2.6-2, p118 of the resubmission and p203 of the resubmission; Tables 5 to 6 of the pre-ESC response.</w:t>
      </w:r>
    </w:p>
    <w:p w14:paraId="18830EC4" w14:textId="77777777" w:rsidR="00250FA5" w:rsidRPr="00250FA5" w:rsidRDefault="00250FA5" w:rsidP="00250FA5">
      <w:pPr>
        <w:keepNext/>
        <w:keepLines/>
        <w:spacing w:before="0" w:after="0"/>
        <w:rPr>
          <w:rFonts w:ascii="Arial Narrow" w:eastAsia="Calibri" w:hAnsi="Arial Narrow" w:cs="Times New Roman"/>
          <w:sz w:val="18"/>
          <w:szCs w:val="18"/>
        </w:rPr>
      </w:pPr>
      <w:r w:rsidRPr="00250FA5">
        <w:rPr>
          <w:rFonts w:ascii="Arial Narrow" w:eastAsia="Calibri" w:hAnsi="Arial Narrow" w:cs="Times New Roman"/>
          <w:sz w:val="18"/>
          <w:szCs w:val="18"/>
        </w:rPr>
        <w:t>Chemotherapy = cisplatin or carboplatin + 5FU</w:t>
      </w:r>
    </w:p>
    <w:p w14:paraId="76DA39AF" w14:textId="31BE1E53" w:rsidR="00250FA5" w:rsidRPr="00250FA5" w:rsidRDefault="00250FA5" w:rsidP="00250FA5">
      <w:pPr>
        <w:keepNext/>
        <w:keepLines/>
        <w:spacing w:before="0" w:after="0"/>
        <w:rPr>
          <w:rFonts w:ascii="Arial Narrow" w:eastAsia="Calibri" w:hAnsi="Arial Narrow" w:cs="Times New Roman"/>
          <w:sz w:val="18"/>
          <w:szCs w:val="18"/>
        </w:rPr>
      </w:pPr>
      <w:r w:rsidRPr="00250FA5">
        <w:rPr>
          <w:rFonts w:ascii="Arial Narrow" w:eastAsia="Calibri" w:hAnsi="Arial Narrow" w:cs="Times New Roman"/>
          <w:sz w:val="18"/>
          <w:szCs w:val="18"/>
          <w:vertAlign w:val="superscript"/>
        </w:rPr>
        <w:t>a</w:t>
      </w:r>
      <w:r w:rsidRPr="00250FA5">
        <w:rPr>
          <w:rFonts w:ascii="Arial Narrow" w:eastAsia="Calibri" w:hAnsi="Arial Narrow" w:cs="Times New Roman"/>
          <w:sz w:val="18"/>
          <w:szCs w:val="18"/>
        </w:rPr>
        <w:t xml:space="preserve"> Not statistically significant due to alpha spending requiring lower p-value than 0.05.</w:t>
      </w:r>
    </w:p>
    <w:p w14:paraId="2CE3EF87" w14:textId="11404273" w:rsidR="00250FA5" w:rsidRPr="00250FA5" w:rsidRDefault="00250FA5" w:rsidP="00250FA5">
      <w:pPr>
        <w:keepNext/>
        <w:keepLines/>
        <w:spacing w:before="0" w:after="0"/>
        <w:rPr>
          <w:rFonts w:ascii="Arial Narrow" w:eastAsia="Calibri" w:hAnsi="Arial Narrow" w:cs="Times New Roman"/>
          <w:sz w:val="18"/>
          <w:szCs w:val="18"/>
        </w:rPr>
      </w:pPr>
      <w:r w:rsidRPr="00250FA5">
        <w:rPr>
          <w:rFonts w:ascii="Arial Narrow" w:eastAsia="Calibri" w:hAnsi="Arial Narrow" w:cs="Times New Roman"/>
          <w:sz w:val="18"/>
          <w:szCs w:val="18"/>
          <w:vertAlign w:val="superscript"/>
        </w:rPr>
        <w:t>b</w:t>
      </w:r>
      <w:r w:rsidRPr="00250FA5">
        <w:rPr>
          <w:rFonts w:ascii="Arial Narrow" w:eastAsia="Calibri" w:hAnsi="Arial Narrow" w:cs="Times New Roman"/>
          <w:sz w:val="18"/>
          <w:szCs w:val="18"/>
        </w:rPr>
        <w:t xml:space="preserve"> Not clearly indicated by the resubmission (p203) to be four</w:t>
      </w:r>
      <w:r w:rsidR="0059517E">
        <w:rPr>
          <w:rFonts w:ascii="Arial Narrow" w:eastAsia="Calibri" w:hAnsi="Arial Narrow" w:cs="Times New Roman"/>
          <w:sz w:val="18"/>
          <w:szCs w:val="18"/>
        </w:rPr>
        <w:t>-</w:t>
      </w:r>
      <w:r w:rsidRPr="00250FA5">
        <w:rPr>
          <w:rFonts w:ascii="Arial Narrow" w:eastAsia="Calibri" w:hAnsi="Arial Narrow" w:cs="Times New Roman"/>
          <w:sz w:val="18"/>
          <w:szCs w:val="18"/>
        </w:rPr>
        <w:t>year follow-up value, but assumed to be so</w:t>
      </w:r>
      <w:r w:rsidR="0059517E">
        <w:rPr>
          <w:rFonts w:ascii="Arial Narrow" w:eastAsia="Calibri" w:hAnsi="Arial Narrow" w:cs="Times New Roman"/>
          <w:sz w:val="18"/>
          <w:szCs w:val="18"/>
        </w:rPr>
        <w:t>.</w:t>
      </w:r>
    </w:p>
    <w:p w14:paraId="3F68D8BF" w14:textId="77777777" w:rsidR="00250FA5" w:rsidRPr="00250FA5" w:rsidRDefault="00250FA5" w:rsidP="00250FA5">
      <w:pPr>
        <w:keepNext/>
        <w:keepLines/>
        <w:spacing w:before="0" w:after="0"/>
        <w:rPr>
          <w:rFonts w:ascii="Arial Narrow" w:eastAsia="Calibri" w:hAnsi="Arial Narrow" w:cs="Times New Roman"/>
          <w:sz w:val="18"/>
          <w:szCs w:val="18"/>
        </w:rPr>
      </w:pPr>
      <w:r w:rsidRPr="00250FA5">
        <w:rPr>
          <w:rFonts w:ascii="Arial Narrow" w:eastAsia="Calibri" w:hAnsi="Arial Narrow" w:cs="Times New Roman"/>
          <w:sz w:val="18"/>
          <w:szCs w:val="18"/>
        </w:rPr>
        <w:t>CPS = combined positive score, NA = not applicable, NR = not reported</w:t>
      </w:r>
    </w:p>
    <w:p w14:paraId="344FF4E6" w14:textId="77777777" w:rsidR="00250FA5" w:rsidRPr="00250FA5" w:rsidRDefault="00250FA5" w:rsidP="00250FA5">
      <w:pPr>
        <w:keepNext/>
        <w:keepLines/>
        <w:snapToGrid w:val="0"/>
        <w:spacing w:before="0" w:after="240"/>
        <w:rPr>
          <w:rFonts w:ascii="Arial Narrow" w:eastAsia="Times New Roman" w:hAnsi="Arial Narrow" w:cs="Arial"/>
          <w:sz w:val="18"/>
          <w:szCs w:val="20"/>
        </w:rPr>
      </w:pPr>
      <w:r w:rsidRPr="00250FA5">
        <w:rPr>
          <w:rFonts w:ascii="Arial Narrow" w:eastAsia="Times New Roman" w:hAnsi="Arial Narrow" w:cs="Arial"/>
          <w:sz w:val="18"/>
          <w:szCs w:val="20"/>
        </w:rPr>
        <w:t>Text in bold indicate statistically significant differences</w:t>
      </w:r>
    </w:p>
    <w:p w14:paraId="25710A0F" w14:textId="36CC69CD" w:rsidR="00250FA5" w:rsidRPr="00250FA5" w:rsidRDefault="00250FA5" w:rsidP="00250FA5">
      <w:pPr>
        <w:spacing w:before="0" w:after="240"/>
        <w:jc w:val="left"/>
        <w:rPr>
          <w:rFonts w:ascii="Times New Roman" w:eastAsia="Calibri" w:hAnsi="Times New Roman" w:cs="Times New Roman"/>
        </w:rPr>
      </w:pPr>
      <w:r w:rsidRPr="00BF34F3">
        <w:rPr>
          <w:rFonts w:ascii="Times New Roman" w:eastAsia="Calibri" w:hAnsi="Times New Roman" w:cs="Times New Roman"/>
          <w:szCs w:val="24"/>
        </w:rPr>
        <w:fldChar w:fldCharType="begin"/>
      </w:r>
      <w:r w:rsidRPr="00BF34F3">
        <w:rPr>
          <w:rFonts w:ascii="Times New Roman" w:eastAsia="Calibri" w:hAnsi="Times New Roman" w:cs="Times New Roman"/>
          <w:szCs w:val="24"/>
        </w:rPr>
        <w:instrText xml:space="preserve"> REF _Ref80057351 \h  \* MERGEFORMAT </w:instrText>
      </w:r>
      <w:r w:rsidRPr="00BF34F3">
        <w:rPr>
          <w:rFonts w:ascii="Times New Roman" w:eastAsia="Calibri" w:hAnsi="Times New Roman" w:cs="Times New Roman"/>
          <w:szCs w:val="24"/>
        </w:rPr>
      </w:r>
      <w:r w:rsidRPr="00BF34F3">
        <w:rPr>
          <w:rFonts w:ascii="Times New Roman" w:eastAsia="Calibri" w:hAnsi="Times New Roman" w:cs="Times New Roman"/>
          <w:szCs w:val="24"/>
        </w:rPr>
        <w:fldChar w:fldCharType="separate"/>
      </w:r>
      <w:r w:rsidR="00BC10A5" w:rsidRPr="00BC10A5">
        <w:rPr>
          <w:rFonts w:ascii="Times New Roman" w:eastAsia="Calibri" w:hAnsi="Times New Roman" w:cs="Times New Roman"/>
          <w:szCs w:val="24"/>
        </w:rPr>
        <w:t>Figure</w:t>
      </w:r>
      <w:r w:rsidR="00530E8C">
        <w:rPr>
          <w:rFonts w:ascii="Times New Roman" w:eastAsia="Calibri" w:hAnsi="Times New Roman" w:cs="Times New Roman"/>
          <w:szCs w:val="24"/>
        </w:rPr>
        <w:t>s</w:t>
      </w:r>
      <w:r w:rsidR="00BC10A5" w:rsidRPr="00BC10A5">
        <w:rPr>
          <w:rFonts w:ascii="Times New Roman" w:eastAsia="Calibri" w:hAnsi="Times New Roman" w:cs="Times New Roman"/>
          <w:szCs w:val="24"/>
        </w:rPr>
        <w:t xml:space="preserve"> </w:t>
      </w:r>
      <w:r w:rsidR="00530E8C">
        <w:rPr>
          <w:rFonts w:ascii="Times New Roman" w:eastAsia="Calibri" w:hAnsi="Times New Roman" w:cs="Times New Roman"/>
          <w:szCs w:val="24"/>
        </w:rPr>
        <w:t>4</w:t>
      </w:r>
      <w:r w:rsidRPr="00BF34F3">
        <w:rPr>
          <w:rFonts w:ascii="Times New Roman" w:eastAsia="Calibri" w:hAnsi="Times New Roman" w:cs="Times New Roman"/>
          <w:szCs w:val="24"/>
        </w:rPr>
        <w:fldChar w:fldCharType="end"/>
      </w:r>
      <w:r w:rsidRPr="00BF34F3">
        <w:rPr>
          <w:rFonts w:ascii="Times New Roman" w:eastAsia="Calibri" w:hAnsi="Times New Roman" w:cs="Times New Roman"/>
          <w:szCs w:val="24"/>
        </w:rPr>
        <w:t xml:space="preserve"> </w:t>
      </w:r>
      <w:r w:rsidR="00530E8C">
        <w:rPr>
          <w:rFonts w:ascii="Times New Roman" w:eastAsia="Calibri" w:hAnsi="Times New Roman" w:cs="Times New Roman"/>
          <w:szCs w:val="24"/>
        </w:rPr>
        <w:t>to 6</w:t>
      </w:r>
      <w:r w:rsidRPr="00BF34F3">
        <w:rPr>
          <w:rFonts w:ascii="Times New Roman" w:eastAsia="Calibri" w:hAnsi="Times New Roman" w:cs="Times New Roman"/>
          <w:szCs w:val="24"/>
        </w:rPr>
        <w:t xml:space="preserve"> present the Kaplan</w:t>
      </w:r>
      <w:r w:rsidRPr="00250FA5">
        <w:rPr>
          <w:rFonts w:ascii="Times New Roman" w:eastAsia="Calibri" w:hAnsi="Times New Roman" w:cs="Times New Roman"/>
        </w:rPr>
        <w:t xml:space="preserve"> Meier curves for KN048 updated with 12 months of additional follow up data.</w:t>
      </w:r>
    </w:p>
    <w:p w14:paraId="78B58DDE" w14:textId="77777777" w:rsidR="00250FA5" w:rsidRPr="00250FA5" w:rsidRDefault="00250FA5" w:rsidP="00250FA5">
      <w:pPr>
        <w:keepNext/>
        <w:keepLines/>
        <w:jc w:val="left"/>
        <w:rPr>
          <w:rFonts w:ascii="Calibri" w:eastAsia="Calibri" w:hAnsi="Calibri" w:cs="Arial"/>
        </w:rPr>
      </w:pPr>
      <w:r w:rsidRPr="00250FA5">
        <w:rPr>
          <w:rFonts w:ascii="Calibri" w:eastAsia="Calibri" w:hAnsi="Calibri" w:cs="Arial"/>
          <w:i/>
          <w:noProof/>
          <w:color w:val="0070C0"/>
          <w:lang w:eastAsia="en-AU"/>
        </w:rPr>
        <w:drawing>
          <wp:inline distT="0" distB="0" distL="0" distR="0" wp14:anchorId="658E83BC" wp14:editId="4CA5E9CA">
            <wp:extent cx="4667250" cy="3238500"/>
            <wp:effectExtent l="0" t="0" r="0" b="0"/>
            <wp:docPr id="1" name="Picture 12" descr="Kaplan Meier estimates of OS for pembrolizumab plus chemotherapy in KN048 CPS ≥1 (updated with 12 months additional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Kaplan Meier estimates of OS for pembrolizumab plus chemotherapy in KN048 CPS ≥1 (updated with 12 months additional follow u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p>
    <w:p w14:paraId="7CE86BA8" w14:textId="10BD991B" w:rsidR="00530E8C" w:rsidRPr="00250FA5" w:rsidRDefault="00530E8C" w:rsidP="00530E8C">
      <w:pPr>
        <w:keepNext/>
        <w:keepLines/>
        <w:widowControl w:val="0"/>
        <w:spacing w:before="0" w:after="0"/>
        <w:ind w:left="992" w:hanging="992"/>
        <w:contextualSpacing/>
        <w:jc w:val="left"/>
        <w:rPr>
          <w:rFonts w:ascii="Arial Narrow" w:eastAsia="Calibri" w:hAnsi="Arial Narrow" w:cs="Times New Roman"/>
          <w:b/>
          <w:iCs/>
          <w:sz w:val="20"/>
          <w:szCs w:val="18"/>
        </w:rPr>
      </w:pPr>
      <w:bookmarkStart w:id="13" w:name="_Ref80057351"/>
      <w:r w:rsidRPr="00250FA5">
        <w:rPr>
          <w:rFonts w:ascii="Arial Narrow" w:eastAsia="Calibri" w:hAnsi="Arial Narrow" w:cs="Times New Roman"/>
          <w:b/>
          <w:iCs/>
          <w:sz w:val="20"/>
          <w:szCs w:val="18"/>
        </w:rPr>
        <w:t xml:space="preserve">Figure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Figure \* ARABIC </w:instrText>
      </w:r>
      <w:r w:rsidRPr="00250FA5">
        <w:rPr>
          <w:rFonts w:ascii="Arial Narrow" w:eastAsia="Calibri" w:hAnsi="Arial Narrow" w:cs="Times New Roman"/>
          <w:b/>
          <w:iCs/>
          <w:sz w:val="20"/>
          <w:szCs w:val="18"/>
        </w:rPr>
        <w:fldChar w:fldCharType="separate"/>
      </w:r>
      <w:r>
        <w:rPr>
          <w:rFonts w:ascii="Arial Narrow" w:eastAsia="Calibri" w:hAnsi="Arial Narrow" w:cs="Times New Roman"/>
          <w:b/>
          <w:iCs/>
          <w:noProof/>
          <w:sz w:val="20"/>
          <w:szCs w:val="18"/>
        </w:rPr>
        <w:t>4</w:t>
      </w:r>
      <w:r w:rsidRPr="00250FA5">
        <w:rPr>
          <w:rFonts w:ascii="Arial Narrow" w:eastAsia="Calibri" w:hAnsi="Arial Narrow" w:cs="Times New Roman"/>
          <w:b/>
          <w:iCs/>
          <w:sz w:val="20"/>
          <w:szCs w:val="18"/>
        </w:rPr>
        <w:fldChar w:fldCharType="end"/>
      </w:r>
      <w:bookmarkEnd w:id="13"/>
      <w:r w:rsidRPr="00250FA5">
        <w:rPr>
          <w:rFonts w:ascii="Arial Narrow" w:eastAsia="Calibri" w:hAnsi="Arial Narrow" w:cs="Times New Roman"/>
          <w:b/>
          <w:iCs/>
          <w:sz w:val="20"/>
          <w:szCs w:val="18"/>
        </w:rPr>
        <w:tab/>
        <w:t xml:space="preserve">Kaplan Meier estimates of </w:t>
      </w:r>
      <w:r w:rsidR="00FF7462">
        <w:rPr>
          <w:rFonts w:ascii="Arial Narrow" w:eastAsia="Calibri" w:hAnsi="Arial Narrow" w:cs="Times New Roman"/>
          <w:b/>
          <w:iCs/>
          <w:sz w:val="20"/>
          <w:szCs w:val="18"/>
        </w:rPr>
        <w:t>overall survival</w:t>
      </w:r>
      <w:r w:rsidRPr="00250FA5">
        <w:rPr>
          <w:rFonts w:ascii="Arial Narrow" w:eastAsia="Calibri" w:hAnsi="Arial Narrow" w:cs="Times New Roman"/>
          <w:b/>
          <w:iCs/>
          <w:sz w:val="20"/>
          <w:szCs w:val="18"/>
        </w:rPr>
        <w:t xml:space="preserve"> for pembrolizumab plus chemotherapy in KN048 CPS ≥1 (updated with 12 months additional follow up)</w:t>
      </w:r>
    </w:p>
    <w:p w14:paraId="6810820B" w14:textId="77777777" w:rsidR="00250FA5" w:rsidRPr="00250FA5" w:rsidRDefault="00250FA5" w:rsidP="00250FA5">
      <w:pPr>
        <w:keepNext/>
        <w:keepLines/>
        <w:widowControl w:val="0"/>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Source: Figure 2.5-2, p71 of the resubmission</w:t>
      </w:r>
    </w:p>
    <w:p w14:paraId="5C59DEB3" w14:textId="77777777" w:rsidR="00250FA5" w:rsidRPr="00530E8C" w:rsidRDefault="00250FA5" w:rsidP="00250FA5">
      <w:pPr>
        <w:widowControl w:val="0"/>
        <w:snapToGrid w:val="0"/>
        <w:spacing w:before="0" w:after="240"/>
        <w:contextualSpacing/>
        <w:rPr>
          <w:rFonts w:ascii="Times New Roman" w:eastAsia="Times New Roman" w:hAnsi="Times New Roman" w:cs="Times New Roman"/>
          <w:szCs w:val="24"/>
        </w:rPr>
      </w:pPr>
    </w:p>
    <w:p w14:paraId="5A77F61A" w14:textId="77777777" w:rsidR="00250FA5" w:rsidRPr="00250FA5" w:rsidRDefault="00250FA5" w:rsidP="00250FA5">
      <w:pPr>
        <w:keepNext/>
        <w:keepLines/>
        <w:jc w:val="left"/>
        <w:rPr>
          <w:rFonts w:ascii="Calibri" w:eastAsia="Calibri" w:hAnsi="Calibri" w:cs="Arial"/>
        </w:rPr>
      </w:pPr>
      <w:r w:rsidRPr="00250FA5">
        <w:rPr>
          <w:rFonts w:ascii="Calibri" w:eastAsia="Calibri" w:hAnsi="Calibri" w:cs="Arial"/>
          <w:i/>
          <w:noProof/>
          <w:color w:val="0070C0"/>
          <w:lang w:eastAsia="en-AU"/>
        </w:rPr>
        <w:drawing>
          <wp:inline distT="0" distB="0" distL="0" distR="0" wp14:anchorId="437B76BA" wp14:editId="4490A8CF">
            <wp:extent cx="5210175" cy="2952750"/>
            <wp:effectExtent l="0" t="0" r="9525" b="0"/>
            <wp:docPr id="3" name="Picture 13" descr="Kaplan Meier estimates of OS for pembrolizumab monotherapy in KN048 CPS ≥1 (updated with 12 months additional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Kaplan Meier estimates of OS for pembrolizumab monotherapy in KN048 CPS ≥1 (updated with 12 months additional follow up)"/>
                    <pic:cNvPicPr>
                      <a:picLocks noChangeAspect="1" noChangeArrowheads="1"/>
                    </pic:cNvPicPr>
                  </pic:nvPicPr>
                  <pic:blipFill>
                    <a:blip r:embed="rId16" cstate="print">
                      <a:extLst>
                        <a:ext uri="{28A0092B-C50C-407E-A947-70E740481C1C}">
                          <a14:useLocalDpi xmlns:a14="http://schemas.microsoft.com/office/drawing/2010/main" val="0"/>
                        </a:ext>
                      </a:extLst>
                    </a:blip>
                    <a:srcRect l="1443" t="1749"/>
                    <a:stretch>
                      <a:fillRect/>
                    </a:stretch>
                  </pic:blipFill>
                  <pic:spPr bwMode="auto">
                    <a:xfrm>
                      <a:off x="0" y="0"/>
                      <a:ext cx="5210175" cy="2952750"/>
                    </a:xfrm>
                    <a:prstGeom prst="rect">
                      <a:avLst/>
                    </a:prstGeom>
                    <a:noFill/>
                    <a:ln>
                      <a:noFill/>
                    </a:ln>
                  </pic:spPr>
                </pic:pic>
              </a:graphicData>
            </a:graphic>
          </wp:inline>
        </w:drawing>
      </w:r>
    </w:p>
    <w:p w14:paraId="20E0CE56" w14:textId="21FE272E" w:rsidR="00530E8C" w:rsidRPr="00250FA5" w:rsidRDefault="00530E8C" w:rsidP="00530E8C">
      <w:pPr>
        <w:keepNext/>
        <w:keepLines/>
        <w:widowControl w:val="0"/>
        <w:spacing w:before="240" w:after="0"/>
        <w:ind w:left="992" w:hanging="992"/>
        <w:jc w:val="left"/>
        <w:rPr>
          <w:rFonts w:ascii="Arial Narrow" w:eastAsia="Calibri" w:hAnsi="Arial Narrow" w:cs="Times New Roman"/>
          <w:b/>
          <w:iCs/>
          <w:sz w:val="20"/>
          <w:szCs w:val="18"/>
        </w:rPr>
      </w:pPr>
      <w:bookmarkStart w:id="14" w:name="_Ref80057356"/>
      <w:r w:rsidRPr="00250FA5">
        <w:rPr>
          <w:rFonts w:ascii="Arial Narrow" w:eastAsia="Calibri" w:hAnsi="Arial Narrow" w:cs="Times New Roman"/>
          <w:b/>
          <w:iCs/>
          <w:sz w:val="20"/>
          <w:szCs w:val="18"/>
        </w:rPr>
        <w:t>Figure</w:t>
      </w:r>
      <w:r>
        <w:rPr>
          <w:rFonts w:ascii="Arial Narrow" w:eastAsia="Calibri" w:hAnsi="Arial Narrow" w:cs="Times New Roman"/>
          <w:b/>
          <w:iCs/>
          <w:sz w:val="20"/>
          <w:szCs w:val="18"/>
        </w:rPr>
        <w:t xml:space="preserv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Figure \* ARABIC </w:instrText>
      </w:r>
      <w:r w:rsidRPr="00250FA5">
        <w:rPr>
          <w:rFonts w:ascii="Arial Narrow" w:eastAsia="Calibri" w:hAnsi="Arial Narrow" w:cs="Times New Roman"/>
          <w:b/>
          <w:iCs/>
          <w:sz w:val="20"/>
          <w:szCs w:val="18"/>
        </w:rPr>
        <w:fldChar w:fldCharType="separate"/>
      </w:r>
      <w:r>
        <w:rPr>
          <w:rFonts w:ascii="Arial Narrow" w:eastAsia="Calibri" w:hAnsi="Arial Narrow" w:cs="Times New Roman"/>
          <w:b/>
          <w:iCs/>
          <w:noProof/>
          <w:sz w:val="20"/>
          <w:szCs w:val="18"/>
        </w:rPr>
        <w:t>5</w:t>
      </w:r>
      <w:r w:rsidRPr="00250FA5">
        <w:rPr>
          <w:rFonts w:ascii="Arial Narrow" w:eastAsia="Calibri" w:hAnsi="Arial Narrow" w:cs="Times New Roman"/>
          <w:b/>
          <w:iCs/>
          <w:sz w:val="20"/>
          <w:szCs w:val="18"/>
        </w:rPr>
        <w:fldChar w:fldCharType="end"/>
      </w:r>
      <w:bookmarkEnd w:id="14"/>
      <w:r w:rsidRPr="00250FA5">
        <w:rPr>
          <w:rFonts w:ascii="Arial Narrow" w:eastAsia="Calibri" w:hAnsi="Arial Narrow" w:cs="Times New Roman"/>
          <w:b/>
          <w:iCs/>
          <w:sz w:val="20"/>
          <w:szCs w:val="18"/>
        </w:rPr>
        <w:tab/>
        <w:t xml:space="preserve">Kaplan Meier estimates of </w:t>
      </w:r>
      <w:r w:rsidR="00FF7462">
        <w:rPr>
          <w:rFonts w:ascii="Arial Narrow" w:eastAsia="Calibri" w:hAnsi="Arial Narrow" w:cs="Times New Roman"/>
          <w:b/>
          <w:iCs/>
          <w:sz w:val="20"/>
          <w:szCs w:val="18"/>
        </w:rPr>
        <w:t>overall survival</w:t>
      </w:r>
      <w:r w:rsidR="00FF7462" w:rsidRPr="00250FA5">
        <w:rPr>
          <w:rFonts w:ascii="Arial Narrow" w:eastAsia="Calibri" w:hAnsi="Arial Narrow" w:cs="Times New Roman"/>
          <w:b/>
          <w:iCs/>
          <w:sz w:val="20"/>
          <w:szCs w:val="18"/>
        </w:rPr>
        <w:t xml:space="preserve"> </w:t>
      </w:r>
      <w:r w:rsidRPr="00250FA5">
        <w:rPr>
          <w:rFonts w:ascii="Arial Narrow" w:eastAsia="Calibri" w:hAnsi="Arial Narrow" w:cs="Times New Roman"/>
          <w:b/>
          <w:iCs/>
          <w:sz w:val="20"/>
          <w:szCs w:val="18"/>
        </w:rPr>
        <w:t>for pembrolizumab monotherapy in KN048 CPS ≥1 (updated with 12 months additional follow up)</w:t>
      </w:r>
    </w:p>
    <w:p w14:paraId="4729309E" w14:textId="6941FBFC" w:rsidR="00250FA5" w:rsidRDefault="00250FA5" w:rsidP="00250FA5">
      <w:pPr>
        <w:keepNext/>
        <w:keepLines/>
        <w:widowControl w:val="0"/>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Source: Figure 2.5-1, p70 of the resubmission</w:t>
      </w:r>
    </w:p>
    <w:p w14:paraId="236CDF75" w14:textId="77777777" w:rsidR="0059517E" w:rsidRPr="0059517E" w:rsidRDefault="0059517E" w:rsidP="0059517E">
      <w:pPr>
        <w:widowControl w:val="0"/>
        <w:snapToGrid w:val="0"/>
        <w:spacing w:before="0" w:after="240"/>
        <w:contextualSpacing/>
        <w:rPr>
          <w:rFonts w:ascii="Times New Roman" w:eastAsia="Times New Roman" w:hAnsi="Times New Roman" w:cs="Times New Roman"/>
          <w:szCs w:val="24"/>
        </w:rPr>
      </w:pPr>
    </w:p>
    <w:p w14:paraId="792927FA" w14:textId="77777777" w:rsidR="00250FA5" w:rsidRPr="00250FA5" w:rsidRDefault="00250FA5" w:rsidP="00250FA5">
      <w:pPr>
        <w:keepNext/>
        <w:keepLines/>
        <w:widowControl w:val="0"/>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noProof/>
          <w:sz w:val="18"/>
          <w:szCs w:val="20"/>
          <w:lang w:eastAsia="en-AU"/>
        </w:rPr>
        <w:drawing>
          <wp:inline distT="0" distB="0" distL="0" distR="0" wp14:anchorId="31909BA0" wp14:editId="6A67DB63">
            <wp:extent cx="4191990" cy="3080860"/>
            <wp:effectExtent l="0" t="0" r="0" b="5715"/>
            <wp:docPr id="2" name="Picture 2" descr="Kaplan Meier estimates of OS for pembrolizumab monotherapy in KN048 CPS ≥20 (updated with 12 months additional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aplan Meier estimates of OS for pembrolizumab monotherapy in KN048 CPS ≥20 (updated with 12 months additional follow up)"/>
                    <pic:cNvPicPr/>
                  </pic:nvPicPr>
                  <pic:blipFill>
                    <a:blip r:embed="rId17">
                      <a:extLst>
                        <a:ext uri="{28A0092B-C50C-407E-A947-70E740481C1C}">
                          <a14:useLocalDpi xmlns:a14="http://schemas.microsoft.com/office/drawing/2010/main" val="0"/>
                        </a:ext>
                      </a:extLst>
                    </a:blip>
                    <a:stretch>
                      <a:fillRect/>
                    </a:stretch>
                  </pic:blipFill>
                  <pic:spPr>
                    <a:xfrm>
                      <a:off x="0" y="0"/>
                      <a:ext cx="4205117" cy="3090507"/>
                    </a:xfrm>
                    <a:prstGeom prst="rect">
                      <a:avLst/>
                    </a:prstGeom>
                  </pic:spPr>
                </pic:pic>
              </a:graphicData>
            </a:graphic>
          </wp:inline>
        </w:drawing>
      </w:r>
    </w:p>
    <w:p w14:paraId="03BEDF88" w14:textId="609A1BC5" w:rsidR="00530E8C" w:rsidRPr="00250FA5" w:rsidRDefault="00530E8C" w:rsidP="00530E8C">
      <w:pPr>
        <w:keepNext/>
        <w:spacing w:before="0" w:after="40"/>
        <w:ind w:left="993" w:hanging="993"/>
        <w:outlineLvl w:val="4"/>
        <w:rPr>
          <w:rFonts w:ascii="Arial Narrow" w:eastAsia="Times New Roman" w:hAnsi="Arial Narrow" w:cs="Arial"/>
          <w:b/>
          <w:bCs/>
          <w:iCs/>
          <w:sz w:val="20"/>
          <w:szCs w:val="20"/>
        </w:rPr>
      </w:pPr>
      <w:r w:rsidRPr="00250FA5">
        <w:rPr>
          <w:rFonts w:ascii="Arial Narrow" w:eastAsia="Times New Roman" w:hAnsi="Arial Narrow" w:cs="Arial"/>
          <w:b/>
          <w:bCs/>
          <w:iCs/>
          <w:sz w:val="20"/>
          <w:szCs w:val="20"/>
        </w:rPr>
        <w:t xml:space="preserve">Figure </w:t>
      </w:r>
      <w:r w:rsidRPr="00250FA5">
        <w:rPr>
          <w:rFonts w:ascii="Arial Narrow" w:eastAsia="Times New Roman" w:hAnsi="Arial Narrow" w:cs="Arial"/>
          <w:b/>
          <w:bCs/>
          <w:iCs/>
          <w:sz w:val="20"/>
          <w:szCs w:val="20"/>
        </w:rPr>
        <w:fldChar w:fldCharType="begin"/>
      </w:r>
      <w:r w:rsidRPr="00250FA5">
        <w:rPr>
          <w:rFonts w:ascii="Arial Narrow" w:eastAsia="Times New Roman" w:hAnsi="Arial Narrow" w:cs="Arial"/>
          <w:b/>
          <w:bCs/>
          <w:iCs/>
          <w:sz w:val="20"/>
          <w:szCs w:val="20"/>
        </w:rPr>
        <w:instrText xml:space="preserve"> SEQ Figure \* ARABIC </w:instrText>
      </w:r>
      <w:r w:rsidRPr="00250FA5">
        <w:rPr>
          <w:rFonts w:ascii="Arial Narrow" w:eastAsia="Times New Roman" w:hAnsi="Arial Narrow" w:cs="Arial"/>
          <w:b/>
          <w:bCs/>
          <w:iCs/>
          <w:sz w:val="20"/>
          <w:szCs w:val="20"/>
        </w:rPr>
        <w:fldChar w:fldCharType="separate"/>
      </w:r>
      <w:r>
        <w:rPr>
          <w:rFonts w:ascii="Arial Narrow" w:eastAsia="Times New Roman" w:hAnsi="Arial Narrow" w:cs="Arial"/>
          <w:b/>
          <w:bCs/>
          <w:iCs/>
          <w:noProof/>
          <w:sz w:val="20"/>
          <w:szCs w:val="20"/>
        </w:rPr>
        <w:t>6</w:t>
      </w:r>
      <w:r w:rsidRPr="00250FA5">
        <w:rPr>
          <w:rFonts w:ascii="Arial Narrow" w:eastAsia="Times New Roman" w:hAnsi="Arial Narrow" w:cs="Arial"/>
          <w:b/>
          <w:bCs/>
          <w:iCs/>
          <w:noProof/>
          <w:sz w:val="20"/>
          <w:szCs w:val="20"/>
        </w:rPr>
        <w:fldChar w:fldCharType="end"/>
      </w:r>
      <w:r w:rsidRPr="00250FA5">
        <w:rPr>
          <w:rFonts w:ascii="Arial Narrow" w:eastAsia="Calibri" w:hAnsi="Arial Narrow" w:cs="Arial"/>
          <w:bCs/>
          <w:sz w:val="20"/>
          <w:szCs w:val="18"/>
        </w:rPr>
        <w:tab/>
      </w:r>
      <w:r w:rsidRPr="00250FA5">
        <w:rPr>
          <w:rFonts w:ascii="Arial Narrow" w:eastAsia="Times New Roman" w:hAnsi="Arial Narrow" w:cs="Arial"/>
          <w:b/>
          <w:bCs/>
          <w:iCs/>
          <w:sz w:val="20"/>
          <w:szCs w:val="20"/>
        </w:rPr>
        <w:t xml:space="preserve">Kaplan Meier estimates of </w:t>
      </w:r>
      <w:r w:rsidR="00FF7462">
        <w:rPr>
          <w:rFonts w:ascii="Arial Narrow" w:eastAsia="Calibri" w:hAnsi="Arial Narrow" w:cs="Times New Roman"/>
          <w:b/>
          <w:iCs/>
          <w:sz w:val="20"/>
          <w:szCs w:val="18"/>
        </w:rPr>
        <w:t>overall survival</w:t>
      </w:r>
      <w:r w:rsidR="00FF7462" w:rsidRPr="00250FA5">
        <w:rPr>
          <w:rFonts w:ascii="Arial Narrow" w:eastAsia="Times New Roman" w:hAnsi="Arial Narrow" w:cs="Arial"/>
          <w:b/>
          <w:bCs/>
          <w:iCs/>
          <w:sz w:val="20"/>
          <w:szCs w:val="20"/>
        </w:rPr>
        <w:t xml:space="preserve"> </w:t>
      </w:r>
      <w:r w:rsidRPr="00250FA5">
        <w:rPr>
          <w:rFonts w:ascii="Arial Narrow" w:eastAsia="Times New Roman" w:hAnsi="Arial Narrow" w:cs="Arial"/>
          <w:b/>
          <w:bCs/>
          <w:iCs/>
          <w:sz w:val="20"/>
          <w:szCs w:val="20"/>
        </w:rPr>
        <w:t>for pembrolizumab monotherapy in KN048 CPS ≥20 (updated with 12 months additional follow up)</w:t>
      </w:r>
    </w:p>
    <w:p w14:paraId="3AEFAA57" w14:textId="77777777" w:rsidR="00250FA5" w:rsidRPr="00250FA5" w:rsidRDefault="00250FA5" w:rsidP="00530E8C">
      <w:pPr>
        <w:widowControl w:val="0"/>
        <w:snapToGrid w:val="0"/>
        <w:spacing w:before="0" w:after="240"/>
        <w:rPr>
          <w:rFonts w:ascii="Arial Narrow" w:eastAsia="Times New Roman" w:hAnsi="Arial Narrow" w:cs="Arial"/>
          <w:sz w:val="18"/>
          <w:szCs w:val="20"/>
        </w:rPr>
      </w:pPr>
      <w:r w:rsidRPr="00250FA5">
        <w:rPr>
          <w:rFonts w:ascii="Arial Narrow" w:eastAsia="Times New Roman" w:hAnsi="Arial Narrow" w:cs="Arial"/>
          <w:sz w:val="18"/>
          <w:szCs w:val="20"/>
        </w:rPr>
        <w:t>Source: Figure 11-27, p260 of the KN048 CSR (v02)</w:t>
      </w:r>
    </w:p>
    <w:p w14:paraId="5105B001"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OS HR reported in the resubmission for the ITT population for both pembrolizumab plus chemotherapy and pembrolizumab monotherapy in KN048 at four years were similar in magnitude to the OS HR reported at three years in the previous submission. Compared to patients treated with cetuximab plus chemotherapy, the risk of death in patients treated with pembrolizumab plus chemotherapy was statistically significantly lower in both the ITT population and CPS ≥1 population but not in the CPS &lt;1 population. The difference in OS between patients treated with pembrolizumab monotherapy was not statistically different to patients treated with cetuximab plus chemotherapy in the ITT population. Comparatively, in the CPS ≥1 population, patients treated with pembrolizumab monotherapy had a statistically significantly lower risk of death compared to patients treated with cetuximab plus chemotherapy.</w:t>
      </w:r>
    </w:p>
    <w:p w14:paraId="623E01F5" w14:textId="58224D8C"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resubmission presented a multivariate analysis was conducted adjusting for multiple baseline demographic and disease characteristics for the CPS ≥1 population. For participants receiving pembrolizumab plus chemotherapy, the results from the multivariate analysis showed an OS HR of 0.71 (95% CI: 0.57, 0.88) for the CPS</w:t>
      </w:r>
      <w:r w:rsidR="008431D6">
        <w:rPr>
          <w:rFonts w:ascii="Times New Roman" w:eastAsia="Calibri" w:hAnsi="Times New Roman" w:cs="Times New Roman"/>
        </w:rPr>
        <w:t xml:space="preserve"> </w:t>
      </w:r>
      <w:r w:rsidRPr="00250FA5">
        <w:rPr>
          <w:rFonts w:ascii="Times New Roman" w:eastAsia="Calibri" w:hAnsi="Times New Roman" w:cs="Times New Roman"/>
        </w:rPr>
        <w:t>≥1 population. The resubmission considered that this was consistent with the primary outcome based on Interim Analysis 2 data showing an OS HR of 0.71 (95% CI: 0.57, 0.88). For participants receiving pembrolizumab monotherapy, the results from the multivariate analysis showed an OS HR for the CPS ≥1 population of 0.75 (95% CI: 0.61, 0.93). The resubmission considered that This was consistent with the primary outcome showing an OS HR of 0.78 (95% CI: 0.64, 0.96) for the CPS ≥1 population for Interim Analysis 2.</w:t>
      </w:r>
    </w:p>
    <w:p w14:paraId="04C891CB" w14:textId="75FDE855" w:rsidR="00250FA5" w:rsidRPr="00250FA5" w:rsidRDefault="00250FA5" w:rsidP="008431D6">
      <w:pPr>
        <w:spacing w:before="0" w:after="240"/>
        <w:jc w:val="left"/>
        <w:rPr>
          <w:rFonts w:ascii="Times New Roman" w:eastAsia="Calibri" w:hAnsi="Times New Roman" w:cs="Times New Roman"/>
          <w:highlight w:val="lightGray"/>
        </w:rPr>
      </w:pPr>
      <w:r w:rsidRPr="00250FA5">
        <w:rPr>
          <w:rFonts w:ascii="Times New Roman" w:eastAsia="Calibri" w:hAnsi="Times New Roman" w:cs="Times New Roman"/>
        </w:rPr>
        <w:t>The commentary noted that the PBAC accepted the claim of superior efficacy for pembrolizumab plus chemotherapy compared to chemotherapy alone in terms of OS in patients with CPS ≥1, but did not accept such a claim for pembrolizumab monotherapy in patients with CPS ≥1. (paragraphs 7.5 and 7.6, pembrolizumab PSD, November 2020 PBAC Meeting). The commentary considered that while this decision was made on the basis of the indirect comparison of KN048 with EXTREME instead of the results of KN048 only as presented in the resubmission, given that the OS HR in the indirect comparison in the previous submission (Bucher indirect OS HR = 0.59, 95%</w:t>
      </w:r>
      <w:r w:rsidR="00A2043B">
        <w:rPr>
          <w:rFonts w:ascii="Times New Roman" w:eastAsia="Calibri" w:hAnsi="Times New Roman" w:cs="Times New Roman"/>
        </w:rPr>
        <w:t xml:space="preserve"> </w:t>
      </w:r>
      <w:r w:rsidRPr="00250FA5">
        <w:rPr>
          <w:rFonts w:ascii="Times New Roman" w:eastAsia="Calibri" w:hAnsi="Times New Roman" w:cs="Times New Roman"/>
        </w:rPr>
        <w:t>CI</w:t>
      </w:r>
      <w:r w:rsidR="00A2043B">
        <w:rPr>
          <w:rFonts w:ascii="Times New Roman" w:eastAsia="Calibri" w:hAnsi="Times New Roman" w:cs="Times New Roman"/>
        </w:rPr>
        <w:t>:</w:t>
      </w:r>
      <w:r w:rsidRPr="00250FA5">
        <w:rPr>
          <w:rFonts w:ascii="Times New Roman" w:eastAsia="Calibri" w:hAnsi="Times New Roman" w:cs="Times New Roman"/>
        </w:rPr>
        <w:t xml:space="preserve"> 0.44, 0.79) was more favourable towards pembrolizumab monotherapy than in the current resubmission (OS HR = 0.74, 95%C 0.61, 0.90) in patients with CPS ≥1, it may be argued that the resubmission has not provided any further data to demonstrate that pembrolizumab monotherapy was superior in efficacy with regards to OS to SoC in patients with CPS ≥1.</w:t>
      </w:r>
    </w:p>
    <w:p w14:paraId="1D8DCCD3"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commentary highlighted that PBAC has previously noted that the benefit of pembrolizumab monotherapy was likely driven by the CPS≥20 population and that the It was also acknowledged (paragraph 7.9, pembrolizumab PSD, November 2020 PBAC Meeting) that the CPS &lt;1 subgroup in KN048 was too small to conclude that pembrolizumab plus chemotherapy had no effect in this subgroup.</w:t>
      </w:r>
      <w:r w:rsidRPr="00250FA5">
        <w:rPr>
          <w:rFonts w:ascii="Times New Roman" w:eastAsia="Calibri" w:hAnsi="Times New Roman" w:cs="Times New Roman"/>
          <w:i/>
          <w:iCs/>
        </w:rPr>
        <w:t xml:space="preserve"> </w:t>
      </w:r>
      <w:r w:rsidRPr="00250FA5">
        <w:rPr>
          <w:rFonts w:ascii="Times New Roman" w:eastAsia="Calibri" w:hAnsi="Times New Roman" w:cs="Times New Roman"/>
        </w:rPr>
        <w:t>Similarly, while the results suggest that patients with CPS &lt;1 treated with pembrolizumab monotherapy had a potentially statistically significantly higher risk of death compared to patients treated with cetuximab plus chemotherapy at three years (OS HR = 1.72, 95%CI 1.06, 2.79), the commentary considered the small number of patients in the subgroup may increase the uncertainty of the conclusion.</w:t>
      </w:r>
    </w:p>
    <w:p w14:paraId="63F77758" w14:textId="6ABB405E" w:rsidR="00250FA5" w:rsidRPr="00250FA5" w:rsidRDefault="00250FA5" w:rsidP="00B2387B">
      <w:pPr>
        <w:spacing w:before="0" w:after="120"/>
        <w:jc w:val="left"/>
        <w:rPr>
          <w:rFonts w:ascii="Times New Roman" w:eastAsia="Calibri" w:hAnsi="Times New Roman" w:cs="Times New Roman"/>
        </w:rPr>
      </w:pPr>
      <w:r w:rsidRPr="00250FA5">
        <w:rPr>
          <w:rFonts w:ascii="Times New Roman" w:eastAsia="Calibri" w:hAnsi="Times New Roman" w:cs="Times New Roman"/>
        </w:rPr>
        <w:t xml:space="preserve">The pre-ESC response considered restricting pembrolizumab monotherapy to the CPS ≥20 population and would address residual concerns and major barriers related to </w:t>
      </w:r>
      <w:proofErr w:type="spellStart"/>
      <w:r w:rsidRPr="00250FA5">
        <w:rPr>
          <w:rFonts w:ascii="Times New Roman" w:eastAsia="Calibri" w:hAnsi="Times New Roman" w:cs="Times New Roman"/>
        </w:rPr>
        <w:t>codependency</w:t>
      </w:r>
      <w:proofErr w:type="spellEnd"/>
      <w:r w:rsidRPr="00250FA5">
        <w:rPr>
          <w:rFonts w:ascii="Times New Roman" w:eastAsia="Calibri" w:hAnsi="Times New Roman" w:cs="Times New Roman"/>
        </w:rPr>
        <w:t xml:space="preserve"> and allow pembrolizumab monotherapy to be available to the CPS ≥20 population where it provides the greatest benefit. The pre</w:t>
      </w:r>
      <w:r w:rsidRPr="00250FA5">
        <w:rPr>
          <w:rFonts w:ascii="Times New Roman" w:eastAsia="Calibri" w:hAnsi="Times New Roman" w:cs="Times New Roman"/>
        </w:rPr>
        <w:noBreakHyphen/>
        <w:t>ESC response provided the following arguments for updating the population eligible for pembrolizumab monotherapy from CPS</w:t>
      </w:r>
      <w:r w:rsidR="008431D6">
        <w:rPr>
          <w:rFonts w:ascii="Times New Roman" w:eastAsia="Calibri" w:hAnsi="Times New Roman" w:cs="Times New Roman"/>
        </w:rPr>
        <w:t xml:space="preserve"> </w:t>
      </w:r>
      <w:r w:rsidRPr="00250FA5">
        <w:rPr>
          <w:rFonts w:ascii="Times New Roman" w:eastAsia="Calibri" w:hAnsi="Times New Roman" w:cs="Times New Roman"/>
        </w:rPr>
        <w:t>≥1 to CPS</w:t>
      </w:r>
      <w:r w:rsidR="008431D6">
        <w:rPr>
          <w:rFonts w:ascii="Times New Roman" w:eastAsia="Calibri" w:hAnsi="Times New Roman" w:cs="Times New Roman"/>
        </w:rPr>
        <w:t xml:space="preserve"> </w:t>
      </w:r>
      <w:r w:rsidRPr="00250FA5">
        <w:rPr>
          <w:rFonts w:ascii="Times New Roman" w:eastAsia="Calibri" w:hAnsi="Times New Roman" w:cs="Times New Roman"/>
        </w:rPr>
        <w:t>≥20 for monotherapy:</w:t>
      </w:r>
    </w:p>
    <w:p w14:paraId="27AA49C1" w14:textId="19D2DAF0" w:rsidR="00250FA5" w:rsidRPr="00250FA5" w:rsidRDefault="00250FA5" w:rsidP="00B2387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Pembrolizumab </w:t>
      </w:r>
      <w:r w:rsidRPr="00B2387B">
        <w:rPr>
          <w:rFonts w:ascii="Times New Roman" w:eastAsia="Calibri" w:hAnsi="Times New Roman" w:cs="Times New Roman"/>
          <w:szCs w:val="20"/>
        </w:rPr>
        <w:t>monotherapy</w:t>
      </w:r>
      <w:r w:rsidRPr="00250FA5">
        <w:rPr>
          <w:rFonts w:ascii="Times New Roman" w:eastAsia="Calibri" w:hAnsi="Times New Roman" w:cs="Times New Roman"/>
        </w:rPr>
        <w:t xml:space="preserve"> provides a 40% reduction in death compared to cetuximab + chemotherapy following by 2L nivolumab in 26% of patients and a superior side effect profile (21% absolute reduction in grade 3-5 AEs);</w:t>
      </w:r>
    </w:p>
    <w:p w14:paraId="4ADC4256" w14:textId="2CA15048" w:rsidR="00250FA5" w:rsidRPr="00250FA5" w:rsidRDefault="00250FA5" w:rsidP="00B2387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The tests for interaction at CPS ≥20 for pembrolizumab monotherapy and at CPS</w:t>
      </w:r>
      <w:r w:rsidR="008431D6">
        <w:rPr>
          <w:rFonts w:ascii="Times New Roman" w:eastAsia="Calibri" w:hAnsi="Times New Roman" w:cs="Times New Roman"/>
        </w:rPr>
        <w:t xml:space="preserve"> </w:t>
      </w:r>
      <w:r w:rsidRPr="00250FA5">
        <w:rPr>
          <w:rFonts w:ascii="Times New Roman" w:eastAsia="Calibri" w:hAnsi="Times New Roman" w:cs="Times New Roman"/>
        </w:rPr>
        <w:t>≥1 for pembrolizumab + chemotherapy have demonstrated a statistically significant treatment effect modification, indicative of a predictive effect of PD-L1. The pre-ESC response claimed that this is a more robust evidence base than that presented by prior PD-L1 applications in NSCLC (1440.1) and triple negative breast cancer (1570) that MSAC either approved or was of a mind to approve; and</w:t>
      </w:r>
    </w:p>
    <w:p w14:paraId="7EE9B32E" w14:textId="77777777" w:rsidR="00250FA5" w:rsidRPr="00250FA5" w:rsidRDefault="00250FA5" w:rsidP="00B2387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The approach was supported by key </w:t>
      </w:r>
      <w:r w:rsidRPr="00B2387B">
        <w:rPr>
          <w:rFonts w:ascii="Times New Roman" w:eastAsia="Calibri" w:hAnsi="Times New Roman" w:cs="Times New Roman"/>
          <w:szCs w:val="20"/>
        </w:rPr>
        <w:t>oncology</w:t>
      </w:r>
      <w:r w:rsidRPr="00250FA5">
        <w:rPr>
          <w:rFonts w:ascii="Times New Roman" w:eastAsia="Calibri" w:hAnsi="Times New Roman" w:cs="Times New Roman"/>
        </w:rPr>
        <w:t xml:space="preserve"> organisations:</w:t>
      </w:r>
    </w:p>
    <w:p w14:paraId="668BF906" w14:textId="4925DF49" w:rsidR="00250FA5" w:rsidRPr="00250FA5" w:rsidRDefault="00250FA5" w:rsidP="00250FA5">
      <w:pPr>
        <w:numPr>
          <w:ilvl w:val="1"/>
          <w:numId w:val="84"/>
        </w:numPr>
        <w:spacing w:before="0" w:after="0"/>
        <w:contextualSpacing/>
        <w:jc w:val="left"/>
        <w:rPr>
          <w:rFonts w:ascii="Times New Roman" w:eastAsia="Calibri" w:hAnsi="Times New Roman" w:cs="Times New Roman"/>
        </w:rPr>
      </w:pPr>
      <w:r w:rsidRPr="00250FA5">
        <w:rPr>
          <w:rFonts w:ascii="Times New Roman" w:eastAsia="Calibri" w:hAnsi="Times New Roman" w:cs="Times New Roman"/>
        </w:rPr>
        <w:t>The ESMO-MCBS score for the CPS≥20 population was higher than the CPS ≥1 population (5 vs 4) (paragraphs 7.2, and 7.5, pembrolizumab PSD, November 2020 PBAC meeting).</w:t>
      </w:r>
    </w:p>
    <w:p w14:paraId="22DD4B33" w14:textId="77777777" w:rsidR="00250FA5" w:rsidRPr="00250FA5" w:rsidRDefault="00250FA5" w:rsidP="00250FA5">
      <w:pPr>
        <w:numPr>
          <w:ilvl w:val="1"/>
          <w:numId w:val="84"/>
        </w:numPr>
        <w:spacing w:before="0" w:after="0"/>
        <w:contextualSpacing/>
        <w:jc w:val="left"/>
        <w:rPr>
          <w:rFonts w:ascii="Times New Roman" w:eastAsia="Calibri" w:hAnsi="Times New Roman" w:cs="Times New Roman"/>
        </w:rPr>
      </w:pPr>
      <w:r w:rsidRPr="00250FA5">
        <w:rPr>
          <w:rFonts w:ascii="Times New Roman" w:eastAsia="Times New Roman" w:hAnsi="Times New Roman" w:cs="Times New Roman"/>
          <w:szCs w:val="20"/>
          <w:lang w:eastAsia="en-AU"/>
        </w:rPr>
        <w:t xml:space="preserve">The CPS≥ 20 population is included in the </w:t>
      </w:r>
      <w:r w:rsidRPr="00250FA5">
        <w:rPr>
          <w:rFonts w:ascii="Times New Roman" w:eastAsia="Calibri" w:hAnsi="Times New Roman" w:cs="Times New Roman"/>
        </w:rPr>
        <w:t>NCCN</w:t>
      </w:r>
      <w:r w:rsidRPr="00250FA5">
        <w:rPr>
          <w:rFonts w:ascii="Times New Roman" w:eastAsia="Times New Roman" w:hAnsi="Times New Roman" w:cs="Times New Roman"/>
          <w:szCs w:val="20"/>
          <w:lang w:eastAsia="en-AU"/>
        </w:rPr>
        <w:t>®</w:t>
      </w:r>
      <w:r w:rsidRPr="00250FA5">
        <w:rPr>
          <w:rFonts w:ascii="Times New Roman" w:eastAsia="Calibri" w:hAnsi="Times New Roman" w:cs="Times New Roman"/>
        </w:rPr>
        <w:t xml:space="preserve"> guidelines</w:t>
      </w:r>
      <w:r w:rsidRPr="00A2043B">
        <w:rPr>
          <w:rFonts w:ascii="Times New Roman" w:eastAsia="Calibri" w:hAnsi="Times New Roman" w:cs="Times New Roman"/>
        </w:rPr>
        <w:t xml:space="preserve"> (Version 3.2021, p116) </w:t>
      </w:r>
      <w:r w:rsidRPr="00250FA5">
        <w:rPr>
          <w:rFonts w:ascii="Times New Roman" w:eastAsia="Calibri" w:hAnsi="Times New Roman" w:cs="Times New Roman"/>
        </w:rPr>
        <w:t>as “Category 1” (uniform consensus that this intervention is appropriate).</w:t>
      </w:r>
    </w:p>
    <w:p w14:paraId="2ECD4E70" w14:textId="71A796F3" w:rsidR="00250FA5" w:rsidRPr="008431D6" w:rsidRDefault="00250FA5" w:rsidP="005702F6">
      <w:pPr>
        <w:spacing w:before="240" w:after="240"/>
        <w:jc w:val="left"/>
        <w:rPr>
          <w:rFonts w:ascii="Times New Roman" w:eastAsia="Calibri" w:hAnsi="Times New Roman" w:cs="Times New Roman"/>
        </w:rPr>
      </w:pPr>
      <w:r w:rsidRPr="00250FA5">
        <w:rPr>
          <w:rFonts w:ascii="Times New Roman" w:eastAsia="Calibri" w:hAnsi="Times New Roman" w:cs="Times New Roman"/>
        </w:rPr>
        <w:t>The pre-ESC response further clarified that whilst the NCCN guidelines “recommend first-line pembrolizumab plus chemotherapy regardless of PD-L1”, this recommendation is</w:t>
      </w:r>
      <w:r w:rsidRPr="00250FA5">
        <w:rPr>
          <w:rFonts w:ascii="Times New Roman" w:eastAsia="Times New Roman" w:hAnsi="Times New Roman" w:cs="Times New Roman"/>
          <w:szCs w:val="20"/>
          <w:lang w:eastAsia="en-AU"/>
        </w:rPr>
        <w:t xml:space="preserve"> </w:t>
      </w:r>
      <w:r w:rsidRPr="00250FA5">
        <w:rPr>
          <w:rFonts w:ascii="Times New Roman" w:eastAsia="Calibri" w:hAnsi="Times New Roman" w:cs="Times New Roman"/>
        </w:rPr>
        <w:t>relevant for the USA where the FDA recommended pembrolizumab + chemotherapy for allcomers based on KN048 interim analysis 2, rather than the final analysis, which was reviewed by the TGA and EMA and resulted in the approval of pembrolizumab + chemotherapy for CPS</w:t>
      </w:r>
      <w:r w:rsidR="008431D6">
        <w:rPr>
          <w:rFonts w:ascii="Times New Roman" w:eastAsia="Calibri" w:hAnsi="Times New Roman" w:cs="Times New Roman"/>
        </w:rPr>
        <w:t xml:space="preserve"> </w:t>
      </w:r>
      <w:r w:rsidRPr="00250FA5">
        <w:rPr>
          <w:rFonts w:ascii="Times New Roman" w:eastAsia="Calibri" w:hAnsi="Times New Roman" w:cs="Times New Roman"/>
        </w:rPr>
        <w:t>≥1.</w:t>
      </w:r>
    </w:p>
    <w:p w14:paraId="1546E8B8" w14:textId="40EECA86"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clinical claims made by the resubmission were similar to the previous submission with the exception that the safety claim for pembrolizumab plus chemotherapy has changed from similar in safety to chemotherapy to a claim of inferiority</w:t>
      </w:r>
      <w:r w:rsidR="008431D6">
        <w:rPr>
          <w:rFonts w:ascii="Times New Roman" w:eastAsia="Calibri" w:hAnsi="Times New Roman" w:cs="Times New Roman"/>
        </w:rPr>
        <w:t>.</w:t>
      </w:r>
    </w:p>
    <w:p w14:paraId="5C5AA000" w14:textId="77777777" w:rsidR="00250FA5" w:rsidRPr="00250FA5" w:rsidRDefault="00250FA5" w:rsidP="008431D6">
      <w:pPr>
        <w:keepNext/>
        <w:keepLines/>
        <w:spacing w:before="200" w:after="120"/>
        <w:jc w:val="left"/>
        <w:outlineLvl w:val="1"/>
        <w:rPr>
          <w:rFonts w:ascii="Times New Roman" w:eastAsia="Times New Roman" w:hAnsi="Times New Roman" w:cs="Times New Roman"/>
          <w:i/>
          <w:szCs w:val="26"/>
          <w:lang w:eastAsia="en-AU"/>
        </w:rPr>
      </w:pPr>
      <w:proofErr w:type="spellStart"/>
      <w:r w:rsidRPr="00250FA5">
        <w:rPr>
          <w:rFonts w:ascii="Times New Roman" w:eastAsia="Times New Roman" w:hAnsi="Times New Roman" w:cs="Times New Roman"/>
          <w:i/>
          <w:szCs w:val="26"/>
          <w:lang w:eastAsia="en-AU"/>
        </w:rPr>
        <w:t>Intratumoural</w:t>
      </w:r>
      <w:proofErr w:type="spellEnd"/>
      <w:r w:rsidRPr="00250FA5">
        <w:rPr>
          <w:rFonts w:ascii="Times New Roman" w:eastAsia="Times New Roman" w:hAnsi="Times New Roman" w:cs="Times New Roman"/>
          <w:i/>
          <w:szCs w:val="26"/>
          <w:lang w:eastAsia="en-AU"/>
        </w:rPr>
        <w:t xml:space="preserve"> concordance</w:t>
      </w:r>
    </w:p>
    <w:p w14:paraId="26187374" w14:textId="6DC0C87F" w:rsid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Three new studies that investigated the 22C3 antibody in PD-L1 testing and </w:t>
      </w:r>
      <w:proofErr w:type="spellStart"/>
      <w:r w:rsidRPr="00250FA5">
        <w:rPr>
          <w:rFonts w:ascii="Times New Roman" w:eastAsia="Calibri" w:hAnsi="Times New Roman" w:cs="Times New Roman"/>
        </w:rPr>
        <w:t>intratumoural</w:t>
      </w:r>
      <w:proofErr w:type="spellEnd"/>
      <w:r w:rsidRPr="00250FA5">
        <w:rPr>
          <w:rFonts w:ascii="Times New Roman" w:eastAsia="Calibri" w:hAnsi="Times New Roman" w:cs="Times New Roman"/>
        </w:rPr>
        <w:t xml:space="preserve"> </w:t>
      </w:r>
      <w:bookmarkStart w:id="15" w:name="_Hlk83888214"/>
      <w:r w:rsidRPr="00250FA5">
        <w:rPr>
          <w:rFonts w:ascii="Times New Roman" w:eastAsia="Calibri" w:hAnsi="Times New Roman" w:cs="Times New Roman"/>
        </w:rPr>
        <w:t>concordance were presented in the resubmission (</w:t>
      </w:r>
      <w:proofErr w:type="spellStart"/>
      <w:r w:rsidRPr="00250FA5">
        <w:rPr>
          <w:rFonts w:ascii="Times New Roman" w:eastAsia="Calibri" w:hAnsi="Times New Roman" w:cs="Times New Roman"/>
        </w:rPr>
        <w:t>Tzoraleftheraki</w:t>
      </w:r>
      <w:proofErr w:type="spellEnd"/>
      <w:r w:rsidRPr="00250FA5">
        <w:rPr>
          <w:rFonts w:ascii="Times New Roman" w:eastAsia="Calibri" w:hAnsi="Times New Roman" w:cs="Times New Roman"/>
        </w:rPr>
        <w:t xml:space="preserve"> 2020, </w:t>
      </w:r>
      <w:proofErr w:type="spellStart"/>
      <w:r w:rsidRPr="00250FA5">
        <w:rPr>
          <w:rFonts w:ascii="Times New Roman" w:eastAsia="Calibri" w:hAnsi="Times New Roman" w:cs="Times New Roman"/>
        </w:rPr>
        <w:t>Kalpakoff</w:t>
      </w:r>
      <w:proofErr w:type="spellEnd"/>
      <w:r w:rsidRPr="00250FA5">
        <w:rPr>
          <w:rFonts w:ascii="Times New Roman" w:eastAsia="Calibri" w:hAnsi="Times New Roman" w:cs="Times New Roman"/>
        </w:rPr>
        <w:t xml:space="preserve"> 2021 and De Ruiter 2020). </w:t>
      </w:r>
      <w:proofErr w:type="spellStart"/>
      <w:r w:rsidRPr="00250FA5">
        <w:rPr>
          <w:rFonts w:ascii="Times New Roman" w:eastAsia="Calibri" w:hAnsi="Times New Roman" w:cs="Times New Roman"/>
        </w:rPr>
        <w:t>Tzoraleftheraki</w:t>
      </w:r>
      <w:proofErr w:type="spellEnd"/>
      <w:r w:rsidRPr="00250FA5">
        <w:rPr>
          <w:rFonts w:ascii="Times New Roman" w:eastAsia="Calibri" w:hAnsi="Times New Roman" w:cs="Times New Roman"/>
        </w:rPr>
        <w:t xml:space="preserve"> 2020 demonstrated a low level of heterogeneity (9.6%) when assessing the rate of PD-L1 positivity across tumour cores and margins in 228 samples. While de Ruiter 2020 showed moderate to good </w:t>
      </w:r>
      <w:proofErr w:type="spellStart"/>
      <w:r w:rsidRPr="00250FA5">
        <w:rPr>
          <w:rFonts w:ascii="Times New Roman" w:eastAsia="Calibri" w:hAnsi="Times New Roman" w:cs="Times New Roman"/>
        </w:rPr>
        <w:t>intratumoural</w:t>
      </w:r>
      <w:proofErr w:type="spellEnd"/>
      <w:r w:rsidRPr="00250FA5">
        <w:rPr>
          <w:rFonts w:ascii="Times New Roman" w:eastAsia="Calibri" w:hAnsi="Times New Roman" w:cs="Times New Roman"/>
        </w:rPr>
        <w:t xml:space="preserve"> concordance for the 22C3 </w:t>
      </w:r>
      <w:proofErr w:type="spellStart"/>
      <w:r w:rsidRPr="00250FA5">
        <w:rPr>
          <w:rFonts w:ascii="Times New Roman" w:eastAsia="Calibri" w:hAnsi="Times New Roman" w:cs="Times New Roman"/>
        </w:rPr>
        <w:t>pharmDx</w:t>
      </w:r>
      <w:proofErr w:type="spellEnd"/>
      <w:r w:rsidRPr="00250FA5">
        <w:rPr>
          <w:rFonts w:ascii="Times New Roman" w:eastAsia="Calibri" w:hAnsi="Times New Roman" w:cs="Times New Roman"/>
        </w:rPr>
        <w:t xml:space="preserve"> assay and the 22C3 laboratory developed test (LDT) across 147 head and neck tumour specimens, the LDT protocol was developed using the SP263 assay rather than the 22C3 assay, and hence the resubmission (p 171) stated that the LDT was more concordant with the SP263 assay rather than 22C3 assay. </w:t>
      </w:r>
      <w:r w:rsidR="00B82316">
        <w:rPr>
          <w:rFonts w:ascii="Times New Roman" w:eastAsia="Calibri" w:hAnsi="Times New Roman" w:cs="Times New Roman"/>
        </w:rPr>
        <w:t>T</w:t>
      </w:r>
      <w:r w:rsidRPr="00250FA5">
        <w:rPr>
          <w:rFonts w:ascii="Times New Roman" w:eastAsia="Calibri" w:hAnsi="Times New Roman" w:cs="Times New Roman"/>
        </w:rPr>
        <w:t xml:space="preserve">he resubmission suggested that an alternative LDT as used in Vainer 2019, which used a 22C3 LDT on the </w:t>
      </w:r>
      <w:proofErr w:type="spellStart"/>
      <w:r w:rsidRPr="00250FA5">
        <w:rPr>
          <w:rFonts w:ascii="Times New Roman" w:eastAsia="Calibri" w:hAnsi="Times New Roman" w:cs="Times New Roman"/>
        </w:rPr>
        <w:t>BenchMark</w:t>
      </w:r>
      <w:proofErr w:type="spellEnd"/>
      <w:r w:rsidRPr="00250FA5">
        <w:rPr>
          <w:rFonts w:ascii="Times New Roman" w:eastAsia="Calibri" w:hAnsi="Times New Roman" w:cs="Times New Roman"/>
        </w:rPr>
        <w:t xml:space="preserve"> XT platform and whole slides, should be used in Australia therefore the concordance from de Ruiter 2020 was not considered applicable to the current resubmission. </w:t>
      </w:r>
      <w:proofErr w:type="spellStart"/>
      <w:r w:rsidRPr="00250FA5">
        <w:rPr>
          <w:rFonts w:ascii="Times New Roman" w:eastAsia="Calibri" w:hAnsi="Times New Roman" w:cs="Times New Roman"/>
        </w:rPr>
        <w:t>Kalpakoff</w:t>
      </w:r>
      <w:proofErr w:type="spellEnd"/>
      <w:r w:rsidRPr="00250FA5">
        <w:rPr>
          <w:rFonts w:ascii="Times New Roman" w:eastAsia="Calibri" w:hAnsi="Times New Roman" w:cs="Times New Roman"/>
        </w:rPr>
        <w:t xml:space="preserve"> 2021 showed high overall agreement in terms of intra-block and intra-case concordance with overall agreements of 97.1% and 100% respectively, though there was a lower concordance between primary and metastatic tissues (88.9%). The resubmission (p186) concluded that based on the available evidence, there is a low to moderate level of </w:t>
      </w:r>
      <w:proofErr w:type="spellStart"/>
      <w:r w:rsidRPr="00250FA5">
        <w:rPr>
          <w:rFonts w:ascii="Times New Roman" w:eastAsia="Calibri" w:hAnsi="Times New Roman" w:cs="Times New Roman"/>
        </w:rPr>
        <w:t>intratumour</w:t>
      </w:r>
      <w:proofErr w:type="spellEnd"/>
      <w:r w:rsidRPr="00250FA5">
        <w:rPr>
          <w:rFonts w:ascii="Times New Roman" w:eastAsia="Calibri" w:hAnsi="Times New Roman" w:cs="Times New Roman"/>
        </w:rPr>
        <w:t xml:space="preserve"> heterogeneity using the 22C3 antibody.</w:t>
      </w:r>
      <w:bookmarkEnd w:id="15"/>
    </w:p>
    <w:p w14:paraId="435CD9C8" w14:textId="5C1BAE3D" w:rsidR="00093270" w:rsidRDefault="00DF2BC1" w:rsidP="00093270">
      <w:pPr>
        <w:spacing w:before="0" w:after="240"/>
        <w:jc w:val="left"/>
        <w:rPr>
          <w:rFonts w:ascii="Times New Roman" w:eastAsia="Calibri" w:hAnsi="Times New Roman" w:cs="Times New Roman"/>
        </w:rPr>
      </w:pPr>
      <w:bookmarkStart w:id="16" w:name="_Hlk90023581"/>
      <w:r>
        <w:rPr>
          <w:rFonts w:ascii="Times New Roman" w:eastAsia="Calibri" w:hAnsi="Times New Roman" w:cs="Times New Roman"/>
        </w:rPr>
        <w:t xml:space="preserve">Rasmussen 2019 </w:t>
      </w:r>
      <w:bookmarkEnd w:id="16"/>
      <w:r>
        <w:rPr>
          <w:rFonts w:ascii="Times New Roman" w:eastAsia="Calibri" w:hAnsi="Times New Roman" w:cs="Times New Roman"/>
        </w:rPr>
        <w:t xml:space="preserve">was presented in the previous submission and examined </w:t>
      </w:r>
      <w:r w:rsidRPr="00DF2BC1">
        <w:rPr>
          <w:rFonts w:ascii="Times New Roman" w:eastAsia="Calibri" w:hAnsi="Times New Roman" w:cs="Times New Roman"/>
        </w:rPr>
        <w:t>intratumor heterogeneity of PD-L1 expression in HNSCC</w:t>
      </w:r>
      <w:r>
        <w:rPr>
          <w:rFonts w:ascii="Times New Roman" w:eastAsia="Calibri" w:hAnsi="Times New Roman" w:cs="Times New Roman"/>
        </w:rPr>
        <w:t>. The study used 33</w:t>
      </w:r>
      <w:r w:rsidRPr="00DF2BC1">
        <w:rPr>
          <w:rFonts w:ascii="Times New Roman" w:eastAsia="Calibri" w:hAnsi="Times New Roman" w:cs="Times New Roman"/>
        </w:rPr>
        <w:t xml:space="preserve"> whole surgical specimens from 28 patients with HNSCC</w:t>
      </w:r>
      <w:r>
        <w:rPr>
          <w:rFonts w:ascii="Times New Roman" w:eastAsia="Calibri" w:hAnsi="Times New Roman" w:cs="Times New Roman"/>
        </w:rPr>
        <w:t xml:space="preserve">. </w:t>
      </w:r>
      <w:r w:rsidR="004F186B">
        <w:rPr>
          <w:rFonts w:ascii="Times New Roman" w:eastAsia="Calibri" w:hAnsi="Times New Roman" w:cs="Times New Roman"/>
        </w:rPr>
        <w:t xml:space="preserve">Concordance of </w:t>
      </w:r>
      <w:r w:rsidR="004F186B" w:rsidRPr="00DF2BC1">
        <w:rPr>
          <w:rFonts w:ascii="Times New Roman" w:eastAsia="Calibri" w:hAnsi="Times New Roman" w:cs="Times New Roman"/>
        </w:rPr>
        <w:t>PD-L1 expression</w:t>
      </w:r>
      <w:r w:rsidR="004F186B">
        <w:rPr>
          <w:rFonts w:ascii="Times New Roman" w:eastAsia="Calibri" w:hAnsi="Times New Roman" w:cs="Times New Roman"/>
        </w:rPr>
        <w:t xml:space="preserve"> was assessed </w:t>
      </w:r>
      <w:r w:rsidRPr="00DF2BC1">
        <w:rPr>
          <w:rFonts w:ascii="Times New Roman" w:eastAsia="Calibri" w:hAnsi="Times New Roman" w:cs="Times New Roman"/>
        </w:rPr>
        <w:t xml:space="preserve">in six random core biopsies from each surgical specimen </w:t>
      </w:r>
      <w:r w:rsidR="004F186B" w:rsidRPr="00DF2BC1">
        <w:rPr>
          <w:rFonts w:ascii="Times New Roman" w:eastAsia="Calibri" w:hAnsi="Times New Roman" w:cs="Times New Roman"/>
        </w:rPr>
        <w:t>using plat</w:t>
      </w:r>
      <w:r w:rsidR="00E62D87" w:rsidRPr="00E62D87">
        <w:rPr>
          <w:rFonts w:ascii="Times New Roman" w:eastAsia="Calibri" w:hAnsi="Times New Roman" w:cs="Times New Roman"/>
        </w:rPr>
        <w:t xml:space="preserve"> </w:t>
      </w:r>
      <w:r w:rsidR="00E62D87" w:rsidRPr="00DF2BC1">
        <w:rPr>
          <w:rFonts w:ascii="Times New Roman" w:eastAsia="Calibri" w:hAnsi="Times New Roman" w:cs="Times New Roman"/>
        </w:rPr>
        <w:t xml:space="preserve">form </w:t>
      </w:r>
      <w:proofErr w:type="spellStart"/>
      <w:r w:rsidR="00E62D87" w:rsidRPr="00DF2BC1">
        <w:rPr>
          <w:rFonts w:ascii="Times New Roman" w:eastAsia="Calibri" w:hAnsi="Times New Roman" w:cs="Times New Roman"/>
        </w:rPr>
        <w:t>Autostainer</w:t>
      </w:r>
      <w:proofErr w:type="spellEnd"/>
      <w:r w:rsidR="00E62D87" w:rsidRPr="00DF2BC1">
        <w:rPr>
          <w:rFonts w:ascii="Times New Roman" w:eastAsia="Calibri" w:hAnsi="Times New Roman" w:cs="Times New Roman"/>
        </w:rPr>
        <w:t xml:space="preserve"> Link 48</w:t>
      </w:r>
      <w:r w:rsidR="00E62D87">
        <w:rPr>
          <w:rFonts w:ascii="Times New Roman" w:eastAsia="Calibri" w:hAnsi="Times New Roman" w:cs="Times New Roman"/>
        </w:rPr>
        <w:t xml:space="preserve"> and the </w:t>
      </w:r>
      <w:r w:rsidR="00E62D87" w:rsidRPr="00DF2BC1">
        <w:rPr>
          <w:rFonts w:ascii="Times New Roman" w:eastAsia="Calibri" w:hAnsi="Times New Roman" w:cs="Times New Roman"/>
        </w:rPr>
        <w:t>28-</w:t>
      </w:r>
      <w:r w:rsidR="00E62D87">
        <w:rPr>
          <w:rFonts w:ascii="Times New Roman" w:eastAsia="Calibri" w:hAnsi="Times New Roman" w:cs="Times New Roman"/>
        </w:rPr>
        <w:t xml:space="preserve">8 antibody. </w:t>
      </w:r>
      <w:r w:rsidR="00E62D87" w:rsidRPr="004F186B">
        <w:rPr>
          <w:rFonts w:ascii="Times New Roman" w:eastAsia="Calibri" w:hAnsi="Times New Roman" w:cs="Times New Roman"/>
        </w:rPr>
        <w:t>Rasmussen 2019</w:t>
      </w:r>
      <w:r w:rsidR="00E62D87">
        <w:rPr>
          <w:rFonts w:ascii="Times New Roman" w:eastAsia="Calibri" w:hAnsi="Times New Roman" w:cs="Times New Roman"/>
        </w:rPr>
        <w:t xml:space="preserve"> reported that no lesions were true negative with a CPS threshold of 1 </w:t>
      </w:r>
      <w:r w:rsidR="00E62D87" w:rsidRPr="008C1B83">
        <w:rPr>
          <w:rFonts w:ascii="Times New Roman" w:eastAsia="Calibri" w:hAnsi="Times New Roman" w:cs="Times New Roman"/>
        </w:rPr>
        <w:t>(</w:t>
      </w:r>
      <w:r w:rsidR="00E62D87" w:rsidRPr="008C1B83">
        <w:rPr>
          <w:rFonts w:ascii="Times New Roman" w:eastAsia="Calibri" w:hAnsi="Times New Roman" w:cs="Times New Roman"/>
        </w:rPr>
        <w:fldChar w:fldCharType="begin"/>
      </w:r>
      <w:r w:rsidR="00E62D87" w:rsidRPr="008C1B83">
        <w:rPr>
          <w:rFonts w:ascii="Times New Roman" w:eastAsia="Calibri" w:hAnsi="Times New Roman" w:cs="Times New Roman"/>
        </w:rPr>
        <w:instrText xml:space="preserve"> REF _Ref90024459 \h </w:instrText>
      </w:r>
      <w:r w:rsidR="00E62D87">
        <w:rPr>
          <w:rFonts w:ascii="Times New Roman" w:eastAsia="Calibri" w:hAnsi="Times New Roman" w:cs="Times New Roman"/>
        </w:rPr>
        <w:instrText xml:space="preserve"> \* MERGEFORMAT </w:instrText>
      </w:r>
      <w:r w:rsidR="00E62D87" w:rsidRPr="008C1B83">
        <w:rPr>
          <w:rFonts w:ascii="Times New Roman" w:eastAsia="Calibri" w:hAnsi="Times New Roman" w:cs="Times New Roman"/>
        </w:rPr>
      </w:r>
      <w:r w:rsidR="00E62D87" w:rsidRPr="008C1B83">
        <w:rPr>
          <w:rFonts w:ascii="Times New Roman" w:eastAsia="Calibri" w:hAnsi="Times New Roman" w:cs="Times New Roman"/>
        </w:rPr>
        <w:fldChar w:fldCharType="separate"/>
      </w:r>
      <w:r w:rsidR="00E62D87" w:rsidRPr="008C1B83">
        <w:rPr>
          <w:rFonts w:ascii="Times New Roman" w:hAnsi="Times New Roman" w:cs="Times New Roman"/>
        </w:rPr>
        <w:t xml:space="preserve">Figure </w:t>
      </w:r>
      <w:r w:rsidR="00E62D87" w:rsidRPr="008C1B83">
        <w:rPr>
          <w:rFonts w:ascii="Times New Roman" w:hAnsi="Times New Roman" w:cs="Times New Roman"/>
          <w:noProof/>
        </w:rPr>
        <w:t>7</w:t>
      </w:r>
      <w:r w:rsidR="00E62D87" w:rsidRPr="008C1B83">
        <w:rPr>
          <w:rFonts w:ascii="Times New Roman" w:eastAsia="Calibri" w:hAnsi="Times New Roman" w:cs="Times New Roman"/>
        </w:rPr>
        <w:fldChar w:fldCharType="end"/>
      </w:r>
      <w:r w:rsidR="00E62D87" w:rsidRPr="008C1B83">
        <w:rPr>
          <w:rFonts w:ascii="Times New Roman" w:eastAsia="Calibri" w:hAnsi="Times New Roman" w:cs="Times New Roman"/>
        </w:rPr>
        <w:t>)</w:t>
      </w:r>
      <w:r w:rsidR="00E62D87">
        <w:rPr>
          <w:rFonts w:ascii="Times New Roman" w:eastAsia="Calibri" w:hAnsi="Times New Roman" w:cs="Times New Roman"/>
        </w:rPr>
        <w:t>.</w:t>
      </w:r>
      <w:r w:rsidR="00093270">
        <w:rPr>
          <w:rFonts w:ascii="Times New Roman" w:eastAsia="Calibri" w:hAnsi="Times New Roman" w:cs="Times New Roman"/>
        </w:rPr>
        <w:br w:type="page"/>
      </w:r>
    </w:p>
    <w:p w14:paraId="63381106" w14:textId="11E05523" w:rsidR="00E62D87" w:rsidRDefault="00E62D87" w:rsidP="00DF2BC1">
      <w:pPr>
        <w:spacing w:before="0" w:after="240"/>
        <w:jc w:val="left"/>
        <w:rPr>
          <w:rFonts w:ascii="Times New Roman" w:eastAsia="Calibri" w:hAnsi="Times New Roman" w:cs="Times New Roman"/>
        </w:rPr>
      </w:pPr>
      <w:r>
        <w:rPr>
          <w:rFonts w:ascii="Times New Roman" w:eastAsia="Calibri" w:hAnsi="Times New Roman" w:cs="Times New Roman"/>
          <w:noProof/>
        </w:rPr>
        <w:drawing>
          <wp:inline distT="0" distB="0" distL="0" distR="0" wp14:anchorId="228B7B0C" wp14:editId="025E3265">
            <wp:extent cx="4048125" cy="3276600"/>
            <wp:effectExtent l="0" t="0" r="9525" b="0"/>
            <wp:docPr id="5" name="Picture 5" descr="Graph of PD-L1 expression with combined positive score (C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 of PD-L1 expression with combined positive score (CPS)"/>
                    <pic:cNvPicPr/>
                  </pic:nvPicPr>
                  <pic:blipFill>
                    <a:blip r:embed="rId18">
                      <a:extLst>
                        <a:ext uri="{28A0092B-C50C-407E-A947-70E740481C1C}">
                          <a14:useLocalDpi xmlns:a14="http://schemas.microsoft.com/office/drawing/2010/main" val="0"/>
                        </a:ext>
                      </a:extLst>
                    </a:blip>
                    <a:stretch>
                      <a:fillRect/>
                    </a:stretch>
                  </pic:blipFill>
                  <pic:spPr>
                    <a:xfrm>
                      <a:off x="0" y="0"/>
                      <a:ext cx="4048125" cy="3276600"/>
                    </a:xfrm>
                    <a:prstGeom prst="rect">
                      <a:avLst/>
                    </a:prstGeom>
                  </pic:spPr>
                </pic:pic>
              </a:graphicData>
            </a:graphic>
          </wp:inline>
        </w:drawing>
      </w:r>
    </w:p>
    <w:p w14:paraId="4A011B1B" w14:textId="0E20A4FA" w:rsidR="002E78A4" w:rsidRDefault="00093270" w:rsidP="002E78A4">
      <w:pPr>
        <w:keepNext/>
        <w:keepLines/>
        <w:spacing w:before="240" w:after="120"/>
        <w:jc w:val="left"/>
        <w:outlineLvl w:val="1"/>
        <w:rPr>
          <w:rFonts w:ascii="Times New Roman" w:eastAsia="Times New Roman" w:hAnsi="Times New Roman" w:cs="Times New Roman"/>
          <w:i/>
          <w:szCs w:val="26"/>
          <w:lang w:eastAsia="en-AU"/>
        </w:rPr>
      </w:pPr>
      <w:r>
        <w:rPr>
          <w:noProof/>
        </w:rPr>
        <mc:AlternateContent>
          <mc:Choice Requires="wps">
            <w:drawing>
              <wp:inline distT="0" distB="0" distL="0" distR="0" wp14:anchorId="1565B695" wp14:editId="7A1A2899">
                <wp:extent cx="5705475" cy="447675"/>
                <wp:effectExtent l="0" t="0" r="9525" b="9525"/>
                <wp:docPr id="9" name="Text Box 9"/>
                <wp:cNvGraphicFramePr/>
                <a:graphic xmlns:a="http://schemas.openxmlformats.org/drawingml/2006/main">
                  <a:graphicData uri="http://schemas.microsoft.com/office/word/2010/wordprocessingShape">
                    <wps:wsp>
                      <wps:cNvSpPr txBox="1"/>
                      <wps:spPr>
                        <a:xfrm>
                          <a:off x="0" y="0"/>
                          <a:ext cx="5705475" cy="447675"/>
                        </a:xfrm>
                        <a:prstGeom prst="rect">
                          <a:avLst/>
                        </a:prstGeom>
                        <a:solidFill>
                          <a:prstClr val="white"/>
                        </a:solidFill>
                        <a:ln>
                          <a:noFill/>
                        </a:ln>
                      </wps:spPr>
                      <wps:txbx>
                        <w:txbxContent>
                          <w:p w14:paraId="5FC8083E" w14:textId="77777777" w:rsidR="0005387F" w:rsidRDefault="0005387F" w:rsidP="00093270">
                            <w:pPr>
                              <w:pStyle w:val="Caption"/>
                            </w:pPr>
                            <w:bookmarkStart w:id="17" w:name="_Ref90024459"/>
                            <w:r>
                              <w:t xml:space="preserve">Figure </w:t>
                            </w:r>
                            <w:r>
                              <w:fldChar w:fldCharType="begin"/>
                            </w:r>
                            <w:r>
                              <w:instrText>SEQ Figure \* ARABIC</w:instrText>
                            </w:r>
                            <w:r>
                              <w:fldChar w:fldCharType="separate"/>
                            </w:r>
                            <w:r>
                              <w:rPr>
                                <w:noProof/>
                              </w:rPr>
                              <w:t>7</w:t>
                            </w:r>
                            <w:r>
                              <w:fldChar w:fldCharType="end"/>
                            </w:r>
                            <w:bookmarkEnd w:id="17"/>
                            <w:r w:rsidRPr="00250FA5">
                              <w:rPr>
                                <w:rFonts w:eastAsia="Calibri" w:cs="Times New Roman"/>
                                <w:noProof/>
                              </w:rPr>
                              <w:tab/>
                            </w:r>
                            <w:r>
                              <w:t>PD-L1 expression with combined positive score (CPS)</w:t>
                            </w:r>
                          </w:p>
                          <w:p w14:paraId="17F12BD6" w14:textId="77777777" w:rsidR="0005387F" w:rsidRDefault="0005387F" w:rsidP="00093270">
                            <w:pPr>
                              <w:pStyle w:val="Caption"/>
                              <w:rPr>
                                <w:b w:val="0"/>
                                <w:bCs/>
                              </w:rPr>
                            </w:pPr>
                            <w:r w:rsidRPr="00530E8C">
                              <w:rPr>
                                <w:b w:val="0"/>
                                <w:bCs/>
                              </w:rPr>
                              <w:t>Note: The y-axis depicts the PD-L1 score from 100%. The x-axis depicts the 33 lesions ranked by mean</w:t>
                            </w:r>
                            <w:r>
                              <w:rPr>
                                <w:b w:val="0"/>
                                <w:bCs/>
                              </w:rPr>
                              <w:t xml:space="preserve"> </w:t>
                            </w:r>
                            <w:r w:rsidRPr="00530E8C">
                              <w:rPr>
                                <w:b w:val="0"/>
                                <w:bCs/>
                              </w:rPr>
                              <w:t>PD-L1 score.</w:t>
                            </w:r>
                          </w:p>
                          <w:p w14:paraId="1A2B6725" w14:textId="77777777" w:rsidR="0005387F" w:rsidRPr="00530E8C" w:rsidRDefault="0005387F" w:rsidP="00093270">
                            <w:pPr>
                              <w:pStyle w:val="Caption"/>
                              <w:spacing w:after="240"/>
                              <w:ind w:left="992" w:hanging="992"/>
                              <w:rPr>
                                <w:b w:val="0"/>
                                <w:bCs/>
                              </w:rPr>
                            </w:pPr>
                            <w:r w:rsidRPr="00530E8C">
                              <w:rPr>
                                <w:b w:val="0"/>
                                <w:bCs/>
                              </w:rPr>
                              <w:t>Source: Figure 2b, Rasmussen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4D8F059D">
              <v:shapetype id="_x0000_t202" coordsize="21600,21600" o:spt="202" path="m,l,21600r21600,l21600,xe" w14:anchorId="1565B695">
                <v:stroke joinstyle="miter"/>
                <v:path gradientshapeok="t" o:connecttype="rect"/>
              </v:shapetype>
              <v:shape id="Text Box 9" style="width:449.25pt;height:35.25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">
                <v:textbox inset="0,0,0,0">
                  <w:txbxContent>
                    <w:p w:rsidR="0005387F" w:rsidP="00093270" w:rsidRDefault="0005387F" w14:paraId="4B7CBEA1" w14:textId="77777777">
                      <w:pPr>
                        <w:pStyle w:val="Caption"/>
                      </w:pPr>
                      <w:r>
                        <w:t xml:space="preserve">Figure </w:t>
                      </w:r>
                      <w:r>
                        <w:fldChar w:fldCharType="begin"/>
                      </w:r>
                      <w:r>
                        <w:instrText> SEQ Figure \* ARABIC </w:instrText>
                      </w:r>
                      <w:r>
                        <w:fldChar w:fldCharType="separate"/>
                      </w:r>
                      <w:r>
                        <w:rPr>
                          <w:noProof/>
                        </w:rPr>
                        <w:t>7</w:t>
                      </w:r>
                      <w:r>
                        <w:fldChar w:fldCharType="end"/>
                      </w:r>
                      <w:r w:rsidRPr="00250FA5">
                        <w:rPr>
                          <w:rFonts w:eastAsia="Calibri" w:cs="Times New Roman"/>
                          <w:noProof/>
                        </w:rPr>
                        <w:tab/>
                      </w:r>
                      <w:r>
                        <w:t>PD-L1 expression with combined positive score (CPS)</w:t>
                      </w:r>
                    </w:p>
                    <w:p w:rsidR="0005387F" w:rsidP="00093270" w:rsidRDefault="0005387F" w14:paraId="035D3182" w14:textId="77777777">
                      <w:pPr>
                        <w:pStyle w:val="Caption"/>
                        <w:rPr>
                          <w:b w:val="0"/>
                          <w:bCs/>
                        </w:rPr>
                      </w:pPr>
                      <w:r w:rsidRPr="00530E8C">
                        <w:rPr>
                          <w:b w:val="0"/>
                          <w:bCs/>
                        </w:rPr>
                        <w:t>Note: The y-axis depicts the PD-L1 score from 100%. The x-axis depicts the 33 lesions ranked by mean</w:t>
                      </w:r>
                      <w:r>
                        <w:rPr>
                          <w:b w:val="0"/>
                          <w:bCs/>
                        </w:rPr>
                        <w:t xml:space="preserve"> </w:t>
                      </w:r>
                      <w:r w:rsidRPr="00530E8C">
                        <w:rPr>
                          <w:b w:val="0"/>
                          <w:bCs/>
                        </w:rPr>
                        <w:t>PD-L1 score.</w:t>
                      </w:r>
                    </w:p>
                    <w:p w:rsidRPr="00530E8C" w:rsidR="0005387F" w:rsidP="00093270" w:rsidRDefault="0005387F" w14:paraId="56D7B085" w14:textId="77777777">
                      <w:pPr>
                        <w:pStyle w:val="Caption"/>
                        <w:spacing w:after="240"/>
                        <w:ind w:left="992" w:hanging="992"/>
                        <w:rPr>
                          <w:b w:val="0"/>
                          <w:bCs/>
                        </w:rPr>
                      </w:pPr>
                      <w:r w:rsidRPr="00530E8C">
                        <w:rPr>
                          <w:b w:val="0"/>
                          <w:bCs/>
                        </w:rPr>
                        <w:t>Source: Figure 2b, Rasmussen 2019</w:t>
                      </w:r>
                    </w:p>
                  </w:txbxContent>
                </v:textbox>
                <w10:anchorlock/>
              </v:shape>
            </w:pict>
          </mc:Fallback>
        </mc:AlternateContent>
      </w:r>
    </w:p>
    <w:p w14:paraId="1312030F" w14:textId="1041DE7D" w:rsidR="00250FA5" w:rsidRPr="00250FA5" w:rsidRDefault="00250FA5" w:rsidP="002E78A4">
      <w:pPr>
        <w:keepNext/>
        <w:keepLines/>
        <w:spacing w:before="240" w:after="120"/>
        <w:jc w:val="left"/>
        <w:outlineLvl w:val="1"/>
        <w:rPr>
          <w:rFonts w:ascii="Times New Roman" w:eastAsia="Times New Roman" w:hAnsi="Times New Roman" w:cs="Times New Roman"/>
          <w:i/>
          <w:szCs w:val="26"/>
          <w:lang w:eastAsia="en-AU"/>
        </w:rPr>
      </w:pPr>
      <w:r w:rsidRPr="00250FA5">
        <w:rPr>
          <w:rFonts w:ascii="Times New Roman" w:eastAsia="Times New Roman" w:hAnsi="Times New Roman" w:cs="Times New Roman"/>
          <w:i/>
          <w:szCs w:val="26"/>
          <w:lang w:eastAsia="en-AU"/>
        </w:rPr>
        <w:t>Histology versus cytology</w:t>
      </w:r>
    </w:p>
    <w:p w14:paraId="29B79CD7" w14:textId="7D3A4BD4" w:rsidR="00250FA5" w:rsidRPr="00250FA5" w:rsidRDefault="00250FA5" w:rsidP="00250FA5">
      <w:pPr>
        <w:spacing w:before="0" w:after="240"/>
        <w:jc w:val="left"/>
        <w:rPr>
          <w:rFonts w:ascii="Times New Roman" w:eastAsia="Calibri" w:hAnsi="Times New Roman" w:cs="Times New Roman"/>
          <w:i/>
          <w:iCs/>
        </w:rPr>
      </w:pPr>
      <w:r w:rsidRPr="00250FA5">
        <w:rPr>
          <w:rFonts w:ascii="Times New Roman" w:eastAsia="Calibri" w:hAnsi="Times New Roman" w:cs="Times New Roman"/>
        </w:rPr>
        <w:t>One new study (Kandel 2021) was identified that compared histology versus cytology samples from pathology files of 31 patients using FNA cell blocks and matching resections of HNSCCs. Kandel 2021 found that cytology samples did not reliably give similar PD-L1 scoring results as core biopsies or resections. Hence, the resubmission (p190) stated that PD-L1 testing should not be done on cytological samples and that in practice, clinical experts have indicated that cytology is rarely done for this tumour type</w:t>
      </w:r>
      <w:r w:rsidRPr="00250FA5">
        <w:rPr>
          <w:rFonts w:ascii="Times New Roman" w:eastAsia="Calibri" w:hAnsi="Times New Roman" w:cs="Times New Roman"/>
          <w:i/>
          <w:iCs/>
        </w:rPr>
        <w:t xml:space="preserve">. </w:t>
      </w:r>
      <w:r w:rsidRPr="00250FA5">
        <w:rPr>
          <w:rFonts w:ascii="Times New Roman" w:eastAsia="Calibri" w:hAnsi="Times New Roman" w:cs="Times New Roman"/>
        </w:rPr>
        <w:t>The commentary considered that this was consistent with MSAC’s previous advice that FNA would not be appropriate for CPS testing because CPS testing requires staining of adjacent immune cells which may not be appropriately captured in a</w:t>
      </w:r>
      <w:r w:rsidR="008431D6">
        <w:rPr>
          <w:rFonts w:ascii="Times New Roman" w:eastAsia="Calibri" w:hAnsi="Times New Roman" w:cs="Times New Roman"/>
        </w:rPr>
        <w:t>n</w:t>
      </w:r>
      <w:r w:rsidRPr="00250FA5">
        <w:rPr>
          <w:rFonts w:ascii="Times New Roman" w:eastAsia="Calibri" w:hAnsi="Times New Roman" w:cs="Times New Roman"/>
        </w:rPr>
        <w:t xml:space="preserve"> FNA.</w:t>
      </w:r>
    </w:p>
    <w:p w14:paraId="0408B2B6" w14:textId="6EFD3C1C" w:rsidR="00250FA5" w:rsidRPr="00250FA5" w:rsidRDefault="00250FA5" w:rsidP="008431D6">
      <w:pPr>
        <w:keepNext/>
        <w:keepLines/>
        <w:spacing w:before="200" w:after="120"/>
        <w:jc w:val="left"/>
        <w:outlineLvl w:val="1"/>
        <w:rPr>
          <w:rFonts w:ascii="Times New Roman" w:eastAsia="Times New Roman" w:hAnsi="Times New Roman" w:cs="Times New Roman"/>
          <w:i/>
          <w:szCs w:val="26"/>
          <w:lang w:eastAsia="en-AU"/>
        </w:rPr>
      </w:pPr>
      <w:r w:rsidRPr="00250FA5">
        <w:rPr>
          <w:rFonts w:ascii="Times New Roman" w:eastAsia="Times New Roman" w:hAnsi="Times New Roman" w:cs="Times New Roman"/>
          <w:i/>
          <w:szCs w:val="26"/>
          <w:lang w:eastAsia="en-AU"/>
        </w:rPr>
        <w:t>Antibody concordance</w:t>
      </w:r>
    </w:p>
    <w:p w14:paraId="49394E48" w14:textId="321B1491" w:rsid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The updated literature search for antibody concordance identified one new study, </w:t>
      </w:r>
      <w:proofErr w:type="spellStart"/>
      <w:r w:rsidRPr="00250FA5">
        <w:rPr>
          <w:rFonts w:ascii="Times New Roman" w:eastAsia="Calibri" w:hAnsi="Times New Roman" w:cs="Times New Roman"/>
        </w:rPr>
        <w:t>Crosta</w:t>
      </w:r>
      <w:proofErr w:type="spellEnd"/>
      <w:r w:rsidRPr="00250FA5">
        <w:rPr>
          <w:rFonts w:ascii="Times New Roman" w:eastAsia="Calibri" w:hAnsi="Times New Roman" w:cs="Times New Roman"/>
        </w:rPr>
        <w:t xml:space="preserve"> 2021. This study used 15 histologic samples from surgical resections of HNSCCs to compare CPS of PD-L1 using alternative methods adopted in routine clinical practice to determine the level of diagnostic agreement and inter-observer reliability</w:t>
      </w:r>
      <w:r w:rsidR="00783DB8">
        <w:rPr>
          <w:rFonts w:ascii="Times New Roman" w:eastAsia="Calibri" w:hAnsi="Times New Roman" w:cs="Times New Roman"/>
        </w:rPr>
        <w:t xml:space="preserve"> (</w:t>
      </w:r>
      <w:r w:rsidR="00FF7462">
        <w:rPr>
          <w:rFonts w:ascii="Times New Roman" w:eastAsia="Calibri" w:hAnsi="Times New Roman" w:cs="Times New Roman"/>
        </w:rPr>
        <w:t>T</w:t>
      </w:r>
      <w:r w:rsidR="00783DB8">
        <w:rPr>
          <w:rFonts w:ascii="Times New Roman" w:eastAsia="Calibri" w:hAnsi="Times New Roman" w:cs="Times New Roman"/>
        </w:rPr>
        <w:t xml:space="preserve">able </w:t>
      </w:r>
      <w:r w:rsidR="00FF7462">
        <w:rPr>
          <w:rFonts w:ascii="Times New Roman" w:eastAsia="Calibri" w:hAnsi="Times New Roman" w:cs="Times New Roman"/>
        </w:rPr>
        <w:t>7</w:t>
      </w:r>
      <w:r w:rsidR="00783DB8">
        <w:rPr>
          <w:rFonts w:ascii="Times New Roman" w:eastAsia="Calibri" w:hAnsi="Times New Roman" w:cs="Times New Roman"/>
        </w:rPr>
        <w:t>)</w:t>
      </w:r>
      <w:r w:rsidRPr="00250FA5">
        <w:rPr>
          <w:rFonts w:ascii="Times New Roman" w:eastAsia="Calibri" w:hAnsi="Times New Roman" w:cs="Times New Roman"/>
        </w:rPr>
        <w:t xml:space="preserve">. </w:t>
      </w:r>
      <w:proofErr w:type="spellStart"/>
      <w:r w:rsidRPr="00250FA5">
        <w:rPr>
          <w:rFonts w:ascii="Times New Roman" w:eastAsia="Calibri" w:hAnsi="Times New Roman" w:cs="Times New Roman"/>
        </w:rPr>
        <w:t>Crosta</w:t>
      </w:r>
      <w:proofErr w:type="spellEnd"/>
      <w:r w:rsidRPr="00250FA5">
        <w:rPr>
          <w:rFonts w:ascii="Times New Roman" w:eastAsia="Calibri" w:hAnsi="Times New Roman" w:cs="Times New Roman"/>
        </w:rPr>
        <w:t xml:space="preserve"> 2021 indicated that, for CPS, the 22C3 </w:t>
      </w:r>
      <w:proofErr w:type="spellStart"/>
      <w:r w:rsidRPr="00250FA5">
        <w:rPr>
          <w:rFonts w:ascii="Times New Roman" w:eastAsia="Calibri" w:hAnsi="Times New Roman" w:cs="Times New Roman"/>
        </w:rPr>
        <w:t>pharmDx</w:t>
      </w:r>
      <w:proofErr w:type="spellEnd"/>
      <w:r w:rsidRPr="00250FA5">
        <w:rPr>
          <w:rFonts w:ascii="Times New Roman" w:eastAsia="Calibri" w:hAnsi="Times New Roman" w:cs="Times New Roman"/>
        </w:rPr>
        <w:t xml:space="preserve"> kit was not strongly concordant with the SP263 antibody, reporting a 96% sensitivity and 50% specificity for the SP263 antibody on the Ventana Benchmark compared to the 22C3 </w:t>
      </w:r>
      <w:proofErr w:type="spellStart"/>
      <w:r w:rsidRPr="00250FA5">
        <w:rPr>
          <w:rFonts w:ascii="Times New Roman" w:eastAsia="Calibri" w:hAnsi="Times New Roman" w:cs="Times New Roman"/>
        </w:rPr>
        <w:t>pharmDx</w:t>
      </w:r>
      <w:proofErr w:type="spellEnd"/>
      <w:r w:rsidRPr="00250FA5">
        <w:rPr>
          <w:rFonts w:ascii="Times New Roman" w:eastAsia="Calibri" w:hAnsi="Times New Roman" w:cs="Times New Roman"/>
        </w:rPr>
        <w:t xml:space="preserve">, with 86% concordance for positive or negative classifications. </w:t>
      </w:r>
      <w:proofErr w:type="spellStart"/>
      <w:r w:rsidRPr="00250FA5">
        <w:rPr>
          <w:rFonts w:ascii="Times New Roman" w:eastAsia="Calibri" w:hAnsi="Times New Roman" w:cs="Times New Roman"/>
        </w:rPr>
        <w:t>Crosta</w:t>
      </w:r>
      <w:proofErr w:type="spellEnd"/>
      <w:r w:rsidRPr="00250FA5">
        <w:rPr>
          <w:rFonts w:ascii="Times New Roman" w:eastAsia="Calibri" w:hAnsi="Times New Roman" w:cs="Times New Roman"/>
        </w:rPr>
        <w:t xml:space="preserve"> 2021 reported a sensitivity of 88% and specificity of 83%, when comparing the 22C3 on the Ventana platform with the 22C3 kit using tissue microarrays, which were considered to be more susceptible to variability compared to whole slides, and as such the resubmission maintained that the LDT as used in Vainer 2019 which used a 22C3 LDT on the </w:t>
      </w:r>
      <w:proofErr w:type="spellStart"/>
      <w:r w:rsidRPr="00250FA5">
        <w:rPr>
          <w:rFonts w:ascii="Times New Roman" w:eastAsia="Calibri" w:hAnsi="Times New Roman" w:cs="Times New Roman"/>
        </w:rPr>
        <w:t>BenchMark</w:t>
      </w:r>
      <w:proofErr w:type="spellEnd"/>
      <w:r w:rsidRPr="00250FA5">
        <w:rPr>
          <w:rFonts w:ascii="Times New Roman" w:eastAsia="Calibri" w:hAnsi="Times New Roman" w:cs="Times New Roman"/>
        </w:rPr>
        <w:t xml:space="preserve"> XT platform and whole slides, should be used in Australia therefore the concordance from </w:t>
      </w:r>
      <w:proofErr w:type="spellStart"/>
      <w:r w:rsidRPr="00250FA5">
        <w:rPr>
          <w:rFonts w:ascii="Times New Roman" w:eastAsia="Calibri" w:hAnsi="Times New Roman" w:cs="Times New Roman"/>
        </w:rPr>
        <w:t>Crosta</w:t>
      </w:r>
      <w:proofErr w:type="spellEnd"/>
      <w:r w:rsidRPr="00250FA5">
        <w:rPr>
          <w:rFonts w:ascii="Times New Roman" w:eastAsia="Calibri" w:hAnsi="Times New Roman" w:cs="Times New Roman"/>
        </w:rPr>
        <w:t xml:space="preserve"> 2021 was not considered applicable to the current resubmission. Based on these results, the resubmission proposed that the MBS item number for testing should be specific to the 22C3 antibody.</w:t>
      </w:r>
    </w:p>
    <w:p w14:paraId="6EDDD44D" w14:textId="38D46E14" w:rsidR="00783DB8" w:rsidRDefault="00783DB8" w:rsidP="002537A9">
      <w:pPr>
        <w:pStyle w:val="Caption"/>
      </w:pPr>
      <w:r>
        <w:t xml:space="preserve">Table </w:t>
      </w:r>
      <w:r>
        <w:fldChar w:fldCharType="begin"/>
      </w:r>
      <w:r>
        <w:instrText>SEQ Table \* ARABIC</w:instrText>
      </w:r>
      <w:r>
        <w:fldChar w:fldCharType="separate"/>
      </w:r>
      <w:r>
        <w:rPr>
          <w:noProof/>
        </w:rPr>
        <w:t>7</w:t>
      </w:r>
      <w:r>
        <w:fldChar w:fldCharType="end"/>
      </w:r>
      <w:r w:rsidR="00F54109" w:rsidRPr="00250FA5">
        <w:rPr>
          <w:rFonts w:eastAsia="Calibri" w:cs="Times New Roman"/>
          <w:noProof/>
        </w:rPr>
        <w:tab/>
      </w:r>
      <w:r w:rsidRPr="00783DB8">
        <w:t>CPS extended results</w:t>
      </w:r>
      <w:r>
        <w:t xml:space="preserve"> from </w:t>
      </w:r>
      <w:proofErr w:type="spellStart"/>
      <w:r>
        <w:t>Crosta</w:t>
      </w:r>
      <w:proofErr w:type="spellEnd"/>
      <w:r>
        <w:t xml:space="preserve"> 2011</w:t>
      </w:r>
    </w:p>
    <w:p w14:paraId="7ACA564D" w14:textId="3CADE764" w:rsidR="00783DB8" w:rsidRPr="00783DB8" w:rsidRDefault="00783DB8" w:rsidP="00783DB8">
      <w:pPr>
        <w:spacing w:before="0" w:after="240"/>
        <w:jc w:val="left"/>
        <w:rPr>
          <w:rFonts w:ascii="Arial Narrow" w:eastAsia="Times New Roman" w:hAnsi="Arial Narrow" w:cs="Arial"/>
          <w:sz w:val="18"/>
          <w:szCs w:val="20"/>
        </w:rPr>
      </w:pPr>
      <w:r>
        <w:rPr>
          <w:rFonts w:ascii="Times New Roman" w:eastAsia="Calibri" w:hAnsi="Times New Roman" w:cs="Times New Roman"/>
          <w:noProof/>
        </w:rPr>
        <w:drawing>
          <wp:inline distT="0" distB="0" distL="0" distR="0" wp14:anchorId="64379DDF" wp14:editId="7CA5AE75">
            <wp:extent cx="4781550" cy="5791200"/>
            <wp:effectExtent l="0" t="0" r="0" b="0"/>
            <wp:docPr id="11" name="Picture 11" descr="Table of CPS extended results from Crosta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 of CPS extended results from Crosta 2011"/>
                    <pic:cNvPicPr/>
                  </pic:nvPicPr>
                  <pic:blipFill rotWithShape="1">
                    <a:blip r:embed="rId19" cstate="print">
                      <a:extLst>
                        <a:ext uri="{28A0092B-C50C-407E-A947-70E740481C1C}">
                          <a14:useLocalDpi xmlns:a14="http://schemas.microsoft.com/office/drawing/2010/main" val="0"/>
                        </a:ext>
                      </a:extLst>
                    </a:blip>
                    <a:srcRect l="-1"/>
                    <a:stretch/>
                  </pic:blipFill>
                  <pic:spPr bwMode="auto">
                    <a:xfrm>
                      <a:off x="0" y="0"/>
                      <a:ext cx="4781726" cy="579141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Calibri" w:hAnsi="Times New Roman" w:cs="Times New Roman"/>
        </w:rPr>
        <w:br/>
      </w:r>
      <w:r w:rsidRPr="00250FA5">
        <w:rPr>
          <w:rFonts w:ascii="Arial Narrow" w:eastAsia="Times New Roman" w:hAnsi="Arial Narrow" w:cs="Arial"/>
          <w:sz w:val="18"/>
          <w:szCs w:val="20"/>
        </w:rPr>
        <w:t xml:space="preserve">Source: </w:t>
      </w:r>
      <w:r>
        <w:rPr>
          <w:rFonts w:ascii="Arial Narrow" w:eastAsia="Times New Roman" w:hAnsi="Arial Narrow" w:cs="Arial"/>
          <w:sz w:val="18"/>
          <w:szCs w:val="20"/>
        </w:rPr>
        <w:t xml:space="preserve">Table S.1, </w:t>
      </w:r>
      <w:proofErr w:type="spellStart"/>
      <w:r>
        <w:rPr>
          <w:rFonts w:ascii="Arial Narrow" w:eastAsia="Times New Roman" w:hAnsi="Arial Narrow" w:cs="Arial"/>
          <w:sz w:val="18"/>
          <w:szCs w:val="20"/>
        </w:rPr>
        <w:t>Crosta</w:t>
      </w:r>
      <w:proofErr w:type="spellEnd"/>
      <w:r>
        <w:rPr>
          <w:rFonts w:ascii="Arial Narrow" w:eastAsia="Times New Roman" w:hAnsi="Arial Narrow" w:cs="Arial"/>
          <w:sz w:val="18"/>
          <w:szCs w:val="20"/>
        </w:rPr>
        <w:t xml:space="preserve"> 2021 supplementary material</w:t>
      </w:r>
      <w:r>
        <w:rPr>
          <w:rFonts w:ascii="Arial Narrow" w:eastAsia="Times New Roman" w:hAnsi="Arial Narrow" w:cs="Arial"/>
          <w:sz w:val="18"/>
          <w:szCs w:val="20"/>
        </w:rPr>
        <w:br/>
      </w:r>
      <w:proofErr w:type="spellStart"/>
      <w:r>
        <w:rPr>
          <w:rFonts w:ascii="Arial Narrow" w:eastAsia="Times New Roman" w:hAnsi="Arial Narrow" w:cs="Arial"/>
          <w:sz w:val="18"/>
          <w:szCs w:val="20"/>
        </w:rPr>
        <w:t>n.e</w:t>
      </w:r>
      <w:proofErr w:type="spellEnd"/>
      <w:r>
        <w:rPr>
          <w:rFonts w:ascii="Arial Narrow" w:eastAsia="Times New Roman" w:hAnsi="Arial Narrow" w:cs="Arial"/>
          <w:sz w:val="18"/>
          <w:szCs w:val="20"/>
        </w:rPr>
        <w:t xml:space="preserve"> = not evaluable</w:t>
      </w:r>
      <w:r>
        <w:rPr>
          <w:rFonts w:ascii="Arial Narrow" w:eastAsia="Times New Roman" w:hAnsi="Arial Narrow" w:cs="Arial"/>
          <w:sz w:val="18"/>
          <w:szCs w:val="20"/>
        </w:rPr>
        <w:br/>
        <w:t xml:space="preserve">* </w:t>
      </w:r>
      <w:r w:rsidRPr="00783DB8">
        <w:rPr>
          <w:rFonts w:ascii="Arial Narrow" w:eastAsia="Times New Roman" w:hAnsi="Arial Narrow" w:cs="Arial"/>
          <w:sz w:val="18"/>
          <w:szCs w:val="20"/>
        </w:rPr>
        <w:t>Results were expressed in reference ranges due to the peculiar characteristics of SP142 staining</w:t>
      </w:r>
    </w:p>
    <w:p w14:paraId="367D02EA" w14:textId="77777777" w:rsidR="00250FA5" w:rsidRPr="00250FA5" w:rsidRDefault="00250FA5" w:rsidP="008431D6">
      <w:pPr>
        <w:keepNext/>
        <w:keepLines/>
        <w:spacing w:before="200" w:after="120"/>
        <w:jc w:val="left"/>
        <w:outlineLvl w:val="1"/>
        <w:rPr>
          <w:rFonts w:ascii="Times New Roman" w:eastAsia="Times New Roman" w:hAnsi="Times New Roman" w:cs="Times New Roman"/>
          <w:i/>
          <w:szCs w:val="26"/>
          <w:lang w:eastAsia="en-AU"/>
        </w:rPr>
      </w:pPr>
      <w:r w:rsidRPr="00250FA5">
        <w:rPr>
          <w:rFonts w:ascii="Times New Roman" w:eastAsia="Times New Roman" w:hAnsi="Times New Roman" w:cs="Times New Roman"/>
          <w:i/>
          <w:szCs w:val="26"/>
          <w:lang w:eastAsia="en-AU"/>
        </w:rPr>
        <w:t>Sensitivity and specificity of 22C3 assay</w:t>
      </w:r>
    </w:p>
    <w:p w14:paraId="25825214" w14:textId="100B91E2" w:rsidR="00250FA5" w:rsidRPr="00250FA5" w:rsidRDefault="00250FA5" w:rsidP="00250FA5">
      <w:pPr>
        <w:spacing w:before="0" w:after="240"/>
        <w:jc w:val="left"/>
        <w:rPr>
          <w:rFonts w:ascii="Times New Roman" w:eastAsia="Calibri" w:hAnsi="Times New Roman" w:cs="Times New Roman"/>
          <w:sz w:val="20"/>
          <w:szCs w:val="20"/>
        </w:rPr>
      </w:pPr>
      <w:r w:rsidRPr="00250FA5">
        <w:rPr>
          <w:rFonts w:ascii="Times New Roman" w:eastAsia="Calibri" w:hAnsi="Times New Roman" w:cs="Times New Roman"/>
        </w:rPr>
        <w:t xml:space="preserve">No reference standard for PD-L1 testing in R/M HNSCC is available. However, as presented in both the resubmission and the previous submission, two studies (Emancipator 2020 and Cohen 2019) evaluated the sensitivity and specificity of the </w:t>
      </w:r>
      <w:proofErr w:type="spellStart"/>
      <w:r w:rsidRPr="00250FA5">
        <w:rPr>
          <w:rFonts w:ascii="Times New Roman" w:eastAsia="Calibri" w:hAnsi="Times New Roman" w:cs="Times New Roman"/>
        </w:rPr>
        <w:t>pharmDx</w:t>
      </w:r>
      <w:proofErr w:type="spellEnd"/>
      <w:r w:rsidRPr="00250FA5">
        <w:rPr>
          <w:rFonts w:ascii="Times New Roman" w:eastAsia="Calibri" w:hAnsi="Times New Roman" w:cs="Times New Roman"/>
        </w:rPr>
        <w:t xml:space="preserve"> 22C3 antibody in clinical trials (Keynote-012, n=297 and Keynote-055, n=172) using response rate as the reference standard to provide information on the sensitivity and specificity in the context of clinical utility. The results from Emancipator 2020 and Cohen 2019 are presented in </w:t>
      </w:r>
      <w:r w:rsidRPr="00EF2517">
        <w:rPr>
          <w:rFonts w:ascii="Times New Roman" w:eastAsia="Calibri" w:hAnsi="Times New Roman" w:cs="Times New Roman"/>
          <w:szCs w:val="24"/>
        </w:rPr>
        <w:fldChar w:fldCharType="begin"/>
      </w:r>
      <w:r w:rsidRPr="00EF2517">
        <w:rPr>
          <w:rFonts w:ascii="Times New Roman" w:eastAsia="Calibri" w:hAnsi="Times New Roman" w:cs="Times New Roman"/>
          <w:szCs w:val="24"/>
        </w:rPr>
        <w:instrText xml:space="preserve"> REF _Ref80058010 \h  \* MERGEFORMAT </w:instrText>
      </w:r>
      <w:r w:rsidRPr="00EF2517">
        <w:rPr>
          <w:rFonts w:ascii="Times New Roman" w:eastAsia="Calibri" w:hAnsi="Times New Roman" w:cs="Times New Roman"/>
          <w:szCs w:val="24"/>
        </w:rPr>
      </w:r>
      <w:r w:rsidRPr="00EF2517">
        <w:rPr>
          <w:rFonts w:ascii="Times New Roman" w:eastAsia="Calibri" w:hAnsi="Times New Roman" w:cs="Times New Roman"/>
          <w:szCs w:val="24"/>
        </w:rPr>
        <w:fldChar w:fldCharType="separate"/>
      </w:r>
      <w:r w:rsidR="000635B6" w:rsidRPr="000635B6">
        <w:rPr>
          <w:rFonts w:ascii="Times New Roman" w:eastAsia="Calibri" w:hAnsi="Times New Roman" w:cs="Times New Roman"/>
          <w:szCs w:val="24"/>
        </w:rPr>
        <w:t xml:space="preserve">Table </w:t>
      </w:r>
      <w:r w:rsidR="002537A9">
        <w:rPr>
          <w:rFonts w:ascii="Times New Roman" w:eastAsia="Calibri" w:hAnsi="Times New Roman" w:cs="Times New Roman"/>
          <w:szCs w:val="24"/>
        </w:rPr>
        <w:t>8</w:t>
      </w:r>
      <w:r w:rsidRPr="00EF2517">
        <w:rPr>
          <w:rFonts w:ascii="Times New Roman" w:eastAsia="Calibri" w:hAnsi="Times New Roman" w:cs="Times New Roman"/>
          <w:szCs w:val="24"/>
        </w:rPr>
        <w:fldChar w:fldCharType="end"/>
      </w:r>
      <w:r w:rsidRPr="00EF2517">
        <w:rPr>
          <w:rFonts w:ascii="Times New Roman" w:eastAsia="Calibri" w:hAnsi="Times New Roman" w:cs="Times New Roman"/>
          <w:szCs w:val="24"/>
        </w:rPr>
        <w:t xml:space="preserve"> to </w:t>
      </w:r>
      <w:r w:rsidRPr="00EF2517">
        <w:rPr>
          <w:rFonts w:ascii="Times New Roman" w:eastAsia="Calibri" w:hAnsi="Times New Roman" w:cs="Times New Roman"/>
          <w:szCs w:val="24"/>
        </w:rPr>
        <w:fldChar w:fldCharType="begin"/>
      </w:r>
      <w:r w:rsidRPr="00EF2517">
        <w:rPr>
          <w:rFonts w:ascii="Times New Roman" w:eastAsia="Calibri" w:hAnsi="Times New Roman" w:cs="Times New Roman"/>
          <w:szCs w:val="24"/>
        </w:rPr>
        <w:instrText xml:space="preserve"> REF _Ref80058012 \h  \* MERGEFORMAT </w:instrText>
      </w:r>
      <w:r w:rsidRPr="00EF2517">
        <w:rPr>
          <w:rFonts w:ascii="Times New Roman" w:eastAsia="Calibri" w:hAnsi="Times New Roman" w:cs="Times New Roman"/>
          <w:szCs w:val="24"/>
        </w:rPr>
      </w:r>
      <w:r w:rsidRPr="00EF2517">
        <w:rPr>
          <w:rFonts w:ascii="Times New Roman" w:eastAsia="Calibri" w:hAnsi="Times New Roman" w:cs="Times New Roman"/>
          <w:szCs w:val="24"/>
        </w:rPr>
        <w:fldChar w:fldCharType="separate"/>
      </w:r>
      <w:r w:rsidR="000635B6" w:rsidRPr="000635B6">
        <w:rPr>
          <w:rFonts w:ascii="Times New Roman" w:eastAsia="Calibri" w:hAnsi="Times New Roman" w:cs="Times New Roman"/>
          <w:szCs w:val="24"/>
        </w:rPr>
        <w:t xml:space="preserve">Table </w:t>
      </w:r>
      <w:r w:rsidR="002537A9">
        <w:rPr>
          <w:rFonts w:ascii="Times New Roman" w:eastAsia="Calibri" w:hAnsi="Times New Roman" w:cs="Times New Roman"/>
          <w:szCs w:val="24"/>
        </w:rPr>
        <w:t>10</w:t>
      </w:r>
      <w:r w:rsidRPr="00EF2517">
        <w:rPr>
          <w:rFonts w:ascii="Times New Roman" w:eastAsia="Calibri" w:hAnsi="Times New Roman" w:cs="Times New Roman"/>
          <w:szCs w:val="24"/>
        </w:rPr>
        <w:fldChar w:fldCharType="end"/>
      </w:r>
      <w:r w:rsidRPr="00EF2517">
        <w:rPr>
          <w:rFonts w:ascii="Times New Roman" w:eastAsia="Calibri" w:hAnsi="Times New Roman" w:cs="Times New Roman"/>
          <w:szCs w:val="24"/>
        </w:rPr>
        <w:t>.</w:t>
      </w:r>
    </w:p>
    <w:p w14:paraId="13939DB6" w14:textId="76F76606" w:rsidR="00250FA5" w:rsidRPr="00250FA5" w:rsidRDefault="00250FA5" w:rsidP="00250FA5">
      <w:pPr>
        <w:keepNext/>
        <w:keepLines/>
        <w:widowControl w:val="0"/>
        <w:spacing w:before="0" w:after="0"/>
        <w:ind w:left="992" w:hanging="992"/>
        <w:contextualSpacing/>
        <w:jc w:val="left"/>
        <w:rPr>
          <w:rFonts w:ascii="Arial Narrow" w:eastAsia="Calibri" w:hAnsi="Arial Narrow" w:cs="Times New Roman"/>
          <w:b/>
          <w:iCs/>
          <w:sz w:val="20"/>
          <w:szCs w:val="18"/>
        </w:rPr>
      </w:pPr>
      <w:bookmarkStart w:id="18" w:name="_Ref80058010"/>
      <w:r w:rsidRPr="00250FA5">
        <w:rPr>
          <w:rFonts w:ascii="Arial Narrow" w:eastAsia="Calibri" w:hAnsi="Arial Narrow" w:cs="Times New Roman"/>
          <w:b/>
          <w:iCs/>
          <w:sz w:val="20"/>
          <w:szCs w:val="18"/>
        </w:rPr>
        <w:t>Table</w:t>
      </w:r>
      <w:r w:rsidR="00F54109">
        <w:rPr>
          <w:rFonts w:ascii="Arial Narrow" w:eastAsia="Calibri" w:hAnsi="Arial Narrow" w:cs="Times New Roman"/>
          <w:b/>
          <w:iCs/>
          <w:sz w:val="20"/>
          <w:szCs w:val="18"/>
        </w:rPr>
        <w:t xml:space="preserv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Table \* ARABIC </w:instrText>
      </w:r>
      <w:r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8</w:t>
      </w:r>
      <w:r w:rsidRPr="00250FA5">
        <w:rPr>
          <w:rFonts w:ascii="Arial Narrow" w:eastAsia="Calibri" w:hAnsi="Arial Narrow" w:cs="Times New Roman"/>
          <w:b/>
          <w:iCs/>
          <w:sz w:val="20"/>
          <w:szCs w:val="18"/>
        </w:rPr>
        <w:fldChar w:fldCharType="end"/>
      </w:r>
      <w:bookmarkEnd w:id="18"/>
      <w:r w:rsidRPr="00250FA5">
        <w:rPr>
          <w:rFonts w:ascii="Arial Narrow" w:eastAsia="Calibri" w:hAnsi="Arial Narrow" w:cs="Times New Roman"/>
          <w:b/>
          <w:iCs/>
          <w:sz w:val="20"/>
          <w:szCs w:val="18"/>
        </w:rPr>
        <w:tab/>
        <w:t xml:space="preserve">Summary of sensitivity/specificity results of the </w:t>
      </w:r>
      <w:proofErr w:type="spellStart"/>
      <w:r w:rsidRPr="00250FA5">
        <w:rPr>
          <w:rFonts w:ascii="Arial Narrow" w:eastAsia="Calibri" w:hAnsi="Arial Narrow" w:cs="Times New Roman"/>
          <w:b/>
          <w:iCs/>
          <w:sz w:val="20"/>
          <w:szCs w:val="18"/>
        </w:rPr>
        <w:t>pharmDx</w:t>
      </w:r>
      <w:proofErr w:type="spellEnd"/>
      <w:r w:rsidRPr="00250FA5">
        <w:rPr>
          <w:rFonts w:ascii="Arial Narrow" w:eastAsia="Calibri" w:hAnsi="Arial Narrow" w:cs="Times New Roman"/>
          <w:b/>
          <w:iCs/>
          <w:sz w:val="20"/>
          <w:szCs w:val="18"/>
        </w:rPr>
        <w:t xml:space="preserve"> 22C3 assay</w:t>
      </w:r>
    </w:p>
    <w:tbl>
      <w:tblPr>
        <w:tblStyle w:val="ASDTable11"/>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274"/>
        <w:gridCol w:w="1275"/>
        <w:gridCol w:w="1417"/>
        <w:gridCol w:w="1274"/>
        <w:gridCol w:w="1281"/>
        <w:gridCol w:w="1552"/>
      </w:tblGrid>
      <w:tr w:rsidR="005E7F26" w:rsidRPr="00250FA5" w14:paraId="46071FA1" w14:textId="77777777" w:rsidTr="00981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tcPr>
          <w:p w14:paraId="5B1163F2" w14:textId="77777777" w:rsidR="005E7F26" w:rsidRPr="00250FA5" w:rsidRDefault="005E7F26" w:rsidP="00FF7462">
            <w:pPr>
              <w:keepNext/>
              <w:keepLines/>
              <w:spacing w:before="0" w:after="0"/>
              <w:jc w:val="left"/>
              <w:rPr>
                <w:rFonts w:ascii="Arial Narrow" w:eastAsia="Times New Roman" w:hAnsi="Arial Narrow" w:cs="Times New Roman"/>
                <w:sz w:val="20"/>
              </w:rPr>
            </w:pPr>
          </w:p>
        </w:tc>
        <w:tc>
          <w:tcPr>
            <w:tcW w:w="3966" w:type="dxa"/>
            <w:gridSpan w:val="3"/>
            <w:tcBorders>
              <w:top w:val="single" w:sz="4" w:space="0" w:color="auto"/>
              <w:left w:val="single" w:sz="4" w:space="0" w:color="auto"/>
              <w:bottom w:val="single" w:sz="4" w:space="0" w:color="auto"/>
              <w:right w:val="single" w:sz="4" w:space="0" w:color="auto"/>
            </w:tcBorders>
          </w:tcPr>
          <w:p w14:paraId="5D49A598" w14:textId="270D0BE5" w:rsidR="005E7F26" w:rsidRPr="00250FA5" w:rsidRDefault="005E7F26" w:rsidP="00250FA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CF1FAF">
              <w:rPr>
                <w:rFonts w:ascii="Arial Narrow" w:hAnsi="Arial Narrow" w:cs="Times New Roman"/>
                <w:sz w:val="20"/>
                <w:szCs w:val="22"/>
              </w:rPr>
              <w:t>Emancipator 2020</w:t>
            </w:r>
          </w:p>
        </w:tc>
        <w:tc>
          <w:tcPr>
            <w:tcW w:w="4107" w:type="dxa"/>
            <w:gridSpan w:val="3"/>
            <w:tcBorders>
              <w:top w:val="single" w:sz="4" w:space="0" w:color="auto"/>
              <w:left w:val="single" w:sz="4" w:space="0" w:color="auto"/>
              <w:bottom w:val="single" w:sz="4" w:space="0" w:color="auto"/>
              <w:right w:val="single" w:sz="4" w:space="0" w:color="auto"/>
            </w:tcBorders>
          </w:tcPr>
          <w:p w14:paraId="495E69A1" w14:textId="080B8580" w:rsidR="005E7F26" w:rsidRPr="00250FA5" w:rsidRDefault="005E7F26" w:rsidP="00250FA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0B7264">
              <w:rPr>
                <w:rFonts w:ascii="Arial Narrow" w:hAnsi="Arial Narrow" w:cs="Times New Roman"/>
                <w:sz w:val="20"/>
                <w:szCs w:val="22"/>
              </w:rPr>
              <w:t>Cohen 2019</w:t>
            </w:r>
          </w:p>
        </w:tc>
      </w:tr>
      <w:tr w:rsidR="00250FA5" w:rsidRPr="00250FA5" w14:paraId="0BA77663" w14:textId="77777777" w:rsidTr="008431D6">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hideMark/>
          </w:tcPr>
          <w:p w14:paraId="4368F7BD" w14:textId="77777777" w:rsidR="00250FA5" w:rsidRPr="00250FA5" w:rsidRDefault="00250FA5" w:rsidP="00FF7462">
            <w:pPr>
              <w:keepNext/>
              <w:keepLines/>
              <w:spacing w:before="0" w:after="0"/>
              <w:jc w:val="left"/>
              <w:rPr>
                <w:rFonts w:ascii="Arial Narrow" w:eastAsia="Times New Roman" w:hAnsi="Arial Narrow" w:cs="Times New Roman"/>
                <w:sz w:val="20"/>
              </w:rPr>
            </w:pPr>
            <w:r w:rsidRPr="00250FA5">
              <w:rPr>
                <w:rFonts w:ascii="Arial Narrow" w:eastAsia="Times New Roman" w:hAnsi="Arial Narrow" w:cs="Times New Roman"/>
                <w:sz w:val="20"/>
              </w:rPr>
              <w:t>Cut off</w:t>
            </w:r>
          </w:p>
        </w:tc>
        <w:tc>
          <w:tcPr>
            <w:tcW w:w="1274" w:type="dxa"/>
            <w:tcBorders>
              <w:top w:val="single" w:sz="4" w:space="0" w:color="auto"/>
              <w:left w:val="single" w:sz="4" w:space="0" w:color="auto"/>
              <w:bottom w:val="single" w:sz="4" w:space="0" w:color="auto"/>
              <w:right w:val="single" w:sz="4" w:space="0" w:color="auto"/>
            </w:tcBorders>
            <w:hideMark/>
          </w:tcPr>
          <w:p w14:paraId="2CF4DAC3" w14:textId="77777777" w:rsidR="00250FA5" w:rsidRPr="008431D6"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rPr>
            </w:pPr>
            <w:r w:rsidRPr="008431D6">
              <w:rPr>
                <w:rFonts w:ascii="Arial Narrow" w:eastAsia="Times New Roman" w:hAnsi="Arial Narrow" w:cs="Times New Roman"/>
                <w:b/>
                <w:bCs/>
                <w:sz w:val="20"/>
              </w:rPr>
              <w:t>Sensitivity (%)</w:t>
            </w:r>
          </w:p>
        </w:tc>
        <w:tc>
          <w:tcPr>
            <w:tcW w:w="1275" w:type="dxa"/>
            <w:tcBorders>
              <w:top w:val="single" w:sz="4" w:space="0" w:color="auto"/>
              <w:left w:val="single" w:sz="4" w:space="0" w:color="auto"/>
              <w:bottom w:val="single" w:sz="4" w:space="0" w:color="auto"/>
              <w:right w:val="single" w:sz="4" w:space="0" w:color="auto"/>
            </w:tcBorders>
            <w:hideMark/>
          </w:tcPr>
          <w:p w14:paraId="48794128" w14:textId="77777777" w:rsidR="00250FA5" w:rsidRPr="008431D6"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rPr>
            </w:pPr>
            <w:r w:rsidRPr="008431D6">
              <w:rPr>
                <w:rFonts w:ascii="Arial Narrow" w:eastAsia="Times New Roman" w:hAnsi="Arial Narrow" w:cs="Times New Roman"/>
                <w:b/>
                <w:bCs/>
                <w:sz w:val="20"/>
              </w:rPr>
              <w:t>Specificity (%)</w:t>
            </w:r>
          </w:p>
        </w:tc>
        <w:tc>
          <w:tcPr>
            <w:tcW w:w="1417" w:type="dxa"/>
            <w:tcBorders>
              <w:top w:val="single" w:sz="4" w:space="0" w:color="auto"/>
              <w:left w:val="single" w:sz="4" w:space="0" w:color="auto"/>
              <w:bottom w:val="single" w:sz="4" w:space="0" w:color="auto"/>
              <w:right w:val="single" w:sz="4" w:space="0" w:color="auto"/>
            </w:tcBorders>
            <w:hideMark/>
          </w:tcPr>
          <w:p w14:paraId="6EC57EF5" w14:textId="77777777" w:rsidR="00250FA5" w:rsidRPr="008431D6"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rPr>
            </w:pPr>
            <w:r w:rsidRPr="008431D6">
              <w:rPr>
                <w:rFonts w:ascii="Arial Narrow" w:eastAsia="Times New Roman" w:hAnsi="Arial Narrow" w:cs="Times New Roman"/>
                <w:b/>
                <w:bCs/>
                <w:sz w:val="20"/>
              </w:rPr>
              <w:t>Prevalence (N=252)</w:t>
            </w:r>
          </w:p>
        </w:tc>
        <w:tc>
          <w:tcPr>
            <w:tcW w:w="1274" w:type="dxa"/>
            <w:tcBorders>
              <w:top w:val="single" w:sz="4" w:space="0" w:color="auto"/>
              <w:left w:val="single" w:sz="4" w:space="0" w:color="auto"/>
              <w:bottom w:val="single" w:sz="4" w:space="0" w:color="auto"/>
              <w:right w:val="single" w:sz="4" w:space="0" w:color="auto"/>
            </w:tcBorders>
            <w:hideMark/>
          </w:tcPr>
          <w:p w14:paraId="29A47EA2" w14:textId="77777777" w:rsidR="00250FA5" w:rsidRPr="008431D6"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rPr>
            </w:pPr>
            <w:r w:rsidRPr="008431D6">
              <w:rPr>
                <w:rFonts w:ascii="Arial Narrow" w:eastAsia="Times New Roman" w:hAnsi="Arial Narrow" w:cs="Times New Roman"/>
                <w:b/>
                <w:bCs/>
                <w:sz w:val="20"/>
              </w:rPr>
              <w:t>Sensitivity (%)</w:t>
            </w:r>
          </w:p>
        </w:tc>
        <w:tc>
          <w:tcPr>
            <w:tcW w:w="1281" w:type="dxa"/>
            <w:tcBorders>
              <w:top w:val="single" w:sz="4" w:space="0" w:color="auto"/>
              <w:left w:val="single" w:sz="4" w:space="0" w:color="auto"/>
              <w:bottom w:val="single" w:sz="4" w:space="0" w:color="auto"/>
              <w:right w:val="single" w:sz="4" w:space="0" w:color="auto"/>
            </w:tcBorders>
            <w:hideMark/>
          </w:tcPr>
          <w:p w14:paraId="1B359827" w14:textId="68B5B6F0" w:rsidR="00250FA5" w:rsidRPr="008431D6" w:rsidRDefault="00250FA5" w:rsidP="008431D6">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rPr>
            </w:pPr>
            <w:r w:rsidRPr="008431D6">
              <w:rPr>
                <w:rFonts w:ascii="Arial Narrow" w:eastAsia="Times New Roman" w:hAnsi="Arial Narrow" w:cs="Times New Roman"/>
                <w:b/>
                <w:bCs/>
                <w:sz w:val="20"/>
              </w:rPr>
              <w:t>Specificity (%)</w:t>
            </w:r>
          </w:p>
        </w:tc>
        <w:tc>
          <w:tcPr>
            <w:tcW w:w="1552" w:type="dxa"/>
            <w:tcBorders>
              <w:top w:val="single" w:sz="4" w:space="0" w:color="auto"/>
              <w:left w:val="single" w:sz="4" w:space="0" w:color="auto"/>
              <w:bottom w:val="single" w:sz="4" w:space="0" w:color="auto"/>
              <w:right w:val="single" w:sz="4" w:space="0" w:color="auto"/>
            </w:tcBorders>
            <w:hideMark/>
          </w:tcPr>
          <w:p w14:paraId="721ADD44" w14:textId="77777777" w:rsidR="00250FA5" w:rsidRPr="008431D6"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rPr>
            </w:pPr>
            <w:r w:rsidRPr="008431D6">
              <w:rPr>
                <w:rFonts w:ascii="Arial Narrow" w:eastAsia="Times New Roman" w:hAnsi="Arial Narrow" w:cs="Times New Roman"/>
                <w:b/>
                <w:bCs/>
                <w:sz w:val="20"/>
              </w:rPr>
              <w:t>Prevalence (N=244)</w:t>
            </w:r>
          </w:p>
        </w:tc>
      </w:tr>
      <w:tr w:rsidR="00250FA5" w:rsidRPr="00250FA5" w14:paraId="11D3FEE9" w14:textId="77777777" w:rsidTr="00A2043B">
        <w:trPr>
          <w:trHeight w:val="18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hideMark/>
          </w:tcPr>
          <w:p w14:paraId="32757108" w14:textId="77777777" w:rsidR="00250FA5" w:rsidRPr="00250FA5" w:rsidRDefault="00250FA5" w:rsidP="00A2043B">
            <w:pPr>
              <w:keepNext/>
              <w:keepLines/>
              <w:spacing w:before="0" w:after="0"/>
              <w:jc w:val="left"/>
              <w:rPr>
                <w:rFonts w:ascii="Arial Narrow" w:eastAsia="Times New Roman" w:hAnsi="Arial Narrow" w:cs="Times New Roman"/>
                <w:sz w:val="20"/>
              </w:rPr>
            </w:pPr>
            <w:r w:rsidRPr="00250FA5">
              <w:rPr>
                <w:rFonts w:ascii="Arial Narrow" w:eastAsia="Times New Roman" w:hAnsi="Arial Narrow" w:cs="Times New Roman"/>
                <w:sz w:val="20"/>
              </w:rPr>
              <w:t>CPS ≥1</w:t>
            </w:r>
          </w:p>
        </w:tc>
        <w:tc>
          <w:tcPr>
            <w:tcW w:w="1274" w:type="dxa"/>
            <w:tcBorders>
              <w:top w:val="single" w:sz="4" w:space="0" w:color="auto"/>
              <w:left w:val="single" w:sz="4" w:space="0" w:color="auto"/>
              <w:bottom w:val="single" w:sz="4" w:space="0" w:color="auto"/>
              <w:right w:val="single" w:sz="4" w:space="0" w:color="auto"/>
            </w:tcBorders>
            <w:hideMark/>
          </w:tcPr>
          <w:p w14:paraId="5E7E1B2B"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92.2</w:t>
            </w:r>
          </w:p>
        </w:tc>
        <w:tc>
          <w:tcPr>
            <w:tcW w:w="1275" w:type="dxa"/>
            <w:tcBorders>
              <w:top w:val="single" w:sz="4" w:space="0" w:color="auto"/>
              <w:left w:val="single" w:sz="4" w:space="0" w:color="auto"/>
              <w:bottom w:val="single" w:sz="4" w:space="0" w:color="auto"/>
              <w:right w:val="single" w:sz="4" w:space="0" w:color="auto"/>
            </w:tcBorders>
            <w:hideMark/>
          </w:tcPr>
          <w:p w14:paraId="26E5239A"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18.9</w:t>
            </w:r>
          </w:p>
        </w:tc>
        <w:tc>
          <w:tcPr>
            <w:tcW w:w="1417" w:type="dxa"/>
            <w:tcBorders>
              <w:top w:val="single" w:sz="4" w:space="0" w:color="auto"/>
              <w:left w:val="single" w:sz="4" w:space="0" w:color="auto"/>
              <w:bottom w:val="single" w:sz="4" w:space="0" w:color="auto"/>
              <w:right w:val="single" w:sz="4" w:space="0" w:color="auto"/>
            </w:tcBorders>
            <w:hideMark/>
          </w:tcPr>
          <w:p w14:paraId="3F93A2C3"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NR (83.3%)</w:t>
            </w:r>
          </w:p>
        </w:tc>
        <w:tc>
          <w:tcPr>
            <w:tcW w:w="1274" w:type="dxa"/>
            <w:tcBorders>
              <w:top w:val="single" w:sz="4" w:space="0" w:color="auto"/>
              <w:left w:val="single" w:sz="4" w:space="0" w:color="auto"/>
              <w:bottom w:val="single" w:sz="4" w:space="0" w:color="auto"/>
              <w:right w:val="single" w:sz="4" w:space="0" w:color="auto"/>
            </w:tcBorders>
            <w:hideMark/>
          </w:tcPr>
          <w:p w14:paraId="1DD7E830"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94</w:t>
            </w:r>
          </w:p>
        </w:tc>
        <w:tc>
          <w:tcPr>
            <w:tcW w:w="1281" w:type="dxa"/>
            <w:tcBorders>
              <w:top w:val="single" w:sz="4" w:space="0" w:color="auto"/>
              <w:left w:val="single" w:sz="4" w:space="0" w:color="auto"/>
              <w:bottom w:val="single" w:sz="4" w:space="0" w:color="auto"/>
              <w:right w:val="single" w:sz="4" w:space="0" w:color="auto"/>
            </w:tcBorders>
            <w:hideMark/>
          </w:tcPr>
          <w:p w14:paraId="7EF328A4"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23</w:t>
            </w:r>
          </w:p>
        </w:tc>
        <w:tc>
          <w:tcPr>
            <w:tcW w:w="1552" w:type="dxa"/>
            <w:tcBorders>
              <w:top w:val="single" w:sz="4" w:space="0" w:color="auto"/>
              <w:left w:val="single" w:sz="4" w:space="0" w:color="auto"/>
              <w:bottom w:val="single" w:sz="4" w:space="0" w:color="auto"/>
              <w:right w:val="single" w:sz="4" w:space="0" w:color="auto"/>
            </w:tcBorders>
            <w:hideMark/>
          </w:tcPr>
          <w:p w14:paraId="516B060D"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195 (80%)</w:t>
            </w:r>
          </w:p>
        </w:tc>
      </w:tr>
      <w:tr w:rsidR="00250FA5" w:rsidRPr="00250FA5" w14:paraId="10E0E96A" w14:textId="77777777" w:rsidTr="008431D6">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hideMark/>
          </w:tcPr>
          <w:p w14:paraId="0CE6F07D" w14:textId="77777777" w:rsidR="00250FA5" w:rsidRPr="00250FA5" w:rsidRDefault="00250FA5" w:rsidP="00A2043B">
            <w:pPr>
              <w:keepNext/>
              <w:keepLines/>
              <w:spacing w:before="0" w:after="0"/>
              <w:jc w:val="left"/>
              <w:rPr>
                <w:rFonts w:ascii="Arial Narrow" w:eastAsia="Times New Roman" w:hAnsi="Arial Narrow" w:cs="Times New Roman"/>
                <w:sz w:val="20"/>
              </w:rPr>
            </w:pPr>
            <w:r w:rsidRPr="00250FA5">
              <w:rPr>
                <w:rFonts w:ascii="Arial Narrow" w:eastAsia="Times New Roman" w:hAnsi="Arial Narrow" w:cs="Times New Roman"/>
                <w:sz w:val="20"/>
              </w:rPr>
              <w:t>CPS ≥20</w:t>
            </w:r>
          </w:p>
        </w:tc>
        <w:tc>
          <w:tcPr>
            <w:tcW w:w="1274" w:type="dxa"/>
            <w:tcBorders>
              <w:top w:val="single" w:sz="4" w:space="0" w:color="auto"/>
              <w:left w:val="single" w:sz="4" w:space="0" w:color="auto"/>
              <w:bottom w:val="single" w:sz="4" w:space="0" w:color="auto"/>
              <w:right w:val="single" w:sz="4" w:space="0" w:color="auto"/>
            </w:tcBorders>
            <w:hideMark/>
          </w:tcPr>
          <w:p w14:paraId="12A49599"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66.7</w:t>
            </w:r>
          </w:p>
        </w:tc>
        <w:tc>
          <w:tcPr>
            <w:tcW w:w="1275" w:type="dxa"/>
            <w:tcBorders>
              <w:top w:val="single" w:sz="4" w:space="0" w:color="auto"/>
              <w:left w:val="single" w:sz="4" w:space="0" w:color="auto"/>
              <w:bottom w:val="single" w:sz="4" w:space="0" w:color="auto"/>
              <w:right w:val="single" w:sz="4" w:space="0" w:color="auto"/>
            </w:tcBorders>
            <w:hideMark/>
          </w:tcPr>
          <w:p w14:paraId="4F0BCC2C"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54.2</w:t>
            </w:r>
          </w:p>
        </w:tc>
        <w:tc>
          <w:tcPr>
            <w:tcW w:w="1417" w:type="dxa"/>
            <w:tcBorders>
              <w:top w:val="single" w:sz="4" w:space="0" w:color="auto"/>
              <w:left w:val="single" w:sz="4" w:space="0" w:color="auto"/>
              <w:bottom w:val="single" w:sz="4" w:space="0" w:color="auto"/>
              <w:right w:val="single" w:sz="4" w:space="0" w:color="auto"/>
            </w:tcBorders>
            <w:hideMark/>
          </w:tcPr>
          <w:p w14:paraId="12A499AA"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NR (50.0%)</w:t>
            </w:r>
          </w:p>
        </w:tc>
        <w:tc>
          <w:tcPr>
            <w:tcW w:w="1274" w:type="dxa"/>
            <w:tcBorders>
              <w:top w:val="single" w:sz="4" w:space="0" w:color="auto"/>
              <w:left w:val="single" w:sz="4" w:space="0" w:color="auto"/>
              <w:bottom w:val="single" w:sz="4" w:space="0" w:color="auto"/>
              <w:right w:val="single" w:sz="4" w:space="0" w:color="auto"/>
            </w:tcBorders>
            <w:hideMark/>
          </w:tcPr>
          <w:p w14:paraId="4FA7D4E4"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58</w:t>
            </w:r>
          </w:p>
        </w:tc>
        <w:tc>
          <w:tcPr>
            <w:tcW w:w="1281" w:type="dxa"/>
            <w:tcBorders>
              <w:top w:val="single" w:sz="4" w:space="0" w:color="auto"/>
              <w:left w:val="single" w:sz="4" w:space="0" w:color="auto"/>
              <w:bottom w:val="single" w:sz="4" w:space="0" w:color="auto"/>
              <w:right w:val="single" w:sz="4" w:space="0" w:color="auto"/>
            </w:tcBorders>
            <w:hideMark/>
          </w:tcPr>
          <w:p w14:paraId="749F0944"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64</w:t>
            </w:r>
          </w:p>
        </w:tc>
        <w:tc>
          <w:tcPr>
            <w:tcW w:w="1552" w:type="dxa"/>
            <w:tcBorders>
              <w:top w:val="single" w:sz="4" w:space="0" w:color="auto"/>
              <w:left w:val="single" w:sz="4" w:space="0" w:color="auto"/>
              <w:bottom w:val="single" w:sz="4" w:space="0" w:color="auto"/>
              <w:right w:val="single" w:sz="4" w:space="0" w:color="auto"/>
            </w:tcBorders>
            <w:hideMark/>
          </w:tcPr>
          <w:p w14:paraId="143358C3"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96 (39%)</w:t>
            </w:r>
          </w:p>
        </w:tc>
      </w:tr>
      <w:tr w:rsidR="00250FA5" w:rsidRPr="00250FA5" w14:paraId="50819166" w14:textId="77777777" w:rsidTr="008431D6">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hideMark/>
          </w:tcPr>
          <w:p w14:paraId="1F67404E" w14:textId="77777777" w:rsidR="00250FA5" w:rsidRPr="00250FA5" w:rsidRDefault="00250FA5" w:rsidP="00A2043B">
            <w:pPr>
              <w:keepNext/>
              <w:keepLines/>
              <w:spacing w:before="0" w:after="0"/>
              <w:jc w:val="left"/>
              <w:rPr>
                <w:rFonts w:ascii="Arial Narrow" w:eastAsia="Times New Roman" w:hAnsi="Arial Narrow" w:cs="Times New Roman"/>
                <w:sz w:val="20"/>
              </w:rPr>
            </w:pPr>
            <w:r w:rsidRPr="00250FA5">
              <w:rPr>
                <w:rFonts w:ascii="Arial Narrow" w:eastAsia="Times New Roman" w:hAnsi="Arial Narrow" w:cs="Times New Roman"/>
                <w:sz w:val="20"/>
              </w:rPr>
              <w:t>CPS ≥50</w:t>
            </w:r>
          </w:p>
        </w:tc>
        <w:tc>
          <w:tcPr>
            <w:tcW w:w="1274" w:type="dxa"/>
            <w:tcBorders>
              <w:top w:val="single" w:sz="4" w:space="0" w:color="auto"/>
              <w:left w:val="single" w:sz="4" w:space="0" w:color="auto"/>
              <w:bottom w:val="single" w:sz="4" w:space="0" w:color="auto"/>
              <w:right w:val="single" w:sz="4" w:space="0" w:color="auto"/>
            </w:tcBorders>
            <w:hideMark/>
          </w:tcPr>
          <w:p w14:paraId="571ABE09"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43.1</w:t>
            </w:r>
          </w:p>
        </w:tc>
        <w:tc>
          <w:tcPr>
            <w:tcW w:w="1275" w:type="dxa"/>
            <w:tcBorders>
              <w:top w:val="single" w:sz="4" w:space="0" w:color="auto"/>
              <w:left w:val="single" w:sz="4" w:space="0" w:color="auto"/>
              <w:bottom w:val="single" w:sz="4" w:space="0" w:color="auto"/>
              <w:right w:val="single" w:sz="4" w:space="0" w:color="auto"/>
            </w:tcBorders>
            <w:hideMark/>
          </w:tcPr>
          <w:p w14:paraId="37F946F9"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74.1</w:t>
            </w:r>
          </w:p>
        </w:tc>
        <w:tc>
          <w:tcPr>
            <w:tcW w:w="1417" w:type="dxa"/>
            <w:tcBorders>
              <w:top w:val="single" w:sz="4" w:space="0" w:color="auto"/>
              <w:left w:val="single" w:sz="4" w:space="0" w:color="auto"/>
              <w:bottom w:val="single" w:sz="4" w:space="0" w:color="auto"/>
              <w:right w:val="single" w:sz="4" w:space="0" w:color="auto"/>
            </w:tcBorders>
            <w:hideMark/>
          </w:tcPr>
          <w:p w14:paraId="712480EA"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NR (29.4%)</w:t>
            </w:r>
          </w:p>
        </w:tc>
        <w:tc>
          <w:tcPr>
            <w:tcW w:w="1274" w:type="dxa"/>
            <w:tcBorders>
              <w:top w:val="single" w:sz="4" w:space="0" w:color="auto"/>
              <w:left w:val="single" w:sz="4" w:space="0" w:color="auto"/>
              <w:bottom w:val="single" w:sz="4" w:space="0" w:color="auto"/>
              <w:right w:val="single" w:sz="4" w:space="0" w:color="auto"/>
            </w:tcBorders>
            <w:hideMark/>
          </w:tcPr>
          <w:p w14:paraId="207295A2"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50</w:t>
            </w:r>
          </w:p>
        </w:tc>
        <w:tc>
          <w:tcPr>
            <w:tcW w:w="1281" w:type="dxa"/>
            <w:tcBorders>
              <w:top w:val="single" w:sz="4" w:space="0" w:color="auto"/>
              <w:left w:val="single" w:sz="4" w:space="0" w:color="auto"/>
              <w:bottom w:val="single" w:sz="4" w:space="0" w:color="auto"/>
              <w:right w:val="single" w:sz="4" w:space="0" w:color="auto"/>
            </w:tcBorders>
            <w:hideMark/>
          </w:tcPr>
          <w:p w14:paraId="66E32ECE"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78</w:t>
            </w:r>
          </w:p>
        </w:tc>
        <w:tc>
          <w:tcPr>
            <w:tcW w:w="1552" w:type="dxa"/>
            <w:tcBorders>
              <w:top w:val="single" w:sz="4" w:space="0" w:color="auto"/>
              <w:left w:val="single" w:sz="4" w:space="0" w:color="auto"/>
              <w:bottom w:val="single" w:sz="4" w:space="0" w:color="auto"/>
              <w:right w:val="single" w:sz="4" w:space="0" w:color="auto"/>
            </w:tcBorders>
            <w:hideMark/>
          </w:tcPr>
          <w:p w14:paraId="34879590"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64 (26%)</w:t>
            </w:r>
          </w:p>
        </w:tc>
      </w:tr>
      <w:tr w:rsidR="00250FA5" w:rsidRPr="00250FA5" w14:paraId="38C0A1E3" w14:textId="77777777" w:rsidTr="008431D6">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hideMark/>
          </w:tcPr>
          <w:p w14:paraId="15B3D8F7" w14:textId="77777777" w:rsidR="00250FA5" w:rsidRPr="00250FA5" w:rsidRDefault="00250FA5" w:rsidP="00A2043B">
            <w:pPr>
              <w:keepNext/>
              <w:keepLines/>
              <w:spacing w:before="0" w:after="0"/>
              <w:jc w:val="left"/>
              <w:rPr>
                <w:rFonts w:ascii="Arial Narrow" w:eastAsia="Times New Roman" w:hAnsi="Arial Narrow" w:cs="Times New Roman"/>
                <w:sz w:val="20"/>
              </w:rPr>
            </w:pPr>
            <w:r w:rsidRPr="00250FA5">
              <w:rPr>
                <w:rFonts w:ascii="Arial Narrow" w:eastAsia="Times New Roman" w:hAnsi="Arial Narrow" w:cs="Times New Roman"/>
                <w:sz w:val="20"/>
              </w:rPr>
              <w:t>TPS ≥1%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F972637"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74.5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A1E572"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32.3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C1B9B"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NR (69.0%)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9EBF74E"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64</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C7B37B0"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44</w:t>
            </w:r>
          </w:p>
        </w:tc>
        <w:tc>
          <w:tcPr>
            <w:tcW w:w="1552" w:type="dxa"/>
            <w:tcBorders>
              <w:top w:val="single" w:sz="4" w:space="0" w:color="auto"/>
              <w:left w:val="single" w:sz="4" w:space="0" w:color="auto"/>
              <w:bottom w:val="single" w:sz="4" w:space="0" w:color="auto"/>
              <w:right w:val="single" w:sz="4" w:space="0" w:color="auto"/>
            </w:tcBorders>
            <w:hideMark/>
          </w:tcPr>
          <w:p w14:paraId="0E14384D"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140 (57%)</w:t>
            </w:r>
          </w:p>
        </w:tc>
      </w:tr>
      <w:tr w:rsidR="00250FA5" w:rsidRPr="00250FA5" w14:paraId="4B79CC30" w14:textId="77777777" w:rsidTr="008431D6">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hideMark/>
          </w:tcPr>
          <w:p w14:paraId="510F58FB" w14:textId="77777777" w:rsidR="00250FA5" w:rsidRPr="00250FA5" w:rsidRDefault="00250FA5" w:rsidP="00A2043B">
            <w:pPr>
              <w:keepNext/>
              <w:keepLines/>
              <w:spacing w:before="0" w:after="0"/>
              <w:jc w:val="left"/>
              <w:rPr>
                <w:rFonts w:ascii="Arial Narrow" w:eastAsia="Times New Roman" w:hAnsi="Arial Narrow" w:cs="Times New Roman"/>
                <w:sz w:val="20"/>
              </w:rPr>
            </w:pPr>
            <w:r w:rsidRPr="00250FA5">
              <w:rPr>
                <w:rFonts w:ascii="Arial Narrow" w:eastAsia="Times New Roman" w:hAnsi="Arial Narrow" w:cs="Times New Roman"/>
                <w:sz w:val="20"/>
              </w:rPr>
              <w:t>TPS ≥20%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4D57504"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62.7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F70082"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59.2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DB3DD6"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NR (45.2%)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EE026F1"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56</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842AA1E"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64</w:t>
            </w:r>
          </w:p>
        </w:tc>
        <w:tc>
          <w:tcPr>
            <w:tcW w:w="1552" w:type="dxa"/>
            <w:tcBorders>
              <w:top w:val="single" w:sz="4" w:space="0" w:color="auto"/>
              <w:left w:val="single" w:sz="4" w:space="0" w:color="auto"/>
              <w:bottom w:val="single" w:sz="4" w:space="0" w:color="auto"/>
              <w:right w:val="single" w:sz="4" w:space="0" w:color="auto"/>
            </w:tcBorders>
            <w:hideMark/>
          </w:tcPr>
          <w:p w14:paraId="40850E13"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94 (39%)</w:t>
            </w:r>
          </w:p>
        </w:tc>
      </w:tr>
      <w:tr w:rsidR="00250FA5" w:rsidRPr="00250FA5" w14:paraId="53C19E9E" w14:textId="77777777" w:rsidTr="008431D6">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hideMark/>
          </w:tcPr>
          <w:p w14:paraId="1A9B2CC0" w14:textId="77777777" w:rsidR="00250FA5" w:rsidRPr="00250FA5" w:rsidRDefault="00250FA5" w:rsidP="00A2043B">
            <w:pPr>
              <w:keepNext/>
              <w:keepLines/>
              <w:spacing w:before="0" w:after="0"/>
              <w:jc w:val="left"/>
              <w:rPr>
                <w:rFonts w:ascii="Arial Narrow" w:eastAsia="Times New Roman" w:hAnsi="Arial Narrow" w:cs="Times New Roman"/>
                <w:sz w:val="20"/>
              </w:rPr>
            </w:pPr>
            <w:r w:rsidRPr="00250FA5">
              <w:rPr>
                <w:rFonts w:ascii="Arial Narrow" w:eastAsia="Times New Roman" w:hAnsi="Arial Narrow" w:cs="Times New Roman"/>
                <w:sz w:val="20"/>
              </w:rPr>
              <w:t>TPS ≥50%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E107706"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41.2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B300A3"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75.6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C56CA"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NR (27.8%)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E0A5A99"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47</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E4289E8"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77</w:t>
            </w:r>
          </w:p>
        </w:tc>
        <w:tc>
          <w:tcPr>
            <w:tcW w:w="1552" w:type="dxa"/>
            <w:tcBorders>
              <w:top w:val="single" w:sz="4" w:space="0" w:color="auto"/>
              <w:left w:val="single" w:sz="4" w:space="0" w:color="auto"/>
              <w:bottom w:val="single" w:sz="4" w:space="0" w:color="auto"/>
              <w:right w:val="single" w:sz="4" w:space="0" w:color="auto"/>
            </w:tcBorders>
            <w:hideMark/>
          </w:tcPr>
          <w:p w14:paraId="69B15974" w14:textId="77777777" w:rsidR="00250FA5" w:rsidRPr="00250FA5" w:rsidRDefault="00250FA5" w:rsidP="00250FA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rPr>
            </w:pPr>
            <w:r w:rsidRPr="00250FA5">
              <w:rPr>
                <w:rFonts w:ascii="Arial Narrow" w:eastAsia="Times New Roman" w:hAnsi="Arial Narrow" w:cs="Times New Roman"/>
                <w:sz w:val="20"/>
              </w:rPr>
              <w:t>65 (27%)</w:t>
            </w:r>
          </w:p>
        </w:tc>
      </w:tr>
    </w:tbl>
    <w:p w14:paraId="45EEE751" w14:textId="77777777" w:rsidR="00250FA5" w:rsidRPr="00250FA5" w:rsidRDefault="00250FA5" w:rsidP="00FF7462">
      <w:pPr>
        <w:snapToGrid w:val="0"/>
        <w:spacing w:before="0" w:after="240"/>
        <w:rPr>
          <w:rFonts w:ascii="Arial Narrow" w:eastAsia="Times New Roman" w:hAnsi="Arial Narrow" w:cs="Arial"/>
          <w:sz w:val="18"/>
          <w:szCs w:val="18"/>
        </w:rPr>
      </w:pPr>
      <w:r w:rsidRPr="00250FA5">
        <w:rPr>
          <w:rFonts w:ascii="Arial Narrow" w:eastAsia="Times New Roman" w:hAnsi="Arial Narrow" w:cs="Arial"/>
          <w:sz w:val="18"/>
          <w:szCs w:val="20"/>
        </w:rPr>
        <w:t xml:space="preserve">Source: Table 2.14-5, p170 of the resubmission, </w:t>
      </w:r>
      <w:r w:rsidRPr="00250FA5">
        <w:rPr>
          <w:rFonts w:ascii="Arial Narrow" w:eastAsia="Times New Roman" w:hAnsi="Arial Narrow" w:cs="Arial"/>
          <w:sz w:val="18"/>
          <w:szCs w:val="18"/>
        </w:rPr>
        <w:t>Emancipator 2020 and Cohen 2019</w:t>
      </w:r>
    </w:p>
    <w:p w14:paraId="4D5B2D68" w14:textId="77777777" w:rsidR="00250FA5" w:rsidRPr="00250FA5" w:rsidRDefault="00250FA5" w:rsidP="005702F6">
      <w:pPr>
        <w:spacing w:before="240" w:after="240"/>
        <w:jc w:val="left"/>
        <w:rPr>
          <w:rFonts w:ascii="Times New Roman" w:eastAsia="Calibri" w:hAnsi="Times New Roman" w:cs="Times New Roman"/>
        </w:rPr>
      </w:pPr>
      <w:r w:rsidRPr="00250FA5">
        <w:rPr>
          <w:rFonts w:ascii="Times New Roman" w:eastAsia="Calibri" w:hAnsi="Times New Roman" w:cs="Times New Roman"/>
        </w:rPr>
        <w:t xml:space="preserve">Results of the </w:t>
      </w:r>
      <w:proofErr w:type="spellStart"/>
      <w:r w:rsidRPr="00250FA5">
        <w:rPr>
          <w:rFonts w:ascii="Times New Roman" w:eastAsia="Calibri" w:hAnsi="Times New Roman" w:cs="Times New Roman"/>
        </w:rPr>
        <w:t>pharmDx</w:t>
      </w:r>
      <w:proofErr w:type="spellEnd"/>
      <w:r w:rsidRPr="00250FA5">
        <w:rPr>
          <w:rFonts w:ascii="Times New Roman" w:eastAsia="Calibri" w:hAnsi="Times New Roman" w:cs="Times New Roman"/>
        </w:rPr>
        <w:t xml:space="preserve"> 22C3 assay versus response rate for Emancipator 2020 and Cohen 2019 were reconstructed in the commentary to the previous submission (Tables 2B.6.2 and 2B.6.3). “The Commentary estimated that 20.3% and 17.4% of the total population responded to pembrolizumab in Emancipator 2020 and Cohen 2019, respectively. MSAC agreed with the commentary that this indicated there was a poor correlation between the proposed PD-L1 CPS positivity threshold and extent of response to pembrolizumab” (p3, application no. 1522 PSD, November 2020 MSAC Meeting).</w:t>
      </w:r>
    </w:p>
    <w:p w14:paraId="3DE9C5EC" w14:textId="282F6178" w:rsidR="00250FA5" w:rsidRPr="00250FA5" w:rsidRDefault="00250FA5" w:rsidP="00250FA5">
      <w:pPr>
        <w:keepNext/>
        <w:keepLines/>
        <w:widowControl w:val="0"/>
        <w:spacing w:before="0" w:after="0"/>
        <w:ind w:left="992" w:hanging="992"/>
        <w:contextualSpacing/>
        <w:jc w:val="left"/>
        <w:rPr>
          <w:rFonts w:ascii="Arial Narrow" w:eastAsia="Calibri" w:hAnsi="Arial Narrow" w:cs="Times New Roman"/>
          <w:b/>
          <w:iCs/>
          <w:sz w:val="20"/>
          <w:szCs w:val="18"/>
        </w:rPr>
      </w:pPr>
      <w:r w:rsidRPr="00250FA5">
        <w:rPr>
          <w:rFonts w:ascii="Arial Narrow" w:eastAsia="Calibri" w:hAnsi="Arial Narrow" w:cs="Times New Roman"/>
          <w:b/>
          <w:iCs/>
          <w:sz w:val="20"/>
          <w:szCs w:val="18"/>
        </w:rPr>
        <w:t xml:space="preserve">Table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Table \* ARABIC </w:instrText>
      </w:r>
      <w:r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9</w:t>
      </w:r>
      <w:r w:rsidRPr="00250FA5">
        <w:rPr>
          <w:rFonts w:ascii="Arial Narrow" w:eastAsia="Calibri" w:hAnsi="Arial Narrow" w:cs="Times New Roman"/>
          <w:b/>
          <w:iCs/>
          <w:noProof/>
          <w:sz w:val="20"/>
          <w:szCs w:val="18"/>
        </w:rPr>
        <w:fldChar w:fldCharType="end"/>
      </w:r>
      <w:r w:rsidRPr="00250FA5">
        <w:rPr>
          <w:rFonts w:ascii="Arial Narrow" w:eastAsia="Calibri" w:hAnsi="Arial Narrow" w:cs="Times New Roman"/>
          <w:b/>
          <w:iCs/>
          <w:sz w:val="20"/>
          <w:szCs w:val="18"/>
        </w:rPr>
        <w:tab/>
        <w:t xml:space="preserve">Reconstructed results of </w:t>
      </w:r>
      <w:proofErr w:type="spellStart"/>
      <w:r w:rsidRPr="00250FA5">
        <w:rPr>
          <w:rFonts w:ascii="Arial Narrow" w:eastAsia="Calibri" w:hAnsi="Arial Narrow" w:cs="Times New Roman"/>
          <w:b/>
          <w:iCs/>
          <w:sz w:val="20"/>
          <w:szCs w:val="18"/>
        </w:rPr>
        <w:t>pharmDx</w:t>
      </w:r>
      <w:proofErr w:type="spellEnd"/>
      <w:r w:rsidRPr="00250FA5">
        <w:rPr>
          <w:rFonts w:ascii="Arial Narrow" w:eastAsia="Calibri" w:hAnsi="Arial Narrow" w:cs="Times New Roman"/>
          <w:b/>
          <w:iCs/>
          <w:sz w:val="20"/>
          <w:szCs w:val="18"/>
        </w:rPr>
        <w:t xml:space="preserve"> 22C3 assay versus response rate in Emancipator 2020</w:t>
      </w:r>
    </w:p>
    <w:tbl>
      <w:tblPr>
        <w:tblStyle w:val="PBACtable7"/>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250FA5" w:rsidRPr="00250FA5" w14:paraId="18AAC83A" w14:textId="77777777" w:rsidTr="00250FA5">
        <w:trPr>
          <w:cnfStyle w:val="100000000000" w:firstRow="1" w:lastRow="0" w:firstColumn="0" w:lastColumn="0" w:oddVBand="0" w:evenVBand="0" w:oddHBand="0" w:evenHBand="0" w:firstRowFirstColumn="0" w:firstRowLastColumn="0" w:lastRowFirstColumn="0" w:lastRowLastColumn="0"/>
          <w:trHeight w:val="64"/>
        </w:trPr>
        <w:tc>
          <w:tcPr>
            <w:tcW w:w="2254"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4C5AD217"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3A90A6"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Reference</w:t>
            </w:r>
          </w:p>
        </w:tc>
        <w:tc>
          <w:tcPr>
            <w:tcW w:w="2254" w:type="dxa"/>
            <w:tcBorders>
              <w:top w:val="single" w:sz="4" w:space="0" w:color="auto"/>
              <w:left w:val="single" w:sz="4" w:space="0" w:color="auto"/>
              <w:bottom w:val="nil"/>
              <w:right w:val="single" w:sz="4" w:space="0" w:color="auto"/>
            </w:tcBorders>
            <w:shd w:val="clear" w:color="auto" w:fill="FFFFFF"/>
          </w:tcPr>
          <w:p w14:paraId="08CC1769" w14:textId="77777777" w:rsidR="00250FA5" w:rsidRPr="00250FA5" w:rsidRDefault="00250FA5" w:rsidP="00250FA5">
            <w:pPr>
              <w:keepNext/>
              <w:keepLines/>
              <w:spacing w:before="0"/>
              <w:jc w:val="center"/>
              <w:rPr>
                <w:rFonts w:ascii="Arial Narrow" w:hAnsi="Arial Narrow"/>
                <w:sz w:val="20"/>
                <w:szCs w:val="20"/>
              </w:rPr>
            </w:pPr>
          </w:p>
        </w:tc>
      </w:tr>
      <w:tr w:rsidR="00250FA5" w:rsidRPr="00250FA5" w14:paraId="18D65B17" w14:textId="77777777" w:rsidTr="00250FA5">
        <w:trPr>
          <w:trHeight w:val="6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D00B92" w14:textId="77777777" w:rsidR="00250FA5" w:rsidRPr="00250FA5" w:rsidRDefault="00250FA5" w:rsidP="00250FA5">
            <w:pPr>
              <w:spacing w:before="0"/>
              <w:jc w:val="left"/>
              <w:rPr>
                <w:rFonts w:ascii="Arial Narrow" w:hAnsi="Arial Narrow"/>
                <w:b/>
                <w:sz w:val="20"/>
                <w:szCs w:val="20"/>
              </w:rPr>
            </w:pP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8CA36" w14:textId="77777777" w:rsidR="00250FA5" w:rsidRPr="00250FA5" w:rsidRDefault="00250FA5" w:rsidP="00250FA5">
            <w:pPr>
              <w:keepNext/>
              <w:keepLines/>
              <w:spacing w:before="0"/>
              <w:jc w:val="center"/>
              <w:rPr>
                <w:rFonts w:ascii="Arial Narrow" w:hAnsi="Arial Narrow"/>
                <w:b/>
                <w:bCs/>
                <w:sz w:val="20"/>
                <w:szCs w:val="20"/>
              </w:rPr>
            </w:pPr>
            <w:r w:rsidRPr="00250FA5">
              <w:rPr>
                <w:rFonts w:ascii="Arial Narrow" w:hAnsi="Arial Narrow"/>
                <w:b/>
                <w:bCs/>
                <w:sz w:val="20"/>
                <w:szCs w:val="20"/>
              </w:rPr>
              <w:t>Positive</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2624B" w14:textId="77777777" w:rsidR="00250FA5" w:rsidRPr="00250FA5" w:rsidRDefault="00250FA5" w:rsidP="00250FA5">
            <w:pPr>
              <w:keepNext/>
              <w:keepLines/>
              <w:spacing w:before="0"/>
              <w:jc w:val="center"/>
              <w:rPr>
                <w:rFonts w:ascii="Arial Narrow" w:hAnsi="Arial Narrow"/>
                <w:b/>
                <w:bCs/>
                <w:sz w:val="20"/>
                <w:szCs w:val="20"/>
              </w:rPr>
            </w:pPr>
            <w:r w:rsidRPr="00250FA5">
              <w:rPr>
                <w:rFonts w:ascii="Arial Narrow" w:hAnsi="Arial Narrow"/>
                <w:b/>
                <w:bCs/>
                <w:sz w:val="20"/>
                <w:szCs w:val="20"/>
              </w:rPr>
              <w:t>Negative</w:t>
            </w:r>
          </w:p>
        </w:tc>
        <w:tc>
          <w:tcPr>
            <w:tcW w:w="2254" w:type="dxa"/>
            <w:tcBorders>
              <w:top w:val="nil"/>
              <w:left w:val="single" w:sz="4" w:space="0" w:color="auto"/>
              <w:bottom w:val="single" w:sz="4" w:space="0" w:color="auto"/>
              <w:right w:val="single" w:sz="4" w:space="0" w:color="auto"/>
            </w:tcBorders>
            <w:shd w:val="clear" w:color="auto" w:fill="FFFFFF"/>
            <w:hideMark/>
          </w:tcPr>
          <w:p w14:paraId="3291A792" w14:textId="77777777" w:rsidR="00250FA5" w:rsidRPr="00250FA5" w:rsidRDefault="00250FA5" w:rsidP="00250FA5">
            <w:pPr>
              <w:keepNext/>
              <w:keepLines/>
              <w:spacing w:before="0"/>
              <w:jc w:val="center"/>
              <w:rPr>
                <w:rFonts w:ascii="Arial Narrow" w:hAnsi="Arial Narrow"/>
                <w:b/>
                <w:bCs/>
                <w:sz w:val="20"/>
                <w:szCs w:val="20"/>
              </w:rPr>
            </w:pPr>
            <w:r w:rsidRPr="00250FA5">
              <w:rPr>
                <w:rFonts w:ascii="Arial Narrow" w:hAnsi="Arial Narrow"/>
                <w:b/>
                <w:bCs/>
                <w:sz w:val="20"/>
                <w:szCs w:val="20"/>
              </w:rPr>
              <w:t>Total</w:t>
            </w:r>
          </w:p>
        </w:tc>
      </w:tr>
      <w:tr w:rsidR="00250FA5" w:rsidRPr="00250FA5" w14:paraId="635B299D" w14:textId="77777777" w:rsidTr="00250FA5">
        <w:trPr>
          <w:trHeight w:val="64"/>
        </w:trPr>
        <w:tc>
          <w:tcPr>
            <w:tcW w:w="2254" w:type="dxa"/>
            <w:tcBorders>
              <w:top w:val="single" w:sz="4" w:space="0" w:color="auto"/>
              <w:left w:val="single" w:sz="4" w:space="0" w:color="auto"/>
              <w:bottom w:val="single" w:sz="4" w:space="0" w:color="auto"/>
              <w:right w:val="single" w:sz="4" w:space="0" w:color="auto"/>
            </w:tcBorders>
            <w:hideMark/>
          </w:tcPr>
          <w:p w14:paraId="72714D08"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Positive</w:t>
            </w:r>
          </w:p>
        </w:tc>
        <w:tc>
          <w:tcPr>
            <w:tcW w:w="2254" w:type="dxa"/>
            <w:tcBorders>
              <w:top w:val="single" w:sz="4" w:space="0" w:color="auto"/>
              <w:left w:val="single" w:sz="4" w:space="0" w:color="auto"/>
              <w:bottom w:val="single" w:sz="4" w:space="0" w:color="auto"/>
              <w:right w:val="single" w:sz="4" w:space="0" w:color="auto"/>
            </w:tcBorders>
            <w:hideMark/>
          </w:tcPr>
          <w:p w14:paraId="7FA51746"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18.7</w:t>
            </w:r>
          </w:p>
        </w:tc>
        <w:tc>
          <w:tcPr>
            <w:tcW w:w="2254" w:type="dxa"/>
            <w:tcBorders>
              <w:top w:val="single" w:sz="4" w:space="0" w:color="auto"/>
              <w:left w:val="single" w:sz="4" w:space="0" w:color="auto"/>
              <w:bottom w:val="single" w:sz="4" w:space="0" w:color="auto"/>
              <w:right w:val="single" w:sz="4" w:space="0" w:color="auto"/>
            </w:tcBorders>
            <w:hideMark/>
          </w:tcPr>
          <w:p w14:paraId="7B7AE3DE"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64.6</w:t>
            </w:r>
          </w:p>
        </w:tc>
        <w:tc>
          <w:tcPr>
            <w:tcW w:w="2254" w:type="dxa"/>
            <w:tcBorders>
              <w:top w:val="single" w:sz="4" w:space="0" w:color="auto"/>
              <w:left w:val="single" w:sz="4" w:space="0" w:color="auto"/>
              <w:bottom w:val="single" w:sz="4" w:space="0" w:color="auto"/>
              <w:right w:val="single" w:sz="4" w:space="0" w:color="auto"/>
            </w:tcBorders>
            <w:hideMark/>
          </w:tcPr>
          <w:p w14:paraId="3484BD33"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83.3</w:t>
            </w:r>
          </w:p>
        </w:tc>
      </w:tr>
      <w:tr w:rsidR="00250FA5" w:rsidRPr="00250FA5" w14:paraId="65884638" w14:textId="77777777" w:rsidTr="00250FA5">
        <w:trPr>
          <w:trHeight w:val="89"/>
        </w:trPr>
        <w:tc>
          <w:tcPr>
            <w:tcW w:w="2254" w:type="dxa"/>
            <w:tcBorders>
              <w:top w:val="single" w:sz="4" w:space="0" w:color="auto"/>
              <w:left w:val="single" w:sz="4" w:space="0" w:color="auto"/>
              <w:bottom w:val="single" w:sz="4" w:space="0" w:color="auto"/>
              <w:right w:val="single" w:sz="4" w:space="0" w:color="auto"/>
            </w:tcBorders>
            <w:hideMark/>
          </w:tcPr>
          <w:p w14:paraId="3B584EF1"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Negative</w:t>
            </w:r>
          </w:p>
        </w:tc>
        <w:tc>
          <w:tcPr>
            <w:tcW w:w="2254" w:type="dxa"/>
            <w:tcBorders>
              <w:top w:val="single" w:sz="4" w:space="0" w:color="auto"/>
              <w:left w:val="single" w:sz="4" w:space="0" w:color="auto"/>
              <w:bottom w:val="single" w:sz="4" w:space="0" w:color="auto"/>
              <w:right w:val="single" w:sz="4" w:space="0" w:color="auto"/>
            </w:tcBorders>
            <w:hideMark/>
          </w:tcPr>
          <w:p w14:paraId="45D94466"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1.6</w:t>
            </w:r>
          </w:p>
        </w:tc>
        <w:tc>
          <w:tcPr>
            <w:tcW w:w="2254" w:type="dxa"/>
            <w:tcBorders>
              <w:top w:val="single" w:sz="4" w:space="0" w:color="auto"/>
              <w:left w:val="single" w:sz="4" w:space="0" w:color="auto"/>
              <w:bottom w:val="single" w:sz="4" w:space="0" w:color="auto"/>
              <w:right w:val="single" w:sz="4" w:space="0" w:color="auto"/>
            </w:tcBorders>
            <w:hideMark/>
          </w:tcPr>
          <w:p w14:paraId="3B21D685"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15.1</w:t>
            </w:r>
          </w:p>
        </w:tc>
        <w:tc>
          <w:tcPr>
            <w:tcW w:w="2254" w:type="dxa"/>
            <w:tcBorders>
              <w:top w:val="single" w:sz="4" w:space="0" w:color="auto"/>
              <w:left w:val="single" w:sz="4" w:space="0" w:color="auto"/>
              <w:bottom w:val="single" w:sz="4" w:space="0" w:color="auto"/>
              <w:right w:val="single" w:sz="4" w:space="0" w:color="auto"/>
            </w:tcBorders>
            <w:hideMark/>
          </w:tcPr>
          <w:p w14:paraId="1C2F8183"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16.7</w:t>
            </w:r>
          </w:p>
        </w:tc>
      </w:tr>
      <w:tr w:rsidR="00250FA5" w:rsidRPr="00250FA5" w14:paraId="4D391893" w14:textId="77777777" w:rsidTr="00250FA5">
        <w:trPr>
          <w:trHeight w:val="65"/>
        </w:trPr>
        <w:tc>
          <w:tcPr>
            <w:tcW w:w="2254" w:type="dxa"/>
            <w:tcBorders>
              <w:top w:val="single" w:sz="4" w:space="0" w:color="auto"/>
              <w:left w:val="single" w:sz="4" w:space="0" w:color="auto"/>
              <w:bottom w:val="single" w:sz="4" w:space="0" w:color="auto"/>
              <w:right w:val="single" w:sz="4" w:space="0" w:color="auto"/>
            </w:tcBorders>
            <w:hideMark/>
          </w:tcPr>
          <w:p w14:paraId="37FAC50F"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Total</w:t>
            </w:r>
          </w:p>
        </w:tc>
        <w:tc>
          <w:tcPr>
            <w:tcW w:w="2254" w:type="dxa"/>
            <w:tcBorders>
              <w:top w:val="single" w:sz="4" w:space="0" w:color="auto"/>
              <w:left w:val="single" w:sz="4" w:space="0" w:color="auto"/>
              <w:bottom w:val="single" w:sz="4" w:space="0" w:color="auto"/>
              <w:right w:val="single" w:sz="4" w:space="0" w:color="auto"/>
            </w:tcBorders>
            <w:hideMark/>
          </w:tcPr>
          <w:p w14:paraId="2A66ADD0"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20.3</w:t>
            </w:r>
          </w:p>
        </w:tc>
        <w:tc>
          <w:tcPr>
            <w:tcW w:w="2254" w:type="dxa"/>
            <w:tcBorders>
              <w:top w:val="single" w:sz="4" w:space="0" w:color="auto"/>
              <w:left w:val="single" w:sz="4" w:space="0" w:color="auto"/>
              <w:bottom w:val="single" w:sz="4" w:space="0" w:color="auto"/>
              <w:right w:val="single" w:sz="4" w:space="0" w:color="auto"/>
            </w:tcBorders>
            <w:hideMark/>
          </w:tcPr>
          <w:p w14:paraId="4026C47A"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79.7</w:t>
            </w:r>
          </w:p>
        </w:tc>
        <w:tc>
          <w:tcPr>
            <w:tcW w:w="2254" w:type="dxa"/>
            <w:tcBorders>
              <w:top w:val="single" w:sz="4" w:space="0" w:color="auto"/>
              <w:left w:val="single" w:sz="4" w:space="0" w:color="auto"/>
              <w:bottom w:val="single" w:sz="4" w:space="0" w:color="auto"/>
              <w:right w:val="single" w:sz="4" w:space="0" w:color="auto"/>
            </w:tcBorders>
          </w:tcPr>
          <w:p w14:paraId="2A4C53D7" w14:textId="77777777" w:rsidR="00250FA5" w:rsidRPr="00250FA5" w:rsidRDefault="00250FA5" w:rsidP="00250FA5">
            <w:pPr>
              <w:keepNext/>
              <w:keepLines/>
              <w:spacing w:before="0"/>
              <w:jc w:val="center"/>
              <w:rPr>
                <w:rFonts w:ascii="Arial Narrow" w:hAnsi="Arial Narrow"/>
                <w:iCs/>
                <w:sz w:val="20"/>
                <w:szCs w:val="20"/>
              </w:rPr>
            </w:pPr>
          </w:p>
        </w:tc>
      </w:tr>
    </w:tbl>
    <w:p w14:paraId="2270A575" w14:textId="77777777" w:rsidR="00250FA5" w:rsidRPr="00250FA5" w:rsidRDefault="00250FA5" w:rsidP="00FF7462">
      <w:pPr>
        <w:spacing w:before="0" w:after="240"/>
        <w:rPr>
          <w:rFonts w:ascii="Arial Narrow" w:eastAsia="Calibri" w:hAnsi="Arial Narrow" w:cs="Arial"/>
          <w:iCs/>
          <w:sz w:val="18"/>
          <w:szCs w:val="18"/>
        </w:rPr>
      </w:pPr>
      <w:r w:rsidRPr="00250FA5">
        <w:rPr>
          <w:rFonts w:ascii="Arial Narrow" w:eastAsia="Calibri" w:hAnsi="Arial Narrow" w:cs="Times New Roman"/>
          <w:iCs/>
          <w:sz w:val="18"/>
          <w:szCs w:val="18"/>
        </w:rPr>
        <w:t>Source: Table 2B.6.2, p109 of first commentary, pembrolizumab 6.08 November 2020</w:t>
      </w:r>
    </w:p>
    <w:p w14:paraId="437710BB" w14:textId="6F71617C" w:rsidR="00250FA5" w:rsidRPr="00250FA5" w:rsidRDefault="00250FA5" w:rsidP="002537A9">
      <w:pPr>
        <w:keepNext/>
        <w:keepLines/>
        <w:widowControl w:val="0"/>
        <w:spacing w:before="0" w:after="0"/>
        <w:ind w:left="993" w:hanging="993"/>
        <w:contextualSpacing/>
        <w:jc w:val="left"/>
        <w:rPr>
          <w:rFonts w:ascii="Arial Narrow" w:eastAsia="Calibri" w:hAnsi="Arial Narrow" w:cs="Times New Roman"/>
          <w:b/>
          <w:iCs/>
          <w:sz w:val="20"/>
          <w:szCs w:val="18"/>
        </w:rPr>
      </w:pPr>
      <w:bookmarkStart w:id="19" w:name="_Ref80058012"/>
      <w:r w:rsidRPr="00250FA5">
        <w:rPr>
          <w:rFonts w:ascii="Arial Narrow" w:eastAsia="Calibri" w:hAnsi="Arial Narrow" w:cs="Times New Roman"/>
          <w:b/>
          <w:iCs/>
          <w:sz w:val="20"/>
          <w:szCs w:val="18"/>
        </w:rPr>
        <w:t xml:space="preserve">Table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Table \* ARABIC </w:instrText>
      </w:r>
      <w:r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10</w:t>
      </w:r>
      <w:r w:rsidRPr="00250FA5">
        <w:rPr>
          <w:rFonts w:ascii="Arial Narrow" w:eastAsia="Calibri" w:hAnsi="Arial Narrow" w:cs="Times New Roman"/>
          <w:b/>
          <w:iCs/>
          <w:sz w:val="20"/>
          <w:szCs w:val="18"/>
        </w:rPr>
        <w:fldChar w:fldCharType="end"/>
      </w:r>
      <w:bookmarkEnd w:id="19"/>
      <w:r w:rsidRPr="00250FA5">
        <w:rPr>
          <w:rFonts w:ascii="Arial Narrow" w:eastAsia="Calibri" w:hAnsi="Arial Narrow" w:cs="Times New Roman"/>
          <w:b/>
          <w:iCs/>
          <w:sz w:val="20"/>
          <w:szCs w:val="18"/>
        </w:rPr>
        <w:tab/>
        <w:t xml:space="preserve">Reconstructed results of </w:t>
      </w:r>
      <w:proofErr w:type="spellStart"/>
      <w:r w:rsidRPr="00250FA5">
        <w:rPr>
          <w:rFonts w:ascii="Arial Narrow" w:eastAsia="Calibri" w:hAnsi="Arial Narrow" w:cs="Times New Roman"/>
          <w:b/>
          <w:iCs/>
          <w:sz w:val="20"/>
          <w:szCs w:val="18"/>
        </w:rPr>
        <w:t>pharmDx</w:t>
      </w:r>
      <w:proofErr w:type="spellEnd"/>
      <w:r w:rsidRPr="00250FA5">
        <w:rPr>
          <w:rFonts w:ascii="Arial Narrow" w:eastAsia="Calibri" w:hAnsi="Arial Narrow" w:cs="Times New Roman"/>
          <w:b/>
          <w:iCs/>
          <w:sz w:val="20"/>
          <w:szCs w:val="18"/>
        </w:rPr>
        <w:t xml:space="preserve"> 22C3 assay versus response rate in Cohen 2019</w:t>
      </w:r>
    </w:p>
    <w:tbl>
      <w:tblPr>
        <w:tblStyle w:val="PBACtable7"/>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250FA5" w:rsidRPr="00250FA5" w14:paraId="68C0B879" w14:textId="77777777" w:rsidTr="00250FA5">
        <w:trPr>
          <w:cnfStyle w:val="100000000000" w:firstRow="1" w:lastRow="0" w:firstColumn="0" w:lastColumn="0" w:oddVBand="0" w:evenVBand="0" w:oddHBand="0" w:evenHBand="0" w:firstRowFirstColumn="0" w:firstRowLastColumn="0" w:lastRowFirstColumn="0" w:lastRowLastColumn="0"/>
        </w:trPr>
        <w:tc>
          <w:tcPr>
            <w:tcW w:w="2254"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49C9BADD"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CPS</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127D76" w14:textId="77777777" w:rsidR="00250FA5" w:rsidRPr="00250FA5" w:rsidRDefault="00250FA5" w:rsidP="00250FA5">
            <w:pPr>
              <w:keepNext/>
              <w:keepLines/>
              <w:spacing w:before="0"/>
              <w:jc w:val="center"/>
              <w:rPr>
                <w:rFonts w:ascii="Arial Narrow" w:hAnsi="Arial Narrow"/>
                <w:sz w:val="20"/>
                <w:szCs w:val="20"/>
              </w:rPr>
            </w:pPr>
            <w:r w:rsidRPr="00250FA5">
              <w:rPr>
                <w:rFonts w:ascii="Arial Narrow" w:hAnsi="Arial Narrow"/>
                <w:sz w:val="20"/>
                <w:szCs w:val="20"/>
              </w:rPr>
              <w:t>Reference</w:t>
            </w:r>
          </w:p>
        </w:tc>
        <w:tc>
          <w:tcPr>
            <w:tcW w:w="2254" w:type="dxa"/>
            <w:tcBorders>
              <w:top w:val="single" w:sz="4" w:space="0" w:color="auto"/>
              <w:left w:val="single" w:sz="4" w:space="0" w:color="auto"/>
              <w:bottom w:val="nil"/>
              <w:right w:val="single" w:sz="4" w:space="0" w:color="auto"/>
            </w:tcBorders>
            <w:shd w:val="clear" w:color="auto" w:fill="FFFFFF"/>
            <w:vAlign w:val="center"/>
          </w:tcPr>
          <w:p w14:paraId="6F63F526" w14:textId="77777777" w:rsidR="00250FA5" w:rsidRPr="00250FA5" w:rsidRDefault="00250FA5" w:rsidP="00250FA5">
            <w:pPr>
              <w:keepNext/>
              <w:keepLines/>
              <w:spacing w:before="0"/>
              <w:jc w:val="center"/>
              <w:rPr>
                <w:rFonts w:ascii="Arial Narrow" w:hAnsi="Arial Narrow"/>
                <w:sz w:val="20"/>
                <w:szCs w:val="20"/>
              </w:rPr>
            </w:pPr>
          </w:p>
        </w:tc>
      </w:tr>
      <w:tr w:rsidR="00250FA5" w:rsidRPr="00250FA5" w14:paraId="2DBC3A07" w14:textId="77777777" w:rsidTr="00250FA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71FBF5" w14:textId="77777777" w:rsidR="00250FA5" w:rsidRPr="00250FA5" w:rsidRDefault="00250FA5" w:rsidP="00250FA5">
            <w:pPr>
              <w:spacing w:before="0"/>
              <w:jc w:val="left"/>
              <w:rPr>
                <w:rFonts w:ascii="Arial Narrow" w:hAnsi="Arial Narrow"/>
                <w:b/>
                <w:sz w:val="20"/>
                <w:szCs w:val="20"/>
              </w:rPr>
            </w:pP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BC576" w14:textId="77777777" w:rsidR="00250FA5" w:rsidRPr="00250FA5" w:rsidRDefault="00250FA5" w:rsidP="00250FA5">
            <w:pPr>
              <w:keepNext/>
              <w:keepLines/>
              <w:spacing w:before="0"/>
              <w:jc w:val="center"/>
              <w:rPr>
                <w:rFonts w:ascii="Arial Narrow" w:hAnsi="Arial Narrow"/>
                <w:b/>
                <w:bCs/>
                <w:sz w:val="20"/>
                <w:szCs w:val="20"/>
              </w:rPr>
            </w:pPr>
            <w:r w:rsidRPr="00250FA5">
              <w:rPr>
                <w:rFonts w:ascii="Arial Narrow" w:hAnsi="Arial Narrow"/>
                <w:b/>
                <w:bCs/>
                <w:sz w:val="20"/>
                <w:szCs w:val="20"/>
              </w:rPr>
              <w:t>Positive</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32972" w14:textId="77777777" w:rsidR="00250FA5" w:rsidRPr="00250FA5" w:rsidRDefault="00250FA5" w:rsidP="00250FA5">
            <w:pPr>
              <w:keepNext/>
              <w:keepLines/>
              <w:spacing w:before="0"/>
              <w:jc w:val="center"/>
              <w:rPr>
                <w:rFonts w:ascii="Arial Narrow" w:hAnsi="Arial Narrow"/>
                <w:b/>
                <w:bCs/>
                <w:sz w:val="20"/>
                <w:szCs w:val="20"/>
              </w:rPr>
            </w:pPr>
            <w:r w:rsidRPr="00250FA5">
              <w:rPr>
                <w:rFonts w:ascii="Arial Narrow" w:hAnsi="Arial Narrow"/>
                <w:b/>
                <w:bCs/>
                <w:sz w:val="20"/>
                <w:szCs w:val="20"/>
              </w:rPr>
              <w:t>Negative</w:t>
            </w:r>
          </w:p>
        </w:tc>
        <w:tc>
          <w:tcPr>
            <w:tcW w:w="2254" w:type="dxa"/>
            <w:tcBorders>
              <w:top w:val="nil"/>
              <w:left w:val="single" w:sz="4" w:space="0" w:color="auto"/>
              <w:bottom w:val="single" w:sz="4" w:space="0" w:color="auto"/>
              <w:right w:val="single" w:sz="4" w:space="0" w:color="auto"/>
            </w:tcBorders>
            <w:shd w:val="clear" w:color="auto" w:fill="FFFFFF"/>
            <w:vAlign w:val="center"/>
            <w:hideMark/>
          </w:tcPr>
          <w:p w14:paraId="22C9AB45" w14:textId="77777777" w:rsidR="00250FA5" w:rsidRPr="00250FA5" w:rsidRDefault="00250FA5" w:rsidP="00250FA5">
            <w:pPr>
              <w:keepNext/>
              <w:keepLines/>
              <w:spacing w:before="0"/>
              <w:jc w:val="center"/>
              <w:rPr>
                <w:rFonts w:ascii="Arial Narrow" w:hAnsi="Arial Narrow"/>
                <w:b/>
                <w:bCs/>
                <w:sz w:val="20"/>
                <w:szCs w:val="20"/>
              </w:rPr>
            </w:pPr>
            <w:r w:rsidRPr="00250FA5">
              <w:rPr>
                <w:rFonts w:ascii="Arial Narrow" w:hAnsi="Arial Narrow"/>
                <w:b/>
                <w:bCs/>
                <w:sz w:val="20"/>
                <w:szCs w:val="20"/>
              </w:rPr>
              <w:t>Total</w:t>
            </w:r>
          </w:p>
        </w:tc>
      </w:tr>
      <w:tr w:rsidR="00250FA5" w:rsidRPr="00250FA5" w14:paraId="1BDD215C" w14:textId="77777777" w:rsidTr="00250FA5">
        <w:trPr>
          <w:trHeight w:val="87"/>
        </w:trPr>
        <w:tc>
          <w:tcPr>
            <w:tcW w:w="2254" w:type="dxa"/>
            <w:tcBorders>
              <w:top w:val="single" w:sz="4" w:space="0" w:color="auto"/>
              <w:left w:val="single" w:sz="4" w:space="0" w:color="auto"/>
              <w:bottom w:val="single" w:sz="4" w:space="0" w:color="auto"/>
              <w:right w:val="single" w:sz="4" w:space="0" w:color="auto"/>
            </w:tcBorders>
            <w:hideMark/>
          </w:tcPr>
          <w:p w14:paraId="290AFA38"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Positive</w:t>
            </w:r>
          </w:p>
        </w:tc>
        <w:tc>
          <w:tcPr>
            <w:tcW w:w="2254" w:type="dxa"/>
            <w:tcBorders>
              <w:top w:val="single" w:sz="4" w:space="0" w:color="auto"/>
              <w:left w:val="single" w:sz="4" w:space="0" w:color="auto"/>
              <w:bottom w:val="single" w:sz="4" w:space="0" w:color="auto"/>
              <w:right w:val="single" w:sz="4" w:space="0" w:color="auto"/>
            </w:tcBorders>
            <w:vAlign w:val="center"/>
            <w:hideMark/>
          </w:tcPr>
          <w:p w14:paraId="252E061B"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16.4</w:t>
            </w:r>
          </w:p>
        </w:tc>
        <w:tc>
          <w:tcPr>
            <w:tcW w:w="2254" w:type="dxa"/>
            <w:tcBorders>
              <w:top w:val="single" w:sz="4" w:space="0" w:color="auto"/>
              <w:left w:val="single" w:sz="4" w:space="0" w:color="auto"/>
              <w:bottom w:val="single" w:sz="4" w:space="0" w:color="auto"/>
              <w:right w:val="single" w:sz="4" w:space="0" w:color="auto"/>
            </w:tcBorders>
            <w:vAlign w:val="center"/>
            <w:hideMark/>
          </w:tcPr>
          <w:p w14:paraId="71AD0E23"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63.6</w:t>
            </w:r>
          </w:p>
        </w:tc>
        <w:tc>
          <w:tcPr>
            <w:tcW w:w="2254" w:type="dxa"/>
            <w:tcBorders>
              <w:top w:val="single" w:sz="4" w:space="0" w:color="auto"/>
              <w:left w:val="single" w:sz="4" w:space="0" w:color="auto"/>
              <w:bottom w:val="single" w:sz="4" w:space="0" w:color="auto"/>
              <w:right w:val="single" w:sz="4" w:space="0" w:color="auto"/>
            </w:tcBorders>
            <w:vAlign w:val="center"/>
            <w:hideMark/>
          </w:tcPr>
          <w:p w14:paraId="1704527C"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80</w:t>
            </w:r>
          </w:p>
        </w:tc>
      </w:tr>
      <w:tr w:rsidR="00250FA5" w:rsidRPr="00250FA5" w14:paraId="1ECC4289" w14:textId="77777777" w:rsidTr="00250FA5">
        <w:tc>
          <w:tcPr>
            <w:tcW w:w="2254" w:type="dxa"/>
            <w:tcBorders>
              <w:top w:val="single" w:sz="4" w:space="0" w:color="auto"/>
              <w:left w:val="single" w:sz="4" w:space="0" w:color="auto"/>
              <w:bottom w:val="single" w:sz="4" w:space="0" w:color="auto"/>
              <w:right w:val="single" w:sz="4" w:space="0" w:color="auto"/>
            </w:tcBorders>
            <w:hideMark/>
          </w:tcPr>
          <w:p w14:paraId="0D5596C0"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Negative</w:t>
            </w:r>
          </w:p>
        </w:tc>
        <w:tc>
          <w:tcPr>
            <w:tcW w:w="2254" w:type="dxa"/>
            <w:tcBorders>
              <w:top w:val="single" w:sz="4" w:space="0" w:color="auto"/>
              <w:left w:val="single" w:sz="4" w:space="0" w:color="auto"/>
              <w:bottom w:val="single" w:sz="4" w:space="0" w:color="auto"/>
              <w:right w:val="single" w:sz="4" w:space="0" w:color="auto"/>
            </w:tcBorders>
            <w:vAlign w:val="center"/>
            <w:hideMark/>
          </w:tcPr>
          <w:p w14:paraId="2784EC70"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1.0</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16F505E"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19.0</w:t>
            </w:r>
          </w:p>
        </w:tc>
        <w:tc>
          <w:tcPr>
            <w:tcW w:w="2254" w:type="dxa"/>
            <w:tcBorders>
              <w:top w:val="single" w:sz="4" w:space="0" w:color="auto"/>
              <w:left w:val="single" w:sz="4" w:space="0" w:color="auto"/>
              <w:bottom w:val="single" w:sz="4" w:space="0" w:color="auto"/>
              <w:right w:val="single" w:sz="4" w:space="0" w:color="auto"/>
            </w:tcBorders>
            <w:vAlign w:val="center"/>
            <w:hideMark/>
          </w:tcPr>
          <w:p w14:paraId="166AEB29"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20</w:t>
            </w:r>
          </w:p>
        </w:tc>
      </w:tr>
      <w:tr w:rsidR="00250FA5" w:rsidRPr="00250FA5" w14:paraId="3E2BED04" w14:textId="77777777" w:rsidTr="00250FA5">
        <w:tc>
          <w:tcPr>
            <w:tcW w:w="2254" w:type="dxa"/>
            <w:tcBorders>
              <w:top w:val="single" w:sz="4" w:space="0" w:color="auto"/>
              <w:left w:val="single" w:sz="4" w:space="0" w:color="auto"/>
              <w:bottom w:val="single" w:sz="4" w:space="0" w:color="auto"/>
              <w:right w:val="single" w:sz="4" w:space="0" w:color="auto"/>
            </w:tcBorders>
            <w:hideMark/>
          </w:tcPr>
          <w:p w14:paraId="1D2155EB" w14:textId="77777777" w:rsidR="00250FA5" w:rsidRPr="00250FA5" w:rsidRDefault="00250FA5" w:rsidP="00250FA5">
            <w:pPr>
              <w:keepNext/>
              <w:keepLines/>
              <w:spacing w:before="0"/>
              <w:rPr>
                <w:rFonts w:ascii="Arial Narrow" w:hAnsi="Arial Narrow"/>
                <w:sz w:val="20"/>
                <w:szCs w:val="20"/>
              </w:rPr>
            </w:pPr>
            <w:r w:rsidRPr="00250FA5">
              <w:rPr>
                <w:rFonts w:ascii="Arial Narrow" w:hAnsi="Arial Narrow"/>
                <w:sz w:val="20"/>
                <w:szCs w:val="20"/>
              </w:rPr>
              <w:t>Total</w:t>
            </w:r>
          </w:p>
        </w:tc>
        <w:tc>
          <w:tcPr>
            <w:tcW w:w="2254" w:type="dxa"/>
            <w:tcBorders>
              <w:top w:val="single" w:sz="4" w:space="0" w:color="auto"/>
              <w:left w:val="single" w:sz="4" w:space="0" w:color="auto"/>
              <w:bottom w:val="single" w:sz="4" w:space="0" w:color="auto"/>
              <w:right w:val="single" w:sz="4" w:space="0" w:color="auto"/>
            </w:tcBorders>
            <w:vAlign w:val="center"/>
            <w:hideMark/>
          </w:tcPr>
          <w:p w14:paraId="22E9CB2D"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17.4</w:t>
            </w:r>
          </w:p>
        </w:tc>
        <w:tc>
          <w:tcPr>
            <w:tcW w:w="2254" w:type="dxa"/>
            <w:tcBorders>
              <w:top w:val="single" w:sz="4" w:space="0" w:color="auto"/>
              <w:left w:val="single" w:sz="4" w:space="0" w:color="auto"/>
              <w:bottom w:val="single" w:sz="4" w:space="0" w:color="auto"/>
              <w:right w:val="single" w:sz="4" w:space="0" w:color="auto"/>
            </w:tcBorders>
            <w:vAlign w:val="center"/>
            <w:hideMark/>
          </w:tcPr>
          <w:p w14:paraId="7E2436AA" w14:textId="77777777" w:rsidR="00250FA5" w:rsidRPr="00250FA5" w:rsidRDefault="00250FA5" w:rsidP="00250FA5">
            <w:pPr>
              <w:keepNext/>
              <w:keepLines/>
              <w:spacing w:before="0"/>
              <w:jc w:val="center"/>
              <w:rPr>
                <w:rFonts w:ascii="Arial Narrow" w:hAnsi="Arial Narrow"/>
                <w:iCs/>
                <w:sz w:val="20"/>
                <w:szCs w:val="20"/>
              </w:rPr>
            </w:pPr>
            <w:r w:rsidRPr="00250FA5">
              <w:rPr>
                <w:rFonts w:ascii="Arial Narrow" w:hAnsi="Arial Narrow"/>
                <w:iCs/>
                <w:sz w:val="20"/>
                <w:szCs w:val="20"/>
              </w:rPr>
              <w:t>82.6</w:t>
            </w:r>
          </w:p>
        </w:tc>
        <w:tc>
          <w:tcPr>
            <w:tcW w:w="2254" w:type="dxa"/>
            <w:tcBorders>
              <w:top w:val="single" w:sz="4" w:space="0" w:color="auto"/>
              <w:left w:val="single" w:sz="4" w:space="0" w:color="auto"/>
              <w:bottom w:val="single" w:sz="4" w:space="0" w:color="auto"/>
              <w:right w:val="single" w:sz="4" w:space="0" w:color="auto"/>
            </w:tcBorders>
            <w:vAlign w:val="center"/>
          </w:tcPr>
          <w:p w14:paraId="4E52163C" w14:textId="77777777" w:rsidR="00250FA5" w:rsidRPr="00250FA5" w:rsidRDefault="00250FA5" w:rsidP="00250FA5">
            <w:pPr>
              <w:keepNext/>
              <w:keepLines/>
              <w:spacing w:before="0"/>
              <w:jc w:val="center"/>
              <w:rPr>
                <w:rFonts w:ascii="Arial Narrow" w:hAnsi="Arial Narrow"/>
                <w:iCs/>
                <w:sz w:val="20"/>
                <w:szCs w:val="20"/>
              </w:rPr>
            </w:pPr>
          </w:p>
        </w:tc>
      </w:tr>
    </w:tbl>
    <w:p w14:paraId="3630778A" w14:textId="77777777" w:rsidR="00250FA5" w:rsidRPr="00250FA5" w:rsidRDefault="00250FA5" w:rsidP="00FF7462">
      <w:pPr>
        <w:spacing w:before="0" w:after="240"/>
        <w:rPr>
          <w:rFonts w:ascii="Arial Narrow" w:eastAsia="Calibri" w:hAnsi="Arial Narrow" w:cs="Arial"/>
          <w:iCs/>
          <w:sz w:val="18"/>
          <w:szCs w:val="18"/>
        </w:rPr>
      </w:pPr>
      <w:r w:rsidRPr="00250FA5">
        <w:rPr>
          <w:rFonts w:ascii="Arial Narrow" w:eastAsia="Calibri" w:hAnsi="Arial Narrow" w:cs="Times New Roman"/>
          <w:iCs/>
          <w:sz w:val="18"/>
          <w:szCs w:val="18"/>
        </w:rPr>
        <w:t>Source: Table 2B.6.3, p109 of first commentary, pembrolizumab 6.08 November 2020</w:t>
      </w:r>
    </w:p>
    <w:p w14:paraId="7C66AEBD"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Following the previous submission “MSAC noted that there is no reference standard for the clinical validity of PD-L1 testing… MSAC noted the high sensitivity and low specificity reported for the test at the threshold of CPS ≥1, and agreed with the ESCs and the Commentary that the apparently high sensitivity might be due to the test classifying over 80% of patients as being CPS ≥1 rather than the test accurately identifying patients who will respond to pembrolizumab.” (p3, application no. 1522 PSD, November 2020 MSAC Meeting)</w:t>
      </w:r>
    </w:p>
    <w:p w14:paraId="0A4A7F0D" w14:textId="20588001"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The resubmission (p166) appeared to agree with the comments of MSAC, noting that “at the CPS ≥1 cut-point the test will capture the broadest pool of patients likely to respond to pembrolizumab due to the high prevalence at this cut point. In this way PD-L1, whether scored by TPS or CPS, is an enrichment biomarker, which aims to enrich the population with patients more likely to benefit from pembrolizumab treatment. This is distinct from driver mutation biomarkers such as </w:t>
      </w:r>
      <w:r w:rsidRPr="00D050CB">
        <w:rPr>
          <w:rFonts w:ascii="Times New Roman" w:eastAsia="Calibri" w:hAnsi="Times New Roman" w:cs="Times New Roman"/>
          <w:i/>
          <w:iCs/>
        </w:rPr>
        <w:t>EGFR</w:t>
      </w:r>
      <w:r w:rsidRPr="00250FA5">
        <w:rPr>
          <w:rFonts w:ascii="Times New Roman" w:eastAsia="Calibri" w:hAnsi="Times New Roman" w:cs="Times New Roman"/>
        </w:rPr>
        <w:t xml:space="preserve"> which are highly predictive of a clinical benefit in response to tyrosine kinase inhibitors in patients with specific driver mutations.”</w:t>
      </w:r>
    </w:p>
    <w:p w14:paraId="66F8C8E6" w14:textId="391F5C7A"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The resubmission (p166) claimed that in MSAC’s April 2020 consideration of Application 1570 for PD-L1 testing for access to atezolizumab in triple negative breast cancer does not comment on the sensitivity or specificity. The resubmission considered that this was an inconsistency in the assessment of the PD-L1 biomarker. The commentary considered that this may not be an appropriate conclusion, as MSAC’s assessment of testing and decision to support extends beyond sensitivity and/or specificity. The commentary considered there were numerous differences between the two considerations (but not limited to): different cancers being considered and associated biological plausibility of the PD-L1 measurement, different alternative treatment pathways and potential sequelae for false positives, and different trial designs and alignment to requested listing and PD-L1 </w:t>
      </w:r>
      <w:r w:rsidR="00F224C6">
        <w:rPr>
          <w:rFonts w:ascii="Times New Roman" w:eastAsia="Calibri" w:hAnsi="Times New Roman" w:cs="Times New Roman"/>
        </w:rPr>
        <w:t>threshold</w:t>
      </w:r>
      <w:r w:rsidRPr="00250FA5">
        <w:rPr>
          <w:rFonts w:ascii="Times New Roman" w:eastAsia="Calibri" w:hAnsi="Times New Roman" w:cs="Times New Roman"/>
        </w:rPr>
        <w:t>. The concordance of different PD-L1 assays as well as all the reasons behind MSAC’s considerations for PD-L1 testing for access to atezolizumab in triple negative breast cancer were discussed in MSAC’s consideration of Application 1570.</w:t>
      </w:r>
    </w:p>
    <w:p w14:paraId="713FFBB7" w14:textId="5453C2BD"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The commentary considered that there remains concerns around the low specificity of CPS at detecting responders, uncertainty around whether prior treatment could affect PD-L1 expression (which may confound the correlation between OS and PD-L1 expression), uncertainty around effect of disease progression on PD-L1 expression and </w:t>
      </w:r>
      <w:proofErr w:type="spellStart"/>
      <w:r w:rsidRPr="00250FA5">
        <w:rPr>
          <w:rFonts w:ascii="Times New Roman" w:eastAsia="Calibri" w:hAnsi="Times New Roman" w:cs="Times New Roman"/>
        </w:rPr>
        <w:t>intratumour</w:t>
      </w:r>
      <w:proofErr w:type="spellEnd"/>
      <w:r w:rsidRPr="00250FA5">
        <w:rPr>
          <w:rFonts w:ascii="Times New Roman" w:eastAsia="Calibri" w:hAnsi="Times New Roman" w:cs="Times New Roman"/>
        </w:rPr>
        <w:t xml:space="preserve"> heterogeneity potentially affecting the rate of false results (both positive and negative). The commentary considered that false positive results beyond the unnecessary economic costs, may have negative consequences for patients and false negative results would result in foregone clinical benefits in misclassified patients.</w:t>
      </w:r>
    </w:p>
    <w:p w14:paraId="3EA8855B" w14:textId="1609DC40" w:rsidR="00250FA5" w:rsidRPr="00250FA5" w:rsidRDefault="00250FA5" w:rsidP="008431D6">
      <w:pPr>
        <w:keepNext/>
        <w:keepLines/>
        <w:spacing w:before="200" w:after="120"/>
        <w:jc w:val="left"/>
        <w:outlineLvl w:val="1"/>
        <w:rPr>
          <w:rFonts w:ascii="Times New Roman" w:eastAsia="Times New Roman" w:hAnsi="Times New Roman" w:cs="Times New Roman"/>
          <w:i/>
          <w:szCs w:val="26"/>
          <w:lang w:eastAsia="en-AU"/>
        </w:rPr>
      </w:pPr>
      <w:r w:rsidRPr="00250FA5">
        <w:rPr>
          <w:rFonts w:ascii="Times New Roman" w:eastAsia="Times New Roman" w:hAnsi="Times New Roman" w:cs="Times New Roman"/>
          <w:i/>
          <w:szCs w:val="26"/>
          <w:lang w:eastAsia="en-AU"/>
        </w:rPr>
        <w:t>Prevalence</w:t>
      </w:r>
    </w:p>
    <w:p w14:paraId="0A99CEE6" w14:textId="66DE4EEF" w:rsidR="005C34E2" w:rsidRPr="005C34E2" w:rsidRDefault="00250FA5" w:rsidP="00612A60">
      <w:pPr>
        <w:spacing w:before="0" w:after="240"/>
        <w:jc w:val="left"/>
        <w:rPr>
          <w:rFonts w:ascii="Times New Roman" w:eastAsia="Calibri" w:hAnsi="Times New Roman" w:cs="Times New Roman"/>
          <w:bCs/>
          <w:szCs w:val="24"/>
        </w:rPr>
      </w:pPr>
      <w:r w:rsidRPr="00250FA5">
        <w:rPr>
          <w:rFonts w:ascii="Times New Roman" w:eastAsia="Calibri" w:hAnsi="Times New Roman" w:cs="Times New Roman"/>
        </w:rPr>
        <w:t>The resubmission adopted the proportion of patients with CPS ≥1 of 80% in line the PBAC comments for the original submission (paragraph 6.78, pembrolizumab PSD, November 2020 PBAC Meeting). This figure is lower than proposed in the original submission which estimated the prevalence of CPS ≥1 in patients with R/M HNSCC, specifically of the oral cavity, pharynx or larynx, to be around 85.3% based on the proportion of patients in KN048.</w:t>
      </w:r>
      <w:r w:rsidR="005C34E2" w:rsidRPr="005C34E2">
        <w:rPr>
          <w:rFonts w:ascii="Times New Roman" w:eastAsia="Calibri" w:hAnsi="Times New Roman" w:cs="Times New Roman"/>
          <w:bCs/>
          <w:szCs w:val="24"/>
        </w:rPr>
        <w:t xml:space="preserve"> The proportion</w:t>
      </w:r>
      <w:r w:rsidR="00F224C6">
        <w:rPr>
          <w:rFonts w:ascii="Times New Roman" w:eastAsia="Calibri" w:hAnsi="Times New Roman" w:cs="Times New Roman"/>
          <w:bCs/>
          <w:szCs w:val="24"/>
        </w:rPr>
        <w:t>s</w:t>
      </w:r>
      <w:r w:rsidR="005C34E2" w:rsidRPr="005C34E2">
        <w:rPr>
          <w:rFonts w:ascii="Times New Roman" w:eastAsia="Calibri" w:hAnsi="Times New Roman" w:cs="Times New Roman"/>
          <w:bCs/>
          <w:szCs w:val="24"/>
        </w:rPr>
        <w:t xml:space="preserve"> of patients with PD-L1 CPS ≥1 or ≥20 from studies presented in the resubmission are presented </w:t>
      </w:r>
      <w:r w:rsidR="005C34E2" w:rsidRPr="00612A60">
        <w:rPr>
          <w:rFonts w:ascii="Times New Roman" w:eastAsia="Calibri" w:hAnsi="Times New Roman" w:cs="Times New Roman"/>
          <w:bCs/>
          <w:szCs w:val="24"/>
        </w:rPr>
        <w:t xml:space="preserve">in </w:t>
      </w:r>
      <w:r w:rsidR="00612A60" w:rsidRPr="00612A60">
        <w:rPr>
          <w:rFonts w:ascii="Times New Roman" w:eastAsia="Calibri" w:hAnsi="Times New Roman" w:cs="Times New Roman"/>
          <w:bCs/>
          <w:szCs w:val="24"/>
        </w:rPr>
        <w:fldChar w:fldCharType="begin"/>
      </w:r>
      <w:r w:rsidR="00612A60" w:rsidRPr="00612A60">
        <w:rPr>
          <w:rFonts w:ascii="Times New Roman" w:eastAsia="Calibri" w:hAnsi="Times New Roman" w:cs="Times New Roman"/>
          <w:bCs/>
          <w:szCs w:val="24"/>
        </w:rPr>
        <w:instrText xml:space="preserve"> REF _Ref90042221 \h </w:instrText>
      </w:r>
      <w:r w:rsidR="00612A60">
        <w:rPr>
          <w:rFonts w:ascii="Times New Roman" w:eastAsia="Calibri" w:hAnsi="Times New Roman" w:cs="Times New Roman"/>
          <w:bCs/>
          <w:szCs w:val="24"/>
        </w:rPr>
        <w:instrText xml:space="preserve"> \* MERGEFORMAT </w:instrText>
      </w:r>
      <w:r w:rsidR="00612A60" w:rsidRPr="00612A60">
        <w:rPr>
          <w:rFonts w:ascii="Times New Roman" w:eastAsia="Calibri" w:hAnsi="Times New Roman" w:cs="Times New Roman"/>
          <w:bCs/>
          <w:szCs w:val="24"/>
        </w:rPr>
      </w:r>
      <w:r w:rsidR="00612A60" w:rsidRPr="00612A60">
        <w:rPr>
          <w:rFonts w:ascii="Times New Roman" w:eastAsia="Calibri" w:hAnsi="Times New Roman" w:cs="Times New Roman"/>
          <w:bCs/>
          <w:szCs w:val="24"/>
        </w:rPr>
        <w:fldChar w:fldCharType="separate"/>
      </w:r>
      <w:r w:rsidR="00612A60" w:rsidRPr="00612A60">
        <w:rPr>
          <w:rFonts w:ascii="Times New Roman" w:hAnsi="Times New Roman" w:cs="Times New Roman"/>
        </w:rPr>
        <w:t xml:space="preserve">Table </w:t>
      </w:r>
      <w:r w:rsidR="00612A60" w:rsidRPr="00612A60">
        <w:rPr>
          <w:rFonts w:ascii="Times New Roman" w:hAnsi="Times New Roman" w:cs="Times New Roman"/>
          <w:noProof/>
        </w:rPr>
        <w:t>1</w:t>
      </w:r>
      <w:r w:rsidR="002537A9">
        <w:rPr>
          <w:rFonts w:ascii="Times New Roman" w:hAnsi="Times New Roman" w:cs="Times New Roman"/>
          <w:noProof/>
        </w:rPr>
        <w:t>1</w:t>
      </w:r>
      <w:r w:rsidR="00612A60" w:rsidRPr="00612A60">
        <w:rPr>
          <w:rFonts w:ascii="Times New Roman" w:eastAsia="Calibri" w:hAnsi="Times New Roman" w:cs="Times New Roman"/>
          <w:bCs/>
          <w:szCs w:val="24"/>
        </w:rPr>
        <w:fldChar w:fldCharType="end"/>
      </w:r>
      <w:r w:rsidR="005C34E2" w:rsidRPr="00612A60">
        <w:rPr>
          <w:rFonts w:ascii="Times New Roman" w:eastAsia="Calibri" w:hAnsi="Times New Roman" w:cs="Times New Roman"/>
          <w:bCs/>
          <w:szCs w:val="24"/>
        </w:rPr>
        <w:t>.</w:t>
      </w:r>
    </w:p>
    <w:p w14:paraId="1BB09DD3" w14:textId="0CDE78C1" w:rsidR="00612A60" w:rsidRDefault="00612A60" w:rsidP="002537A9">
      <w:pPr>
        <w:pStyle w:val="Caption"/>
      </w:pPr>
      <w:bookmarkStart w:id="20" w:name="_Ref90042221"/>
      <w:r>
        <w:t xml:space="preserve">Table </w:t>
      </w:r>
      <w:r>
        <w:fldChar w:fldCharType="begin"/>
      </w:r>
      <w:r>
        <w:instrText>SEQ Table \* ARABIC</w:instrText>
      </w:r>
      <w:r>
        <w:fldChar w:fldCharType="separate"/>
      </w:r>
      <w:r w:rsidR="00783DB8">
        <w:rPr>
          <w:noProof/>
        </w:rPr>
        <w:t>11</w:t>
      </w:r>
      <w:r>
        <w:fldChar w:fldCharType="end"/>
      </w:r>
      <w:bookmarkEnd w:id="20"/>
      <w:r w:rsidR="00F54109">
        <w:rPr>
          <w:rFonts w:eastAsia="SimSun" w:cs="Arial"/>
          <w:snapToGrid w:val="0"/>
          <w:szCs w:val="20"/>
          <w:lang w:eastAsia="en-AU" w:bidi="en-US"/>
        </w:rPr>
        <w:tab/>
      </w:r>
      <w:r w:rsidRPr="005C34E2">
        <w:rPr>
          <w:rFonts w:eastAsia="SimSun" w:cs="Arial"/>
          <w:snapToGrid w:val="0"/>
          <w:szCs w:val="20"/>
          <w:lang w:eastAsia="en-AU" w:bidi="en-US"/>
        </w:rPr>
        <w:t>PD-L1 prevalence in KN048</w:t>
      </w:r>
      <w:r w:rsidR="00A32004">
        <w:rPr>
          <w:rFonts w:eastAsia="SimSun" w:cs="Arial"/>
          <w:snapToGrid w:val="0"/>
          <w:szCs w:val="20"/>
          <w:lang w:eastAsia="en-AU" w:bidi="en-US"/>
        </w:rPr>
        <w:t>, Emancipator (2020) and Cohen (2019)</w:t>
      </w:r>
    </w:p>
    <w:tbl>
      <w:tblPr>
        <w:tblStyle w:val="TableGrid3"/>
        <w:tblW w:w="5000" w:type="pct"/>
        <w:tblLook w:val="04A0" w:firstRow="1" w:lastRow="0" w:firstColumn="1" w:lastColumn="0" w:noHBand="0" w:noVBand="1"/>
      </w:tblPr>
      <w:tblGrid>
        <w:gridCol w:w="845"/>
        <w:gridCol w:w="1277"/>
        <w:gridCol w:w="1132"/>
        <w:gridCol w:w="1136"/>
        <w:gridCol w:w="1165"/>
        <w:gridCol w:w="1149"/>
        <w:gridCol w:w="1255"/>
        <w:gridCol w:w="1057"/>
      </w:tblGrid>
      <w:tr w:rsidR="005C34E2" w:rsidRPr="005C34E2" w14:paraId="158BCCE3" w14:textId="77777777" w:rsidTr="0061068C">
        <w:trPr>
          <w:trHeight w:val="235"/>
        </w:trPr>
        <w:tc>
          <w:tcPr>
            <w:tcW w:w="469" w:type="pct"/>
            <w:vMerge w:val="restart"/>
            <w:tcMar>
              <w:left w:w="62" w:type="dxa"/>
              <w:right w:w="62" w:type="dxa"/>
            </w:tcMar>
          </w:tcPr>
          <w:p w14:paraId="49A2F9B0" w14:textId="52354239" w:rsidR="005C34E2" w:rsidRPr="005C34E2" w:rsidRDefault="005C34E2" w:rsidP="005C34E2">
            <w:pPr>
              <w:rPr>
                <w:rFonts w:ascii="Arial Narrow" w:eastAsia="Calibri" w:hAnsi="Arial Narrow"/>
                <w:sz w:val="20"/>
                <w:szCs w:val="20"/>
              </w:rPr>
            </w:pPr>
          </w:p>
        </w:tc>
        <w:tc>
          <w:tcPr>
            <w:tcW w:w="3249" w:type="pct"/>
            <w:gridSpan w:val="5"/>
            <w:tcMar>
              <w:left w:w="62" w:type="dxa"/>
              <w:right w:w="62" w:type="dxa"/>
            </w:tcMar>
          </w:tcPr>
          <w:p w14:paraId="0C51AE41" w14:textId="77777777" w:rsidR="005C34E2" w:rsidRPr="005C34E2" w:rsidRDefault="005C34E2" w:rsidP="005C34E2">
            <w:pPr>
              <w:spacing w:before="0"/>
              <w:jc w:val="center"/>
              <w:rPr>
                <w:rFonts w:ascii="Arial Narrow" w:eastAsia="Calibri" w:hAnsi="Arial Narrow"/>
                <w:b/>
                <w:bCs/>
                <w:sz w:val="20"/>
                <w:szCs w:val="20"/>
              </w:rPr>
            </w:pPr>
            <w:r w:rsidRPr="005C34E2">
              <w:rPr>
                <w:rFonts w:ascii="Arial Narrow" w:eastAsia="Calibri" w:hAnsi="Arial Narrow"/>
                <w:b/>
                <w:bCs/>
                <w:sz w:val="20"/>
                <w:szCs w:val="20"/>
              </w:rPr>
              <w:t>KN048</w:t>
            </w:r>
          </w:p>
        </w:tc>
        <w:tc>
          <w:tcPr>
            <w:tcW w:w="1282" w:type="pct"/>
            <w:gridSpan w:val="2"/>
            <w:tcMar>
              <w:left w:w="62" w:type="dxa"/>
              <w:right w:w="62" w:type="dxa"/>
            </w:tcMar>
          </w:tcPr>
          <w:p w14:paraId="3496BADF" w14:textId="77777777" w:rsidR="005C34E2" w:rsidRPr="005C34E2" w:rsidRDefault="005C34E2" w:rsidP="005C34E2">
            <w:pPr>
              <w:spacing w:before="0"/>
              <w:jc w:val="center"/>
              <w:rPr>
                <w:rFonts w:ascii="Arial Narrow" w:eastAsia="Calibri" w:hAnsi="Arial Narrow"/>
                <w:b/>
                <w:bCs/>
                <w:sz w:val="20"/>
                <w:szCs w:val="20"/>
              </w:rPr>
            </w:pPr>
            <w:r w:rsidRPr="005C34E2">
              <w:rPr>
                <w:rFonts w:ascii="Arial Narrow" w:eastAsia="Calibri" w:hAnsi="Arial Narrow"/>
                <w:b/>
                <w:bCs/>
                <w:sz w:val="20"/>
                <w:szCs w:val="20"/>
              </w:rPr>
              <w:t>Other studies</w:t>
            </w:r>
          </w:p>
        </w:tc>
      </w:tr>
      <w:tr w:rsidR="005C34E2" w:rsidRPr="005C34E2" w14:paraId="78A3F2E8" w14:textId="77777777" w:rsidTr="0061068C">
        <w:trPr>
          <w:trHeight w:val="494"/>
        </w:trPr>
        <w:tc>
          <w:tcPr>
            <w:tcW w:w="469" w:type="pct"/>
            <w:vMerge/>
            <w:tcMar>
              <w:left w:w="62" w:type="dxa"/>
              <w:right w:w="62" w:type="dxa"/>
            </w:tcMar>
          </w:tcPr>
          <w:p w14:paraId="2F3FEC12" w14:textId="77777777" w:rsidR="005C34E2" w:rsidRPr="005C34E2" w:rsidRDefault="005C34E2" w:rsidP="005C34E2">
            <w:pPr>
              <w:spacing w:before="0"/>
              <w:jc w:val="left"/>
              <w:rPr>
                <w:rFonts w:ascii="Arial Narrow" w:eastAsia="Calibri" w:hAnsi="Arial Narrow"/>
                <w:sz w:val="20"/>
                <w:szCs w:val="20"/>
              </w:rPr>
            </w:pPr>
          </w:p>
        </w:tc>
        <w:tc>
          <w:tcPr>
            <w:tcW w:w="708" w:type="pct"/>
            <w:tcMar>
              <w:left w:w="62" w:type="dxa"/>
              <w:right w:w="62" w:type="dxa"/>
            </w:tcMar>
          </w:tcPr>
          <w:p w14:paraId="42502C94" w14:textId="77777777" w:rsidR="005C34E2" w:rsidRPr="005C34E2" w:rsidRDefault="005C34E2" w:rsidP="005C34E2">
            <w:pPr>
              <w:spacing w:before="0"/>
              <w:jc w:val="center"/>
              <w:rPr>
                <w:rFonts w:ascii="Arial Narrow" w:eastAsia="Calibri" w:hAnsi="Arial Narrow"/>
                <w:b/>
                <w:bCs/>
                <w:sz w:val="20"/>
                <w:szCs w:val="20"/>
              </w:rPr>
            </w:pPr>
            <w:proofErr w:type="spellStart"/>
            <w:r w:rsidRPr="005C34E2">
              <w:rPr>
                <w:rFonts w:ascii="Arial Narrow" w:eastAsia="Calibri" w:hAnsi="Arial Narrow"/>
                <w:b/>
                <w:bCs/>
                <w:sz w:val="20"/>
                <w:szCs w:val="20"/>
              </w:rPr>
              <w:t>Pembro</w:t>
            </w:r>
            <w:proofErr w:type="spellEnd"/>
            <w:r w:rsidRPr="005C34E2">
              <w:rPr>
                <w:rFonts w:ascii="Arial Narrow" w:eastAsia="Calibri" w:hAnsi="Arial Narrow"/>
                <w:b/>
                <w:bCs/>
                <w:sz w:val="20"/>
                <w:szCs w:val="20"/>
              </w:rPr>
              <w:t xml:space="preserve"> +chemo</w:t>
            </w:r>
          </w:p>
          <w:p w14:paraId="18CB12E5" w14:textId="77777777" w:rsidR="005C34E2" w:rsidRPr="005C34E2" w:rsidRDefault="005C34E2" w:rsidP="005C34E2">
            <w:pPr>
              <w:spacing w:before="0"/>
              <w:jc w:val="center"/>
              <w:rPr>
                <w:rFonts w:ascii="Arial Narrow" w:eastAsia="Calibri" w:hAnsi="Arial Narrow"/>
                <w:b/>
                <w:bCs/>
                <w:sz w:val="20"/>
                <w:szCs w:val="20"/>
              </w:rPr>
            </w:pPr>
            <w:r w:rsidRPr="005C34E2">
              <w:rPr>
                <w:rFonts w:ascii="Arial Narrow" w:eastAsia="Calibri" w:hAnsi="Arial Narrow"/>
                <w:b/>
                <w:bCs/>
                <w:sz w:val="20"/>
                <w:szCs w:val="20"/>
              </w:rPr>
              <w:t>n (%)</w:t>
            </w:r>
          </w:p>
        </w:tc>
        <w:tc>
          <w:tcPr>
            <w:tcW w:w="628" w:type="pct"/>
            <w:tcMar>
              <w:left w:w="62" w:type="dxa"/>
              <w:right w:w="62" w:type="dxa"/>
            </w:tcMar>
          </w:tcPr>
          <w:p w14:paraId="41A08899" w14:textId="0676819A" w:rsidR="005C34E2" w:rsidRPr="005C34E2" w:rsidRDefault="005C34E2" w:rsidP="005C34E2">
            <w:pPr>
              <w:spacing w:before="0"/>
              <w:jc w:val="center"/>
              <w:rPr>
                <w:rFonts w:ascii="Arial Narrow" w:eastAsia="Calibri" w:hAnsi="Arial Narrow"/>
                <w:b/>
                <w:bCs/>
                <w:sz w:val="20"/>
                <w:szCs w:val="20"/>
              </w:rPr>
            </w:pPr>
            <w:proofErr w:type="spellStart"/>
            <w:r w:rsidRPr="005C34E2">
              <w:rPr>
                <w:rFonts w:ascii="Arial Narrow" w:eastAsia="Calibri" w:hAnsi="Arial Narrow"/>
                <w:b/>
                <w:bCs/>
                <w:sz w:val="20"/>
                <w:szCs w:val="20"/>
              </w:rPr>
              <w:t>Pembo</w:t>
            </w:r>
            <w:proofErr w:type="spellEnd"/>
            <w:r w:rsidRPr="005C34E2">
              <w:rPr>
                <w:rFonts w:ascii="Arial Narrow" w:eastAsia="Calibri" w:hAnsi="Arial Narrow"/>
                <w:b/>
                <w:bCs/>
                <w:sz w:val="20"/>
                <w:szCs w:val="20"/>
              </w:rPr>
              <w:t xml:space="preserve"> mono</w:t>
            </w:r>
          </w:p>
          <w:p w14:paraId="46A53245" w14:textId="77777777" w:rsidR="005C34E2" w:rsidRPr="005C34E2" w:rsidRDefault="005C34E2" w:rsidP="005C34E2">
            <w:pPr>
              <w:spacing w:before="0"/>
              <w:jc w:val="center"/>
              <w:rPr>
                <w:rFonts w:ascii="Arial Narrow" w:eastAsia="Calibri" w:hAnsi="Arial Narrow"/>
                <w:b/>
                <w:bCs/>
                <w:sz w:val="20"/>
                <w:szCs w:val="20"/>
              </w:rPr>
            </w:pPr>
            <w:r w:rsidRPr="005C34E2">
              <w:rPr>
                <w:rFonts w:ascii="Arial Narrow" w:eastAsia="Calibri" w:hAnsi="Arial Narrow"/>
                <w:b/>
                <w:bCs/>
                <w:sz w:val="20"/>
                <w:szCs w:val="20"/>
              </w:rPr>
              <w:t>n (%)</w:t>
            </w:r>
          </w:p>
        </w:tc>
        <w:tc>
          <w:tcPr>
            <w:tcW w:w="630" w:type="pct"/>
            <w:tcMar>
              <w:left w:w="62" w:type="dxa"/>
              <w:right w:w="62" w:type="dxa"/>
            </w:tcMar>
          </w:tcPr>
          <w:p w14:paraId="4A864EFE" w14:textId="77777777" w:rsidR="005C34E2" w:rsidRPr="005C34E2" w:rsidRDefault="005C34E2" w:rsidP="005C34E2">
            <w:pPr>
              <w:spacing w:before="0"/>
              <w:jc w:val="center"/>
              <w:rPr>
                <w:rFonts w:ascii="Arial Narrow" w:eastAsia="Calibri" w:hAnsi="Arial Narrow"/>
                <w:b/>
                <w:bCs/>
                <w:sz w:val="20"/>
                <w:szCs w:val="20"/>
                <w:vertAlign w:val="superscript"/>
              </w:rPr>
            </w:pPr>
            <w:r w:rsidRPr="005C34E2">
              <w:rPr>
                <w:rFonts w:ascii="Arial Narrow" w:eastAsia="Calibri" w:hAnsi="Arial Narrow"/>
                <w:b/>
                <w:bCs/>
                <w:sz w:val="20"/>
                <w:szCs w:val="20"/>
              </w:rPr>
              <w:t xml:space="preserve">Chemo </w:t>
            </w:r>
            <w:r w:rsidRPr="005C34E2">
              <w:rPr>
                <w:rFonts w:ascii="Arial Narrow" w:eastAsia="Calibri" w:hAnsi="Arial Narrow"/>
                <w:b/>
                <w:bCs/>
                <w:sz w:val="20"/>
                <w:szCs w:val="20"/>
                <w:vertAlign w:val="superscript"/>
              </w:rPr>
              <w:t>a</w:t>
            </w:r>
          </w:p>
          <w:p w14:paraId="1D913C85" w14:textId="77777777" w:rsidR="005C34E2" w:rsidRPr="005C34E2" w:rsidRDefault="005C34E2" w:rsidP="005C34E2">
            <w:pPr>
              <w:spacing w:before="0"/>
              <w:jc w:val="center"/>
              <w:rPr>
                <w:rFonts w:ascii="Arial Narrow" w:eastAsia="Calibri" w:hAnsi="Arial Narrow"/>
                <w:b/>
                <w:bCs/>
                <w:sz w:val="20"/>
                <w:szCs w:val="20"/>
              </w:rPr>
            </w:pPr>
            <w:r w:rsidRPr="005C34E2">
              <w:rPr>
                <w:rFonts w:ascii="Arial Narrow" w:eastAsia="Calibri" w:hAnsi="Arial Narrow"/>
                <w:b/>
                <w:bCs/>
                <w:sz w:val="20"/>
                <w:szCs w:val="20"/>
              </w:rPr>
              <w:t>n (%)</w:t>
            </w:r>
          </w:p>
        </w:tc>
        <w:tc>
          <w:tcPr>
            <w:tcW w:w="646" w:type="pct"/>
            <w:tcMar>
              <w:left w:w="62" w:type="dxa"/>
              <w:right w:w="62" w:type="dxa"/>
            </w:tcMar>
          </w:tcPr>
          <w:p w14:paraId="67CB706A" w14:textId="6FEB23BA" w:rsidR="005C34E2" w:rsidRPr="002537A9" w:rsidRDefault="005C34E2" w:rsidP="005C34E2">
            <w:pPr>
              <w:spacing w:before="0"/>
              <w:jc w:val="center"/>
              <w:rPr>
                <w:rFonts w:ascii="Arial Narrow" w:eastAsia="Calibri" w:hAnsi="Arial Narrow"/>
                <w:b/>
                <w:bCs/>
                <w:sz w:val="20"/>
                <w:szCs w:val="20"/>
              </w:rPr>
            </w:pPr>
            <w:r w:rsidRPr="002537A9">
              <w:rPr>
                <w:rFonts w:ascii="Arial Narrow" w:eastAsia="Calibri" w:hAnsi="Arial Narrow"/>
                <w:b/>
                <w:bCs/>
                <w:sz w:val="20"/>
                <w:szCs w:val="20"/>
              </w:rPr>
              <w:t>Total</w:t>
            </w:r>
          </w:p>
          <w:p w14:paraId="02A471E5" w14:textId="77777777" w:rsidR="005C34E2" w:rsidRPr="002537A9" w:rsidRDefault="005C34E2" w:rsidP="005C34E2">
            <w:pPr>
              <w:spacing w:before="0"/>
              <w:jc w:val="center"/>
              <w:rPr>
                <w:rFonts w:ascii="Arial Narrow" w:eastAsia="Calibri" w:hAnsi="Arial Narrow"/>
                <w:b/>
                <w:bCs/>
                <w:sz w:val="20"/>
                <w:szCs w:val="20"/>
              </w:rPr>
            </w:pPr>
            <w:r w:rsidRPr="002537A9">
              <w:rPr>
                <w:rFonts w:ascii="Arial Narrow" w:eastAsia="Calibri" w:hAnsi="Arial Narrow"/>
                <w:b/>
                <w:bCs/>
                <w:sz w:val="20"/>
                <w:szCs w:val="20"/>
              </w:rPr>
              <w:t>n (%)</w:t>
            </w:r>
          </w:p>
        </w:tc>
        <w:tc>
          <w:tcPr>
            <w:tcW w:w="637" w:type="pct"/>
            <w:tcMar>
              <w:left w:w="62" w:type="dxa"/>
              <w:right w:w="62" w:type="dxa"/>
            </w:tcMar>
          </w:tcPr>
          <w:p w14:paraId="79B21A6E" w14:textId="77777777" w:rsidR="005C34E2" w:rsidRPr="002537A9" w:rsidRDefault="005C34E2" w:rsidP="005C34E2">
            <w:pPr>
              <w:spacing w:before="0"/>
              <w:jc w:val="center"/>
              <w:rPr>
                <w:rFonts w:ascii="Arial Narrow" w:eastAsia="Calibri" w:hAnsi="Arial Narrow"/>
                <w:b/>
                <w:bCs/>
                <w:iCs/>
                <w:sz w:val="20"/>
                <w:szCs w:val="20"/>
              </w:rPr>
            </w:pPr>
            <w:r w:rsidRPr="002537A9">
              <w:rPr>
                <w:rFonts w:ascii="Arial Narrow" w:eastAsia="Calibri" w:hAnsi="Arial Narrow"/>
                <w:b/>
                <w:bCs/>
                <w:iCs/>
                <w:sz w:val="20"/>
                <w:szCs w:val="20"/>
              </w:rPr>
              <w:t>Australian participants</w:t>
            </w:r>
          </w:p>
          <w:p w14:paraId="40ACEFAA" w14:textId="77777777" w:rsidR="005C34E2" w:rsidRPr="002537A9" w:rsidRDefault="005C34E2" w:rsidP="005C34E2">
            <w:pPr>
              <w:spacing w:before="0"/>
              <w:jc w:val="center"/>
              <w:rPr>
                <w:rFonts w:ascii="Arial Narrow" w:eastAsia="Calibri" w:hAnsi="Arial Narrow"/>
                <w:b/>
                <w:bCs/>
                <w:iCs/>
                <w:sz w:val="20"/>
                <w:szCs w:val="20"/>
              </w:rPr>
            </w:pPr>
            <w:r w:rsidRPr="002537A9">
              <w:rPr>
                <w:rFonts w:ascii="Arial Narrow" w:eastAsia="Calibri" w:hAnsi="Arial Narrow"/>
                <w:b/>
                <w:bCs/>
                <w:iCs/>
                <w:sz w:val="20"/>
                <w:szCs w:val="20"/>
              </w:rPr>
              <w:t>n (%)</w:t>
            </w:r>
          </w:p>
        </w:tc>
        <w:tc>
          <w:tcPr>
            <w:tcW w:w="696" w:type="pct"/>
            <w:tcMar>
              <w:left w:w="62" w:type="dxa"/>
              <w:right w:w="62" w:type="dxa"/>
            </w:tcMar>
          </w:tcPr>
          <w:p w14:paraId="45732759" w14:textId="77777777" w:rsidR="005C34E2" w:rsidRPr="005C34E2" w:rsidRDefault="005C34E2" w:rsidP="005C34E2">
            <w:pPr>
              <w:spacing w:before="0"/>
              <w:jc w:val="center"/>
              <w:rPr>
                <w:rFonts w:ascii="Arial Narrow" w:eastAsia="Calibri" w:hAnsi="Arial Narrow"/>
                <w:b/>
                <w:bCs/>
                <w:sz w:val="20"/>
                <w:szCs w:val="20"/>
                <w:vertAlign w:val="superscript"/>
              </w:rPr>
            </w:pPr>
            <w:r w:rsidRPr="005C34E2">
              <w:rPr>
                <w:rFonts w:ascii="Arial Narrow" w:eastAsia="Calibri" w:hAnsi="Arial Narrow"/>
                <w:b/>
                <w:bCs/>
                <w:sz w:val="20"/>
                <w:szCs w:val="20"/>
              </w:rPr>
              <w:t xml:space="preserve">Emancipator (2020) </w:t>
            </w:r>
            <w:r w:rsidRPr="005C34E2">
              <w:rPr>
                <w:rFonts w:ascii="Arial Narrow" w:eastAsia="Calibri" w:hAnsi="Arial Narrow"/>
                <w:b/>
                <w:bCs/>
                <w:sz w:val="20"/>
                <w:szCs w:val="20"/>
                <w:vertAlign w:val="superscript"/>
              </w:rPr>
              <w:t>b</w:t>
            </w:r>
          </w:p>
        </w:tc>
        <w:tc>
          <w:tcPr>
            <w:tcW w:w="586" w:type="pct"/>
            <w:tcMar>
              <w:left w:w="62" w:type="dxa"/>
              <w:right w:w="62" w:type="dxa"/>
            </w:tcMar>
          </w:tcPr>
          <w:p w14:paraId="6DB94BF5" w14:textId="77777777" w:rsidR="005C34E2" w:rsidRPr="005C34E2" w:rsidRDefault="005C34E2" w:rsidP="005C34E2">
            <w:pPr>
              <w:spacing w:before="0"/>
              <w:jc w:val="center"/>
              <w:rPr>
                <w:rFonts w:ascii="Arial Narrow" w:eastAsia="Calibri" w:hAnsi="Arial Narrow"/>
                <w:b/>
                <w:bCs/>
                <w:sz w:val="20"/>
                <w:szCs w:val="20"/>
                <w:vertAlign w:val="superscript"/>
              </w:rPr>
            </w:pPr>
            <w:r w:rsidRPr="005C34E2">
              <w:rPr>
                <w:rFonts w:ascii="Arial Narrow" w:eastAsia="Calibri" w:hAnsi="Arial Narrow"/>
                <w:b/>
                <w:bCs/>
                <w:sz w:val="20"/>
                <w:szCs w:val="20"/>
              </w:rPr>
              <w:t xml:space="preserve">Cohen (2019) </w:t>
            </w:r>
            <w:r w:rsidRPr="005C34E2">
              <w:rPr>
                <w:rFonts w:ascii="Arial Narrow" w:eastAsia="Calibri" w:hAnsi="Arial Narrow"/>
                <w:b/>
                <w:bCs/>
                <w:sz w:val="20"/>
                <w:szCs w:val="20"/>
                <w:vertAlign w:val="superscript"/>
              </w:rPr>
              <w:t>c</w:t>
            </w:r>
          </w:p>
        </w:tc>
      </w:tr>
      <w:tr w:rsidR="005C34E2" w:rsidRPr="005C34E2" w14:paraId="330F321A" w14:textId="77777777" w:rsidTr="0061068C">
        <w:tc>
          <w:tcPr>
            <w:tcW w:w="469" w:type="pct"/>
            <w:tcMar>
              <w:left w:w="62" w:type="dxa"/>
              <w:right w:w="62" w:type="dxa"/>
            </w:tcMar>
          </w:tcPr>
          <w:p w14:paraId="44AAA6B1" w14:textId="77777777" w:rsidR="005C34E2" w:rsidRPr="005C34E2" w:rsidRDefault="005C34E2" w:rsidP="005C34E2">
            <w:pPr>
              <w:spacing w:before="0"/>
              <w:jc w:val="left"/>
              <w:rPr>
                <w:rFonts w:ascii="Arial Narrow" w:eastAsia="Calibri" w:hAnsi="Arial Narrow"/>
                <w:sz w:val="20"/>
                <w:szCs w:val="20"/>
              </w:rPr>
            </w:pPr>
            <w:r w:rsidRPr="005C34E2">
              <w:rPr>
                <w:rFonts w:ascii="Arial Narrow" w:eastAsia="Calibri" w:hAnsi="Arial Narrow"/>
                <w:sz w:val="20"/>
                <w:szCs w:val="20"/>
              </w:rPr>
              <w:t>N</w:t>
            </w:r>
          </w:p>
        </w:tc>
        <w:tc>
          <w:tcPr>
            <w:tcW w:w="708" w:type="pct"/>
            <w:tcMar>
              <w:left w:w="62" w:type="dxa"/>
              <w:right w:w="62" w:type="dxa"/>
            </w:tcMar>
          </w:tcPr>
          <w:p w14:paraId="61C9AA3E"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281</w:t>
            </w:r>
          </w:p>
        </w:tc>
        <w:tc>
          <w:tcPr>
            <w:tcW w:w="628" w:type="pct"/>
            <w:tcMar>
              <w:left w:w="62" w:type="dxa"/>
              <w:right w:w="62" w:type="dxa"/>
            </w:tcMar>
          </w:tcPr>
          <w:p w14:paraId="1094F37A"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301</w:t>
            </w:r>
          </w:p>
        </w:tc>
        <w:tc>
          <w:tcPr>
            <w:tcW w:w="630" w:type="pct"/>
            <w:tcMar>
              <w:left w:w="62" w:type="dxa"/>
              <w:right w:w="62" w:type="dxa"/>
            </w:tcMar>
          </w:tcPr>
          <w:p w14:paraId="3D4D58D3"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300</w:t>
            </w:r>
          </w:p>
        </w:tc>
        <w:tc>
          <w:tcPr>
            <w:tcW w:w="646" w:type="pct"/>
            <w:tcMar>
              <w:left w:w="62" w:type="dxa"/>
              <w:right w:w="62" w:type="dxa"/>
            </w:tcMar>
          </w:tcPr>
          <w:p w14:paraId="5B5577C2"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882</w:t>
            </w:r>
          </w:p>
        </w:tc>
        <w:tc>
          <w:tcPr>
            <w:tcW w:w="637" w:type="pct"/>
            <w:tcMar>
              <w:left w:w="62" w:type="dxa"/>
              <w:right w:w="62" w:type="dxa"/>
            </w:tcMar>
          </w:tcPr>
          <w:p w14:paraId="78E036E6"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64</w:t>
            </w:r>
          </w:p>
        </w:tc>
        <w:tc>
          <w:tcPr>
            <w:tcW w:w="696" w:type="pct"/>
            <w:tcMar>
              <w:left w:w="62" w:type="dxa"/>
              <w:right w:w="62" w:type="dxa"/>
            </w:tcMar>
          </w:tcPr>
          <w:p w14:paraId="4CA70533"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252</w:t>
            </w:r>
          </w:p>
        </w:tc>
        <w:tc>
          <w:tcPr>
            <w:tcW w:w="586" w:type="pct"/>
            <w:tcMar>
              <w:left w:w="62" w:type="dxa"/>
              <w:right w:w="62" w:type="dxa"/>
            </w:tcMar>
          </w:tcPr>
          <w:p w14:paraId="3E7F41E1"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244</w:t>
            </w:r>
          </w:p>
        </w:tc>
      </w:tr>
      <w:tr w:rsidR="005C34E2" w:rsidRPr="005C34E2" w14:paraId="18E67D70" w14:textId="77777777" w:rsidTr="0061068C">
        <w:tc>
          <w:tcPr>
            <w:tcW w:w="469" w:type="pct"/>
            <w:tcMar>
              <w:left w:w="62" w:type="dxa"/>
              <w:right w:w="62" w:type="dxa"/>
            </w:tcMar>
          </w:tcPr>
          <w:p w14:paraId="6901CF5B" w14:textId="2AC68F0E" w:rsidR="005C34E2" w:rsidRPr="005C34E2" w:rsidRDefault="005C34E2" w:rsidP="005C34E2">
            <w:pPr>
              <w:spacing w:before="0"/>
              <w:jc w:val="left"/>
              <w:rPr>
                <w:rFonts w:ascii="Arial Narrow" w:eastAsia="Calibri" w:hAnsi="Arial Narrow"/>
                <w:sz w:val="20"/>
                <w:szCs w:val="20"/>
              </w:rPr>
            </w:pPr>
            <w:r w:rsidRPr="005C34E2">
              <w:rPr>
                <w:rFonts w:ascii="Arial Narrow" w:eastAsia="Calibri" w:hAnsi="Arial Narrow"/>
                <w:sz w:val="20"/>
                <w:szCs w:val="20"/>
              </w:rPr>
              <w:t>CPS ≥1</w:t>
            </w:r>
          </w:p>
        </w:tc>
        <w:tc>
          <w:tcPr>
            <w:tcW w:w="708" w:type="pct"/>
            <w:tcMar>
              <w:left w:w="62" w:type="dxa"/>
              <w:right w:w="62" w:type="dxa"/>
            </w:tcMar>
          </w:tcPr>
          <w:p w14:paraId="057CD3F1"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242 (86.1%)</w:t>
            </w:r>
          </w:p>
        </w:tc>
        <w:tc>
          <w:tcPr>
            <w:tcW w:w="628" w:type="pct"/>
            <w:tcMar>
              <w:left w:w="62" w:type="dxa"/>
              <w:right w:w="62" w:type="dxa"/>
            </w:tcMar>
          </w:tcPr>
          <w:p w14:paraId="20DB7E06"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257 (85.4%)</w:t>
            </w:r>
          </w:p>
        </w:tc>
        <w:tc>
          <w:tcPr>
            <w:tcW w:w="630" w:type="pct"/>
            <w:tcMar>
              <w:left w:w="62" w:type="dxa"/>
              <w:right w:w="62" w:type="dxa"/>
            </w:tcMar>
          </w:tcPr>
          <w:p w14:paraId="1F7E6BDF"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255 (85.0%)</w:t>
            </w:r>
          </w:p>
        </w:tc>
        <w:tc>
          <w:tcPr>
            <w:tcW w:w="646" w:type="pct"/>
            <w:tcMar>
              <w:left w:w="62" w:type="dxa"/>
              <w:right w:w="62" w:type="dxa"/>
            </w:tcMar>
          </w:tcPr>
          <w:p w14:paraId="4FFD0C9F"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754 (85.5%)</w:t>
            </w:r>
          </w:p>
        </w:tc>
        <w:tc>
          <w:tcPr>
            <w:tcW w:w="637" w:type="pct"/>
            <w:tcMar>
              <w:left w:w="62" w:type="dxa"/>
              <w:right w:w="62" w:type="dxa"/>
            </w:tcMar>
          </w:tcPr>
          <w:p w14:paraId="39DA1BF5"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52 (81.3%)</w:t>
            </w:r>
          </w:p>
        </w:tc>
        <w:tc>
          <w:tcPr>
            <w:tcW w:w="696" w:type="pct"/>
            <w:tcMar>
              <w:left w:w="62" w:type="dxa"/>
              <w:right w:w="62" w:type="dxa"/>
            </w:tcMar>
          </w:tcPr>
          <w:p w14:paraId="7F6F6AEE"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NR (83.3%)</w:t>
            </w:r>
          </w:p>
        </w:tc>
        <w:tc>
          <w:tcPr>
            <w:tcW w:w="586" w:type="pct"/>
            <w:tcMar>
              <w:left w:w="62" w:type="dxa"/>
              <w:right w:w="62" w:type="dxa"/>
            </w:tcMar>
          </w:tcPr>
          <w:p w14:paraId="70661FFF"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195 (80%)</w:t>
            </w:r>
          </w:p>
        </w:tc>
      </w:tr>
      <w:tr w:rsidR="005C34E2" w:rsidRPr="005C34E2" w14:paraId="7D0FB745" w14:textId="77777777" w:rsidTr="0061068C">
        <w:tc>
          <w:tcPr>
            <w:tcW w:w="469" w:type="pct"/>
            <w:tcMar>
              <w:left w:w="62" w:type="dxa"/>
              <w:right w:w="62" w:type="dxa"/>
            </w:tcMar>
          </w:tcPr>
          <w:p w14:paraId="5D66F8A5" w14:textId="1E6AE8ED" w:rsidR="005C34E2" w:rsidRPr="005C34E2" w:rsidRDefault="005C34E2" w:rsidP="005C34E2">
            <w:pPr>
              <w:spacing w:before="0"/>
              <w:jc w:val="left"/>
              <w:rPr>
                <w:rFonts w:ascii="Arial Narrow" w:eastAsia="Calibri" w:hAnsi="Arial Narrow"/>
                <w:sz w:val="20"/>
                <w:szCs w:val="20"/>
              </w:rPr>
            </w:pPr>
            <w:r w:rsidRPr="005C34E2">
              <w:rPr>
                <w:rFonts w:ascii="Arial Narrow" w:eastAsia="Calibri" w:hAnsi="Arial Narrow"/>
                <w:sz w:val="20"/>
                <w:szCs w:val="20"/>
              </w:rPr>
              <w:t>CPS ≥20</w:t>
            </w:r>
          </w:p>
        </w:tc>
        <w:tc>
          <w:tcPr>
            <w:tcW w:w="708" w:type="pct"/>
            <w:tcMar>
              <w:left w:w="62" w:type="dxa"/>
              <w:right w:w="62" w:type="dxa"/>
            </w:tcMar>
          </w:tcPr>
          <w:p w14:paraId="525DAC4E"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126 (44.8%)</w:t>
            </w:r>
          </w:p>
        </w:tc>
        <w:tc>
          <w:tcPr>
            <w:tcW w:w="628" w:type="pct"/>
            <w:tcMar>
              <w:left w:w="62" w:type="dxa"/>
              <w:right w:w="62" w:type="dxa"/>
            </w:tcMar>
          </w:tcPr>
          <w:p w14:paraId="6EA8086C"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133 (44.2%)</w:t>
            </w:r>
          </w:p>
        </w:tc>
        <w:tc>
          <w:tcPr>
            <w:tcW w:w="630" w:type="pct"/>
            <w:tcMar>
              <w:left w:w="62" w:type="dxa"/>
              <w:right w:w="62" w:type="dxa"/>
            </w:tcMar>
          </w:tcPr>
          <w:p w14:paraId="3F57FA24"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122 (40.7%)</w:t>
            </w:r>
          </w:p>
        </w:tc>
        <w:tc>
          <w:tcPr>
            <w:tcW w:w="646" w:type="pct"/>
            <w:tcMar>
              <w:left w:w="62" w:type="dxa"/>
              <w:right w:w="62" w:type="dxa"/>
            </w:tcMar>
          </w:tcPr>
          <w:p w14:paraId="2D2407ED"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381 (43.2%)</w:t>
            </w:r>
          </w:p>
        </w:tc>
        <w:tc>
          <w:tcPr>
            <w:tcW w:w="637" w:type="pct"/>
            <w:tcMar>
              <w:left w:w="62" w:type="dxa"/>
              <w:right w:w="62" w:type="dxa"/>
            </w:tcMar>
          </w:tcPr>
          <w:p w14:paraId="5A50E890"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Not reported</w:t>
            </w:r>
          </w:p>
        </w:tc>
        <w:tc>
          <w:tcPr>
            <w:tcW w:w="696" w:type="pct"/>
            <w:tcMar>
              <w:left w:w="62" w:type="dxa"/>
              <w:right w:w="62" w:type="dxa"/>
            </w:tcMar>
          </w:tcPr>
          <w:p w14:paraId="6CF6B181"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NR (50.0%)</w:t>
            </w:r>
          </w:p>
        </w:tc>
        <w:tc>
          <w:tcPr>
            <w:tcW w:w="586" w:type="pct"/>
            <w:tcMar>
              <w:left w:w="62" w:type="dxa"/>
              <w:right w:w="62" w:type="dxa"/>
            </w:tcMar>
          </w:tcPr>
          <w:p w14:paraId="4F048FDB" w14:textId="77777777" w:rsidR="005C34E2" w:rsidRPr="005C34E2" w:rsidRDefault="005C34E2" w:rsidP="005C34E2">
            <w:pPr>
              <w:spacing w:before="0"/>
              <w:jc w:val="center"/>
              <w:rPr>
                <w:rFonts w:ascii="Arial Narrow" w:eastAsia="Calibri" w:hAnsi="Arial Narrow"/>
                <w:sz w:val="20"/>
                <w:szCs w:val="20"/>
              </w:rPr>
            </w:pPr>
            <w:r w:rsidRPr="005C34E2">
              <w:rPr>
                <w:rFonts w:ascii="Arial Narrow" w:eastAsia="Calibri" w:hAnsi="Arial Narrow"/>
                <w:sz w:val="20"/>
                <w:szCs w:val="20"/>
              </w:rPr>
              <w:t>96 (39%)</w:t>
            </w:r>
          </w:p>
        </w:tc>
      </w:tr>
    </w:tbl>
    <w:p w14:paraId="5EF6D5CA" w14:textId="77777777" w:rsidR="005C34E2" w:rsidRPr="005C34E2" w:rsidRDefault="005C34E2" w:rsidP="005C34E2">
      <w:pPr>
        <w:keepNext/>
        <w:keepLines/>
        <w:spacing w:before="0" w:after="0"/>
        <w:rPr>
          <w:rFonts w:ascii="Arial Narrow" w:eastAsia="Calibri" w:hAnsi="Arial Narrow" w:cs="Arial"/>
          <w:sz w:val="18"/>
          <w:szCs w:val="18"/>
        </w:rPr>
      </w:pPr>
      <w:r w:rsidRPr="005C34E2">
        <w:rPr>
          <w:rFonts w:ascii="Arial Narrow" w:eastAsia="Calibri" w:hAnsi="Arial Narrow" w:cs="Arial"/>
          <w:sz w:val="18"/>
          <w:szCs w:val="18"/>
        </w:rPr>
        <w:t>Source: Table 10-9, p137 and Table 10-15, p148 of the KN048 clinical study report, Table 2.7-3, p131 of the resubmission; and calculated by the Department</w:t>
      </w:r>
    </w:p>
    <w:p w14:paraId="3E748CCF" w14:textId="77777777" w:rsidR="005C34E2" w:rsidRPr="005C34E2" w:rsidRDefault="005C34E2" w:rsidP="005C34E2">
      <w:pPr>
        <w:keepNext/>
        <w:keepLines/>
        <w:spacing w:before="0" w:after="0"/>
        <w:rPr>
          <w:rFonts w:ascii="Arial Narrow" w:eastAsia="Calibri" w:hAnsi="Arial Narrow" w:cs="Arial"/>
          <w:sz w:val="18"/>
          <w:szCs w:val="18"/>
        </w:rPr>
      </w:pPr>
      <w:r w:rsidRPr="005C34E2">
        <w:rPr>
          <w:rFonts w:ascii="Arial Narrow" w:eastAsia="Calibri" w:hAnsi="Arial Narrow" w:cs="Arial"/>
          <w:sz w:val="18"/>
          <w:szCs w:val="18"/>
          <w:vertAlign w:val="superscript"/>
        </w:rPr>
        <w:t>a</w:t>
      </w:r>
      <w:r w:rsidRPr="005C34E2">
        <w:rPr>
          <w:rFonts w:ascii="Arial Narrow" w:eastAsia="Calibri" w:hAnsi="Arial Narrow" w:cs="Arial"/>
          <w:sz w:val="18"/>
          <w:szCs w:val="18"/>
        </w:rPr>
        <w:t xml:space="preserve"> Full chemotherapy group as reported in Table 10-15. 22 participants in the chemotherapy arm excluded in the comparison with pembrolizumab + chemotherapy due to an enrolment pause in the pembrolizumab plus chemotherapy group</w:t>
      </w:r>
    </w:p>
    <w:p w14:paraId="75260CC8" w14:textId="17AFE6C8" w:rsidR="005C34E2" w:rsidRPr="005C34E2" w:rsidRDefault="005C34E2" w:rsidP="005C34E2">
      <w:pPr>
        <w:spacing w:before="0" w:line="259" w:lineRule="auto"/>
        <w:jc w:val="left"/>
        <w:rPr>
          <w:rFonts w:ascii="Arial Narrow" w:eastAsia="Calibri" w:hAnsi="Arial Narrow" w:cs="Arial"/>
          <w:sz w:val="18"/>
          <w:szCs w:val="18"/>
        </w:rPr>
      </w:pPr>
      <w:r w:rsidRPr="005C34E2">
        <w:rPr>
          <w:rFonts w:ascii="Arial Narrow" w:eastAsia="Calibri" w:hAnsi="Arial Narrow" w:cs="Arial"/>
          <w:sz w:val="18"/>
          <w:szCs w:val="18"/>
          <w:vertAlign w:val="superscript"/>
        </w:rPr>
        <w:t xml:space="preserve">b </w:t>
      </w:r>
      <w:r w:rsidRPr="005C34E2">
        <w:rPr>
          <w:rFonts w:ascii="Arial Narrow" w:eastAsia="Calibri" w:hAnsi="Arial Narrow" w:cs="Arial"/>
          <w:sz w:val="18"/>
          <w:szCs w:val="18"/>
        </w:rPr>
        <w:t xml:space="preserve">R/M HNSCC patients after failure of platinum-based therapy (Keynote 012 and Keynote 055) using 22C3 </w:t>
      </w:r>
      <w:proofErr w:type="spellStart"/>
      <w:r w:rsidRPr="005C34E2">
        <w:rPr>
          <w:rFonts w:ascii="Arial Narrow" w:eastAsia="Calibri" w:hAnsi="Arial Narrow" w:cs="Arial"/>
          <w:sz w:val="18"/>
          <w:szCs w:val="18"/>
        </w:rPr>
        <w:t>PharmDx</w:t>
      </w:r>
      <w:proofErr w:type="spellEnd"/>
      <w:r w:rsidRPr="005C34E2">
        <w:rPr>
          <w:rFonts w:ascii="Arial Narrow" w:eastAsia="Calibri" w:hAnsi="Arial Narrow" w:cs="Arial"/>
          <w:sz w:val="18"/>
          <w:szCs w:val="18"/>
        </w:rPr>
        <w:t xml:space="preserve"> test. </w:t>
      </w:r>
      <w:r w:rsidRPr="005C34E2">
        <w:rPr>
          <w:rFonts w:ascii="Arial Narrow" w:eastAsia="Calibri" w:hAnsi="Arial Narrow" w:cs="Arial"/>
          <w:sz w:val="18"/>
          <w:szCs w:val="18"/>
        </w:rPr>
        <w:br/>
      </w:r>
      <w:r w:rsidRPr="005C34E2">
        <w:rPr>
          <w:rFonts w:ascii="Arial Narrow" w:eastAsia="Calibri" w:hAnsi="Arial Narrow" w:cs="Arial"/>
          <w:sz w:val="18"/>
          <w:szCs w:val="18"/>
          <w:vertAlign w:val="superscript"/>
        </w:rPr>
        <w:t xml:space="preserve">c </w:t>
      </w:r>
      <w:r w:rsidRPr="005C34E2">
        <w:rPr>
          <w:rFonts w:ascii="Arial Narrow" w:eastAsia="Calibri" w:hAnsi="Arial Narrow" w:cs="Arial"/>
          <w:sz w:val="18"/>
          <w:szCs w:val="18"/>
        </w:rPr>
        <w:t xml:space="preserve">R/M HNSCC patients after failure of platinum-based therapy (Keynote 040) using 22C3 </w:t>
      </w:r>
      <w:proofErr w:type="spellStart"/>
      <w:r w:rsidRPr="005C34E2">
        <w:rPr>
          <w:rFonts w:ascii="Arial Narrow" w:eastAsia="Calibri" w:hAnsi="Arial Narrow" w:cs="Arial"/>
          <w:sz w:val="18"/>
          <w:szCs w:val="18"/>
        </w:rPr>
        <w:t>PharmDx</w:t>
      </w:r>
      <w:proofErr w:type="spellEnd"/>
      <w:r w:rsidRPr="005C34E2">
        <w:rPr>
          <w:rFonts w:ascii="Arial Narrow" w:eastAsia="Calibri" w:hAnsi="Arial Narrow" w:cs="Arial"/>
          <w:sz w:val="18"/>
          <w:szCs w:val="18"/>
        </w:rPr>
        <w:t xml:space="preserve"> test</w:t>
      </w:r>
    </w:p>
    <w:p w14:paraId="65C70B7B" w14:textId="77777777" w:rsidR="00250FA5" w:rsidRPr="00250FA5" w:rsidRDefault="00250FA5" w:rsidP="008431D6">
      <w:pPr>
        <w:keepNext/>
        <w:keepLines/>
        <w:spacing w:before="200" w:after="120"/>
        <w:jc w:val="left"/>
        <w:outlineLvl w:val="1"/>
        <w:rPr>
          <w:rFonts w:ascii="Times New Roman" w:eastAsia="Times New Roman" w:hAnsi="Times New Roman" w:cs="Times New Roman"/>
          <w:i/>
          <w:szCs w:val="26"/>
          <w:lang w:eastAsia="en-AU"/>
        </w:rPr>
      </w:pPr>
      <w:r w:rsidRPr="00250FA5">
        <w:rPr>
          <w:rFonts w:ascii="Times New Roman" w:eastAsia="Times New Roman" w:hAnsi="Times New Roman" w:cs="Times New Roman"/>
          <w:i/>
          <w:szCs w:val="26"/>
          <w:lang w:eastAsia="en-AU"/>
        </w:rPr>
        <w:t>Change in management in practice</w:t>
      </w:r>
    </w:p>
    <w:p w14:paraId="61878633" w14:textId="27342F71" w:rsidR="00F85B87" w:rsidRDefault="00250FA5" w:rsidP="00F85B87">
      <w:pPr>
        <w:spacing w:before="0" w:after="240"/>
        <w:jc w:val="left"/>
        <w:rPr>
          <w:rFonts w:ascii="Times New Roman" w:eastAsia="Calibri" w:hAnsi="Times New Roman" w:cs="Times New Roman"/>
        </w:rPr>
      </w:pPr>
      <w:r w:rsidRPr="00250FA5">
        <w:rPr>
          <w:rFonts w:ascii="Times New Roman" w:eastAsia="Calibri" w:hAnsi="Times New Roman" w:cs="Times New Roman"/>
        </w:rPr>
        <w:t>The resubmission (p198) stated that if a patient tests positive for PD-L1 CPS ≥1 it was expected that in the vast majority of cases, clinicians would prescribe pembrolizumab monotherapy or pembrolizumab plus chemotherapy. The only instances where a pembrolizumab-containing regimen would not be prescribed would relate to the regimen being contraindicated for a particular patient (e.g. those with severe autoimmune disease or who have had a heart and lung transplant).</w:t>
      </w:r>
      <w:r w:rsidR="00F85B87">
        <w:rPr>
          <w:rFonts w:ascii="Times New Roman" w:eastAsia="Calibri" w:hAnsi="Times New Roman" w:cs="Times New Roman"/>
        </w:rPr>
        <w:br w:type="page"/>
      </w:r>
    </w:p>
    <w:p w14:paraId="31518F44" w14:textId="45A18C13"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following updates were made to the clinical management algorithms in the resubmission:</w:t>
      </w:r>
    </w:p>
    <w:p w14:paraId="20F20137" w14:textId="77777777" w:rsidR="00250FA5" w:rsidRPr="00250FA5" w:rsidRDefault="00250FA5" w:rsidP="00B2387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The proportion of patients expected to </w:t>
      </w:r>
      <w:r w:rsidRPr="00B2387B">
        <w:rPr>
          <w:rFonts w:ascii="Times New Roman" w:eastAsia="Calibri" w:hAnsi="Times New Roman" w:cs="Times New Roman"/>
          <w:szCs w:val="20"/>
        </w:rPr>
        <w:t>test</w:t>
      </w:r>
      <w:r w:rsidRPr="00250FA5">
        <w:rPr>
          <w:rFonts w:ascii="Times New Roman" w:eastAsia="Calibri" w:hAnsi="Times New Roman" w:cs="Times New Roman"/>
        </w:rPr>
        <w:t xml:space="preserve"> positive for PD-L1 CPS ≥1 who will then be prescribed pembrolizumab monotherapy or pembrolizumab plus chemotherapy was split 80:20 in the original submission. This has been changed to 60% use of pembrolizumab monotherapy and 40% pembrolizumab plus chemotherapy. The PBAC previously considered that the weighting of 80% of use of pembrolizumab monotherapy and 20% of use of pembrolizumab plus chemotherapy used in the original submission was not reasonable given that the combination appeared to be more effective in terms of OS (paragraph 7.13, pembrolizumab PSD, November 2020 PBAC Meeting);</w:t>
      </w:r>
    </w:p>
    <w:p w14:paraId="7F2568D4" w14:textId="77777777" w:rsidR="00250FA5" w:rsidRPr="00250FA5" w:rsidRDefault="00250FA5" w:rsidP="00B2387B">
      <w:pPr>
        <w:numPr>
          <w:ilvl w:val="0"/>
          <w:numId w:val="81"/>
        </w:numPr>
        <w:spacing w:before="0"/>
        <w:ind w:left="714" w:hanging="357"/>
        <w:jc w:val="left"/>
        <w:rPr>
          <w:rFonts w:ascii="Times New Roman" w:eastAsia="Calibri" w:hAnsi="Times New Roman" w:cs="Times New Roman"/>
        </w:rPr>
      </w:pPr>
      <w:r w:rsidRPr="00250FA5">
        <w:rPr>
          <w:rFonts w:ascii="Times New Roman" w:eastAsia="Calibri" w:hAnsi="Times New Roman" w:cs="Times New Roman"/>
        </w:rPr>
        <w:t xml:space="preserve">The future clinical management algorithm was updated to include core biopsy or excisional tissue if possible, which was aligned with the tissue types used in KN048. </w:t>
      </w:r>
      <w:r w:rsidRPr="00250FA5">
        <w:rPr>
          <w:rFonts w:ascii="Times New Roman" w:eastAsia="Calibri" w:hAnsi="Times New Roman" w:cs="Times New Roman"/>
          <w:iCs/>
        </w:rPr>
        <w:t xml:space="preserve">This incorporated MSAC’s comments regarding the inappropriateness of the use of FNA for CPS testing. i.e. The 22C3 antibody has not been validated for use with FNA and FNA would not be appropriate for CPS testing because CPS testing requires staining of adjacent immune cells which may not be appropriately captured in a FNA (p4, </w:t>
      </w:r>
      <w:r w:rsidRPr="00250FA5">
        <w:rPr>
          <w:rFonts w:ascii="Times New Roman" w:eastAsia="Calibri" w:hAnsi="Times New Roman" w:cs="Times New Roman"/>
          <w:iCs/>
          <w:szCs w:val="24"/>
        </w:rPr>
        <w:t>application no. 1522 PSD, November 2020 MSAC Meeting</w:t>
      </w:r>
      <w:r w:rsidRPr="00250FA5">
        <w:rPr>
          <w:rFonts w:ascii="Times New Roman" w:eastAsia="Calibri" w:hAnsi="Times New Roman" w:cs="Times New Roman"/>
          <w:iCs/>
        </w:rPr>
        <w:t>).</w:t>
      </w:r>
    </w:p>
    <w:p w14:paraId="28282167" w14:textId="6A42B0E6" w:rsidR="00250FA5" w:rsidRPr="00250FA5" w:rsidRDefault="00250FA5" w:rsidP="005702F6">
      <w:pPr>
        <w:spacing w:before="240" w:after="240"/>
        <w:jc w:val="left"/>
        <w:rPr>
          <w:rFonts w:ascii="Times New Roman" w:eastAsia="Calibri" w:hAnsi="Times New Roman" w:cs="Times New Roman"/>
        </w:rPr>
      </w:pPr>
      <w:r w:rsidRPr="00250FA5">
        <w:rPr>
          <w:rFonts w:ascii="Times New Roman" w:eastAsia="Calibri" w:hAnsi="Times New Roman" w:cs="Times New Roman"/>
        </w:rPr>
        <w:t>In order to provide the test in Australia, MSAC considered necessary a mechanism to train pathologists on the interpretation of PD-L1 CPS testing in HNSCC and validation of their competency is required. MSAC noted advice from the National Pathology Accreditation Advisory Council (NPAAC) that PD-L1 CPS testing requires a robust quality assurance framework and few laboratories are currently performing this test (p4, application no. 1522 PSD, November 2020 MSAC Meeting).</w:t>
      </w:r>
    </w:p>
    <w:p w14:paraId="26963301" w14:textId="79B1A80E"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The resubmission provided details of the </w:t>
      </w:r>
      <w:r w:rsidR="00AE47D0">
        <w:rPr>
          <w:rFonts w:ascii="Times New Roman" w:eastAsia="Calibri" w:hAnsi="Times New Roman" w:cs="Times New Roman"/>
        </w:rPr>
        <w:t>applicant-</w:t>
      </w:r>
      <w:r w:rsidRPr="00250FA5">
        <w:rPr>
          <w:rFonts w:ascii="Times New Roman" w:eastAsia="Calibri" w:hAnsi="Times New Roman" w:cs="Times New Roman"/>
        </w:rPr>
        <w:t xml:space="preserve">run training program for PD-L1 testing in Australia. Four pathologists have been trained as trainers in PD-L1 testing for R/M HNSCC having undertaken the TARGOS PD-L1 (22C3) Advanced Professional Expert Course HNSCC for trainer and these trainers training 22 pathologists (20 Australians; 2 New Zealanders) using the TARGOS PD-L1 (22C3) Professional Expert Course in HNSCC. By the end of 2021 the </w:t>
      </w:r>
      <w:r w:rsidR="00AE47D0">
        <w:rPr>
          <w:rFonts w:ascii="Times New Roman" w:eastAsia="Calibri" w:hAnsi="Times New Roman" w:cs="Times New Roman"/>
        </w:rPr>
        <w:t>applicant</w:t>
      </w:r>
      <w:r w:rsidRPr="00250FA5">
        <w:rPr>
          <w:rFonts w:ascii="Times New Roman" w:eastAsia="Calibri" w:hAnsi="Times New Roman" w:cs="Times New Roman"/>
        </w:rPr>
        <w:t xml:space="preserve"> plans to have supported training of pathologists at all major HNSCC treatment centres by training an additional 48 pathologists in 2021, with this likely to cover the majority of pathologists who will encounter HNSCC PD-L1 testing.</w:t>
      </w:r>
    </w:p>
    <w:p w14:paraId="6B2F64E2" w14:textId="2F892B8E" w:rsidR="00250FA5" w:rsidRPr="00250FA5" w:rsidRDefault="00250FA5" w:rsidP="00250FA5">
      <w:pPr>
        <w:spacing w:before="0" w:after="240"/>
        <w:jc w:val="left"/>
        <w:rPr>
          <w:rFonts w:ascii="Times New Roman" w:eastAsia="Calibri" w:hAnsi="Times New Roman" w:cs="Times New Roman"/>
          <w:i/>
          <w:iCs/>
        </w:rPr>
      </w:pPr>
      <w:r w:rsidRPr="00250FA5">
        <w:rPr>
          <w:rFonts w:ascii="Times New Roman" w:eastAsia="Calibri" w:hAnsi="Times New Roman" w:cs="Times New Roman"/>
        </w:rPr>
        <w:t>Participants in both the Advanced Professional Expert and Professional Expert training courses were required to obtain a CPS concordance of at least 85% to pass when assessing 20 cases. CPS scoring results for 22 participants from the Professional Expert course were provided in the resubmission. The commentary noted that among the 22 participants, 13 out of 20 samples were perfectly concordant. For two of the cases (that both had a consensus score of 0), a significant number of course participants provided discordance classification despite their training, and samples with higher consensus scores appeared to have a higher rate of correct answers. As the requested patient population has a cut point of CPS ≥1,</w:t>
      </w:r>
      <w:r w:rsidR="00D61853">
        <w:rPr>
          <w:rFonts w:ascii="Times New Roman" w:eastAsia="Calibri" w:hAnsi="Times New Roman" w:cs="Times New Roman"/>
        </w:rPr>
        <w:t xml:space="preserve"> </w:t>
      </w:r>
      <w:r w:rsidRPr="00250FA5">
        <w:rPr>
          <w:rFonts w:ascii="Times New Roman" w:eastAsia="Calibri" w:hAnsi="Times New Roman" w:cs="Times New Roman"/>
        </w:rPr>
        <w:t xml:space="preserve">the commentary considered there </w:t>
      </w:r>
      <w:r w:rsidR="00D61853">
        <w:rPr>
          <w:rFonts w:ascii="Times New Roman" w:eastAsia="Calibri" w:hAnsi="Times New Roman" w:cs="Times New Roman"/>
        </w:rPr>
        <w:t>is</w:t>
      </w:r>
      <w:r w:rsidRPr="00250FA5">
        <w:rPr>
          <w:rFonts w:ascii="Times New Roman" w:eastAsia="Calibri" w:hAnsi="Times New Roman" w:cs="Times New Roman"/>
        </w:rPr>
        <w:t xml:space="preserve"> uncertainty around whether patients with CPS ≥1 can be distinguished from patients with CPS &lt;1 with a high degree of reproducibility.</w:t>
      </w:r>
    </w:p>
    <w:p w14:paraId="2EC9A6C8" w14:textId="474F3108" w:rsidR="00250FA5" w:rsidRPr="005702F6" w:rsidRDefault="00250FA5" w:rsidP="005702F6">
      <w:pPr>
        <w:pStyle w:val="Heading1"/>
        <w:numPr>
          <w:ilvl w:val="0"/>
          <w:numId w:val="69"/>
        </w:numPr>
        <w:tabs>
          <w:tab w:val="clear" w:pos="1080"/>
        </w:tabs>
        <w:spacing w:before="240" w:after="240" w:line="240" w:lineRule="auto"/>
        <w:ind w:left="720"/>
        <w:rPr>
          <w:rFonts w:ascii="Arial" w:hAnsi="Arial" w:cs="Arial"/>
          <w:bCs/>
          <w:sz w:val="24"/>
          <w:lang w:eastAsia="en-AU"/>
        </w:rPr>
      </w:pPr>
      <w:r w:rsidRPr="005702F6">
        <w:rPr>
          <w:rFonts w:ascii="Arial" w:hAnsi="Arial" w:cs="Arial"/>
          <w:bCs/>
          <w:sz w:val="24"/>
          <w:lang w:eastAsia="en-AU"/>
        </w:rPr>
        <w:t>Economic evaluation</w:t>
      </w:r>
    </w:p>
    <w:p w14:paraId="091002C1" w14:textId="3730DDD6"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basis of the economic evaluation was a cost effectiveness analysis (CEA). The resubmission presented two modelled economic evaluations, separately comparing pembrolizumab plus chemotherapy with SoC (economic analysis 1 (EA1)), and pembrolizumab monotherapy with SoC (economic analysis 2 (EA2)), in a population of patients with previously untreated R/M HNSCC with CPS ≥1. In both analyses cetuximab plus chemotherapy was used as a proxy for chemotherapy alone and adjustments were made for increased 2L nivolumab use.</w:t>
      </w:r>
    </w:p>
    <w:p w14:paraId="46464D27"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Also presented were additional analyses that considered treating all patients irrespective of CPS (scenario analysis 1 (SA1)), and a wholistic model that accounts for the assumed PD-L1 test accuracy (Scenario analyses 2 (SA2)). Incremental cost-effectiveness ratios (cost per quality-adjusted life-year gained [base case] and cost per life-year-saved) were presented for each analysis and a weighted cost-utility estimate was also provided.</w:t>
      </w:r>
    </w:p>
    <w:p w14:paraId="120A9D00" w14:textId="14286958"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There were significant issues with the application of adverse event costs in the resubmission as outlined in </w:t>
      </w:r>
      <w:r w:rsidRPr="00DC414F">
        <w:rPr>
          <w:rFonts w:ascii="Times New Roman" w:eastAsia="Calibri" w:hAnsi="Times New Roman" w:cs="Times New Roman"/>
          <w:szCs w:val="24"/>
          <w:lang w:eastAsia="en-AU"/>
        </w:rPr>
        <w:fldChar w:fldCharType="begin"/>
      </w:r>
      <w:r w:rsidRPr="00DC414F">
        <w:rPr>
          <w:rFonts w:ascii="Times New Roman" w:eastAsia="Calibri" w:hAnsi="Times New Roman" w:cs="Times New Roman"/>
          <w:szCs w:val="24"/>
          <w:lang w:eastAsia="en-AU"/>
        </w:rPr>
        <w:instrText xml:space="preserve"> REF _Ref80058633 \h  \* MERGEFORMAT </w:instrText>
      </w:r>
      <w:r w:rsidRPr="00DC414F">
        <w:rPr>
          <w:rFonts w:ascii="Times New Roman" w:eastAsia="Calibri" w:hAnsi="Times New Roman" w:cs="Times New Roman"/>
          <w:szCs w:val="24"/>
          <w:lang w:eastAsia="en-AU"/>
        </w:rPr>
      </w:r>
      <w:r w:rsidRPr="00DC414F">
        <w:rPr>
          <w:rFonts w:ascii="Times New Roman" w:eastAsia="Calibri" w:hAnsi="Times New Roman" w:cs="Times New Roman"/>
          <w:szCs w:val="24"/>
          <w:lang w:eastAsia="en-AU"/>
        </w:rPr>
        <w:fldChar w:fldCharType="separate"/>
      </w:r>
      <w:r w:rsidR="000635B6" w:rsidRPr="000635B6">
        <w:rPr>
          <w:rFonts w:ascii="Times New Roman" w:eastAsia="Calibri" w:hAnsi="Times New Roman" w:cs="Times New Roman"/>
          <w:szCs w:val="24"/>
          <w:lang w:eastAsia="en-AU"/>
        </w:rPr>
        <w:t xml:space="preserve">Table </w:t>
      </w:r>
      <w:r w:rsidR="000635B6" w:rsidRPr="000635B6">
        <w:rPr>
          <w:rFonts w:ascii="Times New Roman" w:eastAsia="Calibri" w:hAnsi="Times New Roman" w:cs="Times New Roman"/>
          <w:iCs/>
          <w:noProof/>
          <w:szCs w:val="24"/>
        </w:rPr>
        <w:t>1</w:t>
      </w:r>
      <w:r w:rsidR="002537A9">
        <w:rPr>
          <w:rFonts w:ascii="Times New Roman" w:eastAsia="Calibri" w:hAnsi="Times New Roman" w:cs="Times New Roman"/>
          <w:iCs/>
          <w:noProof/>
          <w:szCs w:val="24"/>
        </w:rPr>
        <w:t>2</w:t>
      </w:r>
      <w:r w:rsidRPr="00DC414F">
        <w:rPr>
          <w:rFonts w:ascii="Times New Roman" w:eastAsia="Calibri" w:hAnsi="Times New Roman" w:cs="Times New Roman"/>
          <w:szCs w:val="24"/>
          <w:lang w:eastAsia="en-AU"/>
        </w:rPr>
        <w:fldChar w:fldCharType="end"/>
      </w:r>
      <w:r w:rsidRPr="00DC414F">
        <w:rPr>
          <w:rFonts w:ascii="Times New Roman" w:eastAsia="Calibri" w:hAnsi="Times New Roman" w:cs="Times New Roman"/>
          <w:szCs w:val="24"/>
          <w:lang w:eastAsia="en-AU"/>
        </w:rPr>
        <w:t>.</w:t>
      </w:r>
    </w:p>
    <w:p w14:paraId="3C35B595" w14:textId="16199E16" w:rsidR="00250FA5" w:rsidRPr="00250FA5" w:rsidRDefault="00250FA5" w:rsidP="00250FA5">
      <w:pPr>
        <w:keepNext/>
        <w:keepLines/>
        <w:widowControl w:val="0"/>
        <w:spacing w:before="0" w:after="0"/>
        <w:ind w:left="992" w:hanging="992"/>
        <w:contextualSpacing/>
        <w:jc w:val="left"/>
        <w:rPr>
          <w:rFonts w:ascii="Arial Narrow" w:eastAsia="Calibri" w:hAnsi="Arial Narrow" w:cs="Times New Roman"/>
          <w:b/>
          <w:iCs/>
          <w:sz w:val="20"/>
          <w:szCs w:val="18"/>
        </w:rPr>
      </w:pPr>
      <w:bookmarkStart w:id="21" w:name="_Ref80058633"/>
      <w:r w:rsidRPr="00250FA5">
        <w:rPr>
          <w:rFonts w:ascii="Arial Narrow" w:eastAsia="Calibri" w:hAnsi="Arial Narrow" w:cs="Times New Roman"/>
          <w:b/>
          <w:iCs/>
          <w:sz w:val="20"/>
          <w:szCs w:val="18"/>
        </w:rPr>
        <w:t xml:space="preserve">Table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Table \* ARABIC </w:instrText>
      </w:r>
      <w:r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12</w:t>
      </w:r>
      <w:r w:rsidRPr="00250FA5">
        <w:rPr>
          <w:rFonts w:ascii="Arial Narrow" w:eastAsia="Calibri" w:hAnsi="Arial Narrow" w:cs="Times New Roman"/>
          <w:b/>
          <w:iCs/>
          <w:sz w:val="20"/>
          <w:szCs w:val="18"/>
        </w:rPr>
        <w:fldChar w:fldCharType="end"/>
      </w:r>
      <w:bookmarkEnd w:id="21"/>
      <w:r w:rsidRPr="00250FA5">
        <w:rPr>
          <w:rFonts w:ascii="Arial Narrow" w:eastAsia="Calibri" w:hAnsi="Arial Narrow" w:cs="Times New Roman"/>
          <w:b/>
          <w:iCs/>
          <w:sz w:val="20"/>
          <w:szCs w:val="18"/>
        </w:rPr>
        <w:tab/>
        <w:t>Application of adverse events associated with chemotherapy in economic model</w:t>
      </w:r>
    </w:p>
    <w:tbl>
      <w:tblPr>
        <w:tblStyle w:val="PBACtable8"/>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004"/>
        <w:gridCol w:w="3994"/>
      </w:tblGrid>
      <w:tr w:rsidR="00250FA5" w:rsidRPr="00250FA5" w14:paraId="417DBE39" w14:textId="77777777" w:rsidTr="00250FA5">
        <w:trPr>
          <w:cnfStyle w:val="100000000000" w:firstRow="1" w:lastRow="0" w:firstColumn="0" w:lastColumn="0" w:oddVBand="0" w:evenVBand="0" w:oddHBand="0" w:evenHBand="0" w:firstRowFirstColumn="0" w:firstRowLastColumn="0" w:lastRowFirstColumn="0" w:lastRowLastColumn="0"/>
        </w:trPr>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3F1E3" w14:textId="77777777" w:rsidR="00250FA5" w:rsidRPr="00250FA5" w:rsidRDefault="00250FA5" w:rsidP="00250FA5">
            <w:pPr>
              <w:keepNext/>
              <w:keepLines/>
              <w:spacing w:before="0"/>
              <w:jc w:val="left"/>
              <w:rPr>
                <w:rFonts w:ascii="Arial Narrow" w:eastAsia="Times New Roman" w:hAnsi="Arial Narrow" w:cs="Times New Roman"/>
                <w:sz w:val="20"/>
              </w:rPr>
            </w:pPr>
            <w:r w:rsidRPr="00250FA5">
              <w:rPr>
                <w:rFonts w:ascii="Arial Narrow" w:eastAsia="Times New Roman" w:hAnsi="Arial Narrow" w:cs="Times New Roman"/>
                <w:sz w:val="20"/>
              </w:rPr>
              <w:t>Analysis</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38CB9"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 xml:space="preserve">Pembrolizumab </w:t>
            </w:r>
            <w:r w:rsidRPr="00250FA5">
              <w:rPr>
                <w:rFonts w:ascii="Arial Narrow" w:eastAsia="Times New Roman" w:hAnsi="Arial Narrow" w:cs="Calibri"/>
                <w:sz w:val="20"/>
              </w:rPr>
              <w:t>±</w:t>
            </w:r>
            <w:r w:rsidRPr="00250FA5">
              <w:rPr>
                <w:rFonts w:ascii="Arial Narrow" w:eastAsia="Times New Roman" w:hAnsi="Arial Narrow" w:cs="Times New Roman"/>
                <w:sz w:val="20"/>
              </w:rPr>
              <w:t xml:space="preserve"> chemotherapy</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A6767"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SoC</w:t>
            </w:r>
          </w:p>
        </w:tc>
      </w:tr>
      <w:tr w:rsidR="00250FA5" w:rsidRPr="00250FA5" w14:paraId="6DAC9EEE" w14:textId="77777777" w:rsidTr="00250FA5">
        <w:tc>
          <w:tcPr>
            <w:tcW w:w="1032" w:type="dxa"/>
            <w:tcBorders>
              <w:top w:val="single" w:sz="4" w:space="0" w:color="auto"/>
              <w:left w:val="single" w:sz="4" w:space="0" w:color="auto"/>
              <w:bottom w:val="single" w:sz="4" w:space="0" w:color="auto"/>
              <w:right w:val="single" w:sz="4" w:space="0" w:color="auto"/>
            </w:tcBorders>
            <w:vAlign w:val="center"/>
            <w:hideMark/>
          </w:tcPr>
          <w:p w14:paraId="0FF76874" w14:textId="77777777" w:rsidR="00250FA5" w:rsidRPr="00250FA5" w:rsidRDefault="00250FA5" w:rsidP="00250FA5">
            <w:pPr>
              <w:keepNext/>
              <w:keepLines/>
              <w:spacing w:before="0"/>
              <w:jc w:val="left"/>
              <w:rPr>
                <w:rFonts w:ascii="Arial Narrow" w:eastAsia="Times New Roman" w:hAnsi="Arial Narrow" w:cs="Times New Roman"/>
                <w:sz w:val="20"/>
              </w:rPr>
            </w:pPr>
            <w:r w:rsidRPr="00250FA5">
              <w:rPr>
                <w:rFonts w:ascii="Arial Narrow" w:eastAsia="Times New Roman" w:hAnsi="Arial Narrow" w:cs="Times New Roman"/>
                <w:sz w:val="20"/>
              </w:rPr>
              <w:t>EA1</w:t>
            </w:r>
          </w:p>
        </w:tc>
        <w:tc>
          <w:tcPr>
            <w:tcW w:w="4301" w:type="dxa"/>
            <w:tcBorders>
              <w:top w:val="single" w:sz="4" w:space="0" w:color="auto"/>
              <w:left w:val="single" w:sz="4" w:space="0" w:color="auto"/>
              <w:bottom w:val="single" w:sz="4" w:space="0" w:color="auto"/>
              <w:right w:val="single" w:sz="4" w:space="0" w:color="auto"/>
            </w:tcBorders>
            <w:vAlign w:val="center"/>
          </w:tcPr>
          <w:p w14:paraId="216ED228"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 xml:space="preserve">AE rates were underestimated based on the new clinical claim of inferior safety to </w:t>
            </w:r>
            <w:proofErr w:type="spellStart"/>
            <w:r w:rsidRPr="00250FA5">
              <w:rPr>
                <w:rFonts w:ascii="Arial Narrow" w:eastAsia="Times New Roman" w:hAnsi="Arial Narrow" w:cs="Times New Roman"/>
                <w:sz w:val="20"/>
              </w:rPr>
              <w:t>SoC.</w:t>
            </w:r>
            <w:proofErr w:type="spellEnd"/>
            <w:r w:rsidRPr="00250FA5">
              <w:rPr>
                <w:rFonts w:ascii="Arial Narrow" w:eastAsia="Times New Roman" w:hAnsi="Arial Narrow" w:cs="Times New Roman"/>
                <w:sz w:val="20"/>
              </w:rPr>
              <w:t xml:space="preserve"> The AE rates from KN048 applied to the pembrolizumab plus chemotherapy arm were lower than the all cause grade 3-4 AEs from EXTREME applied to </w:t>
            </w:r>
            <w:proofErr w:type="spellStart"/>
            <w:r w:rsidRPr="00250FA5">
              <w:rPr>
                <w:rFonts w:ascii="Arial Narrow" w:eastAsia="Times New Roman" w:hAnsi="Arial Narrow" w:cs="Times New Roman"/>
                <w:sz w:val="20"/>
              </w:rPr>
              <w:t>SoC.</w:t>
            </w:r>
            <w:proofErr w:type="spellEnd"/>
            <w:r w:rsidRPr="00250FA5">
              <w:rPr>
                <w:rFonts w:ascii="Arial Narrow" w:eastAsia="Times New Roman" w:hAnsi="Arial Narrow" w:cs="Times New Roman"/>
                <w:sz w:val="20"/>
              </w:rPr>
              <w:t xml:space="preserve"> </w:t>
            </w:r>
          </w:p>
          <w:p w14:paraId="3380FBDC" w14:textId="77777777" w:rsidR="00250FA5" w:rsidRPr="00250FA5" w:rsidRDefault="00250FA5" w:rsidP="00250FA5">
            <w:pPr>
              <w:keepNext/>
              <w:keepLines/>
              <w:spacing w:before="0"/>
              <w:jc w:val="center"/>
              <w:rPr>
                <w:rFonts w:ascii="Arial Narrow" w:eastAsia="Times New Roman" w:hAnsi="Arial Narrow" w:cs="Times New Roman"/>
                <w:sz w:val="20"/>
              </w:rPr>
            </w:pPr>
          </w:p>
          <w:p w14:paraId="764AEAA7"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Duration of treatment was overestimated as chemotherapy treatment was continued past 6 cycles, which resulted in AEs being overestimated.</w:t>
            </w:r>
          </w:p>
        </w:tc>
        <w:tc>
          <w:tcPr>
            <w:tcW w:w="4301" w:type="dxa"/>
            <w:vMerge w:val="restart"/>
            <w:tcBorders>
              <w:top w:val="single" w:sz="4" w:space="0" w:color="auto"/>
              <w:left w:val="single" w:sz="4" w:space="0" w:color="auto"/>
              <w:bottom w:val="single" w:sz="4" w:space="0" w:color="auto"/>
              <w:right w:val="single" w:sz="4" w:space="0" w:color="auto"/>
            </w:tcBorders>
            <w:vAlign w:val="center"/>
          </w:tcPr>
          <w:p w14:paraId="331910AA"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 xml:space="preserve">AE rates were overestimated for the SoC arm as the model used all cause grade 3-4 AEs from EXTREME for SoC, whereas KN048 grade 3-5 TRAE which required </w:t>
            </w:r>
            <w:proofErr w:type="spellStart"/>
            <w:r w:rsidRPr="00250FA5">
              <w:rPr>
                <w:rFonts w:ascii="Arial Narrow" w:eastAsia="Times New Roman" w:hAnsi="Arial Narrow" w:cs="Times New Roman"/>
                <w:sz w:val="20"/>
              </w:rPr>
              <w:t>hospitalisation</w:t>
            </w:r>
            <w:proofErr w:type="spellEnd"/>
            <w:r w:rsidRPr="00250FA5">
              <w:rPr>
                <w:rFonts w:ascii="Arial Narrow" w:eastAsia="Times New Roman" w:hAnsi="Arial Narrow" w:cs="Times New Roman"/>
                <w:sz w:val="20"/>
              </w:rPr>
              <w:t xml:space="preserve"> were applied to the pembrolizumab plus chemotherapy arm.</w:t>
            </w:r>
          </w:p>
          <w:p w14:paraId="63A1174F" w14:textId="77777777" w:rsidR="00250FA5" w:rsidRPr="00250FA5" w:rsidRDefault="00250FA5" w:rsidP="00250FA5">
            <w:pPr>
              <w:keepNext/>
              <w:keepLines/>
              <w:spacing w:before="0"/>
              <w:jc w:val="center"/>
              <w:rPr>
                <w:rFonts w:ascii="Arial Narrow" w:eastAsia="Times New Roman" w:hAnsi="Arial Narrow" w:cs="Times New Roman"/>
                <w:sz w:val="20"/>
              </w:rPr>
            </w:pPr>
          </w:p>
          <w:p w14:paraId="36080B77"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Duration of treatment was overestimated as treatment related adverse event was applied past six cycles of treatment, which resulted in AEs being overestimated.</w:t>
            </w:r>
          </w:p>
        </w:tc>
      </w:tr>
      <w:tr w:rsidR="00250FA5" w:rsidRPr="00250FA5" w14:paraId="64ADB8DB" w14:textId="77777777" w:rsidTr="00250FA5">
        <w:tc>
          <w:tcPr>
            <w:tcW w:w="1032" w:type="dxa"/>
            <w:tcBorders>
              <w:top w:val="single" w:sz="4" w:space="0" w:color="auto"/>
              <w:left w:val="single" w:sz="4" w:space="0" w:color="auto"/>
              <w:bottom w:val="single" w:sz="4" w:space="0" w:color="auto"/>
              <w:right w:val="single" w:sz="4" w:space="0" w:color="auto"/>
            </w:tcBorders>
            <w:vAlign w:val="center"/>
            <w:hideMark/>
          </w:tcPr>
          <w:p w14:paraId="125A1456" w14:textId="77777777" w:rsidR="00250FA5" w:rsidRPr="00250FA5" w:rsidRDefault="00250FA5" w:rsidP="00250FA5">
            <w:pPr>
              <w:keepNext/>
              <w:keepLines/>
              <w:spacing w:before="0"/>
              <w:jc w:val="left"/>
              <w:rPr>
                <w:rFonts w:ascii="Arial Narrow" w:eastAsia="Times New Roman" w:hAnsi="Arial Narrow" w:cs="Times New Roman"/>
                <w:sz w:val="20"/>
              </w:rPr>
            </w:pPr>
            <w:r w:rsidRPr="00250FA5">
              <w:rPr>
                <w:rFonts w:ascii="Arial Narrow" w:eastAsia="Times New Roman" w:hAnsi="Arial Narrow" w:cs="Times New Roman"/>
                <w:sz w:val="20"/>
              </w:rPr>
              <w:t>EA2</w:t>
            </w:r>
          </w:p>
        </w:tc>
        <w:tc>
          <w:tcPr>
            <w:tcW w:w="4301" w:type="dxa"/>
            <w:tcBorders>
              <w:top w:val="single" w:sz="4" w:space="0" w:color="auto"/>
              <w:left w:val="single" w:sz="4" w:space="0" w:color="auto"/>
              <w:bottom w:val="single" w:sz="4" w:space="0" w:color="auto"/>
              <w:right w:val="single" w:sz="4" w:space="0" w:color="auto"/>
            </w:tcBorders>
            <w:vAlign w:val="center"/>
            <w:hideMark/>
          </w:tcPr>
          <w:p w14:paraId="24CAF518" w14:textId="77777777" w:rsidR="00250FA5" w:rsidRPr="00250FA5" w:rsidRDefault="00250FA5" w:rsidP="00250FA5">
            <w:pPr>
              <w:keepNext/>
              <w:keepLines/>
              <w:spacing w:before="0"/>
              <w:jc w:val="center"/>
              <w:rPr>
                <w:rFonts w:ascii="Arial Narrow" w:eastAsia="Times New Roman" w:hAnsi="Arial Narrow" w:cs="Times New Roman"/>
                <w:sz w:val="20"/>
              </w:rPr>
            </w:pPr>
            <w:r w:rsidRPr="00250FA5">
              <w:rPr>
                <w:rFonts w:ascii="Arial Narrow" w:eastAsia="Times New Roman" w:hAnsi="Arial Narrow" w:cs="Times New Roman"/>
                <w:sz w:val="20"/>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968FF" w14:textId="77777777" w:rsidR="00250FA5" w:rsidRPr="00250FA5" w:rsidRDefault="00250FA5" w:rsidP="00250FA5">
            <w:pPr>
              <w:spacing w:before="0"/>
              <w:jc w:val="left"/>
              <w:rPr>
                <w:rFonts w:ascii="Arial Narrow" w:eastAsia="Times New Roman" w:hAnsi="Arial Narrow" w:cs="Times New Roman"/>
                <w:sz w:val="20"/>
              </w:rPr>
            </w:pPr>
          </w:p>
        </w:tc>
      </w:tr>
    </w:tbl>
    <w:p w14:paraId="77998891" w14:textId="77777777" w:rsidR="00250FA5" w:rsidRPr="00250FA5" w:rsidRDefault="00250FA5" w:rsidP="00250FA5">
      <w:pPr>
        <w:keepNext/>
        <w:keepLines/>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AEs = adverse events; TNA = not applicable; RAE = treatment related adverse events; SoC = standard of care</w:t>
      </w:r>
    </w:p>
    <w:p w14:paraId="581908CD" w14:textId="77777777" w:rsidR="00250FA5" w:rsidRPr="00250FA5" w:rsidRDefault="00250FA5" w:rsidP="009059D8">
      <w:pPr>
        <w:snapToGrid w:val="0"/>
        <w:spacing w:before="0" w:after="240"/>
        <w:rPr>
          <w:rFonts w:ascii="Arial Narrow" w:eastAsia="Times New Roman" w:hAnsi="Arial Narrow" w:cs="Arial"/>
          <w:sz w:val="18"/>
          <w:szCs w:val="20"/>
        </w:rPr>
      </w:pPr>
      <w:r w:rsidRPr="00250FA5">
        <w:rPr>
          <w:rFonts w:ascii="Arial Narrow" w:eastAsia="Times New Roman" w:hAnsi="Arial Narrow" w:cs="Arial"/>
          <w:sz w:val="18"/>
          <w:szCs w:val="20"/>
        </w:rPr>
        <w:t>Source: Constructed during evaluation</w:t>
      </w:r>
    </w:p>
    <w:p w14:paraId="137AFA75" w14:textId="34E4F4F9"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Based on the reasons in the above table</w:t>
      </w:r>
      <w:r w:rsidR="009059D8">
        <w:rPr>
          <w:rFonts w:ascii="Times New Roman" w:eastAsia="Calibri" w:hAnsi="Times New Roman" w:cs="Times New Roman"/>
        </w:rPr>
        <w:t>,</w:t>
      </w:r>
      <w:r w:rsidRPr="00250FA5">
        <w:rPr>
          <w:rFonts w:ascii="Times New Roman" w:eastAsia="Calibri" w:hAnsi="Times New Roman" w:cs="Times New Roman"/>
        </w:rPr>
        <w:t xml:space="preserve"> the commentary made the following adjustments to the base case of the economic evaluation (</w:t>
      </w:r>
      <w:r w:rsidRPr="00DC414F">
        <w:rPr>
          <w:rFonts w:ascii="Times New Roman" w:eastAsia="Calibri" w:hAnsi="Times New Roman" w:cs="Times New Roman"/>
          <w:szCs w:val="24"/>
          <w:lang w:eastAsia="en-AU"/>
        </w:rPr>
        <w:fldChar w:fldCharType="begin"/>
      </w:r>
      <w:r w:rsidRPr="00DC414F">
        <w:rPr>
          <w:rFonts w:ascii="Times New Roman" w:eastAsia="Calibri" w:hAnsi="Times New Roman" w:cs="Times New Roman"/>
          <w:szCs w:val="24"/>
          <w:lang w:eastAsia="en-AU"/>
        </w:rPr>
        <w:instrText xml:space="preserve"> REF _Ref80059108 \h  \* MERGEFORMAT </w:instrText>
      </w:r>
      <w:r w:rsidRPr="00DC414F">
        <w:rPr>
          <w:rFonts w:ascii="Times New Roman" w:eastAsia="Calibri" w:hAnsi="Times New Roman" w:cs="Times New Roman"/>
          <w:szCs w:val="24"/>
          <w:lang w:eastAsia="en-AU"/>
        </w:rPr>
      </w:r>
      <w:r w:rsidRPr="00DC414F">
        <w:rPr>
          <w:rFonts w:ascii="Times New Roman" w:eastAsia="Calibri" w:hAnsi="Times New Roman" w:cs="Times New Roman"/>
          <w:szCs w:val="24"/>
          <w:lang w:eastAsia="en-AU"/>
        </w:rPr>
        <w:fldChar w:fldCharType="separate"/>
      </w:r>
      <w:r w:rsidR="000635B6" w:rsidRPr="000635B6">
        <w:rPr>
          <w:rFonts w:ascii="Times New Roman" w:eastAsia="Calibri" w:hAnsi="Times New Roman" w:cs="Times New Roman"/>
          <w:szCs w:val="24"/>
          <w:lang w:eastAsia="en-AU"/>
        </w:rPr>
        <w:t xml:space="preserve">Table </w:t>
      </w:r>
      <w:r w:rsidR="000635B6" w:rsidRPr="000635B6">
        <w:rPr>
          <w:rFonts w:ascii="Times New Roman" w:eastAsia="Calibri" w:hAnsi="Times New Roman" w:cs="Times New Roman"/>
          <w:iCs/>
          <w:noProof/>
          <w:szCs w:val="24"/>
        </w:rPr>
        <w:t>1</w:t>
      </w:r>
      <w:r w:rsidR="009059D8">
        <w:rPr>
          <w:rFonts w:ascii="Times New Roman" w:eastAsia="Calibri" w:hAnsi="Times New Roman" w:cs="Times New Roman"/>
          <w:iCs/>
          <w:noProof/>
          <w:szCs w:val="24"/>
        </w:rPr>
        <w:t>5</w:t>
      </w:r>
      <w:r w:rsidRPr="00DC414F">
        <w:rPr>
          <w:rFonts w:ascii="Times New Roman" w:eastAsia="Calibri" w:hAnsi="Times New Roman" w:cs="Times New Roman"/>
          <w:szCs w:val="24"/>
          <w:lang w:eastAsia="en-AU"/>
        </w:rPr>
        <w:fldChar w:fldCharType="end"/>
      </w:r>
      <w:r w:rsidRPr="00250FA5">
        <w:rPr>
          <w:rFonts w:ascii="Times New Roman" w:eastAsia="Calibri" w:hAnsi="Times New Roman" w:cs="Times New Roman"/>
          <w:szCs w:val="20"/>
          <w:lang w:eastAsia="en-AU"/>
        </w:rPr>
        <w:t>)</w:t>
      </w:r>
      <w:r w:rsidR="00D61853">
        <w:rPr>
          <w:rFonts w:ascii="Times New Roman" w:eastAsia="Calibri" w:hAnsi="Times New Roman" w:cs="Times New Roman"/>
          <w:szCs w:val="20"/>
          <w:lang w:eastAsia="en-AU"/>
        </w:rPr>
        <w:t>.</w:t>
      </w:r>
    </w:p>
    <w:p w14:paraId="6FE71552" w14:textId="5F8EF176" w:rsidR="00250FA5" w:rsidRPr="00DC414F" w:rsidRDefault="00250FA5" w:rsidP="00250FA5">
      <w:pPr>
        <w:spacing w:before="0" w:after="240"/>
        <w:jc w:val="left"/>
        <w:rPr>
          <w:rFonts w:ascii="Times New Roman" w:eastAsia="Calibri" w:hAnsi="Times New Roman" w:cs="Times New Roman"/>
          <w:i/>
          <w:iCs/>
          <w:szCs w:val="24"/>
        </w:rPr>
      </w:pPr>
      <w:r w:rsidRPr="00DC414F">
        <w:rPr>
          <w:rFonts w:ascii="Times New Roman" w:eastAsia="Calibri" w:hAnsi="Times New Roman" w:cs="Times New Roman"/>
          <w:szCs w:val="24"/>
        </w:rPr>
        <w:t xml:space="preserve">EA1 and EA2 assumed 100% sensitivity and specificity. The results of EA1, EA2 and the weighted ICER (assuming 60% pembrolizumab monotherapy and 40% pembrolizumab plus chemotherapy) is presented in </w:t>
      </w:r>
      <w:r w:rsidRPr="00DC414F">
        <w:rPr>
          <w:rFonts w:ascii="Times New Roman" w:eastAsia="Calibri" w:hAnsi="Times New Roman" w:cs="Times New Roman"/>
          <w:szCs w:val="24"/>
          <w:lang w:eastAsia="en-AU"/>
        </w:rPr>
        <w:fldChar w:fldCharType="begin"/>
      </w:r>
      <w:r w:rsidRPr="00DC414F">
        <w:rPr>
          <w:rFonts w:ascii="Times New Roman" w:eastAsia="Calibri" w:hAnsi="Times New Roman" w:cs="Times New Roman"/>
          <w:szCs w:val="24"/>
          <w:lang w:eastAsia="en-AU"/>
        </w:rPr>
        <w:instrText xml:space="preserve"> REF _Ref80059108 \h  \* MERGEFORMAT </w:instrText>
      </w:r>
      <w:r w:rsidRPr="00DC414F">
        <w:rPr>
          <w:rFonts w:ascii="Times New Roman" w:eastAsia="Calibri" w:hAnsi="Times New Roman" w:cs="Times New Roman"/>
          <w:szCs w:val="24"/>
          <w:lang w:eastAsia="en-AU"/>
        </w:rPr>
      </w:r>
      <w:r w:rsidRPr="00DC414F">
        <w:rPr>
          <w:rFonts w:ascii="Times New Roman" w:eastAsia="Calibri" w:hAnsi="Times New Roman" w:cs="Times New Roman"/>
          <w:szCs w:val="24"/>
          <w:lang w:eastAsia="en-AU"/>
        </w:rPr>
        <w:fldChar w:fldCharType="separate"/>
      </w:r>
      <w:r w:rsidR="000635B6" w:rsidRPr="000635B6">
        <w:rPr>
          <w:rFonts w:ascii="Times New Roman" w:eastAsia="Calibri" w:hAnsi="Times New Roman" w:cs="Times New Roman"/>
          <w:szCs w:val="24"/>
          <w:lang w:eastAsia="en-AU"/>
        </w:rPr>
        <w:t xml:space="preserve">Table </w:t>
      </w:r>
      <w:r w:rsidR="000635B6" w:rsidRPr="000635B6">
        <w:rPr>
          <w:rFonts w:ascii="Times New Roman" w:eastAsia="Calibri" w:hAnsi="Times New Roman" w:cs="Times New Roman"/>
          <w:iCs/>
          <w:noProof/>
          <w:szCs w:val="24"/>
        </w:rPr>
        <w:t>1</w:t>
      </w:r>
      <w:r w:rsidR="009059D8">
        <w:rPr>
          <w:rFonts w:ascii="Times New Roman" w:eastAsia="Calibri" w:hAnsi="Times New Roman" w:cs="Times New Roman"/>
          <w:iCs/>
          <w:noProof/>
          <w:szCs w:val="24"/>
        </w:rPr>
        <w:t>5</w:t>
      </w:r>
      <w:r w:rsidRPr="00DC414F">
        <w:rPr>
          <w:rFonts w:ascii="Times New Roman" w:eastAsia="Calibri" w:hAnsi="Times New Roman" w:cs="Times New Roman"/>
          <w:szCs w:val="24"/>
          <w:lang w:eastAsia="en-AU"/>
        </w:rPr>
        <w:fldChar w:fldCharType="end"/>
      </w:r>
      <w:r w:rsidRPr="00DC414F">
        <w:rPr>
          <w:rFonts w:ascii="Times New Roman" w:eastAsia="Calibri" w:hAnsi="Times New Roman" w:cs="Times New Roman"/>
          <w:szCs w:val="24"/>
          <w:lang w:eastAsia="en-AU"/>
        </w:rPr>
        <w:t>.</w:t>
      </w:r>
      <w:r w:rsidRPr="00DC414F">
        <w:rPr>
          <w:rFonts w:ascii="Times New Roman" w:eastAsia="Calibri" w:hAnsi="Times New Roman" w:cs="Times New Roman"/>
          <w:szCs w:val="24"/>
        </w:rPr>
        <w:t xml:space="preserve"> The results of SA2 which assumed a 96% sensitivity and specificity of the PD-L1 test are presented in </w:t>
      </w:r>
      <w:r w:rsidRPr="00DC414F">
        <w:rPr>
          <w:rFonts w:ascii="Times New Roman" w:eastAsia="Calibri" w:hAnsi="Times New Roman" w:cs="Times New Roman"/>
          <w:szCs w:val="24"/>
          <w:lang w:eastAsia="en-AU"/>
        </w:rPr>
        <w:fldChar w:fldCharType="begin"/>
      </w:r>
      <w:r w:rsidRPr="00DC414F">
        <w:rPr>
          <w:rFonts w:ascii="Times New Roman" w:eastAsia="Calibri" w:hAnsi="Times New Roman" w:cs="Times New Roman"/>
          <w:szCs w:val="24"/>
          <w:lang w:eastAsia="en-AU"/>
        </w:rPr>
        <w:instrText xml:space="preserve"> REF _Ref80059131 \h  \* MERGEFORMAT </w:instrText>
      </w:r>
      <w:r w:rsidRPr="00DC414F">
        <w:rPr>
          <w:rFonts w:ascii="Times New Roman" w:eastAsia="Calibri" w:hAnsi="Times New Roman" w:cs="Times New Roman"/>
          <w:szCs w:val="24"/>
          <w:lang w:eastAsia="en-AU"/>
        </w:rPr>
      </w:r>
      <w:r w:rsidRPr="00DC414F">
        <w:rPr>
          <w:rFonts w:ascii="Times New Roman" w:eastAsia="Calibri" w:hAnsi="Times New Roman" w:cs="Times New Roman"/>
          <w:szCs w:val="24"/>
          <w:lang w:eastAsia="en-AU"/>
        </w:rPr>
        <w:fldChar w:fldCharType="separate"/>
      </w:r>
      <w:r w:rsidR="000635B6" w:rsidRPr="000635B6">
        <w:rPr>
          <w:rFonts w:ascii="Times New Roman" w:eastAsia="Calibri" w:hAnsi="Times New Roman" w:cs="Times New Roman"/>
          <w:szCs w:val="24"/>
          <w:lang w:eastAsia="en-AU"/>
        </w:rPr>
        <w:t xml:space="preserve">Table </w:t>
      </w:r>
      <w:r w:rsidR="000635B6" w:rsidRPr="000635B6">
        <w:rPr>
          <w:rFonts w:ascii="Times New Roman" w:eastAsia="Calibri" w:hAnsi="Times New Roman" w:cs="Times New Roman"/>
          <w:iCs/>
          <w:noProof/>
          <w:szCs w:val="24"/>
        </w:rPr>
        <w:t>1</w:t>
      </w:r>
      <w:r w:rsidR="009059D8">
        <w:rPr>
          <w:rFonts w:ascii="Times New Roman" w:eastAsia="Calibri" w:hAnsi="Times New Roman" w:cs="Times New Roman"/>
          <w:iCs/>
          <w:noProof/>
          <w:szCs w:val="24"/>
        </w:rPr>
        <w:t>4</w:t>
      </w:r>
      <w:r w:rsidRPr="00DC414F">
        <w:rPr>
          <w:rFonts w:ascii="Times New Roman" w:eastAsia="Calibri" w:hAnsi="Times New Roman" w:cs="Times New Roman"/>
          <w:szCs w:val="24"/>
          <w:lang w:eastAsia="en-AU"/>
        </w:rPr>
        <w:fldChar w:fldCharType="end"/>
      </w:r>
      <w:r w:rsidRPr="00DC414F">
        <w:rPr>
          <w:rFonts w:ascii="Times New Roman" w:eastAsia="Calibri" w:hAnsi="Times New Roman" w:cs="Times New Roman"/>
          <w:szCs w:val="24"/>
          <w:lang w:eastAsia="en-AU"/>
        </w:rPr>
        <w:t>.</w:t>
      </w:r>
      <w:r w:rsidRPr="00DC414F">
        <w:rPr>
          <w:rFonts w:ascii="Times New Roman" w:eastAsia="Calibri" w:hAnsi="Times New Roman" w:cs="Times New Roman"/>
          <w:szCs w:val="24"/>
        </w:rPr>
        <w:t xml:space="preserve"> The commentary highlighted that in SA2, the resubmission assumed that any QALY loss in patients who were misclassified would be compensated for by QALY gain in patients with CPS ≥1 who were treated with pembrolizumab on a one to one basis. The commentary concluded that it was unclear if this was a reasonable assumption.</w:t>
      </w:r>
    </w:p>
    <w:p w14:paraId="0F29DB2F" w14:textId="661E1208" w:rsidR="00250FA5" w:rsidRPr="00250FA5" w:rsidRDefault="00250FA5" w:rsidP="00250FA5">
      <w:pPr>
        <w:spacing w:before="0" w:after="0"/>
        <w:jc w:val="left"/>
        <w:rPr>
          <w:rFonts w:ascii="Times New Roman" w:eastAsia="Times New Roman" w:hAnsi="Times New Roman" w:cs="Times New Roman"/>
          <w:szCs w:val="20"/>
          <w:lang w:eastAsia="en-AU"/>
        </w:rPr>
      </w:pPr>
      <w:r w:rsidRPr="00DC414F">
        <w:rPr>
          <w:rFonts w:ascii="Times New Roman" w:eastAsia="Times New Roman" w:hAnsi="Times New Roman" w:cs="Times New Roman"/>
          <w:szCs w:val="24"/>
          <w:lang w:eastAsia="en-AU"/>
        </w:rPr>
        <w:t>The pre-ESC response presented a new economic model (</w:t>
      </w:r>
      <w:r w:rsidRPr="00DC414F">
        <w:rPr>
          <w:rFonts w:ascii="Times New Roman" w:eastAsia="Times New Roman" w:hAnsi="Times New Roman" w:cs="Times New Roman"/>
          <w:szCs w:val="24"/>
          <w:lang w:eastAsia="en-AU"/>
        </w:rPr>
        <w:fldChar w:fldCharType="begin"/>
      </w:r>
      <w:r w:rsidRPr="00DC414F">
        <w:rPr>
          <w:rFonts w:ascii="Times New Roman" w:eastAsia="Times New Roman" w:hAnsi="Times New Roman" w:cs="Times New Roman"/>
          <w:szCs w:val="24"/>
          <w:lang w:eastAsia="en-AU"/>
        </w:rPr>
        <w:instrText xml:space="preserve"> REF _Ref80059108 \h  \* MERGEFORMAT </w:instrText>
      </w:r>
      <w:r w:rsidRPr="00DC414F">
        <w:rPr>
          <w:rFonts w:ascii="Times New Roman" w:eastAsia="Times New Roman" w:hAnsi="Times New Roman" w:cs="Times New Roman"/>
          <w:szCs w:val="24"/>
          <w:lang w:eastAsia="en-AU"/>
        </w:rPr>
      </w:r>
      <w:r w:rsidRPr="00DC414F">
        <w:rPr>
          <w:rFonts w:ascii="Times New Roman" w:eastAsia="Times New Roman" w:hAnsi="Times New Roman" w:cs="Times New Roman"/>
          <w:szCs w:val="24"/>
          <w:lang w:eastAsia="en-AU"/>
        </w:rPr>
        <w:fldChar w:fldCharType="separate"/>
      </w:r>
      <w:r w:rsidR="000635B6" w:rsidRPr="000635B6">
        <w:rPr>
          <w:rFonts w:ascii="Times New Roman" w:eastAsia="Calibri" w:hAnsi="Times New Roman" w:cs="Times New Roman"/>
          <w:szCs w:val="24"/>
          <w:lang w:eastAsia="en-AU"/>
        </w:rPr>
        <w:t xml:space="preserve">Table </w:t>
      </w:r>
      <w:r w:rsidR="000635B6" w:rsidRPr="000635B6">
        <w:rPr>
          <w:rFonts w:ascii="Times New Roman" w:eastAsia="Calibri" w:hAnsi="Times New Roman" w:cs="Times New Roman"/>
          <w:iCs/>
          <w:noProof/>
          <w:szCs w:val="24"/>
        </w:rPr>
        <w:t>1</w:t>
      </w:r>
      <w:r w:rsidR="009059D8">
        <w:rPr>
          <w:rFonts w:ascii="Times New Roman" w:eastAsia="Calibri" w:hAnsi="Times New Roman" w:cs="Times New Roman"/>
          <w:iCs/>
          <w:noProof/>
          <w:szCs w:val="24"/>
        </w:rPr>
        <w:t>3</w:t>
      </w:r>
      <w:r w:rsidRPr="00DC414F">
        <w:rPr>
          <w:rFonts w:ascii="Times New Roman" w:eastAsia="Times New Roman" w:hAnsi="Times New Roman" w:cs="Times New Roman"/>
          <w:szCs w:val="24"/>
          <w:lang w:eastAsia="en-AU"/>
        </w:rPr>
        <w:fldChar w:fldCharType="end"/>
      </w:r>
      <w:r w:rsidRPr="00DC414F">
        <w:rPr>
          <w:rFonts w:ascii="Times New Roman" w:eastAsia="Times New Roman" w:hAnsi="Times New Roman" w:cs="Times New Roman"/>
          <w:szCs w:val="24"/>
          <w:lang w:eastAsia="en-AU"/>
        </w:rPr>
        <w:t>). The new economic model could not be fully evaluated. The new economic model incorporated</w:t>
      </w:r>
      <w:r w:rsidRPr="00250FA5">
        <w:rPr>
          <w:rFonts w:ascii="Times New Roman" w:eastAsia="Times New Roman" w:hAnsi="Times New Roman" w:cs="Times New Roman"/>
          <w:szCs w:val="20"/>
          <w:lang w:eastAsia="en-AU"/>
        </w:rPr>
        <w:t xml:space="preserve"> the following changes:</w:t>
      </w:r>
    </w:p>
    <w:p w14:paraId="53CA5F3B" w14:textId="77777777" w:rsidR="00250FA5" w:rsidRPr="00D61853" w:rsidRDefault="00250FA5" w:rsidP="00B2387B">
      <w:pPr>
        <w:numPr>
          <w:ilvl w:val="0"/>
          <w:numId w:val="81"/>
        </w:numPr>
        <w:spacing w:before="0"/>
        <w:ind w:left="714" w:hanging="357"/>
        <w:jc w:val="left"/>
        <w:rPr>
          <w:rFonts w:ascii="Times New Roman" w:eastAsia="Times New Roman" w:hAnsi="Times New Roman" w:cs="Times New Roman"/>
          <w:szCs w:val="24"/>
          <w:lang w:eastAsia="en-AU"/>
        </w:rPr>
      </w:pPr>
      <w:r w:rsidRPr="00D61853">
        <w:rPr>
          <w:rFonts w:ascii="Times New Roman" w:eastAsia="Times New Roman" w:hAnsi="Times New Roman" w:cs="Times New Roman"/>
          <w:szCs w:val="24"/>
          <w:lang w:eastAsia="en-AU"/>
        </w:rPr>
        <w:t>Patient population for pembrolizumab monotherapy has been restricted to CPS ≥20. This resulted in changes to inputs including OS, progression free survival (PFS) and time on treatment (</w:t>
      </w:r>
      <w:proofErr w:type="spellStart"/>
      <w:r w:rsidRPr="00D61853">
        <w:rPr>
          <w:rFonts w:ascii="Times New Roman" w:eastAsia="Times New Roman" w:hAnsi="Times New Roman" w:cs="Times New Roman"/>
          <w:szCs w:val="24"/>
          <w:lang w:eastAsia="en-AU"/>
        </w:rPr>
        <w:t>ToT</w:t>
      </w:r>
      <w:proofErr w:type="spellEnd"/>
      <w:r w:rsidRPr="00D61853">
        <w:rPr>
          <w:rFonts w:ascii="Times New Roman" w:eastAsia="Times New Roman" w:hAnsi="Times New Roman" w:cs="Times New Roman"/>
          <w:szCs w:val="24"/>
          <w:lang w:eastAsia="en-AU"/>
        </w:rPr>
        <w:t>), as well as the patient characteristics and subsequent treatment data used to inform the model;</w:t>
      </w:r>
    </w:p>
    <w:p w14:paraId="15B44D60" w14:textId="004092D2" w:rsidR="00250FA5" w:rsidRPr="00D61853" w:rsidRDefault="00250FA5" w:rsidP="00B2387B">
      <w:pPr>
        <w:numPr>
          <w:ilvl w:val="0"/>
          <w:numId w:val="81"/>
        </w:numPr>
        <w:spacing w:before="0"/>
        <w:ind w:left="714" w:hanging="357"/>
        <w:jc w:val="left"/>
        <w:rPr>
          <w:rFonts w:ascii="Times New Roman" w:eastAsia="Times New Roman" w:hAnsi="Times New Roman" w:cs="Times New Roman"/>
          <w:szCs w:val="24"/>
          <w:lang w:eastAsia="en-AU"/>
        </w:rPr>
      </w:pPr>
      <w:r w:rsidRPr="00D61853">
        <w:rPr>
          <w:rFonts w:ascii="Times New Roman" w:eastAsia="Times New Roman" w:hAnsi="Times New Roman" w:cs="Times New Roman"/>
          <w:szCs w:val="24"/>
          <w:lang w:eastAsia="en-AU"/>
        </w:rPr>
        <w:t xml:space="preserve">The AE assignment to SoC such that AE costs </w:t>
      </w:r>
      <w:r w:rsidR="00541FF0">
        <w:rPr>
          <w:rFonts w:ascii="Times New Roman" w:eastAsia="Times New Roman" w:hAnsi="Times New Roman" w:cs="Times New Roman"/>
          <w:szCs w:val="24"/>
          <w:lang w:eastAsia="en-AU"/>
        </w:rPr>
        <w:t xml:space="preserve">and utilities </w:t>
      </w:r>
      <w:r w:rsidRPr="00D61853">
        <w:rPr>
          <w:rFonts w:ascii="Times New Roman" w:eastAsia="Times New Roman" w:hAnsi="Times New Roman" w:cs="Times New Roman"/>
          <w:szCs w:val="24"/>
          <w:lang w:eastAsia="en-AU"/>
        </w:rPr>
        <w:t>were limited to the 18</w:t>
      </w:r>
      <w:r w:rsidR="00D61853">
        <w:rPr>
          <w:rFonts w:ascii="Times New Roman" w:eastAsia="Times New Roman" w:hAnsi="Times New Roman" w:cs="Times New Roman"/>
          <w:szCs w:val="24"/>
          <w:lang w:eastAsia="en-AU"/>
        </w:rPr>
        <w:t>-</w:t>
      </w:r>
      <w:r w:rsidRPr="00D61853">
        <w:rPr>
          <w:rFonts w:ascii="Times New Roman" w:eastAsia="Times New Roman" w:hAnsi="Times New Roman" w:cs="Times New Roman"/>
          <w:szCs w:val="24"/>
          <w:lang w:eastAsia="en-AU"/>
        </w:rPr>
        <w:t>week duration of chemotherapy. In the resubmission model AE assignment continued beyond the duration of chemotherapy resulting in the base case ICER being underestimated for both economic analysis 1 (EA1 - pembrolizumab plus chemotherapy versus chemotherapy) and economic analysis 2 (EA2 - pembrolizumab monotherapy versus chemotherapy);</w:t>
      </w:r>
    </w:p>
    <w:p w14:paraId="410927C7" w14:textId="64BA14A2" w:rsidR="00250FA5" w:rsidRPr="00D61853" w:rsidRDefault="00250FA5" w:rsidP="00B2387B">
      <w:pPr>
        <w:numPr>
          <w:ilvl w:val="0"/>
          <w:numId w:val="81"/>
        </w:numPr>
        <w:spacing w:before="0"/>
        <w:ind w:left="714" w:hanging="357"/>
        <w:jc w:val="left"/>
        <w:rPr>
          <w:rFonts w:ascii="Times New Roman" w:eastAsia="Times New Roman" w:hAnsi="Times New Roman" w:cs="Times New Roman"/>
          <w:szCs w:val="24"/>
          <w:lang w:eastAsia="en-AU"/>
        </w:rPr>
      </w:pPr>
      <w:r w:rsidRPr="00D61853">
        <w:rPr>
          <w:rFonts w:ascii="Times New Roman" w:eastAsia="Times New Roman" w:hAnsi="Times New Roman" w:cs="Times New Roman"/>
          <w:szCs w:val="24"/>
          <w:lang w:eastAsia="en-AU"/>
        </w:rPr>
        <w:t xml:space="preserve">A reduction of 2L nivolumab use from 50% to 43.7%. This was consistent with calculations presented during the evaluation (paragraph 5.5, PBAC </w:t>
      </w:r>
      <w:r w:rsidR="009059D8">
        <w:rPr>
          <w:rFonts w:ascii="Times New Roman" w:eastAsia="Times New Roman" w:hAnsi="Times New Roman" w:cs="Times New Roman"/>
          <w:szCs w:val="24"/>
          <w:lang w:eastAsia="en-AU"/>
        </w:rPr>
        <w:t>e</w:t>
      </w:r>
      <w:r w:rsidRPr="00D61853">
        <w:rPr>
          <w:rFonts w:ascii="Times New Roman" w:eastAsia="Times New Roman" w:hAnsi="Times New Roman" w:cs="Times New Roman"/>
          <w:szCs w:val="24"/>
          <w:lang w:eastAsia="en-AU"/>
        </w:rPr>
        <w:t xml:space="preserve">xecutive summary of the </w:t>
      </w:r>
      <w:r w:rsidR="009059D8">
        <w:rPr>
          <w:rFonts w:ascii="Times New Roman" w:eastAsia="Times New Roman" w:hAnsi="Times New Roman" w:cs="Times New Roman"/>
          <w:szCs w:val="24"/>
          <w:lang w:eastAsia="en-AU"/>
        </w:rPr>
        <w:t>c</w:t>
      </w:r>
      <w:r w:rsidRPr="00D61853">
        <w:rPr>
          <w:rFonts w:ascii="Times New Roman" w:eastAsia="Times New Roman" w:hAnsi="Times New Roman" w:cs="Times New Roman"/>
          <w:szCs w:val="24"/>
          <w:lang w:eastAsia="en-AU"/>
        </w:rPr>
        <w:t>ommentary); and</w:t>
      </w:r>
    </w:p>
    <w:p w14:paraId="1747D736" w14:textId="48D0DD17" w:rsidR="00250FA5" w:rsidRPr="00DA1CCA" w:rsidRDefault="47430A0E" w:rsidP="1134720A">
      <w:pPr>
        <w:numPr>
          <w:ilvl w:val="0"/>
          <w:numId w:val="81"/>
        </w:numPr>
        <w:spacing w:before="0" w:after="0"/>
        <w:ind w:left="714" w:hanging="357"/>
        <w:jc w:val="left"/>
        <w:rPr>
          <w:rFonts w:ascii="Times New Roman" w:eastAsia="Times New Roman" w:hAnsi="Times New Roman" w:cs="Times New Roman"/>
          <w:lang w:eastAsia="en-AU"/>
        </w:rPr>
      </w:pPr>
      <w:r w:rsidRPr="1134720A">
        <w:rPr>
          <w:rFonts w:ascii="Times New Roman" w:eastAsia="Times New Roman" w:hAnsi="Times New Roman" w:cs="Times New Roman"/>
          <w:lang w:eastAsia="en-AU"/>
        </w:rPr>
        <w:t xml:space="preserve">The effective price of </w:t>
      </w:r>
      <w:r w:rsidRPr="00DA1CCA">
        <w:rPr>
          <w:rFonts w:ascii="Times New Roman" w:eastAsia="Calibri" w:hAnsi="Times New Roman" w:cs="Times New Roman"/>
        </w:rPr>
        <w:t>pembrolizumab</w:t>
      </w:r>
      <w:r w:rsidRPr="00DA1CCA">
        <w:rPr>
          <w:rFonts w:ascii="Times New Roman" w:eastAsia="Times New Roman" w:hAnsi="Times New Roman" w:cs="Times New Roman"/>
          <w:lang w:eastAsia="en-AU"/>
        </w:rPr>
        <w:t xml:space="preserve"> has been reduced from </w:t>
      </w:r>
      <w:r w:rsidR="4B48EC0F" w:rsidRPr="00DA1CCA">
        <w:rPr>
          <w:rFonts w:ascii="Times New Roman" w:eastAsia="Times New Roman" w:hAnsi="Times New Roman" w:cs="Times New Roman"/>
          <w:lang w:eastAsia="en-AU"/>
        </w:rPr>
        <w:t xml:space="preserve">$redacted </w:t>
      </w:r>
      <w:r w:rsidRPr="00DA1CCA">
        <w:rPr>
          <w:rFonts w:ascii="Times New Roman" w:eastAsia="Times New Roman" w:hAnsi="Times New Roman" w:cs="Times New Roman"/>
          <w:lang w:eastAsia="en-AU"/>
        </w:rPr>
        <w:t xml:space="preserve">to </w:t>
      </w:r>
      <w:r w:rsidR="4B48EC0F" w:rsidRPr="00DA1CCA">
        <w:rPr>
          <w:rFonts w:ascii="Times New Roman" w:eastAsia="Times New Roman" w:hAnsi="Times New Roman" w:cs="Times New Roman"/>
          <w:lang w:eastAsia="en-AU"/>
        </w:rPr>
        <w:t xml:space="preserve">$redacted </w:t>
      </w:r>
      <w:r w:rsidRPr="00DA1CCA">
        <w:rPr>
          <w:rFonts w:ascii="Times New Roman" w:eastAsia="Times New Roman" w:hAnsi="Times New Roman" w:cs="Times New Roman"/>
          <w:lang w:eastAsia="en-AU"/>
        </w:rPr>
        <w:t>(</w:t>
      </w:r>
      <w:r w:rsidR="004C7DDA" w:rsidRPr="00DA1CCA">
        <w:rPr>
          <w:rFonts w:ascii="Times New Roman" w:eastAsia="Times New Roman" w:hAnsi="Times New Roman" w:cs="Times New Roman"/>
          <w:szCs w:val="24"/>
          <w:lang w:eastAsia="en-AU"/>
        </w:rPr>
        <w:noBreakHyphen/>
      </w:r>
      <w:r w:rsidRPr="00DA1CCA">
        <w:rPr>
          <w:rFonts w:ascii="Times New Roman" w:eastAsia="Times New Roman" w:hAnsi="Times New Roman" w:cs="Times New Roman"/>
          <w:lang w:eastAsia="en-AU"/>
        </w:rPr>
        <w:t xml:space="preserve">8.9%) for use with chemotherapy and from </w:t>
      </w:r>
      <w:r w:rsidR="4B48EC0F" w:rsidRPr="00DA1CCA">
        <w:rPr>
          <w:rFonts w:ascii="Times New Roman" w:eastAsia="Times New Roman" w:hAnsi="Times New Roman" w:cs="Times New Roman"/>
          <w:lang w:eastAsia="en-AU"/>
        </w:rPr>
        <w:t xml:space="preserve">$redacted </w:t>
      </w:r>
      <w:r w:rsidRPr="00DA1CCA">
        <w:rPr>
          <w:rFonts w:ascii="Times New Roman" w:eastAsia="Times New Roman" w:hAnsi="Times New Roman" w:cs="Times New Roman"/>
          <w:lang w:eastAsia="en-AU"/>
        </w:rPr>
        <w:t xml:space="preserve">to </w:t>
      </w:r>
      <w:r w:rsidR="4B48EC0F" w:rsidRPr="00DA1CCA">
        <w:rPr>
          <w:rFonts w:ascii="Times New Roman" w:eastAsia="Times New Roman" w:hAnsi="Times New Roman" w:cs="Times New Roman"/>
          <w:lang w:eastAsia="en-AU"/>
        </w:rPr>
        <w:t xml:space="preserve">$redacted </w:t>
      </w:r>
      <w:r w:rsidRPr="00DA1CCA">
        <w:rPr>
          <w:rFonts w:ascii="Times New Roman" w:eastAsia="Times New Roman" w:hAnsi="Times New Roman" w:cs="Times New Roman"/>
          <w:lang w:eastAsia="en-AU"/>
        </w:rPr>
        <w:t>(-2.0%) for use as monotherapy.</w:t>
      </w:r>
    </w:p>
    <w:p w14:paraId="41B4FA76" w14:textId="1E65A5B7" w:rsidR="00250FA5" w:rsidRPr="00D61853" w:rsidRDefault="00250FA5" w:rsidP="005702F6">
      <w:pPr>
        <w:spacing w:before="240" w:after="0"/>
        <w:jc w:val="left"/>
        <w:rPr>
          <w:rFonts w:ascii="Times New Roman" w:eastAsia="Times New Roman" w:hAnsi="Times New Roman" w:cs="Times New Roman"/>
          <w:szCs w:val="24"/>
          <w:lang w:eastAsia="en-AU"/>
        </w:rPr>
      </w:pPr>
      <w:r w:rsidRPr="00D61853">
        <w:rPr>
          <w:rFonts w:ascii="Times New Roman" w:eastAsia="Times New Roman" w:hAnsi="Times New Roman" w:cs="Times New Roman"/>
          <w:szCs w:val="24"/>
          <w:lang w:eastAsia="en-AU"/>
        </w:rPr>
        <w:t xml:space="preserve">The pre-ESC response’s economic model reported an ICER of </w:t>
      </w:r>
      <w:r w:rsidR="00906E2F" w:rsidRPr="00DA1CCA">
        <w:rPr>
          <w:rFonts w:ascii="Times New Roman" w:eastAsia="Times New Roman" w:hAnsi="Times New Roman" w:cs="Times New Roman"/>
          <w:bCs/>
          <w:szCs w:val="24"/>
          <w:lang w:eastAsia="en-AU"/>
        </w:rPr>
        <w:t>$55,000 to &lt; $75,000</w:t>
      </w:r>
      <w:r w:rsidR="00906E2F" w:rsidRPr="00906E2F">
        <w:rPr>
          <w:rFonts w:ascii="Times New Roman" w:eastAsia="Times New Roman" w:hAnsi="Times New Roman" w:cs="Times New Roman"/>
          <w:b/>
          <w:szCs w:val="24"/>
          <w:lang w:eastAsia="en-AU"/>
        </w:rPr>
        <w:t xml:space="preserve"> </w:t>
      </w:r>
      <w:r w:rsidRPr="00D61853">
        <w:rPr>
          <w:rFonts w:ascii="Times New Roman" w:eastAsia="Times New Roman" w:hAnsi="Times New Roman" w:cs="Times New Roman"/>
          <w:szCs w:val="24"/>
          <w:lang w:eastAsia="en-AU"/>
        </w:rPr>
        <w:t>/QALY for both pembrolizumab plus chemotherapy and pembrolizumab monotherapy.</w:t>
      </w:r>
    </w:p>
    <w:p w14:paraId="356A76D3" w14:textId="77777777" w:rsidR="00250FA5" w:rsidRPr="00D61853" w:rsidRDefault="00250FA5" w:rsidP="005702F6">
      <w:pPr>
        <w:spacing w:before="240" w:after="0"/>
        <w:jc w:val="left"/>
        <w:rPr>
          <w:rFonts w:ascii="Times New Roman" w:eastAsia="Times New Roman" w:hAnsi="Times New Roman" w:cs="Times New Roman"/>
          <w:szCs w:val="24"/>
          <w:lang w:eastAsia="en-AU"/>
        </w:rPr>
      </w:pPr>
      <w:r w:rsidRPr="00D61853">
        <w:rPr>
          <w:rFonts w:ascii="Times New Roman" w:eastAsia="Times New Roman" w:hAnsi="Times New Roman" w:cs="Times New Roman"/>
          <w:szCs w:val="24"/>
          <w:lang w:eastAsia="en-AU"/>
        </w:rPr>
        <w:t>The pre-ESC response contended that the economic model only explores the potential discordance between the 22C3 Pharm Dx Kit and the 22C3 lab developed test because:</w:t>
      </w:r>
    </w:p>
    <w:p w14:paraId="505D5A63" w14:textId="73C02649" w:rsidR="00250FA5" w:rsidRPr="00D61853" w:rsidRDefault="00250FA5" w:rsidP="00B2387B">
      <w:pPr>
        <w:numPr>
          <w:ilvl w:val="0"/>
          <w:numId w:val="81"/>
        </w:numPr>
        <w:spacing w:before="0"/>
        <w:ind w:left="714" w:hanging="357"/>
        <w:jc w:val="left"/>
        <w:rPr>
          <w:rFonts w:ascii="Times New Roman" w:eastAsia="Times New Roman" w:hAnsi="Times New Roman" w:cs="Times New Roman"/>
          <w:szCs w:val="24"/>
          <w:lang w:eastAsia="en-AU"/>
        </w:rPr>
      </w:pPr>
      <w:r w:rsidRPr="00D61853">
        <w:rPr>
          <w:rFonts w:ascii="Times New Roman" w:eastAsia="Times New Roman" w:hAnsi="Times New Roman" w:cs="Times New Roman"/>
          <w:szCs w:val="24"/>
          <w:lang w:eastAsia="en-AU"/>
        </w:rPr>
        <w:t xml:space="preserve">the clinical trial data </w:t>
      </w:r>
      <w:r w:rsidRPr="00B2387B">
        <w:rPr>
          <w:rFonts w:ascii="Times New Roman" w:eastAsia="Calibri" w:hAnsi="Times New Roman" w:cs="Times New Roman"/>
          <w:szCs w:val="20"/>
        </w:rPr>
        <w:t>already</w:t>
      </w:r>
      <w:r w:rsidRPr="00D61853">
        <w:rPr>
          <w:rFonts w:ascii="Times New Roman" w:eastAsia="Times New Roman" w:hAnsi="Times New Roman" w:cs="Times New Roman"/>
          <w:szCs w:val="24"/>
          <w:lang w:eastAsia="en-AU"/>
        </w:rPr>
        <w:t xml:space="preserve"> captures any false positives and false negatives that would occur when using the 22C3 </w:t>
      </w:r>
      <w:proofErr w:type="spellStart"/>
      <w:r w:rsidRPr="00D61853">
        <w:rPr>
          <w:rFonts w:ascii="Times New Roman" w:eastAsia="Times New Roman" w:hAnsi="Times New Roman" w:cs="Times New Roman"/>
          <w:szCs w:val="24"/>
          <w:lang w:eastAsia="en-AU"/>
        </w:rPr>
        <w:t>PharmDx</w:t>
      </w:r>
      <w:proofErr w:type="spellEnd"/>
      <w:r w:rsidRPr="00D61853">
        <w:rPr>
          <w:rFonts w:ascii="Times New Roman" w:eastAsia="Times New Roman" w:hAnsi="Times New Roman" w:cs="Times New Roman"/>
          <w:szCs w:val="24"/>
          <w:lang w:eastAsia="en-AU"/>
        </w:rPr>
        <w:t xml:space="preserve"> kit</w:t>
      </w:r>
      <w:r w:rsidR="00D61853">
        <w:rPr>
          <w:rFonts w:ascii="Times New Roman" w:eastAsia="Times New Roman" w:hAnsi="Times New Roman" w:cs="Times New Roman"/>
          <w:szCs w:val="24"/>
          <w:lang w:eastAsia="en-AU"/>
        </w:rPr>
        <w:t>;</w:t>
      </w:r>
      <w:r w:rsidRPr="00D61853">
        <w:rPr>
          <w:rFonts w:ascii="Times New Roman" w:eastAsia="Times New Roman" w:hAnsi="Times New Roman" w:cs="Times New Roman"/>
          <w:szCs w:val="24"/>
          <w:lang w:eastAsia="en-AU"/>
        </w:rPr>
        <w:t xml:space="preserve"> and</w:t>
      </w:r>
    </w:p>
    <w:p w14:paraId="28616AB9" w14:textId="32AC577F" w:rsidR="00250FA5" w:rsidRPr="00D61853" w:rsidRDefault="00250FA5" w:rsidP="00B2387B">
      <w:pPr>
        <w:numPr>
          <w:ilvl w:val="0"/>
          <w:numId w:val="81"/>
        </w:numPr>
        <w:spacing w:before="0" w:after="0"/>
        <w:ind w:left="714" w:hanging="357"/>
        <w:jc w:val="left"/>
        <w:rPr>
          <w:rFonts w:ascii="Times New Roman" w:eastAsia="Times New Roman" w:hAnsi="Times New Roman" w:cs="Times New Roman"/>
          <w:szCs w:val="24"/>
          <w:lang w:eastAsia="en-AU"/>
        </w:rPr>
      </w:pPr>
      <w:r w:rsidRPr="00D61853">
        <w:rPr>
          <w:rFonts w:ascii="Times New Roman" w:eastAsia="Times New Roman" w:hAnsi="Times New Roman" w:cs="Times New Roman"/>
          <w:szCs w:val="24"/>
          <w:lang w:eastAsia="en-AU"/>
        </w:rPr>
        <w:t xml:space="preserve">22C3 lab developed test is </w:t>
      </w:r>
      <w:r w:rsidRPr="00B2387B">
        <w:rPr>
          <w:rFonts w:ascii="Times New Roman" w:eastAsia="Calibri" w:hAnsi="Times New Roman" w:cs="Times New Roman"/>
          <w:szCs w:val="20"/>
        </w:rPr>
        <w:t>likely</w:t>
      </w:r>
      <w:r w:rsidRPr="00D61853">
        <w:rPr>
          <w:rFonts w:ascii="Times New Roman" w:eastAsia="Times New Roman" w:hAnsi="Times New Roman" w:cs="Times New Roman"/>
          <w:szCs w:val="24"/>
          <w:lang w:eastAsia="en-AU"/>
        </w:rPr>
        <w:t xml:space="preserve"> to be used in Australia and has a high level of concordance (96% with Vainer et al, 2019).</w:t>
      </w:r>
    </w:p>
    <w:p w14:paraId="30ECA69B" w14:textId="41AC4BB0" w:rsidR="00250FA5" w:rsidRPr="00D61853" w:rsidRDefault="00250FA5" w:rsidP="005702F6">
      <w:pPr>
        <w:spacing w:before="240" w:after="0"/>
        <w:jc w:val="left"/>
        <w:rPr>
          <w:rFonts w:ascii="Times New Roman" w:eastAsia="Times New Roman" w:hAnsi="Times New Roman" w:cs="Times New Roman"/>
          <w:szCs w:val="24"/>
          <w:lang w:eastAsia="en-AU"/>
        </w:rPr>
      </w:pPr>
      <w:r w:rsidRPr="00D61853">
        <w:rPr>
          <w:rFonts w:ascii="Times New Roman" w:eastAsia="Times New Roman" w:hAnsi="Times New Roman" w:cs="Times New Roman"/>
          <w:szCs w:val="24"/>
          <w:lang w:eastAsia="en-AU"/>
        </w:rPr>
        <w:t xml:space="preserve">The pre-ESC </w:t>
      </w:r>
      <w:r w:rsidRPr="00DA1CCA">
        <w:rPr>
          <w:rFonts w:ascii="Times New Roman" w:eastAsia="Times New Roman" w:hAnsi="Times New Roman" w:cs="Times New Roman"/>
          <w:szCs w:val="24"/>
          <w:lang w:eastAsia="en-AU"/>
        </w:rPr>
        <w:t>re</w:t>
      </w:r>
      <w:r w:rsidR="003824BB" w:rsidRPr="00DA1CCA">
        <w:rPr>
          <w:rFonts w:ascii="Times New Roman" w:eastAsia="Times New Roman" w:hAnsi="Times New Roman" w:cs="Times New Roman"/>
          <w:szCs w:val="24"/>
          <w:lang w:eastAsia="en-AU"/>
        </w:rPr>
        <w:t>sponse</w:t>
      </w:r>
      <w:r w:rsidRPr="00DA1CCA">
        <w:rPr>
          <w:rFonts w:ascii="Times New Roman" w:eastAsia="Times New Roman" w:hAnsi="Times New Roman" w:cs="Times New Roman"/>
          <w:szCs w:val="24"/>
          <w:lang w:eastAsia="en-AU"/>
        </w:rPr>
        <w:t xml:space="preserve"> considered that the impact of this </w:t>
      </w:r>
      <w:r w:rsidR="00D61853" w:rsidRPr="00DA1CCA">
        <w:rPr>
          <w:rFonts w:ascii="Times New Roman" w:eastAsia="Times New Roman" w:hAnsi="Times New Roman" w:cs="Times New Roman"/>
          <w:szCs w:val="24"/>
          <w:lang w:eastAsia="en-AU"/>
        </w:rPr>
        <w:t xml:space="preserve">96% </w:t>
      </w:r>
      <w:r w:rsidRPr="00DA1CCA">
        <w:rPr>
          <w:rFonts w:ascii="Times New Roman" w:eastAsia="Times New Roman" w:hAnsi="Times New Roman" w:cs="Times New Roman"/>
          <w:szCs w:val="24"/>
          <w:lang w:eastAsia="en-AU"/>
        </w:rPr>
        <w:t xml:space="preserve">discordance was minimal, increasing the weighted ICER from </w:t>
      </w:r>
      <w:r w:rsidR="00DF74B0" w:rsidRPr="00DA1CCA">
        <w:rPr>
          <w:rFonts w:ascii="Times New Roman" w:eastAsia="Times New Roman" w:hAnsi="Times New Roman" w:cs="Times New Roman"/>
          <w:szCs w:val="24"/>
          <w:lang w:eastAsia="en-AU"/>
        </w:rPr>
        <w:t xml:space="preserve">$55,000 to &lt; $75,000 </w:t>
      </w:r>
      <w:r w:rsidRPr="00DA1CCA">
        <w:rPr>
          <w:rFonts w:ascii="Times New Roman" w:eastAsia="Times New Roman" w:hAnsi="Times New Roman" w:cs="Times New Roman"/>
          <w:szCs w:val="24"/>
          <w:lang w:eastAsia="en-AU"/>
        </w:rPr>
        <w:t xml:space="preserve">to </w:t>
      </w:r>
      <w:r w:rsidR="00DF74B0" w:rsidRPr="00DA1CCA">
        <w:rPr>
          <w:rFonts w:ascii="Times New Roman" w:eastAsia="Times New Roman" w:hAnsi="Times New Roman" w:cs="Times New Roman"/>
          <w:szCs w:val="24"/>
          <w:lang w:eastAsia="en-AU"/>
        </w:rPr>
        <w:t xml:space="preserve">$55,000 to &lt; $75,000 </w:t>
      </w:r>
      <w:r w:rsidRPr="00DA1CCA">
        <w:rPr>
          <w:rFonts w:ascii="Times New Roman" w:eastAsia="Times New Roman" w:hAnsi="Times New Roman" w:cs="Times New Roman"/>
          <w:szCs w:val="24"/>
          <w:lang w:eastAsia="en-AU"/>
        </w:rPr>
        <w:t>/QALY</w:t>
      </w:r>
      <w:r w:rsidRPr="00D61853">
        <w:rPr>
          <w:rFonts w:ascii="Times New Roman" w:eastAsia="Times New Roman" w:hAnsi="Times New Roman" w:cs="Times New Roman"/>
          <w:szCs w:val="24"/>
          <w:lang w:eastAsia="en-AU"/>
        </w:rPr>
        <w:t>.</w:t>
      </w:r>
    </w:p>
    <w:p w14:paraId="32E3E296" w14:textId="2D26D573" w:rsidR="00250FA5" w:rsidRPr="005702F6" w:rsidRDefault="00250FA5" w:rsidP="005702F6">
      <w:pPr>
        <w:spacing w:before="240" w:after="0"/>
        <w:jc w:val="left"/>
        <w:rPr>
          <w:rFonts w:ascii="Times New Roman" w:eastAsia="Times New Roman" w:hAnsi="Times New Roman" w:cs="Times New Roman"/>
          <w:szCs w:val="24"/>
          <w:lang w:eastAsia="en-AU"/>
        </w:rPr>
      </w:pPr>
      <w:r w:rsidRPr="00DA1CCA">
        <w:rPr>
          <w:rFonts w:ascii="Times New Roman" w:eastAsia="Times New Roman" w:hAnsi="Times New Roman" w:cs="Times New Roman"/>
          <w:szCs w:val="24"/>
          <w:lang w:eastAsia="en-AU"/>
        </w:rPr>
        <w:t xml:space="preserve">The updated economic evaluation in the </w:t>
      </w:r>
      <w:r w:rsidR="00753DFA" w:rsidRPr="00DA1CCA">
        <w:rPr>
          <w:rFonts w:ascii="Times New Roman" w:eastAsia="Times New Roman" w:hAnsi="Times New Roman" w:cs="Times New Roman"/>
          <w:szCs w:val="24"/>
          <w:lang w:eastAsia="en-AU"/>
        </w:rPr>
        <w:t>pre-ESC response</w:t>
      </w:r>
      <w:r w:rsidRPr="00DA1CCA">
        <w:rPr>
          <w:rFonts w:ascii="Times New Roman" w:eastAsia="Times New Roman" w:hAnsi="Times New Roman" w:cs="Times New Roman"/>
          <w:szCs w:val="24"/>
          <w:lang w:eastAsia="en-AU"/>
        </w:rPr>
        <w:t xml:space="preserve"> also included investigation of diagnostic concordance, assuming 85% sensitivity and specificity. This resulted in an ICER of </w:t>
      </w:r>
      <w:r w:rsidR="00DF74B0" w:rsidRPr="00DA1CCA">
        <w:rPr>
          <w:rFonts w:ascii="Times New Roman" w:eastAsia="Times New Roman" w:hAnsi="Times New Roman" w:cs="Times New Roman"/>
          <w:szCs w:val="24"/>
          <w:lang w:eastAsia="en-AU"/>
        </w:rPr>
        <w:t xml:space="preserve">$55,000 to &lt; $75,000 </w:t>
      </w:r>
      <w:r w:rsidRPr="00DA1CCA">
        <w:rPr>
          <w:rFonts w:ascii="Times New Roman" w:eastAsia="Times New Roman" w:hAnsi="Times New Roman" w:cs="Times New Roman"/>
          <w:szCs w:val="24"/>
          <w:lang w:eastAsia="en-AU"/>
        </w:rPr>
        <w:t>/QALY in the pembrolizumab + chemotherapy arm, using a threshold of CPS</w:t>
      </w:r>
      <w:r w:rsidR="00D61853" w:rsidRPr="00DA1CCA">
        <w:rPr>
          <w:rFonts w:ascii="Times New Roman" w:eastAsia="Times New Roman" w:hAnsi="Times New Roman" w:cs="Times New Roman"/>
          <w:szCs w:val="24"/>
          <w:lang w:eastAsia="en-AU"/>
        </w:rPr>
        <w:t xml:space="preserve"> </w:t>
      </w:r>
      <w:r w:rsidRPr="00DA1CCA">
        <w:rPr>
          <w:rFonts w:ascii="Times New Roman" w:eastAsia="Times New Roman" w:hAnsi="Times New Roman" w:cs="Times New Roman"/>
          <w:szCs w:val="24"/>
          <w:lang w:eastAsia="en-AU"/>
        </w:rPr>
        <w:t xml:space="preserve">≥1. This was a decrease from the </w:t>
      </w:r>
      <w:r w:rsidR="00DF74B0" w:rsidRPr="00DA1CCA">
        <w:rPr>
          <w:rFonts w:ascii="Times New Roman" w:eastAsia="Times New Roman" w:hAnsi="Times New Roman" w:cs="Times New Roman"/>
          <w:szCs w:val="24"/>
          <w:lang w:eastAsia="en-AU"/>
        </w:rPr>
        <w:t xml:space="preserve">$55,000 to &lt; $75,000 </w:t>
      </w:r>
      <w:r w:rsidRPr="00DA1CCA">
        <w:rPr>
          <w:rFonts w:ascii="Times New Roman" w:eastAsia="Times New Roman" w:hAnsi="Times New Roman" w:cs="Times New Roman"/>
          <w:szCs w:val="24"/>
          <w:lang w:eastAsia="en-AU"/>
        </w:rPr>
        <w:t>/QALY reported using the adjusted base case and assuming 85% sensitivity and specificity in the commentary</w:t>
      </w:r>
      <w:r w:rsidRPr="00D61853">
        <w:rPr>
          <w:rFonts w:ascii="Times New Roman" w:eastAsia="Times New Roman" w:hAnsi="Times New Roman" w:cs="Times New Roman"/>
          <w:szCs w:val="24"/>
          <w:lang w:eastAsia="en-AU"/>
        </w:rPr>
        <w:t>.</w:t>
      </w:r>
    </w:p>
    <w:p w14:paraId="6B785EBE" w14:textId="253BDF3F" w:rsidR="00250FA5" w:rsidRPr="00250FA5" w:rsidRDefault="00250FA5" w:rsidP="00250FA5">
      <w:pPr>
        <w:keepNext/>
        <w:keepLines/>
        <w:widowControl w:val="0"/>
        <w:spacing w:before="0" w:after="0"/>
        <w:ind w:left="992" w:hanging="992"/>
        <w:contextualSpacing/>
        <w:jc w:val="left"/>
        <w:rPr>
          <w:rFonts w:ascii="Arial Narrow" w:eastAsia="Calibri" w:hAnsi="Arial Narrow" w:cs="Times New Roman"/>
          <w:b/>
          <w:iCs/>
          <w:sz w:val="20"/>
          <w:szCs w:val="18"/>
          <w:vertAlign w:val="superscript"/>
        </w:rPr>
      </w:pPr>
      <w:bookmarkStart w:id="22" w:name="_Ref80059108"/>
      <w:r w:rsidRPr="00250FA5">
        <w:rPr>
          <w:rFonts w:ascii="Arial Narrow" w:eastAsia="Calibri" w:hAnsi="Arial Narrow" w:cs="Times New Roman"/>
          <w:b/>
          <w:iCs/>
          <w:sz w:val="20"/>
          <w:szCs w:val="18"/>
        </w:rPr>
        <w:t xml:space="preserve">Table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Table \* ARABIC </w:instrText>
      </w:r>
      <w:r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13</w:t>
      </w:r>
      <w:r w:rsidRPr="00250FA5">
        <w:rPr>
          <w:rFonts w:ascii="Arial Narrow" w:eastAsia="Calibri" w:hAnsi="Arial Narrow" w:cs="Times New Roman"/>
          <w:b/>
          <w:iCs/>
          <w:sz w:val="20"/>
          <w:szCs w:val="18"/>
        </w:rPr>
        <w:fldChar w:fldCharType="end"/>
      </w:r>
      <w:bookmarkEnd w:id="22"/>
      <w:r w:rsidR="009059D8">
        <w:rPr>
          <w:rFonts w:ascii="Arial Narrow" w:eastAsia="Calibri" w:hAnsi="Arial Narrow" w:cs="Times New Roman"/>
          <w:b/>
          <w:iCs/>
          <w:sz w:val="20"/>
          <w:szCs w:val="18"/>
        </w:rPr>
        <w:tab/>
      </w:r>
      <w:r w:rsidRPr="00250FA5">
        <w:rPr>
          <w:rFonts w:ascii="Arial Narrow" w:eastAsia="Calibri" w:hAnsi="Arial Narrow" w:cs="Times New Roman"/>
          <w:b/>
          <w:iCs/>
          <w:sz w:val="20"/>
          <w:szCs w:val="18"/>
        </w:rPr>
        <w:t xml:space="preserve">Results of the partitioned survival cohort simulation in patients with CPS ≥1 (adjusted base case) </w:t>
      </w:r>
      <w:r w:rsidRPr="00250FA5">
        <w:rPr>
          <w:rFonts w:ascii="Arial Narrow" w:eastAsia="Calibri" w:hAnsi="Arial Narrow" w:cs="Times New Roman"/>
          <w:b/>
          <w:iCs/>
          <w:sz w:val="20"/>
          <w:szCs w:val="18"/>
          <w:vertAlign w:val="superscript"/>
        </w:rPr>
        <w:t>a</w:t>
      </w:r>
    </w:p>
    <w:tbl>
      <w:tblPr>
        <w:tblStyle w:val="TableGrid2"/>
        <w:tblW w:w="5000" w:type="pct"/>
        <w:tblCellMar>
          <w:left w:w="28" w:type="dxa"/>
          <w:right w:w="28" w:type="dxa"/>
        </w:tblCellMar>
        <w:tblLook w:val="01E0" w:firstRow="1" w:lastRow="1" w:firstColumn="1" w:lastColumn="1" w:noHBand="0" w:noVBand="0"/>
        <w:tblDescription w:val="Results of the partitioned survival cohort simulation in patients with CPS ≥1 (adjusted base case) "/>
      </w:tblPr>
      <w:tblGrid>
        <w:gridCol w:w="2254"/>
        <w:gridCol w:w="2844"/>
        <w:gridCol w:w="2553"/>
        <w:gridCol w:w="1365"/>
      </w:tblGrid>
      <w:tr w:rsidR="00250FA5" w:rsidRPr="00250FA5" w14:paraId="1328E091" w14:textId="77777777" w:rsidTr="1134720A">
        <w:trPr>
          <w:cnfStyle w:val="100000000000" w:firstRow="1" w:lastRow="0" w:firstColumn="0" w:lastColumn="0" w:oddVBand="0" w:evenVBand="0" w:oddHBand="0" w:evenHBand="0" w:firstRowFirstColumn="0" w:firstRowLastColumn="0" w:lastRowFirstColumn="0" w:lastRowLastColumn="0"/>
        </w:trPr>
        <w:tc>
          <w:tcPr>
            <w:tcW w:w="1250" w:type="pct"/>
            <w:tcBorders>
              <w:top w:val="single" w:sz="4" w:space="0" w:color="auto"/>
              <w:left w:val="single" w:sz="4" w:space="0" w:color="auto"/>
              <w:bottom w:val="single" w:sz="4" w:space="0" w:color="auto"/>
              <w:right w:val="single" w:sz="4" w:space="0" w:color="auto"/>
            </w:tcBorders>
            <w:vAlign w:val="center"/>
            <w:hideMark/>
          </w:tcPr>
          <w:p w14:paraId="03D79F74" w14:textId="7C5C030D" w:rsidR="00250FA5" w:rsidRPr="00FC0301" w:rsidRDefault="00250FA5" w:rsidP="009059D8">
            <w:pPr>
              <w:keepNext/>
              <w:keepLines/>
              <w:spacing w:before="0" w:after="0"/>
              <w:rPr>
                <w:rFonts w:ascii="Arial Narrow" w:eastAsia="Calibri" w:hAnsi="Arial Narrow"/>
                <w:b/>
                <w:sz w:val="20"/>
                <w:vertAlign w:val="superscript"/>
              </w:rPr>
            </w:pPr>
            <w:r w:rsidRPr="00250FA5">
              <w:rPr>
                <w:rFonts w:ascii="Arial Narrow" w:eastAsia="Calibri" w:hAnsi="Arial Narrow"/>
                <w:b/>
                <w:sz w:val="20"/>
              </w:rPr>
              <w:t>Component</w:t>
            </w:r>
          </w:p>
        </w:tc>
        <w:tc>
          <w:tcPr>
            <w:tcW w:w="1577" w:type="pct"/>
            <w:tcBorders>
              <w:top w:val="single" w:sz="4" w:space="0" w:color="auto"/>
              <w:left w:val="single" w:sz="4" w:space="0" w:color="auto"/>
              <w:bottom w:val="single" w:sz="4" w:space="0" w:color="auto"/>
              <w:right w:val="single" w:sz="4" w:space="0" w:color="auto"/>
            </w:tcBorders>
            <w:vAlign w:val="center"/>
            <w:hideMark/>
          </w:tcPr>
          <w:p w14:paraId="020CE582" w14:textId="77777777" w:rsidR="00250FA5" w:rsidRPr="00250FA5" w:rsidRDefault="00250FA5" w:rsidP="00250FA5">
            <w:pPr>
              <w:keepNext/>
              <w:keepLines/>
              <w:spacing w:before="0" w:after="0"/>
              <w:jc w:val="center"/>
              <w:rPr>
                <w:rFonts w:ascii="Arial Narrow" w:eastAsia="Calibri" w:hAnsi="Arial Narrow"/>
                <w:b/>
                <w:sz w:val="20"/>
              </w:rPr>
            </w:pPr>
            <w:r w:rsidRPr="00250FA5">
              <w:rPr>
                <w:rFonts w:ascii="Arial Narrow" w:eastAsia="Calibri" w:hAnsi="Arial Narrow"/>
                <w:b/>
                <w:sz w:val="20"/>
              </w:rPr>
              <w:t>Pembrolizumab ± chemotherapy</w:t>
            </w:r>
          </w:p>
        </w:tc>
        <w:tc>
          <w:tcPr>
            <w:tcW w:w="1416" w:type="pct"/>
            <w:tcBorders>
              <w:top w:val="single" w:sz="4" w:space="0" w:color="auto"/>
              <w:left w:val="single" w:sz="4" w:space="0" w:color="auto"/>
              <w:bottom w:val="single" w:sz="4" w:space="0" w:color="auto"/>
              <w:right w:val="single" w:sz="4" w:space="0" w:color="auto"/>
            </w:tcBorders>
            <w:vAlign w:val="center"/>
            <w:hideMark/>
          </w:tcPr>
          <w:p w14:paraId="43CD60D4" w14:textId="77777777" w:rsidR="00250FA5" w:rsidRPr="00250FA5" w:rsidRDefault="00250FA5" w:rsidP="00250FA5">
            <w:pPr>
              <w:keepNext/>
              <w:keepLines/>
              <w:spacing w:before="0" w:after="0"/>
              <w:jc w:val="center"/>
              <w:rPr>
                <w:rFonts w:ascii="Arial Narrow" w:eastAsia="Calibri" w:hAnsi="Arial Narrow"/>
                <w:b/>
                <w:sz w:val="20"/>
              </w:rPr>
            </w:pPr>
            <w:r w:rsidRPr="00250FA5">
              <w:rPr>
                <w:rFonts w:ascii="Arial Narrow" w:eastAsia="Calibri" w:hAnsi="Arial Narrow"/>
                <w:b/>
                <w:sz w:val="20"/>
              </w:rPr>
              <w:t>SoC</w:t>
            </w:r>
          </w:p>
        </w:tc>
        <w:tc>
          <w:tcPr>
            <w:tcW w:w="757" w:type="pct"/>
            <w:tcBorders>
              <w:top w:val="single" w:sz="4" w:space="0" w:color="auto"/>
              <w:left w:val="single" w:sz="4" w:space="0" w:color="auto"/>
              <w:bottom w:val="single" w:sz="4" w:space="0" w:color="auto"/>
              <w:right w:val="single" w:sz="4" w:space="0" w:color="auto"/>
            </w:tcBorders>
            <w:vAlign w:val="center"/>
            <w:hideMark/>
          </w:tcPr>
          <w:p w14:paraId="39086C20" w14:textId="77777777" w:rsidR="00250FA5" w:rsidRPr="00250FA5" w:rsidRDefault="00250FA5" w:rsidP="00250FA5">
            <w:pPr>
              <w:keepNext/>
              <w:keepLines/>
              <w:spacing w:before="0" w:after="0"/>
              <w:jc w:val="center"/>
              <w:rPr>
                <w:rFonts w:ascii="Arial Narrow" w:eastAsia="Calibri" w:hAnsi="Arial Narrow"/>
                <w:b/>
                <w:sz w:val="20"/>
              </w:rPr>
            </w:pPr>
            <w:r w:rsidRPr="00250FA5">
              <w:rPr>
                <w:rFonts w:ascii="Arial Narrow" w:eastAsia="Calibri" w:hAnsi="Arial Narrow"/>
                <w:b/>
                <w:sz w:val="20"/>
              </w:rPr>
              <w:t>Increment</w:t>
            </w:r>
          </w:p>
        </w:tc>
      </w:tr>
      <w:tr w:rsidR="00250FA5" w:rsidRPr="00250FA5" w14:paraId="6EDE779E" w14:textId="77777777" w:rsidTr="1134720A">
        <w:tc>
          <w:tcPr>
            <w:tcW w:w="5000" w:type="pct"/>
            <w:gridSpan w:val="4"/>
            <w:tcBorders>
              <w:top w:val="single" w:sz="4" w:space="0" w:color="auto"/>
              <w:left w:val="single" w:sz="4" w:space="0" w:color="auto"/>
              <w:bottom w:val="single" w:sz="4" w:space="0" w:color="auto"/>
              <w:right w:val="single" w:sz="4" w:space="0" w:color="auto"/>
            </w:tcBorders>
          </w:tcPr>
          <w:p w14:paraId="223BE575" w14:textId="77777777" w:rsidR="00250FA5" w:rsidRPr="00250FA5" w:rsidRDefault="00250FA5" w:rsidP="00250FA5">
            <w:pPr>
              <w:keepNext/>
              <w:keepLines/>
              <w:tabs>
                <w:tab w:val="decimal" w:pos="0"/>
                <w:tab w:val="decimal" w:pos="396"/>
              </w:tabs>
              <w:spacing w:before="0" w:after="0"/>
              <w:jc w:val="left"/>
              <w:rPr>
                <w:rFonts w:eastAsia="Calibri"/>
                <w:b/>
                <w:bCs/>
                <w:sz w:val="20"/>
              </w:rPr>
            </w:pPr>
            <w:r w:rsidRPr="00250FA5">
              <w:rPr>
                <w:rFonts w:eastAsia="Calibri"/>
                <w:b/>
                <w:bCs/>
                <w:sz w:val="20"/>
              </w:rPr>
              <w:t>Resubmission (adjusted base case)</w:t>
            </w:r>
          </w:p>
        </w:tc>
      </w:tr>
      <w:tr w:rsidR="00250FA5" w:rsidRPr="00250FA5" w14:paraId="7A41296B" w14:textId="77777777" w:rsidTr="1134720A">
        <w:tc>
          <w:tcPr>
            <w:tcW w:w="5000" w:type="pct"/>
            <w:gridSpan w:val="4"/>
            <w:tcBorders>
              <w:top w:val="single" w:sz="4" w:space="0" w:color="auto"/>
              <w:left w:val="single" w:sz="4" w:space="0" w:color="auto"/>
              <w:bottom w:val="single" w:sz="4" w:space="0" w:color="auto"/>
              <w:right w:val="single" w:sz="4" w:space="0" w:color="auto"/>
            </w:tcBorders>
            <w:hideMark/>
          </w:tcPr>
          <w:p w14:paraId="679FD87D" w14:textId="77777777" w:rsidR="00250FA5" w:rsidRPr="00250FA5" w:rsidRDefault="00250FA5" w:rsidP="00250FA5">
            <w:pPr>
              <w:keepNext/>
              <w:keepLines/>
              <w:tabs>
                <w:tab w:val="decimal" w:pos="0"/>
                <w:tab w:val="decimal" w:pos="396"/>
              </w:tabs>
              <w:spacing w:before="0" w:after="0"/>
              <w:jc w:val="left"/>
              <w:rPr>
                <w:rFonts w:eastAsia="Calibri"/>
                <w:sz w:val="20"/>
              </w:rPr>
            </w:pPr>
            <w:bookmarkStart w:id="23" w:name="_Hlk83905128"/>
            <w:r w:rsidRPr="00250FA5">
              <w:rPr>
                <w:rFonts w:eastAsia="Calibri"/>
                <w:sz w:val="20"/>
              </w:rPr>
              <w:t>Pembrolizumab plus chemotherapy vs SoC (EA1 - CPS≥ 1)</w:t>
            </w:r>
          </w:p>
        </w:tc>
      </w:tr>
      <w:tr w:rsidR="00250FA5" w:rsidRPr="00250FA5" w14:paraId="6FA0DE38" w14:textId="77777777" w:rsidTr="1134720A">
        <w:tc>
          <w:tcPr>
            <w:tcW w:w="1250" w:type="pct"/>
            <w:tcBorders>
              <w:top w:val="single" w:sz="4" w:space="0" w:color="auto"/>
              <w:left w:val="single" w:sz="4" w:space="0" w:color="auto"/>
              <w:bottom w:val="single" w:sz="4" w:space="0" w:color="auto"/>
              <w:right w:val="single" w:sz="4" w:space="0" w:color="auto"/>
            </w:tcBorders>
            <w:hideMark/>
          </w:tcPr>
          <w:p w14:paraId="30DEF14C" w14:textId="77777777" w:rsidR="00250FA5" w:rsidRPr="00D61853" w:rsidRDefault="00250FA5" w:rsidP="00250FA5">
            <w:pPr>
              <w:keepNext/>
              <w:keepLines/>
              <w:spacing w:before="0" w:after="0"/>
              <w:jc w:val="left"/>
              <w:rPr>
                <w:rFonts w:eastAsia="Calibri"/>
                <w:sz w:val="20"/>
              </w:rPr>
            </w:pPr>
            <w:r w:rsidRPr="00D61853">
              <w:rPr>
                <w:rFonts w:eastAsia="Calibri"/>
                <w:sz w:val="20"/>
              </w:rPr>
              <w:t>Cost</w:t>
            </w:r>
          </w:p>
        </w:tc>
        <w:tc>
          <w:tcPr>
            <w:tcW w:w="1577" w:type="pct"/>
            <w:tcBorders>
              <w:top w:val="single" w:sz="4" w:space="0" w:color="auto"/>
              <w:left w:val="single" w:sz="4" w:space="0" w:color="auto"/>
              <w:bottom w:val="single" w:sz="4" w:space="0" w:color="auto"/>
              <w:right w:val="single" w:sz="4" w:space="0" w:color="auto"/>
            </w:tcBorders>
            <w:hideMark/>
          </w:tcPr>
          <w:p w14:paraId="73DBBB29" w14:textId="76CBDD2B" w:rsidR="00250FA5" w:rsidRPr="00DA1CCA" w:rsidRDefault="00135ED1" w:rsidP="00250FA5">
            <w:pPr>
              <w:keepNext/>
              <w:keepLines/>
              <w:tabs>
                <w:tab w:val="decimal" w:pos="396"/>
              </w:tabs>
              <w:spacing w:before="0" w:after="0"/>
              <w:jc w:val="center"/>
              <w:rPr>
                <w:rFonts w:eastAsia="Calibri"/>
                <w:sz w:val="20"/>
              </w:rPr>
            </w:pPr>
            <w:r w:rsidRPr="00DA1CCA">
              <w:rPr>
                <w:rFonts w:eastAsia="Calibri"/>
                <w:sz w:val="20"/>
              </w:rPr>
              <w:t>$redacted</w:t>
            </w:r>
          </w:p>
        </w:tc>
        <w:tc>
          <w:tcPr>
            <w:tcW w:w="1416" w:type="pct"/>
            <w:tcBorders>
              <w:top w:val="single" w:sz="4" w:space="0" w:color="auto"/>
              <w:left w:val="single" w:sz="4" w:space="0" w:color="auto"/>
              <w:bottom w:val="single" w:sz="4" w:space="0" w:color="auto"/>
              <w:right w:val="single" w:sz="4" w:space="0" w:color="auto"/>
            </w:tcBorders>
            <w:hideMark/>
          </w:tcPr>
          <w:p w14:paraId="4FA809D5" w14:textId="368C5B28" w:rsidR="00250FA5" w:rsidRPr="00DA1CCA" w:rsidRDefault="00250FA5" w:rsidP="00250FA5">
            <w:pPr>
              <w:keepNext/>
              <w:keepLines/>
              <w:tabs>
                <w:tab w:val="decimal" w:pos="396"/>
              </w:tabs>
              <w:spacing w:before="0" w:after="0"/>
              <w:jc w:val="center"/>
              <w:rPr>
                <w:rFonts w:eastAsia="Calibri"/>
                <w:sz w:val="20"/>
              </w:rPr>
            </w:pPr>
            <w:r w:rsidRPr="00DA1CCA">
              <w:rPr>
                <w:rFonts w:eastAsia="Calibri"/>
                <w:sz w:val="20"/>
              </w:rPr>
              <w:t>$36,760.39</w:t>
            </w:r>
          </w:p>
        </w:tc>
        <w:tc>
          <w:tcPr>
            <w:tcW w:w="757" w:type="pct"/>
            <w:tcBorders>
              <w:top w:val="single" w:sz="4" w:space="0" w:color="auto"/>
              <w:left w:val="single" w:sz="4" w:space="0" w:color="auto"/>
              <w:bottom w:val="single" w:sz="4" w:space="0" w:color="auto"/>
              <w:right w:val="single" w:sz="4" w:space="0" w:color="auto"/>
            </w:tcBorders>
            <w:hideMark/>
          </w:tcPr>
          <w:p w14:paraId="7C8E069E" w14:textId="05F0BEE0" w:rsidR="00250FA5" w:rsidRPr="00DA1CCA" w:rsidRDefault="00135ED1" w:rsidP="00250FA5">
            <w:pPr>
              <w:keepNext/>
              <w:keepLines/>
              <w:tabs>
                <w:tab w:val="decimal" w:pos="396"/>
              </w:tabs>
              <w:spacing w:before="0" w:after="0"/>
              <w:jc w:val="center"/>
              <w:rPr>
                <w:rFonts w:eastAsia="Calibri"/>
                <w:sz w:val="20"/>
              </w:rPr>
            </w:pPr>
            <w:r w:rsidRPr="00DA1CCA">
              <w:rPr>
                <w:rFonts w:eastAsia="Calibri"/>
                <w:sz w:val="20"/>
              </w:rPr>
              <w:t>$redacted</w:t>
            </w:r>
            <w:r w:rsidR="00DA1CCA" w:rsidRPr="00DA1CCA">
              <w:rPr>
                <w:rFonts w:eastAsia="Calibri"/>
                <w:b/>
                <w:sz w:val="20"/>
                <w:vertAlign w:val="superscript"/>
              </w:rPr>
              <w:t>4</w:t>
            </w:r>
          </w:p>
        </w:tc>
      </w:tr>
      <w:tr w:rsidR="00250FA5" w:rsidRPr="00250FA5" w14:paraId="29C17F3E" w14:textId="77777777" w:rsidTr="1134720A">
        <w:tc>
          <w:tcPr>
            <w:tcW w:w="1250" w:type="pct"/>
            <w:tcBorders>
              <w:top w:val="single" w:sz="4" w:space="0" w:color="auto"/>
              <w:left w:val="single" w:sz="4" w:space="0" w:color="auto"/>
              <w:bottom w:val="single" w:sz="4" w:space="0" w:color="auto"/>
              <w:right w:val="single" w:sz="4" w:space="0" w:color="auto"/>
            </w:tcBorders>
            <w:hideMark/>
          </w:tcPr>
          <w:p w14:paraId="097A103F" w14:textId="77777777" w:rsidR="00250FA5" w:rsidRPr="00D61853" w:rsidRDefault="00250FA5" w:rsidP="00250FA5">
            <w:pPr>
              <w:keepNext/>
              <w:keepLines/>
              <w:spacing w:before="0" w:after="0"/>
              <w:jc w:val="left"/>
              <w:rPr>
                <w:rFonts w:eastAsia="Calibri"/>
                <w:sz w:val="20"/>
              </w:rPr>
            </w:pPr>
            <w:r w:rsidRPr="00D61853">
              <w:rPr>
                <w:rFonts w:eastAsia="Calibri"/>
                <w:sz w:val="20"/>
              </w:rPr>
              <w:t>LY</w:t>
            </w:r>
          </w:p>
        </w:tc>
        <w:tc>
          <w:tcPr>
            <w:tcW w:w="1577" w:type="pct"/>
            <w:tcBorders>
              <w:top w:val="single" w:sz="4" w:space="0" w:color="auto"/>
              <w:left w:val="single" w:sz="4" w:space="0" w:color="auto"/>
              <w:bottom w:val="single" w:sz="4" w:space="0" w:color="auto"/>
              <w:right w:val="single" w:sz="4" w:space="0" w:color="auto"/>
            </w:tcBorders>
            <w:hideMark/>
          </w:tcPr>
          <w:p w14:paraId="2ACDE4C7" w14:textId="77777777" w:rsidR="00250FA5" w:rsidRPr="00DA1CCA" w:rsidRDefault="00250FA5" w:rsidP="00250FA5">
            <w:pPr>
              <w:keepNext/>
              <w:keepLines/>
              <w:tabs>
                <w:tab w:val="decimal" w:pos="396"/>
              </w:tabs>
              <w:spacing w:before="0" w:after="0"/>
              <w:jc w:val="center"/>
              <w:rPr>
                <w:rFonts w:eastAsia="Calibri"/>
                <w:sz w:val="20"/>
              </w:rPr>
            </w:pPr>
            <w:r w:rsidRPr="00DA1CCA">
              <w:rPr>
                <w:rFonts w:eastAsia="Calibri"/>
                <w:sz w:val="20"/>
              </w:rPr>
              <w:t>2.0331</w:t>
            </w:r>
          </w:p>
        </w:tc>
        <w:tc>
          <w:tcPr>
            <w:tcW w:w="1416" w:type="pct"/>
            <w:tcBorders>
              <w:top w:val="single" w:sz="4" w:space="0" w:color="auto"/>
              <w:left w:val="single" w:sz="4" w:space="0" w:color="auto"/>
              <w:bottom w:val="single" w:sz="4" w:space="0" w:color="auto"/>
              <w:right w:val="single" w:sz="4" w:space="0" w:color="auto"/>
            </w:tcBorders>
            <w:hideMark/>
          </w:tcPr>
          <w:p w14:paraId="37CE805C" w14:textId="77777777" w:rsidR="00250FA5" w:rsidRPr="00DA1CCA" w:rsidRDefault="00250FA5" w:rsidP="00250FA5">
            <w:pPr>
              <w:keepNext/>
              <w:keepLines/>
              <w:tabs>
                <w:tab w:val="decimal" w:pos="396"/>
              </w:tabs>
              <w:spacing w:before="0" w:after="0"/>
              <w:jc w:val="center"/>
              <w:rPr>
                <w:rFonts w:eastAsia="Calibri"/>
                <w:sz w:val="20"/>
              </w:rPr>
            </w:pPr>
            <w:r w:rsidRPr="00DA1CCA">
              <w:rPr>
                <w:rFonts w:eastAsia="Calibri"/>
                <w:sz w:val="20"/>
              </w:rPr>
              <w:t>1.2153</w:t>
            </w:r>
          </w:p>
        </w:tc>
        <w:tc>
          <w:tcPr>
            <w:tcW w:w="757" w:type="pct"/>
            <w:tcBorders>
              <w:top w:val="single" w:sz="4" w:space="0" w:color="auto"/>
              <w:left w:val="single" w:sz="4" w:space="0" w:color="auto"/>
              <w:bottom w:val="single" w:sz="4" w:space="0" w:color="auto"/>
              <w:right w:val="single" w:sz="4" w:space="0" w:color="auto"/>
            </w:tcBorders>
            <w:hideMark/>
          </w:tcPr>
          <w:p w14:paraId="081F09A4" w14:textId="77777777" w:rsidR="00250FA5" w:rsidRPr="00DA1CCA" w:rsidRDefault="00250FA5" w:rsidP="00250FA5">
            <w:pPr>
              <w:keepNext/>
              <w:keepLines/>
              <w:tabs>
                <w:tab w:val="decimal" w:pos="396"/>
              </w:tabs>
              <w:spacing w:before="0" w:after="0"/>
              <w:jc w:val="center"/>
              <w:rPr>
                <w:rFonts w:eastAsia="Calibri"/>
                <w:sz w:val="20"/>
              </w:rPr>
            </w:pPr>
            <w:r w:rsidRPr="00DA1CCA">
              <w:rPr>
                <w:rFonts w:eastAsia="Calibri"/>
                <w:sz w:val="20"/>
              </w:rPr>
              <w:t>0.8178</w:t>
            </w:r>
          </w:p>
        </w:tc>
      </w:tr>
      <w:tr w:rsidR="00250FA5" w:rsidRPr="00250FA5" w14:paraId="682708BE" w14:textId="77777777" w:rsidTr="1134720A">
        <w:tc>
          <w:tcPr>
            <w:tcW w:w="1250" w:type="pct"/>
            <w:tcBorders>
              <w:top w:val="single" w:sz="4" w:space="0" w:color="auto"/>
              <w:left w:val="single" w:sz="4" w:space="0" w:color="auto"/>
              <w:bottom w:val="single" w:sz="4" w:space="0" w:color="auto"/>
              <w:right w:val="single" w:sz="4" w:space="0" w:color="auto"/>
            </w:tcBorders>
            <w:hideMark/>
          </w:tcPr>
          <w:p w14:paraId="7F3B3CDE" w14:textId="77777777" w:rsidR="00250FA5" w:rsidRPr="00D61853" w:rsidRDefault="00250FA5" w:rsidP="00250FA5">
            <w:pPr>
              <w:keepNext/>
              <w:keepLines/>
              <w:spacing w:before="0" w:after="0"/>
              <w:jc w:val="left"/>
              <w:rPr>
                <w:rFonts w:eastAsia="Calibri"/>
                <w:sz w:val="20"/>
              </w:rPr>
            </w:pPr>
            <w:r w:rsidRPr="00D61853">
              <w:rPr>
                <w:rFonts w:eastAsia="Calibri"/>
                <w:sz w:val="20"/>
              </w:rPr>
              <w:t>QALY</w:t>
            </w:r>
          </w:p>
        </w:tc>
        <w:tc>
          <w:tcPr>
            <w:tcW w:w="1577" w:type="pct"/>
            <w:tcBorders>
              <w:top w:val="single" w:sz="4" w:space="0" w:color="auto"/>
              <w:left w:val="single" w:sz="4" w:space="0" w:color="auto"/>
              <w:bottom w:val="single" w:sz="4" w:space="0" w:color="auto"/>
              <w:right w:val="single" w:sz="4" w:space="0" w:color="auto"/>
            </w:tcBorders>
            <w:hideMark/>
          </w:tcPr>
          <w:p w14:paraId="1E9B1E91" w14:textId="77777777" w:rsidR="00250FA5" w:rsidRPr="00DA1CCA" w:rsidRDefault="00250FA5" w:rsidP="00250FA5">
            <w:pPr>
              <w:keepNext/>
              <w:keepLines/>
              <w:tabs>
                <w:tab w:val="decimal" w:pos="396"/>
              </w:tabs>
              <w:spacing w:before="0" w:after="0"/>
              <w:jc w:val="center"/>
              <w:rPr>
                <w:sz w:val="20"/>
              </w:rPr>
            </w:pPr>
            <w:r w:rsidRPr="00DA1CCA">
              <w:rPr>
                <w:rFonts w:eastAsia="Calibri"/>
                <w:sz w:val="20"/>
              </w:rPr>
              <w:t>1.5099</w:t>
            </w:r>
          </w:p>
        </w:tc>
        <w:tc>
          <w:tcPr>
            <w:tcW w:w="1416" w:type="pct"/>
            <w:tcBorders>
              <w:top w:val="single" w:sz="4" w:space="0" w:color="auto"/>
              <w:left w:val="single" w:sz="4" w:space="0" w:color="auto"/>
              <w:bottom w:val="single" w:sz="4" w:space="0" w:color="auto"/>
              <w:right w:val="single" w:sz="4" w:space="0" w:color="auto"/>
            </w:tcBorders>
            <w:hideMark/>
          </w:tcPr>
          <w:p w14:paraId="3FF0555A" w14:textId="77777777" w:rsidR="00250FA5" w:rsidRPr="00DA1CCA" w:rsidRDefault="00250FA5" w:rsidP="00250FA5">
            <w:pPr>
              <w:keepNext/>
              <w:keepLines/>
              <w:tabs>
                <w:tab w:val="decimal" w:pos="396"/>
              </w:tabs>
              <w:spacing w:before="0" w:after="0"/>
              <w:jc w:val="center"/>
              <w:rPr>
                <w:sz w:val="20"/>
              </w:rPr>
            </w:pPr>
            <w:r w:rsidRPr="00DA1CCA">
              <w:rPr>
                <w:rFonts w:eastAsia="Calibri"/>
                <w:sz w:val="20"/>
              </w:rPr>
              <w:t>0.9111</w:t>
            </w:r>
          </w:p>
        </w:tc>
        <w:tc>
          <w:tcPr>
            <w:tcW w:w="757" w:type="pct"/>
            <w:tcBorders>
              <w:top w:val="single" w:sz="4" w:space="0" w:color="auto"/>
              <w:left w:val="single" w:sz="4" w:space="0" w:color="auto"/>
              <w:bottom w:val="single" w:sz="4" w:space="0" w:color="auto"/>
              <w:right w:val="single" w:sz="4" w:space="0" w:color="auto"/>
            </w:tcBorders>
            <w:hideMark/>
          </w:tcPr>
          <w:p w14:paraId="02072BC6" w14:textId="77777777" w:rsidR="00250FA5" w:rsidRPr="00DA1CCA" w:rsidRDefault="00250FA5" w:rsidP="00250FA5">
            <w:pPr>
              <w:keepNext/>
              <w:keepLines/>
              <w:tabs>
                <w:tab w:val="decimal" w:pos="396"/>
              </w:tabs>
              <w:spacing w:before="0" w:after="0"/>
              <w:jc w:val="center"/>
              <w:rPr>
                <w:sz w:val="20"/>
              </w:rPr>
            </w:pPr>
            <w:r w:rsidRPr="00DA1CCA">
              <w:rPr>
                <w:rFonts w:eastAsia="Calibri"/>
                <w:sz w:val="20"/>
              </w:rPr>
              <w:t>0.5987</w:t>
            </w:r>
          </w:p>
        </w:tc>
      </w:tr>
      <w:tr w:rsidR="00250FA5" w:rsidRPr="00250FA5" w14:paraId="2FFF27E9" w14:textId="77777777" w:rsidTr="1134720A">
        <w:tc>
          <w:tcPr>
            <w:tcW w:w="4243" w:type="pct"/>
            <w:gridSpan w:val="3"/>
            <w:tcBorders>
              <w:top w:val="single" w:sz="4" w:space="0" w:color="auto"/>
              <w:left w:val="single" w:sz="4" w:space="0" w:color="auto"/>
              <w:bottom w:val="single" w:sz="4" w:space="0" w:color="auto"/>
              <w:right w:val="single" w:sz="4" w:space="0" w:color="auto"/>
            </w:tcBorders>
            <w:hideMark/>
          </w:tcPr>
          <w:p w14:paraId="3C875B9C" w14:textId="77777777" w:rsidR="00250FA5" w:rsidRPr="00DA1CCA" w:rsidRDefault="00250FA5" w:rsidP="00250FA5">
            <w:pPr>
              <w:keepNext/>
              <w:keepLines/>
              <w:tabs>
                <w:tab w:val="decimal" w:pos="396"/>
              </w:tabs>
              <w:spacing w:before="0" w:after="0"/>
              <w:jc w:val="right"/>
              <w:rPr>
                <w:rFonts w:eastAsia="Calibri" w:cs="Arial"/>
                <w:sz w:val="20"/>
              </w:rPr>
            </w:pPr>
            <w:r w:rsidRPr="00DA1CCA">
              <w:rPr>
                <w:rFonts w:eastAsia="Calibri"/>
                <w:sz w:val="20"/>
              </w:rPr>
              <w:t>Incremental cost per LY gained</w:t>
            </w:r>
          </w:p>
        </w:tc>
        <w:tc>
          <w:tcPr>
            <w:tcW w:w="757" w:type="pct"/>
            <w:tcBorders>
              <w:top w:val="single" w:sz="4" w:space="0" w:color="auto"/>
              <w:left w:val="single" w:sz="4" w:space="0" w:color="auto"/>
              <w:bottom w:val="single" w:sz="4" w:space="0" w:color="auto"/>
              <w:right w:val="single" w:sz="4" w:space="0" w:color="auto"/>
            </w:tcBorders>
            <w:hideMark/>
          </w:tcPr>
          <w:p w14:paraId="2FD24072" w14:textId="7FD73B69" w:rsidR="00250FA5" w:rsidRPr="00DA1CCA" w:rsidRDefault="00FC0301" w:rsidP="00250FA5">
            <w:pPr>
              <w:keepNext/>
              <w:keepLines/>
              <w:tabs>
                <w:tab w:val="decimal" w:pos="396"/>
              </w:tabs>
              <w:spacing w:before="0" w:after="0"/>
              <w:jc w:val="center"/>
              <w:rPr>
                <w:rFonts w:eastAsia="Calibri" w:cs="Calibri"/>
                <w:color w:val="000000"/>
                <w:sz w:val="20"/>
                <w:vertAlign w:val="superscript"/>
              </w:rPr>
            </w:pPr>
            <w:r w:rsidRPr="00DA1CCA">
              <w:rPr>
                <w:rFonts w:eastAsia="Calibri"/>
                <w:sz w:val="20"/>
              </w:rPr>
              <w:t xml:space="preserve">$redacted </w:t>
            </w:r>
            <w:r w:rsidRPr="00DA1CCA">
              <w:rPr>
                <w:rFonts w:eastAsia="Calibri"/>
                <w:sz w:val="20"/>
                <w:vertAlign w:val="superscript"/>
              </w:rPr>
              <w:t>1</w:t>
            </w:r>
          </w:p>
        </w:tc>
      </w:tr>
      <w:tr w:rsidR="00250FA5" w:rsidRPr="00250FA5" w14:paraId="5E703BFF" w14:textId="77777777" w:rsidTr="1134720A">
        <w:tc>
          <w:tcPr>
            <w:tcW w:w="4243" w:type="pct"/>
            <w:gridSpan w:val="3"/>
            <w:tcBorders>
              <w:top w:val="single" w:sz="4" w:space="0" w:color="auto"/>
              <w:left w:val="single" w:sz="4" w:space="0" w:color="auto"/>
              <w:bottom w:val="single" w:sz="4" w:space="0" w:color="auto"/>
              <w:right w:val="single" w:sz="4" w:space="0" w:color="auto"/>
            </w:tcBorders>
            <w:hideMark/>
          </w:tcPr>
          <w:p w14:paraId="6AAAEEF5" w14:textId="77777777" w:rsidR="00250FA5" w:rsidRPr="00DA1CCA" w:rsidRDefault="00250FA5" w:rsidP="00250FA5">
            <w:pPr>
              <w:keepNext/>
              <w:keepLines/>
              <w:tabs>
                <w:tab w:val="decimal" w:pos="396"/>
              </w:tabs>
              <w:spacing w:before="0" w:after="0"/>
              <w:jc w:val="right"/>
              <w:rPr>
                <w:rFonts w:eastAsia="Calibri" w:cs="Arial"/>
                <w:b/>
                <w:bCs/>
                <w:sz w:val="20"/>
              </w:rPr>
            </w:pPr>
            <w:r w:rsidRPr="00DA1CCA">
              <w:rPr>
                <w:rFonts w:eastAsia="Calibri"/>
                <w:b/>
                <w:bCs/>
                <w:sz w:val="20"/>
              </w:rPr>
              <w:t>Incremental cost per QALY gained</w:t>
            </w:r>
          </w:p>
        </w:tc>
        <w:tc>
          <w:tcPr>
            <w:tcW w:w="757" w:type="pct"/>
            <w:tcBorders>
              <w:top w:val="single" w:sz="4" w:space="0" w:color="auto"/>
              <w:left w:val="single" w:sz="4" w:space="0" w:color="auto"/>
              <w:bottom w:val="single" w:sz="4" w:space="0" w:color="auto"/>
              <w:right w:val="single" w:sz="4" w:space="0" w:color="auto"/>
            </w:tcBorders>
            <w:hideMark/>
          </w:tcPr>
          <w:p w14:paraId="3A9E1AA0" w14:textId="7F0F3981" w:rsidR="00250FA5" w:rsidRPr="00DA1CCA" w:rsidRDefault="00FC0301" w:rsidP="00250FA5">
            <w:pPr>
              <w:keepNext/>
              <w:keepLines/>
              <w:tabs>
                <w:tab w:val="decimal" w:pos="396"/>
              </w:tabs>
              <w:spacing w:before="0" w:after="0"/>
              <w:jc w:val="center"/>
              <w:rPr>
                <w:rFonts w:eastAsia="Calibri"/>
                <w:b/>
                <w:bCs/>
                <w:sz w:val="20"/>
              </w:rPr>
            </w:pPr>
            <w:r w:rsidRPr="00DA1CCA">
              <w:rPr>
                <w:rFonts w:eastAsia="Calibri"/>
                <w:b/>
                <w:bCs/>
                <w:sz w:val="20"/>
              </w:rPr>
              <w:t>$redacted </w:t>
            </w:r>
            <w:r w:rsidRPr="00DA1CCA">
              <w:rPr>
                <w:rFonts w:eastAsia="Calibri"/>
                <w:b/>
                <w:bCs/>
                <w:sz w:val="20"/>
                <w:vertAlign w:val="superscript"/>
              </w:rPr>
              <w:t>2</w:t>
            </w:r>
            <w:r w:rsidRPr="00DA1CCA">
              <w:rPr>
                <w:rFonts w:eastAsia="Calibri"/>
                <w:b/>
                <w:bCs/>
                <w:sz w:val="20"/>
              </w:rPr>
              <w:t xml:space="preserve"> </w:t>
            </w:r>
          </w:p>
        </w:tc>
      </w:tr>
      <w:tr w:rsidR="00250FA5" w:rsidRPr="00250FA5" w14:paraId="1B56D35A" w14:textId="77777777" w:rsidTr="1134720A">
        <w:tc>
          <w:tcPr>
            <w:tcW w:w="5000" w:type="pct"/>
            <w:gridSpan w:val="4"/>
            <w:tcBorders>
              <w:top w:val="single" w:sz="4" w:space="0" w:color="auto"/>
              <w:left w:val="single" w:sz="4" w:space="0" w:color="auto"/>
              <w:bottom w:val="single" w:sz="4" w:space="0" w:color="auto"/>
              <w:right w:val="single" w:sz="4" w:space="0" w:color="auto"/>
            </w:tcBorders>
            <w:hideMark/>
          </w:tcPr>
          <w:p w14:paraId="12BA979B" w14:textId="77777777" w:rsidR="00250FA5" w:rsidRPr="00DA1CCA" w:rsidRDefault="00250FA5" w:rsidP="00250FA5">
            <w:pPr>
              <w:keepNext/>
              <w:keepLines/>
              <w:tabs>
                <w:tab w:val="decimal" w:pos="0"/>
                <w:tab w:val="decimal" w:pos="396"/>
              </w:tabs>
              <w:spacing w:before="0" w:after="0"/>
              <w:jc w:val="left"/>
              <w:rPr>
                <w:rFonts w:eastAsia="Calibri"/>
                <w:bCs/>
                <w:sz w:val="20"/>
              </w:rPr>
            </w:pPr>
            <w:r w:rsidRPr="00DA1CCA">
              <w:rPr>
                <w:rFonts w:eastAsia="Calibri"/>
                <w:bCs/>
                <w:sz w:val="20"/>
              </w:rPr>
              <w:t xml:space="preserve">Pembrolizumab monotherapy vs SoC (EA2 - </w:t>
            </w:r>
            <w:r w:rsidRPr="00DA1CCA">
              <w:rPr>
                <w:rFonts w:eastAsia="Calibri"/>
                <w:sz w:val="20"/>
              </w:rPr>
              <w:t>CPS≥ 1</w:t>
            </w:r>
            <w:r w:rsidRPr="00DA1CCA">
              <w:rPr>
                <w:rFonts w:eastAsia="Calibri"/>
                <w:bCs/>
                <w:sz w:val="20"/>
              </w:rPr>
              <w:t>)</w:t>
            </w:r>
          </w:p>
        </w:tc>
      </w:tr>
      <w:tr w:rsidR="00250FA5" w:rsidRPr="00250FA5" w14:paraId="26A520AE" w14:textId="77777777" w:rsidTr="1134720A">
        <w:tc>
          <w:tcPr>
            <w:tcW w:w="1250" w:type="pct"/>
            <w:tcBorders>
              <w:top w:val="single" w:sz="4" w:space="0" w:color="auto"/>
              <w:left w:val="single" w:sz="4" w:space="0" w:color="auto"/>
              <w:bottom w:val="single" w:sz="4" w:space="0" w:color="auto"/>
              <w:right w:val="single" w:sz="4" w:space="0" w:color="auto"/>
            </w:tcBorders>
            <w:hideMark/>
          </w:tcPr>
          <w:p w14:paraId="6CF6E674" w14:textId="77777777" w:rsidR="00250FA5" w:rsidRPr="00D61853" w:rsidRDefault="00250FA5" w:rsidP="00250FA5">
            <w:pPr>
              <w:keepNext/>
              <w:keepLines/>
              <w:spacing w:before="0" w:after="0"/>
              <w:jc w:val="left"/>
              <w:rPr>
                <w:rFonts w:eastAsia="Calibri"/>
                <w:sz w:val="20"/>
              </w:rPr>
            </w:pPr>
            <w:r w:rsidRPr="00D61853">
              <w:rPr>
                <w:rFonts w:eastAsia="Calibri"/>
                <w:sz w:val="20"/>
              </w:rPr>
              <w:t>Cost</w:t>
            </w:r>
          </w:p>
        </w:tc>
        <w:tc>
          <w:tcPr>
            <w:tcW w:w="1577" w:type="pct"/>
            <w:tcBorders>
              <w:top w:val="single" w:sz="4" w:space="0" w:color="auto"/>
              <w:left w:val="single" w:sz="4" w:space="0" w:color="auto"/>
              <w:bottom w:val="single" w:sz="4" w:space="0" w:color="auto"/>
              <w:right w:val="single" w:sz="4" w:space="0" w:color="auto"/>
            </w:tcBorders>
            <w:hideMark/>
          </w:tcPr>
          <w:p w14:paraId="56F3EA46" w14:textId="061E0E91" w:rsidR="00250FA5" w:rsidRPr="00DA1CCA" w:rsidRDefault="00135ED1" w:rsidP="00250FA5">
            <w:pPr>
              <w:keepNext/>
              <w:keepLines/>
              <w:tabs>
                <w:tab w:val="decimal" w:pos="396"/>
              </w:tabs>
              <w:spacing w:before="0" w:after="0"/>
              <w:jc w:val="center"/>
              <w:rPr>
                <w:rFonts w:eastAsia="Calibri"/>
                <w:sz w:val="20"/>
              </w:rPr>
            </w:pPr>
            <w:r w:rsidRPr="00DA1CCA">
              <w:rPr>
                <w:rFonts w:eastAsia="Calibri"/>
                <w:sz w:val="20"/>
              </w:rPr>
              <w:t>$redacted</w:t>
            </w:r>
          </w:p>
        </w:tc>
        <w:tc>
          <w:tcPr>
            <w:tcW w:w="1416" w:type="pct"/>
            <w:tcBorders>
              <w:top w:val="single" w:sz="4" w:space="0" w:color="auto"/>
              <w:left w:val="single" w:sz="4" w:space="0" w:color="auto"/>
              <w:bottom w:val="single" w:sz="4" w:space="0" w:color="auto"/>
              <w:right w:val="single" w:sz="4" w:space="0" w:color="auto"/>
            </w:tcBorders>
            <w:hideMark/>
          </w:tcPr>
          <w:p w14:paraId="666F5C44" w14:textId="1760486D" w:rsidR="00250FA5" w:rsidRPr="00DA1CCA" w:rsidRDefault="00250FA5" w:rsidP="00250FA5">
            <w:pPr>
              <w:keepNext/>
              <w:keepLines/>
              <w:tabs>
                <w:tab w:val="decimal" w:pos="396"/>
              </w:tabs>
              <w:spacing w:before="0" w:after="0"/>
              <w:jc w:val="center"/>
              <w:rPr>
                <w:rFonts w:eastAsia="Calibri"/>
                <w:sz w:val="20"/>
              </w:rPr>
            </w:pPr>
            <w:r w:rsidRPr="00DA1CCA">
              <w:rPr>
                <w:rFonts w:eastAsia="Calibri"/>
                <w:sz w:val="20"/>
              </w:rPr>
              <w:t>$33,755.29</w:t>
            </w:r>
          </w:p>
        </w:tc>
        <w:tc>
          <w:tcPr>
            <w:tcW w:w="757" w:type="pct"/>
            <w:tcBorders>
              <w:top w:val="single" w:sz="4" w:space="0" w:color="auto"/>
              <w:left w:val="single" w:sz="4" w:space="0" w:color="auto"/>
              <w:bottom w:val="single" w:sz="4" w:space="0" w:color="auto"/>
              <w:right w:val="single" w:sz="4" w:space="0" w:color="auto"/>
            </w:tcBorders>
            <w:hideMark/>
          </w:tcPr>
          <w:p w14:paraId="59337890" w14:textId="4A21782A" w:rsidR="00250FA5" w:rsidRPr="00DA1CCA" w:rsidRDefault="00135ED1" w:rsidP="00250FA5">
            <w:pPr>
              <w:keepNext/>
              <w:keepLines/>
              <w:tabs>
                <w:tab w:val="decimal" w:pos="396"/>
              </w:tabs>
              <w:spacing w:before="0" w:after="0"/>
              <w:jc w:val="center"/>
              <w:rPr>
                <w:rFonts w:eastAsia="Calibri"/>
                <w:bCs/>
                <w:sz w:val="20"/>
              </w:rPr>
            </w:pPr>
            <w:r w:rsidRPr="00DA1CCA">
              <w:rPr>
                <w:rFonts w:eastAsia="Calibri"/>
                <w:sz w:val="20"/>
              </w:rPr>
              <w:t>$redacted</w:t>
            </w:r>
          </w:p>
        </w:tc>
      </w:tr>
      <w:tr w:rsidR="00250FA5" w:rsidRPr="00250FA5" w14:paraId="0791D012" w14:textId="77777777" w:rsidTr="1134720A">
        <w:tc>
          <w:tcPr>
            <w:tcW w:w="1250" w:type="pct"/>
            <w:tcBorders>
              <w:top w:val="single" w:sz="4" w:space="0" w:color="auto"/>
              <w:left w:val="single" w:sz="4" w:space="0" w:color="auto"/>
              <w:bottom w:val="single" w:sz="4" w:space="0" w:color="auto"/>
              <w:right w:val="single" w:sz="4" w:space="0" w:color="auto"/>
            </w:tcBorders>
            <w:hideMark/>
          </w:tcPr>
          <w:p w14:paraId="27E36A0F" w14:textId="77777777" w:rsidR="00250FA5" w:rsidRPr="00D61853" w:rsidRDefault="00250FA5" w:rsidP="00250FA5">
            <w:pPr>
              <w:keepNext/>
              <w:keepLines/>
              <w:spacing w:before="0" w:after="0"/>
              <w:jc w:val="left"/>
              <w:rPr>
                <w:rFonts w:eastAsia="Calibri"/>
                <w:sz w:val="20"/>
              </w:rPr>
            </w:pPr>
            <w:r w:rsidRPr="00D61853">
              <w:rPr>
                <w:rFonts w:eastAsia="Calibri"/>
                <w:sz w:val="20"/>
              </w:rPr>
              <w:t>LY</w:t>
            </w:r>
          </w:p>
        </w:tc>
        <w:tc>
          <w:tcPr>
            <w:tcW w:w="1577" w:type="pct"/>
            <w:tcBorders>
              <w:top w:val="single" w:sz="4" w:space="0" w:color="auto"/>
              <w:left w:val="single" w:sz="4" w:space="0" w:color="auto"/>
              <w:bottom w:val="single" w:sz="4" w:space="0" w:color="auto"/>
              <w:right w:val="single" w:sz="4" w:space="0" w:color="auto"/>
            </w:tcBorders>
            <w:hideMark/>
          </w:tcPr>
          <w:p w14:paraId="5A6899CA" w14:textId="77777777" w:rsidR="00250FA5" w:rsidRPr="00DA1CCA" w:rsidRDefault="00250FA5" w:rsidP="00250FA5">
            <w:pPr>
              <w:keepNext/>
              <w:keepLines/>
              <w:tabs>
                <w:tab w:val="decimal" w:pos="396"/>
              </w:tabs>
              <w:spacing w:before="0" w:after="0"/>
              <w:jc w:val="center"/>
              <w:rPr>
                <w:rFonts w:eastAsia="Calibri"/>
                <w:sz w:val="20"/>
              </w:rPr>
            </w:pPr>
            <w:r w:rsidRPr="00DA1CCA">
              <w:rPr>
                <w:rFonts w:eastAsia="Calibri"/>
                <w:sz w:val="20"/>
              </w:rPr>
              <w:t>1.7935</w:t>
            </w:r>
          </w:p>
        </w:tc>
        <w:tc>
          <w:tcPr>
            <w:tcW w:w="1416" w:type="pct"/>
            <w:tcBorders>
              <w:top w:val="single" w:sz="4" w:space="0" w:color="auto"/>
              <w:left w:val="single" w:sz="4" w:space="0" w:color="auto"/>
              <w:bottom w:val="single" w:sz="4" w:space="0" w:color="auto"/>
              <w:right w:val="single" w:sz="4" w:space="0" w:color="auto"/>
            </w:tcBorders>
            <w:hideMark/>
          </w:tcPr>
          <w:p w14:paraId="79E0BA23" w14:textId="77777777" w:rsidR="00250FA5" w:rsidRPr="00DA1CCA" w:rsidRDefault="00250FA5" w:rsidP="00250FA5">
            <w:pPr>
              <w:keepNext/>
              <w:keepLines/>
              <w:tabs>
                <w:tab w:val="decimal" w:pos="396"/>
              </w:tabs>
              <w:spacing w:before="0" w:after="0"/>
              <w:jc w:val="center"/>
              <w:rPr>
                <w:rFonts w:eastAsia="Calibri"/>
                <w:sz w:val="20"/>
              </w:rPr>
            </w:pPr>
            <w:r w:rsidRPr="00DA1CCA">
              <w:rPr>
                <w:rFonts w:eastAsia="Calibri"/>
                <w:sz w:val="20"/>
              </w:rPr>
              <w:t>1.3224</w:t>
            </w:r>
          </w:p>
        </w:tc>
        <w:tc>
          <w:tcPr>
            <w:tcW w:w="757" w:type="pct"/>
            <w:tcBorders>
              <w:top w:val="single" w:sz="4" w:space="0" w:color="auto"/>
              <w:left w:val="single" w:sz="4" w:space="0" w:color="auto"/>
              <w:bottom w:val="single" w:sz="4" w:space="0" w:color="auto"/>
              <w:right w:val="single" w:sz="4" w:space="0" w:color="auto"/>
            </w:tcBorders>
            <w:hideMark/>
          </w:tcPr>
          <w:p w14:paraId="3D51D62A" w14:textId="77777777" w:rsidR="00250FA5" w:rsidRPr="00DA1CCA" w:rsidRDefault="00250FA5" w:rsidP="00250FA5">
            <w:pPr>
              <w:keepNext/>
              <w:keepLines/>
              <w:tabs>
                <w:tab w:val="decimal" w:pos="396"/>
              </w:tabs>
              <w:spacing w:before="0" w:after="0"/>
              <w:jc w:val="center"/>
              <w:rPr>
                <w:rFonts w:eastAsia="Calibri"/>
                <w:bCs/>
                <w:sz w:val="20"/>
              </w:rPr>
            </w:pPr>
            <w:r w:rsidRPr="00DA1CCA">
              <w:rPr>
                <w:rFonts w:eastAsia="Calibri"/>
                <w:bCs/>
                <w:sz w:val="20"/>
              </w:rPr>
              <w:t>0.4711</w:t>
            </w:r>
          </w:p>
        </w:tc>
      </w:tr>
      <w:tr w:rsidR="00250FA5" w:rsidRPr="00250FA5" w14:paraId="4F0276AD" w14:textId="77777777" w:rsidTr="1134720A">
        <w:tc>
          <w:tcPr>
            <w:tcW w:w="1250" w:type="pct"/>
            <w:tcBorders>
              <w:top w:val="single" w:sz="4" w:space="0" w:color="auto"/>
              <w:left w:val="single" w:sz="4" w:space="0" w:color="auto"/>
              <w:bottom w:val="single" w:sz="4" w:space="0" w:color="auto"/>
              <w:right w:val="single" w:sz="4" w:space="0" w:color="auto"/>
            </w:tcBorders>
            <w:hideMark/>
          </w:tcPr>
          <w:p w14:paraId="7FE7E899" w14:textId="77777777" w:rsidR="00250FA5" w:rsidRPr="00D61853" w:rsidRDefault="00250FA5" w:rsidP="00250FA5">
            <w:pPr>
              <w:keepNext/>
              <w:keepLines/>
              <w:spacing w:before="0" w:after="0"/>
              <w:jc w:val="left"/>
              <w:rPr>
                <w:rFonts w:eastAsia="Calibri"/>
                <w:sz w:val="20"/>
              </w:rPr>
            </w:pPr>
            <w:r w:rsidRPr="00D61853">
              <w:rPr>
                <w:rFonts w:eastAsia="Calibri"/>
                <w:sz w:val="20"/>
              </w:rPr>
              <w:t>QALY</w:t>
            </w:r>
          </w:p>
        </w:tc>
        <w:tc>
          <w:tcPr>
            <w:tcW w:w="1577" w:type="pct"/>
            <w:tcBorders>
              <w:top w:val="single" w:sz="4" w:space="0" w:color="auto"/>
              <w:left w:val="single" w:sz="4" w:space="0" w:color="auto"/>
              <w:bottom w:val="single" w:sz="4" w:space="0" w:color="auto"/>
              <w:right w:val="single" w:sz="4" w:space="0" w:color="auto"/>
            </w:tcBorders>
            <w:hideMark/>
          </w:tcPr>
          <w:p w14:paraId="7ED34045" w14:textId="77777777" w:rsidR="00250FA5" w:rsidRPr="00DA1CCA" w:rsidRDefault="00250FA5" w:rsidP="00250FA5">
            <w:pPr>
              <w:keepNext/>
              <w:keepLines/>
              <w:tabs>
                <w:tab w:val="decimal" w:pos="396"/>
              </w:tabs>
              <w:spacing w:before="0" w:after="0"/>
              <w:jc w:val="center"/>
              <w:rPr>
                <w:rFonts w:eastAsia="Calibri"/>
                <w:sz w:val="20"/>
              </w:rPr>
            </w:pPr>
            <w:r w:rsidRPr="00DA1CCA">
              <w:rPr>
                <w:rFonts w:eastAsia="Calibri"/>
                <w:sz w:val="20"/>
              </w:rPr>
              <w:t>1.3463</w:t>
            </w:r>
          </w:p>
        </w:tc>
        <w:tc>
          <w:tcPr>
            <w:tcW w:w="1416" w:type="pct"/>
            <w:tcBorders>
              <w:top w:val="single" w:sz="4" w:space="0" w:color="auto"/>
              <w:left w:val="single" w:sz="4" w:space="0" w:color="auto"/>
              <w:bottom w:val="single" w:sz="4" w:space="0" w:color="auto"/>
              <w:right w:val="single" w:sz="4" w:space="0" w:color="auto"/>
            </w:tcBorders>
            <w:hideMark/>
          </w:tcPr>
          <w:p w14:paraId="09559FAA" w14:textId="77777777" w:rsidR="00250FA5" w:rsidRPr="00DA1CCA" w:rsidRDefault="00250FA5" w:rsidP="00250FA5">
            <w:pPr>
              <w:keepNext/>
              <w:keepLines/>
              <w:tabs>
                <w:tab w:val="decimal" w:pos="396"/>
              </w:tabs>
              <w:spacing w:before="0" w:after="0"/>
              <w:jc w:val="center"/>
              <w:rPr>
                <w:rFonts w:eastAsia="Calibri"/>
                <w:sz w:val="20"/>
              </w:rPr>
            </w:pPr>
            <w:r w:rsidRPr="00DA1CCA">
              <w:rPr>
                <w:rFonts w:eastAsia="Calibri"/>
                <w:sz w:val="20"/>
              </w:rPr>
              <w:t>0.9962</w:t>
            </w:r>
          </w:p>
        </w:tc>
        <w:tc>
          <w:tcPr>
            <w:tcW w:w="757" w:type="pct"/>
            <w:tcBorders>
              <w:top w:val="single" w:sz="4" w:space="0" w:color="auto"/>
              <w:left w:val="single" w:sz="4" w:space="0" w:color="auto"/>
              <w:bottom w:val="single" w:sz="4" w:space="0" w:color="auto"/>
              <w:right w:val="single" w:sz="4" w:space="0" w:color="auto"/>
            </w:tcBorders>
            <w:hideMark/>
          </w:tcPr>
          <w:p w14:paraId="34DAF554" w14:textId="77777777" w:rsidR="00250FA5" w:rsidRPr="00DA1CCA" w:rsidRDefault="00250FA5" w:rsidP="00250FA5">
            <w:pPr>
              <w:keepNext/>
              <w:keepLines/>
              <w:tabs>
                <w:tab w:val="decimal" w:pos="396"/>
              </w:tabs>
              <w:spacing w:before="0" w:after="0"/>
              <w:jc w:val="center"/>
              <w:rPr>
                <w:rFonts w:eastAsia="Calibri"/>
                <w:bCs/>
                <w:sz w:val="20"/>
              </w:rPr>
            </w:pPr>
            <w:r w:rsidRPr="00DA1CCA">
              <w:rPr>
                <w:rFonts w:eastAsia="Calibri"/>
                <w:bCs/>
                <w:sz w:val="20"/>
              </w:rPr>
              <w:t>0.3501</w:t>
            </w:r>
          </w:p>
        </w:tc>
      </w:tr>
      <w:tr w:rsidR="00250FA5" w:rsidRPr="00250FA5" w14:paraId="65F3C8C6" w14:textId="77777777" w:rsidTr="1134720A">
        <w:tc>
          <w:tcPr>
            <w:tcW w:w="4243" w:type="pct"/>
            <w:gridSpan w:val="3"/>
            <w:tcBorders>
              <w:top w:val="single" w:sz="4" w:space="0" w:color="auto"/>
              <w:left w:val="single" w:sz="4" w:space="0" w:color="auto"/>
              <w:bottom w:val="single" w:sz="4" w:space="0" w:color="auto"/>
              <w:right w:val="single" w:sz="4" w:space="0" w:color="auto"/>
            </w:tcBorders>
            <w:hideMark/>
          </w:tcPr>
          <w:p w14:paraId="2C8F988D" w14:textId="77777777" w:rsidR="00250FA5" w:rsidRPr="00DA1CCA" w:rsidRDefault="00250FA5" w:rsidP="00250FA5">
            <w:pPr>
              <w:keepNext/>
              <w:keepLines/>
              <w:tabs>
                <w:tab w:val="decimal" w:pos="396"/>
              </w:tabs>
              <w:spacing w:before="0" w:after="0"/>
              <w:jc w:val="right"/>
              <w:rPr>
                <w:rFonts w:eastAsia="Calibri"/>
                <w:sz w:val="20"/>
              </w:rPr>
            </w:pPr>
            <w:r w:rsidRPr="00DA1CCA">
              <w:rPr>
                <w:rFonts w:eastAsia="Calibri"/>
                <w:sz w:val="20"/>
              </w:rPr>
              <w:t>Incremental cost per LY gained</w:t>
            </w:r>
          </w:p>
        </w:tc>
        <w:tc>
          <w:tcPr>
            <w:tcW w:w="757" w:type="pct"/>
            <w:tcBorders>
              <w:top w:val="single" w:sz="4" w:space="0" w:color="auto"/>
              <w:left w:val="single" w:sz="4" w:space="0" w:color="auto"/>
              <w:bottom w:val="single" w:sz="4" w:space="0" w:color="auto"/>
              <w:right w:val="single" w:sz="4" w:space="0" w:color="auto"/>
            </w:tcBorders>
            <w:hideMark/>
          </w:tcPr>
          <w:p w14:paraId="1BDC1A90" w14:textId="010BB289" w:rsidR="00250FA5" w:rsidRPr="00DA1CCA" w:rsidRDefault="00FC0301" w:rsidP="00250FA5">
            <w:pPr>
              <w:keepNext/>
              <w:keepLines/>
              <w:tabs>
                <w:tab w:val="decimal" w:pos="396"/>
              </w:tabs>
              <w:spacing w:before="0" w:after="0"/>
              <w:jc w:val="center"/>
              <w:rPr>
                <w:rFonts w:eastAsia="Calibri" w:cs="Calibri"/>
                <w:color w:val="000000"/>
                <w:sz w:val="20"/>
              </w:rPr>
            </w:pPr>
            <w:r w:rsidRPr="00DA1CCA">
              <w:rPr>
                <w:rFonts w:eastAsia="Calibri"/>
                <w:sz w:val="20"/>
              </w:rPr>
              <w:t>$redacted </w:t>
            </w:r>
            <w:r w:rsidRPr="00DA1CCA">
              <w:rPr>
                <w:rFonts w:eastAsia="Calibri"/>
                <w:sz w:val="20"/>
                <w:vertAlign w:val="superscript"/>
              </w:rPr>
              <w:t>2</w:t>
            </w:r>
          </w:p>
        </w:tc>
      </w:tr>
      <w:tr w:rsidR="00250FA5" w:rsidRPr="00250FA5" w14:paraId="6A325519" w14:textId="77777777" w:rsidTr="1134720A">
        <w:tc>
          <w:tcPr>
            <w:tcW w:w="4243" w:type="pct"/>
            <w:gridSpan w:val="3"/>
            <w:tcBorders>
              <w:top w:val="single" w:sz="4" w:space="0" w:color="auto"/>
              <w:left w:val="single" w:sz="4" w:space="0" w:color="auto"/>
              <w:bottom w:val="single" w:sz="4" w:space="0" w:color="auto"/>
              <w:right w:val="single" w:sz="4" w:space="0" w:color="auto"/>
            </w:tcBorders>
            <w:hideMark/>
          </w:tcPr>
          <w:p w14:paraId="546A3230" w14:textId="77777777" w:rsidR="00250FA5" w:rsidRPr="00DA1CCA" w:rsidRDefault="00250FA5" w:rsidP="00250FA5">
            <w:pPr>
              <w:keepNext/>
              <w:keepLines/>
              <w:tabs>
                <w:tab w:val="decimal" w:pos="396"/>
              </w:tabs>
              <w:spacing w:before="0" w:after="0"/>
              <w:jc w:val="right"/>
              <w:rPr>
                <w:rFonts w:eastAsia="Calibri" w:cs="Arial"/>
                <w:b/>
                <w:bCs/>
                <w:sz w:val="20"/>
              </w:rPr>
            </w:pPr>
            <w:r w:rsidRPr="00DA1CCA">
              <w:rPr>
                <w:rFonts w:eastAsia="Calibri"/>
                <w:b/>
                <w:bCs/>
                <w:sz w:val="20"/>
              </w:rPr>
              <w:t>Incremental cost per QALY gained</w:t>
            </w:r>
          </w:p>
        </w:tc>
        <w:tc>
          <w:tcPr>
            <w:tcW w:w="757" w:type="pct"/>
            <w:tcBorders>
              <w:top w:val="single" w:sz="4" w:space="0" w:color="auto"/>
              <w:left w:val="single" w:sz="4" w:space="0" w:color="auto"/>
              <w:bottom w:val="single" w:sz="4" w:space="0" w:color="auto"/>
              <w:right w:val="single" w:sz="4" w:space="0" w:color="auto"/>
            </w:tcBorders>
            <w:hideMark/>
          </w:tcPr>
          <w:p w14:paraId="0914489D" w14:textId="38CCEBFD" w:rsidR="00250FA5" w:rsidRPr="00DA1CCA" w:rsidRDefault="303E013F" w:rsidP="1134720A">
            <w:pPr>
              <w:keepNext/>
              <w:keepLines/>
              <w:tabs>
                <w:tab w:val="decimal" w:pos="396"/>
              </w:tabs>
              <w:spacing w:before="0" w:after="0"/>
              <w:jc w:val="center"/>
              <w:rPr>
                <w:rFonts w:eastAsia="Calibri"/>
                <w:b/>
                <w:bCs/>
                <w:sz w:val="20"/>
              </w:rPr>
            </w:pPr>
            <w:r w:rsidRPr="00DA1CCA">
              <w:rPr>
                <w:rFonts w:eastAsia="Calibri"/>
                <w:b/>
                <w:bCs/>
                <w:sz w:val="20"/>
              </w:rPr>
              <w:t>$redacted</w:t>
            </w:r>
            <w:r w:rsidRPr="00DA1CCA">
              <w:rPr>
                <w:rFonts w:eastAsia="Calibri"/>
                <w:b/>
                <w:bCs/>
                <w:sz w:val="20"/>
                <w:vertAlign w:val="superscript"/>
              </w:rPr>
              <w:t xml:space="preserve"> 3 </w:t>
            </w:r>
          </w:p>
        </w:tc>
      </w:tr>
      <w:bookmarkEnd w:id="23"/>
      <w:tr w:rsidR="00250FA5" w:rsidRPr="00250FA5" w14:paraId="5D9F924D" w14:textId="77777777" w:rsidTr="1134720A">
        <w:tc>
          <w:tcPr>
            <w:tcW w:w="5000" w:type="pct"/>
            <w:gridSpan w:val="4"/>
            <w:tcBorders>
              <w:top w:val="single" w:sz="4" w:space="0" w:color="auto"/>
              <w:left w:val="single" w:sz="4" w:space="0" w:color="auto"/>
              <w:bottom w:val="single" w:sz="4" w:space="0" w:color="auto"/>
              <w:right w:val="single" w:sz="4" w:space="0" w:color="auto"/>
            </w:tcBorders>
            <w:hideMark/>
          </w:tcPr>
          <w:p w14:paraId="27F7846A" w14:textId="77777777" w:rsidR="00250FA5" w:rsidRPr="00DA1CCA" w:rsidRDefault="00250FA5" w:rsidP="00250FA5">
            <w:pPr>
              <w:keepNext/>
              <w:keepLines/>
              <w:tabs>
                <w:tab w:val="decimal" w:pos="0"/>
                <w:tab w:val="decimal" w:pos="396"/>
              </w:tabs>
              <w:spacing w:before="0" w:after="0"/>
              <w:jc w:val="left"/>
              <w:rPr>
                <w:rFonts w:eastAsia="Calibri"/>
                <w:bCs/>
                <w:sz w:val="20"/>
                <w:vertAlign w:val="superscript"/>
              </w:rPr>
            </w:pPr>
            <w:r w:rsidRPr="00DA1CCA">
              <w:rPr>
                <w:rFonts w:eastAsia="Calibri"/>
                <w:bCs/>
                <w:sz w:val="20"/>
              </w:rPr>
              <w:t xml:space="preserve">Weighted pembrolizumab monotherapy (60%) and pembrolizumab plus chemotherapy (40%) </w:t>
            </w:r>
            <w:r w:rsidRPr="00DA1CCA">
              <w:rPr>
                <w:rFonts w:eastAsia="Calibri"/>
                <w:bCs/>
                <w:sz w:val="20"/>
                <w:vertAlign w:val="superscript"/>
              </w:rPr>
              <w:t>b</w:t>
            </w:r>
          </w:p>
        </w:tc>
      </w:tr>
      <w:tr w:rsidR="00250FA5" w:rsidRPr="00250FA5" w14:paraId="5D02C5EA" w14:textId="77777777" w:rsidTr="1134720A">
        <w:tc>
          <w:tcPr>
            <w:tcW w:w="1250" w:type="pct"/>
            <w:tcBorders>
              <w:top w:val="single" w:sz="4" w:space="0" w:color="auto"/>
              <w:left w:val="single" w:sz="4" w:space="0" w:color="auto"/>
              <w:bottom w:val="single" w:sz="4" w:space="0" w:color="auto"/>
              <w:right w:val="single" w:sz="4" w:space="0" w:color="auto"/>
            </w:tcBorders>
            <w:hideMark/>
          </w:tcPr>
          <w:p w14:paraId="4DBC6BDD" w14:textId="77777777" w:rsidR="00250FA5" w:rsidRPr="00D61853" w:rsidRDefault="00250FA5" w:rsidP="00250FA5">
            <w:pPr>
              <w:keepNext/>
              <w:keepLines/>
              <w:spacing w:before="0" w:after="0"/>
              <w:jc w:val="left"/>
              <w:rPr>
                <w:rFonts w:eastAsia="Calibri"/>
                <w:sz w:val="20"/>
              </w:rPr>
            </w:pPr>
            <w:r w:rsidRPr="00D61853">
              <w:rPr>
                <w:rFonts w:eastAsia="Calibri"/>
                <w:sz w:val="20"/>
              </w:rPr>
              <w:t>Cost</w:t>
            </w:r>
          </w:p>
        </w:tc>
        <w:tc>
          <w:tcPr>
            <w:tcW w:w="1577" w:type="pct"/>
            <w:tcBorders>
              <w:top w:val="single" w:sz="4" w:space="0" w:color="auto"/>
              <w:left w:val="single" w:sz="4" w:space="0" w:color="auto"/>
              <w:bottom w:val="single" w:sz="4" w:space="0" w:color="auto"/>
              <w:right w:val="single" w:sz="4" w:space="0" w:color="auto"/>
            </w:tcBorders>
            <w:vAlign w:val="center"/>
            <w:hideMark/>
          </w:tcPr>
          <w:p w14:paraId="5082D999" w14:textId="27C7E8EF" w:rsidR="00250FA5" w:rsidRPr="00DA1CCA" w:rsidRDefault="00135ED1" w:rsidP="00250FA5">
            <w:pPr>
              <w:keepNext/>
              <w:keepLines/>
              <w:tabs>
                <w:tab w:val="decimal" w:pos="396"/>
              </w:tabs>
              <w:spacing w:before="0" w:after="0"/>
              <w:jc w:val="center"/>
              <w:rPr>
                <w:rFonts w:eastAsia="Calibri"/>
                <w:sz w:val="20"/>
              </w:rPr>
            </w:pPr>
            <w:r w:rsidRPr="00DA1CCA">
              <w:rPr>
                <w:rFonts w:eastAsia="Calibri"/>
                <w:sz w:val="20"/>
              </w:rPr>
              <w:t>$redacted</w:t>
            </w:r>
          </w:p>
        </w:tc>
        <w:tc>
          <w:tcPr>
            <w:tcW w:w="1416" w:type="pct"/>
            <w:tcBorders>
              <w:top w:val="single" w:sz="4" w:space="0" w:color="auto"/>
              <w:left w:val="single" w:sz="4" w:space="0" w:color="auto"/>
              <w:bottom w:val="single" w:sz="4" w:space="0" w:color="auto"/>
              <w:right w:val="single" w:sz="4" w:space="0" w:color="auto"/>
            </w:tcBorders>
            <w:vAlign w:val="center"/>
            <w:hideMark/>
          </w:tcPr>
          <w:p w14:paraId="46E29407" w14:textId="63C74321" w:rsidR="00250FA5" w:rsidRPr="00DA1CCA" w:rsidRDefault="00250FA5" w:rsidP="00250FA5">
            <w:pPr>
              <w:keepNext/>
              <w:keepLines/>
              <w:tabs>
                <w:tab w:val="decimal" w:pos="396"/>
              </w:tabs>
              <w:spacing w:before="0" w:after="0"/>
              <w:jc w:val="center"/>
              <w:rPr>
                <w:rFonts w:eastAsia="Calibri"/>
                <w:sz w:val="20"/>
              </w:rPr>
            </w:pPr>
            <w:r w:rsidRPr="00DA1CCA">
              <w:rPr>
                <w:rFonts w:eastAsia="Calibri" w:cs="Calibri"/>
                <w:sz w:val="20"/>
              </w:rPr>
              <w:t>$34,957.33</w:t>
            </w:r>
          </w:p>
        </w:tc>
        <w:tc>
          <w:tcPr>
            <w:tcW w:w="757" w:type="pct"/>
            <w:tcBorders>
              <w:top w:val="single" w:sz="4" w:space="0" w:color="auto"/>
              <w:left w:val="single" w:sz="4" w:space="0" w:color="auto"/>
              <w:bottom w:val="single" w:sz="4" w:space="0" w:color="auto"/>
              <w:right w:val="single" w:sz="4" w:space="0" w:color="auto"/>
            </w:tcBorders>
            <w:vAlign w:val="bottom"/>
            <w:hideMark/>
          </w:tcPr>
          <w:p w14:paraId="7D55BB63" w14:textId="3B3FE0C2" w:rsidR="00250FA5" w:rsidRPr="00DA1CCA" w:rsidRDefault="00135ED1" w:rsidP="00250FA5">
            <w:pPr>
              <w:keepNext/>
              <w:keepLines/>
              <w:tabs>
                <w:tab w:val="decimal" w:pos="396"/>
              </w:tabs>
              <w:spacing w:before="0" w:after="0"/>
              <w:jc w:val="center"/>
              <w:rPr>
                <w:rFonts w:eastAsia="Calibri"/>
                <w:bCs/>
                <w:sz w:val="20"/>
              </w:rPr>
            </w:pPr>
            <w:r w:rsidRPr="00DA1CCA">
              <w:rPr>
                <w:rFonts w:eastAsia="Calibri"/>
                <w:sz w:val="20"/>
              </w:rPr>
              <w:t>$redacted</w:t>
            </w:r>
          </w:p>
        </w:tc>
      </w:tr>
      <w:tr w:rsidR="00250FA5" w:rsidRPr="00250FA5" w14:paraId="4A91863F" w14:textId="77777777" w:rsidTr="1134720A">
        <w:tc>
          <w:tcPr>
            <w:tcW w:w="1250" w:type="pct"/>
            <w:tcBorders>
              <w:top w:val="single" w:sz="4" w:space="0" w:color="auto"/>
              <w:left w:val="single" w:sz="4" w:space="0" w:color="auto"/>
              <w:bottom w:val="single" w:sz="4" w:space="0" w:color="auto"/>
              <w:right w:val="single" w:sz="4" w:space="0" w:color="auto"/>
            </w:tcBorders>
            <w:hideMark/>
          </w:tcPr>
          <w:p w14:paraId="4E6F9313" w14:textId="77777777" w:rsidR="00250FA5" w:rsidRPr="00D61853" w:rsidRDefault="00250FA5" w:rsidP="00250FA5">
            <w:pPr>
              <w:keepNext/>
              <w:keepLines/>
              <w:spacing w:before="0" w:after="0"/>
              <w:jc w:val="left"/>
              <w:rPr>
                <w:rFonts w:eastAsia="Calibri"/>
                <w:sz w:val="20"/>
              </w:rPr>
            </w:pPr>
            <w:r w:rsidRPr="00D61853">
              <w:rPr>
                <w:rFonts w:eastAsia="Calibri"/>
                <w:sz w:val="20"/>
              </w:rPr>
              <w:t>LY</w:t>
            </w:r>
          </w:p>
        </w:tc>
        <w:tc>
          <w:tcPr>
            <w:tcW w:w="1577" w:type="pct"/>
            <w:tcBorders>
              <w:top w:val="single" w:sz="4" w:space="0" w:color="auto"/>
              <w:left w:val="single" w:sz="4" w:space="0" w:color="auto"/>
              <w:bottom w:val="single" w:sz="4" w:space="0" w:color="auto"/>
              <w:right w:val="single" w:sz="4" w:space="0" w:color="auto"/>
            </w:tcBorders>
            <w:vAlign w:val="center"/>
            <w:hideMark/>
          </w:tcPr>
          <w:p w14:paraId="296A1D6A"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1.8893</w:t>
            </w:r>
          </w:p>
        </w:tc>
        <w:tc>
          <w:tcPr>
            <w:tcW w:w="1416" w:type="pct"/>
            <w:tcBorders>
              <w:top w:val="single" w:sz="4" w:space="0" w:color="auto"/>
              <w:left w:val="single" w:sz="4" w:space="0" w:color="auto"/>
              <w:bottom w:val="single" w:sz="4" w:space="0" w:color="auto"/>
              <w:right w:val="single" w:sz="4" w:space="0" w:color="auto"/>
            </w:tcBorders>
            <w:vAlign w:val="center"/>
            <w:hideMark/>
          </w:tcPr>
          <w:p w14:paraId="66F7395B"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1.2796</w:t>
            </w:r>
          </w:p>
        </w:tc>
        <w:tc>
          <w:tcPr>
            <w:tcW w:w="757" w:type="pct"/>
            <w:tcBorders>
              <w:top w:val="single" w:sz="4" w:space="0" w:color="auto"/>
              <w:left w:val="single" w:sz="4" w:space="0" w:color="auto"/>
              <w:bottom w:val="single" w:sz="4" w:space="0" w:color="auto"/>
              <w:right w:val="single" w:sz="4" w:space="0" w:color="auto"/>
            </w:tcBorders>
            <w:vAlign w:val="bottom"/>
            <w:hideMark/>
          </w:tcPr>
          <w:p w14:paraId="35604DB2" w14:textId="77777777" w:rsidR="00250FA5" w:rsidRPr="00DA1CCA" w:rsidRDefault="00250FA5" w:rsidP="00250FA5">
            <w:pPr>
              <w:keepNext/>
              <w:keepLines/>
              <w:tabs>
                <w:tab w:val="decimal" w:pos="396"/>
              </w:tabs>
              <w:spacing w:before="0" w:after="0"/>
              <w:jc w:val="center"/>
              <w:rPr>
                <w:rFonts w:eastAsia="Calibri" w:cs="Calibri"/>
                <w:bCs/>
                <w:sz w:val="20"/>
              </w:rPr>
            </w:pPr>
            <w:r w:rsidRPr="00DA1CCA">
              <w:rPr>
                <w:rFonts w:eastAsia="Calibri" w:cs="Calibri"/>
                <w:bCs/>
                <w:sz w:val="20"/>
              </w:rPr>
              <w:t>0.6098</w:t>
            </w:r>
          </w:p>
        </w:tc>
      </w:tr>
      <w:tr w:rsidR="00250FA5" w:rsidRPr="00250FA5" w14:paraId="1E534103" w14:textId="77777777" w:rsidTr="1134720A">
        <w:tc>
          <w:tcPr>
            <w:tcW w:w="1250" w:type="pct"/>
            <w:tcBorders>
              <w:top w:val="single" w:sz="4" w:space="0" w:color="auto"/>
              <w:left w:val="single" w:sz="4" w:space="0" w:color="auto"/>
              <w:bottom w:val="single" w:sz="4" w:space="0" w:color="auto"/>
              <w:right w:val="single" w:sz="4" w:space="0" w:color="auto"/>
            </w:tcBorders>
            <w:hideMark/>
          </w:tcPr>
          <w:p w14:paraId="4BD7FDE5" w14:textId="77777777" w:rsidR="00250FA5" w:rsidRPr="00D61853" w:rsidRDefault="00250FA5" w:rsidP="00250FA5">
            <w:pPr>
              <w:keepNext/>
              <w:keepLines/>
              <w:spacing w:before="0" w:after="0"/>
              <w:jc w:val="left"/>
              <w:rPr>
                <w:rFonts w:eastAsia="Calibri" w:cs="Arial"/>
                <w:sz w:val="20"/>
              </w:rPr>
            </w:pPr>
            <w:r w:rsidRPr="00D61853">
              <w:rPr>
                <w:rFonts w:eastAsia="Calibri"/>
                <w:sz w:val="20"/>
              </w:rPr>
              <w:t>QALY</w:t>
            </w:r>
          </w:p>
        </w:tc>
        <w:tc>
          <w:tcPr>
            <w:tcW w:w="1577" w:type="pct"/>
            <w:tcBorders>
              <w:top w:val="single" w:sz="4" w:space="0" w:color="auto"/>
              <w:left w:val="single" w:sz="4" w:space="0" w:color="auto"/>
              <w:bottom w:val="single" w:sz="4" w:space="0" w:color="auto"/>
              <w:right w:val="single" w:sz="4" w:space="0" w:color="auto"/>
            </w:tcBorders>
            <w:vAlign w:val="center"/>
            <w:hideMark/>
          </w:tcPr>
          <w:p w14:paraId="38342052" w14:textId="77777777" w:rsidR="00250FA5" w:rsidRPr="00DA1CCA" w:rsidRDefault="00250FA5" w:rsidP="00250FA5">
            <w:pPr>
              <w:keepNext/>
              <w:keepLines/>
              <w:tabs>
                <w:tab w:val="decimal" w:pos="396"/>
              </w:tabs>
              <w:spacing w:before="0" w:after="0"/>
              <w:jc w:val="center"/>
              <w:rPr>
                <w:rFonts w:eastAsia="Calibri"/>
                <w:sz w:val="20"/>
              </w:rPr>
            </w:pPr>
            <w:r w:rsidRPr="00DA1CCA">
              <w:rPr>
                <w:rFonts w:eastAsia="Calibri" w:cs="Calibri"/>
                <w:sz w:val="20"/>
              </w:rPr>
              <w:t>1.4117</w:t>
            </w:r>
          </w:p>
        </w:tc>
        <w:tc>
          <w:tcPr>
            <w:tcW w:w="1416" w:type="pct"/>
            <w:tcBorders>
              <w:top w:val="single" w:sz="4" w:space="0" w:color="auto"/>
              <w:left w:val="single" w:sz="4" w:space="0" w:color="auto"/>
              <w:bottom w:val="single" w:sz="4" w:space="0" w:color="auto"/>
              <w:right w:val="single" w:sz="4" w:space="0" w:color="auto"/>
            </w:tcBorders>
            <w:vAlign w:val="center"/>
            <w:hideMark/>
          </w:tcPr>
          <w:p w14:paraId="42C8B35E"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0.9622</w:t>
            </w:r>
          </w:p>
        </w:tc>
        <w:tc>
          <w:tcPr>
            <w:tcW w:w="757" w:type="pct"/>
            <w:tcBorders>
              <w:top w:val="single" w:sz="4" w:space="0" w:color="auto"/>
              <w:left w:val="single" w:sz="4" w:space="0" w:color="auto"/>
              <w:bottom w:val="single" w:sz="4" w:space="0" w:color="auto"/>
              <w:right w:val="single" w:sz="4" w:space="0" w:color="auto"/>
            </w:tcBorders>
            <w:vAlign w:val="bottom"/>
            <w:hideMark/>
          </w:tcPr>
          <w:p w14:paraId="2896053A" w14:textId="77777777" w:rsidR="00250FA5" w:rsidRPr="00DA1CCA" w:rsidRDefault="00250FA5" w:rsidP="00250FA5">
            <w:pPr>
              <w:keepNext/>
              <w:keepLines/>
              <w:tabs>
                <w:tab w:val="decimal" w:pos="396"/>
              </w:tabs>
              <w:spacing w:before="0" w:after="0"/>
              <w:jc w:val="center"/>
              <w:rPr>
                <w:rFonts w:eastAsia="Calibri" w:cs="Calibri"/>
                <w:bCs/>
                <w:sz w:val="20"/>
              </w:rPr>
            </w:pPr>
            <w:r w:rsidRPr="00DA1CCA">
              <w:rPr>
                <w:rFonts w:eastAsia="Calibri" w:cs="Calibri"/>
                <w:bCs/>
                <w:sz w:val="20"/>
              </w:rPr>
              <w:t>0.4495</w:t>
            </w:r>
          </w:p>
        </w:tc>
      </w:tr>
      <w:tr w:rsidR="00250FA5" w:rsidRPr="00250FA5" w14:paraId="1AA29683" w14:textId="77777777" w:rsidTr="1134720A">
        <w:tc>
          <w:tcPr>
            <w:tcW w:w="4243" w:type="pct"/>
            <w:gridSpan w:val="3"/>
            <w:tcBorders>
              <w:top w:val="single" w:sz="4" w:space="0" w:color="auto"/>
              <w:left w:val="single" w:sz="4" w:space="0" w:color="auto"/>
              <w:bottom w:val="single" w:sz="4" w:space="0" w:color="auto"/>
              <w:right w:val="single" w:sz="4" w:space="0" w:color="auto"/>
            </w:tcBorders>
            <w:vAlign w:val="center"/>
          </w:tcPr>
          <w:p w14:paraId="7AF1D9BE" w14:textId="77777777" w:rsidR="00250FA5" w:rsidRPr="00DA1CCA" w:rsidRDefault="00250FA5" w:rsidP="00250FA5">
            <w:pPr>
              <w:keepNext/>
              <w:keepLines/>
              <w:tabs>
                <w:tab w:val="decimal" w:pos="396"/>
              </w:tabs>
              <w:spacing w:before="0" w:after="0"/>
              <w:jc w:val="right"/>
              <w:rPr>
                <w:rFonts w:eastAsia="Calibri" w:cs="Calibri"/>
                <w:sz w:val="20"/>
              </w:rPr>
            </w:pPr>
            <w:r w:rsidRPr="00DA1CCA">
              <w:rPr>
                <w:rFonts w:eastAsia="Calibri"/>
                <w:sz w:val="20"/>
              </w:rPr>
              <w:t>Weighted incremental cost per LY gained</w:t>
            </w:r>
          </w:p>
        </w:tc>
        <w:tc>
          <w:tcPr>
            <w:tcW w:w="757" w:type="pct"/>
            <w:tcBorders>
              <w:top w:val="single" w:sz="4" w:space="0" w:color="auto"/>
              <w:left w:val="single" w:sz="4" w:space="0" w:color="auto"/>
              <w:bottom w:val="single" w:sz="4" w:space="0" w:color="auto"/>
              <w:right w:val="single" w:sz="4" w:space="0" w:color="auto"/>
            </w:tcBorders>
          </w:tcPr>
          <w:p w14:paraId="2B3B3D12" w14:textId="1C9E3457" w:rsidR="00250FA5" w:rsidRPr="00DA1CCA" w:rsidRDefault="00FC0301" w:rsidP="00250FA5">
            <w:pPr>
              <w:keepNext/>
              <w:keepLines/>
              <w:tabs>
                <w:tab w:val="decimal" w:pos="396"/>
              </w:tabs>
              <w:spacing w:before="0" w:after="0"/>
              <w:jc w:val="center"/>
              <w:rPr>
                <w:rFonts w:eastAsia="Calibri" w:cs="Calibri"/>
                <w:bCs/>
                <w:sz w:val="20"/>
              </w:rPr>
            </w:pPr>
            <w:r w:rsidRPr="00DA1CCA">
              <w:rPr>
                <w:rFonts w:eastAsia="Calibri"/>
                <w:sz w:val="20"/>
              </w:rPr>
              <w:t xml:space="preserve">$redacted </w:t>
            </w:r>
            <w:r w:rsidRPr="00DA1CCA">
              <w:rPr>
                <w:rFonts w:eastAsia="Calibri"/>
                <w:sz w:val="20"/>
                <w:vertAlign w:val="superscript"/>
              </w:rPr>
              <w:t>1</w:t>
            </w:r>
          </w:p>
        </w:tc>
      </w:tr>
      <w:tr w:rsidR="00250FA5" w:rsidRPr="00250FA5" w14:paraId="35307AF5" w14:textId="77777777" w:rsidTr="1134720A">
        <w:tc>
          <w:tcPr>
            <w:tcW w:w="4243" w:type="pct"/>
            <w:gridSpan w:val="3"/>
            <w:tcBorders>
              <w:top w:val="single" w:sz="4" w:space="0" w:color="auto"/>
              <w:left w:val="single" w:sz="4" w:space="0" w:color="auto"/>
              <w:bottom w:val="single" w:sz="4" w:space="0" w:color="auto"/>
              <w:right w:val="single" w:sz="4" w:space="0" w:color="auto"/>
            </w:tcBorders>
            <w:vAlign w:val="center"/>
          </w:tcPr>
          <w:p w14:paraId="6A74D131" w14:textId="77777777" w:rsidR="00250FA5" w:rsidRPr="00DA1CCA" w:rsidRDefault="00250FA5" w:rsidP="00250FA5">
            <w:pPr>
              <w:keepNext/>
              <w:keepLines/>
              <w:tabs>
                <w:tab w:val="decimal" w:pos="396"/>
              </w:tabs>
              <w:spacing w:before="0" w:after="0"/>
              <w:jc w:val="right"/>
              <w:rPr>
                <w:rFonts w:eastAsia="Calibri" w:cs="Calibri"/>
                <w:sz w:val="20"/>
              </w:rPr>
            </w:pPr>
            <w:r w:rsidRPr="00DA1CCA">
              <w:rPr>
                <w:rFonts w:eastAsia="Calibri"/>
                <w:b/>
                <w:bCs/>
                <w:sz w:val="20"/>
              </w:rPr>
              <w:t>Weighted incremental cost per QALY gained</w:t>
            </w:r>
          </w:p>
        </w:tc>
        <w:tc>
          <w:tcPr>
            <w:tcW w:w="757" w:type="pct"/>
            <w:tcBorders>
              <w:top w:val="single" w:sz="4" w:space="0" w:color="auto"/>
              <w:left w:val="single" w:sz="4" w:space="0" w:color="auto"/>
              <w:bottom w:val="single" w:sz="4" w:space="0" w:color="auto"/>
              <w:right w:val="single" w:sz="4" w:space="0" w:color="auto"/>
            </w:tcBorders>
          </w:tcPr>
          <w:p w14:paraId="1E8A2815" w14:textId="7C4ABA7B" w:rsidR="00250FA5" w:rsidRPr="00DA1CCA" w:rsidRDefault="00FC0301" w:rsidP="00250FA5">
            <w:pPr>
              <w:keepNext/>
              <w:keepLines/>
              <w:tabs>
                <w:tab w:val="decimal" w:pos="396"/>
              </w:tabs>
              <w:spacing w:before="0" w:after="0"/>
              <w:jc w:val="center"/>
              <w:rPr>
                <w:rFonts w:eastAsia="Calibri" w:cs="Calibri"/>
                <w:bCs/>
                <w:sz w:val="20"/>
              </w:rPr>
            </w:pPr>
            <w:r w:rsidRPr="00DA1CCA">
              <w:rPr>
                <w:rFonts w:eastAsia="Calibri"/>
                <w:b/>
                <w:bCs/>
                <w:sz w:val="20"/>
              </w:rPr>
              <w:t>$redacted </w:t>
            </w:r>
            <w:r w:rsidRPr="00DA1CCA">
              <w:rPr>
                <w:rFonts w:eastAsia="Calibri"/>
                <w:b/>
                <w:bCs/>
                <w:sz w:val="20"/>
                <w:vertAlign w:val="superscript"/>
              </w:rPr>
              <w:t>2</w:t>
            </w:r>
          </w:p>
        </w:tc>
      </w:tr>
      <w:tr w:rsidR="00250FA5" w:rsidRPr="00250FA5" w14:paraId="678B6E5A" w14:textId="77777777" w:rsidTr="1134720A">
        <w:tc>
          <w:tcPr>
            <w:tcW w:w="5000" w:type="pct"/>
            <w:gridSpan w:val="4"/>
            <w:tcBorders>
              <w:top w:val="single" w:sz="4" w:space="0" w:color="auto"/>
              <w:left w:val="single" w:sz="4" w:space="0" w:color="auto"/>
              <w:bottom w:val="single" w:sz="4" w:space="0" w:color="auto"/>
              <w:right w:val="single" w:sz="4" w:space="0" w:color="auto"/>
            </w:tcBorders>
            <w:vAlign w:val="center"/>
          </w:tcPr>
          <w:p w14:paraId="1FE9CDDE" w14:textId="77777777" w:rsidR="00250FA5" w:rsidRPr="00DA1CCA" w:rsidRDefault="00250FA5" w:rsidP="00250FA5">
            <w:pPr>
              <w:keepNext/>
              <w:keepLines/>
              <w:tabs>
                <w:tab w:val="decimal" w:pos="396"/>
              </w:tabs>
              <w:spacing w:before="0" w:after="0"/>
              <w:jc w:val="left"/>
              <w:rPr>
                <w:rFonts w:eastAsia="Calibri" w:cs="Calibri"/>
                <w:b/>
                <w:sz w:val="20"/>
              </w:rPr>
            </w:pPr>
            <w:r w:rsidRPr="00DA1CCA">
              <w:rPr>
                <w:rFonts w:eastAsia="Calibri" w:cs="Calibri"/>
                <w:b/>
                <w:sz w:val="20"/>
              </w:rPr>
              <w:t>Pre-ESC response</w:t>
            </w:r>
          </w:p>
        </w:tc>
      </w:tr>
      <w:tr w:rsidR="00250FA5" w:rsidRPr="00250FA5" w14:paraId="2B87B10C" w14:textId="77777777" w:rsidTr="1134720A">
        <w:tc>
          <w:tcPr>
            <w:tcW w:w="5000" w:type="pct"/>
            <w:gridSpan w:val="4"/>
            <w:tcBorders>
              <w:top w:val="single" w:sz="4" w:space="0" w:color="auto"/>
              <w:left w:val="single" w:sz="4" w:space="0" w:color="auto"/>
              <w:bottom w:val="single" w:sz="4" w:space="0" w:color="auto"/>
              <w:right w:val="single" w:sz="4" w:space="0" w:color="auto"/>
            </w:tcBorders>
          </w:tcPr>
          <w:p w14:paraId="6B154F14" w14:textId="77777777" w:rsidR="00250FA5" w:rsidRPr="00DA1CCA" w:rsidRDefault="00250FA5" w:rsidP="00250FA5">
            <w:pPr>
              <w:keepNext/>
              <w:keepLines/>
              <w:tabs>
                <w:tab w:val="decimal" w:pos="396"/>
              </w:tabs>
              <w:spacing w:before="0" w:after="0"/>
              <w:jc w:val="left"/>
              <w:rPr>
                <w:rFonts w:eastAsia="Calibri" w:cs="Calibri"/>
                <w:bCs/>
                <w:sz w:val="20"/>
              </w:rPr>
            </w:pPr>
            <w:r w:rsidRPr="00DA1CCA">
              <w:rPr>
                <w:rFonts w:eastAsia="Calibri"/>
                <w:sz w:val="20"/>
              </w:rPr>
              <w:t>Pembrolizumab plus chemotherapy vs SoC (CPS≥ 1)</w:t>
            </w:r>
          </w:p>
        </w:tc>
      </w:tr>
      <w:tr w:rsidR="00250FA5" w:rsidRPr="00250FA5" w14:paraId="37056DE1" w14:textId="77777777" w:rsidTr="1134720A">
        <w:tc>
          <w:tcPr>
            <w:tcW w:w="1250" w:type="pct"/>
            <w:tcBorders>
              <w:top w:val="single" w:sz="4" w:space="0" w:color="auto"/>
              <w:left w:val="single" w:sz="4" w:space="0" w:color="auto"/>
              <w:bottom w:val="single" w:sz="4" w:space="0" w:color="auto"/>
              <w:right w:val="single" w:sz="4" w:space="0" w:color="auto"/>
            </w:tcBorders>
          </w:tcPr>
          <w:p w14:paraId="0F9FD9BA" w14:textId="77777777" w:rsidR="00250FA5" w:rsidRPr="00250FA5" w:rsidRDefault="00250FA5" w:rsidP="00250FA5">
            <w:pPr>
              <w:keepNext/>
              <w:keepLines/>
              <w:spacing w:before="0" w:after="0"/>
              <w:jc w:val="left"/>
              <w:rPr>
                <w:rFonts w:eastAsia="Calibri"/>
                <w:sz w:val="20"/>
              </w:rPr>
            </w:pPr>
            <w:r w:rsidRPr="00250FA5">
              <w:rPr>
                <w:rFonts w:eastAsia="Calibri"/>
                <w:sz w:val="20"/>
              </w:rPr>
              <w:t>Cost</w:t>
            </w:r>
          </w:p>
        </w:tc>
        <w:tc>
          <w:tcPr>
            <w:tcW w:w="1577" w:type="pct"/>
            <w:tcBorders>
              <w:top w:val="single" w:sz="4" w:space="0" w:color="auto"/>
              <w:left w:val="single" w:sz="4" w:space="0" w:color="auto"/>
              <w:bottom w:val="single" w:sz="4" w:space="0" w:color="auto"/>
              <w:right w:val="single" w:sz="4" w:space="0" w:color="auto"/>
            </w:tcBorders>
            <w:vAlign w:val="center"/>
          </w:tcPr>
          <w:p w14:paraId="0270692D"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1416" w:type="pct"/>
            <w:tcBorders>
              <w:top w:val="single" w:sz="4" w:space="0" w:color="auto"/>
              <w:left w:val="single" w:sz="4" w:space="0" w:color="auto"/>
              <w:bottom w:val="single" w:sz="4" w:space="0" w:color="auto"/>
              <w:right w:val="single" w:sz="4" w:space="0" w:color="auto"/>
            </w:tcBorders>
            <w:vAlign w:val="center"/>
          </w:tcPr>
          <w:p w14:paraId="2D7F8418"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757" w:type="pct"/>
            <w:tcBorders>
              <w:top w:val="single" w:sz="4" w:space="0" w:color="auto"/>
              <w:left w:val="single" w:sz="4" w:space="0" w:color="auto"/>
              <w:bottom w:val="single" w:sz="4" w:space="0" w:color="auto"/>
              <w:right w:val="single" w:sz="4" w:space="0" w:color="auto"/>
            </w:tcBorders>
            <w:vAlign w:val="bottom"/>
          </w:tcPr>
          <w:p w14:paraId="0FFB4EA9" w14:textId="59E0E875" w:rsidR="00250FA5" w:rsidRPr="00DA1CCA" w:rsidRDefault="00135ED1" w:rsidP="00250FA5">
            <w:pPr>
              <w:keepNext/>
              <w:keepLines/>
              <w:tabs>
                <w:tab w:val="decimal" w:pos="396"/>
              </w:tabs>
              <w:spacing w:before="0" w:after="0"/>
              <w:jc w:val="center"/>
              <w:rPr>
                <w:rFonts w:eastAsia="Calibri" w:cs="Calibri"/>
                <w:bCs/>
                <w:sz w:val="20"/>
              </w:rPr>
            </w:pPr>
            <w:r w:rsidRPr="00DA1CCA">
              <w:rPr>
                <w:rFonts w:eastAsia="Calibri"/>
                <w:sz w:val="20"/>
              </w:rPr>
              <w:t>$redacted</w:t>
            </w:r>
          </w:p>
        </w:tc>
      </w:tr>
      <w:tr w:rsidR="00250FA5" w:rsidRPr="00250FA5" w14:paraId="2EC8E717" w14:textId="77777777" w:rsidTr="1134720A">
        <w:tc>
          <w:tcPr>
            <w:tcW w:w="1250" w:type="pct"/>
            <w:tcBorders>
              <w:top w:val="single" w:sz="4" w:space="0" w:color="auto"/>
              <w:left w:val="single" w:sz="4" w:space="0" w:color="auto"/>
              <w:bottom w:val="single" w:sz="4" w:space="0" w:color="auto"/>
              <w:right w:val="single" w:sz="4" w:space="0" w:color="auto"/>
            </w:tcBorders>
          </w:tcPr>
          <w:p w14:paraId="66552B53" w14:textId="77777777" w:rsidR="00250FA5" w:rsidRPr="00250FA5" w:rsidRDefault="00250FA5" w:rsidP="00250FA5">
            <w:pPr>
              <w:keepNext/>
              <w:keepLines/>
              <w:spacing w:before="0" w:after="0"/>
              <w:jc w:val="left"/>
              <w:rPr>
                <w:rFonts w:eastAsia="Calibri"/>
                <w:sz w:val="20"/>
              </w:rPr>
            </w:pPr>
            <w:r w:rsidRPr="00250FA5">
              <w:rPr>
                <w:rFonts w:eastAsia="Calibri"/>
                <w:sz w:val="20"/>
              </w:rPr>
              <w:t>LY</w:t>
            </w:r>
          </w:p>
        </w:tc>
        <w:tc>
          <w:tcPr>
            <w:tcW w:w="1577" w:type="pct"/>
            <w:tcBorders>
              <w:top w:val="single" w:sz="4" w:space="0" w:color="auto"/>
              <w:left w:val="single" w:sz="4" w:space="0" w:color="auto"/>
              <w:bottom w:val="single" w:sz="4" w:space="0" w:color="auto"/>
              <w:right w:val="single" w:sz="4" w:space="0" w:color="auto"/>
            </w:tcBorders>
            <w:vAlign w:val="center"/>
          </w:tcPr>
          <w:p w14:paraId="6C6C0024"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1416" w:type="pct"/>
            <w:tcBorders>
              <w:top w:val="single" w:sz="4" w:space="0" w:color="auto"/>
              <w:left w:val="single" w:sz="4" w:space="0" w:color="auto"/>
              <w:bottom w:val="single" w:sz="4" w:space="0" w:color="auto"/>
              <w:right w:val="single" w:sz="4" w:space="0" w:color="auto"/>
            </w:tcBorders>
            <w:vAlign w:val="center"/>
          </w:tcPr>
          <w:p w14:paraId="064E61FD"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0811D299" w14:textId="77777777" w:rsidR="00250FA5" w:rsidRPr="00DA1CCA" w:rsidRDefault="00250FA5" w:rsidP="00250FA5">
            <w:pPr>
              <w:keepNext/>
              <w:keepLines/>
              <w:tabs>
                <w:tab w:val="decimal" w:pos="396"/>
              </w:tabs>
              <w:spacing w:before="0" w:after="0"/>
              <w:jc w:val="center"/>
              <w:rPr>
                <w:rFonts w:eastAsia="Calibri" w:cs="Calibri"/>
                <w:bCs/>
                <w:sz w:val="20"/>
              </w:rPr>
            </w:pPr>
            <w:r w:rsidRPr="00DA1CCA">
              <w:rPr>
                <w:rFonts w:eastAsia="Calibri" w:cs="Calibri"/>
                <w:sz w:val="20"/>
              </w:rPr>
              <w:t>0.8258</w:t>
            </w:r>
          </w:p>
        </w:tc>
      </w:tr>
      <w:tr w:rsidR="00250FA5" w:rsidRPr="00250FA5" w14:paraId="5002BC00" w14:textId="77777777" w:rsidTr="1134720A">
        <w:tc>
          <w:tcPr>
            <w:tcW w:w="1250" w:type="pct"/>
            <w:tcBorders>
              <w:top w:val="single" w:sz="4" w:space="0" w:color="auto"/>
              <w:left w:val="single" w:sz="4" w:space="0" w:color="auto"/>
              <w:bottom w:val="single" w:sz="4" w:space="0" w:color="auto"/>
              <w:right w:val="single" w:sz="4" w:space="0" w:color="auto"/>
            </w:tcBorders>
          </w:tcPr>
          <w:p w14:paraId="6C5616F9" w14:textId="77777777" w:rsidR="00250FA5" w:rsidRPr="00250FA5" w:rsidRDefault="00250FA5" w:rsidP="00250FA5">
            <w:pPr>
              <w:keepNext/>
              <w:keepLines/>
              <w:spacing w:before="0" w:after="0"/>
              <w:jc w:val="left"/>
              <w:rPr>
                <w:rFonts w:eastAsia="Calibri"/>
                <w:sz w:val="20"/>
              </w:rPr>
            </w:pPr>
            <w:r w:rsidRPr="00250FA5">
              <w:rPr>
                <w:rFonts w:eastAsia="Calibri"/>
                <w:sz w:val="20"/>
              </w:rPr>
              <w:t>QALY</w:t>
            </w:r>
          </w:p>
        </w:tc>
        <w:tc>
          <w:tcPr>
            <w:tcW w:w="1577" w:type="pct"/>
            <w:tcBorders>
              <w:top w:val="single" w:sz="4" w:space="0" w:color="auto"/>
              <w:left w:val="single" w:sz="4" w:space="0" w:color="auto"/>
              <w:bottom w:val="single" w:sz="4" w:space="0" w:color="auto"/>
              <w:right w:val="single" w:sz="4" w:space="0" w:color="auto"/>
            </w:tcBorders>
            <w:vAlign w:val="center"/>
          </w:tcPr>
          <w:p w14:paraId="3DBC4272"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1416" w:type="pct"/>
            <w:tcBorders>
              <w:top w:val="single" w:sz="4" w:space="0" w:color="auto"/>
              <w:left w:val="single" w:sz="4" w:space="0" w:color="auto"/>
              <w:bottom w:val="single" w:sz="4" w:space="0" w:color="auto"/>
              <w:right w:val="single" w:sz="4" w:space="0" w:color="auto"/>
            </w:tcBorders>
            <w:vAlign w:val="center"/>
          </w:tcPr>
          <w:p w14:paraId="7A4DF025"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B02A864" w14:textId="77777777" w:rsidR="00250FA5" w:rsidRPr="00DA1CCA" w:rsidRDefault="00250FA5" w:rsidP="00250FA5">
            <w:pPr>
              <w:keepNext/>
              <w:keepLines/>
              <w:tabs>
                <w:tab w:val="decimal" w:pos="396"/>
              </w:tabs>
              <w:spacing w:before="0" w:after="0"/>
              <w:jc w:val="center"/>
              <w:rPr>
                <w:rFonts w:eastAsia="Calibri" w:cs="Calibri"/>
                <w:bCs/>
                <w:sz w:val="20"/>
              </w:rPr>
            </w:pPr>
            <w:r w:rsidRPr="00DA1CCA">
              <w:rPr>
                <w:rFonts w:eastAsia="Calibri" w:cs="Calibri"/>
                <w:sz w:val="20"/>
              </w:rPr>
              <w:t>0.6043</w:t>
            </w:r>
          </w:p>
        </w:tc>
      </w:tr>
      <w:tr w:rsidR="00250FA5" w:rsidRPr="00250FA5" w14:paraId="654F4DFA" w14:textId="77777777" w:rsidTr="1134720A">
        <w:tc>
          <w:tcPr>
            <w:tcW w:w="4243" w:type="pct"/>
            <w:gridSpan w:val="3"/>
            <w:tcBorders>
              <w:top w:val="single" w:sz="4" w:space="0" w:color="auto"/>
              <w:left w:val="single" w:sz="4" w:space="0" w:color="auto"/>
              <w:bottom w:val="single" w:sz="4" w:space="0" w:color="auto"/>
              <w:right w:val="single" w:sz="4" w:space="0" w:color="auto"/>
            </w:tcBorders>
            <w:vAlign w:val="center"/>
          </w:tcPr>
          <w:p w14:paraId="13F32445" w14:textId="77777777" w:rsidR="00250FA5" w:rsidRPr="00DA1CCA" w:rsidRDefault="00250FA5" w:rsidP="00250FA5">
            <w:pPr>
              <w:keepNext/>
              <w:keepLines/>
              <w:tabs>
                <w:tab w:val="decimal" w:pos="396"/>
              </w:tabs>
              <w:spacing w:before="0" w:after="0"/>
              <w:jc w:val="right"/>
              <w:rPr>
                <w:rFonts w:eastAsia="Calibri" w:cs="Calibri"/>
                <w:sz w:val="20"/>
              </w:rPr>
            </w:pPr>
            <w:r w:rsidRPr="00DA1CCA">
              <w:rPr>
                <w:rFonts w:eastAsia="Calibri"/>
                <w:sz w:val="20"/>
              </w:rPr>
              <w:t>Weighted incremental cost per LY gained</w:t>
            </w:r>
          </w:p>
        </w:tc>
        <w:tc>
          <w:tcPr>
            <w:tcW w:w="757" w:type="pct"/>
            <w:tcBorders>
              <w:top w:val="single" w:sz="4" w:space="0" w:color="auto"/>
              <w:left w:val="single" w:sz="4" w:space="0" w:color="auto"/>
              <w:bottom w:val="single" w:sz="4" w:space="0" w:color="auto"/>
              <w:right w:val="single" w:sz="4" w:space="0" w:color="auto"/>
            </w:tcBorders>
            <w:vAlign w:val="center"/>
          </w:tcPr>
          <w:p w14:paraId="71C31D7E" w14:textId="2442C060" w:rsidR="00250FA5" w:rsidRPr="00DA1CCA" w:rsidRDefault="00FC0301" w:rsidP="00250FA5">
            <w:pPr>
              <w:keepNext/>
              <w:keepLines/>
              <w:tabs>
                <w:tab w:val="decimal" w:pos="396"/>
              </w:tabs>
              <w:spacing w:before="0" w:after="0"/>
              <w:jc w:val="center"/>
              <w:rPr>
                <w:rFonts w:eastAsia="Calibri" w:cs="Calibri"/>
                <w:bCs/>
                <w:sz w:val="20"/>
                <w:vertAlign w:val="superscript"/>
              </w:rPr>
            </w:pPr>
            <w:r w:rsidRPr="00DA1CCA">
              <w:rPr>
                <w:sz w:val="20"/>
              </w:rPr>
              <w:t xml:space="preserve">$redacted </w:t>
            </w:r>
            <w:r w:rsidRPr="00DA1CCA">
              <w:rPr>
                <w:sz w:val="20"/>
                <w:vertAlign w:val="superscript"/>
              </w:rPr>
              <w:t>4</w:t>
            </w:r>
          </w:p>
        </w:tc>
      </w:tr>
      <w:tr w:rsidR="00250FA5" w:rsidRPr="00250FA5" w14:paraId="43FE6403" w14:textId="77777777" w:rsidTr="1134720A">
        <w:tc>
          <w:tcPr>
            <w:tcW w:w="4243" w:type="pct"/>
            <w:gridSpan w:val="3"/>
            <w:tcBorders>
              <w:top w:val="single" w:sz="4" w:space="0" w:color="auto"/>
              <w:left w:val="single" w:sz="4" w:space="0" w:color="auto"/>
              <w:bottom w:val="single" w:sz="4" w:space="0" w:color="auto"/>
              <w:right w:val="single" w:sz="4" w:space="0" w:color="auto"/>
            </w:tcBorders>
            <w:vAlign w:val="center"/>
          </w:tcPr>
          <w:p w14:paraId="2E6F5C8B" w14:textId="77777777" w:rsidR="00250FA5" w:rsidRPr="00DA1CCA" w:rsidRDefault="00250FA5" w:rsidP="00250FA5">
            <w:pPr>
              <w:keepNext/>
              <w:keepLines/>
              <w:tabs>
                <w:tab w:val="decimal" w:pos="396"/>
              </w:tabs>
              <w:spacing w:before="0" w:after="0"/>
              <w:jc w:val="right"/>
              <w:rPr>
                <w:rFonts w:eastAsia="Calibri" w:cs="Calibri"/>
                <w:sz w:val="20"/>
              </w:rPr>
            </w:pPr>
            <w:r w:rsidRPr="00DA1CCA">
              <w:rPr>
                <w:rFonts w:eastAsia="Calibri"/>
                <w:b/>
                <w:bCs/>
                <w:sz w:val="20"/>
              </w:rPr>
              <w:t>Weighted incremental cost per QALY gained</w:t>
            </w:r>
          </w:p>
        </w:tc>
        <w:tc>
          <w:tcPr>
            <w:tcW w:w="757" w:type="pct"/>
            <w:tcBorders>
              <w:top w:val="single" w:sz="4" w:space="0" w:color="auto"/>
              <w:left w:val="single" w:sz="4" w:space="0" w:color="auto"/>
              <w:bottom w:val="single" w:sz="4" w:space="0" w:color="auto"/>
              <w:right w:val="single" w:sz="4" w:space="0" w:color="auto"/>
            </w:tcBorders>
            <w:vAlign w:val="center"/>
          </w:tcPr>
          <w:p w14:paraId="013E097B" w14:textId="2FDADD9F" w:rsidR="00250FA5" w:rsidRPr="00DA1CCA" w:rsidRDefault="00FC0301" w:rsidP="00250FA5">
            <w:pPr>
              <w:keepNext/>
              <w:keepLines/>
              <w:tabs>
                <w:tab w:val="decimal" w:pos="396"/>
              </w:tabs>
              <w:spacing w:before="0" w:after="0"/>
              <w:jc w:val="center"/>
              <w:rPr>
                <w:rFonts w:eastAsia="Calibri" w:cs="Calibri"/>
                <w:b/>
                <w:bCs/>
                <w:sz w:val="20"/>
              </w:rPr>
            </w:pPr>
            <w:r w:rsidRPr="00DA1CCA">
              <w:rPr>
                <w:rFonts w:eastAsia="Calibri"/>
                <w:b/>
                <w:bCs/>
                <w:sz w:val="20"/>
              </w:rPr>
              <w:t>$redacted </w:t>
            </w:r>
            <w:r w:rsidRPr="00DA1CCA">
              <w:rPr>
                <w:rFonts w:eastAsia="Calibri"/>
                <w:b/>
                <w:bCs/>
                <w:sz w:val="20"/>
                <w:vertAlign w:val="superscript"/>
              </w:rPr>
              <w:t>2</w:t>
            </w:r>
          </w:p>
        </w:tc>
      </w:tr>
      <w:tr w:rsidR="00250FA5" w:rsidRPr="00250FA5" w14:paraId="37C67D1F" w14:textId="77777777" w:rsidTr="1134720A">
        <w:tc>
          <w:tcPr>
            <w:tcW w:w="5000" w:type="pct"/>
            <w:gridSpan w:val="4"/>
            <w:tcBorders>
              <w:top w:val="single" w:sz="4" w:space="0" w:color="auto"/>
              <w:left w:val="single" w:sz="4" w:space="0" w:color="auto"/>
              <w:bottom w:val="single" w:sz="4" w:space="0" w:color="auto"/>
              <w:right w:val="single" w:sz="4" w:space="0" w:color="auto"/>
            </w:tcBorders>
            <w:vAlign w:val="center"/>
          </w:tcPr>
          <w:p w14:paraId="114FA701" w14:textId="77777777" w:rsidR="00250FA5" w:rsidRPr="00DA1CCA" w:rsidRDefault="00250FA5" w:rsidP="00250FA5">
            <w:pPr>
              <w:keepNext/>
              <w:keepLines/>
              <w:tabs>
                <w:tab w:val="decimal" w:pos="396"/>
              </w:tabs>
              <w:spacing w:before="0" w:after="0"/>
              <w:jc w:val="left"/>
              <w:rPr>
                <w:rFonts w:eastAsia="Calibri" w:cs="Calibri"/>
                <w:bCs/>
                <w:sz w:val="20"/>
              </w:rPr>
            </w:pPr>
            <w:r w:rsidRPr="00DA1CCA">
              <w:rPr>
                <w:rFonts w:eastAsia="Calibri" w:cs="Calibri"/>
                <w:bCs/>
                <w:sz w:val="20"/>
              </w:rPr>
              <w:t>Pembrolizumab monotherapy vs SoC (CPS ≥20)</w:t>
            </w:r>
          </w:p>
        </w:tc>
      </w:tr>
      <w:tr w:rsidR="00250FA5" w:rsidRPr="00250FA5" w14:paraId="09AFE8B0" w14:textId="77777777" w:rsidTr="1134720A">
        <w:tc>
          <w:tcPr>
            <w:tcW w:w="1250" w:type="pct"/>
            <w:tcBorders>
              <w:top w:val="single" w:sz="4" w:space="0" w:color="auto"/>
              <w:left w:val="single" w:sz="4" w:space="0" w:color="auto"/>
              <w:bottom w:val="single" w:sz="4" w:space="0" w:color="auto"/>
              <w:right w:val="single" w:sz="4" w:space="0" w:color="auto"/>
            </w:tcBorders>
          </w:tcPr>
          <w:p w14:paraId="54BAEB19" w14:textId="77777777" w:rsidR="00250FA5" w:rsidRPr="00250FA5" w:rsidRDefault="00250FA5" w:rsidP="00250FA5">
            <w:pPr>
              <w:keepNext/>
              <w:keepLines/>
              <w:spacing w:before="0" w:after="0"/>
              <w:jc w:val="left"/>
              <w:rPr>
                <w:rFonts w:eastAsia="Calibri"/>
                <w:sz w:val="20"/>
              </w:rPr>
            </w:pPr>
            <w:r w:rsidRPr="00250FA5">
              <w:rPr>
                <w:rFonts w:eastAsia="Calibri"/>
                <w:sz w:val="20"/>
              </w:rPr>
              <w:t>Cost</w:t>
            </w:r>
          </w:p>
        </w:tc>
        <w:tc>
          <w:tcPr>
            <w:tcW w:w="1577" w:type="pct"/>
            <w:tcBorders>
              <w:top w:val="single" w:sz="4" w:space="0" w:color="auto"/>
              <w:left w:val="single" w:sz="4" w:space="0" w:color="auto"/>
              <w:bottom w:val="single" w:sz="4" w:space="0" w:color="auto"/>
              <w:right w:val="single" w:sz="4" w:space="0" w:color="auto"/>
            </w:tcBorders>
            <w:vAlign w:val="center"/>
          </w:tcPr>
          <w:p w14:paraId="21D9F9F2"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1416" w:type="pct"/>
            <w:tcBorders>
              <w:top w:val="single" w:sz="4" w:space="0" w:color="auto"/>
              <w:left w:val="single" w:sz="4" w:space="0" w:color="auto"/>
              <w:bottom w:val="single" w:sz="4" w:space="0" w:color="auto"/>
              <w:right w:val="single" w:sz="4" w:space="0" w:color="auto"/>
            </w:tcBorders>
            <w:vAlign w:val="center"/>
          </w:tcPr>
          <w:p w14:paraId="425686EA"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757" w:type="pct"/>
            <w:tcBorders>
              <w:top w:val="single" w:sz="4" w:space="0" w:color="auto"/>
              <w:left w:val="single" w:sz="4" w:space="0" w:color="auto"/>
              <w:bottom w:val="single" w:sz="4" w:space="0" w:color="auto"/>
              <w:right w:val="single" w:sz="4" w:space="0" w:color="auto"/>
            </w:tcBorders>
            <w:vAlign w:val="center"/>
          </w:tcPr>
          <w:p w14:paraId="0C829C39" w14:textId="7A74DFD2" w:rsidR="00250FA5" w:rsidRPr="00DA1CCA" w:rsidRDefault="00135ED1" w:rsidP="00250FA5">
            <w:pPr>
              <w:keepNext/>
              <w:keepLines/>
              <w:tabs>
                <w:tab w:val="decimal" w:pos="396"/>
              </w:tabs>
              <w:spacing w:before="0" w:after="0"/>
              <w:jc w:val="center"/>
              <w:rPr>
                <w:rFonts w:eastAsia="Calibri" w:cs="Calibri"/>
                <w:bCs/>
                <w:sz w:val="20"/>
              </w:rPr>
            </w:pPr>
            <w:r w:rsidRPr="00DA1CCA">
              <w:rPr>
                <w:rFonts w:eastAsia="Calibri"/>
                <w:sz w:val="20"/>
              </w:rPr>
              <w:t>$redacted</w:t>
            </w:r>
          </w:p>
        </w:tc>
      </w:tr>
      <w:tr w:rsidR="00250FA5" w:rsidRPr="00250FA5" w14:paraId="78270C76" w14:textId="77777777" w:rsidTr="1134720A">
        <w:tc>
          <w:tcPr>
            <w:tcW w:w="1250" w:type="pct"/>
            <w:tcBorders>
              <w:top w:val="single" w:sz="4" w:space="0" w:color="auto"/>
              <w:left w:val="single" w:sz="4" w:space="0" w:color="auto"/>
              <w:bottom w:val="single" w:sz="4" w:space="0" w:color="auto"/>
              <w:right w:val="single" w:sz="4" w:space="0" w:color="auto"/>
            </w:tcBorders>
          </w:tcPr>
          <w:p w14:paraId="3C7E6155" w14:textId="77777777" w:rsidR="00250FA5" w:rsidRPr="00250FA5" w:rsidRDefault="00250FA5" w:rsidP="00250FA5">
            <w:pPr>
              <w:keepNext/>
              <w:keepLines/>
              <w:spacing w:before="0" w:after="0"/>
              <w:jc w:val="left"/>
              <w:rPr>
                <w:rFonts w:eastAsia="Calibri"/>
                <w:sz w:val="20"/>
              </w:rPr>
            </w:pPr>
            <w:r w:rsidRPr="00250FA5">
              <w:rPr>
                <w:rFonts w:eastAsia="Calibri"/>
                <w:sz w:val="20"/>
              </w:rPr>
              <w:t>LY</w:t>
            </w:r>
          </w:p>
        </w:tc>
        <w:tc>
          <w:tcPr>
            <w:tcW w:w="1577" w:type="pct"/>
            <w:tcBorders>
              <w:top w:val="single" w:sz="4" w:space="0" w:color="auto"/>
              <w:left w:val="single" w:sz="4" w:space="0" w:color="auto"/>
              <w:bottom w:val="single" w:sz="4" w:space="0" w:color="auto"/>
              <w:right w:val="single" w:sz="4" w:space="0" w:color="auto"/>
            </w:tcBorders>
            <w:vAlign w:val="center"/>
          </w:tcPr>
          <w:p w14:paraId="5768D8F6"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1416" w:type="pct"/>
            <w:tcBorders>
              <w:top w:val="single" w:sz="4" w:space="0" w:color="auto"/>
              <w:left w:val="single" w:sz="4" w:space="0" w:color="auto"/>
              <w:bottom w:val="single" w:sz="4" w:space="0" w:color="auto"/>
              <w:right w:val="single" w:sz="4" w:space="0" w:color="auto"/>
            </w:tcBorders>
            <w:vAlign w:val="center"/>
          </w:tcPr>
          <w:p w14:paraId="6C584276"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757" w:type="pct"/>
            <w:tcBorders>
              <w:top w:val="single" w:sz="4" w:space="0" w:color="auto"/>
              <w:left w:val="single" w:sz="4" w:space="0" w:color="auto"/>
              <w:bottom w:val="single" w:sz="4" w:space="0" w:color="auto"/>
              <w:right w:val="single" w:sz="4" w:space="0" w:color="auto"/>
            </w:tcBorders>
            <w:vAlign w:val="center"/>
          </w:tcPr>
          <w:p w14:paraId="10FA94B1" w14:textId="77777777" w:rsidR="00250FA5" w:rsidRPr="00DA1CCA" w:rsidRDefault="00250FA5" w:rsidP="00250FA5">
            <w:pPr>
              <w:keepNext/>
              <w:keepLines/>
              <w:tabs>
                <w:tab w:val="decimal" w:pos="396"/>
              </w:tabs>
              <w:spacing w:before="0" w:after="0"/>
              <w:jc w:val="center"/>
              <w:rPr>
                <w:rFonts w:eastAsia="Calibri" w:cs="Calibri"/>
                <w:bCs/>
                <w:sz w:val="20"/>
              </w:rPr>
            </w:pPr>
            <w:r w:rsidRPr="00DA1CCA">
              <w:rPr>
                <w:sz w:val="20"/>
              </w:rPr>
              <w:t>0.6856</w:t>
            </w:r>
          </w:p>
        </w:tc>
      </w:tr>
      <w:tr w:rsidR="00250FA5" w:rsidRPr="00250FA5" w14:paraId="34F8E44E" w14:textId="77777777" w:rsidTr="1134720A">
        <w:tc>
          <w:tcPr>
            <w:tcW w:w="1250" w:type="pct"/>
            <w:tcBorders>
              <w:top w:val="single" w:sz="4" w:space="0" w:color="auto"/>
              <w:left w:val="single" w:sz="4" w:space="0" w:color="auto"/>
              <w:bottom w:val="single" w:sz="4" w:space="0" w:color="auto"/>
              <w:right w:val="single" w:sz="4" w:space="0" w:color="auto"/>
            </w:tcBorders>
          </w:tcPr>
          <w:p w14:paraId="0D15F39F" w14:textId="77777777" w:rsidR="00250FA5" w:rsidRPr="00250FA5" w:rsidRDefault="00250FA5" w:rsidP="00250FA5">
            <w:pPr>
              <w:keepNext/>
              <w:keepLines/>
              <w:spacing w:before="0" w:after="0"/>
              <w:jc w:val="left"/>
              <w:rPr>
                <w:rFonts w:eastAsia="Calibri"/>
                <w:sz w:val="20"/>
              </w:rPr>
            </w:pPr>
            <w:r w:rsidRPr="00250FA5">
              <w:rPr>
                <w:rFonts w:eastAsia="Calibri"/>
                <w:sz w:val="20"/>
              </w:rPr>
              <w:t>QALY</w:t>
            </w:r>
          </w:p>
        </w:tc>
        <w:tc>
          <w:tcPr>
            <w:tcW w:w="1577" w:type="pct"/>
            <w:tcBorders>
              <w:top w:val="single" w:sz="4" w:space="0" w:color="auto"/>
              <w:left w:val="single" w:sz="4" w:space="0" w:color="auto"/>
              <w:bottom w:val="single" w:sz="4" w:space="0" w:color="auto"/>
              <w:right w:val="single" w:sz="4" w:space="0" w:color="auto"/>
            </w:tcBorders>
            <w:vAlign w:val="center"/>
          </w:tcPr>
          <w:p w14:paraId="1E2FCBD8"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1416" w:type="pct"/>
            <w:tcBorders>
              <w:top w:val="single" w:sz="4" w:space="0" w:color="auto"/>
              <w:left w:val="single" w:sz="4" w:space="0" w:color="auto"/>
              <w:bottom w:val="single" w:sz="4" w:space="0" w:color="auto"/>
              <w:right w:val="single" w:sz="4" w:space="0" w:color="auto"/>
            </w:tcBorders>
            <w:vAlign w:val="center"/>
          </w:tcPr>
          <w:p w14:paraId="2AABCFF9" w14:textId="77777777" w:rsidR="00250FA5" w:rsidRPr="00DA1CCA" w:rsidRDefault="00250FA5" w:rsidP="00250FA5">
            <w:pPr>
              <w:keepNext/>
              <w:keepLines/>
              <w:tabs>
                <w:tab w:val="decimal" w:pos="396"/>
              </w:tabs>
              <w:spacing w:before="0" w:after="0"/>
              <w:jc w:val="center"/>
              <w:rPr>
                <w:rFonts w:eastAsia="Calibri" w:cs="Calibri"/>
                <w:sz w:val="20"/>
              </w:rPr>
            </w:pPr>
            <w:r w:rsidRPr="00DA1CCA">
              <w:rPr>
                <w:rFonts w:eastAsia="Calibri" w:cs="Calibri"/>
                <w:sz w:val="20"/>
              </w:rPr>
              <w:t>-</w:t>
            </w:r>
          </w:p>
        </w:tc>
        <w:tc>
          <w:tcPr>
            <w:tcW w:w="757" w:type="pct"/>
            <w:tcBorders>
              <w:top w:val="single" w:sz="4" w:space="0" w:color="auto"/>
              <w:left w:val="single" w:sz="4" w:space="0" w:color="auto"/>
              <w:bottom w:val="single" w:sz="4" w:space="0" w:color="auto"/>
              <w:right w:val="single" w:sz="4" w:space="0" w:color="auto"/>
            </w:tcBorders>
            <w:vAlign w:val="center"/>
          </w:tcPr>
          <w:p w14:paraId="1C564745" w14:textId="77777777" w:rsidR="00250FA5" w:rsidRPr="00DA1CCA" w:rsidRDefault="00250FA5" w:rsidP="00250FA5">
            <w:pPr>
              <w:keepNext/>
              <w:keepLines/>
              <w:tabs>
                <w:tab w:val="decimal" w:pos="396"/>
              </w:tabs>
              <w:spacing w:before="0" w:after="0"/>
              <w:jc w:val="center"/>
              <w:rPr>
                <w:rFonts w:eastAsia="Calibri" w:cs="Calibri"/>
                <w:bCs/>
                <w:sz w:val="20"/>
              </w:rPr>
            </w:pPr>
            <w:r w:rsidRPr="00DA1CCA">
              <w:rPr>
                <w:sz w:val="20"/>
              </w:rPr>
              <w:t>0.5163</w:t>
            </w:r>
          </w:p>
        </w:tc>
      </w:tr>
      <w:tr w:rsidR="00250FA5" w:rsidRPr="00250FA5" w14:paraId="5528B742" w14:textId="77777777" w:rsidTr="1134720A">
        <w:tc>
          <w:tcPr>
            <w:tcW w:w="4243" w:type="pct"/>
            <w:gridSpan w:val="3"/>
            <w:tcBorders>
              <w:top w:val="single" w:sz="4" w:space="0" w:color="auto"/>
              <w:left w:val="single" w:sz="4" w:space="0" w:color="auto"/>
              <w:bottom w:val="single" w:sz="4" w:space="0" w:color="auto"/>
              <w:right w:val="single" w:sz="4" w:space="0" w:color="auto"/>
            </w:tcBorders>
            <w:vAlign w:val="center"/>
          </w:tcPr>
          <w:p w14:paraId="4B5B4DB1" w14:textId="77777777" w:rsidR="00250FA5" w:rsidRPr="00DA1CCA" w:rsidRDefault="00250FA5" w:rsidP="00250FA5">
            <w:pPr>
              <w:keepNext/>
              <w:keepLines/>
              <w:tabs>
                <w:tab w:val="decimal" w:pos="396"/>
              </w:tabs>
              <w:spacing w:before="0" w:after="0"/>
              <w:jc w:val="right"/>
              <w:rPr>
                <w:rFonts w:eastAsia="Calibri" w:cs="Calibri"/>
                <w:sz w:val="20"/>
              </w:rPr>
            </w:pPr>
            <w:r w:rsidRPr="00DA1CCA">
              <w:rPr>
                <w:rFonts w:eastAsia="Calibri"/>
                <w:sz w:val="20"/>
              </w:rPr>
              <w:t>Weighted incremental cost per LY gained</w:t>
            </w:r>
          </w:p>
        </w:tc>
        <w:tc>
          <w:tcPr>
            <w:tcW w:w="757" w:type="pct"/>
            <w:tcBorders>
              <w:top w:val="single" w:sz="4" w:space="0" w:color="auto"/>
              <w:left w:val="single" w:sz="4" w:space="0" w:color="auto"/>
              <w:bottom w:val="single" w:sz="4" w:space="0" w:color="auto"/>
              <w:right w:val="single" w:sz="4" w:space="0" w:color="auto"/>
            </w:tcBorders>
            <w:vAlign w:val="center"/>
          </w:tcPr>
          <w:p w14:paraId="08C0527A" w14:textId="70BB6AEE" w:rsidR="00250FA5" w:rsidRPr="00DA1CCA" w:rsidRDefault="00FC0301" w:rsidP="00250FA5">
            <w:pPr>
              <w:keepNext/>
              <w:keepLines/>
              <w:tabs>
                <w:tab w:val="decimal" w:pos="396"/>
              </w:tabs>
              <w:spacing w:before="0" w:after="0"/>
              <w:jc w:val="center"/>
              <w:rPr>
                <w:rFonts w:eastAsia="Calibri" w:cs="Calibri"/>
                <w:bCs/>
                <w:sz w:val="20"/>
              </w:rPr>
            </w:pPr>
            <w:r w:rsidRPr="00DA1CCA">
              <w:rPr>
                <w:rFonts w:eastAsia="Calibri"/>
                <w:sz w:val="20"/>
              </w:rPr>
              <w:t xml:space="preserve">$redacted </w:t>
            </w:r>
            <w:r w:rsidRPr="00DA1CCA">
              <w:rPr>
                <w:rFonts w:eastAsia="Calibri"/>
                <w:sz w:val="20"/>
                <w:vertAlign w:val="superscript"/>
              </w:rPr>
              <w:t xml:space="preserve">1 </w:t>
            </w:r>
          </w:p>
        </w:tc>
      </w:tr>
      <w:tr w:rsidR="00250FA5" w:rsidRPr="00250FA5" w14:paraId="71CFB13F" w14:textId="77777777" w:rsidTr="1134720A">
        <w:tc>
          <w:tcPr>
            <w:tcW w:w="4243" w:type="pct"/>
            <w:gridSpan w:val="3"/>
            <w:tcBorders>
              <w:top w:val="single" w:sz="4" w:space="0" w:color="auto"/>
              <w:left w:val="single" w:sz="4" w:space="0" w:color="auto"/>
              <w:bottom w:val="single" w:sz="4" w:space="0" w:color="auto"/>
              <w:right w:val="single" w:sz="4" w:space="0" w:color="auto"/>
            </w:tcBorders>
            <w:vAlign w:val="center"/>
          </w:tcPr>
          <w:p w14:paraId="160B4DE0" w14:textId="77777777" w:rsidR="00250FA5" w:rsidRPr="00DA1CCA" w:rsidRDefault="00250FA5" w:rsidP="00250FA5">
            <w:pPr>
              <w:keepNext/>
              <w:keepLines/>
              <w:tabs>
                <w:tab w:val="decimal" w:pos="396"/>
              </w:tabs>
              <w:spacing w:before="0" w:after="0"/>
              <w:jc w:val="right"/>
              <w:rPr>
                <w:rFonts w:eastAsia="Calibri" w:cs="Calibri"/>
                <w:sz w:val="20"/>
              </w:rPr>
            </w:pPr>
            <w:r w:rsidRPr="00DA1CCA">
              <w:rPr>
                <w:rFonts w:eastAsia="Calibri"/>
                <w:b/>
                <w:bCs/>
                <w:sz w:val="20"/>
              </w:rPr>
              <w:t>Weighted incremental cost per QALY gained</w:t>
            </w:r>
          </w:p>
        </w:tc>
        <w:tc>
          <w:tcPr>
            <w:tcW w:w="757" w:type="pct"/>
            <w:tcBorders>
              <w:top w:val="single" w:sz="4" w:space="0" w:color="auto"/>
              <w:left w:val="single" w:sz="4" w:space="0" w:color="auto"/>
              <w:bottom w:val="single" w:sz="4" w:space="0" w:color="auto"/>
              <w:right w:val="single" w:sz="4" w:space="0" w:color="auto"/>
            </w:tcBorders>
            <w:vAlign w:val="center"/>
          </w:tcPr>
          <w:p w14:paraId="4AB73742" w14:textId="61021F2D" w:rsidR="00250FA5" w:rsidRPr="00DA1CCA" w:rsidRDefault="00FC0301" w:rsidP="00250FA5">
            <w:pPr>
              <w:keepNext/>
              <w:keepLines/>
              <w:tabs>
                <w:tab w:val="decimal" w:pos="396"/>
              </w:tabs>
              <w:spacing w:before="0" w:after="0"/>
              <w:jc w:val="center"/>
              <w:rPr>
                <w:rFonts w:eastAsia="Calibri" w:cs="Calibri"/>
                <w:b/>
                <w:bCs/>
                <w:sz w:val="20"/>
              </w:rPr>
            </w:pPr>
            <w:r w:rsidRPr="00DA1CCA">
              <w:rPr>
                <w:rFonts w:eastAsia="Calibri"/>
                <w:b/>
                <w:bCs/>
                <w:sz w:val="20"/>
              </w:rPr>
              <w:t>$redacted </w:t>
            </w:r>
            <w:r w:rsidRPr="00DA1CCA">
              <w:rPr>
                <w:rFonts w:eastAsia="Calibri"/>
                <w:b/>
                <w:bCs/>
                <w:sz w:val="20"/>
                <w:vertAlign w:val="superscript"/>
              </w:rPr>
              <w:t>2</w:t>
            </w:r>
          </w:p>
        </w:tc>
      </w:tr>
    </w:tbl>
    <w:p w14:paraId="47CFA8A9" w14:textId="77777777" w:rsidR="00250FA5" w:rsidRPr="00250FA5" w:rsidRDefault="00250FA5" w:rsidP="006539DF">
      <w:pPr>
        <w:keepNext/>
        <w:keepLines/>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LY = life year, QALY = quality adjusted life year, SoC = standard of care</w:t>
      </w:r>
    </w:p>
    <w:p w14:paraId="04862F18" w14:textId="185F7D88" w:rsidR="00250FA5" w:rsidRPr="00250FA5" w:rsidRDefault="00250FA5" w:rsidP="006539DF">
      <w:pPr>
        <w:keepNext/>
        <w:keepLines/>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Text in italics indicate values calculated during the evaluation.</w:t>
      </w:r>
    </w:p>
    <w:p w14:paraId="2AC95B13" w14:textId="2AA6B159" w:rsidR="00250FA5" w:rsidRPr="009059D8" w:rsidRDefault="00250FA5" w:rsidP="006539DF">
      <w:pPr>
        <w:keepNext/>
        <w:keepLines/>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Source: Table MSAC.14, p30 of the commentary</w:t>
      </w:r>
      <w:r w:rsidRPr="009059D8">
        <w:rPr>
          <w:rFonts w:ascii="Arial Narrow" w:eastAsia="Times New Roman" w:hAnsi="Arial Narrow" w:cs="Arial"/>
          <w:sz w:val="18"/>
          <w:szCs w:val="20"/>
        </w:rPr>
        <w:t xml:space="preserve"> and extracted from the pre-ESC response economic model</w:t>
      </w:r>
    </w:p>
    <w:p w14:paraId="09B7B9F4" w14:textId="12FED683" w:rsidR="00250FA5" w:rsidRDefault="00250FA5" w:rsidP="006539DF">
      <w:pPr>
        <w:snapToGrid w:val="0"/>
        <w:spacing w:before="0" w:after="240"/>
        <w:contextualSpacing/>
        <w:rPr>
          <w:rFonts w:ascii="Arial Narrow" w:eastAsia="Times New Roman" w:hAnsi="Arial Narrow" w:cs="Arial"/>
          <w:sz w:val="18"/>
          <w:szCs w:val="20"/>
        </w:rPr>
      </w:pPr>
      <w:proofErr w:type="spellStart"/>
      <w:r w:rsidRPr="00250FA5">
        <w:rPr>
          <w:rFonts w:ascii="Arial Narrow" w:eastAsia="Times New Roman" w:hAnsi="Arial Narrow" w:cs="Arial"/>
          <w:sz w:val="18"/>
          <w:szCs w:val="20"/>
          <w:vertAlign w:val="superscript"/>
        </w:rPr>
        <w:t>a</w:t>
      </w:r>
      <w:proofErr w:type="spellEnd"/>
      <w:r w:rsidRPr="00250FA5">
        <w:rPr>
          <w:rFonts w:ascii="Arial Narrow" w:eastAsia="Times New Roman" w:hAnsi="Arial Narrow" w:cs="Arial"/>
          <w:sz w:val="18"/>
          <w:szCs w:val="20"/>
          <w:vertAlign w:val="superscript"/>
        </w:rPr>
        <w:t xml:space="preserve"> </w:t>
      </w:r>
      <w:r w:rsidRPr="00250FA5">
        <w:rPr>
          <w:rFonts w:ascii="Arial Narrow" w:eastAsia="Times New Roman" w:hAnsi="Arial Narrow" w:cs="Arial"/>
          <w:sz w:val="18"/>
          <w:szCs w:val="20"/>
        </w:rPr>
        <w:t>Changes applied include changing the weekly rate of AEs for SoC arm in EA1 and EA2 to be the same as used for pembrolizumab plus chemotherapy. This addresses the inconsistency with the non-inferior clinical claim for EA2. This approach provides a conservative estimate for EA1 (favouring pembrolizumab) as the resubmission acknowledged that the safety of pembrolizumab plus chemotherapy was inferior to that of SoC but the adverse event rates have been made equal for the two treatment arms.</w:t>
      </w:r>
      <w:r w:rsidRPr="00250FA5">
        <w:rPr>
          <w:rFonts w:ascii="Arial Narrow" w:eastAsia="Times New Roman" w:hAnsi="Arial Narrow" w:cs="Arial"/>
          <w:sz w:val="18"/>
          <w:szCs w:val="20"/>
          <w:vertAlign w:val="superscript"/>
        </w:rPr>
        <w:t xml:space="preserve"> </w:t>
      </w:r>
      <w:r w:rsidRPr="00250FA5">
        <w:rPr>
          <w:rFonts w:ascii="Arial Narrow" w:eastAsia="Times New Roman" w:hAnsi="Arial Narrow" w:cs="Arial"/>
          <w:sz w:val="18"/>
          <w:szCs w:val="20"/>
        </w:rPr>
        <w:t>The time on treatment (</w:t>
      </w:r>
      <w:proofErr w:type="spellStart"/>
      <w:r w:rsidRPr="00250FA5">
        <w:rPr>
          <w:rFonts w:ascii="Arial Narrow" w:eastAsia="Times New Roman" w:hAnsi="Arial Narrow" w:cs="Arial"/>
          <w:sz w:val="18"/>
          <w:szCs w:val="20"/>
        </w:rPr>
        <w:t>ToT</w:t>
      </w:r>
      <w:proofErr w:type="spellEnd"/>
      <w:r w:rsidRPr="00250FA5">
        <w:rPr>
          <w:rFonts w:ascii="Arial Narrow" w:eastAsia="Times New Roman" w:hAnsi="Arial Narrow" w:cs="Arial"/>
          <w:sz w:val="18"/>
          <w:szCs w:val="20"/>
        </w:rPr>
        <w:t>) for SoC arm in pembrolizumab monotherapy model (EA2) was changed to account for the overestimate in duration of treatment, thereby limiting the duration of chemotherapy treatment to six cycles. This was not done in EA1 as the adverse events from the chemotherapy use should cancel out between treatment arms. Ideally, pembrolizumab and chemotherapy adverse events would be estimated separately in EA1, with chemotherapy related adverse events limited to 18 weeks/six cycles and pembrolizumab related adverse events applied for up to two years/35 cycles (maximum duration of therapy).</w:t>
      </w:r>
    </w:p>
    <w:p w14:paraId="645EAA97" w14:textId="77777777" w:rsidR="00FC0301" w:rsidRPr="00FC0301" w:rsidRDefault="00FC0301" w:rsidP="006539DF">
      <w:pPr>
        <w:snapToGrid w:val="0"/>
        <w:spacing w:before="0" w:after="0" w:line="276" w:lineRule="auto"/>
        <w:contextualSpacing/>
        <w:jc w:val="left"/>
        <w:rPr>
          <w:rFonts w:ascii="Arial Narrow" w:eastAsia="Times New Roman" w:hAnsi="Arial Narrow" w:cs="Arial"/>
          <w:sz w:val="18"/>
          <w:lang w:eastAsia="en-AU"/>
        </w:rPr>
      </w:pPr>
      <w:bookmarkStart w:id="24" w:name="_Hlk94615264"/>
      <w:r w:rsidRPr="00FC0301">
        <w:rPr>
          <w:rFonts w:ascii="Arial Narrow" w:eastAsia="Times New Roman" w:hAnsi="Arial Narrow" w:cs="Arial"/>
          <w:i/>
          <w:sz w:val="18"/>
          <w:lang w:eastAsia="en-AU"/>
        </w:rPr>
        <w:t xml:space="preserve">The redacted values correspond to the following ranges: </w:t>
      </w:r>
    </w:p>
    <w:p w14:paraId="1EC3404B" w14:textId="07241F21" w:rsidR="00FC0301" w:rsidRDefault="00FC0301" w:rsidP="006539DF">
      <w:pPr>
        <w:spacing w:before="0" w:after="0"/>
        <w:contextualSpacing/>
        <w:jc w:val="left"/>
        <w:rPr>
          <w:rFonts w:ascii="Arial Narrow" w:eastAsia="Calibri" w:hAnsi="Arial Narrow" w:cs="Times New Roman"/>
          <w:i/>
          <w:sz w:val="18"/>
          <w:szCs w:val="18"/>
        </w:rPr>
      </w:pPr>
      <w:r w:rsidRPr="00FC0301">
        <w:rPr>
          <w:rFonts w:ascii="Arial Narrow" w:eastAsia="Calibri" w:hAnsi="Arial Narrow" w:cs="Times New Roman"/>
          <w:i/>
          <w:sz w:val="18"/>
          <w:szCs w:val="18"/>
          <w:vertAlign w:val="superscript"/>
        </w:rPr>
        <w:t>1</w:t>
      </w:r>
      <w:r w:rsidRPr="00FC0301">
        <w:rPr>
          <w:rFonts w:ascii="Arial Narrow" w:eastAsia="Calibri" w:hAnsi="Arial Narrow" w:cs="Times New Roman"/>
          <w:i/>
          <w:sz w:val="18"/>
          <w:szCs w:val="18"/>
        </w:rPr>
        <w:t xml:space="preserve"> $45,000 to &lt; $55,000</w:t>
      </w:r>
    </w:p>
    <w:p w14:paraId="0CEF5C69" w14:textId="19EAB7BA" w:rsidR="00FC0301" w:rsidRDefault="00FC0301" w:rsidP="006539DF">
      <w:pPr>
        <w:spacing w:before="0" w:after="0"/>
        <w:contextualSpacing/>
        <w:jc w:val="left"/>
        <w:rPr>
          <w:rFonts w:ascii="Arial Narrow" w:eastAsia="Calibri" w:hAnsi="Arial Narrow" w:cs="Times New Roman"/>
          <w:i/>
          <w:sz w:val="18"/>
          <w:szCs w:val="18"/>
        </w:rPr>
      </w:pPr>
      <w:r>
        <w:rPr>
          <w:rFonts w:ascii="Arial Narrow" w:eastAsia="Calibri" w:hAnsi="Arial Narrow" w:cs="Times New Roman"/>
          <w:i/>
          <w:sz w:val="18"/>
          <w:szCs w:val="18"/>
          <w:vertAlign w:val="superscript"/>
        </w:rPr>
        <w:t xml:space="preserve">2 </w:t>
      </w:r>
      <w:r w:rsidRPr="00FC0301">
        <w:rPr>
          <w:rFonts w:ascii="Arial Narrow" w:eastAsia="Calibri" w:hAnsi="Arial Narrow" w:cs="Times New Roman"/>
          <w:i/>
          <w:sz w:val="18"/>
          <w:szCs w:val="18"/>
        </w:rPr>
        <w:t>$55,000 to &lt; $75,000</w:t>
      </w:r>
    </w:p>
    <w:bookmarkEnd w:id="24"/>
    <w:p w14:paraId="6C6F5C82" w14:textId="5C970D72" w:rsidR="00FC0301" w:rsidRPr="00FC0301" w:rsidRDefault="00FC0301" w:rsidP="006539DF">
      <w:pPr>
        <w:spacing w:before="0" w:after="0"/>
        <w:contextualSpacing/>
        <w:jc w:val="left"/>
        <w:rPr>
          <w:rFonts w:ascii="Arial Narrow" w:eastAsia="Calibri" w:hAnsi="Arial Narrow" w:cs="Times New Roman"/>
          <w:i/>
          <w:sz w:val="18"/>
          <w:szCs w:val="18"/>
          <w:vertAlign w:val="superscript"/>
        </w:rPr>
      </w:pPr>
      <w:r>
        <w:rPr>
          <w:rFonts w:ascii="Arial Narrow" w:eastAsia="Calibri" w:hAnsi="Arial Narrow" w:cs="Times New Roman"/>
          <w:i/>
          <w:sz w:val="18"/>
          <w:szCs w:val="18"/>
          <w:vertAlign w:val="superscript"/>
        </w:rPr>
        <w:t xml:space="preserve">3 </w:t>
      </w:r>
      <w:r w:rsidRPr="00FC0301">
        <w:rPr>
          <w:rFonts w:ascii="Arial Narrow" w:eastAsia="Calibri" w:hAnsi="Arial Narrow" w:cs="Times New Roman"/>
          <w:i/>
          <w:sz w:val="18"/>
          <w:szCs w:val="18"/>
        </w:rPr>
        <w:t>$75,000 to &lt; $95,00</w:t>
      </w:r>
    </w:p>
    <w:p w14:paraId="557810D1" w14:textId="533514EA" w:rsidR="00FC0301" w:rsidRPr="00FC0301" w:rsidRDefault="00FC0301" w:rsidP="006539DF">
      <w:pPr>
        <w:snapToGrid w:val="0"/>
        <w:spacing w:before="0" w:after="240"/>
        <w:contextualSpacing/>
        <w:rPr>
          <w:rFonts w:ascii="Arial Narrow" w:eastAsia="Times New Roman" w:hAnsi="Arial Narrow" w:cs="Arial"/>
          <w:sz w:val="18"/>
          <w:szCs w:val="20"/>
        </w:rPr>
      </w:pPr>
      <w:r>
        <w:rPr>
          <w:rFonts w:ascii="Arial Narrow" w:eastAsia="Times New Roman" w:hAnsi="Arial Narrow" w:cs="Arial"/>
          <w:sz w:val="18"/>
          <w:szCs w:val="20"/>
          <w:vertAlign w:val="superscript"/>
        </w:rPr>
        <w:t xml:space="preserve">4 </w:t>
      </w:r>
      <w:r w:rsidR="00EA3C6F" w:rsidRPr="00EA3C6F">
        <w:rPr>
          <w:rFonts w:ascii="Arial Narrow" w:eastAsia="Times New Roman" w:hAnsi="Arial Narrow" w:cs="Arial"/>
          <w:sz w:val="18"/>
          <w:szCs w:val="20"/>
        </w:rPr>
        <w:t>$35,000 to &lt; $45,000</w:t>
      </w:r>
    </w:p>
    <w:p w14:paraId="56B9DF39" w14:textId="600B4480" w:rsidR="00250FA5" w:rsidRPr="00250FA5" w:rsidRDefault="00250FA5" w:rsidP="009059D8">
      <w:pPr>
        <w:keepNext/>
        <w:keepLines/>
        <w:widowControl w:val="0"/>
        <w:spacing w:before="0" w:after="0"/>
        <w:ind w:left="993" w:hanging="993"/>
        <w:contextualSpacing/>
        <w:jc w:val="left"/>
        <w:rPr>
          <w:rFonts w:ascii="Arial Narrow" w:eastAsia="Calibri" w:hAnsi="Arial Narrow" w:cs="Times New Roman"/>
          <w:b/>
          <w:iCs/>
          <w:sz w:val="20"/>
          <w:szCs w:val="18"/>
        </w:rPr>
      </w:pPr>
      <w:bookmarkStart w:id="25" w:name="_Ref80059131"/>
      <w:r w:rsidRPr="00250FA5">
        <w:rPr>
          <w:rFonts w:ascii="Arial Narrow" w:eastAsia="Calibri" w:hAnsi="Arial Narrow" w:cs="Times New Roman"/>
          <w:b/>
          <w:iCs/>
          <w:sz w:val="20"/>
          <w:szCs w:val="18"/>
        </w:rPr>
        <w:t xml:space="preserve">Table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Table \* ARABIC </w:instrText>
      </w:r>
      <w:r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14</w:t>
      </w:r>
      <w:r w:rsidRPr="00250FA5">
        <w:rPr>
          <w:rFonts w:ascii="Arial Narrow" w:eastAsia="Calibri" w:hAnsi="Arial Narrow" w:cs="Times New Roman"/>
          <w:b/>
          <w:iCs/>
          <w:sz w:val="20"/>
          <w:szCs w:val="18"/>
        </w:rPr>
        <w:fldChar w:fldCharType="end"/>
      </w:r>
      <w:bookmarkEnd w:id="25"/>
      <w:r w:rsidRPr="00250FA5">
        <w:rPr>
          <w:rFonts w:ascii="Arial Narrow" w:eastAsia="Calibri" w:hAnsi="Arial Narrow" w:cs="Times New Roman"/>
          <w:b/>
          <w:iCs/>
          <w:sz w:val="20"/>
          <w:szCs w:val="18"/>
        </w:rPr>
        <w:tab/>
        <w:t>Scenario Analysis 2 – EA1 and EA2 weighted results (resubmission)</w:t>
      </w:r>
    </w:p>
    <w:tbl>
      <w:tblPr>
        <w:tblStyle w:val="TableGrid2"/>
        <w:tblW w:w="4994" w:type="pct"/>
        <w:tblInd w:w="10" w:type="dxa"/>
        <w:tblLayout w:type="fixed"/>
        <w:tblCellMar>
          <w:left w:w="57" w:type="dxa"/>
          <w:right w:w="57" w:type="dxa"/>
        </w:tblCellMar>
        <w:tblLook w:val="04A0" w:firstRow="1" w:lastRow="0" w:firstColumn="1" w:lastColumn="0" w:noHBand="0" w:noVBand="1"/>
        <w:tblDescription w:val="Scenario Analysis 2 – EA1 and EA2 weighted results (resubmission)"/>
      </w:tblPr>
      <w:tblGrid>
        <w:gridCol w:w="3670"/>
        <w:gridCol w:w="1275"/>
        <w:gridCol w:w="1275"/>
        <w:gridCol w:w="1135"/>
        <w:gridCol w:w="1650"/>
      </w:tblGrid>
      <w:tr w:rsidR="00250FA5" w:rsidRPr="00250FA5" w14:paraId="663FAD01" w14:textId="77777777" w:rsidTr="00A2043B">
        <w:trPr>
          <w:cnfStyle w:val="100000000000" w:firstRow="1" w:lastRow="0" w:firstColumn="0" w:lastColumn="0" w:oddVBand="0" w:evenVBand="0" w:oddHBand="0" w:evenHBand="0" w:firstRowFirstColumn="0" w:firstRowLastColumn="0" w:lastRowFirstColumn="0" w:lastRowLastColumn="0"/>
          <w:cantSplit/>
          <w:trHeight w:val="20"/>
          <w:tblHeader/>
        </w:trPr>
        <w:tc>
          <w:tcPr>
            <w:tcW w:w="2038" w:type="pct"/>
            <w:tcBorders>
              <w:top w:val="single" w:sz="4" w:space="0" w:color="auto"/>
              <w:left w:val="single" w:sz="4" w:space="0" w:color="auto"/>
              <w:bottom w:val="single" w:sz="4" w:space="0" w:color="auto"/>
              <w:right w:val="single" w:sz="4" w:space="0" w:color="auto"/>
            </w:tcBorders>
            <w:noWrap/>
            <w:vAlign w:val="center"/>
            <w:hideMark/>
          </w:tcPr>
          <w:p w14:paraId="33B56E71" w14:textId="77777777" w:rsidR="00250FA5" w:rsidRPr="00250FA5" w:rsidRDefault="00250FA5" w:rsidP="00250FA5">
            <w:pPr>
              <w:keepNext/>
              <w:keepLines/>
              <w:spacing w:before="0" w:after="0"/>
              <w:ind w:left="57" w:right="294"/>
              <w:jc w:val="left"/>
              <w:rPr>
                <w:rFonts w:ascii="Arial Narrow" w:hAnsi="Arial Narrow"/>
                <w:b/>
                <w:sz w:val="20"/>
                <w:lang w:bidi="th-TH"/>
              </w:rPr>
            </w:pPr>
            <w:r w:rsidRPr="00250FA5">
              <w:rPr>
                <w:rFonts w:ascii="Arial Narrow" w:hAnsi="Arial Narrow"/>
                <w:b/>
                <w:sz w:val="20"/>
                <w:lang w:bidi="th-TH"/>
              </w:rPr>
              <w:t>Outcome</w:t>
            </w:r>
          </w:p>
        </w:tc>
        <w:tc>
          <w:tcPr>
            <w:tcW w:w="708" w:type="pct"/>
            <w:tcBorders>
              <w:top w:val="single" w:sz="4" w:space="0" w:color="auto"/>
              <w:left w:val="single" w:sz="4" w:space="0" w:color="auto"/>
              <w:bottom w:val="single" w:sz="4" w:space="0" w:color="auto"/>
              <w:right w:val="single" w:sz="4" w:space="0" w:color="auto"/>
            </w:tcBorders>
            <w:noWrap/>
            <w:vAlign w:val="center"/>
            <w:hideMark/>
          </w:tcPr>
          <w:p w14:paraId="525AABA2" w14:textId="65D5EED0" w:rsidR="00250FA5" w:rsidRPr="00250FA5" w:rsidRDefault="00250FA5" w:rsidP="00250FA5">
            <w:pPr>
              <w:keepNext/>
              <w:keepLines/>
              <w:spacing w:before="0" w:after="0"/>
              <w:ind w:left="57" w:right="57"/>
              <w:jc w:val="center"/>
              <w:rPr>
                <w:rFonts w:ascii="Arial Narrow" w:hAnsi="Arial Narrow"/>
                <w:b/>
                <w:sz w:val="20"/>
                <w:lang w:bidi="th-TH"/>
              </w:rPr>
            </w:pPr>
            <w:r w:rsidRPr="00250FA5">
              <w:rPr>
                <w:rFonts w:ascii="Arial Narrow" w:hAnsi="Arial Narrow"/>
                <w:b/>
                <w:sz w:val="20"/>
                <w:lang w:bidi="th-TH"/>
              </w:rPr>
              <w:t xml:space="preserve">Incremental </w:t>
            </w:r>
            <w:r w:rsidR="00D61853" w:rsidRPr="00250FA5">
              <w:rPr>
                <w:rFonts w:ascii="Arial Narrow" w:hAnsi="Arial Narrow"/>
                <w:b/>
                <w:sz w:val="20"/>
                <w:lang w:bidi="th-TH"/>
              </w:rPr>
              <w:t>c</w:t>
            </w:r>
            <w:r w:rsidRPr="00250FA5">
              <w:rPr>
                <w:rFonts w:ascii="Arial Narrow" w:hAnsi="Arial Narrow"/>
                <w:b/>
                <w:sz w:val="20"/>
                <w:lang w:bidi="th-TH"/>
              </w:rPr>
              <w:t>ost</w:t>
            </w:r>
          </w:p>
        </w:tc>
        <w:tc>
          <w:tcPr>
            <w:tcW w:w="708" w:type="pct"/>
            <w:tcBorders>
              <w:top w:val="single" w:sz="4" w:space="0" w:color="auto"/>
              <w:left w:val="single" w:sz="4" w:space="0" w:color="auto"/>
              <w:bottom w:val="single" w:sz="4" w:space="0" w:color="auto"/>
              <w:right w:val="single" w:sz="4" w:space="0" w:color="auto"/>
            </w:tcBorders>
            <w:vAlign w:val="center"/>
            <w:hideMark/>
          </w:tcPr>
          <w:p w14:paraId="7B7743BC" w14:textId="77777777" w:rsidR="00250FA5" w:rsidRPr="00250FA5" w:rsidRDefault="00250FA5" w:rsidP="00250FA5">
            <w:pPr>
              <w:keepNext/>
              <w:keepLines/>
              <w:spacing w:before="0" w:after="0"/>
              <w:ind w:left="57" w:right="57"/>
              <w:jc w:val="center"/>
              <w:rPr>
                <w:rFonts w:ascii="Arial Narrow" w:hAnsi="Arial Narrow"/>
                <w:b/>
                <w:sz w:val="20"/>
                <w:lang w:bidi="th-TH"/>
              </w:rPr>
            </w:pPr>
            <w:r w:rsidRPr="00250FA5">
              <w:rPr>
                <w:rFonts w:ascii="Arial Narrow" w:hAnsi="Arial Narrow"/>
                <w:b/>
                <w:sz w:val="20"/>
                <w:lang w:bidi="th-TH"/>
              </w:rPr>
              <w:t>Incremental QALY</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296E73FE" w14:textId="77777777" w:rsidR="00250FA5" w:rsidRPr="00250FA5" w:rsidRDefault="00250FA5" w:rsidP="00250FA5">
            <w:pPr>
              <w:keepNext/>
              <w:keepLines/>
              <w:spacing w:before="0" w:after="0"/>
              <w:ind w:left="57" w:right="57"/>
              <w:jc w:val="center"/>
              <w:rPr>
                <w:rFonts w:ascii="Arial Narrow" w:hAnsi="Arial Narrow"/>
                <w:b/>
                <w:sz w:val="20"/>
                <w:lang w:bidi="th-TH"/>
              </w:rPr>
            </w:pPr>
            <w:r w:rsidRPr="00250FA5">
              <w:rPr>
                <w:rFonts w:ascii="Arial Narrow" w:hAnsi="Arial Narrow"/>
                <w:b/>
                <w:sz w:val="20"/>
                <w:lang w:bidi="th-TH"/>
              </w:rPr>
              <w:t>Treatment weighting*</w:t>
            </w:r>
          </w:p>
        </w:tc>
        <w:tc>
          <w:tcPr>
            <w:tcW w:w="917" w:type="pct"/>
            <w:tcBorders>
              <w:top w:val="single" w:sz="4" w:space="0" w:color="auto"/>
              <w:left w:val="single" w:sz="4" w:space="0" w:color="auto"/>
              <w:bottom w:val="single" w:sz="4" w:space="0" w:color="auto"/>
              <w:right w:val="single" w:sz="4" w:space="0" w:color="auto"/>
            </w:tcBorders>
            <w:noWrap/>
            <w:vAlign w:val="center"/>
            <w:hideMark/>
          </w:tcPr>
          <w:p w14:paraId="0D6491F2" w14:textId="77777777" w:rsidR="00250FA5" w:rsidRPr="00250FA5" w:rsidRDefault="00250FA5" w:rsidP="00250FA5">
            <w:pPr>
              <w:keepNext/>
              <w:keepLines/>
              <w:spacing w:before="0" w:after="0"/>
              <w:ind w:left="57" w:right="57"/>
              <w:jc w:val="center"/>
              <w:rPr>
                <w:rFonts w:ascii="Arial Narrow" w:hAnsi="Arial Narrow"/>
                <w:b/>
                <w:sz w:val="20"/>
                <w:lang w:bidi="th-TH"/>
              </w:rPr>
            </w:pPr>
            <w:r w:rsidRPr="00250FA5">
              <w:rPr>
                <w:rFonts w:ascii="Arial Narrow" w:hAnsi="Arial Narrow"/>
                <w:b/>
                <w:sz w:val="20"/>
                <w:lang w:bidi="th-TH"/>
              </w:rPr>
              <w:t>Incremental cost per QALY gained</w:t>
            </w:r>
          </w:p>
        </w:tc>
      </w:tr>
      <w:tr w:rsidR="00250FA5" w:rsidRPr="00250FA5" w14:paraId="3FE1A7C6" w14:textId="77777777" w:rsidTr="00A2043B">
        <w:trPr>
          <w:trHeight w:val="20"/>
        </w:trPr>
        <w:tc>
          <w:tcPr>
            <w:tcW w:w="2038" w:type="pct"/>
            <w:tcBorders>
              <w:top w:val="single" w:sz="4" w:space="0" w:color="auto"/>
              <w:left w:val="single" w:sz="4" w:space="0" w:color="auto"/>
              <w:bottom w:val="single" w:sz="4" w:space="0" w:color="auto"/>
              <w:right w:val="single" w:sz="4" w:space="0" w:color="auto"/>
            </w:tcBorders>
            <w:noWrap/>
            <w:hideMark/>
          </w:tcPr>
          <w:p w14:paraId="33DCF321" w14:textId="77777777" w:rsidR="00250FA5" w:rsidRPr="00250FA5" w:rsidRDefault="00250FA5" w:rsidP="00250FA5">
            <w:pPr>
              <w:keepNext/>
              <w:keepLines/>
              <w:spacing w:before="0" w:after="0"/>
              <w:ind w:left="57" w:right="57"/>
              <w:jc w:val="left"/>
              <w:rPr>
                <w:b/>
                <w:sz w:val="20"/>
                <w:lang w:bidi="th-TH"/>
              </w:rPr>
            </w:pPr>
            <w:r w:rsidRPr="00250FA5">
              <w:rPr>
                <w:b/>
                <w:sz w:val="20"/>
                <w:lang w:bidi="th-TH"/>
              </w:rPr>
              <w:t>EA1 (CPS ≥1; pembrolizumab plus chemotherapy versus SOC)</w:t>
            </w:r>
          </w:p>
        </w:tc>
        <w:tc>
          <w:tcPr>
            <w:tcW w:w="708" w:type="pct"/>
            <w:tcBorders>
              <w:top w:val="single" w:sz="4" w:space="0" w:color="auto"/>
              <w:left w:val="single" w:sz="4" w:space="0" w:color="auto"/>
              <w:bottom w:val="single" w:sz="4" w:space="0" w:color="auto"/>
              <w:right w:val="single" w:sz="4" w:space="0" w:color="auto"/>
            </w:tcBorders>
            <w:noWrap/>
            <w:vAlign w:val="center"/>
            <w:hideMark/>
          </w:tcPr>
          <w:p w14:paraId="3E6804D1" w14:textId="56B37C31" w:rsidR="00250FA5" w:rsidRPr="00DA1CCA" w:rsidRDefault="00135ED1" w:rsidP="00250FA5">
            <w:pPr>
              <w:keepNext/>
              <w:keepLines/>
              <w:widowControl w:val="0"/>
              <w:spacing w:before="0" w:after="0" w:line="254" w:lineRule="auto"/>
              <w:ind w:left="57" w:right="57"/>
              <w:jc w:val="center"/>
              <w:rPr>
                <w:rFonts w:eastAsia="Calibri"/>
                <w:iCs/>
                <w:sz w:val="20"/>
                <w:lang w:bidi="th-TH"/>
              </w:rPr>
            </w:pPr>
            <w:r w:rsidRPr="00DA1CCA">
              <w:rPr>
                <w:rFonts w:eastAsia="Calibri"/>
                <w:sz w:val="20"/>
              </w:rPr>
              <w:t>$redacted</w:t>
            </w:r>
          </w:p>
        </w:tc>
        <w:tc>
          <w:tcPr>
            <w:tcW w:w="708" w:type="pct"/>
            <w:tcBorders>
              <w:top w:val="single" w:sz="4" w:space="0" w:color="auto"/>
              <w:left w:val="single" w:sz="4" w:space="0" w:color="auto"/>
              <w:bottom w:val="single" w:sz="4" w:space="0" w:color="auto"/>
              <w:right w:val="single" w:sz="4" w:space="0" w:color="auto"/>
            </w:tcBorders>
            <w:vAlign w:val="center"/>
            <w:hideMark/>
          </w:tcPr>
          <w:p w14:paraId="378D98DF" w14:textId="77777777" w:rsidR="00250FA5" w:rsidRPr="00DA1CCA" w:rsidRDefault="00250FA5" w:rsidP="00250FA5">
            <w:pPr>
              <w:keepNext/>
              <w:keepLines/>
              <w:widowControl w:val="0"/>
              <w:spacing w:before="0" w:after="0" w:line="254" w:lineRule="auto"/>
              <w:ind w:left="57" w:right="57"/>
              <w:jc w:val="center"/>
              <w:rPr>
                <w:rFonts w:eastAsia="Calibri"/>
                <w:sz w:val="20"/>
                <w:lang w:bidi="th-TH"/>
              </w:rPr>
            </w:pPr>
            <w:r w:rsidRPr="00DA1CCA">
              <w:rPr>
                <w:rFonts w:eastAsia="Calibri"/>
                <w:sz w:val="20"/>
                <w:lang w:bidi="th-TH"/>
              </w:rPr>
              <w:t>0.457</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4E2E7FC6" w14:textId="77777777" w:rsidR="00250FA5" w:rsidRPr="00DA1CCA" w:rsidRDefault="00250FA5" w:rsidP="00250FA5">
            <w:pPr>
              <w:keepNext/>
              <w:keepLines/>
              <w:widowControl w:val="0"/>
              <w:spacing w:before="0" w:after="0" w:line="254" w:lineRule="auto"/>
              <w:ind w:left="57" w:right="57"/>
              <w:jc w:val="center"/>
              <w:rPr>
                <w:rFonts w:eastAsia="Calibri"/>
                <w:sz w:val="20"/>
                <w:lang w:bidi="th-TH"/>
              </w:rPr>
            </w:pPr>
            <w:r w:rsidRPr="00DA1CCA">
              <w:rPr>
                <w:rFonts w:eastAsia="Calibri"/>
                <w:sz w:val="20"/>
                <w:lang w:bidi="th-TH"/>
              </w:rPr>
              <w:t>40%</w:t>
            </w:r>
          </w:p>
        </w:tc>
        <w:tc>
          <w:tcPr>
            <w:tcW w:w="917" w:type="pct"/>
            <w:tcBorders>
              <w:top w:val="single" w:sz="4" w:space="0" w:color="auto"/>
              <w:left w:val="single" w:sz="4" w:space="0" w:color="auto"/>
              <w:bottom w:val="single" w:sz="4" w:space="0" w:color="auto"/>
              <w:right w:val="single" w:sz="4" w:space="0" w:color="auto"/>
            </w:tcBorders>
            <w:noWrap/>
            <w:vAlign w:val="center"/>
            <w:hideMark/>
          </w:tcPr>
          <w:p w14:paraId="68E8A3D2" w14:textId="3EB03E77" w:rsidR="00250FA5" w:rsidRPr="00DA1CCA" w:rsidRDefault="006539DF" w:rsidP="00250FA5">
            <w:pPr>
              <w:keepNext/>
              <w:keepLines/>
              <w:widowControl w:val="0"/>
              <w:spacing w:before="0" w:after="0" w:line="254" w:lineRule="auto"/>
              <w:ind w:left="57" w:right="57"/>
              <w:jc w:val="center"/>
              <w:rPr>
                <w:rFonts w:eastAsia="Calibri"/>
                <w:sz w:val="20"/>
                <w:vertAlign w:val="superscript"/>
                <w:lang w:bidi="th-TH"/>
              </w:rPr>
            </w:pPr>
            <w:r w:rsidRPr="00DA1CCA">
              <w:rPr>
                <w:rFonts w:eastAsia="Calibri"/>
                <w:sz w:val="20"/>
                <w:lang w:bidi="th-TH"/>
              </w:rPr>
              <w:t xml:space="preserve">$redacted </w:t>
            </w:r>
            <w:r w:rsidRPr="00DA1CCA">
              <w:rPr>
                <w:rFonts w:eastAsia="Calibri"/>
                <w:sz w:val="20"/>
                <w:vertAlign w:val="superscript"/>
                <w:lang w:bidi="th-TH"/>
              </w:rPr>
              <w:t>1</w:t>
            </w:r>
          </w:p>
        </w:tc>
      </w:tr>
      <w:tr w:rsidR="00250FA5" w:rsidRPr="00250FA5" w14:paraId="56903BA4" w14:textId="77777777" w:rsidTr="00A2043B">
        <w:trPr>
          <w:trHeight w:val="20"/>
        </w:trPr>
        <w:tc>
          <w:tcPr>
            <w:tcW w:w="2038" w:type="pct"/>
            <w:tcBorders>
              <w:top w:val="single" w:sz="4" w:space="0" w:color="auto"/>
              <w:left w:val="single" w:sz="4" w:space="0" w:color="auto"/>
              <w:bottom w:val="single" w:sz="4" w:space="0" w:color="auto"/>
              <w:right w:val="single" w:sz="4" w:space="0" w:color="auto"/>
            </w:tcBorders>
            <w:noWrap/>
            <w:hideMark/>
          </w:tcPr>
          <w:p w14:paraId="4EEE33C4" w14:textId="77777777" w:rsidR="00250FA5" w:rsidRPr="00250FA5" w:rsidRDefault="00250FA5" w:rsidP="00250FA5">
            <w:pPr>
              <w:keepNext/>
              <w:keepLines/>
              <w:spacing w:before="0" w:after="0"/>
              <w:ind w:left="57" w:right="57"/>
              <w:jc w:val="left"/>
              <w:rPr>
                <w:b/>
                <w:sz w:val="20"/>
                <w:lang w:bidi="th-TH"/>
              </w:rPr>
            </w:pPr>
            <w:r w:rsidRPr="00250FA5">
              <w:rPr>
                <w:b/>
                <w:sz w:val="20"/>
                <w:lang w:bidi="th-TH"/>
              </w:rPr>
              <w:t>EA2 (CPS ≥1; pembrolizumab monotherapy versus SOC)</w:t>
            </w:r>
          </w:p>
        </w:tc>
        <w:tc>
          <w:tcPr>
            <w:tcW w:w="708" w:type="pct"/>
            <w:tcBorders>
              <w:top w:val="single" w:sz="4" w:space="0" w:color="auto"/>
              <w:left w:val="single" w:sz="4" w:space="0" w:color="auto"/>
              <w:bottom w:val="single" w:sz="4" w:space="0" w:color="auto"/>
              <w:right w:val="single" w:sz="4" w:space="0" w:color="auto"/>
            </w:tcBorders>
            <w:noWrap/>
            <w:vAlign w:val="center"/>
            <w:hideMark/>
          </w:tcPr>
          <w:p w14:paraId="2344C211" w14:textId="0A592CD5" w:rsidR="00250FA5" w:rsidRPr="00DA1CCA" w:rsidRDefault="00135ED1" w:rsidP="00250FA5">
            <w:pPr>
              <w:keepNext/>
              <w:keepLines/>
              <w:widowControl w:val="0"/>
              <w:spacing w:before="0" w:after="0" w:line="254" w:lineRule="auto"/>
              <w:ind w:left="57" w:right="57"/>
              <w:jc w:val="center"/>
              <w:rPr>
                <w:rFonts w:eastAsia="Calibri"/>
                <w:iCs/>
                <w:sz w:val="20"/>
                <w:lang w:bidi="th-TH"/>
              </w:rPr>
            </w:pPr>
            <w:r w:rsidRPr="00DA1CCA">
              <w:rPr>
                <w:rFonts w:eastAsia="Calibri"/>
                <w:sz w:val="20"/>
              </w:rPr>
              <w:t>$redacted</w:t>
            </w:r>
          </w:p>
        </w:tc>
        <w:tc>
          <w:tcPr>
            <w:tcW w:w="708" w:type="pct"/>
            <w:tcBorders>
              <w:top w:val="single" w:sz="4" w:space="0" w:color="auto"/>
              <w:left w:val="single" w:sz="4" w:space="0" w:color="auto"/>
              <w:bottom w:val="single" w:sz="4" w:space="0" w:color="auto"/>
              <w:right w:val="single" w:sz="4" w:space="0" w:color="auto"/>
            </w:tcBorders>
            <w:vAlign w:val="center"/>
            <w:hideMark/>
          </w:tcPr>
          <w:p w14:paraId="1FD5D42E" w14:textId="77777777" w:rsidR="00250FA5" w:rsidRPr="00DA1CCA" w:rsidRDefault="00250FA5" w:rsidP="00250FA5">
            <w:pPr>
              <w:keepNext/>
              <w:keepLines/>
              <w:widowControl w:val="0"/>
              <w:spacing w:before="0" w:after="0" w:line="254" w:lineRule="auto"/>
              <w:ind w:left="57" w:right="57"/>
              <w:jc w:val="center"/>
              <w:rPr>
                <w:rFonts w:eastAsia="Calibri"/>
                <w:sz w:val="20"/>
                <w:lang w:bidi="th-TH"/>
              </w:rPr>
            </w:pPr>
            <w:r w:rsidRPr="00DA1CCA">
              <w:rPr>
                <w:rFonts w:eastAsia="Calibri"/>
                <w:sz w:val="20"/>
                <w:lang w:bidi="th-TH"/>
              </w:rPr>
              <w:t>0.267</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69399F8E" w14:textId="77777777" w:rsidR="00250FA5" w:rsidRPr="00DA1CCA" w:rsidRDefault="00250FA5" w:rsidP="00250FA5">
            <w:pPr>
              <w:keepNext/>
              <w:keepLines/>
              <w:widowControl w:val="0"/>
              <w:spacing w:before="0" w:after="0" w:line="254" w:lineRule="auto"/>
              <w:ind w:left="57" w:right="57"/>
              <w:jc w:val="center"/>
              <w:rPr>
                <w:rFonts w:eastAsia="Calibri"/>
                <w:sz w:val="20"/>
                <w:lang w:bidi="th-TH"/>
              </w:rPr>
            </w:pPr>
            <w:r w:rsidRPr="00DA1CCA">
              <w:rPr>
                <w:rFonts w:eastAsia="Calibri"/>
                <w:sz w:val="20"/>
                <w:lang w:bidi="th-TH"/>
              </w:rPr>
              <w:t>60%</w:t>
            </w:r>
          </w:p>
        </w:tc>
        <w:tc>
          <w:tcPr>
            <w:tcW w:w="917" w:type="pct"/>
            <w:tcBorders>
              <w:top w:val="single" w:sz="4" w:space="0" w:color="auto"/>
              <w:left w:val="single" w:sz="4" w:space="0" w:color="auto"/>
              <w:bottom w:val="single" w:sz="4" w:space="0" w:color="auto"/>
              <w:right w:val="single" w:sz="4" w:space="0" w:color="auto"/>
            </w:tcBorders>
            <w:noWrap/>
            <w:vAlign w:val="center"/>
            <w:hideMark/>
          </w:tcPr>
          <w:p w14:paraId="62AB094A" w14:textId="1A199370" w:rsidR="00250FA5" w:rsidRPr="00DA1CCA" w:rsidRDefault="006539DF" w:rsidP="00250FA5">
            <w:pPr>
              <w:keepNext/>
              <w:keepLines/>
              <w:widowControl w:val="0"/>
              <w:spacing w:before="0" w:after="0" w:line="254" w:lineRule="auto"/>
              <w:ind w:left="57" w:right="57"/>
              <w:jc w:val="center"/>
              <w:rPr>
                <w:rFonts w:eastAsia="Calibri"/>
                <w:sz w:val="20"/>
                <w:lang w:bidi="th-TH"/>
              </w:rPr>
            </w:pPr>
            <w:r w:rsidRPr="00DA1CCA">
              <w:rPr>
                <w:rFonts w:eastAsia="Calibri"/>
                <w:sz w:val="20"/>
                <w:lang w:bidi="th-TH"/>
              </w:rPr>
              <w:t xml:space="preserve">$redacted </w:t>
            </w:r>
            <w:r w:rsidRPr="00DA1CCA">
              <w:rPr>
                <w:rFonts w:eastAsia="Calibri"/>
                <w:sz w:val="20"/>
                <w:vertAlign w:val="superscript"/>
                <w:lang w:bidi="th-TH"/>
              </w:rPr>
              <w:t>1</w:t>
            </w:r>
          </w:p>
        </w:tc>
      </w:tr>
      <w:tr w:rsidR="00250FA5" w:rsidRPr="00250FA5" w14:paraId="28FE903C" w14:textId="77777777" w:rsidTr="00A2043B">
        <w:trPr>
          <w:trHeight w:val="20"/>
        </w:trPr>
        <w:tc>
          <w:tcPr>
            <w:tcW w:w="4084" w:type="pct"/>
            <w:gridSpan w:val="4"/>
            <w:tcBorders>
              <w:top w:val="single" w:sz="4" w:space="0" w:color="auto"/>
              <w:left w:val="single" w:sz="4" w:space="0" w:color="auto"/>
              <w:bottom w:val="single" w:sz="4" w:space="0" w:color="auto"/>
              <w:right w:val="single" w:sz="4" w:space="0" w:color="auto"/>
            </w:tcBorders>
            <w:noWrap/>
            <w:hideMark/>
          </w:tcPr>
          <w:p w14:paraId="764CE1A9" w14:textId="77777777" w:rsidR="00250FA5" w:rsidRPr="00DA1CCA" w:rsidRDefault="00250FA5" w:rsidP="00A2043B">
            <w:pPr>
              <w:keepNext/>
              <w:keepLines/>
              <w:widowControl w:val="0"/>
              <w:spacing w:before="0" w:after="0" w:line="254" w:lineRule="auto"/>
              <w:ind w:left="57" w:right="57"/>
              <w:jc w:val="left"/>
              <w:rPr>
                <w:rFonts w:eastAsia="Calibri"/>
                <w:b/>
                <w:sz w:val="20"/>
                <w:lang w:bidi="th-TH"/>
              </w:rPr>
            </w:pPr>
            <w:r w:rsidRPr="00DA1CCA">
              <w:rPr>
                <w:rFonts w:eastAsia="Calibri"/>
                <w:b/>
                <w:sz w:val="20"/>
                <w:lang w:bidi="th-TH"/>
              </w:rPr>
              <w:t>Weighted ICER</w:t>
            </w:r>
          </w:p>
        </w:tc>
        <w:tc>
          <w:tcPr>
            <w:tcW w:w="916" w:type="pct"/>
            <w:tcBorders>
              <w:top w:val="single" w:sz="4" w:space="0" w:color="auto"/>
              <w:left w:val="single" w:sz="4" w:space="0" w:color="auto"/>
              <w:bottom w:val="single" w:sz="4" w:space="0" w:color="auto"/>
              <w:right w:val="single" w:sz="4" w:space="0" w:color="auto"/>
            </w:tcBorders>
            <w:noWrap/>
            <w:vAlign w:val="center"/>
            <w:hideMark/>
          </w:tcPr>
          <w:p w14:paraId="7E79FD7D" w14:textId="623A0208" w:rsidR="00250FA5" w:rsidRPr="00DA1CCA" w:rsidRDefault="006539DF" w:rsidP="00250FA5">
            <w:pPr>
              <w:keepNext/>
              <w:keepLines/>
              <w:widowControl w:val="0"/>
              <w:spacing w:before="0" w:after="0" w:line="254" w:lineRule="auto"/>
              <w:ind w:left="57" w:right="57"/>
              <w:jc w:val="center"/>
              <w:rPr>
                <w:rFonts w:eastAsia="Calibri"/>
                <w:sz w:val="20"/>
                <w:lang w:bidi="th-TH"/>
              </w:rPr>
            </w:pPr>
            <w:r w:rsidRPr="00DA1CCA">
              <w:rPr>
                <w:rFonts w:eastAsia="Calibri"/>
                <w:b/>
                <w:bCs/>
                <w:sz w:val="20"/>
                <w:lang w:bidi="th-TH"/>
              </w:rPr>
              <w:t>$redacted</w:t>
            </w:r>
            <w:r w:rsidRPr="00DA1CCA">
              <w:rPr>
                <w:rFonts w:eastAsia="Calibri"/>
                <w:sz w:val="20"/>
                <w:vertAlign w:val="superscript"/>
                <w:lang w:bidi="th-TH"/>
              </w:rPr>
              <w:t>1</w:t>
            </w:r>
          </w:p>
        </w:tc>
      </w:tr>
    </w:tbl>
    <w:p w14:paraId="48F00FF5" w14:textId="77777777" w:rsidR="00250FA5" w:rsidRPr="00250FA5" w:rsidRDefault="00250FA5" w:rsidP="00250FA5">
      <w:pPr>
        <w:keepNext/>
        <w:keepLines/>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CPS = combined positive score; EA = Economic Analysis; ICER = incremental cost-effectiveness ratio; QALY = quality-adjusted life-year</w:t>
      </w:r>
    </w:p>
    <w:p w14:paraId="0A594D69" w14:textId="53A9D530" w:rsidR="00250FA5" w:rsidRDefault="00250FA5" w:rsidP="009059D8">
      <w:pPr>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Source: Table 3.8-15, p257 of the resubmission</w:t>
      </w:r>
    </w:p>
    <w:p w14:paraId="01B11AC0" w14:textId="77777777" w:rsidR="006539DF" w:rsidRPr="00FC0301" w:rsidRDefault="006539DF" w:rsidP="006539DF">
      <w:pPr>
        <w:snapToGrid w:val="0"/>
        <w:spacing w:before="0" w:after="0" w:line="276" w:lineRule="auto"/>
        <w:contextualSpacing/>
        <w:jc w:val="left"/>
        <w:rPr>
          <w:rFonts w:ascii="Arial Narrow" w:eastAsia="Times New Roman" w:hAnsi="Arial Narrow" w:cs="Arial"/>
          <w:sz w:val="18"/>
          <w:lang w:eastAsia="en-AU"/>
        </w:rPr>
      </w:pPr>
      <w:r w:rsidRPr="00FC0301">
        <w:rPr>
          <w:rFonts w:ascii="Arial Narrow" w:eastAsia="Times New Roman" w:hAnsi="Arial Narrow" w:cs="Arial"/>
          <w:i/>
          <w:sz w:val="18"/>
          <w:lang w:eastAsia="en-AU"/>
        </w:rPr>
        <w:t xml:space="preserve">The redacted values correspond to the following ranges: </w:t>
      </w:r>
    </w:p>
    <w:p w14:paraId="35646B01" w14:textId="7EE6E744" w:rsidR="006539DF" w:rsidRPr="006539DF" w:rsidRDefault="006539DF" w:rsidP="006539DF">
      <w:pPr>
        <w:spacing w:before="0" w:after="0"/>
        <w:contextualSpacing/>
        <w:jc w:val="left"/>
        <w:rPr>
          <w:rFonts w:ascii="Arial Narrow" w:eastAsia="Calibri" w:hAnsi="Arial Narrow" w:cs="Times New Roman"/>
          <w:i/>
          <w:sz w:val="18"/>
          <w:szCs w:val="18"/>
        </w:rPr>
      </w:pPr>
      <w:r w:rsidRPr="00FC0301">
        <w:rPr>
          <w:rFonts w:ascii="Arial Narrow" w:eastAsia="Calibri" w:hAnsi="Arial Narrow" w:cs="Times New Roman"/>
          <w:i/>
          <w:sz w:val="18"/>
          <w:szCs w:val="18"/>
          <w:vertAlign w:val="superscript"/>
        </w:rPr>
        <w:t>1</w:t>
      </w:r>
      <w:r w:rsidRPr="00FC0301">
        <w:rPr>
          <w:rFonts w:ascii="Arial Narrow" w:eastAsia="Calibri" w:hAnsi="Arial Narrow" w:cs="Times New Roman"/>
          <w:i/>
          <w:sz w:val="18"/>
          <w:szCs w:val="18"/>
        </w:rPr>
        <w:t xml:space="preserve"> $55,000 to &lt; $75,000</w:t>
      </w:r>
    </w:p>
    <w:p w14:paraId="0292F865" w14:textId="77777777" w:rsidR="006539DF" w:rsidRPr="005702F6" w:rsidRDefault="006539DF" w:rsidP="009059D8">
      <w:pPr>
        <w:snapToGrid w:val="0"/>
        <w:spacing w:before="0" w:after="240"/>
        <w:contextualSpacing/>
        <w:rPr>
          <w:rFonts w:ascii="Arial Narrow" w:eastAsia="Times New Roman" w:hAnsi="Arial Narrow" w:cs="Arial"/>
          <w:sz w:val="18"/>
          <w:szCs w:val="20"/>
        </w:rPr>
      </w:pPr>
    </w:p>
    <w:p w14:paraId="1EFB59B6" w14:textId="6E0EC1DA" w:rsidR="00250FA5" w:rsidRPr="004C7DDA" w:rsidRDefault="00250FA5" w:rsidP="00250FA5">
      <w:pPr>
        <w:jc w:val="left"/>
        <w:rPr>
          <w:rFonts w:ascii="Times New Roman" w:eastAsia="Calibri" w:hAnsi="Times New Roman" w:cs="Times New Roman"/>
          <w:i/>
          <w:szCs w:val="24"/>
        </w:rPr>
      </w:pPr>
      <w:r w:rsidRPr="004C7DDA">
        <w:rPr>
          <w:rFonts w:ascii="Times New Roman" w:eastAsia="Calibri" w:hAnsi="Times New Roman" w:cs="Times New Roman"/>
          <w:szCs w:val="24"/>
        </w:rPr>
        <w:t xml:space="preserve">The key univariate sensitivity analyses around testing thresholds and accuracy of the test are presented in </w:t>
      </w:r>
      <w:r w:rsidRPr="004C7DDA">
        <w:rPr>
          <w:rFonts w:ascii="Times New Roman" w:eastAsia="Calibri" w:hAnsi="Times New Roman" w:cs="Times New Roman"/>
          <w:szCs w:val="24"/>
        </w:rPr>
        <w:fldChar w:fldCharType="begin"/>
      </w:r>
      <w:r w:rsidRPr="004C7DDA">
        <w:rPr>
          <w:rFonts w:ascii="Times New Roman" w:eastAsia="Calibri" w:hAnsi="Times New Roman" w:cs="Times New Roman"/>
          <w:szCs w:val="24"/>
        </w:rPr>
        <w:instrText xml:space="preserve"> REF _Ref80058867 \h  \* MERGEFORMAT </w:instrText>
      </w:r>
      <w:r w:rsidRPr="004C7DDA">
        <w:rPr>
          <w:rFonts w:ascii="Times New Roman" w:eastAsia="Calibri" w:hAnsi="Times New Roman" w:cs="Times New Roman"/>
          <w:szCs w:val="24"/>
        </w:rPr>
      </w:r>
      <w:r w:rsidRPr="004C7DDA">
        <w:rPr>
          <w:rFonts w:ascii="Times New Roman" w:eastAsia="Calibri" w:hAnsi="Times New Roman" w:cs="Times New Roman"/>
          <w:szCs w:val="24"/>
        </w:rPr>
        <w:fldChar w:fldCharType="separate"/>
      </w:r>
      <w:r w:rsidR="000635B6" w:rsidRPr="000635B6">
        <w:rPr>
          <w:rFonts w:ascii="Times New Roman" w:eastAsia="Calibri" w:hAnsi="Times New Roman" w:cs="Times New Roman"/>
          <w:szCs w:val="24"/>
        </w:rPr>
        <w:t xml:space="preserve">Table </w:t>
      </w:r>
      <w:r w:rsidR="000635B6" w:rsidRPr="000635B6">
        <w:rPr>
          <w:rFonts w:ascii="Times New Roman" w:eastAsia="Calibri" w:hAnsi="Times New Roman" w:cs="Times New Roman"/>
          <w:iCs/>
          <w:noProof/>
          <w:szCs w:val="24"/>
        </w:rPr>
        <w:t>1</w:t>
      </w:r>
      <w:r w:rsidR="009059D8">
        <w:rPr>
          <w:rFonts w:ascii="Times New Roman" w:eastAsia="Calibri" w:hAnsi="Times New Roman" w:cs="Times New Roman"/>
          <w:iCs/>
          <w:noProof/>
          <w:szCs w:val="24"/>
        </w:rPr>
        <w:t>5</w:t>
      </w:r>
      <w:r w:rsidRPr="004C7DDA">
        <w:rPr>
          <w:rFonts w:ascii="Times New Roman" w:eastAsia="Calibri" w:hAnsi="Times New Roman" w:cs="Times New Roman"/>
          <w:szCs w:val="24"/>
        </w:rPr>
        <w:fldChar w:fldCharType="end"/>
      </w:r>
      <w:r w:rsidRPr="004C7DDA">
        <w:rPr>
          <w:rFonts w:ascii="Times New Roman" w:eastAsia="Calibri" w:hAnsi="Times New Roman" w:cs="Times New Roman"/>
          <w:szCs w:val="24"/>
        </w:rPr>
        <w:t xml:space="preserve">. The sensitivity analyses presented in the pre-ESC response are presented in </w:t>
      </w:r>
      <w:r w:rsidRPr="004C7DDA">
        <w:rPr>
          <w:rFonts w:ascii="Times New Roman" w:eastAsia="Calibri" w:hAnsi="Times New Roman" w:cs="Times New Roman"/>
          <w:szCs w:val="24"/>
        </w:rPr>
        <w:fldChar w:fldCharType="begin"/>
      </w:r>
      <w:r w:rsidRPr="004C7DDA">
        <w:rPr>
          <w:rFonts w:ascii="Times New Roman" w:eastAsia="Calibri" w:hAnsi="Times New Roman" w:cs="Times New Roman"/>
          <w:szCs w:val="24"/>
        </w:rPr>
        <w:instrText xml:space="preserve"> REF _Ref84943203 \h </w:instrText>
      </w:r>
      <w:r w:rsidR="004C7DDA" w:rsidRPr="004C7DDA">
        <w:rPr>
          <w:rFonts w:ascii="Times New Roman" w:eastAsia="Calibri" w:hAnsi="Times New Roman" w:cs="Times New Roman"/>
          <w:szCs w:val="24"/>
        </w:rPr>
        <w:instrText xml:space="preserve"> \* MERGEFORMAT </w:instrText>
      </w:r>
      <w:r w:rsidRPr="004C7DDA">
        <w:rPr>
          <w:rFonts w:ascii="Times New Roman" w:eastAsia="Calibri" w:hAnsi="Times New Roman" w:cs="Times New Roman"/>
          <w:szCs w:val="24"/>
        </w:rPr>
      </w:r>
      <w:r w:rsidRPr="004C7DDA">
        <w:rPr>
          <w:rFonts w:ascii="Times New Roman" w:eastAsia="Calibri" w:hAnsi="Times New Roman" w:cs="Times New Roman"/>
          <w:szCs w:val="24"/>
        </w:rPr>
        <w:fldChar w:fldCharType="separate"/>
      </w:r>
      <w:r w:rsidR="000635B6" w:rsidRPr="000635B6">
        <w:rPr>
          <w:rFonts w:ascii="Times New Roman" w:eastAsia="Times New Roman" w:hAnsi="Times New Roman" w:cs="Times New Roman"/>
          <w:iCs/>
          <w:szCs w:val="24"/>
        </w:rPr>
        <w:t xml:space="preserve">Table </w:t>
      </w:r>
      <w:r w:rsidR="000635B6" w:rsidRPr="000635B6">
        <w:rPr>
          <w:rFonts w:ascii="Times New Roman" w:eastAsia="Times New Roman" w:hAnsi="Times New Roman" w:cs="Times New Roman"/>
          <w:iCs/>
          <w:noProof/>
          <w:szCs w:val="24"/>
        </w:rPr>
        <w:t>1</w:t>
      </w:r>
      <w:r w:rsidR="009059D8">
        <w:rPr>
          <w:rFonts w:ascii="Times New Roman" w:eastAsia="Times New Roman" w:hAnsi="Times New Roman" w:cs="Times New Roman"/>
          <w:iCs/>
          <w:noProof/>
          <w:szCs w:val="24"/>
        </w:rPr>
        <w:t>6</w:t>
      </w:r>
      <w:r w:rsidRPr="004C7DDA">
        <w:rPr>
          <w:rFonts w:ascii="Times New Roman" w:eastAsia="Calibri" w:hAnsi="Times New Roman" w:cs="Times New Roman"/>
          <w:szCs w:val="24"/>
        </w:rPr>
        <w:fldChar w:fldCharType="end"/>
      </w:r>
      <w:r w:rsidRPr="004C7DDA">
        <w:rPr>
          <w:rFonts w:ascii="Times New Roman" w:eastAsia="Calibri" w:hAnsi="Times New Roman" w:cs="Times New Roman"/>
          <w:szCs w:val="24"/>
        </w:rPr>
        <w:t>.</w:t>
      </w:r>
    </w:p>
    <w:p w14:paraId="2BAD672C" w14:textId="1429369A" w:rsidR="00250FA5" w:rsidRPr="00250FA5" w:rsidRDefault="00250FA5" w:rsidP="00250FA5">
      <w:pPr>
        <w:keepNext/>
        <w:keepLines/>
        <w:widowControl w:val="0"/>
        <w:spacing w:before="0" w:after="0"/>
        <w:ind w:left="992" w:hanging="992"/>
        <w:contextualSpacing/>
        <w:jc w:val="left"/>
        <w:rPr>
          <w:rFonts w:ascii="Arial Narrow" w:eastAsia="Calibri" w:hAnsi="Arial Narrow" w:cs="Arial"/>
          <w:b/>
          <w:iCs/>
          <w:sz w:val="20"/>
          <w:szCs w:val="18"/>
        </w:rPr>
      </w:pPr>
      <w:bookmarkStart w:id="26" w:name="_Ref80058867"/>
      <w:r w:rsidRPr="00250FA5">
        <w:rPr>
          <w:rFonts w:ascii="Arial Narrow" w:eastAsia="Calibri" w:hAnsi="Arial Narrow" w:cs="Times New Roman"/>
          <w:b/>
          <w:iCs/>
          <w:sz w:val="20"/>
          <w:szCs w:val="18"/>
        </w:rPr>
        <w:t xml:space="preserve">Table </w:t>
      </w:r>
      <w:r w:rsidRPr="00250FA5">
        <w:rPr>
          <w:rFonts w:ascii="Arial Narrow" w:eastAsia="Calibri" w:hAnsi="Arial Narrow" w:cs="Times New Roman"/>
          <w:b/>
          <w:iCs/>
          <w:sz w:val="20"/>
          <w:szCs w:val="18"/>
        </w:rPr>
        <w:fldChar w:fldCharType="begin"/>
      </w:r>
      <w:r w:rsidRPr="00250FA5">
        <w:rPr>
          <w:rFonts w:ascii="Arial Narrow" w:eastAsia="Calibri" w:hAnsi="Arial Narrow" w:cs="Times New Roman"/>
          <w:b/>
          <w:iCs/>
          <w:sz w:val="20"/>
          <w:szCs w:val="18"/>
        </w:rPr>
        <w:instrText xml:space="preserve"> SEQ Table \* ARABIC </w:instrText>
      </w:r>
      <w:r w:rsidRPr="00250FA5">
        <w:rPr>
          <w:rFonts w:ascii="Arial Narrow" w:eastAsia="Calibri" w:hAnsi="Arial Narrow" w:cs="Times New Roman"/>
          <w:b/>
          <w:iCs/>
          <w:sz w:val="20"/>
          <w:szCs w:val="18"/>
        </w:rPr>
        <w:fldChar w:fldCharType="separate"/>
      </w:r>
      <w:r w:rsidR="00783DB8">
        <w:rPr>
          <w:rFonts w:ascii="Arial Narrow" w:eastAsia="Calibri" w:hAnsi="Arial Narrow" w:cs="Times New Roman"/>
          <w:b/>
          <w:iCs/>
          <w:noProof/>
          <w:sz w:val="20"/>
          <w:szCs w:val="18"/>
        </w:rPr>
        <w:t>15</w:t>
      </w:r>
      <w:r w:rsidRPr="00250FA5">
        <w:rPr>
          <w:rFonts w:ascii="Arial Narrow" w:eastAsia="Calibri" w:hAnsi="Arial Narrow" w:cs="Times New Roman"/>
          <w:b/>
          <w:iCs/>
          <w:sz w:val="20"/>
          <w:szCs w:val="18"/>
        </w:rPr>
        <w:fldChar w:fldCharType="end"/>
      </w:r>
      <w:bookmarkEnd w:id="26"/>
      <w:r w:rsidRPr="00250FA5">
        <w:rPr>
          <w:rFonts w:ascii="Arial Narrow" w:eastAsia="Calibri" w:hAnsi="Arial Narrow" w:cs="Times New Roman"/>
          <w:b/>
          <w:iCs/>
          <w:sz w:val="20"/>
          <w:szCs w:val="18"/>
        </w:rPr>
        <w:tab/>
        <w:t>Key sensitivity analyses conducted during evaluation</w:t>
      </w:r>
    </w:p>
    <w:tbl>
      <w:tblPr>
        <w:tblStyle w:val="TableGrid2"/>
        <w:tblW w:w="5000" w:type="pct"/>
        <w:tblLayout w:type="fixed"/>
        <w:tblLook w:val="04A0" w:firstRow="1" w:lastRow="0" w:firstColumn="1" w:lastColumn="0" w:noHBand="0" w:noVBand="1"/>
        <w:tblDescription w:val="Key sensitivity analyses conducted during evaluation"/>
      </w:tblPr>
      <w:tblGrid>
        <w:gridCol w:w="2547"/>
        <w:gridCol w:w="1214"/>
        <w:gridCol w:w="1215"/>
        <w:gridCol w:w="1256"/>
        <w:gridCol w:w="1701"/>
        <w:gridCol w:w="1083"/>
      </w:tblGrid>
      <w:tr w:rsidR="00250FA5" w:rsidRPr="00FB1958" w14:paraId="3A7E16A7" w14:textId="77777777" w:rsidTr="00D61853">
        <w:trPr>
          <w:cnfStyle w:val="100000000000" w:firstRow="1" w:lastRow="0" w:firstColumn="0" w:lastColumn="0" w:oddVBand="0" w:evenVBand="0" w:oddHBand="0" w:evenHBand="0" w:firstRowFirstColumn="0" w:firstRowLastColumn="0" w:lastRowFirstColumn="0" w:lastRowLastColumn="0"/>
          <w:trHeight w:val="20"/>
        </w:trPr>
        <w:tc>
          <w:tcPr>
            <w:tcW w:w="2547" w:type="dxa"/>
            <w:tcBorders>
              <w:top w:val="single" w:sz="4" w:space="0" w:color="auto"/>
              <w:left w:val="single" w:sz="4" w:space="0" w:color="auto"/>
              <w:bottom w:val="single" w:sz="4" w:space="0" w:color="auto"/>
              <w:right w:val="single" w:sz="4" w:space="0" w:color="auto"/>
            </w:tcBorders>
            <w:vAlign w:val="center"/>
            <w:hideMark/>
          </w:tcPr>
          <w:p w14:paraId="365BC479" w14:textId="77777777" w:rsidR="00250FA5" w:rsidRPr="00FB1958" w:rsidRDefault="00250FA5" w:rsidP="00250FA5">
            <w:pPr>
              <w:keepNext/>
              <w:keepLines/>
              <w:spacing w:before="0" w:after="0" w:line="256" w:lineRule="auto"/>
              <w:jc w:val="left"/>
              <w:rPr>
                <w:rFonts w:ascii="Arial Narrow" w:hAnsi="Arial Narrow"/>
                <w:b/>
                <w:bCs/>
                <w:sz w:val="20"/>
              </w:rPr>
            </w:pPr>
            <w:r w:rsidRPr="00FB1958">
              <w:rPr>
                <w:rFonts w:ascii="Arial Narrow" w:hAnsi="Arial Narrow"/>
                <w:b/>
                <w:bCs/>
                <w:sz w:val="20"/>
              </w:rPr>
              <w:t>Univariate analyses</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98D265A" w14:textId="77777777" w:rsidR="00250FA5" w:rsidRPr="00FB1958" w:rsidRDefault="00250FA5" w:rsidP="00250FA5">
            <w:pPr>
              <w:keepNext/>
              <w:keepLines/>
              <w:spacing w:before="0" w:after="0" w:line="256" w:lineRule="auto"/>
              <w:jc w:val="center"/>
              <w:rPr>
                <w:rFonts w:ascii="Arial Narrow" w:hAnsi="Arial Narrow"/>
                <w:b/>
                <w:bCs/>
                <w:sz w:val="20"/>
              </w:rPr>
            </w:pPr>
            <w:r w:rsidRPr="00FB1958">
              <w:rPr>
                <w:rFonts w:ascii="Arial Narrow" w:hAnsi="Arial Narrow"/>
                <w:b/>
                <w:bCs/>
                <w:sz w:val="20"/>
              </w:rPr>
              <w:t>Model/ comparison</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7054714" w14:textId="77777777" w:rsidR="00250FA5" w:rsidRPr="00FB1958" w:rsidRDefault="00250FA5" w:rsidP="00250FA5">
            <w:pPr>
              <w:keepNext/>
              <w:keepLines/>
              <w:spacing w:before="0" w:after="0" w:line="256" w:lineRule="auto"/>
              <w:jc w:val="center"/>
              <w:rPr>
                <w:rFonts w:ascii="Arial Narrow" w:hAnsi="Arial Narrow"/>
                <w:b/>
                <w:bCs/>
                <w:sz w:val="20"/>
              </w:rPr>
            </w:pPr>
            <w:r w:rsidRPr="00FB1958">
              <w:rPr>
                <w:rFonts w:ascii="Arial Narrow" w:hAnsi="Arial Narrow"/>
                <w:b/>
                <w:bCs/>
                <w:sz w:val="20"/>
              </w:rPr>
              <w:t>Incremental costs</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08491D2" w14:textId="77777777" w:rsidR="00250FA5" w:rsidRPr="00FB1958" w:rsidRDefault="00250FA5" w:rsidP="00250FA5">
            <w:pPr>
              <w:keepNext/>
              <w:keepLines/>
              <w:spacing w:before="0" w:after="0" w:line="256" w:lineRule="auto"/>
              <w:jc w:val="center"/>
              <w:rPr>
                <w:rFonts w:ascii="Arial Narrow" w:hAnsi="Arial Narrow"/>
                <w:b/>
                <w:bCs/>
                <w:sz w:val="20"/>
              </w:rPr>
            </w:pPr>
            <w:r w:rsidRPr="00FB1958">
              <w:rPr>
                <w:rFonts w:ascii="Arial Narrow" w:hAnsi="Arial Narrow"/>
                <w:b/>
                <w:bCs/>
                <w:sz w:val="20"/>
              </w:rPr>
              <w:t>Incremental effectiveness (QALY)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DB1109" w14:textId="77777777" w:rsidR="00250FA5" w:rsidRPr="00FB1958" w:rsidRDefault="00250FA5" w:rsidP="00250FA5">
            <w:pPr>
              <w:keepNext/>
              <w:keepLines/>
              <w:spacing w:before="0" w:after="0" w:line="256" w:lineRule="auto"/>
              <w:jc w:val="center"/>
              <w:rPr>
                <w:rFonts w:ascii="Arial Narrow" w:hAnsi="Arial Narrow"/>
                <w:b/>
                <w:bCs/>
                <w:sz w:val="20"/>
              </w:rPr>
            </w:pPr>
            <w:r w:rsidRPr="00FB1958">
              <w:rPr>
                <w:rFonts w:ascii="Arial Narrow" w:hAnsi="Arial Narrow"/>
                <w:b/>
                <w:bCs/>
                <w:sz w:val="20"/>
              </w:rPr>
              <w:t>Incremental cost-effectiveness ($/QALY)</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72967C0" w14:textId="77777777" w:rsidR="00250FA5" w:rsidRPr="00FB1958" w:rsidRDefault="00250FA5" w:rsidP="00250FA5">
            <w:pPr>
              <w:keepNext/>
              <w:keepLines/>
              <w:spacing w:before="0" w:after="0" w:line="256" w:lineRule="auto"/>
              <w:jc w:val="center"/>
              <w:rPr>
                <w:rFonts w:ascii="Arial Narrow" w:hAnsi="Arial Narrow"/>
                <w:b/>
                <w:bCs/>
                <w:sz w:val="20"/>
              </w:rPr>
            </w:pPr>
            <w:r w:rsidRPr="00FB1958">
              <w:rPr>
                <w:rFonts w:ascii="Arial Narrow" w:hAnsi="Arial Narrow"/>
                <w:b/>
                <w:bCs/>
                <w:sz w:val="20"/>
              </w:rPr>
              <w:t>% change from base case</w:t>
            </w:r>
          </w:p>
        </w:tc>
      </w:tr>
      <w:tr w:rsidR="00135ED1" w:rsidRPr="00FB1958" w14:paraId="3AE7656A" w14:textId="77777777" w:rsidTr="00DA1CCA">
        <w:trPr>
          <w:trHeight w:val="20"/>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237DFB5" w14:textId="77777777" w:rsidR="00135ED1" w:rsidRPr="00FB1958" w:rsidRDefault="00135ED1" w:rsidP="00135ED1">
            <w:pPr>
              <w:keepNext/>
              <w:keepLines/>
              <w:spacing w:before="0" w:after="0" w:line="256" w:lineRule="auto"/>
              <w:jc w:val="left"/>
              <w:rPr>
                <w:b/>
                <w:bCs/>
                <w:sz w:val="20"/>
              </w:rPr>
            </w:pPr>
            <w:r w:rsidRPr="00FB1958">
              <w:rPr>
                <w:b/>
                <w:bCs/>
                <w:sz w:val="20"/>
              </w:rPr>
              <w:t>Base case</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48DF0D5" w14:textId="77777777" w:rsidR="00135ED1" w:rsidRPr="00FB1958" w:rsidRDefault="00135ED1" w:rsidP="00135ED1">
            <w:pPr>
              <w:keepNext/>
              <w:keepLines/>
              <w:spacing w:before="0" w:after="0" w:line="256" w:lineRule="auto"/>
              <w:jc w:val="left"/>
              <w:rPr>
                <w:b/>
                <w:bCs/>
                <w:sz w:val="20"/>
              </w:rPr>
            </w:pPr>
            <w:r w:rsidRPr="00FB1958">
              <w:rPr>
                <w:b/>
                <w:bCs/>
                <w:sz w:val="20"/>
              </w:rPr>
              <w:t>EA1</w:t>
            </w:r>
          </w:p>
        </w:tc>
        <w:tc>
          <w:tcPr>
            <w:tcW w:w="1215" w:type="dxa"/>
            <w:tcBorders>
              <w:top w:val="single" w:sz="4" w:space="0" w:color="auto"/>
              <w:left w:val="single" w:sz="4" w:space="0" w:color="auto"/>
              <w:bottom w:val="single" w:sz="4" w:space="0" w:color="auto"/>
              <w:right w:val="single" w:sz="4" w:space="0" w:color="auto"/>
            </w:tcBorders>
            <w:noWrap/>
            <w:hideMark/>
          </w:tcPr>
          <w:p w14:paraId="545CD932" w14:textId="64E5C86A" w:rsidR="00135ED1" w:rsidRPr="00DA1CCA" w:rsidRDefault="00135ED1" w:rsidP="00135ED1">
            <w:pPr>
              <w:keepNext/>
              <w:keepLines/>
              <w:spacing w:before="0" w:after="0" w:line="256" w:lineRule="auto"/>
              <w:jc w:val="center"/>
              <w:rPr>
                <w:b/>
                <w:bCs/>
                <w:sz w:val="20"/>
              </w:rPr>
            </w:pPr>
            <w:r w:rsidRPr="00DA1CCA">
              <w:rPr>
                <w:rFonts w:eastAsia="Calibri"/>
                <w:sz w:val="20"/>
              </w:rPr>
              <w:t>$redacted</w:t>
            </w:r>
          </w:p>
        </w:tc>
        <w:tc>
          <w:tcPr>
            <w:tcW w:w="1256" w:type="dxa"/>
            <w:tcBorders>
              <w:top w:val="single" w:sz="4" w:space="0" w:color="auto"/>
              <w:left w:val="single" w:sz="4" w:space="0" w:color="auto"/>
              <w:bottom w:val="single" w:sz="4" w:space="0" w:color="auto"/>
              <w:right w:val="single" w:sz="4" w:space="0" w:color="auto"/>
            </w:tcBorders>
            <w:noWrap/>
            <w:vAlign w:val="center"/>
            <w:hideMark/>
          </w:tcPr>
          <w:p w14:paraId="09052763" w14:textId="77777777" w:rsidR="00135ED1" w:rsidRPr="00FB1958" w:rsidRDefault="00135ED1" w:rsidP="00135ED1">
            <w:pPr>
              <w:keepNext/>
              <w:keepLines/>
              <w:spacing w:before="0" w:after="0" w:line="256" w:lineRule="auto"/>
              <w:jc w:val="center"/>
              <w:rPr>
                <w:b/>
                <w:bCs/>
                <w:sz w:val="20"/>
              </w:rPr>
            </w:pPr>
            <w:r w:rsidRPr="00FB1958">
              <w:rPr>
                <w:b/>
                <w:bCs/>
                <w:sz w:val="20"/>
              </w:rPr>
              <w:t>0.5987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C4BABD" w14:textId="5E4676DA" w:rsidR="00135ED1" w:rsidRPr="00DA1CCA" w:rsidRDefault="006539DF" w:rsidP="00135ED1">
            <w:pPr>
              <w:keepNext/>
              <w:keepLines/>
              <w:spacing w:before="0" w:after="0" w:line="256" w:lineRule="auto"/>
              <w:jc w:val="center"/>
              <w:rPr>
                <w:b/>
                <w:bCs/>
                <w:sz w:val="20"/>
                <w:vertAlign w:val="superscript"/>
              </w:rPr>
            </w:pPr>
            <w:r w:rsidRPr="00DA1CCA">
              <w:rPr>
                <w:b/>
                <w:bCs/>
                <w:sz w:val="20"/>
              </w:rPr>
              <w:t xml:space="preserve">$redacted </w:t>
            </w:r>
            <w:r w:rsidRPr="00DA1CCA">
              <w:rPr>
                <w:b/>
                <w:bCs/>
                <w:sz w:val="20"/>
                <w:vertAlign w:val="superscript"/>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73C99DD" w14:textId="77777777" w:rsidR="00135ED1" w:rsidRPr="00FB1958" w:rsidRDefault="00135ED1" w:rsidP="00135ED1">
            <w:pPr>
              <w:keepNext/>
              <w:keepLines/>
              <w:spacing w:before="0" w:after="0" w:line="256" w:lineRule="auto"/>
              <w:jc w:val="center"/>
              <w:rPr>
                <w:sz w:val="20"/>
              </w:rPr>
            </w:pPr>
            <w:r w:rsidRPr="00FB1958">
              <w:rPr>
                <w:sz w:val="20"/>
              </w:rPr>
              <w:t>-</w:t>
            </w:r>
          </w:p>
        </w:tc>
      </w:tr>
      <w:tr w:rsidR="00135ED1" w:rsidRPr="00FB1958" w14:paraId="6D079FC9" w14:textId="77777777" w:rsidTr="00DA1CCA">
        <w:trPr>
          <w:trHeight w:val="2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A2A5AD7" w14:textId="77777777" w:rsidR="00135ED1" w:rsidRPr="00FB1958" w:rsidRDefault="00135ED1" w:rsidP="00135ED1">
            <w:pPr>
              <w:spacing w:before="0" w:after="0" w:line="256" w:lineRule="auto"/>
              <w:jc w:val="left"/>
              <w:rPr>
                <w:b/>
                <w:bCs/>
                <w:sz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25EBC0F3" w14:textId="77777777" w:rsidR="00135ED1" w:rsidRPr="00FB1958" w:rsidRDefault="00135ED1" w:rsidP="00135ED1">
            <w:pPr>
              <w:keepNext/>
              <w:keepLines/>
              <w:spacing w:before="0" w:after="0" w:line="256" w:lineRule="auto"/>
              <w:jc w:val="left"/>
              <w:rPr>
                <w:b/>
                <w:bCs/>
                <w:sz w:val="20"/>
              </w:rPr>
            </w:pPr>
            <w:r w:rsidRPr="00FB1958">
              <w:rPr>
                <w:b/>
                <w:bCs/>
                <w:sz w:val="20"/>
              </w:rPr>
              <w:t>EA2</w:t>
            </w:r>
          </w:p>
        </w:tc>
        <w:tc>
          <w:tcPr>
            <w:tcW w:w="1215" w:type="dxa"/>
            <w:tcBorders>
              <w:top w:val="single" w:sz="4" w:space="0" w:color="auto"/>
              <w:left w:val="single" w:sz="4" w:space="0" w:color="auto"/>
              <w:bottom w:val="single" w:sz="4" w:space="0" w:color="auto"/>
              <w:right w:val="single" w:sz="4" w:space="0" w:color="auto"/>
            </w:tcBorders>
            <w:noWrap/>
            <w:hideMark/>
          </w:tcPr>
          <w:p w14:paraId="6055F1C2" w14:textId="5EFBD680" w:rsidR="00135ED1" w:rsidRPr="00DA1CCA" w:rsidRDefault="00135ED1" w:rsidP="00135ED1">
            <w:pPr>
              <w:keepNext/>
              <w:keepLines/>
              <w:spacing w:before="0" w:after="0" w:line="256" w:lineRule="auto"/>
              <w:jc w:val="center"/>
              <w:rPr>
                <w:b/>
                <w:bCs/>
                <w:sz w:val="20"/>
              </w:rPr>
            </w:pPr>
            <w:r w:rsidRPr="00DA1CCA">
              <w:rPr>
                <w:rFonts w:eastAsia="Calibri"/>
                <w:sz w:val="20"/>
              </w:rPr>
              <w:t>$redacted</w:t>
            </w:r>
          </w:p>
        </w:tc>
        <w:tc>
          <w:tcPr>
            <w:tcW w:w="1256" w:type="dxa"/>
            <w:tcBorders>
              <w:top w:val="single" w:sz="4" w:space="0" w:color="auto"/>
              <w:left w:val="single" w:sz="4" w:space="0" w:color="auto"/>
              <w:bottom w:val="single" w:sz="4" w:space="0" w:color="auto"/>
              <w:right w:val="single" w:sz="4" w:space="0" w:color="auto"/>
            </w:tcBorders>
            <w:noWrap/>
            <w:vAlign w:val="center"/>
            <w:hideMark/>
          </w:tcPr>
          <w:p w14:paraId="5C288441" w14:textId="77777777" w:rsidR="00135ED1" w:rsidRPr="00FB1958" w:rsidRDefault="00135ED1" w:rsidP="00135ED1">
            <w:pPr>
              <w:keepNext/>
              <w:keepLines/>
              <w:spacing w:before="0" w:after="0" w:line="256" w:lineRule="auto"/>
              <w:jc w:val="center"/>
              <w:rPr>
                <w:b/>
                <w:bCs/>
                <w:sz w:val="20"/>
              </w:rPr>
            </w:pPr>
            <w:r w:rsidRPr="00FB1958">
              <w:rPr>
                <w:b/>
                <w:bCs/>
                <w:sz w:val="20"/>
              </w:rPr>
              <w:t>0.3501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669738" w14:textId="7E60C549" w:rsidR="00135ED1" w:rsidRPr="00DA1CCA" w:rsidRDefault="006539DF" w:rsidP="00135ED1">
            <w:pPr>
              <w:keepNext/>
              <w:keepLines/>
              <w:spacing w:before="0" w:after="0" w:line="256" w:lineRule="auto"/>
              <w:jc w:val="center"/>
              <w:rPr>
                <w:b/>
                <w:bCs/>
                <w:sz w:val="20"/>
                <w:vertAlign w:val="superscript"/>
              </w:rPr>
            </w:pPr>
            <w:r w:rsidRPr="00DA1CCA">
              <w:rPr>
                <w:b/>
                <w:bCs/>
                <w:sz w:val="20"/>
              </w:rPr>
              <w:t xml:space="preserve">$redacted </w:t>
            </w:r>
            <w:r w:rsidRPr="00DA1CCA">
              <w:rPr>
                <w:b/>
                <w:bCs/>
                <w:sz w:val="20"/>
                <w:vertAlign w:val="superscript"/>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C3FE83" w14:textId="77777777" w:rsidR="00135ED1" w:rsidRPr="00FB1958" w:rsidRDefault="00135ED1" w:rsidP="00135ED1">
            <w:pPr>
              <w:keepNext/>
              <w:keepLines/>
              <w:spacing w:before="0" w:after="0" w:line="256" w:lineRule="auto"/>
              <w:jc w:val="center"/>
              <w:rPr>
                <w:sz w:val="20"/>
              </w:rPr>
            </w:pPr>
            <w:r w:rsidRPr="00FB1958">
              <w:rPr>
                <w:sz w:val="20"/>
              </w:rPr>
              <w:t>-</w:t>
            </w:r>
          </w:p>
        </w:tc>
      </w:tr>
      <w:tr w:rsidR="00FB1958" w:rsidRPr="00FB1958" w14:paraId="272BF5F0" w14:textId="77777777" w:rsidTr="00FB1958">
        <w:trPr>
          <w:trHeight w:val="209"/>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889C4B3" w14:textId="77777777" w:rsidR="00FB1958" w:rsidRPr="00FB1958" w:rsidRDefault="00FB1958" w:rsidP="00FB1958">
            <w:pPr>
              <w:spacing w:before="0" w:after="0" w:line="256" w:lineRule="auto"/>
              <w:jc w:val="left"/>
              <w:rPr>
                <w:b/>
                <w:bCs/>
                <w:sz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384BE969" w14:textId="4B1A1606" w:rsidR="00FB1958" w:rsidRPr="00FB1958" w:rsidRDefault="00FB1958" w:rsidP="00FB1958">
            <w:pPr>
              <w:keepNext/>
              <w:keepLines/>
              <w:spacing w:before="0" w:after="0" w:line="256" w:lineRule="auto"/>
              <w:jc w:val="left"/>
              <w:rPr>
                <w:b/>
                <w:bCs/>
                <w:sz w:val="20"/>
              </w:rPr>
            </w:pPr>
            <w:r w:rsidRPr="00FB1958">
              <w:rPr>
                <w:b/>
                <w:bCs/>
                <w:sz w:val="20"/>
              </w:rPr>
              <w:t>Weighted</w:t>
            </w:r>
          </w:p>
        </w:tc>
        <w:tc>
          <w:tcPr>
            <w:tcW w:w="1215" w:type="dxa"/>
            <w:tcBorders>
              <w:top w:val="single" w:sz="4" w:space="0" w:color="auto"/>
              <w:left w:val="single" w:sz="4" w:space="0" w:color="auto"/>
              <w:bottom w:val="single" w:sz="4" w:space="0" w:color="auto"/>
              <w:right w:val="single" w:sz="4" w:space="0" w:color="auto"/>
            </w:tcBorders>
            <w:noWrap/>
            <w:vAlign w:val="center"/>
            <w:hideMark/>
          </w:tcPr>
          <w:p w14:paraId="53462794" w14:textId="77777777" w:rsidR="00FB1958" w:rsidRPr="00DA1CCA" w:rsidRDefault="00FB1958" w:rsidP="00FB1958">
            <w:pPr>
              <w:spacing w:before="0" w:after="0"/>
              <w:rPr>
                <w:rFonts w:eastAsia="Calibri" w:cs="Arial"/>
                <w:b/>
                <w:bCs/>
                <w:sz w:val="20"/>
              </w:rPr>
            </w:pPr>
          </w:p>
        </w:tc>
        <w:tc>
          <w:tcPr>
            <w:tcW w:w="1256" w:type="dxa"/>
            <w:tcBorders>
              <w:top w:val="single" w:sz="4" w:space="0" w:color="auto"/>
              <w:left w:val="single" w:sz="4" w:space="0" w:color="auto"/>
              <w:bottom w:val="single" w:sz="4" w:space="0" w:color="auto"/>
              <w:right w:val="single" w:sz="4" w:space="0" w:color="auto"/>
            </w:tcBorders>
            <w:noWrap/>
            <w:vAlign w:val="center"/>
            <w:hideMark/>
          </w:tcPr>
          <w:p w14:paraId="456928B7" w14:textId="77777777" w:rsidR="00FB1958" w:rsidRPr="00FB1958" w:rsidRDefault="00FB1958" w:rsidP="00FB1958">
            <w:pPr>
              <w:spacing w:before="0" w:after="0" w:line="256" w:lineRule="auto"/>
              <w:jc w:val="left"/>
              <w:rPr>
                <w:rFonts w:eastAsia="Calibri" w:cs="Arial"/>
                <w:sz w:val="20"/>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4BC70D" w14:textId="7EB7758E" w:rsidR="00FB1958" w:rsidRPr="00DA1CCA" w:rsidRDefault="006539DF" w:rsidP="00FB1958">
            <w:pPr>
              <w:keepNext/>
              <w:keepLines/>
              <w:spacing w:before="0" w:after="0" w:line="256" w:lineRule="auto"/>
              <w:jc w:val="center"/>
              <w:rPr>
                <w:b/>
                <w:bCs/>
                <w:sz w:val="20"/>
              </w:rPr>
            </w:pPr>
            <w:r w:rsidRPr="00DA1CCA">
              <w:rPr>
                <w:b/>
                <w:bCs/>
                <w:sz w:val="20"/>
              </w:rPr>
              <w:t xml:space="preserve">$redacted </w:t>
            </w:r>
            <w:r w:rsidRPr="00DA1CCA">
              <w:rPr>
                <w:b/>
                <w:bCs/>
                <w:sz w:val="20"/>
                <w:vertAlign w:val="superscript"/>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C201E01" w14:textId="77777777" w:rsidR="00FB1958" w:rsidRPr="00FB1958" w:rsidRDefault="00FB1958" w:rsidP="00FB1958">
            <w:pPr>
              <w:keepNext/>
              <w:keepLines/>
              <w:spacing w:before="0" w:after="0" w:line="256" w:lineRule="auto"/>
              <w:jc w:val="center"/>
              <w:rPr>
                <w:sz w:val="20"/>
              </w:rPr>
            </w:pPr>
            <w:r w:rsidRPr="00FB1958">
              <w:rPr>
                <w:sz w:val="20"/>
              </w:rPr>
              <w:t>-</w:t>
            </w:r>
          </w:p>
        </w:tc>
      </w:tr>
      <w:tr w:rsidR="006539DF" w:rsidRPr="00FB1958" w14:paraId="188795A0" w14:textId="77777777" w:rsidTr="00DA1CCA">
        <w:trPr>
          <w:trHeight w:val="20"/>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C86CF7A" w14:textId="77777777" w:rsidR="006539DF" w:rsidRPr="00FB1958" w:rsidRDefault="006539DF" w:rsidP="006539DF">
            <w:pPr>
              <w:keepNext/>
              <w:keepLines/>
              <w:spacing w:before="0" w:after="0" w:line="256" w:lineRule="auto"/>
              <w:jc w:val="left"/>
              <w:rPr>
                <w:sz w:val="20"/>
              </w:rPr>
            </w:pPr>
            <w:r w:rsidRPr="00FB1958">
              <w:rPr>
                <w:sz w:val="20"/>
              </w:rPr>
              <w:t>Patient inclusion threshold CPS ≥20 (base case CPS ≥1)</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AD26C9D" w14:textId="77777777" w:rsidR="006539DF" w:rsidRPr="00FB1958" w:rsidRDefault="006539DF" w:rsidP="006539DF">
            <w:pPr>
              <w:keepNext/>
              <w:keepLines/>
              <w:spacing w:before="0" w:after="0" w:line="256" w:lineRule="auto"/>
              <w:jc w:val="left"/>
              <w:rPr>
                <w:sz w:val="20"/>
              </w:rPr>
            </w:pPr>
            <w:r w:rsidRPr="00FB1958">
              <w:rPr>
                <w:sz w:val="20"/>
              </w:rPr>
              <w:t>EA1</w:t>
            </w:r>
          </w:p>
        </w:tc>
        <w:tc>
          <w:tcPr>
            <w:tcW w:w="1215" w:type="dxa"/>
            <w:tcBorders>
              <w:top w:val="single" w:sz="4" w:space="0" w:color="auto"/>
              <w:left w:val="single" w:sz="4" w:space="0" w:color="auto"/>
              <w:bottom w:val="single" w:sz="4" w:space="0" w:color="auto"/>
              <w:right w:val="single" w:sz="4" w:space="0" w:color="auto"/>
            </w:tcBorders>
            <w:noWrap/>
            <w:hideMark/>
          </w:tcPr>
          <w:p w14:paraId="359D8F17" w14:textId="5F25CEDB" w:rsidR="006539DF" w:rsidRPr="00DA1CCA" w:rsidRDefault="006539DF" w:rsidP="006539DF">
            <w:pPr>
              <w:keepNext/>
              <w:keepLines/>
              <w:spacing w:before="0" w:after="0" w:line="256" w:lineRule="auto"/>
              <w:jc w:val="center"/>
              <w:rPr>
                <w:sz w:val="20"/>
              </w:rPr>
            </w:pPr>
            <w:r w:rsidRPr="00DA1CCA">
              <w:rPr>
                <w:rFonts w:eastAsia="Calibri"/>
                <w:sz w:val="20"/>
              </w:rPr>
              <w:t>$redacted</w:t>
            </w:r>
          </w:p>
        </w:tc>
        <w:tc>
          <w:tcPr>
            <w:tcW w:w="1256" w:type="dxa"/>
            <w:tcBorders>
              <w:top w:val="single" w:sz="4" w:space="0" w:color="auto"/>
              <w:left w:val="single" w:sz="4" w:space="0" w:color="auto"/>
              <w:bottom w:val="single" w:sz="4" w:space="0" w:color="auto"/>
              <w:right w:val="single" w:sz="4" w:space="0" w:color="auto"/>
            </w:tcBorders>
            <w:noWrap/>
            <w:vAlign w:val="center"/>
            <w:hideMark/>
          </w:tcPr>
          <w:p w14:paraId="788726D7" w14:textId="77777777" w:rsidR="006539DF" w:rsidRPr="00FB1958" w:rsidRDefault="006539DF" w:rsidP="006539DF">
            <w:pPr>
              <w:keepNext/>
              <w:keepLines/>
              <w:spacing w:before="0" w:after="0" w:line="256" w:lineRule="auto"/>
              <w:jc w:val="center"/>
              <w:rPr>
                <w:sz w:val="20"/>
              </w:rPr>
            </w:pPr>
            <w:r w:rsidRPr="00FB1958">
              <w:rPr>
                <w:sz w:val="20"/>
              </w:rPr>
              <w:t>0.7397</w:t>
            </w:r>
          </w:p>
        </w:tc>
        <w:tc>
          <w:tcPr>
            <w:tcW w:w="1701" w:type="dxa"/>
            <w:tcBorders>
              <w:top w:val="single" w:sz="4" w:space="0" w:color="auto"/>
              <w:left w:val="single" w:sz="4" w:space="0" w:color="auto"/>
              <w:bottom w:val="single" w:sz="4" w:space="0" w:color="auto"/>
              <w:right w:val="single" w:sz="4" w:space="0" w:color="auto"/>
            </w:tcBorders>
            <w:noWrap/>
            <w:hideMark/>
          </w:tcPr>
          <w:p w14:paraId="73E9FCDD" w14:textId="487D9494" w:rsidR="006539DF" w:rsidRPr="00DA1CCA" w:rsidRDefault="006539DF" w:rsidP="006539DF">
            <w:pPr>
              <w:keepNext/>
              <w:keepLines/>
              <w:spacing w:before="0" w:after="0" w:line="256" w:lineRule="auto"/>
              <w:jc w:val="center"/>
              <w:rPr>
                <w:sz w:val="20"/>
              </w:rPr>
            </w:pPr>
            <w:r w:rsidRPr="00DA1CCA">
              <w:rPr>
                <w:b/>
                <w:bCs/>
                <w:sz w:val="20"/>
              </w:rPr>
              <w:t xml:space="preserve">$redacted </w:t>
            </w:r>
            <w:r w:rsidRPr="00DA1CCA">
              <w:rPr>
                <w:b/>
                <w:bCs/>
                <w:sz w:val="20"/>
                <w:vertAlign w:val="superscript"/>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296A6BD" w14:textId="77777777" w:rsidR="006539DF" w:rsidRPr="00FB1958" w:rsidRDefault="006539DF" w:rsidP="006539DF">
            <w:pPr>
              <w:keepNext/>
              <w:keepLines/>
              <w:spacing w:before="0" w:after="0" w:line="256" w:lineRule="auto"/>
              <w:jc w:val="center"/>
              <w:rPr>
                <w:sz w:val="20"/>
              </w:rPr>
            </w:pPr>
            <w:r w:rsidRPr="00FB1958">
              <w:rPr>
                <w:sz w:val="20"/>
              </w:rPr>
              <w:t>-3.06%</w:t>
            </w:r>
          </w:p>
        </w:tc>
      </w:tr>
      <w:tr w:rsidR="006539DF" w:rsidRPr="00FB1958" w14:paraId="0E66506E" w14:textId="77777777" w:rsidTr="00DA1CCA">
        <w:trPr>
          <w:trHeight w:val="2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483E36F" w14:textId="77777777" w:rsidR="006539DF" w:rsidRPr="00FB1958" w:rsidRDefault="006539DF" w:rsidP="006539DF">
            <w:pPr>
              <w:spacing w:before="0" w:after="0" w:line="256" w:lineRule="auto"/>
              <w:jc w:val="left"/>
              <w:rPr>
                <w:sz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72B8D7A9" w14:textId="77777777" w:rsidR="006539DF" w:rsidRPr="00FB1958" w:rsidRDefault="006539DF" w:rsidP="006539DF">
            <w:pPr>
              <w:keepNext/>
              <w:keepLines/>
              <w:spacing w:before="0" w:after="0" w:line="256" w:lineRule="auto"/>
              <w:jc w:val="left"/>
              <w:rPr>
                <w:sz w:val="20"/>
              </w:rPr>
            </w:pPr>
            <w:r w:rsidRPr="00FB1958">
              <w:rPr>
                <w:sz w:val="20"/>
              </w:rPr>
              <w:t>EA2</w:t>
            </w:r>
          </w:p>
        </w:tc>
        <w:tc>
          <w:tcPr>
            <w:tcW w:w="1215" w:type="dxa"/>
            <w:tcBorders>
              <w:top w:val="single" w:sz="4" w:space="0" w:color="auto"/>
              <w:left w:val="single" w:sz="4" w:space="0" w:color="auto"/>
              <w:bottom w:val="single" w:sz="4" w:space="0" w:color="auto"/>
              <w:right w:val="single" w:sz="4" w:space="0" w:color="auto"/>
            </w:tcBorders>
            <w:noWrap/>
            <w:hideMark/>
          </w:tcPr>
          <w:p w14:paraId="38367365" w14:textId="5E725B6F" w:rsidR="006539DF" w:rsidRPr="00DA1CCA" w:rsidRDefault="006539DF" w:rsidP="006539DF">
            <w:pPr>
              <w:keepNext/>
              <w:keepLines/>
              <w:spacing w:before="0" w:after="0" w:line="256" w:lineRule="auto"/>
              <w:jc w:val="center"/>
              <w:rPr>
                <w:sz w:val="20"/>
              </w:rPr>
            </w:pPr>
            <w:r w:rsidRPr="00DA1CCA">
              <w:rPr>
                <w:rFonts w:eastAsia="Calibri"/>
                <w:sz w:val="20"/>
              </w:rPr>
              <w:t>$redacted</w:t>
            </w:r>
          </w:p>
        </w:tc>
        <w:tc>
          <w:tcPr>
            <w:tcW w:w="1256" w:type="dxa"/>
            <w:tcBorders>
              <w:top w:val="single" w:sz="4" w:space="0" w:color="auto"/>
              <w:left w:val="single" w:sz="4" w:space="0" w:color="auto"/>
              <w:bottom w:val="single" w:sz="4" w:space="0" w:color="auto"/>
              <w:right w:val="single" w:sz="4" w:space="0" w:color="auto"/>
            </w:tcBorders>
            <w:noWrap/>
            <w:vAlign w:val="center"/>
            <w:hideMark/>
          </w:tcPr>
          <w:p w14:paraId="1BF5AD0E" w14:textId="77777777" w:rsidR="006539DF" w:rsidRPr="00FB1958" w:rsidRDefault="006539DF" w:rsidP="006539DF">
            <w:pPr>
              <w:keepNext/>
              <w:keepLines/>
              <w:spacing w:before="0" w:after="0" w:line="256" w:lineRule="auto"/>
              <w:jc w:val="center"/>
              <w:rPr>
                <w:sz w:val="20"/>
              </w:rPr>
            </w:pPr>
            <w:r w:rsidRPr="00FB1958">
              <w:rPr>
                <w:sz w:val="20"/>
              </w:rPr>
              <w:t>0.5063</w:t>
            </w:r>
          </w:p>
        </w:tc>
        <w:tc>
          <w:tcPr>
            <w:tcW w:w="1701" w:type="dxa"/>
            <w:tcBorders>
              <w:top w:val="single" w:sz="4" w:space="0" w:color="auto"/>
              <w:left w:val="single" w:sz="4" w:space="0" w:color="auto"/>
              <w:bottom w:val="single" w:sz="4" w:space="0" w:color="auto"/>
              <w:right w:val="single" w:sz="4" w:space="0" w:color="auto"/>
            </w:tcBorders>
            <w:noWrap/>
            <w:hideMark/>
          </w:tcPr>
          <w:p w14:paraId="3AFCB0E0" w14:textId="642A907B" w:rsidR="006539DF" w:rsidRPr="00DA1CCA" w:rsidRDefault="006539DF" w:rsidP="006539DF">
            <w:pPr>
              <w:keepNext/>
              <w:keepLines/>
              <w:spacing w:before="0" w:after="0" w:line="256" w:lineRule="auto"/>
              <w:jc w:val="center"/>
              <w:rPr>
                <w:sz w:val="20"/>
              </w:rPr>
            </w:pPr>
            <w:r w:rsidRPr="00DA1CCA">
              <w:rPr>
                <w:b/>
                <w:bCs/>
                <w:sz w:val="20"/>
              </w:rPr>
              <w:t xml:space="preserve">$redacted </w:t>
            </w:r>
            <w:r w:rsidRPr="00DA1CCA">
              <w:rPr>
                <w:b/>
                <w:bCs/>
                <w:sz w:val="20"/>
                <w:vertAlign w:val="superscript"/>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B1A6376" w14:textId="77777777" w:rsidR="006539DF" w:rsidRPr="00FB1958" w:rsidRDefault="006539DF" w:rsidP="006539DF">
            <w:pPr>
              <w:keepNext/>
              <w:keepLines/>
              <w:spacing w:before="0" w:after="0" w:line="256" w:lineRule="auto"/>
              <w:jc w:val="center"/>
              <w:rPr>
                <w:sz w:val="20"/>
              </w:rPr>
            </w:pPr>
            <w:r w:rsidRPr="00FB1958">
              <w:rPr>
                <w:sz w:val="20"/>
              </w:rPr>
              <w:t>-13.36%</w:t>
            </w:r>
          </w:p>
        </w:tc>
      </w:tr>
      <w:tr w:rsidR="006539DF" w:rsidRPr="00FB1958" w14:paraId="7D9E47C6" w14:textId="77777777" w:rsidTr="00DA1CCA">
        <w:trPr>
          <w:trHeight w:val="2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284609" w14:textId="77777777" w:rsidR="006539DF" w:rsidRPr="00FB1958" w:rsidRDefault="006539DF" w:rsidP="006539DF">
            <w:pPr>
              <w:spacing w:before="0" w:after="0" w:line="256" w:lineRule="auto"/>
              <w:jc w:val="left"/>
              <w:rPr>
                <w:sz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521371FA" w14:textId="77777777" w:rsidR="006539DF" w:rsidRPr="00FB1958" w:rsidRDefault="006539DF" w:rsidP="006539DF">
            <w:pPr>
              <w:keepNext/>
              <w:keepLines/>
              <w:spacing w:before="0" w:after="0" w:line="256" w:lineRule="auto"/>
              <w:jc w:val="left"/>
              <w:rPr>
                <w:sz w:val="20"/>
              </w:rPr>
            </w:pPr>
            <w:r w:rsidRPr="00FB1958">
              <w:rPr>
                <w:sz w:val="20"/>
              </w:rPr>
              <w:t>Weighted</w:t>
            </w:r>
          </w:p>
        </w:tc>
        <w:tc>
          <w:tcPr>
            <w:tcW w:w="1215" w:type="dxa"/>
            <w:tcBorders>
              <w:top w:val="single" w:sz="4" w:space="0" w:color="auto"/>
              <w:left w:val="single" w:sz="4" w:space="0" w:color="auto"/>
              <w:bottom w:val="single" w:sz="4" w:space="0" w:color="auto"/>
              <w:right w:val="single" w:sz="4" w:space="0" w:color="auto"/>
            </w:tcBorders>
            <w:noWrap/>
            <w:vAlign w:val="center"/>
            <w:hideMark/>
          </w:tcPr>
          <w:p w14:paraId="4F087230" w14:textId="77777777" w:rsidR="006539DF" w:rsidRPr="00DA1CCA" w:rsidRDefault="006539DF" w:rsidP="006539DF">
            <w:pPr>
              <w:spacing w:before="0" w:after="0"/>
              <w:rPr>
                <w:rFonts w:eastAsia="Calibri" w:cs="Arial"/>
                <w:sz w:val="20"/>
              </w:rPr>
            </w:pPr>
          </w:p>
        </w:tc>
        <w:tc>
          <w:tcPr>
            <w:tcW w:w="1256" w:type="dxa"/>
            <w:tcBorders>
              <w:top w:val="single" w:sz="4" w:space="0" w:color="auto"/>
              <w:left w:val="single" w:sz="4" w:space="0" w:color="auto"/>
              <w:bottom w:val="single" w:sz="4" w:space="0" w:color="auto"/>
              <w:right w:val="single" w:sz="4" w:space="0" w:color="auto"/>
            </w:tcBorders>
            <w:noWrap/>
            <w:vAlign w:val="center"/>
            <w:hideMark/>
          </w:tcPr>
          <w:p w14:paraId="12118AA2" w14:textId="77777777" w:rsidR="006539DF" w:rsidRPr="00FB1958" w:rsidRDefault="006539DF" w:rsidP="006539DF">
            <w:pPr>
              <w:spacing w:before="0" w:after="0" w:line="256" w:lineRule="auto"/>
              <w:jc w:val="left"/>
              <w:rPr>
                <w:rFonts w:eastAsia="Calibri" w:cs="Arial"/>
                <w:sz w:val="20"/>
              </w:rPr>
            </w:pPr>
          </w:p>
        </w:tc>
        <w:tc>
          <w:tcPr>
            <w:tcW w:w="1701" w:type="dxa"/>
            <w:tcBorders>
              <w:top w:val="single" w:sz="4" w:space="0" w:color="auto"/>
              <w:left w:val="single" w:sz="4" w:space="0" w:color="auto"/>
              <w:bottom w:val="single" w:sz="4" w:space="0" w:color="auto"/>
              <w:right w:val="single" w:sz="4" w:space="0" w:color="auto"/>
            </w:tcBorders>
            <w:noWrap/>
            <w:hideMark/>
          </w:tcPr>
          <w:p w14:paraId="4600319B" w14:textId="45E98D2F" w:rsidR="006539DF" w:rsidRPr="00DA1CCA" w:rsidRDefault="006539DF" w:rsidP="006539DF">
            <w:pPr>
              <w:keepNext/>
              <w:keepLines/>
              <w:spacing w:before="0" w:after="0" w:line="256" w:lineRule="auto"/>
              <w:jc w:val="center"/>
              <w:rPr>
                <w:sz w:val="20"/>
              </w:rPr>
            </w:pPr>
            <w:r w:rsidRPr="00DA1CCA">
              <w:rPr>
                <w:b/>
                <w:bCs/>
                <w:sz w:val="20"/>
              </w:rPr>
              <w:t xml:space="preserve">$redacted </w:t>
            </w:r>
            <w:r w:rsidRPr="00DA1CCA">
              <w:rPr>
                <w:b/>
                <w:bCs/>
                <w:sz w:val="20"/>
                <w:vertAlign w:val="superscript"/>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7BEF76" w14:textId="77777777" w:rsidR="006539DF" w:rsidRPr="00FB1958" w:rsidRDefault="006539DF" w:rsidP="006539DF">
            <w:pPr>
              <w:keepNext/>
              <w:keepLines/>
              <w:spacing w:before="0" w:after="0" w:line="256" w:lineRule="auto"/>
              <w:jc w:val="center"/>
              <w:rPr>
                <w:sz w:val="20"/>
              </w:rPr>
            </w:pPr>
            <w:r w:rsidRPr="00FB1958">
              <w:rPr>
                <w:sz w:val="20"/>
              </w:rPr>
              <w:t>-8.10%</w:t>
            </w:r>
          </w:p>
        </w:tc>
      </w:tr>
      <w:tr w:rsidR="006539DF" w:rsidRPr="00FB1958" w14:paraId="5F70E0B5" w14:textId="77777777" w:rsidTr="00DA1CCA">
        <w:trPr>
          <w:trHeight w:val="20"/>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3C3462D4" w14:textId="77777777" w:rsidR="006539DF" w:rsidRPr="00FB1958" w:rsidRDefault="006539DF" w:rsidP="006539DF">
            <w:pPr>
              <w:keepNext/>
              <w:keepLines/>
              <w:spacing w:before="0" w:after="0" w:line="256" w:lineRule="auto"/>
              <w:jc w:val="left"/>
              <w:rPr>
                <w:sz w:val="20"/>
                <w:vertAlign w:val="superscript"/>
              </w:rPr>
            </w:pPr>
            <w:r w:rsidRPr="00FB1958">
              <w:rPr>
                <w:sz w:val="20"/>
              </w:rPr>
              <w:t>No CPS testing in model, all patients treated (base case CPS ≥1) i.e. SA1</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0C02812" w14:textId="77777777" w:rsidR="006539DF" w:rsidRPr="00FB1958" w:rsidRDefault="006539DF" w:rsidP="006539DF">
            <w:pPr>
              <w:keepNext/>
              <w:keepLines/>
              <w:spacing w:before="0" w:after="0" w:line="256" w:lineRule="auto"/>
              <w:jc w:val="left"/>
              <w:rPr>
                <w:sz w:val="20"/>
              </w:rPr>
            </w:pPr>
            <w:r w:rsidRPr="00FB1958">
              <w:rPr>
                <w:sz w:val="20"/>
              </w:rPr>
              <w:t>EA1</w:t>
            </w:r>
          </w:p>
        </w:tc>
        <w:tc>
          <w:tcPr>
            <w:tcW w:w="1215" w:type="dxa"/>
            <w:tcBorders>
              <w:top w:val="single" w:sz="4" w:space="0" w:color="auto"/>
              <w:left w:val="single" w:sz="4" w:space="0" w:color="auto"/>
              <w:bottom w:val="single" w:sz="4" w:space="0" w:color="auto"/>
              <w:right w:val="single" w:sz="4" w:space="0" w:color="auto"/>
            </w:tcBorders>
            <w:noWrap/>
            <w:hideMark/>
          </w:tcPr>
          <w:p w14:paraId="26CE1834" w14:textId="0B957590" w:rsidR="006539DF" w:rsidRPr="00DA1CCA" w:rsidRDefault="006539DF" w:rsidP="006539DF">
            <w:pPr>
              <w:keepNext/>
              <w:keepLines/>
              <w:spacing w:before="0" w:after="0" w:line="256" w:lineRule="auto"/>
              <w:jc w:val="center"/>
              <w:rPr>
                <w:sz w:val="20"/>
              </w:rPr>
            </w:pPr>
            <w:r w:rsidRPr="00DA1CCA">
              <w:rPr>
                <w:rFonts w:eastAsia="Calibri"/>
                <w:sz w:val="20"/>
              </w:rPr>
              <w:t>$redacted</w:t>
            </w:r>
          </w:p>
        </w:tc>
        <w:tc>
          <w:tcPr>
            <w:tcW w:w="1256" w:type="dxa"/>
            <w:tcBorders>
              <w:top w:val="single" w:sz="4" w:space="0" w:color="auto"/>
              <w:left w:val="single" w:sz="4" w:space="0" w:color="auto"/>
              <w:bottom w:val="single" w:sz="4" w:space="0" w:color="auto"/>
              <w:right w:val="single" w:sz="4" w:space="0" w:color="auto"/>
            </w:tcBorders>
            <w:noWrap/>
            <w:vAlign w:val="center"/>
            <w:hideMark/>
          </w:tcPr>
          <w:p w14:paraId="4B833850" w14:textId="77777777" w:rsidR="006539DF" w:rsidRPr="00FB1958" w:rsidRDefault="006539DF" w:rsidP="006539DF">
            <w:pPr>
              <w:keepNext/>
              <w:keepLines/>
              <w:spacing w:before="0" w:after="0" w:line="256" w:lineRule="auto"/>
              <w:jc w:val="center"/>
              <w:rPr>
                <w:sz w:val="20"/>
              </w:rPr>
            </w:pPr>
            <w:r w:rsidRPr="00FB1958">
              <w:rPr>
                <w:sz w:val="20"/>
              </w:rPr>
              <w:t>0.4002</w:t>
            </w:r>
          </w:p>
        </w:tc>
        <w:tc>
          <w:tcPr>
            <w:tcW w:w="1701" w:type="dxa"/>
            <w:tcBorders>
              <w:top w:val="single" w:sz="4" w:space="0" w:color="auto"/>
              <w:left w:val="single" w:sz="4" w:space="0" w:color="auto"/>
              <w:bottom w:val="single" w:sz="4" w:space="0" w:color="auto"/>
              <w:right w:val="single" w:sz="4" w:space="0" w:color="auto"/>
            </w:tcBorders>
            <w:noWrap/>
            <w:hideMark/>
          </w:tcPr>
          <w:p w14:paraId="04144276" w14:textId="7FCBCDCE" w:rsidR="006539DF" w:rsidRPr="00DA1CCA" w:rsidRDefault="006539DF" w:rsidP="006539DF">
            <w:pPr>
              <w:keepNext/>
              <w:keepLines/>
              <w:spacing w:before="0" w:after="0" w:line="256" w:lineRule="auto"/>
              <w:jc w:val="center"/>
              <w:rPr>
                <w:sz w:val="20"/>
              </w:rPr>
            </w:pPr>
            <w:r w:rsidRPr="00DA1CCA">
              <w:rPr>
                <w:b/>
                <w:bCs/>
                <w:sz w:val="20"/>
              </w:rPr>
              <w:t xml:space="preserve">$redacted </w:t>
            </w:r>
            <w:r w:rsidRPr="00DA1CCA">
              <w:rPr>
                <w:b/>
                <w:bCs/>
                <w:sz w:val="20"/>
                <w:vertAlign w:val="superscript"/>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84663D7" w14:textId="77777777" w:rsidR="006539DF" w:rsidRPr="00FB1958" w:rsidRDefault="006539DF" w:rsidP="006539DF">
            <w:pPr>
              <w:keepNext/>
              <w:keepLines/>
              <w:spacing w:before="0" w:after="0" w:line="256" w:lineRule="auto"/>
              <w:jc w:val="center"/>
              <w:rPr>
                <w:sz w:val="20"/>
              </w:rPr>
            </w:pPr>
            <w:r w:rsidRPr="00FB1958">
              <w:rPr>
                <w:sz w:val="20"/>
              </w:rPr>
              <w:t>+40.91%</w:t>
            </w:r>
          </w:p>
        </w:tc>
      </w:tr>
      <w:tr w:rsidR="006539DF" w:rsidRPr="00FB1958" w14:paraId="5716DB8D" w14:textId="77777777" w:rsidTr="00DA1CCA">
        <w:trPr>
          <w:trHeight w:val="2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869630A" w14:textId="77777777" w:rsidR="006539DF" w:rsidRPr="00FB1958" w:rsidRDefault="006539DF" w:rsidP="006539DF">
            <w:pPr>
              <w:spacing w:before="0" w:after="0" w:line="256" w:lineRule="auto"/>
              <w:jc w:val="left"/>
              <w:rPr>
                <w:sz w:val="20"/>
                <w:vertAlign w:val="superscript"/>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4E091D98" w14:textId="77777777" w:rsidR="006539DF" w:rsidRPr="00FB1958" w:rsidRDefault="006539DF" w:rsidP="006539DF">
            <w:pPr>
              <w:keepNext/>
              <w:keepLines/>
              <w:spacing w:before="0" w:after="0" w:line="256" w:lineRule="auto"/>
              <w:jc w:val="left"/>
              <w:rPr>
                <w:sz w:val="20"/>
              </w:rPr>
            </w:pPr>
            <w:r w:rsidRPr="00FB1958">
              <w:rPr>
                <w:sz w:val="20"/>
              </w:rPr>
              <w:t>EA2</w:t>
            </w:r>
          </w:p>
        </w:tc>
        <w:tc>
          <w:tcPr>
            <w:tcW w:w="1215" w:type="dxa"/>
            <w:tcBorders>
              <w:top w:val="single" w:sz="4" w:space="0" w:color="auto"/>
              <w:left w:val="single" w:sz="4" w:space="0" w:color="auto"/>
              <w:bottom w:val="single" w:sz="4" w:space="0" w:color="auto"/>
              <w:right w:val="single" w:sz="4" w:space="0" w:color="auto"/>
            </w:tcBorders>
            <w:noWrap/>
            <w:hideMark/>
          </w:tcPr>
          <w:p w14:paraId="4EC13B71" w14:textId="0C1B493B" w:rsidR="006539DF" w:rsidRPr="00DA1CCA" w:rsidRDefault="006539DF" w:rsidP="006539DF">
            <w:pPr>
              <w:keepNext/>
              <w:keepLines/>
              <w:spacing w:before="0" w:after="0" w:line="256" w:lineRule="auto"/>
              <w:jc w:val="center"/>
              <w:rPr>
                <w:sz w:val="20"/>
              </w:rPr>
            </w:pPr>
            <w:r w:rsidRPr="00DA1CCA">
              <w:rPr>
                <w:rFonts w:eastAsia="Calibri"/>
                <w:sz w:val="20"/>
              </w:rPr>
              <w:t>$redacted</w:t>
            </w:r>
          </w:p>
        </w:tc>
        <w:tc>
          <w:tcPr>
            <w:tcW w:w="1256" w:type="dxa"/>
            <w:tcBorders>
              <w:top w:val="single" w:sz="4" w:space="0" w:color="auto"/>
              <w:left w:val="single" w:sz="4" w:space="0" w:color="auto"/>
              <w:bottom w:val="single" w:sz="4" w:space="0" w:color="auto"/>
              <w:right w:val="single" w:sz="4" w:space="0" w:color="auto"/>
            </w:tcBorders>
            <w:noWrap/>
            <w:vAlign w:val="center"/>
            <w:hideMark/>
          </w:tcPr>
          <w:p w14:paraId="6612351E" w14:textId="77777777" w:rsidR="006539DF" w:rsidRPr="00FB1958" w:rsidRDefault="006539DF" w:rsidP="006539DF">
            <w:pPr>
              <w:keepNext/>
              <w:keepLines/>
              <w:spacing w:before="0" w:after="0" w:line="256" w:lineRule="auto"/>
              <w:jc w:val="center"/>
              <w:rPr>
                <w:sz w:val="20"/>
              </w:rPr>
            </w:pPr>
            <w:r w:rsidRPr="00FB1958">
              <w:rPr>
                <w:sz w:val="20"/>
              </w:rPr>
              <w:t>0.2401</w:t>
            </w:r>
          </w:p>
        </w:tc>
        <w:tc>
          <w:tcPr>
            <w:tcW w:w="1701" w:type="dxa"/>
            <w:tcBorders>
              <w:top w:val="single" w:sz="4" w:space="0" w:color="auto"/>
              <w:left w:val="single" w:sz="4" w:space="0" w:color="auto"/>
              <w:bottom w:val="single" w:sz="4" w:space="0" w:color="auto"/>
              <w:right w:val="single" w:sz="4" w:space="0" w:color="auto"/>
            </w:tcBorders>
            <w:noWrap/>
            <w:hideMark/>
          </w:tcPr>
          <w:p w14:paraId="638C9C48" w14:textId="0DD502F3" w:rsidR="006539DF" w:rsidRPr="00DA1CCA" w:rsidRDefault="006539DF" w:rsidP="006539DF">
            <w:pPr>
              <w:keepNext/>
              <w:keepLines/>
              <w:spacing w:before="0" w:after="0" w:line="256" w:lineRule="auto"/>
              <w:jc w:val="center"/>
              <w:rPr>
                <w:sz w:val="20"/>
              </w:rPr>
            </w:pPr>
            <w:r w:rsidRPr="00DA1CCA">
              <w:rPr>
                <w:b/>
                <w:bCs/>
                <w:sz w:val="20"/>
              </w:rPr>
              <w:t xml:space="preserve">$redacted </w:t>
            </w:r>
            <w:r w:rsidRPr="00DA1CCA">
              <w:rPr>
                <w:b/>
                <w:bCs/>
                <w:sz w:val="20"/>
                <w:vertAlign w:val="superscript"/>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45474F0" w14:textId="77777777" w:rsidR="006539DF" w:rsidRPr="00FB1958" w:rsidRDefault="006539DF" w:rsidP="006539DF">
            <w:pPr>
              <w:keepNext/>
              <w:keepLines/>
              <w:spacing w:before="0" w:after="0" w:line="256" w:lineRule="auto"/>
              <w:jc w:val="center"/>
              <w:rPr>
                <w:sz w:val="20"/>
              </w:rPr>
            </w:pPr>
            <w:r w:rsidRPr="00FB1958">
              <w:rPr>
                <w:sz w:val="20"/>
              </w:rPr>
              <w:t>+30.72%</w:t>
            </w:r>
          </w:p>
        </w:tc>
      </w:tr>
      <w:tr w:rsidR="006539DF" w:rsidRPr="00FB1958" w14:paraId="062385DF" w14:textId="77777777" w:rsidTr="00DA1CCA">
        <w:trPr>
          <w:trHeight w:val="2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2F18B30" w14:textId="77777777" w:rsidR="006539DF" w:rsidRPr="00FB1958" w:rsidRDefault="006539DF" w:rsidP="006539DF">
            <w:pPr>
              <w:spacing w:before="0" w:after="0" w:line="256" w:lineRule="auto"/>
              <w:jc w:val="left"/>
              <w:rPr>
                <w:sz w:val="20"/>
                <w:vertAlign w:val="superscript"/>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2775778C" w14:textId="77777777" w:rsidR="006539DF" w:rsidRPr="00FB1958" w:rsidRDefault="006539DF" w:rsidP="006539DF">
            <w:pPr>
              <w:keepNext/>
              <w:keepLines/>
              <w:spacing w:before="0" w:after="0" w:line="256" w:lineRule="auto"/>
              <w:jc w:val="left"/>
              <w:rPr>
                <w:sz w:val="20"/>
              </w:rPr>
            </w:pPr>
            <w:r w:rsidRPr="00FB1958">
              <w:rPr>
                <w:sz w:val="20"/>
              </w:rPr>
              <w:t>Weighted</w:t>
            </w:r>
          </w:p>
        </w:tc>
        <w:tc>
          <w:tcPr>
            <w:tcW w:w="1215" w:type="dxa"/>
            <w:tcBorders>
              <w:top w:val="single" w:sz="4" w:space="0" w:color="auto"/>
              <w:left w:val="single" w:sz="4" w:space="0" w:color="auto"/>
              <w:bottom w:val="single" w:sz="4" w:space="0" w:color="auto"/>
              <w:right w:val="single" w:sz="4" w:space="0" w:color="auto"/>
            </w:tcBorders>
            <w:noWrap/>
            <w:vAlign w:val="center"/>
          </w:tcPr>
          <w:p w14:paraId="6077F7CB" w14:textId="77777777" w:rsidR="006539DF" w:rsidRPr="00DA1CCA" w:rsidRDefault="006539DF" w:rsidP="006539DF">
            <w:pPr>
              <w:keepNext/>
              <w:keepLines/>
              <w:spacing w:before="0" w:after="0" w:line="256" w:lineRule="auto"/>
              <w:jc w:val="center"/>
              <w:rPr>
                <w:sz w:val="20"/>
              </w:rPr>
            </w:pPr>
          </w:p>
        </w:tc>
        <w:tc>
          <w:tcPr>
            <w:tcW w:w="1256" w:type="dxa"/>
            <w:tcBorders>
              <w:top w:val="single" w:sz="4" w:space="0" w:color="auto"/>
              <w:left w:val="single" w:sz="4" w:space="0" w:color="auto"/>
              <w:bottom w:val="single" w:sz="4" w:space="0" w:color="auto"/>
              <w:right w:val="single" w:sz="4" w:space="0" w:color="auto"/>
            </w:tcBorders>
            <w:noWrap/>
            <w:vAlign w:val="center"/>
          </w:tcPr>
          <w:p w14:paraId="756A20F4" w14:textId="77777777" w:rsidR="006539DF" w:rsidRPr="00FB1958" w:rsidRDefault="006539DF" w:rsidP="006539DF">
            <w:pPr>
              <w:keepNext/>
              <w:keepLines/>
              <w:spacing w:before="0" w:after="0" w:line="256" w:lineRule="auto"/>
              <w:jc w:val="center"/>
              <w:rPr>
                <w:sz w:val="20"/>
              </w:rPr>
            </w:pPr>
          </w:p>
        </w:tc>
        <w:tc>
          <w:tcPr>
            <w:tcW w:w="1701" w:type="dxa"/>
            <w:tcBorders>
              <w:top w:val="single" w:sz="4" w:space="0" w:color="auto"/>
              <w:left w:val="single" w:sz="4" w:space="0" w:color="auto"/>
              <w:bottom w:val="single" w:sz="4" w:space="0" w:color="auto"/>
              <w:right w:val="single" w:sz="4" w:space="0" w:color="auto"/>
            </w:tcBorders>
            <w:noWrap/>
            <w:hideMark/>
          </w:tcPr>
          <w:p w14:paraId="037F144D" w14:textId="739B8015" w:rsidR="006539DF" w:rsidRPr="00DA1CCA" w:rsidRDefault="006539DF" w:rsidP="006539DF">
            <w:pPr>
              <w:keepNext/>
              <w:keepLines/>
              <w:spacing w:before="0" w:after="0" w:line="256" w:lineRule="auto"/>
              <w:jc w:val="center"/>
              <w:rPr>
                <w:sz w:val="20"/>
              </w:rPr>
            </w:pPr>
            <w:r w:rsidRPr="00DA1CCA">
              <w:rPr>
                <w:b/>
                <w:bCs/>
                <w:sz w:val="20"/>
              </w:rPr>
              <w:t xml:space="preserve">$redacted </w:t>
            </w:r>
            <w:r w:rsidRPr="00DA1CCA">
              <w:rPr>
                <w:b/>
                <w:bCs/>
                <w:sz w:val="20"/>
                <w:vertAlign w:val="superscript"/>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D3A7190" w14:textId="77777777" w:rsidR="006539DF" w:rsidRPr="00FB1958" w:rsidRDefault="006539DF" w:rsidP="006539DF">
            <w:pPr>
              <w:keepNext/>
              <w:keepLines/>
              <w:spacing w:before="0" w:after="0" w:line="256" w:lineRule="auto"/>
              <w:jc w:val="center"/>
              <w:rPr>
                <w:sz w:val="20"/>
              </w:rPr>
            </w:pPr>
            <w:r w:rsidRPr="00FB1958">
              <w:rPr>
                <w:sz w:val="20"/>
              </w:rPr>
              <w:t>+35.80%</w:t>
            </w:r>
          </w:p>
        </w:tc>
      </w:tr>
      <w:tr w:rsidR="00FB1958" w:rsidRPr="00FB1958" w14:paraId="180A2FDD" w14:textId="77777777" w:rsidTr="00D61853">
        <w:trPr>
          <w:trHeight w:val="20"/>
        </w:trPr>
        <w:tc>
          <w:tcPr>
            <w:tcW w:w="9016" w:type="dxa"/>
            <w:gridSpan w:val="6"/>
            <w:tcBorders>
              <w:top w:val="single" w:sz="4" w:space="0" w:color="auto"/>
              <w:left w:val="single" w:sz="4" w:space="0" w:color="auto"/>
              <w:bottom w:val="single" w:sz="4" w:space="0" w:color="auto"/>
              <w:right w:val="single" w:sz="4" w:space="0" w:color="auto"/>
            </w:tcBorders>
            <w:vAlign w:val="center"/>
            <w:hideMark/>
          </w:tcPr>
          <w:p w14:paraId="1BD36659" w14:textId="2DA5C43D" w:rsidR="00FB1958" w:rsidRPr="00DA1CCA" w:rsidRDefault="00FB1958" w:rsidP="00FB1958">
            <w:pPr>
              <w:keepNext/>
              <w:keepLines/>
              <w:spacing w:before="0" w:after="0" w:line="256" w:lineRule="auto"/>
              <w:jc w:val="left"/>
              <w:rPr>
                <w:b/>
                <w:bCs/>
                <w:sz w:val="20"/>
              </w:rPr>
            </w:pPr>
            <w:r w:rsidRPr="00DA1CCA">
              <w:rPr>
                <w:b/>
                <w:bCs/>
                <w:sz w:val="20"/>
              </w:rPr>
              <w:t>Scenario analysis 2 (including PD-L1 test accuracy)</w:t>
            </w:r>
          </w:p>
        </w:tc>
      </w:tr>
      <w:tr w:rsidR="00135ED1" w:rsidRPr="00FB1958" w14:paraId="1D44D6B4" w14:textId="77777777" w:rsidTr="00D61853">
        <w:trPr>
          <w:trHeight w:val="20"/>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9DAE85B" w14:textId="77777777" w:rsidR="00135ED1" w:rsidRPr="00FB1958" w:rsidRDefault="00135ED1" w:rsidP="00135ED1">
            <w:pPr>
              <w:keepNext/>
              <w:keepLines/>
              <w:spacing w:before="0" w:after="0" w:line="256" w:lineRule="auto"/>
              <w:jc w:val="left"/>
              <w:rPr>
                <w:b/>
                <w:bCs/>
                <w:sz w:val="20"/>
              </w:rPr>
            </w:pPr>
            <w:r w:rsidRPr="00FB1958">
              <w:rPr>
                <w:b/>
                <w:bCs/>
                <w:sz w:val="20"/>
              </w:rPr>
              <w:t>Base case</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E10D84E" w14:textId="77777777" w:rsidR="00135ED1" w:rsidRPr="00FB1958" w:rsidRDefault="00135ED1" w:rsidP="00135ED1">
            <w:pPr>
              <w:keepNext/>
              <w:keepLines/>
              <w:spacing w:before="0" w:after="0" w:line="256" w:lineRule="auto"/>
              <w:jc w:val="left"/>
              <w:rPr>
                <w:b/>
                <w:bCs/>
                <w:sz w:val="20"/>
              </w:rPr>
            </w:pPr>
            <w:r w:rsidRPr="00FB1958">
              <w:rPr>
                <w:b/>
                <w:bCs/>
                <w:sz w:val="20"/>
              </w:rPr>
              <w:t>EA1</w:t>
            </w:r>
          </w:p>
        </w:tc>
        <w:tc>
          <w:tcPr>
            <w:tcW w:w="1215" w:type="dxa"/>
            <w:tcBorders>
              <w:top w:val="single" w:sz="4" w:space="0" w:color="auto"/>
              <w:left w:val="single" w:sz="4" w:space="0" w:color="auto"/>
              <w:bottom w:val="single" w:sz="4" w:space="0" w:color="auto"/>
              <w:right w:val="single" w:sz="4" w:space="0" w:color="auto"/>
            </w:tcBorders>
            <w:noWrap/>
            <w:hideMark/>
          </w:tcPr>
          <w:p w14:paraId="2746FBBC" w14:textId="371F9367" w:rsidR="00135ED1" w:rsidRPr="00DA1CCA" w:rsidRDefault="00135ED1" w:rsidP="00135ED1">
            <w:pPr>
              <w:keepNext/>
              <w:keepLines/>
              <w:spacing w:before="0" w:after="0" w:line="256" w:lineRule="auto"/>
              <w:jc w:val="center"/>
              <w:rPr>
                <w:b/>
                <w:bCs/>
                <w:sz w:val="20"/>
              </w:rPr>
            </w:pPr>
            <w:r w:rsidRPr="00DA1CCA">
              <w:rPr>
                <w:rFonts w:eastAsia="Calibri"/>
                <w:sz w:val="20"/>
              </w:rPr>
              <w:t>$redacted</w:t>
            </w:r>
          </w:p>
        </w:tc>
        <w:tc>
          <w:tcPr>
            <w:tcW w:w="1256" w:type="dxa"/>
            <w:tcBorders>
              <w:top w:val="single" w:sz="4" w:space="0" w:color="auto"/>
              <w:left w:val="single" w:sz="4" w:space="0" w:color="auto"/>
              <w:bottom w:val="single" w:sz="4" w:space="0" w:color="auto"/>
              <w:right w:val="single" w:sz="4" w:space="0" w:color="auto"/>
            </w:tcBorders>
            <w:noWrap/>
            <w:hideMark/>
          </w:tcPr>
          <w:p w14:paraId="69341524" w14:textId="77777777" w:rsidR="00135ED1" w:rsidRPr="00FB1958" w:rsidRDefault="00135ED1" w:rsidP="00135ED1">
            <w:pPr>
              <w:keepNext/>
              <w:keepLines/>
              <w:spacing w:before="0" w:after="0" w:line="256" w:lineRule="auto"/>
              <w:jc w:val="center"/>
              <w:rPr>
                <w:b/>
                <w:bCs/>
                <w:sz w:val="20"/>
              </w:rPr>
            </w:pPr>
            <w:r w:rsidRPr="00FB1958">
              <w:rPr>
                <w:b/>
                <w:bCs/>
                <w:sz w:val="20"/>
              </w:rPr>
              <w:t>0.457</w:t>
            </w:r>
          </w:p>
        </w:tc>
        <w:tc>
          <w:tcPr>
            <w:tcW w:w="1701" w:type="dxa"/>
            <w:tcBorders>
              <w:top w:val="single" w:sz="4" w:space="0" w:color="auto"/>
              <w:left w:val="single" w:sz="4" w:space="0" w:color="auto"/>
              <w:bottom w:val="single" w:sz="4" w:space="0" w:color="auto"/>
              <w:right w:val="single" w:sz="4" w:space="0" w:color="auto"/>
            </w:tcBorders>
            <w:noWrap/>
            <w:hideMark/>
          </w:tcPr>
          <w:p w14:paraId="0E1BE89D" w14:textId="5166ADB5" w:rsidR="00135ED1" w:rsidRPr="00DA1CCA" w:rsidRDefault="006539DF" w:rsidP="00135ED1">
            <w:pPr>
              <w:keepNext/>
              <w:keepLines/>
              <w:spacing w:before="0" w:after="0" w:line="256" w:lineRule="auto"/>
              <w:jc w:val="center"/>
              <w:rPr>
                <w:b/>
                <w:bCs/>
                <w:sz w:val="20"/>
              </w:rPr>
            </w:pPr>
            <w:r w:rsidRPr="00DA1CCA">
              <w:rPr>
                <w:b/>
                <w:bCs/>
                <w:sz w:val="20"/>
              </w:rPr>
              <w:t xml:space="preserve">$redacted </w:t>
            </w:r>
            <w:r w:rsidRPr="00DA1CCA">
              <w:rPr>
                <w:b/>
                <w:bCs/>
                <w:sz w:val="20"/>
                <w:vertAlign w:val="superscript"/>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FB77D0A" w14:textId="77777777" w:rsidR="00135ED1" w:rsidRPr="00FB1958" w:rsidRDefault="00135ED1" w:rsidP="00135ED1">
            <w:pPr>
              <w:keepNext/>
              <w:keepLines/>
              <w:spacing w:before="0" w:after="0" w:line="256" w:lineRule="auto"/>
              <w:jc w:val="center"/>
              <w:rPr>
                <w:sz w:val="20"/>
              </w:rPr>
            </w:pPr>
            <w:r w:rsidRPr="00FB1958">
              <w:rPr>
                <w:sz w:val="20"/>
              </w:rPr>
              <w:t>-</w:t>
            </w:r>
          </w:p>
        </w:tc>
      </w:tr>
      <w:tr w:rsidR="00135ED1" w:rsidRPr="00FB1958" w14:paraId="4740B0F0" w14:textId="77777777" w:rsidTr="00D61853">
        <w:trPr>
          <w:trHeight w:val="2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ED8AB5" w14:textId="77777777" w:rsidR="00135ED1" w:rsidRPr="00FB1958" w:rsidRDefault="00135ED1" w:rsidP="00135ED1">
            <w:pPr>
              <w:spacing w:before="0" w:after="0" w:line="256" w:lineRule="auto"/>
              <w:jc w:val="left"/>
              <w:rPr>
                <w:b/>
                <w:bCs/>
                <w:sz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57EF415B" w14:textId="77777777" w:rsidR="00135ED1" w:rsidRPr="00FB1958" w:rsidRDefault="00135ED1" w:rsidP="00135ED1">
            <w:pPr>
              <w:keepNext/>
              <w:keepLines/>
              <w:spacing w:before="0" w:after="0" w:line="256" w:lineRule="auto"/>
              <w:jc w:val="left"/>
              <w:rPr>
                <w:b/>
                <w:bCs/>
                <w:sz w:val="20"/>
              </w:rPr>
            </w:pPr>
            <w:r w:rsidRPr="00FB1958">
              <w:rPr>
                <w:b/>
                <w:bCs/>
                <w:sz w:val="20"/>
              </w:rPr>
              <w:t>EA2</w:t>
            </w:r>
          </w:p>
        </w:tc>
        <w:tc>
          <w:tcPr>
            <w:tcW w:w="1215" w:type="dxa"/>
            <w:tcBorders>
              <w:top w:val="single" w:sz="4" w:space="0" w:color="auto"/>
              <w:left w:val="single" w:sz="4" w:space="0" w:color="auto"/>
              <w:bottom w:val="single" w:sz="4" w:space="0" w:color="auto"/>
              <w:right w:val="single" w:sz="4" w:space="0" w:color="auto"/>
            </w:tcBorders>
            <w:noWrap/>
            <w:hideMark/>
          </w:tcPr>
          <w:p w14:paraId="10AB26CA" w14:textId="6B22EA0B" w:rsidR="00135ED1" w:rsidRPr="00DA1CCA" w:rsidRDefault="00135ED1" w:rsidP="00135ED1">
            <w:pPr>
              <w:keepNext/>
              <w:keepLines/>
              <w:spacing w:before="0" w:after="0" w:line="256" w:lineRule="auto"/>
              <w:jc w:val="center"/>
              <w:rPr>
                <w:b/>
                <w:bCs/>
                <w:sz w:val="20"/>
              </w:rPr>
            </w:pPr>
            <w:r w:rsidRPr="00DA1CCA">
              <w:rPr>
                <w:rFonts w:eastAsia="Calibri"/>
                <w:sz w:val="20"/>
              </w:rPr>
              <w:t>$redacted</w:t>
            </w:r>
          </w:p>
        </w:tc>
        <w:tc>
          <w:tcPr>
            <w:tcW w:w="1256" w:type="dxa"/>
            <w:tcBorders>
              <w:top w:val="single" w:sz="4" w:space="0" w:color="auto"/>
              <w:left w:val="single" w:sz="4" w:space="0" w:color="auto"/>
              <w:bottom w:val="single" w:sz="4" w:space="0" w:color="auto"/>
              <w:right w:val="single" w:sz="4" w:space="0" w:color="auto"/>
            </w:tcBorders>
            <w:noWrap/>
            <w:hideMark/>
          </w:tcPr>
          <w:p w14:paraId="10FBC7FC" w14:textId="77777777" w:rsidR="00135ED1" w:rsidRPr="00FB1958" w:rsidRDefault="00135ED1" w:rsidP="00135ED1">
            <w:pPr>
              <w:keepNext/>
              <w:keepLines/>
              <w:spacing w:before="0" w:after="0" w:line="256" w:lineRule="auto"/>
              <w:jc w:val="center"/>
              <w:rPr>
                <w:b/>
                <w:bCs/>
                <w:sz w:val="20"/>
              </w:rPr>
            </w:pPr>
            <w:r w:rsidRPr="00FB1958">
              <w:rPr>
                <w:b/>
                <w:bCs/>
                <w:sz w:val="20"/>
              </w:rPr>
              <w:t>0.267</w:t>
            </w:r>
          </w:p>
        </w:tc>
        <w:tc>
          <w:tcPr>
            <w:tcW w:w="1701" w:type="dxa"/>
            <w:tcBorders>
              <w:top w:val="single" w:sz="4" w:space="0" w:color="auto"/>
              <w:left w:val="single" w:sz="4" w:space="0" w:color="auto"/>
              <w:bottom w:val="single" w:sz="4" w:space="0" w:color="auto"/>
              <w:right w:val="single" w:sz="4" w:space="0" w:color="auto"/>
            </w:tcBorders>
            <w:noWrap/>
            <w:hideMark/>
          </w:tcPr>
          <w:p w14:paraId="2633D5A8" w14:textId="35799A6A" w:rsidR="00135ED1" w:rsidRPr="00DA1CCA" w:rsidRDefault="006539DF" w:rsidP="00135ED1">
            <w:pPr>
              <w:keepNext/>
              <w:keepLines/>
              <w:spacing w:before="0" w:after="0" w:line="256" w:lineRule="auto"/>
              <w:jc w:val="center"/>
              <w:rPr>
                <w:b/>
                <w:bCs/>
                <w:sz w:val="20"/>
              </w:rPr>
            </w:pPr>
            <w:r w:rsidRPr="00DA1CCA">
              <w:rPr>
                <w:b/>
                <w:bCs/>
                <w:sz w:val="20"/>
              </w:rPr>
              <w:t xml:space="preserve">$redacted </w:t>
            </w:r>
            <w:r w:rsidRPr="00DA1CCA">
              <w:rPr>
                <w:b/>
                <w:bCs/>
                <w:sz w:val="20"/>
                <w:vertAlign w:val="superscript"/>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D984FF8" w14:textId="77777777" w:rsidR="00135ED1" w:rsidRPr="00FB1958" w:rsidRDefault="00135ED1" w:rsidP="00135ED1">
            <w:pPr>
              <w:keepNext/>
              <w:keepLines/>
              <w:spacing w:before="0" w:after="0" w:line="256" w:lineRule="auto"/>
              <w:jc w:val="center"/>
              <w:rPr>
                <w:sz w:val="20"/>
              </w:rPr>
            </w:pPr>
            <w:r w:rsidRPr="00FB1958">
              <w:rPr>
                <w:sz w:val="20"/>
              </w:rPr>
              <w:t>-</w:t>
            </w:r>
          </w:p>
        </w:tc>
      </w:tr>
      <w:tr w:rsidR="00FB1958" w:rsidRPr="00FB1958" w14:paraId="744CF1A0" w14:textId="77777777" w:rsidTr="00D61853">
        <w:trPr>
          <w:trHeight w:val="2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7D0CAD8" w14:textId="77777777" w:rsidR="00FB1958" w:rsidRPr="00FB1958" w:rsidRDefault="00FB1958" w:rsidP="00FB1958">
            <w:pPr>
              <w:spacing w:before="0" w:after="0" w:line="256" w:lineRule="auto"/>
              <w:jc w:val="left"/>
              <w:rPr>
                <w:b/>
                <w:bCs/>
                <w:sz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40028A46" w14:textId="77777777" w:rsidR="00FB1958" w:rsidRPr="00FB1958" w:rsidRDefault="00FB1958" w:rsidP="00FB1958">
            <w:pPr>
              <w:keepNext/>
              <w:keepLines/>
              <w:spacing w:before="0" w:after="0" w:line="256" w:lineRule="auto"/>
              <w:jc w:val="left"/>
              <w:rPr>
                <w:b/>
                <w:bCs/>
                <w:sz w:val="20"/>
              </w:rPr>
            </w:pPr>
            <w:r w:rsidRPr="00FB1958">
              <w:rPr>
                <w:b/>
                <w:bCs/>
                <w:sz w:val="20"/>
              </w:rPr>
              <w:t>Weighted</w:t>
            </w:r>
          </w:p>
        </w:tc>
        <w:tc>
          <w:tcPr>
            <w:tcW w:w="1215" w:type="dxa"/>
            <w:tcBorders>
              <w:top w:val="single" w:sz="4" w:space="0" w:color="auto"/>
              <w:left w:val="single" w:sz="4" w:space="0" w:color="auto"/>
              <w:bottom w:val="single" w:sz="4" w:space="0" w:color="auto"/>
              <w:right w:val="single" w:sz="4" w:space="0" w:color="auto"/>
            </w:tcBorders>
            <w:noWrap/>
            <w:vAlign w:val="center"/>
          </w:tcPr>
          <w:p w14:paraId="3C7F760C" w14:textId="77777777" w:rsidR="00FB1958" w:rsidRPr="00DA1CCA" w:rsidRDefault="00FB1958" w:rsidP="00FB1958">
            <w:pPr>
              <w:keepNext/>
              <w:keepLines/>
              <w:spacing w:before="0" w:after="0" w:line="256" w:lineRule="auto"/>
              <w:jc w:val="center"/>
              <w:rPr>
                <w:b/>
                <w:bCs/>
                <w:sz w:val="20"/>
              </w:rPr>
            </w:pPr>
          </w:p>
        </w:tc>
        <w:tc>
          <w:tcPr>
            <w:tcW w:w="1256" w:type="dxa"/>
            <w:tcBorders>
              <w:top w:val="single" w:sz="4" w:space="0" w:color="auto"/>
              <w:left w:val="single" w:sz="4" w:space="0" w:color="auto"/>
              <w:bottom w:val="single" w:sz="4" w:space="0" w:color="auto"/>
              <w:right w:val="single" w:sz="4" w:space="0" w:color="auto"/>
            </w:tcBorders>
            <w:noWrap/>
            <w:vAlign w:val="center"/>
          </w:tcPr>
          <w:p w14:paraId="00E0834E" w14:textId="77777777" w:rsidR="00FB1958" w:rsidRPr="00FB1958" w:rsidRDefault="00FB1958" w:rsidP="00FB1958">
            <w:pPr>
              <w:keepNext/>
              <w:keepLines/>
              <w:spacing w:before="0" w:after="0" w:line="256" w:lineRule="auto"/>
              <w:jc w:val="center"/>
              <w:rPr>
                <w:b/>
                <w:bCs/>
                <w:sz w:val="20"/>
              </w:rPr>
            </w:pPr>
          </w:p>
        </w:tc>
        <w:tc>
          <w:tcPr>
            <w:tcW w:w="1701" w:type="dxa"/>
            <w:tcBorders>
              <w:top w:val="single" w:sz="4" w:space="0" w:color="auto"/>
              <w:left w:val="single" w:sz="4" w:space="0" w:color="auto"/>
              <w:bottom w:val="single" w:sz="4" w:space="0" w:color="auto"/>
              <w:right w:val="single" w:sz="4" w:space="0" w:color="auto"/>
            </w:tcBorders>
            <w:noWrap/>
            <w:hideMark/>
          </w:tcPr>
          <w:p w14:paraId="4019EBC0" w14:textId="15259613" w:rsidR="00FB1958" w:rsidRPr="00DA1CCA" w:rsidRDefault="006539DF" w:rsidP="00FB1958">
            <w:pPr>
              <w:keepNext/>
              <w:keepLines/>
              <w:spacing w:before="0" w:after="0" w:line="256" w:lineRule="auto"/>
              <w:jc w:val="center"/>
              <w:rPr>
                <w:b/>
                <w:bCs/>
                <w:sz w:val="20"/>
              </w:rPr>
            </w:pPr>
            <w:r w:rsidRPr="00DA1CCA">
              <w:rPr>
                <w:b/>
                <w:bCs/>
                <w:sz w:val="20"/>
              </w:rPr>
              <w:t xml:space="preserve">$redacted </w:t>
            </w:r>
            <w:r w:rsidRPr="00DA1CCA">
              <w:rPr>
                <w:b/>
                <w:bCs/>
                <w:sz w:val="20"/>
                <w:vertAlign w:val="superscript"/>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D76093B" w14:textId="77777777" w:rsidR="00FB1958" w:rsidRPr="00FB1958" w:rsidRDefault="00FB1958" w:rsidP="00FB1958">
            <w:pPr>
              <w:keepNext/>
              <w:keepLines/>
              <w:spacing w:before="0" w:after="0" w:line="256" w:lineRule="auto"/>
              <w:jc w:val="center"/>
              <w:rPr>
                <w:sz w:val="20"/>
              </w:rPr>
            </w:pPr>
            <w:r w:rsidRPr="00FB1958">
              <w:rPr>
                <w:sz w:val="20"/>
              </w:rPr>
              <w:t>-</w:t>
            </w:r>
          </w:p>
        </w:tc>
      </w:tr>
      <w:tr w:rsidR="00135ED1" w:rsidRPr="00FB1958" w14:paraId="4F7419EA" w14:textId="77777777" w:rsidTr="00DA1CCA">
        <w:trPr>
          <w:trHeight w:val="20"/>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6DE751F" w14:textId="77777777" w:rsidR="00135ED1" w:rsidRPr="00FB1958" w:rsidRDefault="00135ED1" w:rsidP="00135ED1">
            <w:pPr>
              <w:keepNext/>
              <w:keepLines/>
              <w:spacing w:before="0" w:after="0" w:line="256" w:lineRule="auto"/>
              <w:jc w:val="left"/>
              <w:rPr>
                <w:sz w:val="20"/>
              </w:rPr>
            </w:pPr>
            <w:r w:rsidRPr="00FB1958">
              <w:rPr>
                <w:sz w:val="20"/>
              </w:rPr>
              <w:t>Decrease test sensitivity and specificity to 85% (base case 96%)</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F3FF29D" w14:textId="77777777" w:rsidR="00135ED1" w:rsidRPr="00FB1958" w:rsidRDefault="00135ED1" w:rsidP="00135ED1">
            <w:pPr>
              <w:keepNext/>
              <w:keepLines/>
              <w:spacing w:before="0" w:after="0" w:line="256" w:lineRule="auto"/>
              <w:jc w:val="left"/>
              <w:rPr>
                <w:sz w:val="20"/>
              </w:rPr>
            </w:pPr>
            <w:r w:rsidRPr="00FB1958">
              <w:rPr>
                <w:sz w:val="20"/>
              </w:rPr>
              <w:t>EA1</w:t>
            </w:r>
          </w:p>
        </w:tc>
        <w:tc>
          <w:tcPr>
            <w:tcW w:w="1215" w:type="dxa"/>
            <w:tcBorders>
              <w:top w:val="single" w:sz="4" w:space="0" w:color="auto"/>
              <w:left w:val="single" w:sz="4" w:space="0" w:color="auto"/>
              <w:bottom w:val="single" w:sz="4" w:space="0" w:color="auto"/>
              <w:right w:val="single" w:sz="4" w:space="0" w:color="auto"/>
            </w:tcBorders>
            <w:noWrap/>
            <w:hideMark/>
          </w:tcPr>
          <w:p w14:paraId="334B4E66" w14:textId="5DFB07E7" w:rsidR="00135ED1" w:rsidRPr="00DA1CCA" w:rsidRDefault="00135ED1" w:rsidP="00135ED1">
            <w:pPr>
              <w:keepNext/>
              <w:keepLines/>
              <w:spacing w:before="0" w:after="0" w:line="256" w:lineRule="auto"/>
              <w:jc w:val="center"/>
              <w:rPr>
                <w:sz w:val="20"/>
              </w:rPr>
            </w:pPr>
            <w:r w:rsidRPr="00DA1CCA">
              <w:rPr>
                <w:rFonts w:eastAsia="Calibri"/>
                <w:sz w:val="20"/>
              </w:rPr>
              <w:t>$redacted</w:t>
            </w:r>
          </w:p>
        </w:tc>
        <w:tc>
          <w:tcPr>
            <w:tcW w:w="1256" w:type="dxa"/>
            <w:tcBorders>
              <w:top w:val="single" w:sz="4" w:space="0" w:color="auto"/>
              <w:left w:val="single" w:sz="4" w:space="0" w:color="auto"/>
              <w:bottom w:val="single" w:sz="4" w:space="0" w:color="auto"/>
              <w:right w:val="single" w:sz="4" w:space="0" w:color="auto"/>
            </w:tcBorders>
            <w:noWrap/>
            <w:vAlign w:val="center"/>
            <w:hideMark/>
          </w:tcPr>
          <w:p w14:paraId="6B0B5EF7" w14:textId="77777777" w:rsidR="00135ED1" w:rsidRPr="00FB1958" w:rsidRDefault="00135ED1" w:rsidP="00135ED1">
            <w:pPr>
              <w:keepNext/>
              <w:keepLines/>
              <w:spacing w:before="0" w:after="0" w:line="256" w:lineRule="auto"/>
              <w:jc w:val="center"/>
              <w:rPr>
                <w:sz w:val="20"/>
              </w:rPr>
            </w:pPr>
            <w:r w:rsidRPr="00FB1958">
              <w:rPr>
                <w:sz w:val="20"/>
              </w:rPr>
              <w:t>0.395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47279D" w14:textId="026B212F" w:rsidR="00135ED1" w:rsidRPr="00DA1CCA" w:rsidRDefault="006539DF" w:rsidP="00135ED1">
            <w:pPr>
              <w:keepNext/>
              <w:keepLines/>
              <w:spacing w:before="0" w:after="0" w:line="256" w:lineRule="auto"/>
              <w:jc w:val="center"/>
              <w:rPr>
                <w:sz w:val="20"/>
              </w:rPr>
            </w:pPr>
            <w:r w:rsidRPr="00DA1CCA">
              <w:rPr>
                <w:b/>
                <w:bCs/>
                <w:sz w:val="20"/>
              </w:rPr>
              <w:t xml:space="preserve">$redacted </w:t>
            </w:r>
            <w:r w:rsidRPr="00DA1CCA">
              <w:rPr>
                <w:b/>
                <w:bCs/>
                <w:sz w:val="20"/>
                <w:vertAlign w:val="superscript"/>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C76B80" w14:textId="77777777" w:rsidR="00135ED1" w:rsidRPr="00FB1958" w:rsidRDefault="00135ED1" w:rsidP="00135ED1">
            <w:pPr>
              <w:keepNext/>
              <w:keepLines/>
              <w:spacing w:before="0" w:after="0" w:line="256" w:lineRule="auto"/>
              <w:jc w:val="center"/>
              <w:rPr>
                <w:sz w:val="20"/>
              </w:rPr>
            </w:pPr>
            <w:r w:rsidRPr="00FB1958">
              <w:rPr>
                <w:sz w:val="20"/>
              </w:rPr>
              <w:t>+4.7%</w:t>
            </w:r>
          </w:p>
        </w:tc>
      </w:tr>
      <w:tr w:rsidR="006539DF" w:rsidRPr="00FB1958" w14:paraId="1DD473F3" w14:textId="77777777" w:rsidTr="00DA1CCA">
        <w:trPr>
          <w:trHeight w:val="2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4130F22" w14:textId="77777777" w:rsidR="006539DF" w:rsidRPr="00FB1958" w:rsidRDefault="006539DF" w:rsidP="006539DF">
            <w:pPr>
              <w:spacing w:before="0" w:after="0" w:line="256" w:lineRule="auto"/>
              <w:jc w:val="left"/>
              <w:rPr>
                <w:sz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5A385F1F" w14:textId="77777777" w:rsidR="006539DF" w:rsidRPr="00FB1958" w:rsidRDefault="006539DF" w:rsidP="006539DF">
            <w:pPr>
              <w:keepNext/>
              <w:keepLines/>
              <w:spacing w:before="0" w:after="0" w:line="256" w:lineRule="auto"/>
              <w:jc w:val="left"/>
              <w:rPr>
                <w:sz w:val="20"/>
              </w:rPr>
            </w:pPr>
            <w:r w:rsidRPr="00FB1958">
              <w:rPr>
                <w:sz w:val="20"/>
              </w:rPr>
              <w:t>EA2</w:t>
            </w:r>
          </w:p>
        </w:tc>
        <w:tc>
          <w:tcPr>
            <w:tcW w:w="1215" w:type="dxa"/>
            <w:tcBorders>
              <w:top w:val="single" w:sz="4" w:space="0" w:color="auto"/>
              <w:left w:val="single" w:sz="4" w:space="0" w:color="auto"/>
              <w:bottom w:val="single" w:sz="4" w:space="0" w:color="auto"/>
              <w:right w:val="single" w:sz="4" w:space="0" w:color="auto"/>
            </w:tcBorders>
            <w:noWrap/>
            <w:hideMark/>
          </w:tcPr>
          <w:p w14:paraId="3FA604F3" w14:textId="62F1F2EC" w:rsidR="006539DF" w:rsidRPr="00DA1CCA" w:rsidRDefault="006539DF" w:rsidP="006539DF">
            <w:pPr>
              <w:keepNext/>
              <w:keepLines/>
              <w:spacing w:before="0" w:after="0" w:line="256" w:lineRule="auto"/>
              <w:jc w:val="center"/>
              <w:rPr>
                <w:sz w:val="20"/>
              </w:rPr>
            </w:pPr>
            <w:r w:rsidRPr="00DA1CCA">
              <w:rPr>
                <w:rFonts w:eastAsia="Calibri"/>
                <w:sz w:val="20"/>
              </w:rPr>
              <w:t>$redacted</w:t>
            </w:r>
          </w:p>
        </w:tc>
        <w:tc>
          <w:tcPr>
            <w:tcW w:w="1256" w:type="dxa"/>
            <w:tcBorders>
              <w:top w:val="single" w:sz="4" w:space="0" w:color="auto"/>
              <w:left w:val="single" w:sz="4" w:space="0" w:color="auto"/>
              <w:bottom w:val="single" w:sz="4" w:space="0" w:color="auto"/>
              <w:right w:val="single" w:sz="4" w:space="0" w:color="auto"/>
            </w:tcBorders>
            <w:noWrap/>
            <w:vAlign w:val="center"/>
            <w:hideMark/>
          </w:tcPr>
          <w:p w14:paraId="5F18AC34" w14:textId="77777777" w:rsidR="006539DF" w:rsidRPr="00FB1958" w:rsidRDefault="006539DF" w:rsidP="006539DF">
            <w:pPr>
              <w:keepNext/>
              <w:keepLines/>
              <w:spacing w:before="0" w:after="0" w:line="256" w:lineRule="auto"/>
              <w:jc w:val="center"/>
              <w:rPr>
                <w:sz w:val="20"/>
              </w:rPr>
            </w:pPr>
            <w:r w:rsidRPr="00FB1958">
              <w:rPr>
                <w:sz w:val="20"/>
              </w:rPr>
              <w:t>0.232</w:t>
            </w:r>
          </w:p>
        </w:tc>
        <w:tc>
          <w:tcPr>
            <w:tcW w:w="1701" w:type="dxa"/>
            <w:tcBorders>
              <w:top w:val="single" w:sz="4" w:space="0" w:color="auto"/>
              <w:left w:val="single" w:sz="4" w:space="0" w:color="auto"/>
              <w:bottom w:val="single" w:sz="4" w:space="0" w:color="auto"/>
              <w:right w:val="single" w:sz="4" w:space="0" w:color="auto"/>
            </w:tcBorders>
            <w:noWrap/>
            <w:hideMark/>
          </w:tcPr>
          <w:p w14:paraId="50931D22" w14:textId="7701440A" w:rsidR="006539DF" w:rsidRPr="00DA1CCA" w:rsidRDefault="006539DF" w:rsidP="006539DF">
            <w:pPr>
              <w:keepNext/>
              <w:keepLines/>
              <w:spacing w:before="0" w:after="0" w:line="256" w:lineRule="auto"/>
              <w:jc w:val="center"/>
              <w:rPr>
                <w:sz w:val="20"/>
              </w:rPr>
            </w:pPr>
            <w:r w:rsidRPr="00DA1CCA">
              <w:rPr>
                <w:b/>
                <w:bCs/>
                <w:sz w:val="20"/>
              </w:rPr>
              <w:t xml:space="preserve">$redacted </w:t>
            </w:r>
            <w:r w:rsidRPr="00DA1CCA">
              <w:rPr>
                <w:b/>
                <w:bCs/>
                <w:sz w:val="20"/>
                <w:vertAlign w:val="superscript"/>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6D17DD0" w14:textId="77777777" w:rsidR="006539DF" w:rsidRPr="00FB1958" w:rsidRDefault="006539DF" w:rsidP="006539DF">
            <w:pPr>
              <w:keepNext/>
              <w:keepLines/>
              <w:spacing w:before="0" w:after="0" w:line="256" w:lineRule="auto"/>
              <w:jc w:val="center"/>
              <w:rPr>
                <w:sz w:val="20"/>
              </w:rPr>
            </w:pPr>
            <w:r w:rsidRPr="00FB1958">
              <w:rPr>
                <w:sz w:val="20"/>
              </w:rPr>
              <w:t>+3.7%</w:t>
            </w:r>
          </w:p>
        </w:tc>
      </w:tr>
      <w:tr w:rsidR="006539DF" w:rsidRPr="00FB1958" w14:paraId="4617D889" w14:textId="77777777" w:rsidTr="00DA1CCA">
        <w:trPr>
          <w:trHeight w:val="2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A70ED84" w14:textId="77777777" w:rsidR="006539DF" w:rsidRPr="00FB1958" w:rsidRDefault="006539DF" w:rsidP="006539DF">
            <w:pPr>
              <w:spacing w:before="0" w:after="0" w:line="256" w:lineRule="auto"/>
              <w:jc w:val="left"/>
              <w:rPr>
                <w:sz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5954E2A7" w14:textId="77777777" w:rsidR="006539DF" w:rsidRPr="00FB1958" w:rsidRDefault="006539DF" w:rsidP="006539DF">
            <w:pPr>
              <w:keepNext/>
              <w:keepLines/>
              <w:spacing w:before="0" w:after="0" w:line="256" w:lineRule="auto"/>
              <w:jc w:val="left"/>
              <w:rPr>
                <w:sz w:val="20"/>
              </w:rPr>
            </w:pPr>
            <w:r w:rsidRPr="00FB1958">
              <w:rPr>
                <w:sz w:val="20"/>
              </w:rPr>
              <w:t>Weighted</w:t>
            </w:r>
          </w:p>
        </w:tc>
        <w:tc>
          <w:tcPr>
            <w:tcW w:w="1215" w:type="dxa"/>
            <w:tcBorders>
              <w:top w:val="single" w:sz="4" w:space="0" w:color="auto"/>
              <w:left w:val="single" w:sz="4" w:space="0" w:color="auto"/>
              <w:bottom w:val="single" w:sz="4" w:space="0" w:color="auto"/>
              <w:right w:val="single" w:sz="4" w:space="0" w:color="auto"/>
            </w:tcBorders>
            <w:noWrap/>
            <w:vAlign w:val="center"/>
          </w:tcPr>
          <w:p w14:paraId="28880AB1" w14:textId="77777777" w:rsidR="006539DF" w:rsidRPr="00DA1CCA" w:rsidRDefault="006539DF" w:rsidP="006539DF">
            <w:pPr>
              <w:keepNext/>
              <w:keepLines/>
              <w:spacing w:before="0" w:after="0" w:line="256" w:lineRule="auto"/>
              <w:jc w:val="center"/>
              <w:rPr>
                <w:sz w:val="20"/>
              </w:rPr>
            </w:pPr>
          </w:p>
        </w:tc>
        <w:tc>
          <w:tcPr>
            <w:tcW w:w="1256" w:type="dxa"/>
            <w:tcBorders>
              <w:top w:val="single" w:sz="4" w:space="0" w:color="auto"/>
              <w:left w:val="single" w:sz="4" w:space="0" w:color="auto"/>
              <w:bottom w:val="single" w:sz="4" w:space="0" w:color="auto"/>
              <w:right w:val="single" w:sz="4" w:space="0" w:color="auto"/>
            </w:tcBorders>
            <w:noWrap/>
            <w:vAlign w:val="center"/>
          </w:tcPr>
          <w:p w14:paraId="060F02F8" w14:textId="77777777" w:rsidR="006539DF" w:rsidRPr="00FB1958" w:rsidRDefault="006539DF" w:rsidP="006539DF">
            <w:pPr>
              <w:keepNext/>
              <w:keepLines/>
              <w:spacing w:before="0" w:after="0" w:line="256" w:lineRule="auto"/>
              <w:jc w:val="center"/>
              <w:rPr>
                <w:sz w:val="20"/>
              </w:rPr>
            </w:pPr>
          </w:p>
        </w:tc>
        <w:tc>
          <w:tcPr>
            <w:tcW w:w="1701" w:type="dxa"/>
            <w:tcBorders>
              <w:top w:val="single" w:sz="4" w:space="0" w:color="auto"/>
              <w:left w:val="single" w:sz="4" w:space="0" w:color="auto"/>
              <w:bottom w:val="single" w:sz="4" w:space="0" w:color="auto"/>
              <w:right w:val="single" w:sz="4" w:space="0" w:color="auto"/>
            </w:tcBorders>
            <w:noWrap/>
            <w:hideMark/>
          </w:tcPr>
          <w:p w14:paraId="08F18F55" w14:textId="2152D777" w:rsidR="006539DF" w:rsidRPr="00DA1CCA" w:rsidRDefault="006539DF" w:rsidP="006539DF">
            <w:pPr>
              <w:keepNext/>
              <w:keepLines/>
              <w:spacing w:before="0" w:after="0" w:line="256" w:lineRule="auto"/>
              <w:jc w:val="center"/>
              <w:rPr>
                <w:sz w:val="20"/>
              </w:rPr>
            </w:pPr>
            <w:r w:rsidRPr="00DA1CCA">
              <w:rPr>
                <w:b/>
                <w:bCs/>
                <w:sz w:val="20"/>
              </w:rPr>
              <w:t xml:space="preserve">$redacted </w:t>
            </w:r>
            <w:r w:rsidRPr="00DA1CCA">
              <w:rPr>
                <w:b/>
                <w:bCs/>
                <w:sz w:val="20"/>
                <w:vertAlign w:val="superscript"/>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6145BF0" w14:textId="77777777" w:rsidR="006539DF" w:rsidRPr="00FB1958" w:rsidRDefault="006539DF" w:rsidP="006539DF">
            <w:pPr>
              <w:keepNext/>
              <w:keepLines/>
              <w:spacing w:before="0" w:after="0" w:line="256" w:lineRule="auto"/>
              <w:jc w:val="center"/>
              <w:rPr>
                <w:sz w:val="20"/>
              </w:rPr>
            </w:pPr>
            <w:r w:rsidRPr="00FB1958">
              <w:rPr>
                <w:sz w:val="20"/>
              </w:rPr>
              <w:t>+4.2%</w:t>
            </w:r>
          </w:p>
        </w:tc>
      </w:tr>
    </w:tbl>
    <w:p w14:paraId="1BDACB26" w14:textId="77777777" w:rsidR="00250FA5" w:rsidRPr="00250FA5" w:rsidRDefault="00250FA5" w:rsidP="00250FA5">
      <w:pPr>
        <w:keepNext/>
        <w:keepLines/>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CPS = combined positive score; EA = economic analysis; QALY = quality adjusted life year</w:t>
      </w:r>
    </w:p>
    <w:p w14:paraId="33B0404E" w14:textId="291ED2F1" w:rsidR="00250FA5" w:rsidRDefault="00250FA5" w:rsidP="006539DF">
      <w:pPr>
        <w:snapToGrid w:val="0"/>
        <w:spacing w:before="0" w:after="240"/>
        <w:contextualSpacing/>
        <w:rPr>
          <w:rFonts w:ascii="Arial Narrow" w:eastAsia="Times New Roman" w:hAnsi="Arial Narrow" w:cs="Arial"/>
          <w:sz w:val="18"/>
          <w:szCs w:val="20"/>
        </w:rPr>
      </w:pPr>
      <w:r w:rsidRPr="00250FA5">
        <w:rPr>
          <w:rFonts w:ascii="Arial Narrow" w:eastAsia="Times New Roman" w:hAnsi="Arial Narrow" w:cs="Arial"/>
          <w:sz w:val="18"/>
          <w:szCs w:val="20"/>
        </w:rPr>
        <w:t xml:space="preserve">Source: Constructed during evaluation using Section 3 </w:t>
      </w:r>
      <w:proofErr w:type="spellStart"/>
      <w:r w:rsidRPr="00250FA5">
        <w:rPr>
          <w:rFonts w:ascii="Arial Narrow" w:eastAsia="Times New Roman" w:hAnsi="Arial Narrow" w:cs="Arial"/>
          <w:sz w:val="18"/>
          <w:szCs w:val="20"/>
        </w:rPr>
        <w:t>workbook.xslm</w:t>
      </w:r>
      <w:proofErr w:type="spellEnd"/>
    </w:p>
    <w:p w14:paraId="50312F8C" w14:textId="77777777" w:rsidR="006539DF" w:rsidRPr="006539DF" w:rsidRDefault="006539DF" w:rsidP="00932586">
      <w:pPr>
        <w:snapToGrid w:val="0"/>
        <w:spacing w:before="0" w:after="0" w:line="276" w:lineRule="auto"/>
        <w:contextualSpacing/>
        <w:jc w:val="left"/>
        <w:rPr>
          <w:rFonts w:ascii="Arial Narrow" w:eastAsia="Times New Roman" w:hAnsi="Arial Narrow" w:cs="Arial"/>
          <w:sz w:val="18"/>
          <w:lang w:eastAsia="en-AU"/>
        </w:rPr>
      </w:pPr>
      <w:r w:rsidRPr="006539DF">
        <w:rPr>
          <w:rFonts w:ascii="Arial Narrow" w:eastAsia="Times New Roman" w:hAnsi="Arial Narrow" w:cs="Arial"/>
          <w:i/>
          <w:sz w:val="18"/>
          <w:lang w:eastAsia="en-AU"/>
        </w:rPr>
        <w:t xml:space="preserve">The redacted values correspond to the following ranges: </w:t>
      </w:r>
    </w:p>
    <w:p w14:paraId="09F9F963" w14:textId="5C000770" w:rsidR="006539DF" w:rsidRPr="006539DF" w:rsidRDefault="006539DF" w:rsidP="006539DF">
      <w:pPr>
        <w:spacing w:before="0" w:after="0"/>
        <w:contextualSpacing/>
        <w:jc w:val="left"/>
        <w:rPr>
          <w:rFonts w:ascii="Arial Narrow" w:eastAsia="Calibri" w:hAnsi="Arial Narrow" w:cs="Times New Roman"/>
          <w:i/>
          <w:sz w:val="18"/>
          <w:szCs w:val="18"/>
        </w:rPr>
      </w:pPr>
      <w:r w:rsidRPr="006539DF">
        <w:rPr>
          <w:rFonts w:ascii="Arial Narrow" w:eastAsia="Calibri" w:hAnsi="Arial Narrow" w:cs="Times New Roman"/>
          <w:i/>
          <w:sz w:val="18"/>
          <w:szCs w:val="18"/>
          <w:vertAlign w:val="superscript"/>
        </w:rPr>
        <w:t>1</w:t>
      </w:r>
      <w:r w:rsidRPr="006539DF">
        <w:rPr>
          <w:rFonts w:ascii="Arial Narrow" w:eastAsia="Calibri" w:hAnsi="Arial Narrow" w:cs="Times New Roman"/>
          <w:i/>
          <w:sz w:val="18"/>
          <w:szCs w:val="18"/>
        </w:rPr>
        <w:t xml:space="preserve"> $</w:t>
      </w:r>
      <w:r>
        <w:rPr>
          <w:rFonts w:ascii="Arial Narrow" w:eastAsia="Calibri" w:hAnsi="Arial Narrow" w:cs="Times New Roman"/>
          <w:i/>
          <w:sz w:val="18"/>
          <w:szCs w:val="18"/>
        </w:rPr>
        <w:t>5</w:t>
      </w:r>
      <w:r w:rsidRPr="006539DF">
        <w:rPr>
          <w:rFonts w:ascii="Arial Narrow" w:eastAsia="Calibri" w:hAnsi="Arial Narrow" w:cs="Times New Roman"/>
          <w:i/>
          <w:sz w:val="18"/>
          <w:szCs w:val="18"/>
        </w:rPr>
        <w:t>5,000 to &lt; $</w:t>
      </w:r>
      <w:r>
        <w:rPr>
          <w:rFonts w:ascii="Arial Narrow" w:eastAsia="Calibri" w:hAnsi="Arial Narrow" w:cs="Times New Roman"/>
          <w:i/>
          <w:sz w:val="18"/>
          <w:szCs w:val="18"/>
        </w:rPr>
        <w:t>7</w:t>
      </w:r>
      <w:r w:rsidRPr="006539DF">
        <w:rPr>
          <w:rFonts w:ascii="Arial Narrow" w:eastAsia="Calibri" w:hAnsi="Arial Narrow" w:cs="Times New Roman"/>
          <w:i/>
          <w:sz w:val="18"/>
          <w:szCs w:val="18"/>
        </w:rPr>
        <w:t>5,000/QALY gained</w:t>
      </w:r>
    </w:p>
    <w:p w14:paraId="1E8F248B" w14:textId="26B5DE31" w:rsidR="006539DF" w:rsidRDefault="006539DF" w:rsidP="006539DF">
      <w:pPr>
        <w:snapToGrid w:val="0"/>
        <w:spacing w:before="0" w:after="240"/>
        <w:contextualSpacing/>
        <w:rPr>
          <w:rFonts w:ascii="Arial Narrow" w:eastAsia="Times New Roman" w:hAnsi="Arial Narrow" w:cs="Arial"/>
          <w:sz w:val="18"/>
          <w:szCs w:val="20"/>
        </w:rPr>
      </w:pPr>
      <w:r w:rsidRPr="006539DF">
        <w:rPr>
          <w:rFonts w:ascii="Arial Narrow" w:eastAsia="Calibri" w:hAnsi="Arial Narrow" w:cs="Times New Roman"/>
          <w:i/>
          <w:sz w:val="18"/>
          <w:szCs w:val="18"/>
          <w:vertAlign w:val="superscript"/>
        </w:rPr>
        <w:t>2</w:t>
      </w:r>
      <w:r w:rsidRPr="006539DF">
        <w:rPr>
          <w:rFonts w:ascii="Arial Narrow" w:eastAsia="Calibri" w:hAnsi="Arial Narrow" w:cs="Times New Roman"/>
          <w:i/>
          <w:sz w:val="18"/>
          <w:szCs w:val="18"/>
        </w:rPr>
        <w:t xml:space="preserve"> $75,000 to &lt; $95,000</w:t>
      </w:r>
    </w:p>
    <w:p w14:paraId="0B9FBF77" w14:textId="057631BA" w:rsidR="00250FA5" w:rsidRPr="00250FA5" w:rsidRDefault="00250FA5" w:rsidP="009059D8">
      <w:pPr>
        <w:keepNext/>
        <w:spacing w:before="0" w:after="40"/>
        <w:ind w:left="993" w:hanging="993"/>
        <w:outlineLvl w:val="4"/>
        <w:rPr>
          <w:rFonts w:ascii="Arial Narrow" w:eastAsia="Times New Roman" w:hAnsi="Arial Narrow" w:cs="Arial"/>
          <w:b/>
          <w:bCs/>
          <w:iCs/>
          <w:sz w:val="20"/>
          <w:szCs w:val="20"/>
        </w:rPr>
      </w:pPr>
      <w:bookmarkStart w:id="27" w:name="_Ref84943203"/>
      <w:r w:rsidRPr="00250FA5">
        <w:rPr>
          <w:rFonts w:ascii="Arial Narrow" w:eastAsia="Times New Roman" w:hAnsi="Arial Narrow" w:cs="Arial"/>
          <w:b/>
          <w:bCs/>
          <w:iCs/>
          <w:sz w:val="20"/>
          <w:szCs w:val="20"/>
        </w:rPr>
        <w:t xml:space="preserve">Table </w:t>
      </w:r>
      <w:r w:rsidRPr="00250FA5">
        <w:rPr>
          <w:rFonts w:ascii="Arial Narrow" w:eastAsia="Times New Roman" w:hAnsi="Arial Narrow" w:cs="Arial"/>
          <w:b/>
          <w:bCs/>
          <w:iCs/>
          <w:sz w:val="20"/>
          <w:szCs w:val="20"/>
        </w:rPr>
        <w:fldChar w:fldCharType="begin"/>
      </w:r>
      <w:r w:rsidRPr="00250FA5">
        <w:rPr>
          <w:rFonts w:ascii="Arial Narrow" w:eastAsia="Times New Roman" w:hAnsi="Arial Narrow" w:cs="Arial"/>
          <w:b/>
          <w:bCs/>
          <w:iCs/>
          <w:sz w:val="20"/>
          <w:szCs w:val="20"/>
        </w:rPr>
        <w:instrText xml:space="preserve"> SEQ Table \* ARABIC </w:instrText>
      </w:r>
      <w:r w:rsidRPr="00250FA5">
        <w:rPr>
          <w:rFonts w:ascii="Arial Narrow" w:eastAsia="Times New Roman" w:hAnsi="Arial Narrow" w:cs="Arial"/>
          <w:b/>
          <w:bCs/>
          <w:iCs/>
          <w:sz w:val="20"/>
          <w:szCs w:val="20"/>
        </w:rPr>
        <w:fldChar w:fldCharType="separate"/>
      </w:r>
      <w:r w:rsidR="00783DB8">
        <w:rPr>
          <w:rFonts w:ascii="Arial Narrow" w:eastAsia="Times New Roman" w:hAnsi="Arial Narrow" w:cs="Arial"/>
          <w:b/>
          <w:bCs/>
          <w:iCs/>
          <w:noProof/>
          <w:sz w:val="20"/>
          <w:szCs w:val="20"/>
        </w:rPr>
        <w:t>16</w:t>
      </w:r>
      <w:r w:rsidRPr="00250FA5">
        <w:rPr>
          <w:rFonts w:ascii="Arial Narrow" w:eastAsia="Times New Roman" w:hAnsi="Arial Narrow" w:cs="Arial"/>
          <w:b/>
          <w:bCs/>
          <w:iCs/>
          <w:sz w:val="20"/>
          <w:szCs w:val="20"/>
        </w:rPr>
        <w:fldChar w:fldCharType="end"/>
      </w:r>
      <w:bookmarkEnd w:id="27"/>
      <w:r w:rsidRPr="00250FA5">
        <w:rPr>
          <w:rFonts w:ascii="Arial Narrow" w:eastAsia="Times New Roman" w:hAnsi="Arial Narrow" w:cs="Arial"/>
          <w:b/>
          <w:bCs/>
          <w:iCs/>
          <w:sz w:val="20"/>
          <w:szCs w:val="20"/>
        </w:rPr>
        <w:tab/>
        <w:t>Key sensitivity analyses presented in the pre-ESC response</w:t>
      </w:r>
    </w:p>
    <w:tbl>
      <w:tblPr>
        <w:tblStyle w:val="TableGrid2"/>
        <w:tblW w:w="5000" w:type="pct"/>
        <w:tblLayout w:type="fixed"/>
        <w:tblLook w:val="04A0" w:firstRow="1" w:lastRow="0" w:firstColumn="1" w:lastColumn="0" w:noHBand="0" w:noVBand="1"/>
        <w:tblDescription w:val="Key sensitivity analyses presented in the pre-ESC response"/>
      </w:tblPr>
      <w:tblGrid>
        <w:gridCol w:w="2122"/>
        <w:gridCol w:w="1559"/>
        <w:gridCol w:w="1134"/>
        <w:gridCol w:w="1376"/>
        <w:gridCol w:w="1615"/>
        <w:gridCol w:w="1210"/>
      </w:tblGrid>
      <w:tr w:rsidR="00250FA5" w:rsidRPr="00FB1958" w14:paraId="7B2E0E17" w14:textId="77777777" w:rsidTr="009059D8">
        <w:trPr>
          <w:cnfStyle w:val="100000000000" w:firstRow="1" w:lastRow="0" w:firstColumn="0" w:lastColumn="0" w:oddVBand="0" w:evenVBand="0" w:oddHBand="0" w:evenHBand="0" w:firstRowFirstColumn="0" w:firstRowLastColumn="0" w:lastRowFirstColumn="0" w:lastRowLastColumn="0"/>
          <w:trHeight w:val="20"/>
        </w:trPr>
        <w:tc>
          <w:tcPr>
            <w:tcW w:w="2122" w:type="dxa"/>
            <w:tcBorders>
              <w:top w:val="single" w:sz="4" w:space="0" w:color="auto"/>
              <w:left w:val="single" w:sz="4" w:space="0" w:color="auto"/>
              <w:bottom w:val="single" w:sz="4" w:space="0" w:color="auto"/>
              <w:right w:val="single" w:sz="4" w:space="0" w:color="auto"/>
            </w:tcBorders>
            <w:vAlign w:val="center"/>
            <w:hideMark/>
          </w:tcPr>
          <w:p w14:paraId="0A80E484" w14:textId="77777777" w:rsidR="00250FA5" w:rsidRPr="00FB1958" w:rsidRDefault="00250FA5" w:rsidP="00250FA5">
            <w:pPr>
              <w:keepNext/>
              <w:keepLines/>
              <w:spacing w:before="0" w:after="0" w:line="256" w:lineRule="auto"/>
              <w:jc w:val="left"/>
              <w:rPr>
                <w:rFonts w:ascii="Arial Narrow" w:hAnsi="Arial Narrow"/>
                <w:b/>
                <w:bCs/>
                <w:sz w:val="20"/>
              </w:rPr>
            </w:pPr>
            <w:r w:rsidRPr="00FB1958">
              <w:rPr>
                <w:rFonts w:ascii="Arial Narrow" w:hAnsi="Arial Narrow"/>
                <w:b/>
                <w:bCs/>
                <w:sz w:val="20"/>
              </w:rPr>
              <w:t>Univariate analyses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CB5CD8" w14:textId="77777777" w:rsidR="00250FA5" w:rsidRPr="00FB1958" w:rsidRDefault="00250FA5" w:rsidP="00250FA5">
            <w:pPr>
              <w:keepNext/>
              <w:keepLines/>
              <w:spacing w:before="0" w:after="0" w:line="256" w:lineRule="auto"/>
              <w:jc w:val="center"/>
              <w:rPr>
                <w:rFonts w:ascii="Arial Narrow" w:hAnsi="Arial Narrow"/>
                <w:b/>
                <w:bCs/>
                <w:sz w:val="20"/>
              </w:rPr>
            </w:pPr>
            <w:r w:rsidRPr="00FB1958">
              <w:rPr>
                <w:rFonts w:ascii="Arial Narrow" w:hAnsi="Arial Narrow"/>
                <w:b/>
                <w:bCs/>
                <w:sz w:val="20"/>
              </w:rPr>
              <w:t>Model/ comparison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B5897C" w14:textId="77777777" w:rsidR="00250FA5" w:rsidRPr="00FB1958" w:rsidRDefault="00250FA5" w:rsidP="00250FA5">
            <w:pPr>
              <w:keepNext/>
              <w:keepLines/>
              <w:spacing w:before="0" w:after="0" w:line="256" w:lineRule="auto"/>
              <w:jc w:val="center"/>
              <w:rPr>
                <w:rFonts w:ascii="Arial Narrow" w:hAnsi="Arial Narrow"/>
                <w:b/>
                <w:bCs/>
                <w:sz w:val="20"/>
              </w:rPr>
            </w:pPr>
            <w:r w:rsidRPr="00FB1958">
              <w:rPr>
                <w:rFonts w:ascii="Arial Narrow" w:hAnsi="Arial Narrow"/>
                <w:b/>
                <w:bCs/>
                <w:sz w:val="20"/>
              </w:rPr>
              <w:t>Incremental costs</w:t>
            </w:r>
          </w:p>
        </w:tc>
        <w:tc>
          <w:tcPr>
            <w:tcW w:w="1376" w:type="dxa"/>
            <w:tcBorders>
              <w:top w:val="single" w:sz="4" w:space="0" w:color="auto"/>
              <w:left w:val="single" w:sz="4" w:space="0" w:color="auto"/>
              <w:bottom w:val="single" w:sz="4" w:space="0" w:color="auto"/>
              <w:right w:val="single" w:sz="4" w:space="0" w:color="auto"/>
            </w:tcBorders>
            <w:vAlign w:val="center"/>
            <w:hideMark/>
          </w:tcPr>
          <w:p w14:paraId="48682AAB" w14:textId="77777777" w:rsidR="00250FA5" w:rsidRPr="00FB1958" w:rsidRDefault="00250FA5" w:rsidP="00250FA5">
            <w:pPr>
              <w:keepNext/>
              <w:keepLines/>
              <w:spacing w:before="0" w:after="0" w:line="256" w:lineRule="auto"/>
              <w:jc w:val="center"/>
              <w:rPr>
                <w:rFonts w:ascii="Arial Narrow" w:hAnsi="Arial Narrow"/>
                <w:b/>
                <w:bCs/>
                <w:sz w:val="20"/>
              </w:rPr>
            </w:pPr>
            <w:r w:rsidRPr="00FB1958">
              <w:rPr>
                <w:rFonts w:ascii="Arial Narrow" w:hAnsi="Arial Narrow"/>
                <w:b/>
                <w:bCs/>
                <w:sz w:val="20"/>
              </w:rPr>
              <w:t>Incremental effectiveness (QALY)</w:t>
            </w:r>
          </w:p>
        </w:tc>
        <w:tc>
          <w:tcPr>
            <w:tcW w:w="1615" w:type="dxa"/>
            <w:tcBorders>
              <w:top w:val="single" w:sz="4" w:space="0" w:color="auto"/>
              <w:left w:val="single" w:sz="4" w:space="0" w:color="auto"/>
              <w:bottom w:val="single" w:sz="4" w:space="0" w:color="auto"/>
              <w:right w:val="single" w:sz="4" w:space="0" w:color="auto"/>
            </w:tcBorders>
            <w:vAlign w:val="center"/>
            <w:hideMark/>
          </w:tcPr>
          <w:p w14:paraId="5F39CD0B" w14:textId="77777777" w:rsidR="00250FA5" w:rsidRPr="00FB1958" w:rsidRDefault="00250FA5" w:rsidP="00250FA5">
            <w:pPr>
              <w:keepNext/>
              <w:keepLines/>
              <w:spacing w:before="0" w:after="0" w:line="256" w:lineRule="auto"/>
              <w:jc w:val="center"/>
              <w:rPr>
                <w:rFonts w:ascii="Arial Narrow" w:hAnsi="Arial Narrow"/>
                <w:b/>
                <w:bCs/>
                <w:sz w:val="20"/>
              </w:rPr>
            </w:pPr>
            <w:r w:rsidRPr="00FB1958">
              <w:rPr>
                <w:rFonts w:ascii="Arial Narrow" w:hAnsi="Arial Narrow"/>
                <w:b/>
                <w:bCs/>
                <w:sz w:val="20"/>
              </w:rPr>
              <w:t>Incremental cost-effectiveness ($/QALY)</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77C008D" w14:textId="77777777" w:rsidR="00250FA5" w:rsidRPr="00FB1958" w:rsidRDefault="00250FA5" w:rsidP="00250FA5">
            <w:pPr>
              <w:keepNext/>
              <w:keepLines/>
              <w:spacing w:before="0" w:after="0" w:line="256" w:lineRule="auto"/>
              <w:jc w:val="center"/>
              <w:rPr>
                <w:rFonts w:ascii="Arial Narrow" w:hAnsi="Arial Narrow"/>
                <w:b/>
                <w:bCs/>
                <w:sz w:val="20"/>
              </w:rPr>
            </w:pPr>
            <w:r w:rsidRPr="00FB1958">
              <w:rPr>
                <w:rFonts w:ascii="Arial Narrow" w:hAnsi="Arial Narrow"/>
                <w:b/>
                <w:bCs/>
                <w:sz w:val="20"/>
              </w:rPr>
              <w:t>% change from base case</w:t>
            </w:r>
          </w:p>
        </w:tc>
      </w:tr>
      <w:tr w:rsidR="00135ED1" w:rsidRPr="00FB1958" w14:paraId="36BD4830" w14:textId="77777777" w:rsidTr="00DA1CCA">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30DF85A3" w14:textId="77777777" w:rsidR="00135ED1" w:rsidRPr="00F54109" w:rsidRDefault="00135ED1" w:rsidP="00135ED1">
            <w:pPr>
              <w:keepNext/>
              <w:keepLines/>
              <w:spacing w:before="0" w:after="0" w:line="256" w:lineRule="auto"/>
              <w:jc w:val="left"/>
              <w:rPr>
                <w:b/>
                <w:bCs/>
                <w:sz w:val="20"/>
              </w:rPr>
            </w:pPr>
            <w:r w:rsidRPr="00F54109">
              <w:rPr>
                <w:b/>
                <w:bCs/>
                <w:sz w:val="20"/>
              </w:rPr>
              <w:t>Base case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168CAB" w14:textId="77777777" w:rsidR="00135ED1" w:rsidRPr="00F54109" w:rsidRDefault="00135ED1" w:rsidP="00135ED1">
            <w:pPr>
              <w:keepNext/>
              <w:keepLines/>
              <w:spacing w:before="0" w:after="0" w:line="256" w:lineRule="auto"/>
              <w:jc w:val="left"/>
              <w:rPr>
                <w:b/>
                <w:bCs/>
                <w:sz w:val="20"/>
              </w:rPr>
            </w:pPr>
            <w:r w:rsidRPr="00F54109">
              <w:rPr>
                <w:b/>
                <w:bCs/>
                <w:sz w:val="20"/>
              </w:rPr>
              <w:t>Chemotherapy</w:t>
            </w:r>
          </w:p>
        </w:tc>
        <w:tc>
          <w:tcPr>
            <w:tcW w:w="1134" w:type="dxa"/>
            <w:tcBorders>
              <w:top w:val="single" w:sz="4" w:space="0" w:color="auto"/>
              <w:left w:val="single" w:sz="4" w:space="0" w:color="auto"/>
              <w:bottom w:val="single" w:sz="4" w:space="0" w:color="auto"/>
              <w:right w:val="single" w:sz="4" w:space="0" w:color="auto"/>
            </w:tcBorders>
            <w:noWrap/>
            <w:hideMark/>
          </w:tcPr>
          <w:p w14:paraId="1E1F366B" w14:textId="7E2BB982" w:rsidR="00135ED1" w:rsidRPr="00DA1CCA" w:rsidRDefault="00135ED1" w:rsidP="00135ED1">
            <w:pPr>
              <w:keepNext/>
              <w:keepLines/>
              <w:spacing w:before="0" w:after="0" w:line="256" w:lineRule="auto"/>
              <w:jc w:val="center"/>
              <w:rPr>
                <w:b/>
                <w:bCs/>
                <w:sz w:val="20"/>
              </w:rPr>
            </w:pPr>
            <w:r w:rsidRPr="00DA1CCA">
              <w:rPr>
                <w:rFonts w:eastAsia="Calibri"/>
                <w:sz w:val="20"/>
              </w:rPr>
              <w:t>$redacted</w:t>
            </w:r>
          </w:p>
        </w:tc>
        <w:tc>
          <w:tcPr>
            <w:tcW w:w="1376" w:type="dxa"/>
            <w:tcBorders>
              <w:top w:val="single" w:sz="4" w:space="0" w:color="auto"/>
              <w:left w:val="single" w:sz="4" w:space="0" w:color="auto"/>
              <w:bottom w:val="single" w:sz="4" w:space="0" w:color="auto"/>
              <w:right w:val="single" w:sz="4" w:space="0" w:color="auto"/>
            </w:tcBorders>
            <w:noWrap/>
            <w:vAlign w:val="center"/>
            <w:hideMark/>
          </w:tcPr>
          <w:p w14:paraId="2E77667D" w14:textId="77777777" w:rsidR="00135ED1" w:rsidRPr="00DA1CCA" w:rsidRDefault="00135ED1" w:rsidP="00135ED1">
            <w:pPr>
              <w:keepNext/>
              <w:keepLines/>
              <w:spacing w:before="0" w:after="0" w:line="256" w:lineRule="auto"/>
              <w:jc w:val="center"/>
              <w:rPr>
                <w:b/>
                <w:bCs/>
                <w:sz w:val="20"/>
              </w:rPr>
            </w:pPr>
            <w:r w:rsidRPr="00DA1CCA">
              <w:rPr>
                <w:b/>
                <w:bCs/>
                <w:sz w:val="20"/>
              </w:rPr>
              <w:t>0.6043</w:t>
            </w:r>
          </w:p>
        </w:tc>
        <w:tc>
          <w:tcPr>
            <w:tcW w:w="1615" w:type="dxa"/>
            <w:tcBorders>
              <w:top w:val="single" w:sz="4" w:space="0" w:color="auto"/>
              <w:left w:val="single" w:sz="4" w:space="0" w:color="auto"/>
              <w:bottom w:val="single" w:sz="4" w:space="0" w:color="auto"/>
              <w:right w:val="single" w:sz="4" w:space="0" w:color="auto"/>
            </w:tcBorders>
            <w:noWrap/>
            <w:vAlign w:val="center"/>
            <w:hideMark/>
          </w:tcPr>
          <w:p w14:paraId="35A3850E" w14:textId="6E78B692" w:rsidR="00135ED1" w:rsidRPr="00DA1CCA" w:rsidRDefault="006316D9" w:rsidP="00135ED1">
            <w:pPr>
              <w:keepNext/>
              <w:keepLines/>
              <w:spacing w:before="0" w:after="0" w:line="256" w:lineRule="auto"/>
              <w:jc w:val="center"/>
              <w:rPr>
                <w:b/>
                <w:bCs/>
                <w:sz w:val="20"/>
                <w:vertAlign w:val="superscript"/>
              </w:rPr>
            </w:pPr>
            <w:r w:rsidRPr="00DA1CCA">
              <w:rPr>
                <w:b/>
                <w:bCs/>
                <w:sz w:val="20"/>
              </w:rPr>
              <w:t xml:space="preserve">$redacted </w:t>
            </w:r>
            <w:r w:rsidRPr="00DA1CCA">
              <w:rPr>
                <w:b/>
                <w:bCs/>
                <w:sz w:val="20"/>
                <w:vertAlign w:val="superscript"/>
              </w:rPr>
              <w:t>1</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D34340A" w14:textId="77777777" w:rsidR="00135ED1" w:rsidRPr="00F54109" w:rsidRDefault="00135ED1" w:rsidP="00135ED1">
            <w:pPr>
              <w:keepNext/>
              <w:keepLines/>
              <w:spacing w:before="0" w:after="0" w:line="256" w:lineRule="auto"/>
              <w:jc w:val="center"/>
              <w:rPr>
                <w:sz w:val="20"/>
              </w:rPr>
            </w:pPr>
            <w:r w:rsidRPr="00F54109">
              <w:rPr>
                <w:sz w:val="20"/>
              </w:rPr>
              <w:t>-</w:t>
            </w:r>
          </w:p>
        </w:tc>
      </w:tr>
      <w:tr w:rsidR="006316D9" w:rsidRPr="00FB1958" w14:paraId="253FDB10" w14:textId="77777777" w:rsidTr="00DA1CCA">
        <w:tc>
          <w:tcPr>
            <w:tcW w:w="2122" w:type="dxa"/>
            <w:vMerge/>
            <w:tcBorders>
              <w:top w:val="single" w:sz="4" w:space="0" w:color="auto"/>
              <w:left w:val="single" w:sz="4" w:space="0" w:color="auto"/>
              <w:bottom w:val="single" w:sz="4" w:space="0" w:color="auto"/>
              <w:right w:val="single" w:sz="4" w:space="0" w:color="auto"/>
            </w:tcBorders>
            <w:vAlign w:val="center"/>
            <w:hideMark/>
          </w:tcPr>
          <w:p w14:paraId="16872A23" w14:textId="77777777" w:rsidR="006316D9" w:rsidRPr="00F54109" w:rsidRDefault="006316D9" w:rsidP="006316D9">
            <w:pPr>
              <w:spacing w:before="0" w:after="0" w:line="256" w:lineRule="auto"/>
              <w:jc w:val="left"/>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A684C3E" w14:textId="55A18CF8" w:rsidR="006316D9" w:rsidRPr="00F54109" w:rsidRDefault="006316D9" w:rsidP="006316D9">
            <w:pPr>
              <w:keepNext/>
              <w:keepLines/>
              <w:spacing w:before="0" w:after="0" w:line="256" w:lineRule="auto"/>
              <w:jc w:val="left"/>
              <w:rPr>
                <w:b/>
                <w:bCs/>
                <w:sz w:val="20"/>
              </w:rPr>
            </w:pPr>
            <w:r w:rsidRPr="00F54109">
              <w:rPr>
                <w:b/>
                <w:bCs/>
                <w:sz w:val="20"/>
              </w:rPr>
              <w:t>Monotherapy</w:t>
            </w:r>
          </w:p>
        </w:tc>
        <w:tc>
          <w:tcPr>
            <w:tcW w:w="1134" w:type="dxa"/>
            <w:tcBorders>
              <w:top w:val="single" w:sz="4" w:space="0" w:color="auto"/>
              <w:left w:val="single" w:sz="4" w:space="0" w:color="auto"/>
              <w:bottom w:val="single" w:sz="4" w:space="0" w:color="auto"/>
              <w:right w:val="single" w:sz="4" w:space="0" w:color="auto"/>
            </w:tcBorders>
            <w:noWrap/>
            <w:hideMark/>
          </w:tcPr>
          <w:p w14:paraId="6E41C3F5" w14:textId="2800F31B" w:rsidR="006316D9" w:rsidRPr="00DA1CCA" w:rsidRDefault="006316D9" w:rsidP="006316D9">
            <w:pPr>
              <w:keepNext/>
              <w:keepLines/>
              <w:spacing w:before="0" w:after="0" w:line="256" w:lineRule="auto"/>
              <w:jc w:val="center"/>
              <w:rPr>
                <w:b/>
                <w:bCs/>
                <w:sz w:val="20"/>
              </w:rPr>
            </w:pPr>
            <w:r w:rsidRPr="00DA1CCA">
              <w:rPr>
                <w:rFonts w:eastAsia="Calibri"/>
                <w:sz w:val="20"/>
              </w:rPr>
              <w:t>$redacted</w:t>
            </w:r>
          </w:p>
        </w:tc>
        <w:tc>
          <w:tcPr>
            <w:tcW w:w="1376" w:type="dxa"/>
            <w:tcBorders>
              <w:top w:val="single" w:sz="4" w:space="0" w:color="auto"/>
              <w:left w:val="single" w:sz="4" w:space="0" w:color="auto"/>
              <w:bottom w:val="single" w:sz="4" w:space="0" w:color="auto"/>
              <w:right w:val="single" w:sz="4" w:space="0" w:color="auto"/>
            </w:tcBorders>
            <w:noWrap/>
            <w:vAlign w:val="center"/>
            <w:hideMark/>
          </w:tcPr>
          <w:p w14:paraId="6C077B3F" w14:textId="77777777" w:rsidR="006316D9" w:rsidRPr="00DA1CCA" w:rsidRDefault="006316D9" w:rsidP="006316D9">
            <w:pPr>
              <w:keepNext/>
              <w:keepLines/>
              <w:spacing w:before="0" w:after="0" w:line="256" w:lineRule="auto"/>
              <w:jc w:val="center"/>
              <w:rPr>
                <w:b/>
                <w:bCs/>
                <w:sz w:val="20"/>
              </w:rPr>
            </w:pPr>
            <w:r w:rsidRPr="00DA1CCA">
              <w:rPr>
                <w:b/>
                <w:bCs/>
                <w:sz w:val="20"/>
              </w:rPr>
              <w:t>0.5163</w:t>
            </w:r>
          </w:p>
        </w:tc>
        <w:tc>
          <w:tcPr>
            <w:tcW w:w="1615" w:type="dxa"/>
            <w:tcBorders>
              <w:top w:val="single" w:sz="4" w:space="0" w:color="auto"/>
              <w:left w:val="single" w:sz="4" w:space="0" w:color="auto"/>
              <w:bottom w:val="single" w:sz="4" w:space="0" w:color="auto"/>
              <w:right w:val="single" w:sz="4" w:space="0" w:color="auto"/>
            </w:tcBorders>
            <w:noWrap/>
            <w:hideMark/>
          </w:tcPr>
          <w:p w14:paraId="761019CB" w14:textId="477B1439" w:rsidR="006316D9" w:rsidRPr="00DA1CCA" w:rsidRDefault="006316D9" w:rsidP="006316D9">
            <w:pPr>
              <w:keepNext/>
              <w:keepLines/>
              <w:spacing w:before="0" w:after="0" w:line="256" w:lineRule="auto"/>
              <w:jc w:val="center"/>
              <w:rPr>
                <w:b/>
                <w:bCs/>
                <w:sz w:val="20"/>
              </w:rPr>
            </w:pPr>
            <w:r w:rsidRPr="00DA1CCA">
              <w:rPr>
                <w:b/>
                <w:bCs/>
                <w:sz w:val="20"/>
              </w:rPr>
              <w:t xml:space="preserve">$redacted </w:t>
            </w:r>
            <w:r w:rsidRPr="00DA1CCA">
              <w:rPr>
                <w:b/>
                <w:bCs/>
                <w:sz w:val="20"/>
                <w:vertAlign w:val="superscript"/>
              </w:rPr>
              <w:t>1</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2BA6EF7" w14:textId="77777777" w:rsidR="006316D9" w:rsidRPr="00F54109" w:rsidRDefault="006316D9" w:rsidP="006316D9">
            <w:pPr>
              <w:keepNext/>
              <w:keepLines/>
              <w:spacing w:before="0" w:after="0" w:line="256" w:lineRule="auto"/>
              <w:jc w:val="center"/>
              <w:rPr>
                <w:sz w:val="20"/>
              </w:rPr>
            </w:pPr>
            <w:r w:rsidRPr="00F54109">
              <w:rPr>
                <w:sz w:val="20"/>
              </w:rPr>
              <w:t>-</w:t>
            </w:r>
          </w:p>
        </w:tc>
      </w:tr>
      <w:tr w:rsidR="006316D9" w:rsidRPr="00FB1958" w14:paraId="05DC8C96" w14:textId="77777777" w:rsidTr="00DA1CCA">
        <w:tc>
          <w:tcPr>
            <w:tcW w:w="2122" w:type="dxa"/>
            <w:vMerge/>
            <w:tcBorders>
              <w:top w:val="single" w:sz="4" w:space="0" w:color="auto"/>
              <w:left w:val="single" w:sz="4" w:space="0" w:color="auto"/>
              <w:bottom w:val="single" w:sz="4" w:space="0" w:color="auto"/>
              <w:right w:val="single" w:sz="4" w:space="0" w:color="auto"/>
            </w:tcBorders>
            <w:vAlign w:val="center"/>
            <w:hideMark/>
          </w:tcPr>
          <w:p w14:paraId="1DC3CCC8" w14:textId="77777777" w:rsidR="006316D9" w:rsidRPr="00F54109" w:rsidRDefault="006316D9" w:rsidP="006316D9">
            <w:pPr>
              <w:spacing w:before="0" w:after="0" w:line="256" w:lineRule="auto"/>
              <w:jc w:val="left"/>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B93D192" w14:textId="77777777" w:rsidR="006316D9" w:rsidRPr="00F54109" w:rsidRDefault="006316D9" w:rsidP="006316D9">
            <w:pPr>
              <w:keepNext/>
              <w:keepLines/>
              <w:spacing w:before="0" w:after="0" w:line="256" w:lineRule="auto"/>
              <w:jc w:val="left"/>
              <w:rPr>
                <w:b/>
                <w:bCs/>
                <w:sz w:val="20"/>
              </w:rPr>
            </w:pPr>
            <w:r w:rsidRPr="00F54109">
              <w:rPr>
                <w:b/>
                <w:bCs/>
                <w:sz w:val="20"/>
              </w:rPr>
              <w:t>Weighted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0DBC1BA" w14:textId="77777777" w:rsidR="006316D9" w:rsidRPr="00DA1CCA" w:rsidRDefault="006316D9" w:rsidP="006316D9">
            <w:pPr>
              <w:spacing w:before="0" w:after="0"/>
              <w:rPr>
                <w:rFonts w:eastAsia="Calibri" w:cs="Arial"/>
                <w:b/>
                <w:bCs/>
                <w:sz w:val="20"/>
              </w:rPr>
            </w:pPr>
          </w:p>
        </w:tc>
        <w:tc>
          <w:tcPr>
            <w:tcW w:w="1376" w:type="dxa"/>
            <w:tcBorders>
              <w:top w:val="single" w:sz="4" w:space="0" w:color="auto"/>
              <w:left w:val="single" w:sz="4" w:space="0" w:color="auto"/>
              <w:bottom w:val="single" w:sz="4" w:space="0" w:color="auto"/>
              <w:right w:val="single" w:sz="4" w:space="0" w:color="auto"/>
            </w:tcBorders>
            <w:noWrap/>
            <w:vAlign w:val="center"/>
            <w:hideMark/>
          </w:tcPr>
          <w:p w14:paraId="39A3E7CB" w14:textId="77777777" w:rsidR="006316D9" w:rsidRPr="00DA1CCA" w:rsidRDefault="006316D9" w:rsidP="006316D9">
            <w:pPr>
              <w:spacing w:before="0" w:after="0" w:line="256" w:lineRule="auto"/>
              <w:jc w:val="left"/>
              <w:rPr>
                <w:rFonts w:eastAsia="Calibri" w:cs="Arial"/>
                <w:sz w:val="20"/>
              </w:rPr>
            </w:pPr>
          </w:p>
        </w:tc>
        <w:tc>
          <w:tcPr>
            <w:tcW w:w="1615" w:type="dxa"/>
            <w:tcBorders>
              <w:top w:val="single" w:sz="4" w:space="0" w:color="auto"/>
              <w:left w:val="single" w:sz="4" w:space="0" w:color="auto"/>
              <w:bottom w:val="single" w:sz="4" w:space="0" w:color="auto"/>
              <w:right w:val="single" w:sz="4" w:space="0" w:color="auto"/>
            </w:tcBorders>
            <w:noWrap/>
            <w:hideMark/>
          </w:tcPr>
          <w:p w14:paraId="60002DE3" w14:textId="57C39823" w:rsidR="006316D9" w:rsidRPr="00DA1CCA" w:rsidRDefault="006316D9" w:rsidP="006316D9">
            <w:pPr>
              <w:keepNext/>
              <w:keepLines/>
              <w:spacing w:before="0" w:after="0" w:line="256" w:lineRule="auto"/>
              <w:jc w:val="center"/>
              <w:rPr>
                <w:b/>
                <w:bCs/>
                <w:sz w:val="20"/>
              </w:rPr>
            </w:pPr>
            <w:r w:rsidRPr="00DA1CCA">
              <w:rPr>
                <w:b/>
                <w:bCs/>
                <w:sz w:val="20"/>
              </w:rPr>
              <w:t xml:space="preserve">$redacted </w:t>
            </w:r>
            <w:r w:rsidRPr="00DA1CCA">
              <w:rPr>
                <w:b/>
                <w:bCs/>
                <w:sz w:val="20"/>
                <w:vertAlign w:val="superscript"/>
              </w:rPr>
              <w:t>1</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1ED40D3" w14:textId="77777777" w:rsidR="006316D9" w:rsidRPr="00F54109" w:rsidRDefault="006316D9" w:rsidP="006316D9">
            <w:pPr>
              <w:keepNext/>
              <w:keepLines/>
              <w:spacing w:before="0" w:after="0" w:line="256" w:lineRule="auto"/>
              <w:jc w:val="center"/>
              <w:rPr>
                <w:sz w:val="20"/>
              </w:rPr>
            </w:pPr>
            <w:r w:rsidRPr="00F54109">
              <w:rPr>
                <w:sz w:val="20"/>
              </w:rPr>
              <w:t>-</w:t>
            </w:r>
          </w:p>
        </w:tc>
      </w:tr>
      <w:tr w:rsidR="006316D9" w:rsidRPr="00FB1958" w14:paraId="5AD31A42" w14:textId="77777777" w:rsidTr="00DA1CCA">
        <w:trPr>
          <w:trHeight w:val="20"/>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90A173B" w14:textId="31A9E6D4" w:rsidR="006316D9" w:rsidRPr="00F54109" w:rsidRDefault="006316D9" w:rsidP="006316D9">
            <w:pPr>
              <w:keepNext/>
              <w:keepLines/>
              <w:spacing w:before="0" w:after="0" w:line="256" w:lineRule="auto"/>
              <w:jc w:val="left"/>
              <w:rPr>
                <w:sz w:val="20"/>
              </w:rPr>
            </w:pPr>
            <w:r w:rsidRPr="00F54109">
              <w:rPr>
                <w:sz w:val="20"/>
              </w:rPr>
              <w:t>Decrease test sensitivity and specificity to 85%</w:t>
            </w:r>
          </w:p>
          <w:p w14:paraId="132A20DF" w14:textId="77777777" w:rsidR="006316D9" w:rsidRPr="00F54109" w:rsidRDefault="006316D9" w:rsidP="006316D9">
            <w:pPr>
              <w:keepNext/>
              <w:keepLines/>
              <w:spacing w:before="0" w:after="0" w:line="256" w:lineRule="auto"/>
              <w:jc w:val="left"/>
              <w:rPr>
                <w:sz w:val="20"/>
              </w:rPr>
            </w:pPr>
            <w:r w:rsidRPr="00F54109">
              <w:rPr>
                <w:sz w:val="20"/>
              </w:rPr>
              <w:t>(base case 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3BCBAD" w14:textId="77777777" w:rsidR="006316D9" w:rsidRPr="00F54109" w:rsidRDefault="006316D9" w:rsidP="006316D9">
            <w:pPr>
              <w:keepNext/>
              <w:keepLines/>
              <w:spacing w:before="0" w:after="0" w:line="256" w:lineRule="auto"/>
              <w:jc w:val="left"/>
              <w:rPr>
                <w:sz w:val="20"/>
              </w:rPr>
            </w:pPr>
            <w:r w:rsidRPr="00F54109">
              <w:rPr>
                <w:sz w:val="20"/>
              </w:rPr>
              <w:t>Chemotherapy</w:t>
            </w:r>
          </w:p>
        </w:tc>
        <w:tc>
          <w:tcPr>
            <w:tcW w:w="1134" w:type="dxa"/>
            <w:tcBorders>
              <w:top w:val="single" w:sz="4" w:space="0" w:color="auto"/>
              <w:left w:val="single" w:sz="4" w:space="0" w:color="auto"/>
              <w:bottom w:val="single" w:sz="4" w:space="0" w:color="auto"/>
              <w:right w:val="single" w:sz="4" w:space="0" w:color="auto"/>
            </w:tcBorders>
            <w:noWrap/>
            <w:hideMark/>
          </w:tcPr>
          <w:p w14:paraId="5B017C52" w14:textId="05B050DC" w:rsidR="006316D9" w:rsidRPr="00DA1CCA" w:rsidRDefault="006316D9" w:rsidP="006316D9">
            <w:pPr>
              <w:keepNext/>
              <w:keepLines/>
              <w:spacing w:before="0" w:after="0" w:line="256" w:lineRule="auto"/>
              <w:jc w:val="center"/>
              <w:rPr>
                <w:sz w:val="20"/>
              </w:rPr>
            </w:pPr>
            <w:r w:rsidRPr="00DA1CCA">
              <w:rPr>
                <w:rFonts w:eastAsia="Calibri"/>
                <w:sz w:val="20"/>
              </w:rPr>
              <w:t>$redacted</w:t>
            </w:r>
          </w:p>
        </w:tc>
        <w:tc>
          <w:tcPr>
            <w:tcW w:w="1376" w:type="dxa"/>
            <w:tcBorders>
              <w:top w:val="single" w:sz="4" w:space="0" w:color="auto"/>
              <w:left w:val="single" w:sz="4" w:space="0" w:color="auto"/>
              <w:bottom w:val="single" w:sz="4" w:space="0" w:color="auto"/>
              <w:right w:val="single" w:sz="4" w:space="0" w:color="auto"/>
            </w:tcBorders>
            <w:noWrap/>
            <w:vAlign w:val="center"/>
            <w:hideMark/>
          </w:tcPr>
          <w:p w14:paraId="630B32C6" w14:textId="77777777" w:rsidR="006316D9" w:rsidRPr="00DA1CCA" w:rsidRDefault="006316D9" w:rsidP="006316D9">
            <w:pPr>
              <w:keepNext/>
              <w:keepLines/>
              <w:spacing w:before="0" w:after="0" w:line="256" w:lineRule="auto"/>
              <w:jc w:val="center"/>
              <w:rPr>
                <w:sz w:val="20"/>
              </w:rPr>
            </w:pPr>
            <w:r w:rsidRPr="00DA1CCA">
              <w:rPr>
                <w:sz w:val="20"/>
              </w:rPr>
              <w:t>0.395</w:t>
            </w:r>
          </w:p>
        </w:tc>
        <w:tc>
          <w:tcPr>
            <w:tcW w:w="1615" w:type="dxa"/>
            <w:tcBorders>
              <w:top w:val="single" w:sz="4" w:space="0" w:color="auto"/>
              <w:left w:val="single" w:sz="4" w:space="0" w:color="auto"/>
              <w:bottom w:val="single" w:sz="4" w:space="0" w:color="auto"/>
              <w:right w:val="single" w:sz="4" w:space="0" w:color="auto"/>
            </w:tcBorders>
            <w:noWrap/>
            <w:hideMark/>
          </w:tcPr>
          <w:p w14:paraId="3FA7BFBB" w14:textId="581AA8BD" w:rsidR="006316D9" w:rsidRPr="00DA1CCA" w:rsidRDefault="006316D9" w:rsidP="006316D9">
            <w:pPr>
              <w:keepNext/>
              <w:keepLines/>
              <w:spacing w:before="0" w:after="0" w:line="256" w:lineRule="auto"/>
              <w:jc w:val="center"/>
              <w:rPr>
                <w:sz w:val="20"/>
              </w:rPr>
            </w:pPr>
            <w:r w:rsidRPr="00DA1CCA">
              <w:rPr>
                <w:b/>
                <w:bCs/>
                <w:sz w:val="20"/>
              </w:rPr>
              <w:t xml:space="preserve">$redacted </w:t>
            </w:r>
            <w:r w:rsidRPr="00DA1CCA">
              <w:rPr>
                <w:b/>
                <w:bCs/>
                <w:sz w:val="20"/>
                <w:vertAlign w:val="superscript"/>
              </w:rPr>
              <w:t>1</w:t>
            </w:r>
          </w:p>
        </w:tc>
        <w:tc>
          <w:tcPr>
            <w:tcW w:w="1210" w:type="dxa"/>
            <w:tcBorders>
              <w:top w:val="single" w:sz="4" w:space="0" w:color="auto"/>
              <w:left w:val="single" w:sz="4" w:space="0" w:color="auto"/>
              <w:bottom w:val="single" w:sz="4" w:space="0" w:color="auto"/>
              <w:right w:val="single" w:sz="4" w:space="0" w:color="auto"/>
            </w:tcBorders>
            <w:vAlign w:val="center"/>
          </w:tcPr>
          <w:p w14:paraId="21732EB2" w14:textId="76D77A66" w:rsidR="006316D9" w:rsidRPr="00F54109" w:rsidRDefault="006316D9" w:rsidP="006316D9">
            <w:pPr>
              <w:keepNext/>
              <w:keepLines/>
              <w:spacing w:before="0" w:after="0" w:line="256" w:lineRule="auto"/>
              <w:jc w:val="center"/>
              <w:rPr>
                <w:sz w:val="20"/>
              </w:rPr>
            </w:pPr>
            <w:r>
              <w:rPr>
                <w:sz w:val="20"/>
              </w:rPr>
              <w:t>NR</w:t>
            </w:r>
          </w:p>
        </w:tc>
      </w:tr>
      <w:tr w:rsidR="006316D9" w:rsidRPr="00FB1958" w14:paraId="67744121" w14:textId="77777777" w:rsidTr="00DA1CCA">
        <w:trPr>
          <w:trHeight w:val="2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A34DA2" w14:textId="77777777" w:rsidR="006316D9" w:rsidRPr="00F54109" w:rsidRDefault="006316D9" w:rsidP="006316D9">
            <w:pPr>
              <w:spacing w:before="0" w:after="0" w:line="256" w:lineRule="auto"/>
              <w:jc w:val="left"/>
              <w:rPr>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6E64320" w14:textId="1678A86D" w:rsidR="006316D9" w:rsidRPr="00F54109" w:rsidRDefault="006316D9" w:rsidP="006316D9">
            <w:pPr>
              <w:keepNext/>
              <w:keepLines/>
              <w:spacing w:before="0" w:after="0" w:line="256" w:lineRule="auto"/>
              <w:jc w:val="left"/>
              <w:rPr>
                <w:sz w:val="20"/>
              </w:rPr>
            </w:pPr>
            <w:r w:rsidRPr="00F54109">
              <w:rPr>
                <w:sz w:val="20"/>
              </w:rPr>
              <w:t>Monotherapy</w:t>
            </w:r>
          </w:p>
        </w:tc>
        <w:tc>
          <w:tcPr>
            <w:tcW w:w="1134" w:type="dxa"/>
            <w:tcBorders>
              <w:top w:val="single" w:sz="4" w:space="0" w:color="auto"/>
              <w:left w:val="single" w:sz="4" w:space="0" w:color="auto"/>
              <w:bottom w:val="single" w:sz="4" w:space="0" w:color="auto"/>
              <w:right w:val="single" w:sz="4" w:space="0" w:color="auto"/>
            </w:tcBorders>
            <w:noWrap/>
            <w:hideMark/>
          </w:tcPr>
          <w:p w14:paraId="2AAA0575" w14:textId="11C849EF" w:rsidR="006316D9" w:rsidRPr="00DA1CCA" w:rsidRDefault="006316D9" w:rsidP="006316D9">
            <w:pPr>
              <w:keepNext/>
              <w:keepLines/>
              <w:spacing w:before="0" w:after="0" w:line="256" w:lineRule="auto"/>
              <w:jc w:val="center"/>
              <w:rPr>
                <w:sz w:val="20"/>
              </w:rPr>
            </w:pPr>
            <w:r w:rsidRPr="00DA1CCA">
              <w:rPr>
                <w:rFonts w:eastAsia="Calibri"/>
                <w:sz w:val="20"/>
              </w:rPr>
              <w:t>$redacted</w:t>
            </w:r>
          </w:p>
        </w:tc>
        <w:tc>
          <w:tcPr>
            <w:tcW w:w="1376" w:type="dxa"/>
            <w:tcBorders>
              <w:top w:val="single" w:sz="4" w:space="0" w:color="auto"/>
              <w:left w:val="single" w:sz="4" w:space="0" w:color="auto"/>
              <w:bottom w:val="single" w:sz="4" w:space="0" w:color="auto"/>
              <w:right w:val="single" w:sz="4" w:space="0" w:color="auto"/>
            </w:tcBorders>
            <w:noWrap/>
            <w:vAlign w:val="center"/>
            <w:hideMark/>
          </w:tcPr>
          <w:p w14:paraId="57A02362" w14:textId="77777777" w:rsidR="006316D9" w:rsidRPr="00DA1CCA" w:rsidRDefault="006316D9" w:rsidP="006316D9">
            <w:pPr>
              <w:keepNext/>
              <w:keepLines/>
              <w:spacing w:before="0" w:after="0" w:line="256" w:lineRule="auto"/>
              <w:jc w:val="center"/>
              <w:rPr>
                <w:sz w:val="20"/>
              </w:rPr>
            </w:pPr>
            <w:r w:rsidRPr="00DA1CCA">
              <w:rPr>
                <w:sz w:val="20"/>
              </w:rPr>
              <w:t>0.232</w:t>
            </w:r>
          </w:p>
        </w:tc>
        <w:tc>
          <w:tcPr>
            <w:tcW w:w="1615" w:type="dxa"/>
            <w:tcBorders>
              <w:top w:val="single" w:sz="4" w:space="0" w:color="auto"/>
              <w:left w:val="single" w:sz="4" w:space="0" w:color="auto"/>
              <w:bottom w:val="single" w:sz="4" w:space="0" w:color="auto"/>
              <w:right w:val="single" w:sz="4" w:space="0" w:color="auto"/>
            </w:tcBorders>
            <w:noWrap/>
            <w:hideMark/>
          </w:tcPr>
          <w:p w14:paraId="357A4430" w14:textId="4BC8FF2F" w:rsidR="006316D9" w:rsidRPr="00DA1CCA" w:rsidRDefault="006316D9" w:rsidP="006316D9">
            <w:pPr>
              <w:keepNext/>
              <w:keepLines/>
              <w:spacing w:before="0" w:after="0" w:line="256" w:lineRule="auto"/>
              <w:jc w:val="center"/>
              <w:rPr>
                <w:sz w:val="20"/>
              </w:rPr>
            </w:pPr>
            <w:r w:rsidRPr="00DA1CCA">
              <w:rPr>
                <w:b/>
                <w:bCs/>
                <w:sz w:val="20"/>
              </w:rPr>
              <w:t xml:space="preserve">$redacted </w:t>
            </w:r>
            <w:r w:rsidRPr="00DA1CCA">
              <w:rPr>
                <w:b/>
                <w:bCs/>
                <w:sz w:val="20"/>
                <w:vertAlign w:val="superscript"/>
              </w:rPr>
              <w:t>1</w:t>
            </w:r>
          </w:p>
        </w:tc>
        <w:tc>
          <w:tcPr>
            <w:tcW w:w="1210" w:type="dxa"/>
            <w:tcBorders>
              <w:top w:val="single" w:sz="4" w:space="0" w:color="auto"/>
              <w:left w:val="single" w:sz="4" w:space="0" w:color="auto"/>
              <w:bottom w:val="single" w:sz="4" w:space="0" w:color="auto"/>
              <w:right w:val="single" w:sz="4" w:space="0" w:color="auto"/>
            </w:tcBorders>
            <w:vAlign w:val="center"/>
          </w:tcPr>
          <w:p w14:paraId="2E96BA42" w14:textId="4A6F346B" w:rsidR="006316D9" w:rsidRPr="00F54109" w:rsidRDefault="006316D9" w:rsidP="006316D9">
            <w:pPr>
              <w:keepNext/>
              <w:keepLines/>
              <w:spacing w:before="0" w:after="0" w:line="256" w:lineRule="auto"/>
              <w:jc w:val="center"/>
              <w:rPr>
                <w:sz w:val="20"/>
              </w:rPr>
            </w:pPr>
            <w:r>
              <w:rPr>
                <w:sz w:val="20"/>
              </w:rPr>
              <w:t>NR</w:t>
            </w:r>
          </w:p>
        </w:tc>
      </w:tr>
      <w:tr w:rsidR="006316D9" w:rsidRPr="00FB1958" w14:paraId="2B3CAAFE" w14:textId="77777777" w:rsidTr="00DA1CCA">
        <w:trPr>
          <w:trHeight w:val="2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1F36FF1" w14:textId="77777777" w:rsidR="006316D9" w:rsidRPr="00F54109" w:rsidRDefault="006316D9" w:rsidP="006316D9">
            <w:pPr>
              <w:spacing w:before="0" w:after="0" w:line="256" w:lineRule="auto"/>
              <w:jc w:val="left"/>
              <w:rPr>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31A7267" w14:textId="77777777" w:rsidR="006316D9" w:rsidRPr="00F54109" w:rsidRDefault="006316D9" w:rsidP="006316D9">
            <w:pPr>
              <w:keepNext/>
              <w:keepLines/>
              <w:spacing w:before="0" w:after="0" w:line="256" w:lineRule="auto"/>
              <w:jc w:val="left"/>
              <w:rPr>
                <w:sz w:val="20"/>
              </w:rPr>
            </w:pPr>
            <w:r w:rsidRPr="00F54109">
              <w:rPr>
                <w:sz w:val="20"/>
              </w:rPr>
              <w:t>Weighted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A3AB04" w14:textId="77777777" w:rsidR="006316D9" w:rsidRPr="00DA1CCA" w:rsidRDefault="006316D9" w:rsidP="006316D9">
            <w:pPr>
              <w:spacing w:before="0" w:after="0"/>
              <w:rPr>
                <w:rFonts w:eastAsia="Calibri" w:cs="Arial"/>
                <w:sz w:val="20"/>
              </w:rPr>
            </w:pPr>
          </w:p>
        </w:tc>
        <w:tc>
          <w:tcPr>
            <w:tcW w:w="1376" w:type="dxa"/>
            <w:tcBorders>
              <w:top w:val="single" w:sz="4" w:space="0" w:color="auto"/>
              <w:left w:val="single" w:sz="4" w:space="0" w:color="auto"/>
              <w:bottom w:val="single" w:sz="4" w:space="0" w:color="auto"/>
              <w:right w:val="single" w:sz="4" w:space="0" w:color="auto"/>
            </w:tcBorders>
            <w:noWrap/>
            <w:vAlign w:val="center"/>
            <w:hideMark/>
          </w:tcPr>
          <w:p w14:paraId="49E48AE0" w14:textId="77777777" w:rsidR="006316D9" w:rsidRPr="00DA1CCA" w:rsidRDefault="006316D9" w:rsidP="006316D9">
            <w:pPr>
              <w:spacing w:before="0" w:after="0" w:line="256" w:lineRule="auto"/>
              <w:jc w:val="left"/>
              <w:rPr>
                <w:rFonts w:eastAsia="Calibri" w:cs="Arial"/>
                <w:sz w:val="20"/>
              </w:rPr>
            </w:pPr>
          </w:p>
        </w:tc>
        <w:tc>
          <w:tcPr>
            <w:tcW w:w="1615" w:type="dxa"/>
            <w:tcBorders>
              <w:top w:val="single" w:sz="4" w:space="0" w:color="auto"/>
              <w:left w:val="single" w:sz="4" w:space="0" w:color="auto"/>
              <w:bottom w:val="single" w:sz="4" w:space="0" w:color="auto"/>
              <w:right w:val="single" w:sz="4" w:space="0" w:color="auto"/>
            </w:tcBorders>
            <w:noWrap/>
            <w:hideMark/>
          </w:tcPr>
          <w:p w14:paraId="5FB085B8" w14:textId="78F2921A" w:rsidR="006316D9" w:rsidRPr="00DA1CCA" w:rsidRDefault="006316D9" w:rsidP="006316D9">
            <w:pPr>
              <w:keepNext/>
              <w:keepLines/>
              <w:spacing w:before="0" w:after="0" w:line="256" w:lineRule="auto"/>
              <w:jc w:val="center"/>
              <w:rPr>
                <w:sz w:val="20"/>
              </w:rPr>
            </w:pPr>
            <w:r w:rsidRPr="00DA1CCA">
              <w:rPr>
                <w:b/>
                <w:bCs/>
                <w:sz w:val="20"/>
              </w:rPr>
              <w:t xml:space="preserve">$redacted </w:t>
            </w:r>
            <w:r w:rsidRPr="00DA1CCA">
              <w:rPr>
                <w:b/>
                <w:bCs/>
                <w:sz w:val="20"/>
                <w:vertAlign w:val="superscript"/>
              </w:rPr>
              <w:t>1</w:t>
            </w:r>
          </w:p>
        </w:tc>
        <w:tc>
          <w:tcPr>
            <w:tcW w:w="1210" w:type="dxa"/>
            <w:tcBorders>
              <w:top w:val="single" w:sz="4" w:space="0" w:color="auto"/>
              <w:left w:val="single" w:sz="4" w:space="0" w:color="auto"/>
              <w:bottom w:val="single" w:sz="4" w:space="0" w:color="auto"/>
              <w:right w:val="single" w:sz="4" w:space="0" w:color="auto"/>
            </w:tcBorders>
            <w:vAlign w:val="center"/>
          </w:tcPr>
          <w:p w14:paraId="1206D597" w14:textId="5B087DAF" w:rsidR="006316D9" w:rsidRPr="00F54109" w:rsidRDefault="006316D9" w:rsidP="006316D9">
            <w:pPr>
              <w:keepNext/>
              <w:keepLines/>
              <w:spacing w:before="0" w:after="0" w:line="256" w:lineRule="auto"/>
              <w:jc w:val="center"/>
              <w:rPr>
                <w:sz w:val="20"/>
              </w:rPr>
            </w:pPr>
            <w:r>
              <w:rPr>
                <w:sz w:val="20"/>
              </w:rPr>
              <w:t>NR</w:t>
            </w:r>
          </w:p>
        </w:tc>
      </w:tr>
      <w:tr w:rsidR="00135ED1" w:rsidRPr="00FB1958" w14:paraId="0BB1A6C9" w14:textId="77777777" w:rsidTr="009059D8">
        <w:trPr>
          <w:trHeight w:val="20"/>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5178A166" w14:textId="5E091999" w:rsidR="00135ED1" w:rsidRPr="00F54109" w:rsidRDefault="00135ED1" w:rsidP="00135ED1">
            <w:pPr>
              <w:keepNext/>
              <w:keepLines/>
              <w:spacing w:before="0" w:after="0" w:line="256" w:lineRule="auto"/>
              <w:jc w:val="left"/>
              <w:rPr>
                <w:sz w:val="20"/>
              </w:rPr>
            </w:pPr>
            <w:r w:rsidRPr="00F54109">
              <w:rPr>
                <w:sz w:val="20"/>
              </w:rPr>
              <w:t>Decrease test sensitivity and specificity to 96%</w:t>
            </w:r>
          </w:p>
          <w:p w14:paraId="1BD498B4" w14:textId="77777777" w:rsidR="00135ED1" w:rsidRPr="00F54109" w:rsidRDefault="00135ED1" w:rsidP="00135ED1">
            <w:pPr>
              <w:keepNext/>
              <w:keepLines/>
              <w:spacing w:before="0" w:after="0" w:line="256" w:lineRule="auto"/>
              <w:jc w:val="left"/>
              <w:rPr>
                <w:sz w:val="20"/>
              </w:rPr>
            </w:pPr>
            <w:r w:rsidRPr="00F54109">
              <w:rPr>
                <w:sz w:val="20"/>
              </w:rPr>
              <w:t>(base case 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F2F247" w14:textId="77777777" w:rsidR="00135ED1" w:rsidRPr="00F54109" w:rsidRDefault="00135ED1" w:rsidP="00135ED1">
            <w:pPr>
              <w:keepNext/>
              <w:keepLines/>
              <w:spacing w:before="0" w:after="0" w:line="256" w:lineRule="auto"/>
              <w:jc w:val="left"/>
              <w:rPr>
                <w:sz w:val="20"/>
              </w:rPr>
            </w:pPr>
            <w:r w:rsidRPr="00F54109">
              <w:rPr>
                <w:sz w:val="20"/>
              </w:rPr>
              <w:t>Chemotherapy</w:t>
            </w:r>
          </w:p>
        </w:tc>
        <w:tc>
          <w:tcPr>
            <w:tcW w:w="1134" w:type="dxa"/>
            <w:tcBorders>
              <w:top w:val="single" w:sz="4" w:space="0" w:color="auto"/>
              <w:left w:val="single" w:sz="4" w:space="0" w:color="auto"/>
              <w:bottom w:val="single" w:sz="4" w:space="0" w:color="auto"/>
              <w:right w:val="single" w:sz="4" w:space="0" w:color="auto"/>
            </w:tcBorders>
            <w:noWrap/>
            <w:hideMark/>
          </w:tcPr>
          <w:p w14:paraId="1445732D" w14:textId="0CDBDC18" w:rsidR="00135ED1" w:rsidRPr="00DA1CCA" w:rsidRDefault="00135ED1" w:rsidP="00135ED1">
            <w:pPr>
              <w:keepNext/>
              <w:keepLines/>
              <w:spacing w:before="0" w:after="0" w:line="256" w:lineRule="auto"/>
              <w:jc w:val="center"/>
              <w:rPr>
                <w:sz w:val="20"/>
              </w:rPr>
            </w:pPr>
            <w:r w:rsidRPr="00DA1CCA">
              <w:rPr>
                <w:rFonts w:eastAsia="Calibri"/>
                <w:sz w:val="20"/>
              </w:rPr>
              <w:t>$redacted</w:t>
            </w:r>
          </w:p>
        </w:tc>
        <w:tc>
          <w:tcPr>
            <w:tcW w:w="1376" w:type="dxa"/>
            <w:tcBorders>
              <w:top w:val="single" w:sz="4" w:space="0" w:color="auto"/>
              <w:left w:val="single" w:sz="4" w:space="0" w:color="auto"/>
              <w:bottom w:val="single" w:sz="4" w:space="0" w:color="auto"/>
              <w:right w:val="single" w:sz="4" w:space="0" w:color="auto"/>
            </w:tcBorders>
            <w:noWrap/>
            <w:hideMark/>
          </w:tcPr>
          <w:p w14:paraId="47602F9B" w14:textId="77777777" w:rsidR="00135ED1" w:rsidRPr="00DA1CCA" w:rsidRDefault="00135ED1" w:rsidP="00135ED1">
            <w:pPr>
              <w:keepNext/>
              <w:keepLines/>
              <w:spacing w:before="0" w:after="0" w:line="256" w:lineRule="auto"/>
              <w:jc w:val="center"/>
              <w:rPr>
                <w:sz w:val="20"/>
              </w:rPr>
            </w:pPr>
            <w:r w:rsidRPr="00DA1CCA">
              <w:rPr>
                <w:sz w:val="20"/>
              </w:rPr>
              <w:t>NR</w:t>
            </w:r>
          </w:p>
        </w:tc>
        <w:tc>
          <w:tcPr>
            <w:tcW w:w="1615" w:type="dxa"/>
            <w:tcBorders>
              <w:top w:val="single" w:sz="4" w:space="0" w:color="auto"/>
              <w:left w:val="single" w:sz="4" w:space="0" w:color="auto"/>
              <w:bottom w:val="single" w:sz="4" w:space="0" w:color="auto"/>
              <w:right w:val="single" w:sz="4" w:space="0" w:color="auto"/>
            </w:tcBorders>
            <w:noWrap/>
            <w:hideMark/>
          </w:tcPr>
          <w:p w14:paraId="500F383B" w14:textId="699746E1" w:rsidR="00135ED1" w:rsidRPr="00DA1CCA" w:rsidRDefault="006316D9" w:rsidP="00135ED1">
            <w:pPr>
              <w:keepNext/>
              <w:keepLines/>
              <w:spacing w:before="0" w:after="0" w:line="256" w:lineRule="auto"/>
              <w:jc w:val="center"/>
              <w:rPr>
                <w:sz w:val="20"/>
              </w:rPr>
            </w:pPr>
            <w:r w:rsidRPr="00DA1CCA">
              <w:rPr>
                <w:sz w:val="20"/>
              </w:rPr>
              <w:t>$redacted</w:t>
            </w:r>
          </w:p>
        </w:tc>
        <w:tc>
          <w:tcPr>
            <w:tcW w:w="1210" w:type="dxa"/>
            <w:tcBorders>
              <w:top w:val="single" w:sz="4" w:space="0" w:color="auto"/>
              <w:left w:val="single" w:sz="4" w:space="0" w:color="auto"/>
              <w:bottom w:val="single" w:sz="4" w:space="0" w:color="auto"/>
              <w:right w:val="single" w:sz="4" w:space="0" w:color="auto"/>
            </w:tcBorders>
            <w:vAlign w:val="center"/>
          </w:tcPr>
          <w:p w14:paraId="72ED10FD" w14:textId="3F185EAC" w:rsidR="00135ED1" w:rsidRPr="00F54109" w:rsidRDefault="00135ED1" w:rsidP="00135ED1">
            <w:pPr>
              <w:keepNext/>
              <w:keepLines/>
              <w:spacing w:before="0" w:after="0" w:line="256" w:lineRule="auto"/>
              <w:jc w:val="center"/>
              <w:rPr>
                <w:sz w:val="20"/>
              </w:rPr>
            </w:pPr>
            <w:r>
              <w:rPr>
                <w:sz w:val="20"/>
              </w:rPr>
              <w:t>NR</w:t>
            </w:r>
          </w:p>
        </w:tc>
      </w:tr>
      <w:tr w:rsidR="00135ED1" w:rsidRPr="00FB1958" w14:paraId="30BBDEC8" w14:textId="77777777" w:rsidTr="009059D8">
        <w:trPr>
          <w:trHeight w:val="2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9581DA6" w14:textId="77777777" w:rsidR="00135ED1" w:rsidRPr="00F54109" w:rsidRDefault="00135ED1" w:rsidP="00135ED1">
            <w:pPr>
              <w:spacing w:before="0" w:after="0" w:line="256" w:lineRule="auto"/>
              <w:jc w:val="left"/>
              <w:rPr>
                <w:sz w:val="20"/>
                <w:vertAlign w:val="superscript"/>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4763EBA" w14:textId="2DE21738" w:rsidR="00135ED1" w:rsidRPr="00F54109" w:rsidRDefault="00135ED1" w:rsidP="00135ED1">
            <w:pPr>
              <w:keepNext/>
              <w:keepLines/>
              <w:spacing w:before="0" w:after="0" w:line="256" w:lineRule="auto"/>
              <w:jc w:val="left"/>
              <w:rPr>
                <w:sz w:val="20"/>
              </w:rPr>
            </w:pPr>
            <w:r w:rsidRPr="00F54109">
              <w:rPr>
                <w:sz w:val="20"/>
              </w:rPr>
              <w:t>Monotherapy</w:t>
            </w:r>
          </w:p>
        </w:tc>
        <w:tc>
          <w:tcPr>
            <w:tcW w:w="1134" w:type="dxa"/>
            <w:tcBorders>
              <w:top w:val="single" w:sz="4" w:space="0" w:color="auto"/>
              <w:left w:val="single" w:sz="4" w:space="0" w:color="auto"/>
              <w:bottom w:val="single" w:sz="4" w:space="0" w:color="auto"/>
              <w:right w:val="single" w:sz="4" w:space="0" w:color="auto"/>
            </w:tcBorders>
            <w:noWrap/>
            <w:hideMark/>
          </w:tcPr>
          <w:p w14:paraId="47511BBE" w14:textId="6B870E7C" w:rsidR="00135ED1" w:rsidRPr="00DA1CCA" w:rsidRDefault="00135ED1" w:rsidP="00135ED1">
            <w:pPr>
              <w:keepNext/>
              <w:keepLines/>
              <w:spacing w:before="0" w:after="0" w:line="256" w:lineRule="auto"/>
              <w:jc w:val="center"/>
              <w:rPr>
                <w:sz w:val="20"/>
              </w:rPr>
            </w:pPr>
            <w:r w:rsidRPr="00DA1CCA">
              <w:rPr>
                <w:rFonts w:eastAsia="Calibri"/>
                <w:sz w:val="20"/>
              </w:rPr>
              <w:t>$redacted</w:t>
            </w:r>
          </w:p>
        </w:tc>
        <w:tc>
          <w:tcPr>
            <w:tcW w:w="1376" w:type="dxa"/>
            <w:tcBorders>
              <w:top w:val="single" w:sz="4" w:space="0" w:color="auto"/>
              <w:left w:val="single" w:sz="4" w:space="0" w:color="auto"/>
              <w:bottom w:val="single" w:sz="4" w:space="0" w:color="auto"/>
              <w:right w:val="single" w:sz="4" w:space="0" w:color="auto"/>
            </w:tcBorders>
            <w:noWrap/>
            <w:hideMark/>
          </w:tcPr>
          <w:p w14:paraId="0DA22E61" w14:textId="77777777" w:rsidR="00135ED1" w:rsidRPr="00DA1CCA" w:rsidRDefault="00135ED1" w:rsidP="00135ED1">
            <w:pPr>
              <w:keepNext/>
              <w:keepLines/>
              <w:spacing w:before="0" w:after="0" w:line="256" w:lineRule="auto"/>
              <w:jc w:val="center"/>
              <w:rPr>
                <w:sz w:val="20"/>
              </w:rPr>
            </w:pPr>
            <w:r w:rsidRPr="00DA1CCA">
              <w:rPr>
                <w:sz w:val="20"/>
              </w:rPr>
              <w:t>NR</w:t>
            </w:r>
          </w:p>
        </w:tc>
        <w:tc>
          <w:tcPr>
            <w:tcW w:w="1615" w:type="dxa"/>
            <w:tcBorders>
              <w:top w:val="single" w:sz="4" w:space="0" w:color="auto"/>
              <w:left w:val="single" w:sz="4" w:space="0" w:color="auto"/>
              <w:bottom w:val="single" w:sz="4" w:space="0" w:color="auto"/>
              <w:right w:val="single" w:sz="4" w:space="0" w:color="auto"/>
            </w:tcBorders>
            <w:noWrap/>
            <w:hideMark/>
          </w:tcPr>
          <w:p w14:paraId="21D9F75D" w14:textId="3743A8B4" w:rsidR="00135ED1" w:rsidRPr="00DA1CCA" w:rsidRDefault="006316D9" w:rsidP="00135ED1">
            <w:pPr>
              <w:keepNext/>
              <w:keepLines/>
              <w:spacing w:before="0" w:after="0" w:line="256" w:lineRule="auto"/>
              <w:jc w:val="center"/>
              <w:rPr>
                <w:sz w:val="20"/>
              </w:rPr>
            </w:pPr>
            <w:r w:rsidRPr="00DA1CCA">
              <w:rPr>
                <w:sz w:val="20"/>
              </w:rPr>
              <w:t>$redacted</w:t>
            </w:r>
          </w:p>
        </w:tc>
        <w:tc>
          <w:tcPr>
            <w:tcW w:w="1210" w:type="dxa"/>
            <w:tcBorders>
              <w:top w:val="single" w:sz="4" w:space="0" w:color="auto"/>
              <w:left w:val="single" w:sz="4" w:space="0" w:color="auto"/>
              <w:bottom w:val="single" w:sz="4" w:space="0" w:color="auto"/>
              <w:right w:val="single" w:sz="4" w:space="0" w:color="auto"/>
            </w:tcBorders>
            <w:vAlign w:val="center"/>
          </w:tcPr>
          <w:p w14:paraId="41F36022" w14:textId="0D8AF041" w:rsidR="00135ED1" w:rsidRPr="00F54109" w:rsidRDefault="00135ED1" w:rsidP="00135ED1">
            <w:pPr>
              <w:keepNext/>
              <w:keepLines/>
              <w:spacing w:before="0" w:after="0" w:line="256" w:lineRule="auto"/>
              <w:jc w:val="center"/>
              <w:rPr>
                <w:sz w:val="20"/>
              </w:rPr>
            </w:pPr>
            <w:r>
              <w:rPr>
                <w:sz w:val="20"/>
              </w:rPr>
              <w:t>NR</w:t>
            </w:r>
          </w:p>
        </w:tc>
      </w:tr>
      <w:tr w:rsidR="00250FA5" w:rsidRPr="00FB1958" w14:paraId="02FF0583" w14:textId="77777777" w:rsidTr="009059D8">
        <w:trPr>
          <w:trHeight w:val="2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25E5DBF" w14:textId="77777777" w:rsidR="00250FA5" w:rsidRPr="00F54109" w:rsidRDefault="00250FA5" w:rsidP="00250FA5">
            <w:pPr>
              <w:spacing w:before="0" w:after="0" w:line="256" w:lineRule="auto"/>
              <w:jc w:val="left"/>
              <w:rPr>
                <w:sz w:val="20"/>
                <w:vertAlign w:val="superscript"/>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93F3FFA" w14:textId="77777777" w:rsidR="00250FA5" w:rsidRPr="00F54109" w:rsidRDefault="00250FA5" w:rsidP="00250FA5">
            <w:pPr>
              <w:keepNext/>
              <w:keepLines/>
              <w:spacing w:before="0" w:after="0" w:line="256" w:lineRule="auto"/>
              <w:jc w:val="left"/>
              <w:rPr>
                <w:sz w:val="20"/>
              </w:rPr>
            </w:pPr>
            <w:r w:rsidRPr="00F54109">
              <w:rPr>
                <w:sz w:val="20"/>
              </w:rPr>
              <w:t>Weighted</w:t>
            </w:r>
          </w:p>
        </w:tc>
        <w:tc>
          <w:tcPr>
            <w:tcW w:w="1134" w:type="dxa"/>
            <w:tcBorders>
              <w:top w:val="single" w:sz="4" w:space="0" w:color="auto"/>
              <w:left w:val="single" w:sz="4" w:space="0" w:color="auto"/>
              <w:bottom w:val="single" w:sz="4" w:space="0" w:color="auto"/>
              <w:right w:val="single" w:sz="4" w:space="0" w:color="auto"/>
            </w:tcBorders>
            <w:noWrap/>
            <w:vAlign w:val="center"/>
          </w:tcPr>
          <w:p w14:paraId="3A86409F" w14:textId="77777777" w:rsidR="00250FA5" w:rsidRPr="00DA1CCA" w:rsidRDefault="00250FA5" w:rsidP="00250FA5">
            <w:pPr>
              <w:keepNext/>
              <w:keepLines/>
              <w:spacing w:before="0" w:after="0" w:line="256" w:lineRule="auto"/>
              <w:jc w:val="center"/>
              <w:rPr>
                <w:sz w:val="20"/>
              </w:rPr>
            </w:pPr>
          </w:p>
        </w:tc>
        <w:tc>
          <w:tcPr>
            <w:tcW w:w="1376" w:type="dxa"/>
            <w:tcBorders>
              <w:top w:val="single" w:sz="4" w:space="0" w:color="auto"/>
              <w:left w:val="single" w:sz="4" w:space="0" w:color="auto"/>
              <w:bottom w:val="single" w:sz="4" w:space="0" w:color="auto"/>
              <w:right w:val="single" w:sz="4" w:space="0" w:color="auto"/>
            </w:tcBorders>
            <w:noWrap/>
            <w:vAlign w:val="center"/>
          </w:tcPr>
          <w:p w14:paraId="4B69F5B1" w14:textId="77777777" w:rsidR="00250FA5" w:rsidRPr="00DA1CCA" w:rsidRDefault="00250FA5" w:rsidP="00250FA5">
            <w:pPr>
              <w:keepNext/>
              <w:keepLines/>
              <w:spacing w:before="0" w:after="0" w:line="256" w:lineRule="auto"/>
              <w:jc w:val="center"/>
              <w:rPr>
                <w:sz w:val="20"/>
              </w:rPr>
            </w:pPr>
          </w:p>
        </w:tc>
        <w:tc>
          <w:tcPr>
            <w:tcW w:w="1615" w:type="dxa"/>
            <w:tcBorders>
              <w:top w:val="single" w:sz="4" w:space="0" w:color="auto"/>
              <w:left w:val="single" w:sz="4" w:space="0" w:color="auto"/>
              <w:bottom w:val="single" w:sz="4" w:space="0" w:color="auto"/>
              <w:right w:val="single" w:sz="4" w:space="0" w:color="auto"/>
            </w:tcBorders>
            <w:noWrap/>
            <w:vAlign w:val="center"/>
            <w:hideMark/>
          </w:tcPr>
          <w:p w14:paraId="3B0370A7" w14:textId="39ABCC65" w:rsidR="00250FA5" w:rsidRPr="00DA1CCA" w:rsidRDefault="006316D9" w:rsidP="00250FA5">
            <w:pPr>
              <w:keepNext/>
              <w:keepLines/>
              <w:spacing w:before="0" w:after="0" w:line="256" w:lineRule="auto"/>
              <w:jc w:val="center"/>
              <w:rPr>
                <w:sz w:val="20"/>
              </w:rPr>
            </w:pPr>
            <w:r w:rsidRPr="00DA1CCA">
              <w:rPr>
                <w:b/>
                <w:bCs/>
                <w:sz w:val="20"/>
              </w:rPr>
              <w:t xml:space="preserve">$redacted </w:t>
            </w:r>
            <w:r w:rsidRPr="00DA1CCA">
              <w:rPr>
                <w:b/>
                <w:bCs/>
                <w:sz w:val="20"/>
                <w:vertAlign w:val="superscript"/>
              </w:rPr>
              <w:t>1</w:t>
            </w:r>
          </w:p>
        </w:tc>
        <w:tc>
          <w:tcPr>
            <w:tcW w:w="1210" w:type="dxa"/>
            <w:tcBorders>
              <w:top w:val="single" w:sz="4" w:space="0" w:color="auto"/>
              <w:left w:val="single" w:sz="4" w:space="0" w:color="auto"/>
              <w:bottom w:val="single" w:sz="4" w:space="0" w:color="auto"/>
              <w:right w:val="single" w:sz="4" w:space="0" w:color="auto"/>
            </w:tcBorders>
            <w:vAlign w:val="center"/>
          </w:tcPr>
          <w:p w14:paraId="0E0578FC" w14:textId="4BC317E6" w:rsidR="00250FA5" w:rsidRPr="00F54109" w:rsidRDefault="00A2043B" w:rsidP="00250FA5">
            <w:pPr>
              <w:keepNext/>
              <w:keepLines/>
              <w:spacing w:before="0" w:after="0" w:line="256" w:lineRule="auto"/>
              <w:jc w:val="center"/>
              <w:rPr>
                <w:sz w:val="20"/>
              </w:rPr>
            </w:pPr>
            <w:r>
              <w:rPr>
                <w:sz w:val="20"/>
              </w:rPr>
              <w:t>NR</w:t>
            </w:r>
          </w:p>
        </w:tc>
      </w:tr>
    </w:tbl>
    <w:p w14:paraId="755CEA85" w14:textId="77777777" w:rsidR="006316D9" w:rsidRPr="006316D9" w:rsidRDefault="006316D9" w:rsidP="006316D9">
      <w:pPr>
        <w:snapToGrid w:val="0"/>
        <w:spacing w:before="0" w:after="0" w:line="276" w:lineRule="auto"/>
        <w:jc w:val="left"/>
        <w:rPr>
          <w:rFonts w:ascii="Arial Narrow" w:eastAsia="Times New Roman" w:hAnsi="Arial Narrow" w:cs="Arial"/>
          <w:sz w:val="18"/>
          <w:lang w:eastAsia="en-AU"/>
        </w:rPr>
      </w:pPr>
      <w:r w:rsidRPr="006316D9">
        <w:rPr>
          <w:rFonts w:ascii="Arial Narrow" w:eastAsia="Times New Roman" w:hAnsi="Arial Narrow" w:cs="Arial"/>
          <w:i/>
          <w:sz w:val="18"/>
          <w:lang w:eastAsia="en-AU"/>
        </w:rPr>
        <w:t xml:space="preserve">The redacted values correspond to the following ranges: </w:t>
      </w:r>
    </w:p>
    <w:p w14:paraId="4C3A0A87" w14:textId="6C2D56D8" w:rsidR="006316D9" w:rsidRPr="006316D9" w:rsidRDefault="006316D9" w:rsidP="006316D9">
      <w:pPr>
        <w:spacing w:before="0" w:after="0"/>
        <w:jc w:val="left"/>
        <w:rPr>
          <w:rFonts w:ascii="Arial Narrow" w:eastAsia="Calibri" w:hAnsi="Arial Narrow" w:cs="Times New Roman"/>
          <w:i/>
          <w:sz w:val="18"/>
          <w:szCs w:val="18"/>
        </w:rPr>
      </w:pPr>
      <w:r w:rsidRPr="006316D9">
        <w:rPr>
          <w:rFonts w:ascii="Arial Narrow" w:eastAsia="Calibri" w:hAnsi="Arial Narrow" w:cs="Times New Roman"/>
          <w:i/>
          <w:sz w:val="18"/>
          <w:szCs w:val="18"/>
          <w:vertAlign w:val="superscript"/>
        </w:rPr>
        <w:t>1</w:t>
      </w:r>
      <w:r w:rsidRPr="006316D9">
        <w:rPr>
          <w:rFonts w:ascii="Arial Narrow" w:eastAsia="Calibri" w:hAnsi="Arial Narrow" w:cs="Times New Roman"/>
          <w:i/>
          <w:sz w:val="18"/>
          <w:szCs w:val="18"/>
        </w:rPr>
        <w:t xml:space="preserve"> $55,000 to &lt; </w:t>
      </w:r>
      <w:r w:rsidR="00DA1CCA">
        <w:rPr>
          <w:rFonts w:ascii="Arial Narrow" w:eastAsia="Calibri" w:hAnsi="Arial Narrow" w:cs="Times New Roman"/>
          <w:i/>
          <w:sz w:val="18"/>
          <w:szCs w:val="18"/>
        </w:rPr>
        <w:t>$</w:t>
      </w:r>
      <w:r w:rsidRPr="006316D9">
        <w:rPr>
          <w:rFonts w:ascii="Arial Narrow" w:eastAsia="Calibri" w:hAnsi="Arial Narrow" w:cs="Times New Roman"/>
          <w:i/>
          <w:sz w:val="18"/>
          <w:szCs w:val="18"/>
        </w:rPr>
        <w:t>75,000</w:t>
      </w:r>
    </w:p>
    <w:p w14:paraId="1CBA3E7A" w14:textId="2E81FFAB" w:rsidR="00250FA5" w:rsidRPr="005702F6" w:rsidRDefault="00250FA5" w:rsidP="005702F6">
      <w:pPr>
        <w:pStyle w:val="Heading1"/>
        <w:numPr>
          <w:ilvl w:val="0"/>
          <w:numId w:val="69"/>
        </w:numPr>
        <w:tabs>
          <w:tab w:val="clear" w:pos="1080"/>
        </w:tabs>
        <w:spacing w:before="240" w:after="240" w:line="240" w:lineRule="auto"/>
        <w:ind w:left="720"/>
        <w:rPr>
          <w:rFonts w:ascii="Arial" w:hAnsi="Arial" w:cs="Arial"/>
          <w:bCs/>
          <w:sz w:val="24"/>
          <w:lang w:eastAsia="en-AU"/>
        </w:rPr>
      </w:pPr>
      <w:r w:rsidRPr="005702F6">
        <w:rPr>
          <w:rFonts w:ascii="Arial" w:hAnsi="Arial" w:cs="Arial"/>
          <w:bCs/>
          <w:sz w:val="24"/>
          <w:lang w:eastAsia="en-AU"/>
        </w:rPr>
        <w:t>Financial/budgetary impacts</w:t>
      </w:r>
    </w:p>
    <w:p w14:paraId="2FFB83F6" w14:textId="77777777"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resubmission presented an updated epidemiological approach to estimate the expected cost to the MBS of listing the PD-L1 test. The resubmission simplified the incident population treatment pathways, reducing the number of incident pathways from five to three. The estimated proportion of 2L nivolumab patients and the price of pembrolizumab were also revised.</w:t>
      </w:r>
    </w:p>
    <w:p w14:paraId="5F02410E" w14:textId="3B8C4F89"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The estimated use and financial implications are summarised in </w:t>
      </w:r>
      <w:r w:rsidRPr="008E612E">
        <w:rPr>
          <w:rFonts w:ascii="Times New Roman" w:eastAsia="Calibri" w:hAnsi="Times New Roman" w:cs="Times New Roman"/>
          <w:szCs w:val="24"/>
        </w:rPr>
        <w:fldChar w:fldCharType="begin"/>
      </w:r>
      <w:r w:rsidRPr="008E612E">
        <w:rPr>
          <w:rFonts w:ascii="Times New Roman" w:eastAsia="Calibri" w:hAnsi="Times New Roman" w:cs="Times New Roman"/>
          <w:szCs w:val="24"/>
        </w:rPr>
        <w:instrText xml:space="preserve"> REF _Ref80059857 \h </w:instrText>
      </w:r>
      <w:r w:rsidR="008E612E" w:rsidRPr="008E612E">
        <w:rPr>
          <w:rFonts w:ascii="Times New Roman" w:eastAsia="Calibri" w:hAnsi="Times New Roman" w:cs="Times New Roman"/>
          <w:szCs w:val="24"/>
        </w:rPr>
        <w:instrText xml:space="preserve"> \* MERGEFORMAT </w:instrText>
      </w:r>
      <w:r w:rsidRPr="008E612E">
        <w:rPr>
          <w:rFonts w:ascii="Times New Roman" w:eastAsia="Calibri" w:hAnsi="Times New Roman" w:cs="Times New Roman"/>
          <w:szCs w:val="24"/>
        </w:rPr>
      </w:r>
      <w:r w:rsidRPr="008E612E">
        <w:rPr>
          <w:rFonts w:ascii="Times New Roman" w:eastAsia="Calibri" w:hAnsi="Times New Roman" w:cs="Times New Roman"/>
          <w:szCs w:val="24"/>
        </w:rPr>
        <w:fldChar w:fldCharType="separate"/>
      </w:r>
      <w:r w:rsidR="000635B6" w:rsidRPr="000635B6">
        <w:rPr>
          <w:rFonts w:ascii="Times New Roman" w:eastAsia="Times New Roman" w:hAnsi="Times New Roman" w:cs="Times New Roman"/>
          <w:iCs/>
          <w:szCs w:val="24"/>
        </w:rPr>
        <w:t xml:space="preserve">Table </w:t>
      </w:r>
      <w:r w:rsidR="000635B6" w:rsidRPr="000635B6">
        <w:rPr>
          <w:rFonts w:ascii="Times New Roman" w:eastAsia="Times New Roman" w:hAnsi="Times New Roman" w:cs="Times New Roman"/>
          <w:iCs/>
          <w:noProof/>
          <w:szCs w:val="24"/>
        </w:rPr>
        <w:t>1</w:t>
      </w:r>
      <w:r w:rsidR="00530E8C">
        <w:rPr>
          <w:rFonts w:ascii="Times New Roman" w:eastAsia="Times New Roman" w:hAnsi="Times New Roman" w:cs="Times New Roman"/>
          <w:iCs/>
          <w:noProof/>
          <w:szCs w:val="24"/>
        </w:rPr>
        <w:t>7</w:t>
      </w:r>
      <w:r w:rsidRPr="008E612E">
        <w:rPr>
          <w:rFonts w:ascii="Times New Roman" w:eastAsia="Calibri" w:hAnsi="Times New Roman" w:cs="Times New Roman"/>
          <w:szCs w:val="24"/>
        </w:rPr>
        <w:fldChar w:fldCharType="end"/>
      </w:r>
      <w:r w:rsidRPr="00250FA5">
        <w:rPr>
          <w:rFonts w:ascii="Times New Roman" w:eastAsia="Calibri" w:hAnsi="Times New Roman" w:cs="Times New Roman"/>
        </w:rPr>
        <w:t>. Resubmission erroneously applied the cost of PD-L1 testing only to patients treated with pembrolizumab instead of all patients diagnosed with R/M HNSCC. The number and cost of PD-L1 tests were recalculated in the commentary. The commentary noted that there were several errors in the calculation of the resubmission’s financial estimates and as such the results presented differed to the resubmission’s estimates.</w:t>
      </w:r>
    </w:p>
    <w:p w14:paraId="74869F9F" w14:textId="77777777" w:rsidR="00250FA5" w:rsidRPr="00250FA5" w:rsidRDefault="00250FA5" w:rsidP="00250FA5">
      <w:pPr>
        <w:spacing w:before="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pre-ESC response provided updated financial estimates. These could not be fully evaluated. Key changes included:</w:t>
      </w:r>
    </w:p>
    <w:p w14:paraId="6BA67DB6" w14:textId="145783D0" w:rsidR="00250FA5" w:rsidRPr="00250FA5" w:rsidRDefault="00250FA5" w:rsidP="00B2387B">
      <w:pPr>
        <w:numPr>
          <w:ilvl w:val="0"/>
          <w:numId w:val="81"/>
        </w:numPr>
        <w:spacing w:before="0"/>
        <w:ind w:left="714" w:hanging="357"/>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Incorporating </w:t>
      </w:r>
      <w:r w:rsidRPr="00B2387B">
        <w:rPr>
          <w:rFonts w:ascii="Times New Roman" w:eastAsia="Calibri" w:hAnsi="Times New Roman" w:cs="Times New Roman"/>
          <w:szCs w:val="20"/>
        </w:rPr>
        <w:t>the</w:t>
      </w:r>
      <w:r w:rsidRPr="00250FA5">
        <w:rPr>
          <w:rFonts w:ascii="Times New Roman" w:eastAsia="Times New Roman" w:hAnsi="Times New Roman" w:cs="Times New Roman"/>
          <w:szCs w:val="20"/>
          <w:lang w:eastAsia="en-AU"/>
        </w:rPr>
        <w:t xml:space="preserve"> updated population for pembrolizumab monotherapy. The updated financial estimate</w:t>
      </w:r>
      <w:r w:rsidR="00541FF0">
        <w:rPr>
          <w:rFonts w:ascii="Times New Roman" w:eastAsia="Times New Roman" w:hAnsi="Times New Roman" w:cs="Times New Roman"/>
          <w:szCs w:val="20"/>
          <w:lang w:eastAsia="en-AU"/>
        </w:rPr>
        <w:t>s</w:t>
      </w:r>
      <w:r w:rsidRPr="00250FA5">
        <w:rPr>
          <w:rFonts w:ascii="Times New Roman" w:eastAsia="Times New Roman" w:hAnsi="Times New Roman" w:cs="Times New Roman"/>
          <w:szCs w:val="20"/>
          <w:lang w:eastAsia="en-AU"/>
        </w:rPr>
        <w:t xml:space="preserve"> did not incorporate an estimated prevalence of CPS ≥20. Instead an assumption has been made that 40% of all patients who were CPS ≥1 would use pembrolizumab monotherapy.</w:t>
      </w:r>
    </w:p>
    <w:p w14:paraId="6D319F22" w14:textId="03E29636" w:rsidR="00250FA5" w:rsidRPr="00250FA5" w:rsidRDefault="00250FA5" w:rsidP="00B2387B">
      <w:pPr>
        <w:numPr>
          <w:ilvl w:val="0"/>
          <w:numId w:val="81"/>
        </w:numPr>
        <w:spacing w:before="0"/>
        <w:ind w:left="714" w:hanging="357"/>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Recalculating the </w:t>
      </w:r>
      <w:r w:rsidRPr="00B2387B">
        <w:rPr>
          <w:rFonts w:ascii="Times New Roman" w:eastAsia="Calibri" w:hAnsi="Times New Roman" w:cs="Times New Roman"/>
          <w:szCs w:val="20"/>
        </w:rPr>
        <w:t>eligible</w:t>
      </w:r>
      <w:r w:rsidRPr="00250FA5">
        <w:rPr>
          <w:rFonts w:ascii="Times New Roman" w:eastAsia="Times New Roman" w:hAnsi="Times New Roman" w:cs="Times New Roman"/>
          <w:szCs w:val="20"/>
          <w:lang w:eastAsia="en-AU"/>
        </w:rPr>
        <w:t xml:space="preserve"> prevalent patients using 2-year survival (27%), rather than 5-year survival (5.3%). This increased the pembrolizumab eligible treatment pool </w:t>
      </w:r>
      <w:r w:rsidRPr="00DA1CCA">
        <w:rPr>
          <w:rFonts w:ascii="Times New Roman" w:eastAsia="Times New Roman" w:hAnsi="Times New Roman" w:cs="Times New Roman"/>
          <w:szCs w:val="20"/>
          <w:lang w:eastAsia="en-AU"/>
        </w:rPr>
        <w:t xml:space="preserve">from </w:t>
      </w:r>
      <w:r w:rsidR="00D31A5B" w:rsidRPr="00DA1CCA">
        <w:rPr>
          <w:rFonts w:ascii="Times New Roman" w:eastAsia="Times New Roman" w:hAnsi="Times New Roman" w:cs="Times New Roman"/>
          <w:szCs w:val="20"/>
          <w:lang w:eastAsia="en-AU"/>
        </w:rPr>
        <w:t xml:space="preserve">&lt;500 </w:t>
      </w:r>
      <w:r w:rsidRPr="00DA1CCA">
        <w:rPr>
          <w:rFonts w:ascii="Times New Roman" w:eastAsia="Times New Roman" w:hAnsi="Times New Roman" w:cs="Times New Roman"/>
          <w:szCs w:val="20"/>
          <w:lang w:eastAsia="en-AU"/>
        </w:rPr>
        <w:t xml:space="preserve">patients to </w:t>
      </w:r>
      <w:r w:rsidR="00D31A5B" w:rsidRPr="00DA1CCA">
        <w:rPr>
          <w:rFonts w:ascii="Times New Roman" w:eastAsia="Times New Roman" w:hAnsi="Times New Roman" w:cs="Times New Roman"/>
          <w:szCs w:val="20"/>
          <w:lang w:eastAsia="en-AU"/>
        </w:rPr>
        <w:t>&lt;500</w:t>
      </w:r>
      <w:r w:rsidR="00D31A5B">
        <w:rPr>
          <w:rFonts w:ascii="Times New Roman" w:eastAsia="Times New Roman" w:hAnsi="Times New Roman" w:cs="Times New Roman"/>
          <w:b/>
          <w:bCs/>
          <w:szCs w:val="20"/>
          <w:lang w:eastAsia="en-AU"/>
        </w:rPr>
        <w:t xml:space="preserve"> </w:t>
      </w:r>
      <w:r w:rsidRPr="00250FA5">
        <w:rPr>
          <w:rFonts w:ascii="Times New Roman" w:eastAsia="Times New Roman" w:hAnsi="Times New Roman" w:cs="Times New Roman"/>
          <w:szCs w:val="20"/>
          <w:lang w:eastAsia="en-AU"/>
        </w:rPr>
        <w:t>patients.</w:t>
      </w:r>
    </w:p>
    <w:p w14:paraId="23B2CA79" w14:textId="3D56ABC7" w:rsidR="00250FA5" w:rsidRPr="00250FA5" w:rsidRDefault="00250FA5" w:rsidP="00B2387B">
      <w:pPr>
        <w:numPr>
          <w:ilvl w:val="0"/>
          <w:numId w:val="81"/>
        </w:numPr>
        <w:spacing w:before="0"/>
        <w:ind w:left="714" w:hanging="357"/>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Changing the nivolumab </w:t>
      </w:r>
      <w:r w:rsidRPr="00B2387B">
        <w:rPr>
          <w:rFonts w:ascii="Times New Roman" w:eastAsia="Calibri" w:hAnsi="Times New Roman" w:cs="Times New Roman"/>
          <w:szCs w:val="20"/>
        </w:rPr>
        <w:t>administration</w:t>
      </w:r>
      <w:r w:rsidRPr="00250FA5">
        <w:rPr>
          <w:rFonts w:ascii="Times New Roman" w:eastAsia="Times New Roman" w:hAnsi="Times New Roman" w:cs="Times New Roman"/>
          <w:szCs w:val="20"/>
          <w:lang w:eastAsia="en-AU"/>
        </w:rPr>
        <w:t xml:space="preserve"> frequency to 4-weekly for continuing treatment (2-weekly in the resubmission). The pre-ESC response considered that it is extremely unlikely that any clinician would initiate a patient who has just progressed within 6 months of platinum-based chemotherapy, onto a 4-weekly regimen as they have a high risk of progression and would want to see them more frequently.</w:t>
      </w:r>
    </w:p>
    <w:p w14:paraId="1D0E45D2" w14:textId="4108D326" w:rsidR="00250FA5" w:rsidRPr="00250FA5" w:rsidRDefault="47430A0E" w:rsidP="1134720A">
      <w:pPr>
        <w:numPr>
          <w:ilvl w:val="0"/>
          <w:numId w:val="81"/>
        </w:numPr>
        <w:spacing w:before="0" w:after="0"/>
        <w:ind w:left="714" w:hanging="357"/>
        <w:jc w:val="left"/>
        <w:rPr>
          <w:rFonts w:ascii="Times New Roman" w:eastAsia="Times New Roman" w:hAnsi="Times New Roman" w:cs="Times New Roman"/>
          <w:lang w:eastAsia="en-AU"/>
        </w:rPr>
      </w:pPr>
      <w:r w:rsidRPr="1134720A">
        <w:rPr>
          <w:rFonts w:ascii="Times New Roman" w:eastAsia="Times New Roman" w:hAnsi="Times New Roman" w:cs="Times New Roman"/>
          <w:lang w:eastAsia="en-AU"/>
        </w:rPr>
        <w:t xml:space="preserve">Increasing the mean number of pembrolizumab doses from </w:t>
      </w:r>
      <w:r w:rsidRPr="00DA1CCA">
        <w:rPr>
          <w:rFonts w:ascii="Times New Roman" w:eastAsia="Times New Roman" w:hAnsi="Times New Roman" w:cs="Times New Roman"/>
          <w:lang w:eastAsia="en-AU"/>
        </w:rPr>
        <w:t>10.49 to 11.22</w:t>
      </w:r>
      <w:r w:rsidRPr="1134720A">
        <w:rPr>
          <w:rFonts w:ascii="Times New Roman" w:eastAsia="Times New Roman" w:hAnsi="Times New Roman" w:cs="Times New Roman"/>
          <w:lang w:eastAsia="en-AU"/>
        </w:rPr>
        <w:t xml:space="preserve"> to account for 60% of patients using pembrolizumab with chemotherapy)</w:t>
      </w:r>
      <w:r w:rsidR="3F78F499" w:rsidRPr="1134720A">
        <w:rPr>
          <w:rFonts w:ascii="Times New Roman" w:eastAsia="Times New Roman" w:hAnsi="Times New Roman" w:cs="Times New Roman"/>
          <w:lang w:eastAsia="en-AU"/>
        </w:rPr>
        <w:t>.</w:t>
      </w:r>
    </w:p>
    <w:p w14:paraId="608B7108" w14:textId="74DFAFA2" w:rsidR="00250FA5" w:rsidRPr="00250FA5" w:rsidRDefault="00250FA5" w:rsidP="00530E8C">
      <w:pPr>
        <w:keepNext/>
        <w:spacing w:before="240" w:after="40"/>
        <w:ind w:left="993" w:hanging="993"/>
        <w:outlineLvl w:val="4"/>
        <w:rPr>
          <w:rFonts w:ascii="Arial Narrow" w:eastAsia="Times New Roman" w:hAnsi="Arial Narrow" w:cs="Arial"/>
          <w:b/>
          <w:bCs/>
          <w:iCs/>
          <w:sz w:val="20"/>
          <w:szCs w:val="20"/>
        </w:rPr>
      </w:pPr>
      <w:bookmarkStart w:id="28" w:name="_Ref80059857"/>
      <w:r w:rsidRPr="00250FA5">
        <w:rPr>
          <w:rFonts w:ascii="Arial Narrow" w:eastAsia="Times New Roman" w:hAnsi="Arial Narrow" w:cs="Arial"/>
          <w:b/>
          <w:bCs/>
          <w:iCs/>
          <w:sz w:val="20"/>
          <w:szCs w:val="20"/>
        </w:rPr>
        <w:t xml:space="preserve">Table </w:t>
      </w:r>
      <w:r w:rsidRPr="00250FA5">
        <w:rPr>
          <w:rFonts w:ascii="Arial Narrow" w:eastAsia="Times New Roman" w:hAnsi="Arial Narrow" w:cs="Arial"/>
          <w:b/>
          <w:bCs/>
          <w:iCs/>
          <w:sz w:val="20"/>
          <w:szCs w:val="20"/>
        </w:rPr>
        <w:fldChar w:fldCharType="begin"/>
      </w:r>
      <w:r w:rsidRPr="00250FA5">
        <w:rPr>
          <w:rFonts w:ascii="Arial Narrow" w:eastAsia="Times New Roman" w:hAnsi="Arial Narrow" w:cs="Arial"/>
          <w:b/>
          <w:bCs/>
          <w:iCs/>
          <w:sz w:val="20"/>
          <w:szCs w:val="20"/>
        </w:rPr>
        <w:instrText xml:space="preserve"> SEQ Table \* ARABIC </w:instrText>
      </w:r>
      <w:r w:rsidRPr="00250FA5">
        <w:rPr>
          <w:rFonts w:ascii="Arial Narrow" w:eastAsia="Times New Roman" w:hAnsi="Arial Narrow" w:cs="Arial"/>
          <w:b/>
          <w:bCs/>
          <w:iCs/>
          <w:sz w:val="20"/>
          <w:szCs w:val="20"/>
        </w:rPr>
        <w:fldChar w:fldCharType="separate"/>
      </w:r>
      <w:r w:rsidR="00783DB8">
        <w:rPr>
          <w:rFonts w:ascii="Arial Narrow" w:eastAsia="Times New Roman" w:hAnsi="Arial Narrow" w:cs="Arial"/>
          <w:b/>
          <w:bCs/>
          <w:iCs/>
          <w:noProof/>
          <w:sz w:val="20"/>
          <w:szCs w:val="20"/>
        </w:rPr>
        <w:t>17</w:t>
      </w:r>
      <w:r w:rsidRPr="00250FA5">
        <w:rPr>
          <w:rFonts w:ascii="Arial Narrow" w:eastAsia="Times New Roman" w:hAnsi="Arial Narrow" w:cs="Arial"/>
          <w:b/>
          <w:bCs/>
          <w:iCs/>
          <w:noProof/>
          <w:sz w:val="20"/>
          <w:szCs w:val="20"/>
        </w:rPr>
        <w:fldChar w:fldCharType="end"/>
      </w:r>
      <w:bookmarkEnd w:id="28"/>
      <w:r w:rsidRPr="00250FA5">
        <w:rPr>
          <w:rFonts w:ascii="Arial Narrow" w:eastAsia="Times New Roman" w:hAnsi="Arial Narrow" w:cs="Arial"/>
          <w:b/>
          <w:bCs/>
          <w:iCs/>
          <w:sz w:val="20"/>
          <w:szCs w:val="20"/>
        </w:rPr>
        <w:tab/>
        <w:t>Estimated use and financial implications</w:t>
      </w:r>
    </w:p>
    <w:tbl>
      <w:tblPr>
        <w:tblStyle w:val="TableGrid2"/>
        <w:tblW w:w="5000" w:type="pct"/>
        <w:tblLayout w:type="fixed"/>
        <w:tblCellMar>
          <w:left w:w="28" w:type="dxa"/>
          <w:right w:w="28" w:type="dxa"/>
        </w:tblCellMar>
        <w:tblLook w:val="04A0" w:firstRow="1" w:lastRow="0" w:firstColumn="1" w:lastColumn="0" w:noHBand="0" w:noVBand="1"/>
        <w:tblDescription w:val="Estimated use and financial implications"/>
      </w:tblPr>
      <w:tblGrid>
        <w:gridCol w:w="2403"/>
        <w:gridCol w:w="1101"/>
        <w:gridCol w:w="1102"/>
        <w:gridCol w:w="1102"/>
        <w:gridCol w:w="1102"/>
        <w:gridCol w:w="1102"/>
        <w:gridCol w:w="1104"/>
      </w:tblGrid>
      <w:tr w:rsidR="00250FA5" w:rsidRPr="00250FA5" w14:paraId="6F81258A" w14:textId="77777777" w:rsidTr="00250FA5">
        <w:trPr>
          <w:cnfStyle w:val="100000000000" w:firstRow="1" w:lastRow="0" w:firstColumn="0" w:lastColumn="0" w:oddVBand="0" w:evenVBand="0" w:oddHBand="0" w:evenHBand="0" w:firstRowFirstColumn="0" w:firstRowLastColumn="0" w:lastRowFirstColumn="0" w:lastRowLastColumn="0"/>
          <w:tblHeader/>
        </w:trPr>
        <w:tc>
          <w:tcPr>
            <w:tcW w:w="1333" w:type="pct"/>
            <w:shd w:val="clear" w:color="auto" w:fill="auto"/>
            <w:vAlign w:val="center"/>
          </w:tcPr>
          <w:p w14:paraId="607C2FB3" w14:textId="77777777" w:rsidR="00250FA5" w:rsidRPr="00250FA5" w:rsidRDefault="00250FA5" w:rsidP="00702B6B">
            <w:pPr>
              <w:keepNext/>
              <w:keepLines/>
              <w:widowControl w:val="0"/>
              <w:spacing w:before="0" w:after="0" w:line="256" w:lineRule="auto"/>
              <w:jc w:val="left"/>
              <w:rPr>
                <w:rFonts w:ascii="Arial Narrow" w:eastAsia="Calibri" w:hAnsi="Arial Narrow"/>
                <w:b/>
                <w:sz w:val="20"/>
              </w:rPr>
            </w:pPr>
            <w:r w:rsidRPr="00250FA5">
              <w:rPr>
                <w:rFonts w:ascii="Arial Narrow" w:eastAsia="Calibri" w:hAnsi="Arial Narrow"/>
                <w:b/>
                <w:sz w:val="20"/>
              </w:rPr>
              <w:t>Parameter/source</w:t>
            </w:r>
          </w:p>
        </w:tc>
        <w:tc>
          <w:tcPr>
            <w:tcW w:w="611" w:type="pct"/>
            <w:shd w:val="clear" w:color="auto" w:fill="auto"/>
            <w:vAlign w:val="center"/>
          </w:tcPr>
          <w:p w14:paraId="173EC02B" w14:textId="77777777" w:rsidR="00250FA5" w:rsidRPr="00250FA5" w:rsidRDefault="00250FA5" w:rsidP="00702B6B">
            <w:pPr>
              <w:keepNext/>
              <w:keepLines/>
              <w:widowControl w:val="0"/>
              <w:spacing w:before="0" w:after="0" w:line="256" w:lineRule="auto"/>
              <w:jc w:val="center"/>
              <w:rPr>
                <w:rFonts w:ascii="Arial Narrow" w:eastAsia="Calibri" w:hAnsi="Arial Narrow"/>
                <w:b/>
                <w:sz w:val="20"/>
              </w:rPr>
            </w:pPr>
            <w:r w:rsidRPr="00250FA5">
              <w:rPr>
                <w:rFonts w:ascii="Arial Narrow" w:eastAsia="Calibri" w:hAnsi="Arial Narrow"/>
                <w:b/>
                <w:sz w:val="20"/>
              </w:rPr>
              <w:t>Year 1</w:t>
            </w:r>
          </w:p>
        </w:tc>
        <w:tc>
          <w:tcPr>
            <w:tcW w:w="611" w:type="pct"/>
            <w:shd w:val="clear" w:color="auto" w:fill="auto"/>
            <w:vAlign w:val="center"/>
          </w:tcPr>
          <w:p w14:paraId="5D5EF8CD" w14:textId="77777777" w:rsidR="00250FA5" w:rsidRPr="00250FA5" w:rsidRDefault="00250FA5" w:rsidP="00702B6B">
            <w:pPr>
              <w:keepNext/>
              <w:keepLines/>
              <w:widowControl w:val="0"/>
              <w:spacing w:before="0" w:after="0" w:line="256" w:lineRule="auto"/>
              <w:jc w:val="center"/>
              <w:rPr>
                <w:rFonts w:ascii="Arial Narrow" w:eastAsia="Calibri" w:hAnsi="Arial Narrow"/>
                <w:b/>
                <w:sz w:val="20"/>
              </w:rPr>
            </w:pPr>
            <w:r w:rsidRPr="00250FA5">
              <w:rPr>
                <w:rFonts w:ascii="Arial Narrow" w:eastAsia="Calibri" w:hAnsi="Arial Narrow"/>
                <w:b/>
                <w:sz w:val="20"/>
              </w:rPr>
              <w:t>Year 2</w:t>
            </w:r>
          </w:p>
        </w:tc>
        <w:tc>
          <w:tcPr>
            <w:tcW w:w="611" w:type="pct"/>
            <w:shd w:val="clear" w:color="auto" w:fill="auto"/>
            <w:vAlign w:val="center"/>
          </w:tcPr>
          <w:p w14:paraId="1F7BBFBE" w14:textId="77777777" w:rsidR="00250FA5" w:rsidRPr="00250FA5" w:rsidRDefault="00250FA5" w:rsidP="00702B6B">
            <w:pPr>
              <w:keepNext/>
              <w:keepLines/>
              <w:widowControl w:val="0"/>
              <w:spacing w:before="0" w:after="0" w:line="256" w:lineRule="auto"/>
              <w:jc w:val="center"/>
              <w:rPr>
                <w:rFonts w:ascii="Arial Narrow" w:eastAsia="Calibri" w:hAnsi="Arial Narrow"/>
                <w:b/>
                <w:sz w:val="20"/>
              </w:rPr>
            </w:pPr>
            <w:r w:rsidRPr="00250FA5">
              <w:rPr>
                <w:rFonts w:ascii="Arial Narrow" w:eastAsia="Calibri" w:hAnsi="Arial Narrow"/>
                <w:b/>
                <w:sz w:val="20"/>
              </w:rPr>
              <w:t>Year 3</w:t>
            </w:r>
          </w:p>
        </w:tc>
        <w:tc>
          <w:tcPr>
            <w:tcW w:w="611" w:type="pct"/>
            <w:shd w:val="clear" w:color="auto" w:fill="auto"/>
            <w:vAlign w:val="center"/>
          </w:tcPr>
          <w:p w14:paraId="6977ABBF" w14:textId="77777777" w:rsidR="00250FA5" w:rsidRPr="00250FA5" w:rsidRDefault="00250FA5" w:rsidP="00702B6B">
            <w:pPr>
              <w:keepNext/>
              <w:keepLines/>
              <w:widowControl w:val="0"/>
              <w:spacing w:before="0" w:after="0" w:line="256" w:lineRule="auto"/>
              <w:jc w:val="center"/>
              <w:rPr>
                <w:rFonts w:ascii="Arial Narrow" w:eastAsia="Calibri" w:hAnsi="Arial Narrow"/>
                <w:b/>
                <w:sz w:val="20"/>
              </w:rPr>
            </w:pPr>
            <w:r w:rsidRPr="00250FA5">
              <w:rPr>
                <w:rFonts w:ascii="Arial Narrow" w:eastAsia="Calibri" w:hAnsi="Arial Narrow"/>
                <w:b/>
                <w:sz w:val="20"/>
              </w:rPr>
              <w:t>Year 4</w:t>
            </w:r>
          </w:p>
        </w:tc>
        <w:tc>
          <w:tcPr>
            <w:tcW w:w="611" w:type="pct"/>
            <w:shd w:val="clear" w:color="auto" w:fill="auto"/>
            <w:vAlign w:val="center"/>
          </w:tcPr>
          <w:p w14:paraId="2F04A26B" w14:textId="77777777" w:rsidR="00250FA5" w:rsidRPr="00250FA5" w:rsidRDefault="00250FA5" w:rsidP="00702B6B">
            <w:pPr>
              <w:keepNext/>
              <w:keepLines/>
              <w:widowControl w:val="0"/>
              <w:spacing w:before="0" w:after="0" w:line="256" w:lineRule="auto"/>
              <w:jc w:val="center"/>
              <w:rPr>
                <w:rFonts w:ascii="Arial Narrow" w:eastAsia="Calibri" w:hAnsi="Arial Narrow"/>
                <w:b/>
                <w:sz w:val="20"/>
              </w:rPr>
            </w:pPr>
            <w:r w:rsidRPr="00250FA5">
              <w:rPr>
                <w:rFonts w:ascii="Arial Narrow" w:eastAsia="Calibri" w:hAnsi="Arial Narrow"/>
                <w:b/>
                <w:sz w:val="20"/>
              </w:rPr>
              <w:t>Year 5</w:t>
            </w:r>
          </w:p>
        </w:tc>
        <w:tc>
          <w:tcPr>
            <w:tcW w:w="612" w:type="pct"/>
          </w:tcPr>
          <w:p w14:paraId="5FD7A927" w14:textId="77777777" w:rsidR="00250FA5" w:rsidRPr="00250FA5" w:rsidRDefault="00250FA5" w:rsidP="00702B6B">
            <w:pPr>
              <w:keepNext/>
              <w:keepLines/>
              <w:widowControl w:val="0"/>
              <w:spacing w:before="0" w:after="0" w:line="256" w:lineRule="auto"/>
              <w:jc w:val="center"/>
              <w:rPr>
                <w:rFonts w:ascii="Arial Narrow" w:eastAsia="Calibri" w:hAnsi="Arial Narrow"/>
                <w:b/>
                <w:sz w:val="20"/>
              </w:rPr>
            </w:pPr>
            <w:r w:rsidRPr="00250FA5">
              <w:rPr>
                <w:rFonts w:ascii="Arial Narrow" w:eastAsia="Calibri" w:hAnsi="Arial Narrow"/>
                <w:b/>
                <w:sz w:val="20"/>
              </w:rPr>
              <w:t>Year 6</w:t>
            </w:r>
          </w:p>
        </w:tc>
      </w:tr>
      <w:tr w:rsidR="00250FA5" w:rsidRPr="00250FA5" w14:paraId="7606563B" w14:textId="77777777" w:rsidTr="00250FA5">
        <w:tc>
          <w:tcPr>
            <w:tcW w:w="5000" w:type="pct"/>
            <w:gridSpan w:val="7"/>
            <w:shd w:val="clear" w:color="auto" w:fill="auto"/>
            <w:vAlign w:val="center"/>
          </w:tcPr>
          <w:p w14:paraId="488A204F" w14:textId="77777777" w:rsidR="00250FA5" w:rsidRPr="00250FA5" w:rsidRDefault="00250FA5" w:rsidP="00702B6B">
            <w:pPr>
              <w:keepNext/>
              <w:keepLines/>
              <w:widowControl w:val="0"/>
              <w:tabs>
                <w:tab w:val="decimal" w:pos="396"/>
              </w:tabs>
              <w:spacing w:before="0" w:after="0" w:line="256" w:lineRule="auto"/>
              <w:jc w:val="left"/>
              <w:rPr>
                <w:rFonts w:cs="Calibri"/>
                <w:color w:val="000000"/>
                <w:sz w:val="20"/>
              </w:rPr>
            </w:pPr>
            <w:r w:rsidRPr="00250FA5">
              <w:rPr>
                <w:rFonts w:eastAsia="Calibri"/>
                <w:b/>
                <w:bCs/>
                <w:sz w:val="20"/>
              </w:rPr>
              <w:t>Resubmission/commentary</w:t>
            </w:r>
          </w:p>
        </w:tc>
      </w:tr>
      <w:tr w:rsidR="00F42694" w:rsidRPr="00250FA5" w14:paraId="2C15D711" w14:textId="77777777" w:rsidTr="00DA1CCA">
        <w:tc>
          <w:tcPr>
            <w:tcW w:w="1333" w:type="pct"/>
            <w:shd w:val="clear" w:color="auto" w:fill="auto"/>
          </w:tcPr>
          <w:p w14:paraId="6C2705F9" w14:textId="77777777" w:rsidR="00F42694" w:rsidRPr="00250FA5" w:rsidRDefault="00F42694" w:rsidP="00F42694">
            <w:pPr>
              <w:keepNext/>
              <w:keepLines/>
              <w:widowControl w:val="0"/>
              <w:spacing w:before="0" w:after="0" w:line="256" w:lineRule="auto"/>
              <w:jc w:val="left"/>
              <w:rPr>
                <w:rFonts w:eastAsia="Calibri"/>
                <w:sz w:val="20"/>
              </w:rPr>
            </w:pPr>
            <w:r w:rsidRPr="00250FA5">
              <w:rPr>
                <w:rFonts w:eastAsia="Calibri"/>
                <w:sz w:val="20"/>
              </w:rPr>
              <w:t xml:space="preserve">Projected HNSCC </w:t>
            </w:r>
          </w:p>
        </w:tc>
        <w:tc>
          <w:tcPr>
            <w:tcW w:w="611" w:type="pct"/>
            <w:shd w:val="clear" w:color="auto" w:fill="auto"/>
            <w:vAlign w:val="center"/>
          </w:tcPr>
          <w:p w14:paraId="301D1B11" w14:textId="59E9BA44" w:rsidR="00F42694" w:rsidRPr="00316ACA" w:rsidRDefault="00F42694" w:rsidP="00F42694">
            <w:pPr>
              <w:keepNext/>
              <w:keepLines/>
              <w:widowControl w:val="0"/>
              <w:tabs>
                <w:tab w:val="decimal" w:pos="396"/>
              </w:tabs>
              <w:spacing w:before="0" w:after="0" w:line="256" w:lineRule="auto"/>
              <w:jc w:val="center"/>
              <w:rPr>
                <w:rFonts w:eastAsia="Calibri"/>
                <w:sz w:val="20"/>
                <w:vertAlign w:val="superscript"/>
              </w:rPr>
            </w:pPr>
            <w:r w:rsidRPr="00316ACA">
              <w:rPr>
                <w:rFonts w:cs="Calibri"/>
                <w:color w:val="000000"/>
                <w:sz w:val="20"/>
              </w:rPr>
              <w:t xml:space="preserve"> redacted </w:t>
            </w:r>
            <w:r w:rsidRPr="00316ACA">
              <w:rPr>
                <w:rFonts w:cs="Calibri"/>
                <w:color w:val="000000"/>
                <w:sz w:val="20"/>
                <w:vertAlign w:val="superscript"/>
              </w:rPr>
              <w:t>1</w:t>
            </w:r>
          </w:p>
        </w:tc>
        <w:tc>
          <w:tcPr>
            <w:tcW w:w="611" w:type="pct"/>
            <w:shd w:val="clear" w:color="auto" w:fill="auto"/>
          </w:tcPr>
          <w:p w14:paraId="67A42D85" w14:textId="769BB172" w:rsidR="00F42694" w:rsidRPr="00316ACA" w:rsidRDefault="00F42694" w:rsidP="00F42694">
            <w:pPr>
              <w:keepNext/>
              <w:keepLines/>
              <w:widowControl w:val="0"/>
              <w:tabs>
                <w:tab w:val="decimal" w:pos="396"/>
              </w:tabs>
              <w:spacing w:before="0" w:after="0" w:line="256" w:lineRule="auto"/>
              <w:jc w:val="center"/>
              <w:rPr>
                <w:rFonts w:eastAsia="Calibri"/>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2073390F" w14:textId="4DF34E16" w:rsidR="00F42694" w:rsidRPr="00316ACA" w:rsidRDefault="00F42694" w:rsidP="00F42694">
            <w:pPr>
              <w:keepNext/>
              <w:keepLines/>
              <w:widowControl w:val="0"/>
              <w:tabs>
                <w:tab w:val="decimal" w:pos="396"/>
              </w:tabs>
              <w:spacing w:before="0" w:after="0" w:line="256" w:lineRule="auto"/>
              <w:jc w:val="center"/>
              <w:rPr>
                <w:rFonts w:eastAsia="Calibri"/>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7F60C3F2" w14:textId="0A077C96" w:rsidR="00F42694" w:rsidRPr="00316ACA" w:rsidRDefault="00F42694" w:rsidP="00F42694">
            <w:pPr>
              <w:keepNext/>
              <w:keepLines/>
              <w:widowControl w:val="0"/>
              <w:tabs>
                <w:tab w:val="decimal" w:pos="396"/>
              </w:tabs>
              <w:spacing w:before="0" w:after="0" w:line="256" w:lineRule="auto"/>
              <w:jc w:val="center"/>
              <w:rPr>
                <w:rFonts w:eastAsia="Calibri"/>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3E4A1067" w14:textId="5C432AC2" w:rsidR="00F42694" w:rsidRPr="00316ACA" w:rsidRDefault="00F42694" w:rsidP="00F42694">
            <w:pPr>
              <w:keepNext/>
              <w:keepLines/>
              <w:widowControl w:val="0"/>
              <w:tabs>
                <w:tab w:val="decimal" w:pos="396"/>
              </w:tabs>
              <w:spacing w:before="0" w:after="0" w:line="256" w:lineRule="auto"/>
              <w:jc w:val="center"/>
              <w:rPr>
                <w:rFonts w:eastAsia="Calibri"/>
                <w:sz w:val="20"/>
              </w:rPr>
            </w:pPr>
            <w:r w:rsidRPr="00316ACA">
              <w:rPr>
                <w:rFonts w:cs="Calibri"/>
                <w:color w:val="000000"/>
                <w:sz w:val="20"/>
              </w:rPr>
              <w:t xml:space="preserve">redacted </w:t>
            </w:r>
            <w:r w:rsidRPr="00316ACA">
              <w:rPr>
                <w:rFonts w:cs="Calibri"/>
                <w:color w:val="000000"/>
                <w:sz w:val="20"/>
                <w:vertAlign w:val="superscript"/>
              </w:rPr>
              <w:t>1</w:t>
            </w:r>
          </w:p>
        </w:tc>
        <w:tc>
          <w:tcPr>
            <w:tcW w:w="612" w:type="pct"/>
          </w:tcPr>
          <w:p w14:paraId="3A641211" w14:textId="17CC2B06" w:rsidR="00F42694" w:rsidRPr="00316ACA" w:rsidRDefault="00F42694" w:rsidP="00F42694">
            <w:pPr>
              <w:keepNext/>
              <w:keepLines/>
              <w:widowControl w:val="0"/>
              <w:tabs>
                <w:tab w:val="decimal" w:pos="396"/>
              </w:tabs>
              <w:spacing w:before="0" w:after="0" w:line="256" w:lineRule="auto"/>
              <w:jc w:val="center"/>
              <w:rPr>
                <w:rFonts w:eastAsia="Calibri"/>
                <w:sz w:val="20"/>
              </w:rPr>
            </w:pPr>
            <w:r w:rsidRPr="00316ACA">
              <w:rPr>
                <w:rFonts w:cs="Calibri"/>
                <w:color w:val="000000"/>
                <w:sz w:val="20"/>
              </w:rPr>
              <w:t xml:space="preserve">redacted </w:t>
            </w:r>
            <w:r w:rsidRPr="00316ACA">
              <w:rPr>
                <w:rFonts w:cs="Calibri"/>
                <w:color w:val="000000"/>
                <w:sz w:val="20"/>
                <w:vertAlign w:val="superscript"/>
              </w:rPr>
              <w:t>1</w:t>
            </w:r>
          </w:p>
        </w:tc>
      </w:tr>
      <w:tr w:rsidR="00F42694" w:rsidRPr="00250FA5" w14:paraId="66E72C43" w14:textId="77777777" w:rsidTr="00DA1CCA">
        <w:tc>
          <w:tcPr>
            <w:tcW w:w="1333" w:type="pct"/>
            <w:shd w:val="clear" w:color="auto" w:fill="auto"/>
            <w:vAlign w:val="center"/>
          </w:tcPr>
          <w:p w14:paraId="5CE86630" w14:textId="77777777" w:rsidR="00F42694" w:rsidRPr="00250FA5" w:rsidRDefault="00F42694" w:rsidP="00F42694">
            <w:pPr>
              <w:keepNext/>
              <w:keepLines/>
              <w:widowControl w:val="0"/>
              <w:spacing w:before="0" w:after="0" w:line="256" w:lineRule="auto"/>
              <w:jc w:val="left"/>
              <w:rPr>
                <w:rFonts w:eastAsia="Calibri"/>
                <w:sz w:val="20"/>
              </w:rPr>
            </w:pPr>
            <w:r w:rsidRPr="00250FA5">
              <w:rPr>
                <w:rFonts w:eastAsia="Calibri"/>
                <w:sz w:val="20"/>
              </w:rPr>
              <w:t xml:space="preserve">R/M HNSCC (CPS tests) </w:t>
            </w:r>
            <w:r w:rsidRPr="00250FA5">
              <w:rPr>
                <w:rFonts w:eastAsia="Calibri"/>
                <w:sz w:val="20"/>
                <w:vertAlign w:val="superscript"/>
              </w:rPr>
              <w:t>a</w:t>
            </w:r>
          </w:p>
        </w:tc>
        <w:tc>
          <w:tcPr>
            <w:tcW w:w="611" w:type="pct"/>
            <w:shd w:val="clear" w:color="auto" w:fill="auto"/>
          </w:tcPr>
          <w:p w14:paraId="5AA5366C" w14:textId="0E9B30CB" w:rsidR="00F42694" w:rsidRPr="00316ACA" w:rsidRDefault="00F42694" w:rsidP="00F42694">
            <w:pPr>
              <w:keepNext/>
              <w:keepLines/>
              <w:widowControl w:val="0"/>
              <w:tabs>
                <w:tab w:val="decimal" w:pos="396"/>
              </w:tabs>
              <w:spacing w:before="0" w:after="0" w:line="256" w:lineRule="auto"/>
              <w:jc w:val="center"/>
              <w:rPr>
                <w:rFonts w:cs="Calibri"/>
                <w:color w:val="000000"/>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0F25B829" w14:textId="72AB8448" w:rsidR="00F42694" w:rsidRPr="00316ACA" w:rsidRDefault="00F42694" w:rsidP="00F42694">
            <w:pPr>
              <w:keepNext/>
              <w:keepLines/>
              <w:widowControl w:val="0"/>
              <w:spacing w:before="0" w:after="0" w:line="256" w:lineRule="auto"/>
              <w:jc w:val="center"/>
              <w:rPr>
                <w:rFonts w:cs="Calibri"/>
                <w:color w:val="000000"/>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3516B817" w14:textId="38FEA243" w:rsidR="00F42694" w:rsidRPr="00316ACA" w:rsidRDefault="00F42694" w:rsidP="00F42694">
            <w:pPr>
              <w:keepNext/>
              <w:keepLines/>
              <w:widowControl w:val="0"/>
              <w:tabs>
                <w:tab w:val="decimal" w:pos="0"/>
              </w:tabs>
              <w:spacing w:before="0" w:after="0" w:line="256" w:lineRule="auto"/>
              <w:jc w:val="center"/>
              <w:rPr>
                <w:rFonts w:cs="Calibri"/>
                <w:color w:val="000000"/>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43A110DD" w14:textId="1BA3B198" w:rsidR="00F42694" w:rsidRPr="00316ACA" w:rsidRDefault="00F42694" w:rsidP="00F42694">
            <w:pPr>
              <w:keepNext/>
              <w:keepLines/>
              <w:widowControl w:val="0"/>
              <w:tabs>
                <w:tab w:val="decimal" w:pos="0"/>
              </w:tabs>
              <w:spacing w:before="0" w:after="0" w:line="256" w:lineRule="auto"/>
              <w:jc w:val="center"/>
              <w:rPr>
                <w:rFonts w:cs="Calibri"/>
                <w:color w:val="000000"/>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1510C534" w14:textId="71E0D21B" w:rsidR="00F42694" w:rsidRPr="00316ACA" w:rsidRDefault="00F42694" w:rsidP="00F42694">
            <w:pPr>
              <w:keepNext/>
              <w:keepLines/>
              <w:widowControl w:val="0"/>
              <w:tabs>
                <w:tab w:val="decimal" w:pos="0"/>
              </w:tabs>
              <w:spacing w:before="0" w:after="0" w:line="256" w:lineRule="auto"/>
              <w:jc w:val="center"/>
              <w:rPr>
                <w:rFonts w:cs="Calibri"/>
                <w:color w:val="000000"/>
                <w:sz w:val="20"/>
              </w:rPr>
            </w:pPr>
            <w:r w:rsidRPr="00316ACA">
              <w:rPr>
                <w:rFonts w:cs="Calibri"/>
                <w:color w:val="000000"/>
                <w:sz w:val="20"/>
              </w:rPr>
              <w:t xml:space="preserve">redacted </w:t>
            </w:r>
            <w:r w:rsidRPr="00316ACA">
              <w:rPr>
                <w:rFonts w:cs="Calibri"/>
                <w:color w:val="000000"/>
                <w:sz w:val="20"/>
                <w:vertAlign w:val="superscript"/>
              </w:rPr>
              <w:t>1</w:t>
            </w:r>
          </w:p>
        </w:tc>
        <w:tc>
          <w:tcPr>
            <w:tcW w:w="612" w:type="pct"/>
            <w:shd w:val="clear" w:color="auto" w:fill="auto"/>
          </w:tcPr>
          <w:p w14:paraId="3F6A2A57" w14:textId="58E9575C" w:rsidR="00F42694" w:rsidRPr="00316ACA" w:rsidRDefault="00F42694" w:rsidP="00F42694">
            <w:pPr>
              <w:keepNext/>
              <w:keepLines/>
              <w:widowControl w:val="0"/>
              <w:tabs>
                <w:tab w:val="decimal" w:pos="0"/>
              </w:tabs>
              <w:spacing w:before="0" w:after="0" w:line="256" w:lineRule="auto"/>
              <w:jc w:val="center"/>
              <w:rPr>
                <w:rFonts w:cs="Calibri"/>
                <w:color w:val="000000"/>
                <w:sz w:val="20"/>
              </w:rPr>
            </w:pPr>
            <w:r w:rsidRPr="00316ACA">
              <w:rPr>
                <w:rFonts w:cs="Calibri"/>
                <w:color w:val="000000"/>
                <w:sz w:val="20"/>
              </w:rPr>
              <w:t xml:space="preserve">redacted </w:t>
            </w:r>
            <w:r w:rsidRPr="00316ACA">
              <w:rPr>
                <w:rFonts w:cs="Calibri"/>
                <w:color w:val="000000"/>
                <w:sz w:val="20"/>
                <w:vertAlign w:val="superscript"/>
              </w:rPr>
              <w:t>1</w:t>
            </w:r>
          </w:p>
        </w:tc>
      </w:tr>
      <w:tr w:rsidR="00D37411" w:rsidRPr="00250FA5" w14:paraId="28A947BA" w14:textId="77777777" w:rsidTr="00DA1CCA">
        <w:tc>
          <w:tcPr>
            <w:tcW w:w="1333" w:type="pct"/>
            <w:shd w:val="clear" w:color="auto" w:fill="auto"/>
            <w:vAlign w:val="center"/>
          </w:tcPr>
          <w:p w14:paraId="4D99EC51"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 xml:space="preserve">Cost of CPS testing </w:t>
            </w:r>
            <w:r w:rsidRPr="00250FA5">
              <w:rPr>
                <w:rFonts w:eastAsia="Calibri"/>
                <w:sz w:val="20"/>
                <w:vertAlign w:val="superscript"/>
              </w:rPr>
              <w:t>a</w:t>
            </w:r>
          </w:p>
        </w:tc>
        <w:tc>
          <w:tcPr>
            <w:tcW w:w="611" w:type="pct"/>
            <w:shd w:val="clear" w:color="auto" w:fill="auto"/>
            <w:vAlign w:val="center"/>
          </w:tcPr>
          <w:p w14:paraId="250BC16F" w14:textId="0AC94083" w:rsidR="00D37411" w:rsidRPr="00316ACA" w:rsidRDefault="00D37411" w:rsidP="00D37411">
            <w:pPr>
              <w:keepNext/>
              <w:keepLines/>
              <w:widowControl w:val="0"/>
              <w:tabs>
                <w:tab w:val="decimal" w:pos="396"/>
              </w:tabs>
              <w:spacing w:before="0" w:after="0" w:line="256" w:lineRule="auto"/>
              <w:jc w:val="center"/>
              <w:rPr>
                <w:rFonts w:eastAsia="Calibri" w:cs="Calibri"/>
                <w:sz w:val="20"/>
                <w:vertAlign w:val="superscript"/>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4F088947" w14:textId="65BC9E21"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15874D5A" w14:textId="100B4F34"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02AF2009" w14:textId="1CEA30FF"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136C9E70" w14:textId="5F665577"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2" w:type="pct"/>
            <w:shd w:val="clear" w:color="auto" w:fill="auto"/>
          </w:tcPr>
          <w:p w14:paraId="4906E5C3" w14:textId="73E9A439"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r>
      <w:tr w:rsidR="00D37411" w:rsidRPr="00250FA5" w14:paraId="49727272" w14:textId="77777777" w:rsidTr="00DA1CCA">
        <w:tc>
          <w:tcPr>
            <w:tcW w:w="1333" w:type="pct"/>
            <w:tcBorders>
              <w:top w:val="single" w:sz="4" w:space="0" w:color="auto"/>
              <w:left w:val="single" w:sz="4" w:space="0" w:color="auto"/>
              <w:bottom w:val="single" w:sz="4" w:space="0" w:color="auto"/>
              <w:right w:val="single" w:sz="4" w:space="0" w:color="auto"/>
            </w:tcBorders>
            <w:vAlign w:val="center"/>
          </w:tcPr>
          <w:p w14:paraId="013174E7"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Pembrolizumab ± chemotherapy administration costs</w:t>
            </w:r>
          </w:p>
        </w:tc>
        <w:tc>
          <w:tcPr>
            <w:tcW w:w="611" w:type="pct"/>
            <w:tcBorders>
              <w:top w:val="single" w:sz="4" w:space="0" w:color="auto"/>
              <w:left w:val="single" w:sz="4" w:space="0" w:color="auto"/>
              <w:bottom w:val="single" w:sz="4" w:space="0" w:color="auto"/>
              <w:right w:val="single" w:sz="4" w:space="0" w:color="auto"/>
            </w:tcBorders>
          </w:tcPr>
          <w:p w14:paraId="615E7C96" w14:textId="654E116C"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tcBorders>
              <w:top w:val="single" w:sz="4" w:space="0" w:color="auto"/>
              <w:left w:val="single" w:sz="4" w:space="0" w:color="auto"/>
              <w:bottom w:val="single" w:sz="4" w:space="0" w:color="auto"/>
              <w:right w:val="single" w:sz="4" w:space="0" w:color="auto"/>
            </w:tcBorders>
          </w:tcPr>
          <w:p w14:paraId="00DE68F4" w14:textId="7EFF39AB"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tcBorders>
              <w:top w:val="single" w:sz="4" w:space="0" w:color="auto"/>
              <w:left w:val="single" w:sz="4" w:space="0" w:color="auto"/>
              <w:bottom w:val="single" w:sz="4" w:space="0" w:color="auto"/>
              <w:right w:val="single" w:sz="4" w:space="0" w:color="auto"/>
            </w:tcBorders>
          </w:tcPr>
          <w:p w14:paraId="6F6D0B24" w14:textId="2054425E"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tcBorders>
              <w:top w:val="single" w:sz="4" w:space="0" w:color="auto"/>
              <w:left w:val="single" w:sz="4" w:space="0" w:color="auto"/>
              <w:bottom w:val="single" w:sz="4" w:space="0" w:color="auto"/>
              <w:right w:val="single" w:sz="4" w:space="0" w:color="auto"/>
            </w:tcBorders>
          </w:tcPr>
          <w:p w14:paraId="45514E41" w14:textId="5B82E3B1"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tcBorders>
              <w:top w:val="single" w:sz="4" w:space="0" w:color="auto"/>
              <w:left w:val="single" w:sz="4" w:space="0" w:color="auto"/>
              <w:bottom w:val="single" w:sz="4" w:space="0" w:color="auto"/>
              <w:right w:val="single" w:sz="4" w:space="0" w:color="auto"/>
            </w:tcBorders>
          </w:tcPr>
          <w:p w14:paraId="5B33E176" w14:textId="4765EB72"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2" w:type="pct"/>
            <w:tcBorders>
              <w:top w:val="single" w:sz="4" w:space="0" w:color="auto"/>
              <w:left w:val="single" w:sz="4" w:space="0" w:color="auto"/>
              <w:bottom w:val="single" w:sz="4" w:space="0" w:color="auto"/>
              <w:right w:val="single" w:sz="4" w:space="0" w:color="auto"/>
            </w:tcBorders>
          </w:tcPr>
          <w:p w14:paraId="705D6181" w14:textId="2C064EB4"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r>
      <w:tr w:rsidR="00D37411" w:rsidRPr="00250FA5" w14:paraId="49C577C3" w14:textId="77777777" w:rsidTr="00DA1CCA">
        <w:tc>
          <w:tcPr>
            <w:tcW w:w="1333" w:type="pct"/>
            <w:tcBorders>
              <w:top w:val="single" w:sz="4" w:space="0" w:color="auto"/>
              <w:left w:val="single" w:sz="4" w:space="0" w:color="auto"/>
              <w:bottom w:val="single" w:sz="4" w:space="0" w:color="auto"/>
              <w:right w:val="single" w:sz="4" w:space="0" w:color="auto"/>
            </w:tcBorders>
            <w:vAlign w:val="center"/>
          </w:tcPr>
          <w:p w14:paraId="469D5E7F" w14:textId="77777777" w:rsidR="00D37411" w:rsidRPr="00250FA5" w:rsidRDefault="00D37411" w:rsidP="00D37411">
            <w:pPr>
              <w:keepNext/>
              <w:keepLines/>
              <w:widowControl w:val="0"/>
              <w:spacing w:before="0" w:after="0" w:line="256" w:lineRule="auto"/>
              <w:jc w:val="left"/>
              <w:rPr>
                <w:rFonts w:eastAsia="Calibri"/>
                <w:sz w:val="20"/>
                <w:vertAlign w:val="superscript"/>
              </w:rPr>
            </w:pPr>
            <w:r w:rsidRPr="00250FA5">
              <w:rPr>
                <w:rFonts w:eastAsia="Calibri"/>
                <w:sz w:val="20"/>
              </w:rPr>
              <w:t xml:space="preserve">Administration costs offset </w:t>
            </w:r>
            <w:r w:rsidRPr="00250FA5">
              <w:rPr>
                <w:rFonts w:eastAsia="Calibri"/>
                <w:sz w:val="20"/>
                <w:vertAlign w:val="superscript"/>
              </w:rPr>
              <w:t>b</w:t>
            </w:r>
          </w:p>
        </w:tc>
        <w:tc>
          <w:tcPr>
            <w:tcW w:w="611" w:type="pct"/>
            <w:tcBorders>
              <w:top w:val="single" w:sz="4" w:space="0" w:color="auto"/>
              <w:left w:val="single" w:sz="4" w:space="0" w:color="auto"/>
              <w:bottom w:val="single" w:sz="4" w:space="0" w:color="auto"/>
              <w:right w:val="single" w:sz="4" w:space="0" w:color="auto"/>
            </w:tcBorders>
          </w:tcPr>
          <w:p w14:paraId="1E3F1B3C" w14:textId="09062483"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tcBorders>
              <w:top w:val="single" w:sz="4" w:space="0" w:color="auto"/>
              <w:left w:val="single" w:sz="4" w:space="0" w:color="auto"/>
              <w:bottom w:val="single" w:sz="4" w:space="0" w:color="auto"/>
              <w:right w:val="single" w:sz="4" w:space="0" w:color="auto"/>
            </w:tcBorders>
          </w:tcPr>
          <w:p w14:paraId="76049241" w14:textId="4BB37641"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tcBorders>
              <w:top w:val="single" w:sz="4" w:space="0" w:color="auto"/>
              <w:left w:val="single" w:sz="4" w:space="0" w:color="auto"/>
              <w:bottom w:val="single" w:sz="4" w:space="0" w:color="auto"/>
              <w:right w:val="single" w:sz="4" w:space="0" w:color="auto"/>
            </w:tcBorders>
          </w:tcPr>
          <w:p w14:paraId="286BB011" w14:textId="3ECC6C16"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tcBorders>
              <w:top w:val="single" w:sz="4" w:space="0" w:color="auto"/>
              <w:left w:val="single" w:sz="4" w:space="0" w:color="auto"/>
              <w:bottom w:val="single" w:sz="4" w:space="0" w:color="auto"/>
              <w:right w:val="single" w:sz="4" w:space="0" w:color="auto"/>
            </w:tcBorders>
          </w:tcPr>
          <w:p w14:paraId="464E37BE" w14:textId="435B64FA"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tcBorders>
              <w:top w:val="single" w:sz="4" w:space="0" w:color="auto"/>
              <w:left w:val="single" w:sz="4" w:space="0" w:color="auto"/>
              <w:bottom w:val="single" w:sz="4" w:space="0" w:color="auto"/>
              <w:right w:val="single" w:sz="4" w:space="0" w:color="auto"/>
            </w:tcBorders>
          </w:tcPr>
          <w:p w14:paraId="41BD5D5F" w14:textId="243DB49F"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c>
          <w:tcPr>
            <w:tcW w:w="612" w:type="pct"/>
            <w:tcBorders>
              <w:top w:val="single" w:sz="4" w:space="0" w:color="auto"/>
              <w:left w:val="single" w:sz="4" w:space="0" w:color="auto"/>
              <w:bottom w:val="single" w:sz="4" w:space="0" w:color="auto"/>
              <w:right w:val="single" w:sz="4" w:space="0" w:color="auto"/>
            </w:tcBorders>
          </w:tcPr>
          <w:p w14:paraId="18B3EE30" w14:textId="6E46FD84"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cs="Arial"/>
                <w:sz w:val="20"/>
              </w:rPr>
              <w:t xml:space="preserve">$redacted </w:t>
            </w:r>
            <w:r w:rsidRPr="00316ACA">
              <w:rPr>
                <w:rFonts w:eastAsia="Calibri" w:cs="Arial"/>
                <w:sz w:val="20"/>
                <w:vertAlign w:val="superscript"/>
              </w:rPr>
              <w:t>2</w:t>
            </w:r>
          </w:p>
        </w:tc>
      </w:tr>
      <w:tr w:rsidR="00D37411" w:rsidRPr="00250FA5" w14:paraId="5B3463A4" w14:textId="77777777" w:rsidTr="00250FA5">
        <w:tc>
          <w:tcPr>
            <w:tcW w:w="1333" w:type="pct"/>
            <w:shd w:val="clear" w:color="auto" w:fill="auto"/>
          </w:tcPr>
          <w:p w14:paraId="379042E4"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 xml:space="preserve">Net administration cost </w:t>
            </w:r>
          </w:p>
        </w:tc>
        <w:tc>
          <w:tcPr>
            <w:tcW w:w="611" w:type="pct"/>
            <w:shd w:val="clear" w:color="auto" w:fill="auto"/>
          </w:tcPr>
          <w:p w14:paraId="3462F082" w14:textId="3478B547" w:rsidR="00D37411" w:rsidRPr="00316ACA" w:rsidRDefault="00D37411" w:rsidP="00D37411">
            <w:pPr>
              <w:keepNext/>
              <w:keepLines/>
              <w:widowControl w:val="0"/>
              <w:tabs>
                <w:tab w:val="decimal" w:pos="396"/>
              </w:tabs>
              <w:spacing w:before="0" w:after="0" w:line="256" w:lineRule="auto"/>
              <w:jc w:val="center"/>
              <w:rPr>
                <w:rFonts w:eastAsia="Calibri" w:cs="Calibri"/>
                <w:sz w:val="20"/>
                <w:vertAlign w:val="superscript"/>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52B1703C" w14:textId="15CF363E"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7C2B92CC" w14:textId="4960AD02"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2EAB969E" w14:textId="1CDA0051"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07BE04A4" w14:textId="724AEE0D"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sz w:val="20"/>
              </w:rPr>
              <w:t xml:space="preserve">$redacted </w:t>
            </w:r>
            <w:r w:rsidRPr="00316ACA">
              <w:rPr>
                <w:rFonts w:eastAsia="Calibri"/>
                <w:sz w:val="20"/>
                <w:vertAlign w:val="superscript"/>
              </w:rPr>
              <w:t>3</w:t>
            </w:r>
          </w:p>
        </w:tc>
        <w:tc>
          <w:tcPr>
            <w:tcW w:w="612" w:type="pct"/>
            <w:shd w:val="clear" w:color="auto" w:fill="auto"/>
          </w:tcPr>
          <w:p w14:paraId="1FC4C7DE" w14:textId="3F9B65A1"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sz w:val="20"/>
              </w:rPr>
              <w:t xml:space="preserve">$redacted </w:t>
            </w:r>
            <w:r w:rsidRPr="00316ACA">
              <w:rPr>
                <w:rFonts w:eastAsia="Calibri"/>
                <w:sz w:val="20"/>
                <w:vertAlign w:val="superscript"/>
              </w:rPr>
              <w:t>3</w:t>
            </w:r>
          </w:p>
        </w:tc>
      </w:tr>
      <w:tr w:rsidR="00D37411" w:rsidRPr="00250FA5" w14:paraId="66298FCE" w14:textId="77777777" w:rsidTr="00DA1CCA">
        <w:tc>
          <w:tcPr>
            <w:tcW w:w="1333" w:type="pct"/>
            <w:shd w:val="clear" w:color="auto" w:fill="auto"/>
            <w:vAlign w:val="center"/>
          </w:tcPr>
          <w:p w14:paraId="03DF7C2C"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 xml:space="preserve">Net cost to MBS </w:t>
            </w:r>
            <w:r w:rsidRPr="00250FA5">
              <w:rPr>
                <w:rFonts w:eastAsia="Calibri"/>
                <w:sz w:val="20"/>
                <w:vertAlign w:val="superscript"/>
              </w:rPr>
              <w:t>c</w:t>
            </w:r>
          </w:p>
        </w:tc>
        <w:tc>
          <w:tcPr>
            <w:tcW w:w="611" w:type="pct"/>
            <w:shd w:val="clear" w:color="auto" w:fill="auto"/>
          </w:tcPr>
          <w:p w14:paraId="2FAB658C" w14:textId="4796A389"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5D638339" w14:textId="790C94A2"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4DAE19F7" w14:textId="72AF1132"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2B270707" w14:textId="41339F3A"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13455968" w14:textId="74705BD8"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sz w:val="20"/>
              </w:rPr>
              <w:t xml:space="preserve">$redacted </w:t>
            </w:r>
            <w:r w:rsidRPr="00316ACA">
              <w:rPr>
                <w:rFonts w:eastAsia="Calibri"/>
                <w:sz w:val="20"/>
                <w:vertAlign w:val="superscript"/>
              </w:rPr>
              <w:t>3</w:t>
            </w:r>
          </w:p>
        </w:tc>
        <w:tc>
          <w:tcPr>
            <w:tcW w:w="612" w:type="pct"/>
            <w:shd w:val="clear" w:color="auto" w:fill="auto"/>
          </w:tcPr>
          <w:p w14:paraId="6683B7A8" w14:textId="15805D44" w:rsidR="00D37411" w:rsidRPr="00316ACA" w:rsidRDefault="00D37411" w:rsidP="00D37411">
            <w:pPr>
              <w:keepNext/>
              <w:keepLines/>
              <w:widowControl w:val="0"/>
              <w:tabs>
                <w:tab w:val="decimal" w:pos="396"/>
              </w:tabs>
              <w:spacing w:before="0" w:after="0" w:line="256" w:lineRule="auto"/>
              <w:jc w:val="center"/>
              <w:rPr>
                <w:rFonts w:eastAsia="Calibri" w:cs="Calibri"/>
                <w:sz w:val="20"/>
              </w:rPr>
            </w:pPr>
            <w:r w:rsidRPr="00316ACA">
              <w:rPr>
                <w:rFonts w:eastAsia="Calibri"/>
                <w:sz w:val="20"/>
              </w:rPr>
              <w:t xml:space="preserve">$redacted </w:t>
            </w:r>
            <w:r w:rsidRPr="00316ACA">
              <w:rPr>
                <w:rFonts w:eastAsia="Calibri"/>
                <w:sz w:val="20"/>
                <w:vertAlign w:val="superscript"/>
              </w:rPr>
              <w:t>3</w:t>
            </w:r>
          </w:p>
        </w:tc>
      </w:tr>
      <w:tr w:rsidR="00316ACA" w:rsidRPr="00250FA5" w14:paraId="0EC27004" w14:textId="77777777" w:rsidTr="00DA1CCA">
        <w:tc>
          <w:tcPr>
            <w:tcW w:w="1333" w:type="pct"/>
            <w:shd w:val="clear" w:color="auto" w:fill="auto"/>
            <w:vAlign w:val="center"/>
          </w:tcPr>
          <w:p w14:paraId="637EC1A1" w14:textId="77777777" w:rsidR="00316ACA" w:rsidRPr="00250FA5" w:rsidRDefault="00316ACA" w:rsidP="00316ACA">
            <w:pPr>
              <w:keepNext/>
              <w:keepLines/>
              <w:widowControl w:val="0"/>
              <w:spacing w:before="0" w:after="0" w:line="256" w:lineRule="auto"/>
              <w:jc w:val="left"/>
              <w:rPr>
                <w:rFonts w:eastAsia="Calibri"/>
                <w:sz w:val="20"/>
              </w:rPr>
            </w:pPr>
            <w:r w:rsidRPr="00250FA5">
              <w:rPr>
                <w:rFonts w:eastAsia="Calibri"/>
                <w:sz w:val="20"/>
              </w:rPr>
              <w:t>Net cost to PBS/RPBS</w:t>
            </w:r>
          </w:p>
        </w:tc>
        <w:tc>
          <w:tcPr>
            <w:tcW w:w="611" w:type="pct"/>
            <w:shd w:val="clear" w:color="auto" w:fill="auto"/>
          </w:tcPr>
          <w:p w14:paraId="10D717A1" w14:textId="5A3B8E0D"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c>
          <w:tcPr>
            <w:tcW w:w="611" w:type="pct"/>
            <w:shd w:val="clear" w:color="auto" w:fill="auto"/>
          </w:tcPr>
          <w:p w14:paraId="26B242AC" w14:textId="39C56483"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c>
          <w:tcPr>
            <w:tcW w:w="611" w:type="pct"/>
            <w:shd w:val="clear" w:color="auto" w:fill="auto"/>
          </w:tcPr>
          <w:p w14:paraId="1FB48964" w14:textId="64ADBC9F"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c>
          <w:tcPr>
            <w:tcW w:w="611" w:type="pct"/>
            <w:shd w:val="clear" w:color="auto" w:fill="auto"/>
          </w:tcPr>
          <w:p w14:paraId="6C07910D" w14:textId="782A0117"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c>
          <w:tcPr>
            <w:tcW w:w="611" w:type="pct"/>
            <w:shd w:val="clear" w:color="auto" w:fill="auto"/>
          </w:tcPr>
          <w:p w14:paraId="795483C0" w14:textId="7E78CDAE"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c>
          <w:tcPr>
            <w:tcW w:w="612" w:type="pct"/>
            <w:shd w:val="clear" w:color="auto" w:fill="auto"/>
          </w:tcPr>
          <w:p w14:paraId="3A4F4979" w14:textId="7B779600"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r>
      <w:tr w:rsidR="00316ACA" w:rsidRPr="00250FA5" w14:paraId="7CACD201" w14:textId="77777777" w:rsidTr="00DA1CCA">
        <w:tc>
          <w:tcPr>
            <w:tcW w:w="1333" w:type="pct"/>
            <w:shd w:val="clear" w:color="auto" w:fill="auto"/>
            <w:vAlign w:val="center"/>
          </w:tcPr>
          <w:p w14:paraId="545000C0" w14:textId="77777777" w:rsidR="00316ACA" w:rsidRPr="00250FA5" w:rsidRDefault="00316ACA" w:rsidP="00316ACA">
            <w:pPr>
              <w:keepNext/>
              <w:keepLines/>
              <w:widowControl w:val="0"/>
              <w:spacing w:before="0" w:after="0" w:line="256" w:lineRule="auto"/>
              <w:jc w:val="left"/>
              <w:rPr>
                <w:rFonts w:eastAsia="Calibri"/>
                <w:sz w:val="20"/>
              </w:rPr>
            </w:pPr>
            <w:r w:rsidRPr="00250FA5">
              <w:rPr>
                <w:rFonts w:eastAsia="Calibri"/>
                <w:sz w:val="20"/>
              </w:rPr>
              <w:t>Net cost to PBS/RPBS/MBS</w:t>
            </w:r>
          </w:p>
        </w:tc>
        <w:tc>
          <w:tcPr>
            <w:tcW w:w="611" w:type="pct"/>
            <w:shd w:val="clear" w:color="auto" w:fill="auto"/>
          </w:tcPr>
          <w:p w14:paraId="1C39A18A" w14:textId="7AAB008F"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c>
          <w:tcPr>
            <w:tcW w:w="611" w:type="pct"/>
            <w:shd w:val="clear" w:color="auto" w:fill="auto"/>
          </w:tcPr>
          <w:p w14:paraId="69F6F22A" w14:textId="0D41725A"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c>
          <w:tcPr>
            <w:tcW w:w="611" w:type="pct"/>
            <w:shd w:val="clear" w:color="auto" w:fill="auto"/>
          </w:tcPr>
          <w:p w14:paraId="41B51697" w14:textId="22CC98AD"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c>
          <w:tcPr>
            <w:tcW w:w="611" w:type="pct"/>
            <w:shd w:val="clear" w:color="auto" w:fill="auto"/>
          </w:tcPr>
          <w:p w14:paraId="5B3076D2" w14:textId="1E09DE3F"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c>
          <w:tcPr>
            <w:tcW w:w="611" w:type="pct"/>
            <w:shd w:val="clear" w:color="auto" w:fill="auto"/>
          </w:tcPr>
          <w:p w14:paraId="6D4B3991" w14:textId="7B9FCF9B"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c>
          <w:tcPr>
            <w:tcW w:w="612" w:type="pct"/>
            <w:shd w:val="clear" w:color="auto" w:fill="auto"/>
          </w:tcPr>
          <w:p w14:paraId="79EC635D" w14:textId="3CEC5A68" w:rsidR="00316ACA" w:rsidRPr="00316ACA" w:rsidRDefault="00316ACA" w:rsidP="00316ACA">
            <w:pPr>
              <w:keepNext/>
              <w:keepLines/>
              <w:widowControl w:val="0"/>
              <w:tabs>
                <w:tab w:val="decimal" w:pos="396"/>
              </w:tabs>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5</w:t>
            </w:r>
          </w:p>
        </w:tc>
      </w:tr>
      <w:tr w:rsidR="00250FA5" w:rsidRPr="00250FA5" w14:paraId="0AE0C115" w14:textId="77777777" w:rsidTr="00250FA5">
        <w:tc>
          <w:tcPr>
            <w:tcW w:w="5000" w:type="pct"/>
            <w:gridSpan w:val="7"/>
            <w:shd w:val="clear" w:color="auto" w:fill="auto"/>
            <w:vAlign w:val="center"/>
          </w:tcPr>
          <w:p w14:paraId="0D016DDF" w14:textId="77777777" w:rsidR="00250FA5" w:rsidRPr="00DA1CCA" w:rsidRDefault="00250FA5" w:rsidP="00702B6B">
            <w:pPr>
              <w:keepNext/>
              <w:keepLines/>
              <w:widowControl w:val="0"/>
              <w:spacing w:before="0" w:after="0" w:line="256" w:lineRule="auto"/>
              <w:jc w:val="left"/>
              <w:rPr>
                <w:rFonts w:eastAsia="Calibri"/>
                <w:b/>
                <w:sz w:val="20"/>
              </w:rPr>
            </w:pPr>
            <w:r w:rsidRPr="00DA1CCA">
              <w:rPr>
                <w:rFonts w:eastAsia="Calibri"/>
                <w:b/>
                <w:sz w:val="20"/>
              </w:rPr>
              <w:t>Pre-ESC response</w:t>
            </w:r>
          </w:p>
        </w:tc>
      </w:tr>
      <w:tr w:rsidR="00F42694" w:rsidRPr="00250FA5" w14:paraId="447DCB11" w14:textId="77777777" w:rsidTr="00250FA5">
        <w:tc>
          <w:tcPr>
            <w:tcW w:w="1333" w:type="pct"/>
            <w:shd w:val="clear" w:color="auto" w:fill="auto"/>
            <w:vAlign w:val="center"/>
          </w:tcPr>
          <w:p w14:paraId="6B5BF787" w14:textId="77777777" w:rsidR="00F42694" w:rsidRPr="00250FA5" w:rsidRDefault="00F42694" w:rsidP="00F42694">
            <w:pPr>
              <w:keepNext/>
              <w:keepLines/>
              <w:widowControl w:val="0"/>
              <w:spacing w:before="0" w:after="0" w:line="256" w:lineRule="auto"/>
              <w:jc w:val="left"/>
              <w:rPr>
                <w:rFonts w:eastAsia="Calibri"/>
                <w:sz w:val="20"/>
              </w:rPr>
            </w:pPr>
            <w:r w:rsidRPr="00250FA5">
              <w:rPr>
                <w:rFonts w:eastAsia="Calibri"/>
                <w:sz w:val="20"/>
              </w:rPr>
              <w:t>CPS tests</w:t>
            </w:r>
          </w:p>
        </w:tc>
        <w:tc>
          <w:tcPr>
            <w:tcW w:w="611" w:type="pct"/>
            <w:shd w:val="clear" w:color="auto" w:fill="auto"/>
          </w:tcPr>
          <w:p w14:paraId="4233D906" w14:textId="78D6E623" w:rsidR="00F42694" w:rsidRPr="00316ACA" w:rsidRDefault="00F42694" w:rsidP="00F42694">
            <w:pPr>
              <w:keepNext/>
              <w:keepLines/>
              <w:widowControl w:val="0"/>
              <w:spacing w:before="0" w:after="0" w:line="256" w:lineRule="auto"/>
              <w:jc w:val="center"/>
              <w:rPr>
                <w:rFonts w:eastAsia="Calibri"/>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5A199312" w14:textId="6747C2A6" w:rsidR="00F42694" w:rsidRPr="00316ACA" w:rsidRDefault="00F42694" w:rsidP="00F42694">
            <w:pPr>
              <w:keepNext/>
              <w:keepLines/>
              <w:widowControl w:val="0"/>
              <w:spacing w:before="0" w:after="0" w:line="256" w:lineRule="auto"/>
              <w:jc w:val="center"/>
              <w:rPr>
                <w:rFonts w:eastAsia="Calibri"/>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222BF5DA" w14:textId="470356E9" w:rsidR="00F42694" w:rsidRPr="00316ACA" w:rsidRDefault="00F42694" w:rsidP="00F42694">
            <w:pPr>
              <w:keepNext/>
              <w:keepLines/>
              <w:widowControl w:val="0"/>
              <w:spacing w:before="0" w:after="0" w:line="256" w:lineRule="auto"/>
              <w:jc w:val="center"/>
              <w:rPr>
                <w:rFonts w:eastAsia="Calibri"/>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0B837DA5" w14:textId="662A051B" w:rsidR="00F42694" w:rsidRPr="00316ACA" w:rsidRDefault="00F42694" w:rsidP="00F42694">
            <w:pPr>
              <w:keepNext/>
              <w:keepLines/>
              <w:widowControl w:val="0"/>
              <w:spacing w:before="0" w:after="0" w:line="256" w:lineRule="auto"/>
              <w:jc w:val="center"/>
              <w:rPr>
                <w:rFonts w:eastAsia="Calibri"/>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4E77E76D" w14:textId="7512BC30" w:rsidR="00F42694" w:rsidRPr="00316ACA" w:rsidRDefault="00F42694" w:rsidP="00F42694">
            <w:pPr>
              <w:keepNext/>
              <w:keepLines/>
              <w:widowControl w:val="0"/>
              <w:spacing w:before="0" w:after="0" w:line="256" w:lineRule="auto"/>
              <w:jc w:val="center"/>
              <w:rPr>
                <w:rFonts w:eastAsia="Calibri"/>
                <w:sz w:val="20"/>
              </w:rPr>
            </w:pPr>
            <w:r w:rsidRPr="00316ACA">
              <w:rPr>
                <w:rFonts w:cs="Calibri"/>
                <w:color w:val="000000"/>
                <w:sz w:val="20"/>
              </w:rPr>
              <w:t xml:space="preserve">redacted </w:t>
            </w:r>
            <w:r w:rsidRPr="00316ACA">
              <w:rPr>
                <w:rFonts w:cs="Calibri"/>
                <w:color w:val="000000"/>
                <w:sz w:val="20"/>
                <w:vertAlign w:val="superscript"/>
              </w:rPr>
              <w:t>1</w:t>
            </w:r>
          </w:p>
        </w:tc>
        <w:tc>
          <w:tcPr>
            <w:tcW w:w="612" w:type="pct"/>
          </w:tcPr>
          <w:p w14:paraId="68F61B2F" w14:textId="6ACA8667" w:rsidR="00F42694" w:rsidRPr="00316ACA" w:rsidRDefault="00F42694" w:rsidP="00F42694">
            <w:pPr>
              <w:keepNext/>
              <w:keepLines/>
              <w:widowControl w:val="0"/>
              <w:spacing w:before="0" w:after="0" w:line="256" w:lineRule="auto"/>
              <w:jc w:val="center"/>
              <w:rPr>
                <w:rFonts w:eastAsia="Calibri"/>
                <w:sz w:val="20"/>
              </w:rPr>
            </w:pPr>
            <w:r w:rsidRPr="00316ACA">
              <w:rPr>
                <w:rFonts w:cs="Calibri"/>
                <w:color w:val="000000"/>
                <w:sz w:val="20"/>
              </w:rPr>
              <w:t xml:space="preserve">redacted </w:t>
            </w:r>
            <w:r w:rsidRPr="00316ACA">
              <w:rPr>
                <w:rFonts w:cs="Calibri"/>
                <w:color w:val="000000"/>
                <w:sz w:val="20"/>
                <w:vertAlign w:val="superscript"/>
              </w:rPr>
              <w:t>1</w:t>
            </w:r>
          </w:p>
        </w:tc>
      </w:tr>
      <w:tr w:rsidR="00D37411" w:rsidRPr="00250FA5" w14:paraId="5D1AF660" w14:textId="77777777" w:rsidTr="00250FA5">
        <w:tc>
          <w:tcPr>
            <w:tcW w:w="1333" w:type="pct"/>
            <w:shd w:val="clear" w:color="auto" w:fill="auto"/>
            <w:vAlign w:val="center"/>
          </w:tcPr>
          <w:p w14:paraId="28E421B8"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Cost of CPS testing</w:t>
            </w:r>
          </w:p>
        </w:tc>
        <w:tc>
          <w:tcPr>
            <w:tcW w:w="611" w:type="pct"/>
            <w:shd w:val="clear" w:color="auto" w:fill="auto"/>
          </w:tcPr>
          <w:p w14:paraId="52EE61D1" w14:textId="76931F1E"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1E2B5DD4" w14:textId="051DABED"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00BB4BC3" w14:textId="5E595779"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2C561EBB" w14:textId="247D9586"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7EE5A9D2" w14:textId="00DE03FC"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c>
          <w:tcPr>
            <w:tcW w:w="612" w:type="pct"/>
          </w:tcPr>
          <w:p w14:paraId="4BB0EA57" w14:textId="604B86E7"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r>
      <w:tr w:rsidR="00D37411" w:rsidRPr="00250FA5" w14:paraId="0A986257" w14:textId="77777777" w:rsidTr="00250FA5">
        <w:tc>
          <w:tcPr>
            <w:tcW w:w="1333" w:type="pct"/>
            <w:tcBorders>
              <w:top w:val="single" w:sz="4" w:space="0" w:color="auto"/>
              <w:left w:val="single" w:sz="4" w:space="0" w:color="auto"/>
              <w:bottom w:val="single" w:sz="4" w:space="0" w:color="auto"/>
              <w:right w:val="single" w:sz="4" w:space="0" w:color="auto"/>
            </w:tcBorders>
            <w:vAlign w:val="center"/>
          </w:tcPr>
          <w:p w14:paraId="6E6ABADB"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Pembrolizumab ± chemotherapy administration costs</w:t>
            </w:r>
          </w:p>
        </w:tc>
        <w:tc>
          <w:tcPr>
            <w:tcW w:w="611" w:type="pct"/>
            <w:shd w:val="clear" w:color="auto" w:fill="auto"/>
          </w:tcPr>
          <w:p w14:paraId="0F8F58AD" w14:textId="4C833A23"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094994BB" w14:textId="615A3D6F"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66DB8008" w14:textId="5DF3BAAB"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0DCB924B" w14:textId="6A4D08D0"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55B8037D" w14:textId="2857F379"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c>
          <w:tcPr>
            <w:tcW w:w="612" w:type="pct"/>
          </w:tcPr>
          <w:p w14:paraId="0F6AADC0" w14:textId="51242F9D"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cs="Arial"/>
                <w:sz w:val="20"/>
              </w:rPr>
              <w:t xml:space="preserve">$redacted </w:t>
            </w:r>
            <w:r w:rsidRPr="00316ACA">
              <w:rPr>
                <w:rFonts w:eastAsia="Calibri" w:cs="Arial"/>
                <w:sz w:val="20"/>
                <w:vertAlign w:val="superscript"/>
              </w:rPr>
              <w:t>2</w:t>
            </w:r>
          </w:p>
        </w:tc>
      </w:tr>
      <w:tr w:rsidR="00D37411" w:rsidRPr="00250FA5" w14:paraId="1DAFB333" w14:textId="77777777" w:rsidTr="00250FA5">
        <w:tc>
          <w:tcPr>
            <w:tcW w:w="1333" w:type="pct"/>
            <w:tcBorders>
              <w:top w:val="single" w:sz="4" w:space="0" w:color="auto"/>
              <w:left w:val="single" w:sz="4" w:space="0" w:color="auto"/>
              <w:bottom w:val="single" w:sz="4" w:space="0" w:color="auto"/>
              <w:right w:val="single" w:sz="4" w:space="0" w:color="auto"/>
            </w:tcBorders>
            <w:vAlign w:val="center"/>
          </w:tcPr>
          <w:p w14:paraId="130150F1"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Administration costs offset</w:t>
            </w:r>
          </w:p>
        </w:tc>
        <w:tc>
          <w:tcPr>
            <w:tcW w:w="611" w:type="pct"/>
            <w:shd w:val="clear" w:color="auto" w:fill="auto"/>
          </w:tcPr>
          <w:p w14:paraId="348ADCE8" w14:textId="74437EE3"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4E498254" w14:textId="5C67B709"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7519A661" w14:textId="11E5B5C1"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7410DD95" w14:textId="347A6CA7"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46119131" w14:textId="57A71DB4"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2" w:type="pct"/>
          </w:tcPr>
          <w:p w14:paraId="2AFBEC94" w14:textId="412B76D4"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r>
      <w:tr w:rsidR="00D37411" w:rsidRPr="00250FA5" w14:paraId="65D680FE" w14:textId="77777777" w:rsidTr="00250FA5">
        <w:tc>
          <w:tcPr>
            <w:tcW w:w="1333" w:type="pct"/>
            <w:shd w:val="clear" w:color="auto" w:fill="auto"/>
          </w:tcPr>
          <w:p w14:paraId="787A5F4D"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 xml:space="preserve">Net administration cost </w:t>
            </w:r>
          </w:p>
        </w:tc>
        <w:tc>
          <w:tcPr>
            <w:tcW w:w="611" w:type="pct"/>
            <w:shd w:val="clear" w:color="auto" w:fill="auto"/>
          </w:tcPr>
          <w:p w14:paraId="09A6FA85" w14:textId="3B7A8732"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65E5895F" w14:textId="66A15D62"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31D3DF2C" w14:textId="578858BC"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282576C6" w14:textId="24C0FFDC"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404A50F6" w14:textId="1B24736A"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2" w:type="pct"/>
          </w:tcPr>
          <w:p w14:paraId="7E10CEB2" w14:textId="606C70D7"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r>
      <w:tr w:rsidR="00D37411" w:rsidRPr="00250FA5" w14:paraId="1F65D0C2" w14:textId="77777777" w:rsidTr="00250FA5">
        <w:tc>
          <w:tcPr>
            <w:tcW w:w="1333" w:type="pct"/>
            <w:shd w:val="clear" w:color="auto" w:fill="auto"/>
            <w:vAlign w:val="center"/>
          </w:tcPr>
          <w:p w14:paraId="711F73B3"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 xml:space="preserve">Net cost to MBS </w:t>
            </w:r>
            <w:r w:rsidRPr="00250FA5">
              <w:rPr>
                <w:rFonts w:eastAsia="Calibri"/>
                <w:sz w:val="20"/>
                <w:vertAlign w:val="superscript"/>
              </w:rPr>
              <w:t>c</w:t>
            </w:r>
          </w:p>
        </w:tc>
        <w:tc>
          <w:tcPr>
            <w:tcW w:w="611" w:type="pct"/>
            <w:shd w:val="clear" w:color="auto" w:fill="auto"/>
          </w:tcPr>
          <w:p w14:paraId="5EA69BA7" w14:textId="3B31BEF3"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38AE38CD" w14:textId="7E7737C1"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0EC5CFDE" w14:textId="3EA2F241"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55C41E63" w14:textId="0C348D4B"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5FCE9248" w14:textId="571D3C61"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c>
          <w:tcPr>
            <w:tcW w:w="612" w:type="pct"/>
          </w:tcPr>
          <w:p w14:paraId="12CEB797" w14:textId="17A22FAE" w:rsidR="00D37411" w:rsidRPr="00316ACA" w:rsidRDefault="00D37411" w:rsidP="00D37411">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3</w:t>
            </w:r>
          </w:p>
        </w:tc>
      </w:tr>
      <w:tr w:rsidR="005E3CA7" w:rsidRPr="00250FA5" w14:paraId="4273EF0A" w14:textId="77777777" w:rsidTr="00250FA5">
        <w:tc>
          <w:tcPr>
            <w:tcW w:w="1333" w:type="pct"/>
            <w:shd w:val="clear" w:color="auto" w:fill="auto"/>
            <w:vAlign w:val="center"/>
          </w:tcPr>
          <w:p w14:paraId="20065F19" w14:textId="77777777" w:rsidR="005E3CA7" w:rsidRPr="00250FA5" w:rsidRDefault="005E3CA7" w:rsidP="005E3CA7">
            <w:pPr>
              <w:keepNext/>
              <w:keepLines/>
              <w:widowControl w:val="0"/>
              <w:spacing w:before="0" w:after="0" w:line="256" w:lineRule="auto"/>
              <w:jc w:val="left"/>
              <w:rPr>
                <w:rFonts w:eastAsia="Calibri"/>
                <w:sz w:val="20"/>
              </w:rPr>
            </w:pPr>
            <w:r w:rsidRPr="00250FA5">
              <w:rPr>
                <w:rFonts w:eastAsia="Calibri"/>
                <w:sz w:val="20"/>
              </w:rPr>
              <w:t>Net cost to PBS/RPBS</w:t>
            </w:r>
          </w:p>
        </w:tc>
        <w:tc>
          <w:tcPr>
            <w:tcW w:w="611" w:type="pct"/>
            <w:shd w:val="clear" w:color="auto" w:fill="auto"/>
          </w:tcPr>
          <w:p w14:paraId="2F7AF389" w14:textId="440BE2E7" w:rsidR="005E3CA7" w:rsidRPr="00316ACA" w:rsidRDefault="005E3CA7" w:rsidP="005E3CA7">
            <w:pPr>
              <w:keepNext/>
              <w:keepLines/>
              <w:widowControl w:val="0"/>
              <w:spacing w:before="0" w:after="0" w:line="256" w:lineRule="auto"/>
              <w:jc w:val="center"/>
              <w:rPr>
                <w:rFonts w:eastAsia="Calibri" w:cs="Arial"/>
                <w:color w:val="000000"/>
                <w:sz w:val="20"/>
                <w:vertAlign w:val="superscript"/>
              </w:rPr>
            </w:pPr>
            <w:r w:rsidRPr="00316ACA">
              <w:rPr>
                <w:rFonts w:eastAsia="Calibri"/>
                <w:sz w:val="20"/>
              </w:rPr>
              <w:t xml:space="preserve">$redacted </w:t>
            </w:r>
            <w:r w:rsidRPr="00316ACA">
              <w:rPr>
                <w:rFonts w:eastAsia="Calibri"/>
                <w:sz w:val="20"/>
                <w:vertAlign w:val="superscript"/>
              </w:rPr>
              <w:t>4</w:t>
            </w:r>
          </w:p>
        </w:tc>
        <w:tc>
          <w:tcPr>
            <w:tcW w:w="611" w:type="pct"/>
            <w:shd w:val="clear" w:color="auto" w:fill="auto"/>
          </w:tcPr>
          <w:p w14:paraId="1ADDA41E" w14:textId="170C96B5" w:rsidR="005E3CA7" w:rsidRPr="00316ACA" w:rsidRDefault="005E3CA7" w:rsidP="005E3CA7">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 xml:space="preserve">5 </w:t>
            </w:r>
          </w:p>
        </w:tc>
        <w:tc>
          <w:tcPr>
            <w:tcW w:w="611" w:type="pct"/>
            <w:shd w:val="clear" w:color="auto" w:fill="auto"/>
          </w:tcPr>
          <w:p w14:paraId="43EDC21A" w14:textId="58FE489D" w:rsidR="005E3CA7" w:rsidRPr="00316ACA" w:rsidRDefault="005E3CA7" w:rsidP="005E3CA7">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 xml:space="preserve">5 </w:t>
            </w:r>
          </w:p>
        </w:tc>
        <w:tc>
          <w:tcPr>
            <w:tcW w:w="611" w:type="pct"/>
            <w:shd w:val="clear" w:color="auto" w:fill="auto"/>
          </w:tcPr>
          <w:p w14:paraId="133C49EC" w14:textId="2E3484FB" w:rsidR="005E3CA7" w:rsidRPr="00316ACA" w:rsidRDefault="005E3CA7" w:rsidP="005E3CA7">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 xml:space="preserve">5 </w:t>
            </w:r>
          </w:p>
        </w:tc>
        <w:tc>
          <w:tcPr>
            <w:tcW w:w="611" w:type="pct"/>
            <w:shd w:val="clear" w:color="auto" w:fill="auto"/>
          </w:tcPr>
          <w:p w14:paraId="0AEC9A7C" w14:textId="2FDE51C6" w:rsidR="005E3CA7" w:rsidRPr="00316ACA" w:rsidRDefault="005E3CA7" w:rsidP="005E3CA7">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 xml:space="preserve">5 </w:t>
            </w:r>
          </w:p>
        </w:tc>
        <w:tc>
          <w:tcPr>
            <w:tcW w:w="612" w:type="pct"/>
          </w:tcPr>
          <w:p w14:paraId="31EF3FEB" w14:textId="7EF3E26E" w:rsidR="005E3CA7" w:rsidRPr="00316ACA" w:rsidRDefault="005E3CA7" w:rsidP="005E3CA7">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 xml:space="preserve">5 </w:t>
            </w:r>
          </w:p>
        </w:tc>
      </w:tr>
      <w:tr w:rsidR="005E3CA7" w:rsidRPr="00250FA5" w14:paraId="5D076439" w14:textId="77777777" w:rsidTr="00250FA5">
        <w:tc>
          <w:tcPr>
            <w:tcW w:w="1333" w:type="pct"/>
            <w:shd w:val="clear" w:color="auto" w:fill="auto"/>
            <w:vAlign w:val="center"/>
          </w:tcPr>
          <w:p w14:paraId="74A63636" w14:textId="77777777" w:rsidR="005E3CA7" w:rsidRPr="00250FA5" w:rsidRDefault="005E3CA7" w:rsidP="005E3CA7">
            <w:pPr>
              <w:keepNext/>
              <w:keepLines/>
              <w:widowControl w:val="0"/>
              <w:spacing w:before="0" w:after="0" w:line="256" w:lineRule="auto"/>
              <w:jc w:val="left"/>
              <w:rPr>
                <w:rFonts w:eastAsia="Calibri"/>
                <w:sz w:val="20"/>
              </w:rPr>
            </w:pPr>
            <w:r w:rsidRPr="00250FA5">
              <w:rPr>
                <w:rFonts w:eastAsia="Calibri"/>
                <w:sz w:val="20"/>
              </w:rPr>
              <w:t>Net cost to PBS/RPBS/MBS</w:t>
            </w:r>
          </w:p>
        </w:tc>
        <w:tc>
          <w:tcPr>
            <w:tcW w:w="611" w:type="pct"/>
            <w:shd w:val="clear" w:color="auto" w:fill="auto"/>
          </w:tcPr>
          <w:p w14:paraId="277A9ED1" w14:textId="6D429D6E" w:rsidR="005E3CA7" w:rsidRPr="00316ACA" w:rsidRDefault="005E3CA7" w:rsidP="005E3CA7">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4</w:t>
            </w:r>
          </w:p>
        </w:tc>
        <w:tc>
          <w:tcPr>
            <w:tcW w:w="611" w:type="pct"/>
            <w:shd w:val="clear" w:color="auto" w:fill="auto"/>
          </w:tcPr>
          <w:p w14:paraId="262B92AA" w14:textId="2F9E6E63" w:rsidR="005E3CA7" w:rsidRPr="00316ACA" w:rsidRDefault="005E3CA7" w:rsidP="005E3CA7">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 xml:space="preserve">5 </w:t>
            </w:r>
          </w:p>
        </w:tc>
        <w:tc>
          <w:tcPr>
            <w:tcW w:w="611" w:type="pct"/>
            <w:shd w:val="clear" w:color="auto" w:fill="auto"/>
          </w:tcPr>
          <w:p w14:paraId="70A65C52" w14:textId="6BFD9551" w:rsidR="005E3CA7" w:rsidRPr="00316ACA" w:rsidRDefault="005E3CA7" w:rsidP="005E3CA7">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 xml:space="preserve">5 </w:t>
            </w:r>
          </w:p>
        </w:tc>
        <w:tc>
          <w:tcPr>
            <w:tcW w:w="611" w:type="pct"/>
            <w:shd w:val="clear" w:color="auto" w:fill="auto"/>
          </w:tcPr>
          <w:p w14:paraId="3930AA74" w14:textId="7A563DF5" w:rsidR="005E3CA7" w:rsidRPr="00316ACA" w:rsidRDefault="005E3CA7" w:rsidP="005E3CA7">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 xml:space="preserve">5 </w:t>
            </w:r>
          </w:p>
        </w:tc>
        <w:tc>
          <w:tcPr>
            <w:tcW w:w="611" w:type="pct"/>
            <w:shd w:val="clear" w:color="auto" w:fill="auto"/>
          </w:tcPr>
          <w:p w14:paraId="1B07F6F0" w14:textId="5993D1D2" w:rsidR="005E3CA7" w:rsidRPr="00316ACA" w:rsidRDefault="005E3CA7" w:rsidP="005E3CA7">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 xml:space="preserve">5 </w:t>
            </w:r>
          </w:p>
        </w:tc>
        <w:tc>
          <w:tcPr>
            <w:tcW w:w="612" w:type="pct"/>
          </w:tcPr>
          <w:p w14:paraId="1B992404" w14:textId="16E53BD6" w:rsidR="005E3CA7" w:rsidRPr="00316ACA" w:rsidRDefault="005E3CA7" w:rsidP="005E3CA7">
            <w:pPr>
              <w:keepNext/>
              <w:keepLines/>
              <w:widowControl w:val="0"/>
              <w:spacing w:before="0" w:after="0" w:line="256" w:lineRule="auto"/>
              <w:jc w:val="center"/>
              <w:rPr>
                <w:rFonts w:eastAsia="Calibri" w:cs="Arial"/>
                <w:color w:val="000000"/>
                <w:sz w:val="20"/>
              </w:rPr>
            </w:pPr>
            <w:r w:rsidRPr="00316ACA">
              <w:rPr>
                <w:rFonts w:eastAsia="Calibri"/>
                <w:sz w:val="20"/>
              </w:rPr>
              <w:t xml:space="preserve">$redacted </w:t>
            </w:r>
            <w:r w:rsidRPr="00316ACA">
              <w:rPr>
                <w:rFonts w:eastAsia="Calibri"/>
                <w:sz w:val="20"/>
                <w:vertAlign w:val="superscript"/>
              </w:rPr>
              <w:t xml:space="preserve">5 </w:t>
            </w:r>
          </w:p>
        </w:tc>
      </w:tr>
      <w:tr w:rsidR="00250FA5" w:rsidRPr="00250FA5" w14:paraId="3EDB90EE" w14:textId="77777777" w:rsidTr="00250FA5">
        <w:tc>
          <w:tcPr>
            <w:tcW w:w="5000" w:type="pct"/>
            <w:gridSpan w:val="7"/>
            <w:shd w:val="clear" w:color="auto" w:fill="auto"/>
            <w:vAlign w:val="center"/>
          </w:tcPr>
          <w:p w14:paraId="7F9CD670" w14:textId="77777777" w:rsidR="00250FA5" w:rsidRPr="00DA1CCA" w:rsidRDefault="00250FA5" w:rsidP="00702B6B">
            <w:pPr>
              <w:keepNext/>
              <w:keepLines/>
              <w:widowControl w:val="0"/>
              <w:spacing w:before="0" w:after="0" w:line="256" w:lineRule="auto"/>
              <w:jc w:val="left"/>
              <w:rPr>
                <w:rFonts w:eastAsia="Calibri" w:cs="Arial"/>
                <w:b/>
                <w:i/>
                <w:iCs/>
                <w:sz w:val="20"/>
                <w:highlight w:val="yellow"/>
              </w:rPr>
            </w:pPr>
            <w:r w:rsidRPr="00DA1CCA">
              <w:rPr>
                <w:rFonts w:eastAsia="Calibri"/>
                <w:b/>
                <w:sz w:val="20"/>
              </w:rPr>
              <w:t>November 2020 submission</w:t>
            </w:r>
          </w:p>
        </w:tc>
      </w:tr>
      <w:tr w:rsidR="00F42694" w:rsidRPr="00250FA5" w14:paraId="2B25598A" w14:textId="77777777" w:rsidTr="00DA1CCA">
        <w:tc>
          <w:tcPr>
            <w:tcW w:w="1333" w:type="pct"/>
            <w:shd w:val="clear" w:color="auto" w:fill="auto"/>
            <w:vAlign w:val="center"/>
          </w:tcPr>
          <w:p w14:paraId="0853D940" w14:textId="77777777" w:rsidR="00F42694" w:rsidRPr="00250FA5" w:rsidRDefault="00F42694" w:rsidP="00F42694">
            <w:pPr>
              <w:keepNext/>
              <w:keepLines/>
              <w:widowControl w:val="0"/>
              <w:spacing w:before="0" w:after="0" w:line="256" w:lineRule="auto"/>
              <w:jc w:val="left"/>
              <w:rPr>
                <w:rFonts w:eastAsia="Calibri"/>
                <w:sz w:val="20"/>
              </w:rPr>
            </w:pPr>
            <w:r w:rsidRPr="00250FA5">
              <w:rPr>
                <w:rFonts w:eastAsia="Calibri"/>
                <w:sz w:val="20"/>
              </w:rPr>
              <w:t xml:space="preserve">Projected SCC </w:t>
            </w:r>
          </w:p>
        </w:tc>
        <w:tc>
          <w:tcPr>
            <w:tcW w:w="611" w:type="pct"/>
            <w:shd w:val="clear" w:color="auto" w:fill="auto"/>
          </w:tcPr>
          <w:p w14:paraId="13C2171D" w14:textId="73352C59"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17FD631E" w14:textId="59F34798"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6ED0367C" w14:textId="650E7665"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44C722EA" w14:textId="76E0FB45"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26934C31" w14:textId="30148C90"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c>
          <w:tcPr>
            <w:tcW w:w="612" w:type="pct"/>
          </w:tcPr>
          <w:p w14:paraId="7BDEBDD4" w14:textId="1F614BF4"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r>
      <w:tr w:rsidR="00F42694" w:rsidRPr="00250FA5" w14:paraId="45F4425E" w14:textId="77777777" w:rsidTr="00250FA5">
        <w:tc>
          <w:tcPr>
            <w:tcW w:w="1333" w:type="pct"/>
            <w:shd w:val="clear" w:color="auto" w:fill="auto"/>
            <w:vAlign w:val="center"/>
          </w:tcPr>
          <w:p w14:paraId="52E8CFC9" w14:textId="77777777" w:rsidR="00F42694" w:rsidRPr="00250FA5" w:rsidRDefault="00F42694" w:rsidP="00F42694">
            <w:pPr>
              <w:keepNext/>
              <w:keepLines/>
              <w:widowControl w:val="0"/>
              <w:spacing w:before="0" w:after="0" w:line="256" w:lineRule="auto"/>
              <w:jc w:val="left"/>
              <w:rPr>
                <w:rFonts w:eastAsia="Calibri"/>
                <w:sz w:val="20"/>
              </w:rPr>
            </w:pPr>
            <w:r w:rsidRPr="00250FA5">
              <w:rPr>
                <w:rFonts w:eastAsia="Calibri"/>
                <w:sz w:val="20"/>
              </w:rPr>
              <w:t>R/M HNSCC (CPS tests)</w:t>
            </w:r>
          </w:p>
        </w:tc>
        <w:tc>
          <w:tcPr>
            <w:tcW w:w="611" w:type="pct"/>
            <w:shd w:val="clear" w:color="auto" w:fill="auto"/>
          </w:tcPr>
          <w:p w14:paraId="487824E4" w14:textId="6240EEC1"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442C149F" w14:textId="701449F7"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6A1FF0C6" w14:textId="55667021"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6664D40A" w14:textId="55E8954D"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c>
          <w:tcPr>
            <w:tcW w:w="611" w:type="pct"/>
            <w:shd w:val="clear" w:color="auto" w:fill="auto"/>
          </w:tcPr>
          <w:p w14:paraId="452763FE" w14:textId="56B499B7"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c>
          <w:tcPr>
            <w:tcW w:w="612" w:type="pct"/>
          </w:tcPr>
          <w:p w14:paraId="1333D161" w14:textId="6979ED26" w:rsidR="00F42694" w:rsidRPr="00316ACA" w:rsidRDefault="00F42694" w:rsidP="00F42694">
            <w:pPr>
              <w:keepNext/>
              <w:keepLines/>
              <w:widowControl w:val="0"/>
              <w:spacing w:before="0" w:after="0" w:line="256" w:lineRule="auto"/>
              <w:jc w:val="center"/>
              <w:rPr>
                <w:rFonts w:eastAsia="Calibri" w:cs="Arial"/>
                <w:sz w:val="20"/>
              </w:rPr>
            </w:pPr>
            <w:r w:rsidRPr="00316ACA">
              <w:rPr>
                <w:rFonts w:cs="Calibri"/>
                <w:color w:val="000000"/>
                <w:sz w:val="20"/>
              </w:rPr>
              <w:t xml:space="preserve">redacted </w:t>
            </w:r>
            <w:r w:rsidRPr="00316ACA">
              <w:rPr>
                <w:rFonts w:cs="Calibri"/>
                <w:color w:val="000000"/>
                <w:sz w:val="20"/>
                <w:vertAlign w:val="superscript"/>
              </w:rPr>
              <w:t>1</w:t>
            </w:r>
          </w:p>
        </w:tc>
      </w:tr>
      <w:tr w:rsidR="00D37411" w:rsidRPr="00250FA5" w14:paraId="6F6E9384" w14:textId="77777777" w:rsidTr="00DA1CCA">
        <w:tc>
          <w:tcPr>
            <w:tcW w:w="1333" w:type="pct"/>
            <w:shd w:val="clear" w:color="auto" w:fill="auto"/>
            <w:vAlign w:val="center"/>
          </w:tcPr>
          <w:p w14:paraId="46A2D89B"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Cost of CPS testing</w:t>
            </w:r>
          </w:p>
        </w:tc>
        <w:tc>
          <w:tcPr>
            <w:tcW w:w="611" w:type="pct"/>
            <w:shd w:val="clear" w:color="auto" w:fill="auto"/>
          </w:tcPr>
          <w:p w14:paraId="705C7E95" w14:textId="058BCBAF"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277116E3" w14:textId="5F11BC3C"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3887C693" w14:textId="466F2476"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4BD9D383" w14:textId="30D69477"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7E9427D2" w14:textId="330A6BA7"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2" w:type="pct"/>
          </w:tcPr>
          <w:p w14:paraId="14C89E53" w14:textId="31D0B804"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r>
      <w:tr w:rsidR="00D37411" w:rsidRPr="00250FA5" w14:paraId="1D5C8F05" w14:textId="77777777" w:rsidTr="00DA1CCA">
        <w:tc>
          <w:tcPr>
            <w:tcW w:w="1333" w:type="pct"/>
            <w:tcBorders>
              <w:top w:val="single" w:sz="4" w:space="0" w:color="auto"/>
              <w:left w:val="single" w:sz="4" w:space="0" w:color="auto"/>
              <w:bottom w:val="single" w:sz="4" w:space="0" w:color="auto"/>
              <w:right w:val="single" w:sz="4" w:space="0" w:color="auto"/>
            </w:tcBorders>
            <w:vAlign w:val="center"/>
          </w:tcPr>
          <w:p w14:paraId="001E2618"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Pembrolizumab ± chemotherapy administration costs</w:t>
            </w:r>
          </w:p>
        </w:tc>
        <w:tc>
          <w:tcPr>
            <w:tcW w:w="611" w:type="pct"/>
            <w:shd w:val="clear" w:color="auto" w:fill="auto"/>
          </w:tcPr>
          <w:p w14:paraId="1FA81301" w14:textId="2CAA95B7"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0DEDCE42" w14:textId="273E4C7F"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770E6103" w14:textId="1C0974C3"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7DACA247" w14:textId="31D12167"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62DA771A" w14:textId="3EFB279D"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2" w:type="pct"/>
          </w:tcPr>
          <w:p w14:paraId="7217FD47" w14:textId="442B788B"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r>
      <w:tr w:rsidR="00D37411" w:rsidRPr="00250FA5" w14:paraId="6C3F74A2" w14:textId="77777777" w:rsidTr="00DA1CCA">
        <w:tc>
          <w:tcPr>
            <w:tcW w:w="1333" w:type="pct"/>
            <w:tcBorders>
              <w:top w:val="single" w:sz="4" w:space="0" w:color="auto"/>
              <w:left w:val="single" w:sz="4" w:space="0" w:color="auto"/>
              <w:bottom w:val="single" w:sz="4" w:space="0" w:color="auto"/>
              <w:right w:val="single" w:sz="4" w:space="0" w:color="auto"/>
            </w:tcBorders>
            <w:vAlign w:val="center"/>
          </w:tcPr>
          <w:p w14:paraId="02E780F8"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Administration costs offset</w:t>
            </w:r>
          </w:p>
        </w:tc>
        <w:tc>
          <w:tcPr>
            <w:tcW w:w="611" w:type="pct"/>
            <w:shd w:val="clear" w:color="auto" w:fill="auto"/>
          </w:tcPr>
          <w:p w14:paraId="064B6EE2" w14:textId="6F958584"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16E97DD8" w14:textId="56300945"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168D723F" w14:textId="0BE080B3"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4B649A9D" w14:textId="3EB60455"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1" w:type="pct"/>
            <w:shd w:val="clear" w:color="auto" w:fill="auto"/>
          </w:tcPr>
          <w:p w14:paraId="6D8C524F" w14:textId="67D0F849"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c>
          <w:tcPr>
            <w:tcW w:w="612" w:type="pct"/>
          </w:tcPr>
          <w:p w14:paraId="3B3E9DFB" w14:textId="56D1E654"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cs="Arial"/>
                <w:sz w:val="20"/>
              </w:rPr>
              <w:t xml:space="preserve">$redacted </w:t>
            </w:r>
            <w:r w:rsidRPr="00316ACA">
              <w:rPr>
                <w:rFonts w:eastAsia="Calibri" w:cs="Arial"/>
                <w:sz w:val="20"/>
                <w:vertAlign w:val="superscript"/>
              </w:rPr>
              <w:t>2</w:t>
            </w:r>
          </w:p>
        </w:tc>
      </w:tr>
      <w:tr w:rsidR="00D37411" w:rsidRPr="00250FA5" w14:paraId="5116673C" w14:textId="77777777" w:rsidTr="00DA1CCA">
        <w:tc>
          <w:tcPr>
            <w:tcW w:w="1333" w:type="pct"/>
            <w:shd w:val="clear" w:color="auto" w:fill="auto"/>
          </w:tcPr>
          <w:p w14:paraId="596A4B82"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 xml:space="preserve">Net administration cost </w:t>
            </w:r>
          </w:p>
        </w:tc>
        <w:tc>
          <w:tcPr>
            <w:tcW w:w="611" w:type="pct"/>
            <w:shd w:val="clear" w:color="auto" w:fill="auto"/>
          </w:tcPr>
          <w:p w14:paraId="5DDFA05A" w14:textId="139CCE17"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67178CA3" w14:textId="019B1550"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0D7B314B" w14:textId="358D4015"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4A1EC930" w14:textId="06E02AF1"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1A190018" w14:textId="60DC1F2A"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c>
          <w:tcPr>
            <w:tcW w:w="612" w:type="pct"/>
          </w:tcPr>
          <w:p w14:paraId="4C256166" w14:textId="77A47043"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r>
      <w:tr w:rsidR="00D37411" w:rsidRPr="00250FA5" w14:paraId="367F93D6" w14:textId="77777777" w:rsidTr="00DA1CCA">
        <w:tc>
          <w:tcPr>
            <w:tcW w:w="1333" w:type="pct"/>
            <w:shd w:val="clear" w:color="auto" w:fill="auto"/>
          </w:tcPr>
          <w:p w14:paraId="63835930" w14:textId="77777777" w:rsidR="00D37411" w:rsidRPr="00250FA5" w:rsidRDefault="00D37411" w:rsidP="00D37411">
            <w:pPr>
              <w:keepNext/>
              <w:keepLines/>
              <w:widowControl w:val="0"/>
              <w:spacing w:before="0" w:after="0" w:line="256" w:lineRule="auto"/>
              <w:jc w:val="left"/>
              <w:rPr>
                <w:rFonts w:eastAsia="Calibri"/>
                <w:sz w:val="20"/>
              </w:rPr>
            </w:pPr>
            <w:r w:rsidRPr="00250FA5">
              <w:rPr>
                <w:rFonts w:eastAsia="Calibri"/>
                <w:sz w:val="20"/>
              </w:rPr>
              <w:t>Net cost to MBS</w:t>
            </w:r>
          </w:p>
        </w:tc>
        <w:tc>
          <w:tcPr>
            <w:tcW w:w="611" w:type="pct"/>
            <w:shd w:val="clear" w:color="auto" w:fill="auto"/>
          </w:tcPr>
          <w:p w14:paraId="410171F6" w14:textId="3C1DE732"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6F7DB6F1" w14:textId="623B3AD6"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44E02DD1" w14:textId="154CFD22"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674A84EA" w14:textId="4597CF94"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c>
          <w:tcPr>
            <w:tcW w:w="611" w:type="pct"/>
            <w:shd w:val="clear" w:color="auto" w:fill="auto"/>
          </w:tcPr>
          <w:p w14:paraId="30D9E49E" w14:textId="6C032C84"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c>
          <w:tcPr>
            <w:tcW w:w="612" w:type="pct"/>
          </w:tcPr>
          <w:p w14:paraId="3224528C" w14:textId="50CFB64B" w:rsidR="00D37411" w:rsidRPr="00316ACA" w:rsidRDefault="00D37411" w:rsidP="00D37411">
            <w:pPr>
              <w:keepNext/>
              <w:keepLines/>
              <w:widowControl w:val="0"/>
              <w:spacing w:before="0" w:after="0" w:line="256" w:lineRule="auto"/>
              <w:jc w:val="center"/>
              <w:rPr>
                <w:rFonts w:eastAsia="Calibri" w:cs="Arial"/>
                <w:sz w:val="20"/>
              </w:rPr>
            </w:pPr>
            <w:r w:rsidRPr="00316ACA">
              <w:rPr>
                <w:rFonts w:eastAsia="Calibri"/>
                <w:sz w:val="20"/>
              </w:rPr>
              <w:t xml:space="preserve">$redacted </w:t>
            </w:r>
            <w:r w:rsidRPr="00316ACA">
              <w:rPr>
                <w:rFonts w:eastAsia="Calibri"/>
                <w:sz w:val="20"/>
                <w:vertAlign w:val="superscript"/>
              </w:rPr>
              <w:t>3</w:t>
            </w:r>
          </w:p>
        </w:tc>
      </w:tr>
    </w:tbl>
    <w:p w14:paraId="57573D73" w14:textId="77777777" w:rsidR="00250FA5" w:rsidRPr="00250FA5" w:rsidRDefault="00250FA5" w:rsidP="00702B6B">
      <w:pPr>
        <w:keepNext/>
        <w:keepLines/>
        <w:widowControl w:val="0"/>
        <w:tabs>
          <w:tab w:val="left" w:pos="284"/>
        </w:tabs>
        <w:spacing w:before="0" w:after="240"/>
        <w:ind w:left="284" w:hanging="284"/>
        <w:contextualSpacing/>
        <w:rPr>
          <w:rFonts w:ascii="Arial Narrow" w:eastAsia="Times New Roman" w:hAnsi="Arial Narrow" w:cs="Arial"/>
          <w:bCs/>
          <w:snapToGrid w:val="0"/>
          <w:sz w:val="18"/>
          <w:szCs w:val="18"/>
        </w:rPr>
      </w:pPr>
      <w:r w:rsidRPr="00250FA5">
        <w:rPr>
          <w:rFonts w:ascii="Arial Narrow" w:eastAsia="Times New Roman" w:hAnsi="Arial Narrow" w:cs="Arial"/>
          <w:snapToGrid w:val="0"/>
          <w:sz w:val="18"/>
          <w:szCs w:val="20"/>
          <w:vertAlign w:val="superscript"/>
        </w:rPr>
        <w:t>a</w:t>
      </w:r>
      <w:r w:rsidRPr="00250FA5">
        <w:rPr>
          <w:rFonts w:ascii="Arial Narrow" w:eastAsia="Times New Roman" w:hAnsi="Arial Narrow" w:cs="Arial"/>
          <w:snapToGrid w:val="0"/>
          <w:sz w:val="18"/>
          <w:szCs w:val="20"/>
        </w:rPr>
        <w:tab/>
      </w:r>
      <w:r w:rsidRPr="00250FA5">
        <w:rPr>
          <w:rFonts w:ascii="Arial Narrow" w:eastAsia="Times New Roman" w:hAnsi="Arial Narrow" w:cs="Arial"/>
          <w:bCs/>
          <w:snapToGrid w:val="0"/>
          <w:sz w:val="18"/>
          <w:szCs w:val="18"/>
        </w:rPr>
        <w:t>Resubmission erroneously applied cost of PD-L1 testing only to patients treated with pembrolizumab instead of all patients diagnosed with R/M HNSCC. Number of patients with R/M HNSCC crudely estimated by taking number of patients treated with pembrolizumab divided by the prevalence of CPS ≥1 (80%) and the uptake rate (85%). Cost of CPS testing= $59.60 × number of patients with R/M HNSCC.</w:t>
      </w:r>
    </w:p>
    <w:p w14:paraId="48DD5445" w14:textId="77777777" w:rsidR="00250FA5" w:rsidRPr="00250FA5" w:rsidRDefault="00250FA5" w:rsidP="00702B6B">
      <w:pPr>
        <w:keepNext/>
        <w:keepLines/>
        <w:widowControl w:val="0"/>
        <w:tabs>
          <w:tab w:val="left" w:pos="284"/>
        </w:tabs>
        <w:spacing w:before="0" w:after="240"/>
        <w:ind w:left="284" w:hanging="284"/>
        <w:contextualSpacing/>
        <w:rPr>
          <w:rFonts w:ascii="Arial Narrow" w:eastAsia="Times New Roman" w:hAnsi="Arial Narrow" w:cs="Arial"/>
          <w:snapToGrid w:val="0"/>
          <w:sz w:val="18"/>
          <w:szCs w:val="20"/>
        </w:rPr>
      </w:pPr>
      <w:r w:rsidRPr="00250FA5">
        <w:rPr>
          <w:rFonts w:ascii="Arial Narrow" w:eastAsia="Times New Roman" w:hAnsi="Arial Narrow" w:cs="Arial"/>
          <w:bCs/>
          <w:snapToGrid w:val="0"/>
          <w:sz w:val="18"/>
          <w:szCs w:val="18"/>
          <w:vertAlign w:val="superscript"/>
        </w:rPr>
        <w:t xml:space="preserve">b </w:t>
      </w:r>
      <w:r w:rsidRPr="00250FA5">
        <w:rPr>
          <w:rFonts w:ascii="Arial Narrow" w:eastAsia="Times New Roman" w:hAnsi="Arial Narrow" w:cs="Arial"/>
          <w:snapToGrid w:val="0"/>
          <w:sz w:val="18"/>
          <w:szCs w:val="20"/>
        </w:rPr>
        <w:tab/>
        <w:t>Resubmission erroneously assumed that for each patient treated with pembrolizumab, the offset administration costs would be 26 services per patient for nivolumab and 17.33 services per patient for chemotherapy, which exceeds the number of doses assumed (12.05 for nivolumab and 9.17 for chemotherapy, respectively). This was corrected during evaluation by changing the basis of delivery (cell L254:L255) in Sheet 7 to ‘per script’ and number of services per script (cell N254) to 1 (cell N255 should remain as 0). This is consistent with the method of estimating injections in the pembrolizumab arm.</w:t>
      </w:r>
    </w:p>
    <w:p w14:paraId="6DF6BFB1" w14:textId="77777777" w:rsidR="00250FA5" w:rsidRPr="00250FA5" w:rsidRDefault="00250FA5" w:rsidP="00702B6B">
      <w:pPr>
        <w:keepNext/>
        <w:keepLines/>
        <w:widowControl w:val="0"/>
        <w:tabs>
          <w:tab w:val="left" w:pos="284"/>
        </w:tabs>
        <w:spacing w:before="0" w:after="240"/>
        <w:ind w:left="284" w:hanging="284"/>
        <w:contextualSpacing/>
        <w:rPr>
          <w:rFonts w:ascii="Arial Narrow" w:eastAsia="Times New Roman" w:hAnsi="Arial Narrow" w:cs="Arial"/>
          <w:snapToGrid w:val="0"/>
          <w:sz w:val="18"/>
          <w:szCs w:val="20"/>
        </w:rPr>
      </w:pPr>
      <w:r w:rsidRPr="00250FA5">
        <w:rPr>
          <w:rFonts w:ascii="Arial Narrow" w:eastAsia="Times New Roman" w:hAnsi="Arial Narrow" w:cs="Arial"/>
          <w:snapToGrid w:val="0"/>
          <w:sz w:val="18"/>
          <w:szCs w:val="20"/>
          <w:vertAlign w:val="superscript"/>
        </w:rPr>
        <w:t>c</w:t>
      </w:r>
      <w:r w:rsidRPr="00250FA5">
        <w:rPr>
          <w:rFonts w:ascii="Arial Narrow" w:eastAsia="Times New Roman" w:hAnsi="Arial Narrow" w:cs="Arial"/>
          <w:snapToGrid w:val="0"/>
          <w:sz w:val="18"/>
          <w:szCs w:val="20"/>
        </w:rPr>
        <w:tab/>
        <w:t>PD-L1 test and cost of administration for pembrolizumab minus cost of SoC administration</w:t>
      </w:r>
    </w:p>
    <w:p w14:paraId="2E24E755" w14:textId="09A73C48" w:rsidR="00250FA5" w:rsidRDefault="00250FA5" w:rsidP="00316ACA">
      <w:pPr>
        <w:widowControl w:val="0"/>
        <w:spacing w:before="0" w:after="0"/>
        <w:contextualSpacing/>
        <w:rPr>
          <w:rFonts w:ascii="Arial Narrow" w:eastAsia="Times New Roman" w:hAnsi="Arial Narrow" w:cs="Arial"/>
          <w:snapToGrid w:val="0"/>
          <w:sz w:val="18"/>
          <w:szCs w:val="20"/>
        </w:rPr>
      </w:pPr>
      <w:r w:rsidRPr="00250FA5">
        <w:rPr>
          <w:rFonts w:ascii="Arial Narrow" w:eastAsia="Times New Roman" w:hAnsi="Arial Narrow" w:cs="Arial"/>
          <w:snapToGrid w:val="0"/>
          <w:sz w:val="18"/>
          <w:szCs w:val="20"/>
        </w:rPr>
        <w:t>Source: Table MSAC.19, p32 of the commentary; Tables 4.3.1 to 4.4.1, pp222-223 of the commentary; Table MSAC.16, p28 of the previous commentary; and extracted from the pre-ESC response financial estimates spreadsheet.</w:t>
      </w:r>
    </w:p>
    <w:p w14:paraId="2200D52B" w14:textId="77777777" w:rsidR="00D37411" w:rsidRPr="00316ACA" w:rsidRDefault="00D37411" w:rsidP="00D37411">
      <w:pPr>
        <w:pStyle w:val="TableFigureFooter"/>
        <w:keepNext/>
        <w:spacing w:after="0"/>
        <w:rPr>
          <w:i/>
        </w:rPr>
      </w:pPr>
      <w:r w:rsidRPr="00316ACA">
        <w:rPr>
          <w:i/>
        </w:rPr>
        <w:t>The redacted values correspond to the following ranges:</w:t>
      </w:r>
    </w:p>
    <w:p w14:paraId="14FE8E31" w14:textId="1FBD0CB6" w:rsidR="00D37411" w:rsidRPr="00316ACA" w:rsidRDefault="00D37411" w:rsidP="00D37411">
      <w:pPr>
        <w:pStyle w:val="TableFigureFooter"/>
        <w:keepNext/>
        <w:spacing w:after="0"/>
        <w:rPr>
          <w:i/>
          <w:szCs w:val="18"/>
        </w:rPr>
      </w:pPr>
      <w:r w:rsidRPr="00316ACA">
        <w:rPr>
          <w:i/>
          <w:szCs w:val="18"/>
          <w:vertAlign w:val="superscript"/>
        </w:rPr>
        <w:t>1</w:t>
      </w:r>
      <w:r w:rsidRPr="00316ACA">
        <w:rPr>
          <w:i/>
          <w:szCs w:val="18"/>
        </w:rPr>
        <w:t xml:space="preserve"> 500 &lt;5,000</w:t>
      </w:r>
    </w:p>
    <w:p w14:paraId="329D75F7" w14:textId="303C6EE7" w:rsidR="00D37411" w:rsidRPr="00316ACA" w:rsidRDefault="00D37411" w:rsidP="00D37411">
      <w:pPr>
        <w:pStyle w:val="TableFigureFooter"/>
        <w:keepNext/>
        <w:spacing w:after="0"/>
        <w:rPr>
          <w:i/>
          <w:szCs w:val="18"/>
        </w:rPr>
      </w:pPr>
      <w:r w:rsidRPr="00316ACA">
        <w:rPr>
          <w:i/>
          <w:szCs w:val="18"/>
          <w:vertAlign w:val="superscript"/>
        </w:rPr>
        <w:t xml:space="preserve">2 </w:t>
      </w:r>
      <w:r w:rsidRPr="00316ACA">
        <w:rPr>
          <w:i/>
          <w:szCs w:val="18"/>
        </w:rPr>
        <w:t>$0 to &lt; $10 million</w:t>
      </w:r>
    </w:p>
    <w:p w14:paraId="6FC04D27" w14:textId="10D220B1" w:rsidR="00D37411" w:rsidRPr="00316ACA" w:rsidRDefault="00D37411" w:rsidP="005E3CA7">
      <w:pPr>
        <w:pStyle w:val="TableFigureFooter"/>
        <w:keepNext/>
        <w:spacing w:after="0"/>
        <w:rPr>
          <w:i/>
          <w:szCs w:val="18"/>
        </w:rPr>
      </w:pPr>
      <w:r w:rsidRPr="00316ACA">
        <w:rPr>
          <w:i/>
          <w:szCs w:val="18"/>
          <w:vertAlign w:val="superscript"/>
        </w:rPr>
        <w:t>3</w:t>
      </w:r>
      <w:r w:rsidRPr="00316ACA">
        <w:rPr>
          <w:i/>
          <w:szCs w:val="18"/>
        </w:rPr>
        <w:t xml:space="preserve"> Net cost savings</w:t>
      </w:r>
    </w:p>
    <w:p w14:paraId="683CCFF5" w14:textId="1CA02F02" w:rsidR="005E3CA7" w:rsidRPr="00316ACA" w:rsidRDefault="005E3CA7" w:rsidP="005E3CA7">
      <w:pPr>
        <w:pStyle w:val="TableFigureFooter"/>
        <w:keepNext/>
        <w:spacing w:after="0"/>
        <w:rPr>
          <w:i/>
          <w:szCs w:val="18"/>
        </w:rPr>
      </w:pPr>
      <w:r w:rsidRPr="00316ACA">
        <w:rPr>
          <w:i/>
          <w:szCs w:val="18"/>
          <w:vertAlign w:val="superscript"/>
        </w:rPr>
        <w:t xml:space="preserve">4 </w:t>
      </w:r>
      <w:r w:rsidRPr="00316ACA">
        <w:rPr>
          <w:i/>
          <w:szCs w:val="18"/>
        </w:rPr>
        <w:t>$20 million to &lt; $30 million</w:t>
      </w:r>
    </w:p>
    <w:p w14:paraId="48382B2E" w14:textId="7C0BAF91" w:rsidR="005E3CA7" w:rsidRPr="00316ACA" w:rsidRDefault="005E3CA7" w:rsidP="005E3CA7">
      <w:pPr>
        <w:pStyle w:val="TableFigureFooter"/>
        <w:keepNext/>
        <w:spacing w:after="0"/>
        <w:rPr>
          <w:i/>
          <w:szCs w:val="18"/>
        </w:rPr>
      </w:pPr>
      <w:r w:rsidRPr="00316ACA">
        <w:rPr>
          <w:i/>
          <w:szCs w:val="18"/>
          <w:vertAlign w:val="superscript"/>
        </w:rPr>
        <w:t>5</w:t>
      </w:r>
      <w:r w:rsidRPr="00316ACA">
        <w:rPr>
          <w:i/>
          <w:szCs w:val="18"/>
        </w:rPr>
        <w:t xml:space="preserve"> $10 million to &lt; $20 million</w:t>
      </w:r>
    </w:p>
    <w:p w14:paraId="675B40EA" w14:textId="77777777" w:rsidR="00316ACA" w:rsidRPr="005E3CA7" w:rsidRDefault="00316ACA" w:rsidP="005E3CA7">
      <w:pPr>
        <w:pStyle w:val="TableFigureFooter"/>
        <w:keepNext/>
        <w:spacing w:after="0"/>
      </w:pPr>
    </w:p>
    <w:p w14:paraId="58CB6F6F" w14:textId="31B45C5F"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net cost to the MBS of listing the PD-L1 test was cost saving, as found in the previous submission. Cost of CPS testing was less in the resubmission was lower than in the previous submission due to a lower proportion of patients projected to access PD-L1 testing. The net cost saving to the MBS was lower in the pre-ESC response.</w:t>
      </w:r>
    </w:p>
    <w:p w14:paraId="0F7EE113" w14:textId="3D848B7E"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The commentary considered main uncertainty with the financial estimates relate to the estimated usage of chemotherapy and its duration of use, as well the frequency of nivolumab administration and the expected number of doses used which may have resulted in the estimated cost offsets being overestimated in the resubmission.</w:t>
      </w:r>
      <w:r w:rsidR="000E29E0">
        <w:rPr>
          <w:rFonts w:ascii="Times New Roman" w:eastAsia="Calibri" w:hAnsi="Times New Roman" w:cs="Times New Roman"/>
        </w:rPr>
        <w:t xml:space="preserve"> MBS item </w:t>
      </w:r>
      <w:r w:rsidR="000E29E0" w:rsidRPr="000E29E0">
        <w:rPr>
          <w:rFonts w:ascii="Times New Roman" w:eastAsia="Calibri" w:hAnsi="Times New Roman" w:cs="Times New Roman"/>
        </w:rPr>
        <w:t>13950</w:t>
      </w:r>
      <w:r w:rsidR="000E29E0">
        <w:rPr>
          <w:rFonts w:ascii="Times New Roman" w:eastAsia="Calibri" w:hAnsi="Times New Roman" w:cs="Times New Roman"/>
        </w:rPr>
        <w:t xml:space="preserve"> for chemotherapy administration is for p</w:t>
      </w:r>
      <w:r w:rsidR="000E29E0" w:rsidRPr="000E29E0">
        <w:rPr>
          <w:rFonts w:ascii="Times New Roman" w:eastAsia="Calibri" w:hAnsi="Times New Roman" w:cs="Times New Roman"/>
        </w:rPr>
        <w:t>arenteral administration of one or more antineoplastic agents for one or more episodes of administration</w:t>
      </w:r>
      <w:r w:rsidR="000E29E0">
        <w:rPr>
          <w:rFonts w:ascii="Times New Roman" w:eastAsia="Calibri" w:hAnsi="Times New Roman" w:cs="Times New Roman"/>
        </w:rPr>
        <w:t xml:space="preserve">. The explanatory notes state that </w:t>
      </w:r>
      <w:r w:rsidR="000E29E0" w:rsidRPr="000E29E0">
        <w:rPr>
          <w:rFonts w:ascii="Times New Roman" w:eastAsia="Calibri" w:hAnsi="Times New Roman" w:cs="Times New Roman"/>
        </w:rPr>
        <w:t>whilst it is not expected that there would be multiple claims for item 13950 on the one day, there are clinical instances where this might occur. In these circumstances, the medical practitioner will need to assure themselves that these instances represent separate and distinctly relevant services</w:t>
      </w:r>
      <w:r w:rsidR="000E29E0">
        <w:rPr>
          <w:rFonts w:ascii="Times New Roman" w:eastAsia="Calibri" w:hAnsi="Times New Roman" w:cs="Times New Roman"/>
        </w:rPr>
        <w:t>.</w:t>
      </w:r>
    </w:p>
    <w:p w14:paraId="118D5106" w14:textId="6B59FE7A" w:rsidR="00250FA5" w:rsidRPr="00250FA5" w:rsidRDefault="00250FA5" w:rsidP="00250FA5">
      <w:pPr>
        <w:spacing w:before="0" w:after="240"/>
        <w:jc w:val="left"/>
        <w:rPr>
          <w:rFonts w:ascii="Times New Roman" w:eastAsia="Calibri" w:hAnsi="Times New Roman" w:cs="Times New Roman"/>
        </w:rPr>
      </w:pPr>
      <w:r w:rsidRPr="00250FA5">
        <w:rPr>
          <w:rFonts w:ascii="Times New Roman" w:eastAsia="Calibri" w:hAnsi="Times New Roman" w:cs="Times New Roman"/>
        </w:rPr>
        <w:t xml:space="preserve">The commentary highlighted that the financial estimates applied an administration cost to each prescription of pembrolizumab, cisplatin, carboplatin or 5-FU in pembrolizumab arm. Further, the commentary highlighted </w:t>
      </w:r>
      <w:bookmarkStart w:id="29" w:name="_Hlk83811647"/>
      <w:r w:rsidRPr="00250FA5">
        <w:rPr>
          <w:rFonts w:ascii="Times New Roman" w:eastAsia="Calibri" w:hAnsi="Times New Roman" w:cs="Times New Roman"/>
        </w:rPr>
        <w:t>that the financial estimates assumed 43.33 (26 for nivolumab, 17.33 for chemotherapies) administrations per patient treated with pembrolizumab would be offset. This was corrected in the commentary to 12.05 for nivolumab and 9.17 for chemotherapy, respectively. The commentary noted this cost offset was applied to all patients rather than 50% of patients estimated to use nivolumab.</w:t>
      </w:r>
      <w:bookmarkEnd w:id="29"/>
    </w:p>
    <w:p w14:paraId="756A12B7" w14:textId="1B839590" w:rsidR="00250FA5" w:rsidRPr="00250FA5" w:rsidRDefault="00250FA5" w:rsidP="00250FA5">
      <w:pPr>
        <w:spacing w:before="0" w:after="240"/>
        <w:jc w:val="left"/>
        <w:rPr>
          <w:rFonts w:ascii="Times New Roman" w:eastAsia="Calibri" w:hAnsi="Times New Roman" w:cs="Times New Roman"/>
          <w:i/>
          <w:iCs/>
        </w:rPr>
      </w:pPr>
      <w:r w:rsidRPr="00250FA5">
        <w:rPr>
          <w:rFonts w:ascii="Times New Roman" w:eastAsia="Calibri" w:hAnsi="Times New Roman" w:cs="Times New Roman"/>
        </w:rPr>
        <w:t>The commentary noted that assuming nivolumab was administered every four weeks (as in the previous submission) instead of every two weeks (as in the resubmission) decreased the net savings to MBS by 36%.</w:t>
      </w:r>
    </w:p>
    <w:p w14:paraId="0A21B9B8" w14:textId="63EBD5C7" w:rsidR="007141D5" w:rsidRPr="005702F6" w:rsidRDefault="007141D5" w:rsidP="00530E8C">
      <w:pPr>
        <w:pStyle w:val="Heading1"/>
        <w:numPr>
          <w:ilvl w:val="0"/>
          <w:numId w:val="69"/>
        </w:numPr>
        <w:tabs>
          <w:tab w:val="clear" w:pos="1080"/>
        </w:tabs>
        <w:spacing w:before="240" w:after="240" w:line="240" w:lineRule="auto"/>
        <w:ind w:left="720"/>
        <w:rPr>
          <w:rFonts w:ascii="Arial" w:hAnsi="Arial" w:cs="Arial"/>
          <w:bCs/>
          <w:sz w:val="24"/>
          <w:lang w:eastAsia="en-AU"/>
        </w:rPr>
      </w:pPr>
      <w:bookmarkStart w:id="30" w:name="_Toc79607704"/>
      <w:bookmarkStart w:id="31" w:name="_Toc81727542"/>
      <w:bookmarkStart w:id="32" w:name="_Toc82600091"/>
      <w:r w:rsidRPr="005702F6">
        <w:rPr>
          <w:rFonts w:ascii="Arial" w:hAnsi="Arial" w:cs="Arial"/>
          <w:bCs/>
          <w:sz w:val="24"/>
          <w:lang w:eastAsia="en-AU"/>
        </w:rPr>
        <w:t>Key issues from ESCs to MSAC</w:t>
      </w:r>
    </w:p>
    <w:tbl>
      <w:tblPr>
        <w:tblStyle w:val="TableGridbeth1"/>
        <w:tblW w:w="0" w:type="auto"/>
        <w:tblLook w:val="04A0" w:firstRow="1" w:lastRow="0" w:firstColumn="1" w:lastColumn="0" w:noHBand="0" w:noVBand="1"/>
      </w:tblPr>
      <w:tblGrid>
        <w:gridCol w:w="2235"/>
        <w:gridCol w:w="6781"/>
      </w:tblGrid>
      <w:tr w:rsidR="007141D5" w:rsidRPr="00250FA5" w14:paraId="4D987F8A" w14:textId="77777777" w:rsidTr="007141D5">
        <w:trPr>
          <w:cantSplit/>
        </w:trPr>
        <w:tc>
          <w:tcPr>
            <w:tcW w:w="2235" w:type="dxa"/>
          </w:tcPr>
          <w:p w14:paraId="53EBAD6F" w14:textId="77777777" w:rsidR="007141D5" w:rsidRPr="003A0C85" w:rsidRDefault="007141D5" w:rsidP="00530E8C">
            <w:pPr>
              <w:keepNext/>
              <w:keepLines/>
              <w:spacing w:before="40" w:after="40"/>
              <w:jc w:val="left"/>
              <w:rPr>
                <w:rFonts w:ascii="Times New Roman" w:eastAsia="Times New Roman" w:hAnsi="Times New Roman" w:cs="Times New Roman"/>
                <w:b/>
                <w:bCs/>
                <w:noProof/>
                <w:sz w:val="22"/>
                <w:lang w:eastAsia="en-AU"/>
              </w:rPr>
            </w:pPr>
            <w:r w:rsidRPr="003A0C85">
              <w:rPr>
                <w:rFonts w:ascii="Times New Roman" w:eastAsia="Times New Roman" w:hAnsi="Times New Roman" w:cs="Times New Roman"/>
                <w:b/>
                <w:bCs/>
                <w:noProof/>
                <w:sz w:val="22"/>
                <w:lang w:eastAsia="en-AU"/>
              </w:rPr>
              <w:t>ESC</w:t>
            </w:r>
            <w:r>
              <w:rPr>
                <w:rFonts w:ascii="Times New Roman" w:eastAsia="Times New Roman" w:hAnsi="Times New Roman" w:cs="Times New Roman"/>
                <w:b/>
                <w:bCs/>
                <w:noProof/>
                <w:sz w:val="22"/>
                <w:lang w:eastAsia="en-AU"/>
              </w:rPr>
              <w:t>s</w:t>
            </w:r>
            <w:r w:rsidRPr="003A0C85">
              <w:rPr>
                <w:rFonts w:ascii="Times New Roman" w:eastAsia="Times New Roman" w:hAnsi="Times New Roman" w:cs="Times New Roman"/>
                <w:b/>
                <w:bCs/>
                <w:noProof/>
                <w:sz w:val="22"/>
                <w:lang w:eastAsia="en-AU"/>
              </w:rPr>
              <w:t xml:space="preserve"> key issue</w:t>
            </w:r>
          </w:p>
        </w:tc>
        <w:tc>
          <w:tcPr>
            <w:tcW w:w="6781" w:type="dxa"/>
          </w:tcPr>
          <w:p w14:paraId="136966C6" w14:textId="77777777" w:rsidR="007141D5" w:rsidRPr="003A0C85" w:rsidRDefault="007141D5" w:rsidP="00530E8C">
            <w:pPr>
              <w:keepNext/>
              <w:keepLines/>
              <w:spacing w:before="40" w:after="40"/>
              <w:jc w:val="left"/>
              <w:rPr>
                <w:rFonts w:ascii="Times New Roman" w:eastAsia="Times New Roman" w:hAnsi="Times New Roman" w:cs="Times New Roman"/>
                <w:b/>
                <w:bCs/>
                <w:noProof/>
                <w:sz w:val="22"/>
                <w:lang w:eastAsia="en-AU"/>
              </w:rPr>
            </w:pPr>
            <w:r w:rsidRPr="003A0C85">
              <w:rPr>
                <w:rFonts w:ascii="Times New Roman" w:eastAsia="Times New Roman" w:hAnsi="Times New Roman" w:cs="Times New Roman"/>
                <w:b/>
                <w:bCs/>
                <w:noProof/>
                <w:sz w:val="22"/>
                <w:lang w:eastAsia="en-AU"/>
              </w:rPr>
              <w:t>ESC</w:t>
            </w:r>
            <w:r>
              <w:rPr>
                <w:rFonts w:ascii="Times New Roman" w:eastAsia="Times New Roman" w:hAnsi="Times New Roman" w:cs="Times New Roman"/>
                <w:b/>
                <w:bCs/>
                <w:noProof/>
                <w:sz w:val="22"/>
                <w:lang w:eastAsia="en-AU"/>
              </w:rPr>
              <w:t>s</w:t>
            </w:r>
            <w:r w:rsidRPr="003A0C85">
              <w:rPr>
                <w:rFonts w:ascii="Times New Roman" w:eastAsia="Times New Roman" w:hAnsi="Times New Roman" w:cs="Times New Roman"/>
                <w:b/>
                <w:bCs/>
                <w:noProof/>
                <w:sz w:val="22"/>
                <w:lang w:eastAsia="en-AU"/>
              </w:rPr>
              <w:t xml:space="preserve"> advice to MSAC</w:t>
            </w:r>
          </w:p>
        </w:tc>
      </w:tr>
      <w:tr w:rsidR="007141D5" w:rsidRPr="00250FA5" w14:paraId="1A7C6FC7" w14:textId="77777777" w:rsidTr="007141D5">
        <w:trPr>
          <w:cantSplit/>
        </w:trPr>
        <w:tc>
          <w:tcPr>
            <w:tcW w:w="2235" w:type="dxa"/>
          </w:tcPr>
          <w:p w14:paraId="6E61A127" w14:textId="77777777" w:rsidR="007141D5" w:rsidRPr="003A0C85" w:rsidRDefault="007141D5" w:rsidP="007141D5">
            <w:pPr>
              <w:spacing w:before="40" w:after="40" w:line="256" w:lineRule="auto"/>
              <w:jc w:val="left"/>
              <w:rPr>
                <w:rFonts w:ascii="Arial Narrow" w:eastAsia="Calibri" w:hAnsi="Arial Narrow" w:cs="Times New Roman"/>
                <w:sz w:val="20"/>
              </w:rPr>
            </w:pPr>
            <w:r w:rsidRPr="003A0C85">
              <w:rPr>
                <w:rFonts w:ascii="Arial Narrow" w:eastAsia="Calibri" w:hAnsi="Arial Narrow" w:cs="Times New Roman"/>
                <w:sz w:val="20"/>
              </w:rPr>
              <w:t xml:space="preserve">Rationale for </w:t>
            </w:r>
            <w:proofErr w:type="spellStart"/>
            <w:r w:rsidRPr="003A0C85">
              <w:rPr>
                <w:rFonts w:ascii="Arial Narrow" w:eastAsia="Calibri" w:hAnsi="Arial Narrow" w:cs="Times New Roman"/>
                <w:sz w:val="20"/>
              </w:rPr>
              <w:t>codependency</w:t>
            </w:r>
            <w:proofErr w:type="spellEnd"/>
          </w:p>
        </w:tc>
        <w:tc>
          <w:tcPr>
            <w:tcW w:w="6781" w:type="dxa"/>
          </w:tcPr>
          <w:p w14:paraId="32705512" w14:textId="77777777" w:rsidR="007141D5" w:rsidRPr="003A0C85" w:rsidRDefault="007141D5" w:rsidP="007141D5">
            <w:pPr>
              <w:spacing w:before="40" w:after="40" w:line="256" w:lineRule="auto"/>
              <w:jc w:val="left"/>
              <w:rPr>
                <w:rFonts w:ascii="Arial Narrow" w:eastAsia="Calibri" w:hAnsi="Arial Narrow" w:cs="Times New Roman"/>
                <w:sz w:val="20"/>
                <w:lang w:val="en-US"/>
              </w:rPr>
            </w:pPr>
            <w:r w:rsidRPr="003A0C85">
              <w:rPr>
                <w:rFonts w:ascii="Arial Narrow" w:eastAsia="Calibri" w:hAnsi="Arial Narrow" w:cs="Times New Roman"/>
                <w:sz w:val="20"/>
                <w:lang w:val="en-US"/>
              </w:rPr>
              <w:t xml:space="preserve">The ESCs considered the rationale for codependency remained weak for PD-L1 expression (CPS ≥1) identifying patients who would benefit </w:t>
            </w:r>
            <w:r>
              <w:rPr>
                <w:rFonts w:ascii="Arial Narrow" w:eastAsia="Calibri" w:hAnsi="Arial Narrow" w:cs="Times New Roman"/>
                <w:sz w:val="20"/>
                <w:lang w:val="en-US"/>
              </w:rPr>
              <w:t xml:space="preserve">differently </w:t>
            </w:r>
            <w:r w:rsidRPr="003A0C85">
              <w:rPr>
                <w:rFonts w:ascii="Arial Narrow" w:eastAsia="Calibri" w:hAnsi="Arial Narrow" w:cs="Times New Roman"/>
                <w:sz w:val="20"/>
                <w:lang w:val="en-US"/>
              </w:rPr>
              <w:t>from pembrolizumab either as monotherapy or in combination with chemotherapy. The resubmission presented tests for interaction to support the predictive value of CPS testing using updated data from the Keynote-048 trial. The ESCs considered the</w:t>
            </w:r>
            <w:r w:rsidRPr="003A0C85">
              <w:rPr>
                <w:rFonts w:ascii="Arial Narrow" w:eastAsia="Calibri" w:hAnsi="Arial Narrow" w:cs="Times New Roman"/>
                <w:sz w:val="20"/>
              </w:rPr>
              <w:t xml:space="preserve"> </w:t>
            </w:r>
            <w:r w:rsidRPr="003A0C85">
              <w:rPr>
                <w:rFonts w:ascii="Arial Narrow" w:eastAsia="Calibri" w:hAnsi="Arial Narrow" w:cs="Times New Roman"/>
                <w:sz w:val="20"/>
                <w:lang w:val="en-US"/>
              </w:rPr>
              <w:t>results of the KN048 trial were difficult to interpret and queried their reliability due to the change in PD-L1 measurement (from TPS to CPS), changes to primary and secondary outcomes, updates to the statistical methods, and the complex multiplicity strategy</w:t>
            </w:r>
            <w:r>
              <w:rPr>
                <w:rFonts w:ascii="Arial Narrow" w:eastAsia="Calibri" w:hAnsi="Arial Narrow" w:cs="Times New Roman"/>
                <w:sz w:val="20"/>
                <w:lang w:val="en-US"/>
              </w:rPr>
              <w:t xml:space="preserve"> in both the statistical plan and the subsequent analyses</w:t>
            </w:r>
            <w:r w:rsidRPr="003A0C85">
              <w:rPr>
                <w:rFonts w:ascii="Arial Narrow" w:eastAsia="Calibri" w:hAnsi="Arial Narrow" w:cs="Times New Roman"/>
                <w:sz w:val="20"/>
                <w:lang w:val="en-US"/>
              </w:rPr>
              <w:t>. The ESCs considered the pre-ESC response’s request to limit pembrolizumab monotherapy to patients with CPS</w:t>
            </w:r>
            <w:r>
              <w:rPr>
                <w:rFonts w:ascii="Arial Narrow" w:eastAsia="Calibri" w:hAnsi="Arial Narrow" w:cs="Times New Roman"/>
                <w:sz w:val="20"/>
                <w:lang w:val="en-US"/>
              </w:rPr>
              <w:t xml:space="preserve"> </w:t>
            </w:r>
            <w:r w:rsidRPr="003A0C85">
              <w:rPr>
                <w:rFonts w:ascii="Arial Narrow" w:eastAsia="Calibri" w:hAnsi="Arial Narrow" w:cs="Times New Roman"/>
                <w:sz w:val="20"/>
                <w:lang w:val="en-US"/>
              </w:rPr>
              <w:t xml:space="preserve">≥20 did not strengthen the </w:t>
            </w:r>
            <w:r>
              <w:rPr>
                <w:rFonts w:ascii="Arial Narrow" w:eastAsia="Calibri" w:hAnsi="Arial Narrow" w:cs="Times New Roman"/>
                <w:sz w:val="20"/>
                <w:lang w:val="en-US"/>
              </w:rPr>
              <w:t xml:space="preserve">biological basis of the </w:t>
            </w:r>
            <w:r w:rsidRPr="003A0C85">
              <w:rPr>
                <w:rFonts w:ascii="Arial Narrow" w:eastAsia="Calibri" w:hAnsi="Arial Narrow" w:cs="Times New Roman"/>
                <w:sz w:val="20"/>
                <w:lang w:val="en-US"/>
              </w:rPr>
              <w:t>claim of codependency.</w:t>
            </w:r>
          </w:p>
        </w:tc>
      </w:tr>
      <w:tr w:rsidR="007141D5" w:rsidRPr="00250FA5" w14:paraId="2C8C2CFC" w14:textId="77777777" w:rsidTr="007141D5">
        <w:trPr>
          <w:cantSplit/>
        </w:trPr>
        <w:tc>
          <w:tcPr>
            <w:tcW w:w="2235" w:type="dxa"/>
          </w:tcPr>
          <w:p w14:paraId="32D8EFC6" w14:textId="77777777" w:rsidR="007141D5" w:rsidRPr="003A0C85" w:rsidRDefault="007141D5" w:rsidP="007141D5">
            <w:pPr>
              <w:spacing w:before="40" w:after="40" w:line="256" w:lineRule="auto"/>
              <w:jc w:val="left"/>
              <w:rPr>
                <w:rFonts w:ascii="Arial Narrow" w:eastAsia="Calibri" w:hAnsi="Arial Narrow" w:cs="Times New Roman"/>
                <w:sz w:val="20"/>
              </w:rPr>
            </w:pPr>
            <w:r w:rsidRPr="003A0C85">
              <w:rPr>
                <w:rFonts w:ascii="Arial Narrow" w:eastAsia="Calibri" w:hAnsi="Arial Narrow" w:cs="Times New Roman"/>
                <w:sz w:val="20"/>
              </w:rPr>
              <w:t>Variability of PD-L1 classification</w:t>
            </w:r>
          </w:p>
        </w:tc>
        <w:tc>
          <w:tcPr>
            <w:tcW w:w="6781" w:type="dxa"/>
          </w:tcPr>
          <w:p w14:paraId="47734789" w14:textId="77777777" w:rsidR="007141D5" w:rsidRPr="003A0C85" w:rsidRDefault="007141D5" w:rsidP="007141D5">
            <w:pPr>
              <w:spacing w:before="40" w:after="40" w:line="256" w:lineRule="auto"/>
              <w:jc w:val="left"/>
              <w:rPr>
                <w:rFonts w:ascii="Arial Narrow" w:eastAsia="Calibri" w:hAnsi="Arial Narrow" w:cs="Times New Roman"/>
                <w:sz w:val="20"/>
                <w:lang w:val="en-US"/>
              </w:rPr>
            </w:pPr>
            <w:r w:rsidRPr="003A0C85">
              <w:rPr>
                <w:rFonts w:ascii="Arial Narrow" w:eastAsia="Calibri" w:hAnsi="Arial Narrow" w:cs="Times New Roman"/>
                <w:sz w:val="20"/>
                <w:lang w:val="en-US"/>
              </w:rPr>
              <w:t xml:space="preserve">The ESCs considered there </w:t>
            </w:r>
            <w:r>
              <w:rPr>
                <w:rFonts w:ascii="Arial Narrow" w:eastAsia="Calibri" w:hAnsi="Arial Narrow" w:cs="Times New Roman"/>
                <w:sz w:val="20"/>
                <w:lang w:val="en-US"/>
              </w:rPr>
              <w:t xml:space="preserve">is </w:t>
            </w:r>
            <w:r w:rsidRPr="003A0C85">
              <w:rPr>
                <w:rFonts w:ascii="Arial Narrow" w:eastAsia="Calibri" w:hAnsi="Arial Narrow" w:cs="Times New Roman"/>
                <w:sz w:val="20"/>
                <w:lang w:val="en-US"/>
              </w:rPr>
              <w:t xml:space="preserve">uncertainty around whether patients with CPS ≥1 can be distinguished from patients with CPS &lt;1 with a high degree of reproducibility. </w:t>
            </w:r>
            <w:bookmarkStart w:id="33" w:name="_Hlk85017024"/>
            <w:r w:rsidRPr="003A0C85">
              <w:rPr>
                <w:rFonts w:ascii="Arial Narrow" w:eastAsia="Calibri" w:hAnsi="Arial Narrow" w:cs="Times New Roman"/>
                <w:sz w:val="20"/>
                <w:lang w:val="en-US"/>
              </w:rPr>
              <w:t xml:space="preserve">This was supported by data from the pathologist training program where there was substantial discordance in pathologists’ classification of two samples that had a consensus CPS score of zero. </w:t>
            </w:r>
            <w:r>
              <w:rPr>
                <w:rFonts w:ascii="Arial Narrow" w:eastAsia="Calibri" w:hAnsi="Arial Narrow" w:cs="Times New Roman"/>
                <w:sz w:val="20"/>
                <w:lang w:val="en-US"/>
              </w:rPr>
              <w:t xml:space="preserve">There may also be </w:t>
            </w:r>
            <w:r w:rsidRPr="003A0C85">
              <w:rPr>
                <w:rFonts w:ascii="Arial Narrow" w:eastAsia="Calibri" w:hAnsi="Arial Narrow" w:cs="Times New Roman"/>
                <w:sz w:val="20"/>
                <w:lang w:val="en-US"/>
              </w:rPr>
              <w:t>uncertainty around whether patients with CPS ≥</w:t>
            </w:r>
            <w:r>
              <w:rPr>
                <w:rFonts w:ascii="Arial Narrow" w:eastAsia="Calibri" w:hAnsi="Arial Narrow" w:cs="Times New Roman"/>
                <w:sz w:val="20"/>
                <w:lang w:val="en-US"/>
              </w:rPr>
              <w:t>20</w:t>
            </w:r>
            <w:r w:rsidRPr="003A0C85">
              <w:rPr>
                <w:rFonts w:ascii="Arial Narrow" w:eastAsia="Calibri" w:hAnsi="Arial Narrow" w:cs="Times New Roman"/>
                <w:sz w:val="20"/>
                <w:lang w:val="en-US"/>
              </w:rPr>
              <w:t xml:space="preserve"> can be distinguished from patients with CPS &lt;</w:t>
            </w:r>
            <w:r>
              <w:rPr>
                <w:rFonts w:ascii="Arial Narrow" w:eastAsia="Calibri" w:hAnsi="Arial Narrow" w:cs="Times New Roman"/>
                <w:sz w:val="20"/>
                <w:lang w:val="en-US"/>
              </w:rPr>
              <w:t>20</w:t>
            </w:r>
            <w:r w:rsidRPr="003A0C85">
              <w:rPr>
                <w:rFonts w:ascii="Arial Narrow" w:eastAsia="Calibri" w:hAnsi="Arial Narrow" w:cs="Times New Roman"/>
                <w:sz w:val="20"/>
                <w:lang w:val="en-US"/>
              </w:rPr>
              <w:t xml:space="preserve"> with a high degree of reproducibility.</w:t>
            </w:r>
            <w:r>
              <w:rPr>
                <w:rFonts w:ascii="Arial Narrow" w:eastAsia="Calibri" w:hAnsi="Arial Narrow" w:cs="Times New Roman"/>
                <w:sz w:val="20"/>
                <w:lang w:val="en-US"/>
              </w:rPr>
              <w:t xml:space="preserve"> </w:t>
            </w:r>
            <w:bookmarkEnd w:id="33"/>
            <w:r w:rsidRPr="003A0C85">
              <w:rPr>
                <w:rFonts w:ascii="Arial Narrow" w:eastAsia="Calibri" w:hAnsi="Arial Narrow" w:cs="Times New Roman"/>
                <w:sz w:val="20"/>
                <w:lang w:val="en-US"/>
              </w:rPr>
              <w:t xml:space="preserve">The ESCs also noted there may be some heterogeneity </w:t>
            </w:r>
            <w:r>
              <w:rPr>
                <w:rFonts w:ascii="Arial Narrow" w:eastAsia="Calibri" w:hAnsi="Arial Narrow" w:cs="Times New Roman"/>
                <w:sz w:val="20"/>
                <w:lang w:val="en-US"/>
              </w:rPr>
              <w:t xml:space="preserve">of PD-L1 expression </w:t>
            </w:r>
            <w:r w:rsidRPr="003A0C85">
              <w:rPr>
                <w:rFonts w:ascii="Arial Narrow" w:eastAsia="Calibri" w:hAnsi="Arial Narrow" w:cs="Times New Roman"/>
                <w:sz w:val="20"/>
                <w:lang w:val="en-US"/>
              </w:rPr>
              <w:t xml:space="preserve">between primary </w:t>
            </w:r>
            <w:proofErr w:type="spellStart"/>
            <w:r w:rsidRPr="003A0C85">
              <w:rPr>
                <w:rFonts w:ascii="Arial Narrow" w:eastAsia="Calibri" w:hAnsi="Arial Narrow" w:cs="Times New Roman"/>
                <w:sz w:val="20"/>
                <w:lang w:val="en-US"/>
              </w:rPr>
              <w:t>tumours</w:t>
            </w:r>
            <w:proofErr w:type="spellEnd"/>
            <w:r w:rsidRPr="003A0C85">
              <w:rPr>
                <w:rFonts w:ascii="Arial Narrow" w:eastAsia="Calibri" w:hAnsi="Arial Narrow" w:cs="Times New Roman"/>
                <w:sz w:val="20"/>
                <w:lang w:val="en-US"/>
              </w:rPr>
              <w:t xml:space="preserve"> and metastases.</w:t>
            </w:r>
          </w:p>
        </w:tc>
      </w:tr>
      <w:tr w:rsidR="007141D5" w:rsidRPr="00250FA5" w14:paraId="5CD58BA9" w14:textId="77777777" w:rsidTr="007141D5">
        <w:trPr>
          <w:cantSplit/>
        </w:trPr>
        <w:tc>
          <w:tcPr>
            <w:tcW w:w="2235" w:type="dxa"/>
          </w:tcPr>
          <w:p w14:paraId="18A68DB3" w14:textId="77777777" w:rsidR="007141D5" w:rsidRPr="003A0C85" w:rsidRDefault="007141D5" w:rsidP="007141D5">
            <w:pPr>
              <w:spacing w:before="40" w:after="40" w:line="256" w:lineRule="auto"/>
              <w:jc w:val="left"/>
              <w:rPr>
                <w:rFonts w:ascii="Arial Narrow" w:eastAsia="Calibri" w:hAnsi="Arial Narrow" w:cs="Times New Roman"/>
                <w:sz w:val="20"/>
              </w:rPr>
            </w:pPr>
            <w:r w:rsidRPr="003A0C85">
              <w:rPr>
                <w:rFonts w:ascii="Arial Narrow" w:eastAsia="Calibri" w:hAnsi="Arial Narrow" w:cs="Times New Roman"/>
                <w:sz w:val="20"/>
              </w:rPr>
              <w:t>Pembrolizumab monotherapy limited to CPS</w:t>
            </w:r>
            <w:r>
              <w:rPr>
                <w:rFonts w:ascii="Arial Narrow" w:eastAsia="Calibri" w:hAnsi="Arial Narrow" w:cs="Times New Roman"/>
                <w:sz w:val="20"/>
              </w:rPr>
              <w:t xml:space="preserve"> </w:t>
            </w:r>
            <w:r w:rsidRPr="003A0C85">
              <w:rPr>
                <w:rFonts w:ascii="Arial Narrow" w:eastAsia="Calibri" w:hAnsi="Arial Narrow" w:cs="Times New Roman"/>
                <w:sz w:val="20"/>
              </w:rPr>
              <w:t>≥20</w:t>
            </w:r>
          </w:p>
        </w:tc>
        <w:tc>
          <w:tcPr>
            <w:tcW w:w="6781" w:type="dxa"/>
          </w:tcPr>
          <w:p w14:paraId="4896D0D0" w14:textId="77777777" w:rsidR="007141D5" w:rsidRPr="003A0C85" w:rsidRDefault="007141D5" w:rsidP="007141D5">
            <w:pPr>
              <w:spacing w:before="40" w:after="40" w:line="256" w:lineRule="auto"/>
              <w:jc w:val="left"/>
              <w:rPr>
                <w:rFonts w:ascii="Arial Narrow" w:eastAsia="Calibri" w:hAnsi="Arial Narrow" w:cs="Times New Roman"/>
                <w:sz w:val="20"/>
                <w:lang w:val="en-US"/>
              </w:rPr>
            </w:pPr>
            <w:r w:rsidRPr="003A0C85">
              <w:rPr>
                <w:rFonts w:ascii="Arial Narrow" w:eastAsia="Calibri" w:hAnsi="Arial Narrow" w:cs="Times New Roman"/>
                <w:sz w:val="20"/>
                <w:lang w:val="en-US"/>
              </w:rPr>
              <w:t xml:space="preserve">The pre-ESC response requested that pembrolizumab monotherapy be limited to patients with CPS </w:t>
            </w:r>
            <w:r w:rsidRPr="003A0C85">
              <w:rPr>
                <w:rFonts w:ascii="Arial Narrow" w:eastAsia="Calibri" w:hAnsi="Arial Narrow" w:cs="Times New Roman"/>
                <w:sz w:val="20"/>
              </w:rPr>
              <w:t>≥ 20. The ESCs considered that there was merit to this approach. The updated economic evaluation and financial estimates included in the pre-ESC response could not be fully evaluated. The revisions to the economic model were complex and would require re-evaluation.</w:t>
            </w:r>
          </w:p>
        </w:tc>
      </w:tr>
      <w:tr w:rsidR="007141D5" w:rsidRPr="00250FA5" w14:paraId="4E35E440" w14:textId="77777777" w:rsidTr="007141D5">
        <w:trPr>
          <w:cantSplit/>
        </w:trPr>
        <w:tc>
          <w:tcPr>
            <w:tcW w:w="2235" w:type="dxa"/>
          </w:tcPr>
          <w:p w14:paraId="075BB2E8" w14:textId="77777777" w:rsidR="007141D5" w:rsidRPr="003A0C85" w:rsidRDefault="007141D5" w:rsidP="007141D5">
            <w:pPr>
              <w:spacing w:before="40" w:after="40" w:line="256" w:lineRule="auto"/>
              <w:jc w:val="left"/>
              <w:rPr>
                <w:rFonts w:ascii="Arial Narrow" w:eastAsia="Calibri" w:hAnsi="Arial Narrow" w:cs="Times New Roman"/>
                <w:sz w:val="20"/>
              </w:rPr>
            </w:pPr>
            <w:r w:rsidRPr="003A0C85">
              <w:rPr>
                <w:rFonts w:ascii="Arial Narrow" w:eastAsia="Calibri" w:hAnsi="Arial Narrow" w:cs="Times New Roman"/>
                <w:sz w:val="20"/>
              </w:rPr>
              <w:t>CPS test sensitivity in the economic modelling</w:t>
            </w:r>
          </w:p>
        </w:tc>
        <w:tc>
          <w:tcPr>
            <w:tcW w:w="6781" w:type="dxa"/>
          </w:tcPr>
          <w:p w14:paraId="63EB1FF5" w14:textId="43019E77" w:rsidR="007141D5" w:rsidRPr="003A0C85" w:rsidRDefault="007141D5" w:rsidP="007141D5">
            <w:pPr>
              <w:spacing w:before="40" w:after="40" w:line="256" w:lineRule="auto"/>
              <w:jc w:val="left"/>
              <w:rPr>
                <w:rFonts w:ascii="Arial Narrow" w:eastAsia="Calibri" w:hAnsi="Arial Narrow" w:cs="Times New Roman"/>
                <w:sz w:val="20"/>
                <w:lang w:val="en-US"/>
              </w:rPr>
            </w:pPr>
            <w:r w:rsidRPr="003A0C85">
              <w:rPr>
                <w:rFonts w:ascii="Arial Narrow" w:eastAsia="Calibri" w:hAnsi="Arial Narrow" w:cs="Times New Roman"/>
                <w:sz w:val="20"/>
                <w:lang w:val="en-US"/>
              </w:rPr>
              <w:t xml:space="preserve">The economic model assumed PD-L1 CPS testing had 100% sensitivity and specificity. The pre-ESC response claimed that trial data already captures false positives and false negatives that occur using the clinical utility standard. The pre-ESC response considered 96% concordance reflects potential discordance between the 22C3 Pharm Dx Kit and the 22C3 lab </w:t>
            </w:r>
            <w:r w:rsidRPr="00DA1CCA">
              <w:rPr>
                <w:rFonts w:ascii="Arial Narrow" w:eastAsia="Calibri" w:hAnsi="Arial Narrow" w:cs="Times New Roman"/>
                <w:sz w:val="20"/>
                <w:lang w:val="en-US"/>
              </w:rPr>
              <w:t xml:space="preserve">developed test likely to be used in Australia. This increased the ICER from </w:t>
            </w:r>
            <w:r w:rsidR="006E7FDF" w:rsidRPr="00DA1CCA">
              <w:rPr>
                <w:rFonts w:ascii="Arial Narrow" w:eastAsia="Calibri" w:hAnsi="Arial Narrow" w:cs="Times New Roman"/>
                <w:sz w:val="20"/>
                <w:lang w:val="en-US"/>
              </w:rPr>
              <w:t xml:space="preserve">$55,000 to &lt; $75,000 </w:t>
            </w:r>
            <w:r w:rsidRPr="00DA1CCA">
              <w:rPr>
                <w:rFonts w:ascii="Arial Narrow" w:eastAsia="Calibri" w:hAnsi="Arial Narrow" w:cs="Times New Roman"/>
                <w:sz w:val="20"/>
                <w:lang w:val="en-US"/>
              </w:rPr>
              <w:t xml:space="preserve">to </w:t>
            </w:r>
            <w:r w:rsidR="006E7FDF" w:rsidRPr="00DA1CCA">
              <w:rPr>
                <w:rFonts w:ascii="Arial Narrow" w:eastAsia="Calibri" w:hAnsi="Arial Narrow" w:cs="Times New Roman"/>
                <w:sz w:val="20"/>
                <w:lang w:val="en-US"/>
              </w:rPr>
              <w:t>$55,000 to &lt; $75,000</w:t>
            </w:r>
            <w:r w:rsidRPr="00DA1CCA">
              <w:rPr>
                <w:rFonts w:ascii="Arial Narrow" w:eastAsia="Calibri" w:hAnsi="Arial Narrow" w:cs="Times New Roman"/>
                <w:sz w:val="20"/>
                <w:lang w:val="en-US"/>
              </w:rPr>
              <w:t xml:space="preserve">/QALY. An additional sensitivity analysis estimated that 85% concordance (consistent with the proposed pathologist training program) would increase the weighted ICER to </w:t>
            </w:r>
            <w:r w:rsidR="006E7FDF" w:rsidRPr="00DA1CCA">
              <w:rPr>
                <w:rFonts w:ascii="Arial Narrow" w:eastAsia="Calibri" w:hAnsi="Arial Narrow" w:cs="Times New Roman"/>
                <w:sz w:val="20"/>
                <w:lang w:val="en-US"/>
              </w:rPr>
              <w:t>$55,000 to &lt; $75</w:t>
            </w:r>
            <w:r w:rsidR="006E7FDF" w:rsidRPr="006E7FDF">
              <w:rPr>
                <w:rFonts w:ascii="Arial Narrow" w:eastAsia="Calibri" w:hAnsi="Arial Narrow" w:cs="Times New Roman"/>
                <w:sz w:val="20"/>
                <w:lang w:val="en-US"/>
              </w:rPr>
              <w:t>,000</w:t>
            </w:r>
            <w:r w:rsidRPr="003A0C85">
              <w:rPr>
                <w:rFonts w:ascii="Arial Narrow" w:eastAsia="Calibri" w:hAnsi="Arial Narrow" w:cs="Times New Roman"/>
                <w:sz w:val="20"/>
                <w:lang w:val="en-US"/>
              </w:rPr>
              <w:t>.</w:t>
            </w:r>
          </w:p>
        </w:tc>
      </w:tr>
      <w:tr w:rsidR="007141D5" w:rsidRPr="00250FA5" w14:paraId="780BBB39" w14:textId="77777777" w:rsidTr="007141D5">
        <w:trPr>
          <w:cantSplit/>
        </w:trPr>
        <w:tc>
          <w:tcPr>
            <w:tcW w:w="2235" w:type="dxa"/>
          </w:tcPr>
          <w:p w14:paraId="04825AD2" w14:textId="77777777" w:rsidR="007141D5" w:rsidRPr="003A0C85" w:rsidRDefault="007141D5" w:rsidP="007141D5">
            <w:pPr>
              <w:spacing w:before="40" w:after="40" w:line="256" w:lineRule="auto"/>
              <w:jc w:val="left"/>
              <w:rPr>
                <w:rFonts w:ascii="Arial Narrow" w:eastAsia="Calibri" w:hAnsi="Arial Narrow" w:cs="Times New Roman"/>
                <w:sz w:val="20"/>
              </w:rPr>
            </w:pPr>
            <w:r w:rsidRPr="003A0C85">
              <w:rPr>
                <w:rFonts w:ascii="Arial Narrow" w:eastAsia="Calibri" w:hAnsi="Arial Narrow" w:cs="Times New Roman"/>
                <w:sz w:val="20"/>
              </w:rPr>
              <w:t>Net costs to MBS</w:t>
            </w:r>
          </w:p>
        </w:tc>
        <w:tc>
          <w:tcPr>
            <w:tcW w:w="6781" w:type="dxa"/>
          </w:tcPr>
          <w:p w14:paraId="17E2EF87" w14:textId="77777777" w:rsidR="007141D5" w:rsidRPr="003A0C85" w:rsidRDefault="007141D5" w:rsidP="007141D5">
            <w:pPr>
              <w:spacing w:before="40" w:after="40" w:line="256" w:lineRule="auto"/>
              <w:jc w:val="left"/>
              <w:rPr>
                <w:rFonts w:ascii="Arial Narrow" w:eastAsia="Calibri" w:hAnsi="Arial Narrow" w:cs="Times New Roman"/>
                <w:sz w:val="20"/>
                <w:lang w:val="en-US"/>
              </w:rPr>
            </w:pPr>
            <w:r w:rsidRPr="003A0C85">
              <w:rPr>
                <w:rFonts w:ascii="Arial Narrow" w:eastAsia="Calibri" w:hAnsi="Arial Narrow" w:cs="Times New Roman"/>
                <w:sz w:val="20"/>
                <w:lang w:val="en-US"/>
              </w:rPr>
              <w:t>The resubmission estimated net savings to the MBS. The savings were uncertain as they were dependent on the assumptions around comparator treatment administration.</w:t>
            </w:r>
          </w:p>
        </w:tc>
      </w:tr>
    </w:tbl>
    <w:p w14:paraId="77B2D7EF" w14:textId="7A078159" w:rsidR="007141D5" w:rsidRPr="005702F6" w:rsidRDefault="007141D5" w:rsidP="005702F6">
      <w:pPr>
        <w:keepNext/>
        <w:keepLines/>
        <w:spacing w:before="240" w:after="120"/>
        <w:ind w:left="720" w:hanging="720"/>
        <w:jc w:val="left"/>
        <w:outlineLvl w:val="0"/>
        <w:rPr>
          <w:rFonts w:ascii="Times New Roman" w:eastAsia="Times New Roman" w:hAnsi="Times New Roman" w:cs="Times New Roman"/>
          <w:b/>
          <w:bCs/>
          <w:szCs w:val="28"/>
          <w:lang w:eastAsia="en-AU"/>
        </w:rPr>
      </w:pPr>
      <w:r w:rsidRPr="00250FA5">
        <w:rPr>
          <w:rFonts w:ascii="Times New Roman" w:eastAsia="Times New Roman" w:hAnsi="Times New Roman" w:cs="Times New Roman"/>
          <w:b/>
          <w:bCs/>
          <w:szCs w:val="28"/>
          <w:lang w:eastAsia="en-AU"/>
        </w:rPr>
        <w:t>ESC</w:t>
      </w:r>
      <w:r>
        <w:rPr>
          <w:rFonts w:ascii="Times New Roman" w:eastAsia="Times New Roman" w:hAnsi="Times New Roman" w:cs="Times New Roman"/>
          <w:b/>
          <w:bCs/>
          <w:szCs w:val="28"/>
          <w:lang w:eastAsia="en-AU"/>
        </w:rPr>
        <w:t>s</w:t>
      </w:r>
      <w:r w:rsidRPr="00250FA5">
        <w:rPr>
          <w:rFonts w:ascii="Times New Roman" w:eastAsia="Times New Roman" w:hAnsi="Times New Roman" w:cs="Times New Roman"/>
          <w:b/>
          <w:bCs/>
          <w:szCs w:val="28"/>
          <w:lang w:eastAsia="en-AU"/>
        </w:rPr>
        <w:t xml:space="preserve"> discussion</w:t>
      </w:r>
    </w:p>
    <w:p w14:paraId="2312DF4A" w14:textId="77777777" w:rsidR="007141D5" w:rsidRPr="00250FA5" w:rsidRDefault="007141D5" w:rsidP="007141D5">
      <w:pPr>
        <w:spacing w:before="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ESCs noted that this is a resubmission requesting Medicare Benefits Schedule (MBS) listing of a test for the evaluation of programmed death ligand 1 (PD-L1) using the combined positive score (CPS) and the 22C3 antibody to determine eligibility for treatment with pembrolizumab in patients with previously untreated recurrent or metastatic (R/M) head and neck squamous cell carcinoma (HNSCC), specifically R/M squamous cell carcinoma (SCC) of the oral cavity, pharynx or larynx. The ESCs advised that SCC of the nasopharynx should be excluded from PD-L1 testing and pembrolizumab treatment as there is limited evidence to support pembrolizumab treatment in this population.</w:t>
      </w:r>
    </w:p>
    <w:p w14:paraId="596A97D4"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pre-ESC response updated the MBS item descriptor to specify that tumour material should be from a core biopsy or excision specimen. The ESCs considered that this should a resection specimen rather than an excision specimen.</w:t>
      </w:r>
    </w:p>
    <w:p w14:paraId="289B1CE3"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resubmission proposed that the test would report a combined positive score (CPS) to help</w:t>
      </w:r>
      <w:r>
        <w:rPr>
          <w:rFonts w:ascii="Times New Roman" w:eastAsia="Times New Roman" w:hAnsi="Times New Roman" w:cs="Times New Roman"/>
          <w:szCs w:val="20"/>
          <w:lang w:eastAsia="en-AU"/>
        </w:rPr>
        <w:t xml:space="preserve"> </w:t>
      </w:r>
      <w:r w:rsidRPr="00250FA5">
        <w:rPr>
          <w:rFonts w:ascii="Times New Roman" w:eastAsia="Times New Roman" w:hAnsi="Times New Roman" w:cs="Times New Roman"/>
          <w:szCs w:val="20"/>
          <w:lang w:eastAsia="en-AU"/>
        </w:rPr>
        <w:t>determine eligibility for pembrolizumab (whether as monotherapy or combination therapy) on the Pharmaceutical Benefits Scheme (PBS). The resubmission proposed pembrolizumab treatment patients who also have a PD-L1 CPS ≥1. This was consistent with the Therapeutic Goods Administration (TGA) indication for pembrolizumab.</w:t>
      </w:r>
    </w:p>
    <w:p w14:paraId="38B36D94"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ESCs noted that the pre-ESC response proposed further limiting pembrolizumab monotherapy on the PBS to patients with a PD-L1 CPS ≥20 as this would limit subsidy to patients most likely to benefit from pembrolizumab monotherapy. The pre-ESC response considered that this would reduce the risks from false positive (FP) patients using pembrolizumab monotherapy as patients with CPS &lt;1 would not be incorrectly classified as CPS</w:t>
      </w:r>
      <w:r>
        <w:rPr>
          <w:rFonts w:ascii="Times New Roman" w:eastAsia="Times New Roman" w:hAnsi="Times New Roman" w:cs="Times New Roman"/>
          <w:szCs w:val="20"/>
          <w:lang w:eastAsia="en-AU"/>
        </w:rPr>
        <w:t xml:space="preserve"> </w:t>
      </w:r>
      <w:r w:rsidRPr="00250FA5">
        <w:rPr>
          <w:rFonts w:ascii="Times New Roman" w:eastAsia="Times New Roman" w:hAnsi="Times New Roman" w:cs="Times New Roman"/>
          <w:szCs w:val="20"/>
          <w:lang w:eastAsia="en-AU"/>
        </w:rPr>
        <w:t>≥20 and incorrectly classified patients with CPS 1-19 will gain an efficacy benefit that is at least comparable to chemotherapy + cetuximab followed by 2L nivolumab in 26% of patients based on 4-year overall survival data from the Keynote-048 (KN048) trial with fewer side effects. The pre-ESC response considered that this approach was supported by key oncology organisations. This included:</w:t>
      </w:r>
    </w:p>
    <w:p w14:paraId="567F9E35" w14:textId="77777777" w:rsidR="007141D5" w:rsidRPr="00250FA5" w:rsidRDefault="007141D5" w:rsidP="00B2387B">
      <w:pPr>
        <w:numPr>
          <w:ilvl w:val="0"/>
          <w:numId w:val="81"/>
        </w:numPr>
        <w:spacing w:before="0"/>
        <w:ind w:left="714" w:hanging="357"/>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A European Society for Medical Oncology -Magnitude of Clinical Benefit Scale (ESMO-MCBS) score of 5. The ESCs noted that this is the highest magnitude of clinical benefit for a non</w:t>
      </w:r>
      <w:r w:rsidRPr="00250FA5">
        <w:rPr>
          <w:rFonts w:ascii="Times New Roman" w:eastAsia="Times New Roman" w:hAnsi="Times New Roman" w:cs="Times New Roman"/>
          <w:szCs w:val="20"/>
          <w:lang w:eastAsia="en-AU"/>
        </w:rPr>
        <w:noBreakHyphen/>
        <w:t>curative therapy; and</w:t>
      </w:r>
    </w:p>
    <w:p w14:paraId="78E5301E" w14:textId="77777777" w:rsidR="007141D5" w:rsidRPr="00250FA5" w:rsidRDefault="007141D5" w:rsidP="00B2387B">
      <w:pPr>
        <w:numPr>
          <w:ilvl w:val="0"/>
          <w:numId w:val="81"/>
        </w:numPr>
        <w:spacing w:before="0" w:after="0"/>
        <w:ind w:left="714" w:hanging="357"/>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Inclusion of this population in the United States National Comprehensive Cancer Network® (NCCN®),</w:t>
      </w:r>
      <w:r>
        <w:rPr>
          <w:rFonts w:ascii="Times New Roman" w:eastAsia="Times New Roman" w:hAnsi="Times New Roman" w:cs="Times New Roman"/>
          <w:szCs w:val="20"/>
          <w:lang w:eastAsia="en-AU"/>
        </w:rPr>
        <w:t xml:space="preserve"> </w:t>
      </w:r>
      <w:r w:rsidRPr="00250FA5">
        <w:rPr>
          <w:rFonts w:ascii="Times New Roman" w:eastAsia="Times New Roman" w:hAnsi="Times New Roman" w:cs="Times New Roman"/>
          <w:szCs w:val="20"/>
          <w:lang w:eastAsia="en-AU"/>
        </w:rPr>
        <w:t>Guidelines as “Category 1” (uniform consensus that this intervention is appropriate).</w:t>
      </w:r>
    </w:p>
    <w:p w14:paraId="765B7036"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The ESCs considered that the rationale for limiting pembrolizumab monotherapy to the CPS ≥20 population had merit, this did not strengthen the claim of </w:t>
      </w:r>
      <w:proofErr w:type="spellStart"/>
      <w:r w:rsidRPr="00250FA5">
        <w:rPr>
          <w:rFonts w:ascii="Times New Roman" w:eastAsia="Times New Roman" w:hAnsi="Times New Roman" w:cs="Times New Roman"/>
          <w:szCs w:val="20"/>
          <w:lang w:eastAsia="en-AU"/>
        </w:rPr>
        <w:t>codependency</w:t>
      </w:r>
      <w:proofErr w:type="spellEnd"/>
      <w:r w:rsidRPr="00250FA5">
        <w:rPr>
          <w:rFonts w:ascii="Times New Roman" w:eastAsia="Times New Roman" w:hAnsi="Times New Roman" w:cs="Times New Roman"/>
          <w:szCs w:val="20"/>
          <w:lang w:eastAsia="en-AU"/>
        </w:rPr>
        <w:t>.</w:t>
      </w:r>
    </w:p>
    <w:p w14:paraId="114D8563"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ESCs noted consumer feedback from Head and Neck Cancer Australia that was supportive of the resubmission. The ESCs considered that consumers would value the option of a potentially better treatment for HNSCC. The ESCs noted feedback from the Royal College of Pathologists of Australasia highlight that imperfect nature of PD-L1 IHC as a predictive biomarker for selecting patients likely to respond to immunotherapy in a range of malignancies. The RCPA acknowledged that there is no clear alternative assay or gold standard and that PD-L1 IHC it is the best test currently available.</w:t>
      </w:r>
    </w:p>
    <w:p w14:paraId="1A2368F4"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ESCs noted the additional studies presenting prognostic evidence. The ESCs considered noted that two new studies (Li 2017 and Jia 2019) identified during the evaluation presented potentially contradictory conclusions. The ESCs considered that the evidence presented may not be sufficient to conclude that PD-L1 expression has no prognostic impact on OS.</w:t>
      </w:r>
    </w:p>
    <w:p w14:paraId="0F4FF94E"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resubmission presented multivariate analyses examining baseline characteristics in KN048 that were not balanced by CPS subgroups. The ESCs noted the resulting hazard ratios for overall survival were similar. The ESCs considered that this helped partially address the impact of these imbalances which MSAC considered could be independent predictors of variation in prognosis and the extent of effectiveness of pembrolizumab.</w:t>
      </w:r>
    </w:p>
    <w:p w14:paraId="693F9665"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The ESCs recalled that MSAC had previously considered the evidence presented did not adequately support the claim of </w:t>
      </w:r>
      <w:proofErr w:type="spellStart"/>
      <w:r w:rsidRPr="00250FA5">
        <w:rPr>
          <w:rFonts w:ascii="Times New Roman" w:eastAsia="Times New Roman" w:hAnsi="Times New Roman" w:cs="Times New Roman"/>
          <w:szCs w:val="20"/>
          <w:lang w:eastAsia="en-AU"/>
        </w:rPr>
        <w:t>codependency</w:t>
      </w:r>
      <w:proofErr w:type="spellEnd"/>
      <w:r w:rsidRPr="00250FA5">
        <w:rPr>
          <w:rFonts w:ascii="Times New Roman" w:eastAsia="Times New Roman" w:hAnsi="Times New Roman" w:cs="Times New Roman"/>
          <w:szCs w:val="20"/>
          <w:lang w:eastAsia="en-AU"/>
        </w:rPr>
        <w:t xml:space="preserve">. The ESCs noted that the predictive evidence to support that PD-L1 CPS scoring predicted the treatment effect with pembrolizumab was largely unchanged from the previous submission. The resubmission provided an additional 12 months follow-up from KN048. The ESCs noted that the resubmission addressed several aspects of the KN048 trial conduct that MSAC previously considered did not support the claim of </w:t>
      </w:r>
      <w:proofErr w:type="spellStart"/>
      <w:r w:rsidRPr="00250FA5">
        <w:rPr>
          <w:rFonts w:ascii="Times New Roman" w:eastAsia="Times New Roman" w:hAnsi="Times New Roman" w:cs="Times New Roman"/>
          <w:szCs w:val="20"/>
          <w:lang w:eastAsia="en-AU"/>
        </w:rPr>
        <w:t>codependency</w:t>
      </w:r>
      <w:proofErr w:type="spellEnd"/>
      <w:r w:rsidRPr="00250FA5">
        <w:rPr>
          <w:rFonts w:ascii="Times New Roman" w:eastAsia="Times New Roman" w:hAnsi="Times New Roman" w:cs="Times New Roman"/>
          <w:szCs w:val="20"/>
          <w:lang w:eastAsia="en-AU"/>
        </w:rPr>
        <w:t>. The resubmission clarified that KN048:</w:t>
      </w:r>
    </w:p>
    <w:p w14:paraId="47799F2C" w14:textId="77777777" w:rsidR="007141D5" w:rsidRPr="00250FA5" w:rsidRDefault="007141D5" w:rsidP="00B2387B">
      <w:pPr>
        <w:numPr>
          <w:ilvl w:val="0"/>
          <w:numId w:val="81"/>
        </w:numPr>
        <w:spacing w:before="0"/>
        <w:ind w:left="714" w:hanging="357"/>
        <w:jc w:val="left"/>
        <w:rPr>
          <w:rFonts w:ascii="Times New Roman" w:eastAsia="Times New Roman" w:hAnsi="Times New Roman" w:cs="Times New Roman"/>
          <w:szCs w:val="20"/>
          <w:lang w:eastAsia="en-AU"/>
        </w:rPr>
      </w:pPr>
      <w:r w:rsidRPr="00B2387B">
        <w:rPr>
          <w:rFonts w:ascii="Times New Roman" w:eastAsia="Calibri" w:hAnsi="Times New Roman" w:cs="Times New Roman"/>
          <w:szCs w:val="20"/>
        </w:rPr>
        <w:t>Remained</w:t>
      </w:r>
      <w:r w:rsidRPr="00250FA5">
        <w:rPr>
          <w:rFonts w:ascii="Times New Roman" w:eastAsia="Times New Roman" w:hAnsi="Times New Roman" w:cs="Times New Roman"/>
          <w:szCs w:val="20"/>
          <w:lang w:eastAsia="en-AU"/>
        </w:rPr>
        <w:t xml:space="preserve"> stratified for TPS</w:t>
      </w:r>
      <w:r>
        <w:rPr>
          <w:rFonts w:ascii="Times New Roman" w:eastAsia="Times New Roman" w:hAnsi="Times New Roman" w:cs="Times New Roman"/>
          <w:szCs w:val="20"/>
          <w:lang w:eastAsia="en-AU"/>
        </w:rPr>
        <w:t xml:space="preserve"> </w:t>
      </w:r>
      <w:r w:rsidRPr="00250FA5">
        <w:rPr>
          <w:rFonts w:ascii="Times New Roman" w:eastAsia="Times New Roman" w:hAnsi="Times New Roman" w:cs="Times New Roman"/>
          <w:szCs w:val="20"/>
          <w:lang w:eastAsia="en-AU"/>
        </w:rPr>
        <w:t>≥50% throughout the trial;</w:t>
      </w:r>
    </w:p>
    <w:p w14:paraId="1FDC25D7" w14:textId="77777777" w:rsidR="007141D5" w:rsidRPr="00250FA5" w:rsidRDefault="007141D5" w:rsidP="00B2387B">
      <w:pPr>
        <w:numPr>
          <w:ilvl w:val="0"/>
          <w:numId w:val="81"/>
        </w:numPr>
        <w:spacing w:before="0"/>
        <w:ind w:left="714" w:hanging="357"/>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Was </w:t>
      </w:r>
      <w:r w:rsidRPr="00B2387B">
        <w:rPr>
          <w:rFonts w:ascii="Times New Roman" w:eastAsia="Calibri" w:hAnsi="Times New Roman" w:cs="Times New Roman"/>
          <w:szCs w:val="20"/>
        </w:rPr>
        <w:t>not</w:t>
      </w:r>
      <w:r w:rsidRPr="00250FA5">
        <w:rPr>
          <w:rFonts w:ascii="Times New Roman" w:eastAsia="Times New Roman" w:hAnsi="Times New Roman" w:cs="Times New Roman"/>
          <w:szCs w:val="20"/>
          <w:lang w:eastAsia="en-AU"/>
        </w:rPr>
        <w:t xml:space="preserve"> enriched for TPS</w:t>
      </w:r>
      <w:r>
        <w:rPr>
          <w:rFonts w:ascii="Times New Roman" w:eastAsia="Times New Roman" w:hAnsi="Times New Roman" w:cs="Times New Roman"/>
          <w:szCs w:val="20"/>
          <w:lang w:eastAsia="en-AU"/>
        </w:rPr>
        <w:t xml:space="preserve"> </w:t>
      </w:r>
      <w:r w:rsidRPr="00250FA5">
        <w:rPr>
          <w:rFonts w:ascii="Times New Roman" w:eastAsia="Times New Roman" w:hAnsi="Times New Roman" w:cs="Times New Roman"/>
          <w:szCs w:val="20"/>
          <w:lang w:eastAsia="en-AU"/>
        </w:rPr>
        <w:t>≥50% as the protocol was amended again prior to the enrichment being implemented; and</w:t>
      </w:r>
    </w:p>
    <w:p w14:paraId="5BA46E30" w14:textId="77777777" w:rsidR="007141D5" w:rsidRDefault="007141D5" w:rsidP="00B2387B">
      <w:pPr>
        <w:numPr>
          <w:ilvl w:val="0"/>
          <w:numId w:val="81"/>
        </w:numPr>
        <w:spacing w:before="0" w:after="0"/>
        <w:ind w:left="714" w:hanging="357"/>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The </w:t>
      </w:r>
      <w:r w:rsidRPr="00B2387B">
        <w:rPr>
          <w:rFonts w:ascii="Times New Roman" w:eastAsia="Calibri" w:hAnsi="Times New Roman" w:cs="Times New Roman"/>
          <w:szCs w:val="20"/>
        </w:rPr>
        <w:t>definition</w:t>
      </w:r>
      <w:r w:rsidRPr="00250FA5">
        <w:rPr>
          <w:rFonts w:ascii="Times New Roman" w:eastAsia="Times New Roman" w:hAnsi="Times New Roman" w:cs="Times New Roman"/>
          <w:szCs w:val="20"/>
          <w:lang w:eastAsia="en-AU"/>
        </w:rPr>
        <w:t xml:space="preserve"> of PD-L1 positivity was altered in amendment 5 from TPS to CPS prior to any analysis of results. The resubmission stated that this impacted the primary objectives and statistical plan, but there was no change to stratification.</w:t>
      </w:r>
    </w:p>
    <w:p w14:paraId="5909732B"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resubmission claimed that there was rigorous evidence supporting that CPS, not TPS, predicted treatment effect with pembrolizumab in HNSCC. The ESCs considered that the biological rationale for CPS was not strong.</w:t>
      </w:r>
    </w:p>
    <w:p w14:paraId="7D898B0E"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ESCs considered that the results of the KN048 trial remained difficult to interpret due to the change in PD-L1 measurement (from TPS to CPS), changes to primary and secondary outcomes, updates to statistical methods, and the complex multiplicity strategy. The ESCs considered these factors reduced the reliability of the results from KN048.</w:t>
      </w:r>
    </w:p>
    <w:p w14:paraId="7B8E872A"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The ESCs noted that additional studies had been presented to address </w:t>
      </w:r>
      <w:proofErr w:type="spellStart"/>
      <w:r w:rsidRPr="00250FA5">
        <w:rPr>
          <w:rFonts w:ascii="Times New Roman" w:eastAsia="Times New Roman" w:hAnsi="Times New Roman" w:cs="Times New Roman"/>
          <w:szCs w:val="20"/>
          <w:lang w:eastAsia="en-AU"/>
        </w:rPr>
        <w:t>intratumoural</w:t>
      </w:r>
      <w:proofErr w:type="spellEnd"/>
      <w:r w:rsidRPr="00250FA5">
        <w:rPr>
          <w:rFonts w:ascii="Times New Roman" w:eastAsia="Times New Roman" w:hAnsi="Times New Roman" w:cs="Times New Roman"/>
          <w:szCs w:val="20"/>
          <w:lang w:eastAsia="en-AU"/>
        </w:rPr>
        <w:t xml:space="preserve"> concordance. These generally supported a good concordance, however, the ESCs highlighted that concordance may be lower between the primary tumour and metastases.</w:t>
      </w:r>
    </w:p>
    <w:p w14:paraId="44E11283"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The </w:t>
      </w:r>
      <w:r>
        <w:rPr>
          <w:rFonts w:ascii="Times New Roman" w:eastAsia="Times New Roman" w:hAnsi="Times New Roman" w:cs="Times New Roman"/>
          <w:szCs w:val="20"/>
          <w:lang w:eastAsia="en-AU"/>
        </w:rPr>
        <w:t xml:space="preserve">resubmission </w:t>
      </w:r>
      <w:r w:rsidRPr="00250FA5">
        <w:rPr>
          <w:rFonts w:ascii="Times New Roman" w:eastAsia="Times New Roman" w:hAnsi="Times New Roman" w:cs="Times New Roman"/>
          <w:szCs w:val="20"/>
          <w:lang w:eastAsia="en-AU"/>
        </w:rPr>
        <w:t xml:space="preserve">noted the results from pathologist training program and highlighted the commentary’s concerns that there was substantial discordance in pathologists’ classification of two samples that had a consensus CPS score of zero. The ESCs considered that there </w:t>
      </w:r>
      <w:r>
        <w:rPr>
          <w:rFonts w:ascii="Times New Roman" w:eastAsia="Times New Roman" w:hAnsi="Times New Roman" w:cs="Times New Roman"/>
          <w:szCs w:val="20"/>
          <w:lang w:eastAsia="en-AU"/>
        </w:rPr>
        <w:t xml:space="preserve">is </w:t>
      </w:r>
      <w:r w:rsidRPr="00250FA5">
        <w:rPr>
          <w:rFonts w:ascii="Times New Roman" w:eastAsia="Times New Roman" w:hAnsi="Times New Roman" w:cs="Times New Roman"/>
          <w:szCs w:val="20"/>
          <w:lang w:eastAsia="en-AU"/>
        </w:rPr>
        <w:t xml:space="preserve">uncertainty around whether patients with CPS ≥1 can be distinguished from patients with CPS &lt;1 with a high degree of reproducibility. </w:t>
      </w:r>
      <w:r w:rsidRPr="002D0668">
        <w:rPr>
          <w:rFonts w:ascii="Times New Roman" w:eastAsia="Times New Roman" w:hAnsi="Times New Roman" w:cs="Times New Roman"/>
          <w:szCs w:val="20"/>
          <w:lang w:eastAsia="en-AU"/>
        </w:rPr>
        <w:t xml:space="preserve">This was supported by data from the pathologist training program where there was substantial discordance in pathologists’ classification of two samples that had a consensus CPS score of zero. There may also be uncertainty around whether patients with CPS ≥20 can be distinguished from patients with CPS &lt;20 with a high degree of reproducibility. </w:t>
      </w:r>
      <w:r w:rsidRPr="00250FA5">
        <w:rPr>
          <w:rFonts w:ascii="Times New Roman" w:eastAsia="Times New Roman" w:hAnsi="Times New Roman" w:cs="Times New Roman"/>
          <w:szCs w:val="20"/>
          <w:lang w:eastAsia="en-AU"/>
        </w:rPr>
        <w:t>The ESCs noted advice from NPAAC that a quality assurance program for interpretative proficiency testing may be available this year as part of its ‘Head and Neck diagnostic’ program, but are awaiting for the applicant’s training to take place first which was delayed due to COVID-19.</w:t>
      </w:r>
    </w:p>
    <w:p w14:paraId="752A3EC2" w14:textId="5C85814C"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The ESCs noted that the </w:t>
      </w:r>
      <w:r>
        <w:rPr>
          <w:rFonts w:ascii="Times New Roman" w:eastAsia="Times New Roman" w:hAnsi="Times New Roman" w:cs="Times New Roman"/>
          <w:szCs w:val="20"/>
          <w:lang w:eastAsia="en-AU"/>
        </w:rPr>
        <w:t xml:space="preserve">pre-ESC response </w:t>
      </w:r>
      <w:r w:rsidRPr="00753DFA">
        <w:rPr>
          <w:rFonts w:ascii="Times New Roman" w:eastAsia="Times New Roman" w:hAnsi="Times New Roman" w:cs="Times New Roman"/>
          <w:szCs w:val="20"/>
          <w:lang w:eastAsia="en-AU"/>
        </w:rPr>
        <w:t>provided a revised economic model and financial estimates reflecting the request to limit pembrolizumab monotherapy for patients with CPS ≥20</w:t>
      </w:r>
      <w:r>
        <w:rPr>
          <w:rFonts w:ascii="Times New Roman" w:eastAsia="Times New Roman" w:hAnsi="Times New Roman" w:cs="Times New Roman"/>
          <w:szCs w:val="20"/>
          <w:lang w:eastAsia="en-AU"/>
        </w:rPr>
        <w:t>.</w:t>
      </w:r>
      <w:r w:rsidRPr="00753DFA">
        <w:rPr>
          <w:rFonts w:ascii="Times New Roman" w:eastAsia="Times New Roman" w:hAnsi="Times New Roman" w:cs="Times New Roman"/>
          <w:szCs w:val="20"/>
          <w:lang w:eastAsia="en-AU"/>
        </w:rPr>
        <w:t xml:space="preserve"> As these were provided with the </w:t>
      </w:r>
      <w:r>
        <w:rPr>
          <w:rFonts w:ascii="Times New Roman" w:eastAsia="Times New Roman" w:hAnsi="Times New Roman" w:cs="Times New Roman"/>
          <w:szCs w:val="20"/>
          <w:lang w:eastAsia="en-AU"/>
        </w:rPr>
        <w:t>pre-ESC response</w:t>
      </w:r>
      <w:r w:rsidRPr="00753DFA">
        <w:rPr>
          <w:rFonts w:ascii="Times New Roman" w:eastAsia="Times New Roman" w:hAnsi="Times New Roman" w:cs="Times New Roman"/>
          <w:szCs w:val="20"/>
          <w:lang w:eastAsia="en-AU"/>
        </w:rPr>
        <w:t xml:space="preserve"> and include numerous changes</w:t>
      </w:r>
      <w:r>
        <w:rPr>
          <w:rFonts w:ascii="Times New Roman" w:eastAsia="Times New Roman" w:hAnsi="Times New Roman" w:cs="Times New Roman"/>
          <w:szCs w:val="20"/>
          <w:lang w:eastAsia="en-AU"/>
        </w:rPr>
        <w:t>,</w:t>
      </w:r>
      <w:r w:rsidRPr="00753DFA">
        <w:rPr>
          <w:rFonts w:ascii="Times New Roman" w:eastAsia="Times New Roman" w:hAnsi="Times New Roman" w:cs="Times New Roman"/>
          <w:szCs w:val="20"/>
          <w:lang w:eastAsia="en-AU"/>
        </w:rPr>
        <w:t xml:space="preserve"> they have not been independently evaluated </w:t>
      </w:r>
      <w:r>
        <w:rPr>
          <w:rFonts w:ascii="Times New Roman" w:eastAsia="Times New Roman" w:hAnsi="Times New Roman" w:cs="Times New Roman"/>
          <w:szCs w:val="20"/>
          <w:lang w:eastAsia="en-AU"/>
        </w:rPr>
        <w:t>given the timing of their provision</w:t>
      </w:r>
      <w:r w:rsidRPr="00753DFA">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w:t>
      </w:r>
      <w:r w:rsidRPr="00250FA5">
        <w:rPr>
          <w:rFonts w:ascii="Times New Roman" w:eastAsia="Times New Roman" w:hAnsi="Times New Roman" w:cs="Times New Roman"/>
          <w:szCs w:val="20"/>
          <w:lang w:eastAsia="en-AU"/>
        </w:rPr>
        <w:t>The ESCs noted that the pre-ESC response reaffirmed that concordance between the 22C3 Pharm Dx Kit and the 22C3 lab developed test likely to be used in Australia is high (96%)</w:t>
      </w:r>
      <w:r>
        <w:rPr>
          <w:rFonts w:ascii="Times New Roman" w:eastAsia="Times New Roman" w:hAnsi="Times New Roman" w:cs="Times New Roman"/>
          <w:szCs w:val="20"/>
          <w:lang w:eastAsia="en-AU"/>
        </w:rPr>
        <w:t xml:space="preserve">, though not 100% as assumed in the economic model. In the pre-ESC response’s economic model, decreasing concordance to 96% </w:t>
      </w:r>
      <w:r w:rsidRPr="00250FA5">
        <w:rPr>
          <w:rFonts w:ascii="Times New Roman" w:eastAsia="Times New Roman" w:hAnsi="Times New Roman" w:cs="Times New Roman"/>
          <w:szCs w:val="20"/>
          <w:lang w:eastAsia="en-AU"/>
        </w:rPr>
        <w:t>increase</w:t>
      </w:r>
      <w:r>
        <w:rPr>
          <w:rFonts w:ascii="Times New Roman" w:eastAsia="Times New Roman" w:hAnsi="Times New Roman" w:cs="Times New Roman"/>
          <w:szCs w:val="20"/>
          <w:lang w:eastAsia="en-AU"/>
        </w:rPr>
        <w:t>d</w:t>
      </w:r>
      <w:r w:rsidRPr="00250FA5">
        <w:rPr>
          <w:rFonts w:ascii="Times New Roman" w:eastAsia="Times New Roman" w:hAnsi="Times New Roman" w:cs="Times New Roman"/>
          <w:szCs w:val="20"/>
          <w:lang w:eastAsia="en-AU"/>
        </w:rPr>
        <w:t xml:space="preserve"> the weighted ICER from </w:t>
      </w:r>
      <w:r w:rsidR="006E7FDF" w:rsidRPr="00A4250D">
        <w:rPr>
          <w:rFonts w:ascii="Times New Roman" w:eastAsia="Times New Roman" w:hAnsi="Times New Roman" w:cs="Times New Roman"/>
          <w:szCs w:val="20"/>
          <w:lang w:eastAsia="en-AU"/>
        </w:rPr>
        <w:t>$55,000 to &lt; $75,000</w:t>
      </w:r>
      <w:r w:rsidR="006E7FDF" w:rsidRPr="006E7FDF">
        <w:rPr>
          <w:rFonts w:ascii="Times New Roman" w:eastAsia="Times New Roman" w:hAnsi="Times New Roman" w:cs="Times New Roman"/>
          <w:b/>
          <w:bCs/>
          <w:szCs w:val="20"/>
          <w:lang w:eastAsia="en-AU"/>
        </w:rPr>
        <w:t xml:space="preserve"> </w:t>
      </w:r>
      <w:r w:rsidRPr="00DA1CCA">
        <w:rPr>
          <w:rFonts w:ascii="Times New Roman" w:eastAsia="Times New Roman" w:hAnsi="Times New Roman" w:cs="Times New Roman"/>
          <w:szCs w:val="20"/>
          <w:lang w:eastAsia="en-AU"/>
        </w:rPr>
        <w:t xml:space="preserve">to </w:t>
      </w:r>
      <w:r w:rsidR="006E7FDF" w:rsidRPr="00A4250D">
        <w:rPr>
          <w:rFonts w:ascii="Times New Roman" w:eastAsia="Times New Roman" w:hAnsi="Times New Roman" w:cs="Times New Roman"/>
          <w:szCs w:val="20"/>
          <w:lang w:eastAsia="en-AU"/>
        </w:rPr>
        <w:t>$55,000 to &lt;$75,000</w:t>
      </w:r>
      <w:r w:rsidRPr="00250FA5">
        <w:rPr>
          <w:rFonts w:ascii="Times New Roman" w:eastAsia="Times New Roman" w:hAnsi="Times New Roman" w:cs="Times New Roman"/>
          <w:szCs w:val="20"/>
          <w:lang w:eastAsia="en-AU"/>
        </w:rPr>
        <w:t xml:space="preserve">/QALY. An additional sensitivity analysis estimated that 85% concordance would increase the weighted ICER to </w:t>
      </w:r>
      <w:bookmarkStart w:id="34" w:name="_Hlk94704651"/>
      <w:r w:rsidR="00D50BBD" w:rsidRPr="00D50BBD">
        <w:rPr>
          <w:rFonts w:ascii="Times New Roman" w:eastAsia="Times New Roman" w:hAnsi="Times New Roman" w:cs="Times New Roman"/>
          <w:szCs w:val="20"/>
          <w:lang w:eastAsia="en-AU"/>
        </w:rPr>
        <w:t xml:space="preserve">$55,000 to &lt; $75,000 </w:t>
      </w:r>
      <w:bookmarkEnd w:id="34"/>
      <w:r w:rsidRPr="00250FA5">
        <w:rPr>
          <w:rFonts w:ascii="Times New Roman" w:eastAsia="Times New Roman" w:hAnsi="Times New Roman" w:cs="Times New Roman"/>
          <w:szCs w:val="20"/>
          <w:lang w:eastAsia="en-AU"/>
        </w:rPr>
        <w:t>.</w:t>
      </w:r>
    </w:p>
    <w:p w14:paraId="2898F68C" w14:textId="77777777"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ESCs considered the pre-ESC response’s revised weighting of 60% pembrolizumab combination therapy and 40% as monotherapy to be more appropriate than the weighting used in the previous submission and resubmission</w:t>
      </w:r>
      <w:r>
        <w:rPr>
          <w:rFonts w:ascii="Times New Roman" w:eastAsia="Times New Roman" w:hAnsi="Times New Roman" w:cs="Times New Roman"/>
          <w:szCs w:val="20"/>
          <w:lang w:eastAsia="en-AU"/>
        </w:rPr>
        <w:t>, though it remains uncertain given proposed changes to CPS ≥20 for monotherapy</w:t>
      </w:r>
      <w:r w:rsidRPr="00250FA5">
        <w:rPr>
          <w:rFonts w:ascii="Times New Roman" w:eastAsia="Times New Roman" w:hAnsi="Times New Roman" w:cs="Times New Roman"/>
          <w:szCs w:val="20"/>
          <w:lang w:eastAsia="en-AU"/>
        </w:rPr>
        <w:t>. The ESCs noted the following issues may lead to underestimating the ICER:</w:t>
      </w:r>
    </w:p>
    <w:p w14:paraId="0F372836" w14:textId="77777777" w:rsidR="007141D5" w:rsidRPr="00250FA5" w:rsidRDefault="007141D5" w:rsidP="00B2387B">
      <w:pPr>
        <w:numPr>
          <w:ilvl w:val="0"/>
          <w:numId w:val="81"/>
        </w:numPr>
        <w:spacing w:before="0"/>
        <w:ind w:left="714" w:hanging="357"/>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The </w:t>
      </w:r>
      <w:r w:rsidRPr="00B2387B">
        <w:rPr>
          <w:rFonts w:ascii="Times New Roman" w:eastAsia="Calibri" w:hAnsi="Times New Roman" w:cs="Times New Roman"/>
          <w:szCs w:val="20"/>
        </w:rPr>
        <w:t>extrapolation</w:t>
      </w:r>
      <w:r w:rsidRPr="00250FA5">
        <w:rPr>
          <w:rFonts w:ascii="Times New Roman" w:eastAsia="Times New Roman" w:hAnsi="Times New Roman" w:cs="Times New Roman"/>
          <w:szCs w:val="20"/>
          <w:lang w:eastAsia="en-AU"/>
        </w:rPr>
        <w:t xml:space="preserve"> of outcomes which appeared to overestimate OS to some degree;</w:t>
      </w:r>
    </w:p>
    <w:p w14:paraId="520E60CE" w14:textId="77777777" w:rsidR="007141D5" w:rsidRPr="00250FA5" w:rsidRDefault="007141D5" w:rsidP="00B2387B">
      <w:pPr>
        <w:numPr>
          <w:ilvl w:val="0"/>
          <w:numId w:val="81"/>
        </w:numPr>
        <w:spacing w:before="0"/>
        <w:ind w:left="714" w:hanging="357"/>
        <w:jc w:val="left"/>
        <w:rPr>
          <w:rFonts w:ascii="Times New Roman" w:eastAsia="Times New Roman" w:hAnsi="Times New Roman" w:cs="Times New Roman"/>
          <w:szCs w:val="20"/>
          <w:lang w:eastAsia="en-AU"/>
        </w:rPr>
      </w:pPr>
      <w:r w:rsidRPr="00B2387B">
        <w:rPr>
          <w:rFonts w:ascii="Times New Roman" w:eastAsia="Calibri" w:hAnsi="Times New Roman" w:cs="Times New Roman"/>
          <w:szCs w:val="20"/>
        </w:rPr>
        <w:t>Overestimation</w:t>
      </w:r>
      <w:r w:rsidRPr="00250FA5">
        <w:rPr>
          <w:rFonts w:ascii="Times New Roman" w:eastAsia="Times New Roman" w:hAnsi="Times New Roman" w:cs="Times New Roman"/>
          <w:szCs w:val="20"/>
          <w:lang w:eastAsia="en-AU"/>
        </w:rPr>
        <w:t xml:space="preserve"> of adverse event costs in the resubmission’s base case;</w:t>
      </w:r>
    </w:p>
    <w:p w14:paraId="0CA499BA" w14:textId="77777777" w:rsidR="007141D5" w:rsidRPr="00250FA5" w:rsidRDefault="007141D5" w:rsidP="00B2387B">
      <w:pPr>
        <w:numPr>
          <w:ilvl w:val="0"/>
          <w:numId w:val="81"/>
        </w:numPr>
        <w:spacing w:before="0"/>
        <w:ind w:left="714" w:hanging="357"/>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Inconsistent </w:t>
      </w:r>
      <w:r w:rsidRPr="00B2387B">
        <w:rPr>
          <w:rFonts w:ascii="Times New Roman" w:eastAsia="Calibri" w:hAnsi="Times New Roman" w:cs="Times New Roman"/>
          <w:szCs w:val="20"/>
        </w:rPr>
        <w:t>QALY</w:t>
      </w:r>
      <w:r w:rsidRPr="00250FA5">
        <w:rPr>
          <w:rFonts w:ascii="Times New Roman" w:eastAsia="Times New Roman" w:hAnsi="Times New Roman" w:cs="Times New Roman"/>
          <w:szCs w:val="20"/>
          <w:lang w:eastAsia="en-AU"/>
        </w:rPr>
        <w:t xml:space="preserve"> gain in the SoC arm in monotherapy and combination therapy arms that was not justified in the resubmission. Using the QALY gain in the SoC arm in EA2 to inform EA1 increased the ICER in EA1 by 16%; and</w:t>
      </w:r>
    </w:p>
    <w:p w14:paraId="21AA34B6" w14:textId="08BE2CBC" w:rsidR="007141D5" w:rsidRPr="00250FA5" w:rsidRDefault="007141D5" w:rsidP="00B2387B">
      <w:pPr>
        <w:numPr>
          <w:ilvl w:val="0"/>
          <w:numId w:val="81"/>
        </w:numPr>
        <w:spacing w:before="0" w:after="0"/>
        <w:ind w:left="714" w:hanging="357"/>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The OS curves </w:t>
      </w:r>
      <w:r w:rsidRPr="00B2387B">
        <w:rPr>
          <w:rFonts w:ascii="Times New Roman" w:eastAsia="Calibri" w:hAnsi="Times New Roman" w:cs="Times New Roman"/>
          <w:szCs w:val="20"/>
        </w:rPr>
        <w:t>did</w:t>
      </w:r>
      <w:r w:rsidRPr="00250FA5">
        <w:rPr>
          <w:rFonts w:ascii="Times New Roman" w:eastAsia="Times New Roman" w:hAnsi="Times New Roman" w:cs="Times New Roman"/>
          <w:szCs w:val="20"/>
          <w:lang w:eastAsia="en-AU"/>
        </w:rPr>
        <w:t xml:space="preserve"> not converge which was inconsistent with </w:t>
      </w:r>
      <w:r w:rsidR="00DA1CCA">
        <w:rPr>
          <w:rFonts w:ascii="Times New Roman" w:eastAsia="Times New Roman" w:hAnsi="Times New Roman" w:cs="Times New Roman"/>
          <w:szCs w:val="20"/>
          <w:lang w:eastAsia="en-AU"/>
        </w:rPr>
        <w:t> </w:t>
      </w:r>
      <w:r w:rsidRPr="00250FA5">
        <w:rPr>
          <w:rFonts w:ascii="Times New Roman" w:eastAsia="Times New Roman" w:hAnsi="Times New Roman" w:cs="Times New Roman"/>
          <w:szCs w:val="20"/>
          <w:lang w:eastAsia="en-AU"/>
        </w:rPr>
        <w:t>the 2L nivolumab for R/M HNSCC model previously considered by the PBAC.</w:t>
      </w:r>
    </w:p>
    <w:p w14:paraId="4D6EC1D1" w14:textId="02C6DFE6" w:rsidR="007141D5" w:rsidRPr="00250FA5"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The ESCs noted that the revised financial estimates did not incorporate the estimated prevalence of CPS ≥20, rather it assume</w:t>
      </w:r>
      <w:r>
        <w:rPr>
          <w:rFonts w:ascii="Times New Roman" w:eastAsia="Times New Roman" w:hAnsi="Times New Roman" w:cs="Times New Roman"/>
          <w:szCs w:val="20"/>
          <w:lang w:eastAsia="en-AU"/>
        </w:rPr>
        <w:t>d</w:t>
      </w:r>
      <w:r w:rsidRPr="00250FA5">
        <w:rPr>
          <w:rFonts w:ascii="Times New Roman" w:eastAsia="Times New Roman" w:hAnsi="Times New Roman" w:cs="Times New Roman"/>
          <w:szCs w:val="20"/>
          <w:lang w:eastAsia="en-AU"/>
        </w:rPr>
        <w:t xml:space="preserve"> fewer (40%) of patients with CPS ≥1 would use pembrolizumab monotherapy. The ESCs noted that using the patient demographics in KN048, 43</w:t>
      </w:r>
      <w:r w:rsidRPr="00DA1CCA">
        <w:rPr>
          <w:rFonts w:ascii="Times New Roman" w:eastAsia="Times New Roman" w:hAnsi="Times New Roman" w:cs="Times New Roman"/>
          <w:szCs w:val="20"/>
          <w:lang w:eastAsia="en-AU"/>
        </w:rPr>
        <w:t>% (257/</w:t>
      </w:r>
      <w:r w:rsidR="0085176A" w:rsidRPr="00DA1CCA">
        <w:rPr>
          <w:rFonts w:ascii="Times New Roman" w:eastAsia="Times New Roman" w:hAnsi="Times New Roman" w:cs="Times New Roman"/>
          <w:szCs w:val="20"/>
          <w:lang w:eastAsia="en-AU"/>
        </w:rPr>
        <w:t>601</w:t>
      </w:r>
      <w:r w:rsidRPr="00DA1CCA">
        <w:rPr>
          <w:rFonts w:ascii="Times New Roman" w:eastAsia="Times New Roman" w:hAnsi="Times New Roman" w:cs="Times New Roman"/>
          <w:szCs w:val="20"/>
          <w:lang w:eastAsia="en-AU"/>
        </w:rPr>
        <w:t>) of patients had CPS ≥1 but &lt;20 compared to 85% (512/601) of</w:t>
      </w:r>
      <w:r w:rsidRPr="00250FA5">
        <w:rPr>
          <w:rFonts w:ascii="Times New Roman" w:eastAsia="Times New Roman" w:hAnsi="Times New Roman" w:cs="Times New Roman"/>
          <w:szCs w:val="20"/>
          <w:lang w:eastAsia="en-AU"/>
        </w:rPr>
        <w:t xml:space="preserve"> patients who had CPS ≥1. These ratios indicate that 50.5% of all patients with CPS ≥1 would have CPS &lt;20 (i.e. would not be eligible for pembrolizumab monotherapy). The pre-ESC response’s financial estimates also updated the calculation of the eligible population.</w:t>
      </w:r>
    </w:p>
    <w:p w14:paraId="54095363" w14:textId="1755CC2B" w:rsidR="000869C9" w:rsidRDefault="007141D5" w:rsidP="004368BE">
      <w:pPr>
        <w:spacing w:before="240" w:after="0"/>
        <w:jc w:val="left"/>
        <w:rPr>
          <w:rFonts w:ascii="Times New Roman" w:eastAsia="Times New Roman" w:hAnsi="Times New Roman" w:cs="Times New Roman"/>
          <w:szCs w:val="20"/>
          <w:lang w:eastAsia="en-AU"/>
        </w:rPr>
      </w:pPr>
      <w:r w:rsidRPr="00250FA5">
        <w:rPr>
          <w:rFonts w:ascii="Times New Roman" w:eastAsia="Times New Roman" w:hAnsi="Times New Roman" w:cs="Times New Roman"/>
          <w:szCs w:val="20"/>
          <w:lang w:eastAsia="en-AU"/>
        </w:rPr>
        <w:t xml:space="preserve">The ESCs considered the financial impact to the MBS were uncertain as </w:t>
      </w:r>
      <w:r>
        <w:rPr>
          <w:rFonts w:ascii="Times New Roman" w:eastAsia="Times New Roman" w:hAnsi="Times New Roman" w:cs="Times New Roman"/>
          <w:szCs w:val="20"/>
          <w:lang w:eastAsia="en-AU"/>
        </w:rPr>
        <w:t>estimates</w:t>
      </w:r>
      <w:r w:rsidRPr="00250FA5">
        <w:rPr>
          <w:rFonts w:ascii="Times New Roman" w:eastAsia="Times New Roman" w:hAnsi="Times New Roman" w:cs="Times New Roman"/>
          <w:szCs w:val="20"/>
          <w:lang w:eastAsia="en-AU"/>
        </w:rPr>
        <w:t xml:space="preserve"> were dependent on the assumptions around comparator treatment administration. The ESCs noted that MBS costs had increased in the pre-ESC response, resulting in a smaller net saving to the MBS. These were not fully evaluated. The changes appeared to be due to more patients using pemb</w:t>
      </w:r>
      <w:r>
        <w:rPr>
          <w:rFonts w:ascii="Times New Roman" w:eastAsia="Times New Roman" w:hAnsi="Times New Roman" w:cs="Times New Roman"/>
          <w:szCs w:val="20"/>
          <w:lang w:eastAsia="en-AU"/>
        </w:rPr>
        <w:t>r</w:t>
      </w:r>
      <w:r w:rsidRPr="00250FA5">
        <w:rPr>
          <w:rFonts w:ascii="Times New Roman" w:eastAsia="Times New Roman" w:hAnsi="Times New Roman" w:cs="Times New Roman"/>
          <w:szCs w:val="20"/>
          <w:lang w:eastAsia="en-AU"/>
        </w:rPr>
        <w:t>olizumab with chemotherapy (fewer administration cost offsets for chemotherapy), lower cost offsets for nivolumab administration (shorter duration of nivolumab use and some 4-weekly administration), and changes to chemotherapy use.</w:t>
      </w:r>
      <w:bookmarkEnd w:id="30"/>
      <w:bookmarkEnd w:id="31"/>
      <w:bookmarkEnd w:id="32"/>
    </w:p>
    <w:p w14:paraId="29564CE8" w14:textId="748186FB" w:rsidR="004368BE" w:rsidRPr="004368BE" w:rsidRDefault="004368BE" w:rsidP="004368BE">
      <w:pPr>
        <w:pStyle w:val="Heading1"/>
        <w:numPr>
          <w:ilvl w:val="0"/>
          <w:numId w:val="69"/>
        </w:numPr>
        <w:tabs>
          <w:tab w:val="clear" w:pos="1080"/>
        </w:tabs>
        <w:spacing w:before="240" w:after="240" w:line="240" w:lineRule="auto"/>
        <w:ind w:left="720"/>
        <w:rPr>
          <w:rFonts w:ascii="Arial" w:hAnsi="Arial" w:cs="Arial"/>
          <w:bCs/>
          <w:sz w:val="24"/>
          <w:lang w:eastAsia="en-AU"/>
        </w:rPr>
      </w:pPr>
      <w:r w:rsidRPr="004368BE">
        <w:rPr>
          <w:rFonts w:ascii="Arial" w:hAnsi="Arial" w:cs="Arial"/>
          <w:bCs/>
          <w:sz w:val="24"/>
          <w:lang w:eastAsia="en-AU"/>
        </w:rPr>
        <w:t>Other significant factors</w:t>
      </w:r>
    </w:p>
    <w:p w14:paraId="6ED12EBB" w14:textId="7ADB25EB" w:rsidR="004368BE" w:rsidRPr="004368BE" w:rsidRDefault="004368BE" w:rsidP="004368BE">
      <w:pPr>
        <w:spacing w:before="240" w:after="240"/>
        <w:rPr>
          <w:rFonts w:ascii="Times New Roman" w:hAnsi="Times New Roman" w:cs="Times New Roman"/>
        </w:rPr>
      </w:pPr>
      <w:r w:rsidRPr="004368BE">
        <w:rPr>
          <w:rFonts w:ascii="Times New Roman" w:hAnsi="Times New Roman" w:cs="Times New Roman"/>
        </w:rPr>
        <w:t>Nil</w:t>
      </w:r>
      <w:r w:rsidR="00A2043B">
        <w:rPr>
          <w:rFonts w:ascii="Times New Roman" w:hAnsi="Times New Roman" w:cs="Times New Roman"/>
        </w:rPr>
        <w:t>.</w:t>
      </w:r>
    </w:p>
    <w:p w14:paraId="69FA9C97" w14:textId="2F174DF2" w:rsidR="004368BE" w:rsidRPr="004368BE" w:rsidRDefault="004368BE" w:rsidP="004368BE">
      <w:pPr>
        <w:pStyle w:val="Heading1"/>
        <w:numPr>
          <w:ilvl w:val="0"/>
          <w:numId w:val="69"/>
        </w:numPr>
        <w:tabs>
          <w:tab w:val="clear" w:pos="1080"/>
        </w:tabs>
        <w:spacing w:before="240" w:after="240" w:line="240" w:lineRule="auto"/>
        <w:ind w:left="720"/>
        <w:rPr>
          <w:rFonts w:ascii="Arial" w:hAnsi="Arial" w:cs="Arial"/>
          <w:bCs/>
          <w:sz w:val="24"/>
          <w:lang w:eastAsia="en-AU"/>
        </w:rPr>
      </w:pPr>
      <w:r w:rsidRPr="004368BE">
        <w:rPr>
          <w:rFonts w:ascii="Arial" w:hAnsi="Arial" w:cs="Arial"/>
          <w:bCs/>
          <w:sz w:val="24"/>
          <w:lang w:eastAsia="en-AU"/>
        </w:rPr>
        <w:t>Applicant comments on MSAC’s Public Summary Document</w:t>
      </w:r>
    </w:p>
    <w:p w14:paraId="76DA3C22" w14:textId="6159889F" w:rsidR="004C1F4A" w:rsidRPr="004368BE" w:rsidRDefault="004C1F4A" w:rsidP="004368BE">
      <w:pPr>
        <w:spacing w:before="240" w:after="240"/>
        <w:jc w:val="left"/>
        <w:rPr>
          <w:rFonts w:ascii="Times New Roman" w:eastAsia="Times New Roman" w:hAnsi="Times New Roman" w:cs="Times New Roman"/>
          <w:color w:val="00B0F0"/>
          <w:szCs w:val="24"/>
          <w:lang w:eastAsia="en-AU"/>
        </w:rPr>
      </w:pPr>
      <w:r w:rsidRPr="005F0B6D">
        <w:rPr>
          <w:rFonts w:ascii="Times New Roman" w:eastAsia="Times New Roman" w:hAnsi="Times New Roman" w:cs="Times New Roman"/>
          <w:szCs w:val="24"/>
          <w:lang w:eastAsia="en-AU"/>
        </w:rPr>
        <w:t xml:space="preserve">The Sponsor is pleased that </w:t>
      </w:r>
      <w:r w:rsidR="005F0B6D">
        <w:rPr>
          <w:rFonts w:ascii="Times New Roman" w:eastAsia="Times New Roman" w:hAnsi="Times New Roman" w:cs="Times New Roman"/>
          <w:szCs w:val="24"/>
          <w:lang w:eastAsia="en-AU"/>
        </w:rPr>
        <w:t xml:space="preserve">MSAC supports the use of the </w:t>
      </w:r>
      <w:r w:rsidRPr="005F0B6D">
        <w:rPr>
          <w:rFonts w:ascii="Times New Roman" w:eastAsia="Times New Roman" w:hAnsi="Times New Roman" w:cs="Times New Roman"/>
          <w:szCs w:val="24"/>
          <w:lang w:eastAsia="en-AU"/>
        </w:rPr>
        <w:t>PD-L1 test for</w:t>
      </w:r>
      <w:r w:rsidR="005F0B6D">
        <w:rPr>
          <w:rFonts w:ascii="Times New Roman" w:eastAsia="Times New Roman" w:hAnsi="Times New Roman" w:cs="Times New Roman"/>
          <w:szCs w:val="24"/>
          <w:lang w:eastAsia="en-AU"/>
        </w:rPr>
        <w:t xml:space="preserve"> access to pembrolizumab for </w:t>
      </w:r>
      <w:r w:rsidRPr="005F0B6D">
        <w:rPr>
          <w:rFonts w:ascii="Times New Roman" w:eastAsia="Times New Roman" w:hAnsi="Times New Roman" w:cs="Times New Roman"/>
          <w:szCs w:val="24"/>
          <w:lang w:eastAsia="en-AU"/>
        </w:rPr>
        <w:t>HNSCC</w:t>
      </w:r>
      <w:r w:rsidR="005F0B6D">
        <w:rPr>
          <w:rFonts w:ascii="Times New Roman" w:eastAsia="Times New Roman" w:hAnsi="Times New Roman" w:cs="Times New Roman"/>
          <w:szCs w:val="24"/>
          <w:lang w:eastAsia="en-AU"/>
        </w:rPr>
        <w:t>.</w:t>
      </w:r>
      <w:r w:rsidRPr="005F0B6D">
        <w:rPr>
          <w:rFonts w:ascii="Times New Roman" w:eastAsia="Times New Roman" w:hAnsi="Times New Roman" w:cs="Times New Roman"/>
          <w:szCs w:val="24"/>
          <w:lang w:eastAsia="en-AU"/>
        </w:rPr>
        <w:t xml:space="preserve"> </w:t>
      </w:r>
    </w:p>
    <w:p w14:paraId="5BEEB720" w14:textId="568874C7" w:rsidR="004368BE" w:rsidRPr="004368BE" w:rsidRDefault="004368BE" w:rsidP="004368BE">
      <w:pPr>
        <w:pStyle w:val="Heading1"/>
        <w:numPr>
          <w:ilvl w:val="0"/>
          <w:numId w:val="69"/>
        </w:numPr>
        <w:tabs>
          <w:tab w:val="clear" w:pos="1080"/>
        </w:tabs>
        <w:spacing w:before="240" w:after="240" w:line="240" w:lineRule="auto"/>
        <w:ind w:left="720"/>
        <w:rPr>
          <w:rFonts w:ascii="Arial" w:hAnsi="Arial" w:cs="Arial"/>
          <w:bCs/>
          <w:sz w:val="24"/>
          <w:lang w:eastAsia="en-AU"/>
        </w:rPr>
      </w:pPr>
      <w:r w:rsidRPr="004368BE">
        <w:rPr>
          <w:rFonts w:ascii="Arial" w:hAnsi="Arial" w:cs="Arial"/>
          <w:bCs/>
          <w:sz w:val="24"/>
          <w:lang w:eastAsia="en-AU"/>
        </w:rPr>
        <w:t>Further information on MSAC</w:t>
      </w:r>
    </w:p>
    <w:p w14:paraId="51865421" w14:textId="1E27E078" w:rsidR="004368BE" w:rsidRPr="004368BE" w:rsidRDefault="004368BE" w:rsidP="00A2043B">
      <w:pPr>
        <w:spacing w:before="240" w:after="240"/>
        <w:jc w:val="left"/>
        <w:rPr>
          <w:rFonts w:ascii="Times New Roman" w:eastAsia="Times New Roman" w:hAnsi="Times New Roman" w:cs="Times New Roman"/>
          <w:szCs w:val="20"/>
          <w:lang w:eastAsia="en-AU"/>
        </w:rPr>
      </w:pPr>
      <w:r w:rsidRPr="004368BE">
        <w:rPr>
          <w:rFonts w:ascii="Times New Roman" w:hAnsi="Times New Roman" w:cs="Times New Roman"/>
          <w:szCs w:val="24"/>
        </w:rPr>
        <w:t xml:space="preserve">MSAC Terms of Reference and other information are available on the MSAC Website: </w:t>
      </w:r>
      <w:r w:rsidRPr="004368BE">
        <w:rPr>
          <w:rFonts w:ascii="Times New Roman" w:hAnsi="Times New Roman" w:cs="Times New Roman"/>
          <w:szCs w:val="24"/>
        </w:rPr>
        <w:br/>
      </w:r>
      <w:hyperlink r:id="rId20" w:tooltip="Link to Medical Services Advisory Committee website" w:history="1">
        <w:r w:rsidRPr="004368BE">
          <w:rPr>
            <w:rStyle w:val="Hyperlink"/>
            <w:rFonts w:ascii="Times New Roman" w:hAnsi="Times New Roman" w:cs="Times New Roman"/>
            <w:szCs w:val="24"/>
          </w:rPr>
          <w:t>visit the MSAC website</w:t>
        </w:r>
      </w:hyperlink>
    </w:p>
    <w:sectPr w:rsidR="004368BE" w:rsidRPr="004368BE">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9DDCF" w14:textId="77777777" w:rsidR="0005387F" w:rsidRDefault="0005387F" w:rsidP="00BA3306">
      <w:pPr>
        <w:spacing w:before="0" w:after="0"/>
      </w:pPr>
      <w:r>
        <w:separator/>
      </w:r>
    </w:p>
    <w:p w14:paraId="1F2F4244" w14:textId="77777777" w:rsidR="0005387F" w:rsidRDefault="0005387F"/>
  </w:endnote>
  <w:endnote w:type="continuationSeparator" w:id="0">
    <w:p w14:paraId="78252474" w14:textId="77777777" w:rsidR="0005387F" w:rsidRDefault="0005387F" w:rsidP="00BA3306">
      <w:pPr>
        <w:spacing w:before="0" w:after="0"/>
      </w:pPr>
      <w:r>
        <w:continuationSeparator/>
      </w:r>
    </w:p>
    <w:p w14:paraId="43F47AD7" w14:textId="77777777" w:rsidR="0005387F" w:rsidRDefault="0005387F"/>
  </w:endnote>
  <w:endnote w:type="continuationNotice" w:id="1">
    <w:p w14:paraId="08502148" w14:textId="77777777" w:rsidR="0005387F" w:rsidRDefault="000538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Open Sans">
    <w:altName w:val="Tahoma"/>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902880"/>
      <w:docPartObj>
        <w:docPartGallery w:val="Page Numbers (Bottom of Page)"/>
        <w:docPartUnique/>
      </w:docPartObj>
    </w:sdtPr>
    <w:sdtEndPr>
      <w:rPr>
        <w:noProof/>
      </w:rPr>
    </w:sdtEndPr>
    <w:sdtContent>
      <w:p w14:paraId="677CD7FB" w14:textId="51C95F73" w:rsidR="0005387F" w:rsidRDefault="000538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13FB5" w14:textId="77777777" w:rsidR="0005387F" w:rsidRDefault="00053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50562" w14:textId="77777777" w:rsidR="0005387F" w:rsidRDefault="0005387F" w:rsidP="00BA3306">
      <w:pPr>
        <w:spacing w:before="0" w:after="0"/>
      </w:pPr>
      <w:r>
        <w:separator/>
      </w:r>
    </w:p>
    <w:p w14:paraId="425C53D9" w14:textId="77777777" w:rsidR="0005387F" w:rsidRDefault="0005387F"/>
  </w:footnote>
  <w:footnote w:type="continuationSeparator" w:id="0">
    <w:p w14:paraId="66379637" w14:textId="77777777" w:rsidR="0005387F" w:rsidRDefault="0005387F" w:rsidP="00BA3306">
      <w:pPr>
        <w:spacing w:before="0" w:after="0"/>
      </w:pPr>
      <w:r>
        <w:continuationSeparator/>
      </w:r>
    </w:p>
    <w:p w14:paraId="7D8AB609" w14:textId="77777777" w:rsidR="0005387F" w:rsidRDefault="0005387F"/>
  </w:footnote>
  <w:footnote w:type="continuationNotice" w:id="1">
    <w:p w14:paraId="543415BE" w14:textId="77777777" w:rsidR="0005387F" w:rsidRDefault="0005387F">
      <w:pPr>
        <w:spacing w:before="0" w:after="0"/>
      </w:pPr>
    </w:p>
  </w:footnote>
  <w:footnote w:id="2">
    <w:p w14:paraId="50F245A8" w14:textId="77777777" w:rsidR="0005387F" w:rsidRPr="00316ACA" w:rsidRDefault="0005387F" w:rsidP="00724889">
      <w:pPr>
        <w:pStyle w:val="FootnoteText"/>
        <w:rPr>
          <w:rFonts w:ascii="Times New Roman" w:hAnsi="Times New Roman" w:cs="Times New Roman"/>
          <w:color w:val="000000"/>
        </w:rPr>
      </w:pPr>
      <w:r w:rsidRPr="00316ACA">
        <w:rPr>
          <w:rStyle w:val="FootnoteReference"/>
          <w:rFonts w:ascii="Times New Roman" w:hAnsi="Times New Roman" w:cs="Times New Roman"/>
        </w:rPr>
        <w:footnoteRef/>
      </w:r>
      <w:r w:rsidRPr="00316ACA">
        <w:rPr>
          <w:rFonts w:ascii="Times New Roman" w:hAnsi="Times New Roman" w:cs="Times New Roman"/>
        </w:rPr>
        <w:t xml:space="preserve"> </w:t>
      </w:r>
      <w:r w:rsidRPr="00316ACA">
        <w:rPr>
          <w:rFonts w:ascii="Times New Roman" w:hAnsi="Times New Roman" w:cs="Times New Roman"/>
        </w:rPr>
        <w:tab/>
        <w:t xml:space="preserve">Rasmussen et al. Intratumor heterogeneity of PD-L1 expression in head and neck squamous cell carcinoma, </w:t>
      </w:r>
      <w:r w:rsidRPr="00316ACA">
        <w:rPr>
          <w:rFonts w:ascii="Times New Roman" w:hAnsi="Times New Roman" w:cs="Times New Roman"/>
          <w:i/>
          <w:iCs/>
        </w:rPr>
        <w:t>British Journal of Cancer</w:t>
      </w:r>
      <w:r w:rsidRPr="00316ACA">
        <w:rPr>
          <w:rFonts w:ascii="Times New Roman" w:hAnsi="Times New Roman" w:cs="Times New Roman"/>
        </w:rPr>
        <w:t xml:space="preserve"> 2019;120:1003–1006.</w:t>
      </w:r>
    </w:p>
  </w:footnote>
  <w:footnote w:id="3">
    <w:p w14:paraId="23AD6E13" w14:textId="77777777" w:rsidR="0005387F" w:rsidRDefault="0005387F" w:rsidP="004D6186">
      <w:pPr>
        <w:pStyle w:val="FootnoteText"/>
      </w:pPr>
      <w:r w:rsidRPr="00316ACA">
        <w:rPr>
          <w:rStyle w:val="FootnoteReference"/>
          <w:rFonts w:ascii="Times New Roman" w:hAnsi="Times New Roman" w:cs="Times New Roman"/>
        </w:rPr>
        <w:footnoteRef/>
      </w:r>
      <w:r w:rsidRPr="00316ACA">
        <w:rPr>
          <w:rFonts w:ascii="Times New Roman" w:hAnsi="Times New Roman" w:cs="Times New Roman"/>
        </w:rPr>
        <w:t xml:space="preserve"> </w:t>
      </w:r>
      <w:r w:rsidRPr="00316ACA">
        <w:rPr>
          <w:rFonts w:ascii="Times New Roman" w:hAnsi="Times New Roman" w:cs="Times New Roman"/>
        </w:rPr>
        <w:tab/>
        <w:t xml:space="preserve">Crosta et al. PD-L1 Testing and squamous cell carcinoma of the head and neck: a multicenter study on the diagnostic reproducibility of different protocols, </w:t>
      </w:r>
      <w:r w:rsidRPr="00316ACA">
        <w:rPr>
          <w:rFonts w:ascii="Times New Roman" w:hAnsi="Times New Roman" w:cs="Times New Roman"/>
          <w:i/>
          <w:iCs/>
        </w:rPr>
        <w:t>Cancers</w:t>
      </w:r>
      <w:r w:rsidRPr="00316ACA">
        <w:rPr>
          <w:rFonts w:ascii="Times New Roman" w:hAnsi="Times New Roman" w:cs="Times New Roman"/>
        </w:rPr>
        <w:t xml:space="preserve"> 2021;13:292.</w:t>
      </w:r>
    </w:p>
  </w:footnote>
  <w:footnote w:id="4">
    <w:p w14:paraId="3E09D2C2" w14:textId="597A7E62" w:rsidR="0005387F" w:rsidRPr="00316ACA" w:rsidRDefault="0005387F" w:rsidP="00110DCA">
      <w:pPr>
        <w:pStyle w:val="FootnoteText"/>
        <w:jc w:val="left"/>
        <w:rPr>
          <w:rFonts w:ascii="Times New Roman" w:hAnsi="Times New Roman" w:cs="Times New Roman"/>
        </w:rPr>
      </w:pPr>
      <w:r w:rsidRPr="00316ACA">
        <w:rPr>
          <w:rStyle w:val="FootnoteReference"/>
          <w:rFonts w:ascii="Times New Roman" w:hAnsi="Times New Roman" w:cs="Times New Roman"/>
        </w:rPr>
        <w:footnoteRef/>
      </w:r>
      <w:r w:rsidRPr="00316ACA">
        <w:rPr>
          <w:rFonts w:ascii="Times New Roman" w:hAnsi="Times New Roman" w:cs="Times New Roman"/>
        </w:rPr>
        <w:t xml:space="preserve"> Agilent Technologies. PD-L1 IHC 22C3 pharmDx Interpretation Manual – Head and Neck Squamous Cell Carcinoma (HNSCC). Published June 2019. Accessed November 2021. https://www.agilent.com/cs/library/usermanuals/public/29314_22c3_pharmDx_hnscc_interpretation_manual_us.pdf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C78BB" w14:textId="7EFB74D4" w:rsidR="0005387F" w:rsidRDefault="0005387F" w:rsidP="0017405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94243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27B25"/>
    <w:multiLevelType w:val="multilevel"/>
    <w:tmpl w:val="362A715A"/>
    <w:lvl w:ilvl="0">
      <w:start w:val="1"/>
      <w:numFmt w:val="bullet"/>
      <w:lvlText w:val=""/>
      <w:lvlJc w:val="left"/>
      <w:pPr>
        <w:ind w:left="720" w:hanging="720"/>
      </w:pPr>
      <w:rPr>
        <w:rFonts w:ascii="Symbol" w:hAnsi="Symbol"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720" w:hanging="720"/>
      </w:pPr>
      <w:rPr>
        <w:rFonts w:ascii="Symbol" w:hAnsi="Symbol" w:hint="default"/>
        <w:i w:val="0"/>
        <w:iCs w:val="0"/>
        <w:color w:val="auto"/>
      </w:rPr>
    </w:lvl>
    <w:lvl w:ilvl="5">
      <w:numFmt w:val="bullet"/>
      <w:lvlText w:val="-"/>
      <w:lvlJc w:val="left"/>
      <w:pPr>
        <w:ind w:left="720" w:hanging="720"/>
      </w:pPr>
      <w:rPr>
        <w:rFonts w:ascii="Calibri" w:eastAsiaTheme="minorHAnsi" w:hAnsi="Calibri" w:cs="Calibri"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864D2"/>
    <w:multiLevelType w:val="hybridMultilevel"/>
    <w:tmpl w:val="0F300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DE184F"/>
    <w:multiLevelType w:val="hybridMultilevel"/>
    <w:tmpl w:val="6FF698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F4A407C"/>
    <w:multiLevelType w:val="hybridMultilevel"/>
    <w:tmpl w:val="25BA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762839"/>
    <w:multiLevelType w:val="multilevel"/>
    <w:tmpl w:val="647E8C4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75015"/>
    <w:multiLevelType w:val="hybridMultilevel"/>
    <w:tmpl w:val="0B3C7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47032CB"/>
    <w:multiLevelType w:val="hybridMultilevel"/>
    <w:tmpl w:val="85F69C5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D73079"/>
    <w:multiLevelType w:val="hybridMultilevel"/>
    <w:tmpl w:val="A0182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504B41"/>
    <w:multiLevelType w:val="hybridMultilevel"/>
    <w:tmpl w:val="591CEDD4"/>
    <w:lvl w:ilvl="0" w:tplc="6800311C">
      <w:start w:val="1"/>
      <w:numFmt w:val="bullet"/>
      <w:pStyle w:val="ES-bullets"/>
      <w:lvlText w:val=""/>
      <w:lvlJc w:val="left"/>
      <w:pPr>
        <w:ind w:left="643"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4" w15:restartNumberingAfterBreak="0">
    <w:nsid w:val="18C62828"/>
    <w:multiLevelType w:val="hybridMultilevel"/>
    <w:tmpl w:val="06B2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FA6941"/>
    <w:multiLevelType w:val="hybridMultilevel"/>
    <w:tmpl w:val="4B20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1371D5"/>
    <w:multiLevelType w:val="hybridMultilevel"/>
    <w:tmpl w:val="AB486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490F8C"/>
    <w:multiLevelType w:val="multilevel"/>
    <w:tmpl w:val="B3ECD226"/>
    <w:lvl w:ilvl="0">
      <w:start w:val="1"/>
      <w:numFmt w:val="decimal"/>
      <w:lvlText w:val="%1"/>
      <w:lvlJc w:val="left"/>
      <w:pPr>
        <w:ind w:left="432" w:hanging="432"/>
      </w:pPr>
      <w:rPr>
        <w:rFonts w:hint="default"/>
        <w:b/>
      </w:rPr>
    </w:lvl>
    <w:lvl w:ilvl="1">
      <w:start w:val="1"/>
      <w:numFmt w:val="upperLetter"/>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B32146E"/>
    <w:multiLevelType w:val="hybridMultilevel"/>
    <w:tmpl w:val="03AEA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B6A5AC5"/>
    <w:multiLevelType w:val="hybridMultilevel"/>
    <w:tmpl w:val="035093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1F5818D8"/>
    <w:multiLevelType w:val="multilevel"/>
    <w:tmpl w:val="4216D640"/>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i/>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230086"/>
    <w:multiLevelType w:val="multilevel"/>
    <w:tmpl w:val="647E8C4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F84B69"/>
    <w:multiLevelType w:val="hybridMultilevel"/>
    <w:tmpl w:val="A2229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897F3A"/>
    <w:multiLevelType w:val="multilevel"/>
    <w:tmpl w:val="647E8C4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A31E59"/>
    <w:multiLevelType w:val="hybridMultilevel"/>
    <w:tmpl w:val="00507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575C58"/>
    <w:multiLevelType w:val="multilevel"/>
    <w:tmpl w:val="71960468"/>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F64410"/>
    <w:multiLevelType w:val="hybridMultilevel"/>
    <w:tmpl w:val="DD46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0E56ED"/>
    <w:multiLevelType w:val="hybridMultilevel"/>
    <w:tmpl w:val="FFFAE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F112D6"/>
    <w:multiLevelType w:val="hybridMultilevel"/>
    <w:tmpl w:val="BB02E8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2B4112F0"/>
    <w:multiLevelType w:val="hybridMultilevel"/>
    <w:tmpl w:val="1F72B5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2D01400A"/>
    <w:multiLevelType w:val="multilevel"/>
    <w:tmpl w:val="F836E7EA"/>
    <w:lvl w:ilvl="0">
      <w:start w:val="1"/>
      <w:numFmt w:val="bullet"/>
      <w:lvlText w:val=""/>
      <w:lvlJc w:val="left"/>
      <w:pPr>
        <w:ind w:left="720" w:hanging="360"/>
      </w:pPr>
      <w:rPr>
        <w:rFonts w:ascii="Symbol" w:hAnsi="Symbol" w:hint="default"/>
      </w:rPr>
    </w:lvl>
    <w:lvl w:ilvl="1">
      <w:start w:val="1"/>
      <w:numFmt w:val="bullet"/>
      <w:lvlText w:val="o"/>
      <w:lvlJc w:val="left"/>
      <w:pPr>
        <w:ind w:left="1440" w:hanging="476"/>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BD10CD"/>
    <w:multiLevelType w:val="hybridMultilevel"/>
    <w:tmpl w:val="759C7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4CF1851"/>
    <w:multiLevelType w:val="hybridMultilevel"/>
    <w:tmpl w:val="258E2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A3129BB"/>
    <w:multiLevelType w:val="hybridMultilevel"/>
    <w:tmpl w:val="40D812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55215E"/>
    <w:multiLevelType w:val="hybridMultilevel"/>
    <w:tmpl w:val="AE58D640"/>
    <w:lvl w:ilvl="0" w:tplc="648A5F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7B4554"/>
    <w:multiLevelType w:val="hybridMultilevel"/>
    <w:tmpl w:val="CEC8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D080B35"/>
    <w:multiLevelType w:val="hybridMultilevel"/>
    <w:tmpl w:val="4C20D4F4"/>
    <w:lvl w:ilvl="0" w:tplc="9F9E1C7C">
      <w:start w:val="5"/>
      <w:numFmt w:val="bullet"/>
      <w:lvlText w:val="-"/>
      <w:lvlJc w:val="left"/>
      <w:pPr>
        <w:ind w:left="720" w:hanging="360"/>
      </w:pPr>
      <w:rPr>
        <w:rFonts w:ascii="Arial Narrow" w:eastAsiaTheme="minorHAns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9F0798"/>
    <w:multiLevelType w:val="hybridMultilevel"/>
    <w:tmpl w:val="1490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FA02F25"/>
    <w:multiLevelType w:val="hybridMultilevel"/>
    <w:tmpl w:val="AB3E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45" w15:restartNumberingAfterBreak="0">
    <w:nsid w:val="439D2300"/>
    <w:multiLevelType w:val="hybridMultilevel"/>
    <w:tmpl w:val="ED3C9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48D41F62"/>
    <w:multiLevelType w:val="hybridMultilevel"/>
    <w:tmpl w:val="3E00E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491851DA"/>
    <w:multiLevelType w:val="hybridMultilevel"/>
    <w:tmpl w:val="C0A40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9AA4C58"/>
    <w:multiLevelType w:val="multilevel"/>
    <w:tmpl w:val="2AC89CE0"/>
    <w:lvl w:ilvl="0">
      <w:start w:val="1"/>
      <w:numFmt w:val="bullet"/>
      <w:lvlText w:val=""/>
      <w:lvlJc w:val="left"/>
      <w:pPr>
        <w:ind w:left="720" w:hanging="360"/>
      </w:pPr>
      <w:rPr>
        <w:rFonts w:ascii="Symbol" w:hAnsi="Symbol" w:hint="default"/>
      </w:rPr>
    </w:lvl>
    <w:lvl w:ilvl="1">
      <w:start w:val="1"/>
      <w:numFmt w:val="bullet"/>
      <w:lvlText w:val="o"/>
      <w:lvlJc w:val="left"/>
      <w:pPr>
        <w:ind w:left="1440" w:hanging="476"/>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0445F4"/>
    <w:multiLevelType w:val="multilevel"/>
    <w:tmpl w:val="2EB0A30E"/>
    <w:styleLink w:val="Lists6"/>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4" w15:restartNumberingAfterBreak="0">
    <w:nsid w:val="4B3A328E"/>
    <w:multiLevelType w:val="hybridMultilevel"/>
    <w:tmpl w:val="7BB8D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DAC1142"/>
    <w:multiLevelType w:val="multilevel"/>
    <w:tmpl w:val="6EFE96F0"/>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21529A9"/>
    <w:multiLevelType w:val="multilevel"/>
    <w:tmpl w:val="DF4C1776"/>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720" w:hanging="720"/>
      </w:pPr>
      <w:rPr>
        <w:rFonts w:ascii="Symbol" w:hAnsi="Symbol" w:hint="default"/>
        <w:i w:val="0"/>
        <w:iCs w:val="0"/>
        <w:color w:val="auto"/>
      </w:rPr>
    </w:lvl>
    <w:lvl w:ilvl="5">
      <w:numFmt w:val="bullet"/>
      <w:lvlText w:val="-"/>
      <w:lvlJc w:val="left"/>
      <w:pPr>
        <w:ind w:left="720" w:hanging="720"/>
      </w:pPr>
      <w:rPr>
        <w:rFonts w:ascii="Calibri" w:eastAsiaTheme="minorHAnsi" w:hAnsi="Calibri" w:cs="Calibri"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3011CB0"/>
    <w:multiLevelType w:val="hybridMultilevel"/>
    <w:tmpl w:val="65D649E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8" w15:restartNumberingAfterBreak="0">
    <w:nsid w:val="53E25985"/>
    <w:multiLevelType w:val="multilevel"/>
    <w:tmpl w:val="DF4C1776"/>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720" w:hanging="720"/>
      </w:pPr>
      <w:rPr>
        <w:rFonts w:ascii="Symbol" w:hAnsi="Symbol" w:hint="default"/>
        <w:i w:val="0"/>
        <w:iCs w:val="0"/>
        <w:color w:val="auto"/>
      </w:rPr>
    </w:lvl>
    <w:lvl w:ilvl="5">
      <w:numFmt w:val="bullet"/>
      <w:lvlText w:val="-"/>
      <w:lvlJc w:val="left"/>
      <w:pPr>
        <w:ind w:left="720" w:hanging="720"/>
      </w:pPr>
      <w:rPr>
        <w:rFonts w:ascii="Calibri" w:eastAsiaTheme="minorHAnsi" w:hAnsi="Calibri" w:cs="Calibri"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52113FF"/>
    <w:multiLevelType w:val="hybridMultilevel"/>
    <w:tmpl w:val="A156E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5764B73"/>
    <w:multiLevelType w:val="hybridMultilevel"/>
    <w:tmpl w:val="81D0A5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1" w15:restartNumberingAfterBreak="0">
    <w:nsid w:val="57C56A66"/>
    <w:multiLevelType w:val="hybridMultilevel"/>
    <w:tmpl w:val="F8C2D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FDEFF7E">
      <w:numFmt w:val="bullet"/>
      <w:lvlText w:val="•"/>
      <w:lvlJc w:val="left"/>
      <w:pPr>
        <w:ind w:left="2520" w:hanging="72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8447CCC"/>
    <w:multiLevelType w:val="hybridMultilevel"/>
    <w:tmpl w:val="E79E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5F2F1B"/>
    <w:multiLevelType w:val="hybridMultilevel"/>
    <w:tmpl w:val="CADCE54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AA777FF"/>
    <w:multiLevelType w:val="hybridMultilevel"/>
    <w:tmpl w:val="8DE077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6" w15:restartNumberingAfterBreak="0">
    <w:nsid w:val="5D387448"/>
    <w:multiLevelType w:val="multilevel"/>
    <w:tmpl w:val="B22A93B6"/>
    <w:numStyleLink w:val="Heading1a"/>
  </w:abstractNum>
  <w:abstractNum w:abstractNumId="6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D945095"/>
    <w:multiLevelType w:val="hybridMultilevel"/>
    <w:tmpl w:val="4694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F0E6C4B"/>
    <w:multiLevelType w:val="hybridMultilevel"/>
    <w:tmpl w:val="9AE0E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45853F9"/>
    <w:multiLevelType w:val="hybridMultilevel"/>
    <w:tmpl w:val="F1B8E680"/>
    <w:lvl w:ilvl="0" w:tplc="68E6B7E2">
      <w:start w:val="1"/>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6290090"/>
    <w:multiLevelType w:val="hybridMultilevel"/>
    <w:tmpl w:val="69EE7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A174436"/>
    <w:multiLevelType w:val="hybridMultilevel"/>
    <w:tmpl w:val="35288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AF22442"/>
    <w:multiLevelType w:val="hybridMultilevel"/>
    <w:tmpl w:val="AA9A7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4" w15:restartNumberingAfterBreak="0">
    <w:nsid w:val="6CDD2454"/>
    <w:multiLevelType w:val="hybridMultilevel"/>
    <w:tmpl w:val="E52A11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5" w15:restartNumberingAfterBreak="0">
    <w:nsid w:val="6FBA0B51"/>
    <w:multiLevelType w:val="hybridMultilevel"/>
    <w:tmpl w:val="75BC4920"/>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2BE2489"/>
    <w:multiLevelType w:val="hybridMultilevel"/>
    <w:tmpl w:val="BFC68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3BB2230"/>
    <w:multiLevelType w:val="hybridMultilevel"/>
    <w:tmpl w:val="6A8E556A"/>
    <w:lvl w:ilvl="0" w:tplc="279E5F4A">
      <w:numFmt w:val="bullet"/>
      <w:lvlText w:val="-"/>
      <w:lvlJc w:val="left"/>
      <w:pPr>
        <w:ind w:left="930" w:hanging="57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8" w15:restartNumberingAfterBreak="0">
    <w:nsid w:val="75DB336E"/>
    <w:multiLevelType w:val="hybridMultilevel"/>
    <w:tmpl w:val="A718B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7955E2E"/>
    <w:multiLevelType w:val="hybridMultilevel"/>
    <w:tmpl w:val="8500E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84D033C"/>
    <w:multiLevelType w:val="multilevel"/>
    <w:tmpl w:val="647E8C4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FF31AF"/>
    <w:multiLevelType w:val="hybridMultilevel"/>
    <w:tmpl w:val="71960A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3" w15:restartNumberingAfterBreak="0">
    <w:nsid w:val="79DA6D4F"/>
    <w:multiLevelType w:val="hybridMultilevel"/>
    <w:tmpl w:val="68F4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AD5097C"/>
    <w:multiLevelType w:val="hybridMultilevel"/>
    <w:tmpl w:val="A886C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B1E1176"/>
    <w:multiLevelType w:val="hybridMultilevel"/>
    <w:tmpl w:val="3B8A9D3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6" w15:restartNumberingAfterBreak="0">
    <w:nsid w:val="7BC0444C"/>
    <w:multiLevelType w:val="multilevel"/>
    <w:tmpl w:val="97B21A18"/>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720" w:hanging="720"/>
      </w:pPr>
      <w:rPr>
        <w:rFonts w:ascii="Symbol" w:hAnsi="Symbol"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8"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0"/>
  </w:num>
  <w:num w:numId="2">
    <w:abstractNumId w:val="29"/>
  </w:num>
  <w:num w:numId="3">
    <w:abstractNumId w:val="55"/>
  </w:num>
  <w:num w:numId="4">
    <w:abstractNumId w:val="39"/>
  </w:num>
  <w:num w:numId="5">
    <w:abstractNumId w:val="17"/>
  </w:num>
  <w:num w:numId="6">
    <w:abstractNumId w:val="17"/>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4"/>
    </w:lvlOverride>
    <w:lvlOverride w:ilvl="6">
      <w:startOverride w:val="2"/>
    </w:lvlOverride>
    <w:lvlOverride w:ilvl="7">
      <w:startOverride w:val="1"/>
    </w:lvlOverride>
    <w:lvlOverride w:ilvl="8">
      <w:startOverride w:val="1"/>
    </w:lvlOverride>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2"/>
  </w:num>
  <w:num w:numId="11">
    <w:abstractNumId w:val="26"/>
  </w:num>
  <w:num w:numId="12">
    <w:abstractNumId w:val="63"/>
  </w:num>
  <w:num w:numId="13">
    <w:abstractNumId w:val="1"/>
  </w:num>
  <w:num w:numId="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num>
  <w:num w:numId="16">
    <w:abstractNumId w:val="37"/>
  </w:num>
  <w:num w:numId="17">
    <w:abstractNumId w:val="53"/>
  </w:num>
  <w:num w:numId="18">
    <w:abstractNumId w:val="4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num>
  <w:num w:numId="20">
    <w:abstractNumId w:val="0"/>
  </w:num>
  <w:num w:numId="21">
    <w:abstractNumId w:val="61"/>
  </w:num>
  <w:num w:numId="22">
    <w:abstractNumId w:val="59"/>
  </w:num>
  <w:num w:numId="23">
    <w:abstractNumId w:val="82"/>
  </w:num>
  <w:num w:numId="24">
    <w:abstractNumId w:val="24"/>
  </w:num>
  <w:num w:numId="25">
    <w:abstractNumId w:val="65"/>
  </w:num>
  <w:num w:numId="26">
    <w:abstractNumId w:val="6"/>
  </w:num>
  <w:num w:numId="27">
    <w:abstractNumId w:val="27"/>
  </w:num>
  <w:num w:numId="28">
    <w:abstractNumId w:val="34"/>
  </w:num>
  <w:num w:numId="29">
    <w:abstractNumId w:val="68"/>
  </w:num>
  <w:num w:numId="30">
    <w:abstractNumId w:val="54"/>
  </w:num>
  <w:num w:numId="31">
    <w:abstractNumId w:val="41"/>
  </w:num>
  <w:num w:numId="32">
    <w:abstractNumId w:val="16"/>
  </w:num>
  <w:num w:numId="33">
    <w:abstractNumId w:val="42"/>
  </w:num>
  <w:num w:numId="34">
    <w:abstractNumId w:val="79"/>
  </w:num>
  <w:num w:numId="35">
    <w:abstractNumId w:val="13"/>
  </w:num>
  <w:num w:numId="36">
    <w:abstractNumId w:val="22"/>
  </w:num>
  <w:num w:numId="37">
    <w:abstractNumId w:val="19"/>
  </w:num>
  <w:num w:numId="38">
    <w:abstractNumId w:val="51"/>
  </w:num>
  <w:num w:numId="39">
    <w:abstractNumId w:val="36"/>
  </w:num>
  <w:num w:numId="40">
    <w:abstractNumId w:val="40"/>
  </w:num>
  <w:num w:numId="41">
    <w:abstractNumId w:val="57"/>
  </w:num>
  <w:num w:numId="42">
    <w:abstractNumId w:val="30"/>
  </w:num>
  <w:num w:numId="43">
    <w:abstractNumId w:val="86"/>
  </w:num>
  <w:num w:numId="44">
    <w:abstractNumId w:val="56"/>
  </w:num>
  <w:num w:numId="45">
    <w:abstractNumId w:val="58"/>
  </w:num>
  <w:num w:numId="46">
    <w:abstractNumId w:val="3"/>
  </w:num>
  <w:num w:numId="47">
    <w:abstractNumId w:val="15"/>
  </w:num>
  <w:num w:numId="48">
    <w:abstractNumId w:val="60"/>
  </w:num>
  <w:num w:numId="49">
    <w:abstractNumId w:val="64"/>
  </w:num>
  <w:num w:numId="50">
    <w:abstractNumId w:val="20"/>
  </w:num>
  <w:num w:numId="51">
    <w:abstractNumId w:val="31"/>
  </w:num>
  <w:num w:numId="52">
    <w:abstractNumId w:val="17"/>
  </w:num>
  <w:num w:numId="53">
    <w:abstractNumId w:val="17"/>
  </w:num>
  <w:num w:numId="54">
    <w:abstractNumId w:val="18"/>
  </w:num>
  <w:num w:numId="55">
    <w:abstractNumId w:val="77"/>
  </w:num>
  <w:num w:numId="56">
    <w:abstractNumId w:val="26"/>
  </w:num>
  <w:num w:numId="57">
    <w:abstractNumId w:val="26"/>
  </w:num>
  <w:num w:numId="58">
    <w:abstractNumId w:val="21"/>
  </w:num>
  <w:num w:numId="59">
    <w:abstractNumId w:val="8"/>
  </w:num>
  <w:num w:numId="60">
    <w:abstractNumId w:val="23"/>
  </w:num>
  <w:num w:numId="61">
    <w:abstractNumId w:val="73"/>
  </w:num>
  <w:num w:numId="62">
    <w:abstractNumId w:val="2"/>
  </w:num>
  <w:num w:numId="63">
    <w:abstractNumId w:val="2"/>
  </w:num>
  <w:num w:numId="64">
    <w:abstractNumId w:val="2"/>
  </w:num>
  <w:num w:numId="65">
    <w:abstractNumId w:val="25"/>
  </w:num>
  <w:num w:numId="66">
    <w:abstractNumId w:val="5"/>
  </w:num>
  <w:num w:numId="67">
    <w:abstractNumId w:val="48"/>
  </w:num>
  <w:num w:numId="68">
    <w:abstractNumId w:val="88"/>
  </w:num>
  <w:num w:numId="69">
    <w:abstractNumId w:val="70"/>
  </w:num>
  <w:num w:numId="70">
    <w:abstractNumId w:val="67"/>
  </w:num>
  <w:num w:numId="71">
    <w:abstractNumId w:val="44"/>
  </w:num>
  <w:num w:numId="72">
    <w:abstractNumId w:val="35"/>
  </w:num>
  <w:num w:numId="73">
    <w:abstractNumId w:val="75"/>
  </w:num>
  <w:num w:numId="74">
    <w:abstractNumId w:val="87"/>
  </w:num>
  <w:num w:numId="75">
    <w:abstractNumId w:val="32"/>
  </w:num>
  <w:num w:numId="76">
    <w:abstractNumId w:val="66"/>
  </w:num>
  <w:num w:numId="77">
    <w:abstractNumId w:val="47"/>
  </w:num>
  <w:num w:numId="78">
    <w:abstractNumId w:val="89"/>
  </w:num>
  <w:num w:numId="79">
    <w:abstractNumId w:val="84"/>
  </w:num>
  <w:num w:numId="80">
    <w:abstractNumId w:val="76"/>
  </w:num>
  <w:num w:numId="81">
    <w:abstractNumId w:val="14"/>
  </w:num>
  <w:num w:numId="82">
    <w:abstractNumId w:val="4"/>
  </w:num>
  <w:num w:numId="83">
    <w:abstractNumId w:val="85"/>
  </w:num>
  <w:num w:numId="84">
    <w:abstractNumId w:val="71"/>
  </w:num>
  <w:num w:numId="85">
    <w:abstractNumId w:val="45"/>
  </w:num>
  <w:num w:numId="86">
    <w:abstractNumId w:val="43"/>
  </w:num>
  <w:num w:numId="87">
    <w:abstractNumId w:val="9"/>
  </w:num>
  <w:num w:numId="88">
    <w:abstractNumId w:val="28"/>
  </w:num>
  <w:num w:numId="89">
    <w:abstractNumId w:val="12"/>
  </w:num>
  <w:num w:numId="90">
    <w:abstractNumId w:val="83"/>
  </w:num>
  <w:num w:numId="91">
    <w:abstractNumId w:val="69"/>
  </w:num>
  <w:num w:numId="92">
    <w:abstractNumId w:val="49"/>
  </w:num>
  <w:num w:numId="93">
    <w:abstractNumId w:val="7"/>
  </w:num>
  <w:num w:numId="94">
    <w:abstractNumId w:val="72"/>
  </w:num>
  <w:num w:numId="95">
    <w:abstractNumId w:val="74"/>
  </w:num>
  <w:num w:numId="96">
    <w:abstractNumId w:val="33"/>
  </w:num>
  <w:num w:numId="97">
    <w:abstractNumId w:val="52"/>
  </w:num>
  <w:num w:numId="98">
    <w:abstractNumId w:val="2"/>
  </w:num>
  <w:num w:numId="99">
    <w:abstractNumId w:val="62"/>
  </w:num>
  <w:num w:numId="100">
    <w:abstractNumId w:val="38"/>
  </w:num>
  <w:num w:numId="101">
    <w:abstractNumId w:val="1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NZ" w:vendorID="64" w:dllVersion="0" w:nlCheck="1" w:checkStyle="0"/>
  <w:activeWritingStyle w:appName="MSWord" w:lang="en-AU" w:vendorID="64" w:dllVersion="0" w:nlCheck="1" w:checkStyle="0"/>
  <w:activeWritingStyle w:appName="MSWord" w:lang="en-US"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A6"/>
    <w:rsid w:val="00000C82"/>
    <w:rsid w:val="000013E8"/>
    <w:rsid w:val="00001719"/>
    <w:rsid w:val="00001AB4"/>
    <w:rsid w:val="00001BD0"/>
    <w:rsid w:val="000034DD"/>
    <w:rsid w:val="000038E6"/>
    <w:rsid w:val="0000498F"/>
    <w:rsid w:val="00005F3A"/>
    <w:rsid w:val="000062E0"/>
    <w:rsid w:val="0001066F"/>
    <w:rsid w:val="00012105"/>
    <w:rsid w:val="00012156"/>
    <w:rsid w:val="0001281E"/>
    <w:rsid w:val="000131C9"/>
    <w:rsid w:val="00013222"/>
    <w:rsid w:val="00013A56"/>
    <w:rsid w:val="00013F14"/>
    <w:rsid w:val="00014442"/>
    <w:rsid w:val="000145AF"/>
    <w:rsid w:val="0001548D"/>
    <w:rsid w:val="000170E1"/>
    <w:rsid w:val="0002095B"/>
    <w:rsid w:val="000210E1"/>
    <w:rsid w:val="00021100"/>
    <w:rsid w:val="00022320"/>
    <w:rsid w:val="00023A58"/>
    <w:rsid w:val="000242BB"/>
    <w:rsid w:val="00024651"/>
    <w:rsid w:val="00030D7B"/>
    <w:rsid w:val="00030D9F"/>
    <w:rsid w:val="00031E82"/>
    <w:rsid w:val="000333FB"/>
    <w:rsid w:val="00033CE1"/>
    <w:rsid w:val="00034404"/>
    <w:rsid w:val="000346FE"/>
    <w:rsid w:val="0003471B"/>
    <w:rsid w:val="0003497C"/>
    <w:rsid w:val="00034F08"/>
    <w:rsid w:val="000359BA"/>
    <w:rsid w:val="0003650E"/>
    <w:rsid w:val="00037BF5"/>
    <w:rsid w:val="00040A5C"/>
    <w:rsid w:val="000427B3"/>
    <w:rsid w:val="00042A51"/>
    <w:rsid w:val="000433D9"/>
    <w:rsid w:val="0004352C"/>
    <w:rsid w:val="0004441D"/>
    <w:rsid w:val="00045C67"/>
    <w:rsid w:val="000461BA"/>
    <w:rsid w:val="000461CF"/>
    <w:rsid w:val="0004758F"/>
    <w:rsid w:val="00050F16"/>
    <w:rsid w:val="000520C8"/>
    <w:rsid w:val="000522EE"/>
    <w:rsid w:val="0005239A"/>
    <w:rsid w:val="00052BCD"/>
    <w:rsid w:val="00052C7D"/>
    <w:rsid w:val="000532B0"/>
    <w:rsid w:val="00053394"/>
    <w:rsid w:val="0005387F"/>
    <w:rsid w:val="00054171"/>
    <w:rsid w:val="000542E4"/>
    <w:rsid w:val="000544AC"/>
    <w:rsid w:val="00054921"/>
    <w:rsid w:val="000551C9"/>
    <w:rsid w:val="00055DCD"/>
    <w:rsid w:val="000578D9"/>
    <w:rsid w:val="00057F71"/>
    <w:rsid w:val="000618B7"/>
    <w:rsid w:val="00062018"/>
    <w:rsid w:val="00062067"/>
    <w:rsid w:val="0006287B"/>
    <w:rsid w:val="000635B6"/>
    <w:rsid w:val="00064185"/>
    <w:rsid w:val="0006442F"/>
    <w:rsid w:val="00064D04"/>
    <w:rsid w:val="00064DE0"/>
    <w:rsid w:val="00064FFA"/>
    <w:rsid w:val="00065A4F"/>
    <w:rsid w:val="00065C62"/>
    <w:rsid w:val="00065CDE"/>
    <w:rsid w:val="00065F4A"/>
    <w:rsid w:val="000662A0"/>
    <w:rsid w:val="000676E5"/>
    <w:rsid w:val="000677DE"/>
    <w:rsid w:val="00067811"/>
    <w:rsid w:val="0007063B"/>
    <w:rsid w:val="000708AA"/>
    <w:rsid w:val="00070D75"/>
    <w:rsid w:val="00071CBB"/>
    <w:rsid w:val="00073420"/>
    <w:rsid w:val="000738D1"/>
    <w:rsid w:val="00073E3C"/>
    <w:rsid w:val="000744C2"/>
    <w:rsid w:val="00074AA2"/>
    <w:rsid w:val="00076AAB"/>
    <w:rsid w:val="00076BDD"/>
    <w:rsid w:val="00076CE7"/>
    <w:rsid w:val="00076E03"/>
    <w:rsid w:val="00080A5B"/>
    <w:rsid w:val="00080FF3"/>
    <w:rsid w:val="00081133"/>
    <w:rsid w:val="00081746"/>
    <w:rsid w:val="00081D07"/>
    <w:rsid w:val="00081E62"/>
    <w:rsid w:val="00082868"/>
    <w:rsid w:val="000847FE"/>
    <w:rsid w:val="00084B18"/>
    <w:rsid w:val="0008549E"/>
    <w:rsid w:val="00085CF2"/>
    <w:rsid w:val="00086133"/>
    <w:rsid w:val="000869C9"/>
    <w:rsid w:val="00086B63"/>
    <w:rsid w:val="00086CC7"/>
    <w:rsid w:val="00091101"/>
    <w:rsid w:val="00092727"/>
    <w:rsid w:val="00092945"/>
    <w:rsid w:val="00092E97"/>
    <w:rsid w:val="00093270"/>
    <w:rsid w:val="00094CDE"/>
    <w:rsid w:val="000950A2"/>
    <w:rsid w:val="00095945"/>
    <w:rsid w:val="0009688E"/>
    <w:rsid w:val="00096BCD"/>
    <w:rsid w:val="00097031"/>
    <w:rsid w:val="000970D9"/>
    <w:rsid w:val="000A1671"/>
    <w:rsid w:val="000A1F7B"/>
    <w:rsid w:val="000A2694"/>
    <w:rsid w:val="000A2A32"/>
    <w:rsid w:val="000A2B25"/>
    <w:rsid w:val="000A2EF1"/>
    <w:rsid w:val="000A3D99"/>
    <w:rsid w:val="000A3F4C"/>
    <w:rsid w:val="000A4849"/>
    <w:rsid w:val="000A4A9F"/>
    <w:rsid w:val="000A6FBD"/>
    <w:rsid w:val="000A7317"/>
    <w:rsid w:val="000A7333"/>
    <w:rsid w:val="000A73D4"/>
    <w:rsid w:val="000A7EA5"/>
    <w:rsid w:val="000B0564"/>
    <w:rsid w:val="000B157D"/>
    <w:rsid w:val="000B1E64"/>
    <w:rsid w:val="000B2BE3"/>
    <w:rsid w:val="000B2E42"/>
    <w:rsid w:val="000B35EA"/>
    <w:rsid w:val="000B443F"/>
    <w:rsid w:val="000B476B"/>
    <w:rsid w:val="000B4BBD"/>
    <w:rsid w:val="000B56CD"/>
    <w:rsid w:val="000B5BB3"/>
    <w:rsid w:val="000B6B69"/>
    <w:rsid w:val="000B7AED"/>
    <w:rsid w:val="000B7FC9"/>
    <w:rsid w:val="000C0142"/>
    <w:rsid w:val="000C0DBA"/>
    <w:rsid w:val="000C11CC"/>
    <w:rsid w:val="000C4582"/>
    <w:rsid w:val="000C5D0F"/>
    <w:rsid w:val="000C5EE4"/>
    <w:rsid w:val="000C60CE"/>
    <w:rsid w:val="000C63CF"/>
    <w:rsid w:val="000C668E"/>
    <w:rsid w:val="000C6A40"/>
    <w:rsid w:val="000C7117"/>
    <w:rsid w:val="000C72F1"/>
    <w:rsid w:val="000C7883"/>
    <w:rsid w:val="000C793A"/>
    <w:rsid w:val="000D0023"/>
    <w:rsid w:val="000D0A81"/>
    <w:rsid w:val="000D169F"/>
    <w:rsid w:val="000D1AB4"/>
    <w:rsid w:val="000D2E4F"/>
    <w:rsid w:val="000D39EF"/>
    <w:rsid w:val="000D42EF"/>
    <w:rsid w:val="000D457A"/>
    <w:rsid w:val="000D51C2"/>
    <w:rsid w:val="000D54B6"/>
    <w:rsid w:val="000D6E15"/>
    <w:rsid w:val="000E07CD"/>
    <w:rsid w:val="000E0C68"/>
    <w:rsid w:val="000E0DA7"/>
    <w:rsid w:val="000E181C"/>
    <w:rsid w:val="000E1FF9"/>
    <w:rsid w:val="000E29E0"/>
    <w:rsid w:val="000E38C2"/>
    <w:rsid w:val="000E3BDE"/>
    <w:rsid w:val="000E4019"/>
    <w:rsid w:val="000E4F22"/>
    <w:rsid w:val="000E6D6C"/>
    <w:rsid w:val="000E7019"/>
    <w:rsid w:val="000F243A"/>
    <w:rsid w:val="000F2534"/>
    <w:rsid w:val="000F28E8"/>
    <w:rsid w:val="000F297E"/>
    <w:rsid w:val="000F2D20"/>
    <w:rsid w:val="000F2E2F"/>
    <w:rsid w:val="000F2E68"/>
    <w:rsid w:val="000F313A"/>
    <w:rsid w:val="000F3652"/>
    <w:rsid w:val="000F4B60"/>
    <w:rsid w:val="000F6969"/>
    <w:rsid w:val="0010086D"/>
    <w:rsid w:val="00101212"/>
    <w:rsid w:val="001018A8"/>
    <w:rsid w:val="00104A1D"/>
    <w:rsid w:val="00104A65"/>
    <w:rsid w:val="001059D6"/>
    <w:rsid w:val="00105A29"/>
    <w:rsid w:val="00106981"/>
    <w:rsid w:val="00107584"/>
    <w:rsid w:val="00107EE7"/>
    <w:rsid w:val="001106AD"/>
    <w:rsid w:val="00110DCA"/>
    <w:rsid w:val="00111951"/>
    <w:rsid w:val="00112169"/>
    <w:rsid w:val="00112EA8"/>
    <w:rsid w:val="00112F1A"/>
    <w:rsid w:val="00113104"/>
    <w:rsid w:val="001133EE"/>
    <w:rsid w:val="00114178"/>
    <w:rsid w:val="00114850"/>
    <w:rsid w:val="00116FEE"/>
    <w:rsid w:val="0012030F"/>
    <w:rsid w:val="0012088B"/>
    <w:rsid w:val="00121126"/>
    <w:rsid w:val="001213D5"/>
    <w:rsid w:val="00122C04"/>
    <w:rsid w:val="00123020"/>
    <w:rsid w:val="001237FF"/>
    <w:rsid w:val="00123A31"/>
    <w:rsid w:val="00124A02"/>
    <w:rsid w:val="00124A19"/>
    <w:rsid w:val="0012523C"/>
    <w:rsid w:val="00125673"/>
    <w:rsid w:val="00125AC7"/>
    <w:rsid w:val="00125DE4"/>
    <w:rsid w:val="00126037"/>
    <w:rsid w:val="001261F3"/>
    <w:rsid w:val="001263F0"/>
    <w:rsid w:val="0012683A"/>
    <w:rsid w:val="0012701F"/>
    <w:rsid w:val="001279AE"/>
    <w:rsid w:val="001302E4"/>
    <w:rsid w:val="00130F2C"/>
    <w:rsid w:val="001310C8"/>
    <w:rsid w:val="001323D6"/>
    <w:rsid w:val="00133B1C"/>
    <w:rsid w:val="00135050"/>
    <w:rsid w:val="00135633"/>
    <w:rsid w:val="00135ED1"/>
    <w:rsid w:val="00135EEF"/>
    <w:rsid w:val="00136399"/>
    <w:rsid w:val="00136CCE"/>
    <w:rsid w:val="00136E76"/>
    <w:rsid w:val="001375C6"/>
    <w:rsid w:val="00137C0A"/>
    <w:rsid w:val="00137C97"/>
    <w:rsid w:val="001403B4"/>
    <w:rsid w:val="00140A20"/>
    <w:rsid w:val="00141940"/>
    <w:rsid w:val="00141B86"/>
    <w:rsid w:val="00141EFB"/>
    <w:rsid w:val="001421A9"/>
    <w:rsid w:val="00142AD8"/>
    <w:rsid w:val="00142B4A"/>
    <w:rsid w:val="00144BFC"/>
    <w:rsid w:val="00144FFF"/>
    <w:rsid w:val="00145815"/>
    <w:rsid w:val="00145C3F"/>
    <w:rsid w:val="001468C6"/>
    <w:rsid w:val="00146C47"/>
    <w:rsid w:val="00147104"/>
    <w:rsid w:val="0015054E"/>
    <w:rsid w:val="001514DD"/>
    <w:rsid w:val="0015150F"/>
    <w:rsid w:val="00151598"/>
    <w:rsid w:val="001520FD"/>
    <w:rsid w:val="00152635"/>
    <w:rsid w:val="00152CFC"/>
    <w:rsid w:val="0015410A"/>
    <w:rsid w:val="00154735"/>
    <w:rsid w:val="00155C72"/>
    <w:rsid w:val="00155FA9"/>
    <w:rsid w:val="0015676E"/>
    <w:rsid w:val="00157674"/>
    <w:rsid w:val="0016150B"/>
    <w:rsid w:val="00161D7B"/>
    <w:rsid w:val="00161D85"/>
    <w:rsid w:val="00161EC3"/>
    <w:rsid w:val="00162300"/>
    <w:rsid w:val="001641B9"/>
    <w:rsid w:val="001652EB"/>
    <w:rsid w:val="0016559B"/>
    <w:rsid w:val="00165A49"/>
    <w:rsid w:val="00166279"/>
    <w:rsid w:val="001667A9"/>
    <w:rsid w:val="00166E7F"/>
    <w:rsid w:val="00167629"/>
    <w:rsid w:val="00170004"/>
    <w:rsid w:val="00170130"/>
    <w:rsid w:val="001709D4"/>
    <w:rsid w:val="00171182"/>
    <w:rsid w:val="0017136A"/>
    <w:rsid w:val="001718B7"/>
    <w:rsid w:val="00171D71"/>
    <w:rsid w:val="00171DB9"/>
    <w:rsid w:val="00171EDC"/>
    <w:rsid w:val="00172C1B"/>
    <w:rsid w:val="001733C5"/>
    <w:rsid w:val="00173577"/>
    <w:rsid w:val="00173E55"/>
    <w:rsid w:val="0017405A"/>
    <w:rsid w:val="001749E7"/>
    <w:rsid w:val="00176658"/>
    <w:rsid w:val="00176AA5"/>
    <w:rsid w:val="001770A7"/>
    <w:rsid w:val="0017720E"/>
    <w:rsid w:val="001772CC"/>
    <w:rsid w:val="00177893"/>
    <w:rsid w:val="00177B0C"/>
    <w:rsid w:val="0018141A"/>
    <w:rsid w:val="00182FE1"/>
    <w:rsid w:val="001834C2"/>
    <w:rsid w:val="0018373E"/>
    <w:rsid w:val="001839C0"/>
    <w:rsid w:val="00184221"/>
    <w:rsid w:val="0018443E"/>
    <w:rsid w:val="00184954"/>
    <w:rsid w:val="0018598E"/>
    <w:rsid w:val="001859A0"/>
    <w:rsid w:val="00185C35"/>
    <w:rsid w:val="00186307"/>
    <w:rsid w:val="001863F7"/>
    <w:rsid w:val="00186EBC"/>
    <w:rsid w:val="00187F02"/>
    <w:rsid w:val="0019008B"/>
    <w:rsid w:val="00190905"/>
    <w:rsid w:val="001916C0"/>
    <w:rsid w:val="00191DCD"/>
    <w:rsid w:val="00192B6D"/>
    <w:rsid w:val="00195DA4"/>
    <w:rsid w:val="00197D31"/>
    <w:rsid w:val="001A0142"/>
    <w:rsid w:val="001A1D2E"/>
    <w:rsid w:val="001A20DC"/>
    <w:rsid w:val="001A2575"/>
    <w:rsid w:val="001A3B8B"/>
    <w:rsid w:val="001A3DC9"/>
    <w:rsid w:val="001A545C"/>
    <w:rsid w:val="001A701E"/>
    <w:rsid w:val="001A76D6"/>
    <w:rsid w:val="001B00CE"/>
    <w:rsid w:val="001B09B9"/>
    <w:rsid w:val="001B12A9"/>
    <w:rsid w:val="001B1A72"/>
    <w:rsid w:val="001B2429"/>
    <w:rsid w:val="001B2A0C"/>
    <w:rsid w:val="001B3C85"/>
    <w:rsid w:val="001B5B6B"/>
    <w:rsid w:val="001B5E5C"/>
    <w:rsid w:val="001B6389"/>
    <w:rsid w:val="001B6665"/>
    <w:rsid w:val="001B701A"/>
    <w:rsid w:val="001B7251"/>
    <w:rsid w:val="001B7849"/>
    <w:rsid w:val="001B7EAA"/>
    <w:rsid w:val="001C04CC"/>
    <w:rsid w:val="001C051E"/>
    <w:rsid w:val="001C06AA"/>
    <w:rsid w:val="001C0710"/>
    <w:rsid w:val="001C181C"/>
    <w:rsid w:val="001C1830"/>
    <w:rsid w:val="001C215A"/>
    <w:rsid w:val="001C3883"/>
    <w:rsid w:val="001C39D8"/>
    <w:rsid w:val="001C40A1"/>
    <w:rsid w:val="001C69D7"/>
    <w:rsid w:val="001C70C5"/>
    <w:rsid w:val="001C7497"/>
    <w:rsid w:val="001C7727"/>
    <w:rsid w:val="001C796E"/>
    <w:rsid w:val="001C7D1B"/>
    <w:rsid w:val="001C7D53"/>
    <w:rsid w:val="001D3CE4"/>
    <w:rsid w:val="001D453F"/>
    <w:rsid w:val="001D4929"/>
    <w:rsid w:val="001D50F8"/>
    <w:rsid w:val="001D5D47"/>
    <w:rsid w:val="001D5DE3"/>
    <w:rsid w:val="001D7BD9"/>
    <w:rsid w:val="001E025D"/>
    <w:rsid w:val="001E0994"/>
    <w:rsid w:val="001E0B0D"/>
    <w:rsid w:val="001E1827"/>
    <w:rsid w:val="001E1FFC"/>
    <w:rsid w:val="001E20F0"/>
    <w:rsid w:val="001E216D"/>
    <w:rsid w:val="001E25EC"/>
    <w:rsid w:val="001E35BB"/>
    <w:rsid w:val="001E4138"/>
    <w:rsid w:val="001E48A2"/>
    <w:rsid w:val="001E4A71"/>
    <w:rsid w:val="001E4E75"/>
    <w:rsid w:val="001E4E98"/>
    <w:rsid w:val="001E5494"/>
    <w:rsid w:val="001E56C5"/>
    <w:rsid w:val="001E5896"/>
    <w:rsid w:val="001E5918"/>
    <w:rsid w:val="001E6896"/>
    <w:rsid w:val="001E6BC4"/>
    <w:rsid w:val="001E73EC"/>
    <w:rsid w:val="001F073C"/>
    <w:rsid w:val="001F097A"/>
    <w:rsid w:val="001F0D0A"/>
    <w:rsid w:val="001F2757"/>
    <w:rsid w:val="001F2912"/>
    <w:rsid w:val="001F2AFD"/>
    <w:rsid w:val="001F2F47"/>
    <w:rsid w:val="001F45EE"/>
    <w:rsid w:val="001F478F"/>
    <w:rsid w:val="001F507D"/>
    <w:rsid w:val="001F5512"/>
    <w:rsid w:val="001F60CB"/>
    <w:rsid w:val="001F6896"/>
    <w:rsid w:val="001F69F9"/>
    <w:rsid w:val="001F6A9E"/>
    <w:rsid w:val="001F6D75"/>
    <w:rsid w:val="00200296"/>
    <w:rsid w:val="00201ADB"/>
    <w:rsid w:val="00201C50"/>
    <w:rsid w:val="002024BB"/>
    <w:rsid w:val="0020299C"/>
    <w:rsid w:val="00202F93"/>
    <w:rsid w:val="0020441A"/>
    <w:rsid w:val="00204B6C"/>
    <w:rsid w:val="00204B78"/>
    <w:rsid w:val="00204D5B"/>
    <w:rsid w:val="00204FAB"/>
    <w:rsid w:val="00205028"/>
    <w:rsid w:val="002056B4"/>
    <w:rsid w:val="002058E5"/>
    <w:rsid w:val="00207102"/>
    <w:rsid w:val="00207FBA"/>
    <w:rsid w:val="00210FAA"/>
    <w:rsid w:val="00211340"/>
    <w:rsid w:val="00211F51"/>
    <w:rsid w:val="002128DC"/>
    <w:rsid w:val="00212E79"/>
    <w:rsid w:val="00213207"/>
    <w:rsid w:val="00214438"/>
    <w:rsid w:val="002149DA"/>
    <w:rsid w:val="00215787"/>
    <w:rsid w:val="002164BB"/>
    <w:rsid w:val="00216557"/>
    <w:rsid w:val="00216816"/>
    <w:rsid w:val="00217171"/>
    <w:rsid w:val="002202A8"/>
    <w:rsid w:val="002205EB"/>
    <w:rsid w:val="00220FE5"/>
    <w:rsid w:val="0022112C"/>
    <w:rsid w:val="0022327B"/>
    <w:rsid w:val="002234A6"/>
    <w:rsid w:val="00225170"/>
    <w:rsid w:val="00225FCB"/>
    <w:rsid w:val="00226504"/>
    <w:rsid w:val="0022686C"/>
    <w:rsid w:val="0022687E"/>
    <w:rsid w:val="0023002F"/>
    <w:rsid w:val="00231517"/>
    <w:rsid w:val="0023162B"/>
    <w:rsid w:val="0023171F"/>
    <w:rsid w:val="002320FE"/>
    <w:rsid w:val="00232158"/>
    <w:rsid w:val="0023283C"/>
    <w:rsid w:val="00233296"/>
    <w:rsid w:val="00234780"/>
    <w:rsid w:val="00234825"/>
    <w:rsid w:val="002349E0"/>
    <w:rsid w:val="00235845"/>
    <w:rsid w:val="00235C51"/>
    <w:rsid w:val="00237323"/>
    <w:rsid w:val="00237B53"/>
    <w:rsid w:val="00240D9C"/>
    <w:rsid w:val="002425EA"/>
    <w:rsid w:val="00242853"/>
    <w:rsid w:val="00242DEB"/>
    <w:rsid w:val="00242EA0"/>
    <w:rsid w:val="00242F3E"/>
    <w:rsid w:val="002433DD"/>
    <w:rsid w:val="00243685"/>
    <w:rsid w:val="00243BB4"/>
    <w:rsid w:val="00243F24"/>
    <w:rsid w:val="0024411B"/>
    <w:rsid w:val="0024459C"/>
    <w:rsid w:val="0024550A"/>
    <w:rsid w:val="00245AD1"/>
    <w:rsid w:val="00245E58"/>
    <w:rsid w:val="00246BDF"/>
    <w:rsid w:val="00246EC1"/>
    <w:rsid w:val="002470BB"/>
    <w:rsid w:val="00247396"/>
    <w:rsid w:val="00250FA5"/>
    <w:rsid w:val="00251A77"/>
    <w:rsid w:val="00251BA2"/>
    <w:rsid w:val="00252497"/>
    <w:rsid w:val="0025256A"/>
    <w:rsid w:val="002530E7"/>
    <w:rsid w:val="002532B4"/>
    <w:rsid w:val="002537A9"/>
    <w:rsid w:val="00253BF8"/>
    <w:rsid w:val="00253C6A"/>
    <w:rsid w:val="00253F27"/>
    <w:rsid w:val="0025487C"/>
    <w:rsid w:val="00254B3F"/>
    <w:rsid w:val="00254EEB"/>
    <w:rsid w:val="0025613F"/>
    <w:rsid w:val="002563A4"/>
    <w:rsid w:val="002567CD"/>
    <w:rsid w:val="00256A54"/>
    <w:rsid w:val="00257657"/>
    <w:rsid w:val="00257C43"/>
    <w:rsid w:val="00257F91"/>
    <w:rsid w:val="0026053F"/>
    <w:rsid w:val="00260EAB"/>
    <w:rsid w:val="0026144F"/>
    <w:rsid w:val="00261DC6"/>
    <w:rsid w:val="002625FA"/>
    <w:rsid w:val="00262C13"/>
    <w:rsid w:val="00264623"/>
    <w:rsid w:val="00264773"/>
    <w:rsid w:val="00264E52"/>
    <w:rsid w:val="00266824"/>
    <w:rsid w:val="00266FD6"/>
    <w:rsid w:val="002671C9"/>
    <w:rsid w:val="00267BED"/>
    <w:rsid w:val="00267CC6"/>
    <w:rsid w:val="00267D94"/>
    <w:rsid w:val="00267FBF"/>
    <w:rsid w:val="00270A08"/>
    <w:rsid w:val="00270BBC"/>
    <w:rsid w:val="00271211"/>
    <w:rsid w:val="00272444"/>
    <w:rsid w:val="00273C6C"/>
    <w:rsid w:val="00273FFC"/>
    <w:rsid w:val="00274302"/>
    <w:rsid w:val="002748D8"/>
    <w:rsid w:val="00274F9C"/>
    <w:rsid w:val="00275628"/>
    <w:rsid w:val="0027575E"/>
    <w:rsid w:val="0027583B"/>
    <w:rsid w:val="00276240"/>
    <w:rsid w:val="002764B9"/>
    <w:rsid w:val="00276871"/>
    <w:rsid w:val="00276C8A"/>
    <w:rsid w:val="002773EC"/>
    <w:rsid w:val="0027774F"/>
    <w:rsid w:val="00277D40"/>
    <w:rsid w:val="002801F4"/>
    <w:rsid w:val="00280604"/>
    <w:rsid w:val="00280B5B"/>
    <w:rsid w:val="00280D8D"/>
    <w:rsid w:val="00281073"/>
    <w:rsid w:val="002813BA"/>
    <w:rsid w:val="00281DCF"/>
    <w:rsid w:val="0028324B"/>
    <w:rsid w:val="002832DF"/>
    <w:rsid w:val="002835E0"/>
    <w:rsid w:val="002836DF"/>
    <w:rsid w:val="00285110"/>
    <w:rsid w:val="0028538F"/>
    <w:rsid w:val="00286124"/>
    <w:rsid w:val="002861AB"/>
    <w:rsid w:val="00287596"/>
    <w:rsid w:val="00287E1E"/>
    <w:rsid w:val="002918BE"/>
    <w:rsid w:val="002923DF"/>
    <w:rsid w:val="00292738"/>
    <w:rsid w:val="0029289C"/>
    <w:rsid w:val="002928F4"/>
    <w:rsid w:val="0029364D"/>
    <w:rsid w:val="0029400B"/>
    <w:rsid w:val="002961BD"/>
    <w:rsid w:val="00296F70"/>
    <w:rsid w:val="002A0810"/>
    <w:rsid w:val="002A2A80"/>
    <w:rsid w:val="002A3258"/>
    <w:rsid w:val="002A346B"/>
    <w:rsid w:val="002A391F"/>
    <w:rsid w:val="002A3BDC"/>
    <w:rsid w:val="002A4503"/>
    <w:rsid w:val="002A4516"/>
    <w:rsid w:val="002A4F7D"/>
    <w:rsid w:val="002A6834"/>
    <w:rsid w:val="002A6FA6"/>
    <w:rsid w:val="002A78B9"/>
    <w:rsid w:val="002A7A2A"/>
    <w:rsid w:val="002A7A86"/>
    <w:rsid w:val="002B05B8"/>
    <w:rsid w:val="002B1C15"/>
    <w:rsid w:val="002B225E"/>
    <w:rsid w:val="002B428A"/>
    <w:rsid w:val="002B4941"/>
    <w:rsid w:val="002B4FB9"/>
    <w:rsid w:val="002B5D74"/>
    <w:rsid w:val="002B67CA"/>
    <w:rsid w:val="002B6817"/>
    <w:rsid w:val="002B7ADB"/>
    <w:rsid w:val="002C00F5"/>
    <w:rsid w:val="002C06C0"/>
    <w:rsid w:val="002C1543"/>
    <w:rsid w:val="002C17C7"/>
    <w:rsid w:val="002C1C08"/>
    <w:rsid w:val="002C1D2F"/>
    <w:rsid w:val="002C3528"/>
    <w:rsid w:val="002C4314"/>
    <w:rsid w:val="002C5F32"/>
    <w:rsid w:val="002C5FAE"/>
    <w:rsid w:val="002C64FD"/>
    <w:rsid w:val="002C6F18"/>
    <w:rsid w:val="002C7C13"/>
    <w:rsid w:val="002D0668"/>
    <w:rsid w:val="002D0EF2"/>
    <w:rsid w:val="002D11D9"/>
    <w:rsid w:val="002D1242"/>
    <w:rsid w:val="002D20EA"/>
    <w:rsid w:val="002D23E6"/>
    <w:rsid w:val="002D24AC"/>
    <w:rsid w:val="002D2FCA"/>
    <w:rsid w:val="002D3603"/>
    <w:rsid w:val="002D4E57"/>
    <w:rsid w:val="002D723A"/>
    <w:rsid w:val="002D7823"/>
    <w:rsid w:val="002D7CC4"/>
    <w:rsid w:val="002E0715"/>
    <w:rsid w:val="002E1243"/>
    <w:rsid w:val="002E195C"/>
    <w:rsid w:val="002E20F1"/>
    <w:rsid w:val="002E40BD"/>
    <w:rsid w:val="002E4293"/>
    <w:rsid w:val="002E4C2D"/>
    <w:rsid w:val="002E4DE3"/>
    <w:rsid w:val="002E5285"/>
    <w:rsid w:val="002E5DEA"/>
    <w:rsid w:val="002E6073"/>
    <w:rsid w:val="002E63E0"/>
    <w:rsid w:val="002E6612"/>
    <w:rsid w:val="002E6C0E"/>
    <w:rsid w:val="002E724A"/>
    <w:rsid w:val="002E78A4"/>
    <w:rsid w:val="002E792B"/>
    <w:rsid w:val="002E7F49"/>
    <w:rsid w:val="002F078A"/>
    <w:rsid w:val="002F2057"/>
    <w:rsid w:val="002F238C"/>
    <w:rsid w:val="002F259D"/>
    <w:rsid w:val="002F26E6"/>
    <w:rsid w:val="002F311E"/>
    <w:rsid w:val="002F313A"/>
    <w:rsid w:val="002F345B"/>
    <w:rsid w:val="002F3BEC"/>
    <w:rsid w:val="002F4515"/>
    <w:rsid w:val="002F5FEC"/>
    <w:rsid w:val="002F663E"/>
    <w:rsid w:val="002F688A"/>
    <w:rsid w:val="002F71B8"/>
    <w:rsid w:val="002F71F4"/>
    <w:rsid w:val="002F7246"/>
    <w:rsid w:val="00301EA1"/>
    <w:rsid w:val="00301F26"/>
    <w:rsid w:val="00302093"/>
    <w:rsid w:val="00302FCC"/>
    <w:rsid w:val="00303CFF"/>
    <w:rsid w:val="00303F3A"/>
    <w:rsid w:val="0030515E"/>
    <w:rsid w:val="003062AE"/>
    <w:rsid w:val="003072AB"/>
    <w:rsid w:val="0030783F"/>
    <w:rsid w:val="00307A8C"/>
    <w:rsid w:val="00307D02"/>
    <w:rsid w:val="00310040"/>
    <w:rsid w:val="00310160"/>
    <w:rsid w:val="0031033B"/>
    <w:rsid w:val="00310814"/>
    <w:rsid w:val="00310E37"/>
    <w:rsid w:val="00311046"/>
    <w:rsid w:val="0031168C"/>
    <w:rsid w:val="003124DF"/>
    <w:rsid w:val="00312E50"/>
    <w:rsid w:val="00312EB0"/>
    <w:rsid w:val="00313C1C"/>
    <w:rsid w:val="003142F5"/>
    <w:rsid w:val="0031480D"/>
    <w:rsid w:val="00314BF9"/>
    <w:rsid w:val="00314BFC"/>
    <w:rsid w:val="00314C03"/>
    <w:rsid w:val="00315514"/>
    <w:rsid w:val="00316025"/>
    <w:rsid w:val="003168D7"/>
    <w:rsid w:val="003169AB"/>
    <w:rsid w:val="00316AA0"/>
    <w:rsid w:val="00316ACA"/>
    <w:rsid w:val="00317E18"/>
    <w:rsid w:val="003208AE"/>
    <w:rsid w:val="003208F0"/>
    <w:rsid w:val="003211BC"/>
    <w:rsid w:val="00323BA4"/>
    <w:rsid w:val="00323CDD"/>
    <w:rsid w:val="00323D5B"/>
    <w:rsid w:val="00324141"/>
    <w:rsid w:val="00324A36"/>
    <w:rsid w:val="00324B79"/>
    <w:rsid w:val="003260E3"/>
    <w:rsid w:val="00327BDB"/>
    <w:rsid w:val="00327D3D"/>
    <w:rsid w:val="00330760"/>
    <w:rsid w:val="003318D0"/>
    <w:rsid w:val="00331A16"/>
    <w:rsid w:val="00333A28"/>
    <w:rsid w:val="00333C84"/>
    <w:rsid w:val="0033458B"/>
    <w:rsid w:val="00334ACF"/>
    <w:rsid w:val="003355D8"/>
    <w:rsid w:val="00335A26"/>
    <w:rsid w:val="00336AED"/>
    <w:rsid w:val="00337814"/>
    <w:rsid w:val="00337A59"/>
    <w:rsid w:val="003415E1"/>
    <w:rsid w:val="00341A14"/>
    <w:rsid w:val="00342AB2"/>
    <w:rsid w:val="00343AB1"/>
    <w:rsid w:val="003440DD"/>
    <w:rsid w:val="00345185"/>
    <w:rsid w:val="0034572E"/>
    <w:rsid w:val="00345DCA"/>
    <w:rsid w:val="00345E01"/>
    <w:rsid w:val="00346234"/>
    <w:rsid w:val="003468CB"/>
    <w:rsid w:val="00346CAF"/>
    <w:rsid w:val="003474FB"/>
    <w:rsid w:val="0035045D"/>
    <w:rsid w:val="00350CE9"/>
    <w:rsid w:val="00351381"/>
    <w:rsid w:val="003515E2"/>
    <w:rsid w:val="00351A62"/>
    <w:rsid w:val="00351DC3"/>
    <w:rsid w:val="003530A6"/>
    <w:rsid w:val="00353627"/>
    <w:rsid w:val="00354C4E"/>
    <w:rsid w:val="00354E89"/>
    <w:rsid w:val="00355773"/>
    <w:rsid w:val="00355C11"/>
    <w:rsid w:val="00355F72"/>
    <w:rsid w:val="00357657"/>
    <w:rsid w:val="003578BA"/>
    <w:rsid w:val="00357E32"/>
    <w:rsid w:val="00357FEC"/>
    <w:rsid w:val="00362427"/>
    <w:rsid w:val="00362CF3"/>
    <w:rsid w:val="00363422"/>
    <w:rsid w:val="003639A6"/>
    <w:rsid w:val="00364235"/>
    <w:rsid w:val="003645D5"/>
    <w:rsid w:val="00365E10"/>
    <w:rsid w:val="003669D0"/>
    <w:rsid w:val="003679AE"/>
    <w:rsid w:val="00367BD7"/>
    <w:rsid w:val="00370688"/>
    <w:rsid w:val="003714BA"/>
    <w:rsid w:val="00371BE7"/>
    <w:rsid w:val="00371CE4"/>
    <w:rsid w:val="00373463"/>
    <w:rsid w:val="00373779"/>
    <w:rsid w:val="0037425F"/>
    <w:rsid w:val="003747ED"/>
    <w:rsid w:val="0037510E"/>
    <w:rsid w:val="00375944"/>
    <w:rsid w:val="00376372"/>
    <w:rsid w:val="0037720B"/>
    <w:rsid w:val="003809D2"/>
    <w:rsid w:val="003819E7"/>
    <w:rsid w:val="003822A1"/>
    <w:rsid w:val="003824BB"/>
    <w:rsid w:val="0038281C"/>
    <w:rsid w:val="00383BF0"/>
    <w:rsid w:val="00384099"/>
    <w:rsid w:val="00384437"/>
    <w:rsid w:val="00384E07"/>
    <w:rsid w:val="0038516B"/>
    <w:rsid w:val="00385A64"/>
    <w:rsid w:val="00386D1A"/>
    <w:rsid w:val="00387D97"/>
    <w:rsid w:val="00387F7D"/>
    <w:rsid w:val="0039044B"/>
    <w:rsid w:val="0039045D"/>
    <w:rsid w:val="003909A5"/>
    <w:rsid w:val="00391479"/>
    <w:rsid w:val="0039182E"/>
    <w:rsid w:val="00392A15"/>
    <w:rsid w:val="003933E3"/>
    <w:rsid w:val="0039342B"/>
    <w:rsid w:val="00394C83"/>
    <w:rsid w:val="00396027"/>
    <w:rsid w:val="00396339"/>
    <w:rsid w:val="003967D3"/>
    <w:rsid w:val="00397170"/>
    <w:rsid w:val="00397ECF"/>
    <w:rsid w:val="003A04B8"/>
    <w:rsid w:val="003A0708"/>
    <w:rsid w:val="003A096A"/>
    <w:rsid w:val="003A0C85"/>
    <w:rsid w:val="003A0CD0"/>
    <w:rsid w:val="003A143A"/>
    <w:rsid w:val="003A1AF5"/>
    <w:rsid w:val="003A33C6"/>
    <w:rsid w:val="003A3433"/>
    <w:rsid w:val="003A537E"/>
    <w:rsid w:val="003A660F"/>
    <w:rsid w:val="003A693E"/>
    <w:rsid w:val="003A69E8"/>
    <w:rsid w:val="003A6B64"/>
    <w:rsid w:val="003A7738"/>
    <w:rsid w:val="003A79A4"/>
    <w:rsid w:val="003A7E81"/>
    <w:rsid w:val="003B0685"/>
    <w:rsid w:val="003B095E"/>
    <w:rsid w:val="003B370A"/>
    <w:rsid w:val="003B3C35"/>
    <w:rsid w:val="003B5766"/>
    <w:rsid w:val="003B58BA"/>
    <w:rsid w:val="003B6006"/>
    <w:rsid w:val="003B655F"/>
    <w:rsid w:val="003B65EC"/>
    <w:rsid w:val="003B7303"/>
    <w:rsid w:val="003B73C8"/>
    <w:rsid w:val="003B7D09"/>
    <w:rsid w:val="003C0127"/>
    <w:rsid w:val="003C055D"/>
    <w:rsid w:val="003C0DCF"/>
    <w:rsid w:val="003C0EAF"/>
    <w:rsid w:val="003C109E"/>
    <w:rsid w:val="003C1234"/>
    <w:rsid w:val="003C1A9F"/>
    <w:rsid w:val="003C20B8"/>
    <w:rsid w:val="003C277B"/>
    <w:rsid w:val="003C3924"/>
    <w:rsid w:val="003C3EED"/>
    <w:rsid w:val="003C54D2"/>
    <w:rsid w:val="003C6D83"/>
    <w:rsid w:val="003C777E"/>
    <w:rsid w:val="003D11A9"/>
    <w:rsid w:val="003D1451"/>
    <w:rsid w:val="003D1E5E"/>
    <w:rsid w:val="003D1FB3"/>
    <w:rsid w:val="003D2A37"/>
    <w:rsid w:val="003D355A"/>
    <w:rsid w:val="003D35A3"/>
    <w:rsid w:val="003D3D3B"/>
    <w:rsid w:val="003D3E6A"/>
    <w:rsid w:val="003D3EFE"/>
    <w:rsid w:val="003D5DAF"/>
    <w:rsid w:val="003D69EF"/>
    <w:rsid w:val="003E0700"/>
    <w:rsid w:val="003E0993"/>
    <w:rsid w:val="003E0EDB"/>
    <w:rsid w:val="003E116C"/>
    <w:rsid w:val="003E2417"/>
    <w:rsid w:val="003E29BE"/>
    <w:rsid w:val="003E2AFA"/>
    <w:rsid w:val="003E2B05"/>
    <w:rsid w:val="003E2CF4"/>
    <w:rsid w:val="003E4BDA"/>
    <w:rsid w:val="003E5E2D"/>
    <w:rsid w:val="003E6196"/>
    <w:rsid w:val="003E6475"/>
    <w:rsid w:val="003E6498"/>
    <w:rsid w:val="003E6EB6"/>
    <w:rsid w:val="003E6F0E"/>
    <w:rsid w:val="003E7607"/>
    <w:rsid w:val="003E7E53"/>
    <w:rsid w:val="003F064D"/>
    <w:rsid w:val="003F105A"/>
    <w:rsid w:val="003F12D6"/>
    <w:rsid w:val="003F2CC6"/>
    <w:rsid w:val="003F56C5"/>
    <w:rsid w:val="003F57E6"/>
    <w:rsid w:val="003F6199"/>
    <w:rsid w:val="003F652D"/>
    <w:rsid w:val="00400DD7"/>
    <w:rsid w:val="00401E77"/>
    <w:rsid w:val="004032FA"/>
    <w:rsid w:val="004033BF"/>
    <w:rsid w:val="004044F2"/>
    <w:rsid w:val="00404B7C"/>
    <w:rsid w:val="00404C3E"/>
    <w:rsid w:val="00405A82"/>
    <w:rsid w:val="004067E0"/>
    <w:rsid w:val="00406F44"/>
    <w:rsid w:val="00410AD0"/>
    <w:rsid w:val="004112C2"/>
    <w:rsid w:val="0041276C"/>
    <w:rsid w:val="00412F00"/>
    <w:rsid w:val="004133A8"/>
    <w:rsid w:val="00413671"/>
    <w:rsid w:val="00413773"/>
    <w:rsid w:val="00413AC3"/>
    <w:rsid w:val="00413FE6"/>
    <w:rsid w:val="00414072"/>
    <w:rsid w:val="0041415F"/>
    <w:rsid w:val="00414755"/>
    <w:rsid w:val="0041498A"/>
    <w:rsid w:val="00414FDC"/>
    <w:rsid w:val="00415FF6"/>
    <w:rsid w:val="00416479"/>
    <w:rsid w:val="0041685C"/>
    <w:rsid w:val="0041792C"/>
    <w:rsid w:val="00420034"/>
    <w:rsid w:val="00420540"/>
    <w:rsid w:val="004206D4"/>
    <w:rsid w:val="00420DBB"/>
    <w:rsid w:val="00421450"/>
    <w:rsid w:val="00422F23"/>
    <w:rsid w:val="004231FF"/>
    <w:rsid w:val="0042342A"/>
    <w:rsid w:val="00423F3A"/>
    <w:rsid w:val="00425029"/>
    <w:rsid w:val="00425E16"/>
    <w:rsid w:val="00426090"/>
    <w:rsid w:val="00426AD3"/>
    <w:rsid w:val="00426C29"/>
    <w:rsid w:val="00426CF2"/>
    <w:rsid w:val="00427E55"/>
    <w:rsid w:val="00427F0D"/>
    <w:rsid w:val="00431F30"/>
    <w:rsid w:val="004323D3"/>
    <w:rsid w:val="004329D9"/>
    <w:rsid w:val="00432B3C"/>
    <w:rsid w:val="00432CD2"/>
    <w:rsid w:val="004348EA"/>
    <w:rsid w:val="00435451"/>
    <w:rsid w:val="00436415"/>
    <w:rsid w:val="00436555"/>
    <w:rsid w:val="00436667"/>
    <w:rsid w:val="004368BE"/>
    <w:rsid w:val="00436E82"/>
    <w:rsid w:val="00437829"/>
    <w:rsid w:val="00437BB5"/>
    <w:rsid w:val="00437CE0"/>
    <w:rsid w:val="00437D00"/>
    <w:rsid w:val="00440357"/>
    <w:rsid w:val="0044139A"/>
    <w:rsid w:val="004423A4"/>
    <w:rsid w:val="00444F4A"/>
    <w:rsid w:val="004479FF"/>
    <w:rsid w:val="00451387"/>
    <w:rsid w:val="00452CA6"/>
    <w:rsid w:val="004531C9"/>
    <w:rsid w:val="004535BF"/>
    <w:rsid w:val="00453653"/>
    <w:rsid w:val="0045389C"/>
    <w:rsid w:val="00453BAE"/>
    <w:rsid w:val="00453D59"/>
    <w:rsid w:val="00454521"/>
    <w:rsid w:val="004548E9"/>
    <w:rsid w:val="004556D5"/>
    <w:rsid w:val="00456242"/>
    <w:rsid w:val="00460608"/>
    <w:rsid w:val="00460B6A"/>
    <w:rsid w:val="00460DDB"/>
    <w:rsid w:val="004619BB"/>
    <w:rsid w:val="00461A06"/>
    <w:rsid w:val="00462ED6"/>
    <w:rsid w:val="00463F0D"/>
    <w:rsid w:val="00463FCE"/>
    <w:rsid w:val="004641F4"/>
    <w:rsid w:val="0046429D"/>
    <w:rsid w:val="00465481"/>
    <w:rsid w:val="00465525"/>
    <w:rsid w:val="00465D3F"/>
    <w:rsid w:val="00465E84"/>
    <w:rsid w:val="0046600B"/>
    <w:rsid w:val="0046621E"/>
    <w:rsid w:val="00467CC0"/>
    <w:rsid w:val="00470949"/>
    <w:rsid w:val="00472D4D"/>
    <w:rsid w:val="00473128"/>
    <w:rsid w:val="004746B3"/>
    <w:rsid w:val="0047564B"/>
    <w:rsid w:val="00475860"/>
    <w:rsid w:val="00477591"/>
    <w:rsid w:val="00477A29"/>
    <w:rsid w:val="00477AC8"/>
    <w:rsid w:val="00481549"/>
    <w:rsid w:val="00481B94"/>
    <w:rsid w:val="00482009"/>
    <w:rsid w:val="0048258A"/>
    <w:rsid w:val="00482E9B"/>
    <w:rsid w:val="004836C9"/>
    <w:rsid w:val="00483F40"/>
    <w:rsid w:val="004847D1"/>
    <w:rsid w:val="004867DA"/>
    <w:rsid w:val="00486F4E"/>
    <w:rsid w:val="0048761C"/>
    <w:rsid w:val="0048769B"/>
    <w:rsid w:val="00490771"/>
    <w:rsid w:val="004908B7"/>
    <w:rsid w:val="00490A71"/>
    <w:rsid w:val="004919DD"/>
    <w:rsid w:val="00492131"/>
    <w:rsid w:val="00492519"/>
    <w:rsid w:val="004928A0"/>
    <w:rsid w:val="004935EF"/>
    <w:rsid w:val="00493A0A"/>
    <w:rsid w:val="00493DFB"/>
    <w:rsid w:val="00494098"/>
    <w:rsid w:val="00494F7C"/>
    <w:rsid w:val="004953A1"/>
    <w:rsid w:val="004955AB"/>
    <w:rsid w:val="0049644A"/>
    <w:rsid w:val="00496B41"/>
    <w:rsid w:val="00497548"/>
    <w:rsid w:val="004A0C6D"/>
    <w:rsid w:val="004A194C"/>
    <w:rsid w:val="004A21CF"/>
    <w:rsid w:val="004A2DF5"/>
    <w:rsid w:val="004A3B6E"/>
    <w:rsid w:val="004A4471"/>
    <w:rsid w:val="004A493F"/>
    <w:rsid w:val="004A4E4E"/>
    <w:rsid w:val="004A4EF3"/>
    <w:rsid w:val="004A5746"/>
    <w:rsid w:val="004A7C5D"/>
    <w:rsid w:val="004A7C6F"/>
    <w:rsid w:val="004A7E6E"/>
    <w:rsid w:val="004A7E7B"/>
    <w:rsid w:val="004A7EFE"/>
    <w:rsid w:val="004B0FD3"/>
    <w:rsid w:val="004B2CAC"/>
    <w:rsid w:val="004B3419"/>
    <w:rsid w:val="004B3C00"/>
    <w:rsid w:val="004B4016"/>
    <w:rsid w:val="004B4226"/>
    <w:rsid w:val="004B4F8C"/>
    <w:rsid w:val="004B5391"/>
    <w:rsid w:val="004B562C"/>
    <w:rsid w:val="004B57BF"/>
    <w:rsid w:val="004B5C6F"/>
    <w:rsid w:val="004B64B3"/>
    <w:rsid w:val="004B7D80"/>
    <w:rsid w:val="004C08CB"/>
    <w:rsid w:val="004C0944"/>
    <w:rsid w:val="004C0CE7"/>
    <w:rsid w:val="004C1D0C"/>
    <w:rsid w:val="004C1F4A"/>
    <w:rsid w:val="004C2FF3"/>
    <w:rsid w:val="004C3B63"/>
    <w:rsid w:val="004C445C"/>
    <w:rsid w:val="004C54D4"/>
    <w:rsid w:val="004C5F62"/>
    <w:rsid w:val="004C7DDA"/>
    <w:rsid w:val="004D001A"/>
    <w:rsid w:val="004D072D"/>
    <w:rsid w:val="004D1006"/>
    <w:rsid w:val="004D2709"/>
    <w:rsid w:val="004D3AE5"/>
    <w:rsid w:val="004D3D04"/>
    <w:rsid w:val="004D4377"/>
    <w:rsid w:val="004D45DF"/>
    <w:rsid w:val="004D4699"/>
    <w:rsid w:val="004D49B0"/>
    <w:rsid w:val="004D5466"/>
    <w:rsid w:val="004D561A"/>
    <w:rsid w:val="004D6186"/>
    <w:rsid w:val="004D640B"/>
    <w:rsid w:val="004D6552"/>
    <w:rsid w:val="004D72F0"/>
    <w:rsid w:val="004D7F30"/>
    <w:rsid w:val="004D7FB4"/>
    <w:rsid w:val="004E027C"/>
    <w:rsid w:val="004E0C0B"/>
    <w:rsid w:val="004E161F"/>
    <w:rsid w:val="004E18D0"/>
    <w:rsid w:val="004E2125"/>
    <w:rsid w:val="004E2A72"/>
    <w:rsid w:val="004E346E"/>
    <w:rsid w:val="004E498E"/>
    <w:rsid w:val="004E539F"/>
    <w:rsid w:val="004E5D10"/>
    <w:rsid w:val="004E5DAC"/>
    <w:rsid w:val="004E5F8F"/>
    <w:rsid w:val="004E65DD"/>
    <w:rsid w:val="004E6929"/>
    <w:rsid w:val="004E6CFF"/>
    <w:rsid w:val="004E6D75"/>
    <w:rsid w:val="004E79B5"/>
    <w:rsid w:val="004E7AD4"/>
    <w:rsid w:val="004F1802"/>
    <w:rsid w:val="004F186B"/>
    <w:rsid w:val="004F3688"/>
    <w:rsid w:val="004F3AAE"/>
    <w:rsid w:val="004F3F05"/>
    <w:rsid w:val="004F4242"/>
    <w:rsid w:val="004F47A8"/>
    <w:rsid w:val="004F4BDE"/>
    <w:rsid w:val="004F5646"/>
    <w:rsid w:val="004F5BFC"/>
    <w:rsid w:val="004F6790"/>
    <w:rsid w:val="004F737D"/>
    <w:rsid w:val="004F7CAC"/>
    <w:rsid w:val="00500826"/>
    <w:rsid w:val="005016A6"/>
    <w:rsid w:val="0050175A"/>
    <w:rsid w:val="0050175F"/>
    <w:rsid w:val="00501A5A"/>
    <w:rsid w:val="00502031"/>
    <w:rsid w:val="005031A5"/>
    <w:rsid w:val="00503E77"/>
    <w:rsid w:val="00504D14"/>
    <w:rsid w:val="00504DA3"/>
    <w:rsid w:val="00504FAC"/>
    <w:rsid w:val="00506258"/>
    <w:rsid w:val="00507521"/>
    <w:rsid w:val="0051042B"/>
    <w:rsid w:val="00511320"/>
    <w:rsid w:val="00511698"/>
    <w:rsid w:val="005119C9"/>
    <w:rsid w:val="005124D1"/>
    <w:rsid w:val="00513692"/>
    <w:rsid w:val="00513C73"/>
    <w:rsid w:val="005143F9"/>
    <w:rsid w:val="00514566"/>
    <w:rsid w:val="00514E56"/>
    <w:rsid w:val="00515806"/>
    <w:rsid w:val="00516484"/>
    <w:rsid w:val="00516566"/>
    <w:rsid w:val="00517F51"/>
    <w:rsid w:val="00520E4C"/>
    <w:rsid w:val="005218C3"/>
    <w:rsid w:val="00522139"/>
    <w:rsid w:val="005224A2"/>
    <w:rsid w:val="00526FAF"/>
    <w:rsid w:val="0052758B"/>
    <w:rsid w:val="0052786B"/>
    <w:rsid w:val="00527898"/>
    <w:rsid w:val="005279A8"/>
    <w:rsid w:val="00527AEE"/>
    <w:rsid w:val="00530E8C"/>
    <w:rsid w:val="00531C11"/>
    <w:rsid w:val="005320D3"/>
    <w:rsid w:val="0053211C"/>
    <w:rsid w:val="0053350B"/>
    <w:rsid w:val="00534C32"/>
    <w:rsid w:val="00535B73"/>
    <w:rsid w:val="00535C74"/>
    <w:rsid w:val="00535CBE"/>
    <w:rsid w:val="005361AB"/>
    <w:rsid w:val="005369F0"/>
    <w:rsid w:val="00537CE4"/>
    <w:rsid w:val="00541017"/>
    <w:rsid w:val="005415B6"/>
    <w:rsid w:val="005416CF"/>
    <w:rsid w:val="00541D43"/>
    <w:rsid w:val="00541E8A"/>
    <w:rsid w:val="00541FF0"/>
    <w:rsid w:val="00542068"/>
    <w:rsid w:val="00542FD7"/>
    <w:rsid w:val="00543376"/>
    <w:rsid w:val="005439E5"/>
    <w:rsid w:val="00543AF9"/>
    <w:rsid w:val="00544C74"/>
    <w:rsid w:val="00544DE1"/>
    <w:rsid w:val="00545978"/>
    <w:rsid w:val="00545C6E"/>
    <w:rsid w:val="00546701"/>
    <w:rsid w:val="005474B4"/>
    <w:rsid w:val="0054757A"/>
    <w:rsid w:val="00547946"/>
    <w:rsid w:val="00547DB3"/>
    <w:rsid w:val="00547FC0"/>
    <w:rsid w:val="00550304"/>
    <w:rsid w:val="00551257"/>
    <w:rsid w:val="00551DCF"/>
    <w:rsid w:val="005522B1"/>
    <w:rsid w:val="005523C3"/>
    <w:rsid w:val="0055323C"/>
    <w:rsid w:val="005535A0"/>
    <w:rsid w:val="00554CBF"/>
    <w:rsid w:val="00555318"/>
    <w:rsid w:val="0055532F"/>
    <w:rsid w:val="005558A9"/>
    <w:rsid w:val="00557574"/>
    <w:rsid w:val="00557628"/>
    <w:rsid w:val="0055780A"/>
    <w:rsid w:val="00557BCB"/>
    <w:rsid w:val="00557C82"/>
    <w:rsid w:val="00560B4A"/>
    <w:rsid w:val="00560BC3"/>
    <w:rsid w:val="005615A6"/>
    <w:rsid w:val="005617DF"/>
    <w:rsid w:val="00561D24"/>
    <w:rsid w:val="00562905"/>
    <w:rsid w:val="00562AC8"/>
    <w:rsid w:val="0056398E"/>
    <w:rsid w:val="0056429D"/>
    <w:rsid w:val="005644C7"/>
    <w:rsid w:val="005647DE"/>
    <w:rsid w:val="005667CB"/>
    <w:rsid w:val="00566926"/>
    <w:rsid w:val="00567333"/>
    <w:rsid w:val="00567DBD"/>
    <w:rsid w:val="005702F6"/>
    <w:rsid w:val="00570338"/>
    <w:rsid w:val="00570A34"/>
    <w:rsid w:val="00570B5D"/>
    <w:rsid w:val="0057324A"/>
    <w:rsid w:val="005732E9"/>
    <w:rsid w:val="005738A6"/>
    <w:rsid w:val="00575488"/>
    <w:rsid w:val="00575507"/>
    <w:rsid w:val="00575AA4"/>
    <w:rsid w:val="00575B95"/>
    <w:rsid w:val="00576ADE"/>
    <w:rsid w:val="00577726"/>
    <w:rsid w:val="00577CFD"/>
    <w:rsid w:val="00577DEF"/>
    <w:rsid w:val="00581B78"/>
    <w:rsid w:val="0058244F"/>
    <w:rsid w:val="00582CA0"/>
    <w:rsid w:val="00584002"/>
    <w:rsid w:val="00584346"/>
    <w:rsid w:val="00586F48"/>
    <w:rsid w:val="00587342"/>
    <w:rsid w:val="00591ABA"/>
    <w:rsid w:val="005926E2"/>
    <w:rsid w:val="005927FD"/>
    <w:rsid w:val="00592B0A"/>
    <w:rsid w:val="00592B61"/>
    <w:rsid w:val="00592CD4"/>
    <w:rsid w:val="00592DC4"/>
    <w:rsid w:val="00592FC3"/>
    <w:rsid w:val="0059400E"/>
    <w:rsid w:val="005945B1"/>
    <w:rsid w:val="0059517E"/>
    <w:rsid w:val="005971D1"/>
    <w:rsid w:val="00597972"/>
    <w:rsid w:val="00597A7B"/>
    <w:rsid w:val="00597FAB"/>
    <w:rsid w:val="005A01F6"/>
    <w:rsid w:val="005A1C99"/>
    <w:rsid w:val="005A1FD3"/>
    <w:rsid w:val="005A3281"/>
    <w:rsid w:val="005A4301"/>
    <w:rsid w:val="005A494B"/>
    <w:rsid w:val="005A4A9D"/>
    <w:rsid w:val="005A4C43"/>
    <w:rsid w:val="005A5FEC"/>
    <w:rsid w:val="005A643E"/>
    <w:rsid w:val="005A6492"/>
    <w:rsid w:val="005B0D92"/>
    <w:rsid w:val="005B104C"/>
    <w:rsid w:val="005B1417"/>
    <w:rsid w:val="005B1A2E"/>
    <w:rsid w:val="005B26A8"/>
    <w:rsid w:val="005B274B"/>
    <w:rsid w:val="005B3A88"/>
    <w:rsid w:val="005B3D90"/>
    <w:rsid w:val="005B4921"/>
    <w:rsid w:val="005B5DED"/>
    <w:rsid w:val="005B61EA"/>
    <w:rsid w:val="005B6C7A"/>
    <w:rsid w:val="005B6F71"/>
    <w:rsid w:val="005B781F"/>
    <w:rsid w:val="005C0A8B"/>
    <w:rsid w:val="005C0BDF"/>
    <w:rsid w:val="005C1499"/>
    <w:rsid w:val="005C1A72"/>
    <w:rsid w:val="005C2085"/>
    <w:rsid w:val="005C3405"/>
    <w:rsid w:val="005C34E2"/>
    <w:rsid w:val="005C3A10"/>
    <w:rsid w:val="005C3BA0"/>
    <w:rsid w:val="005C407E"/>
    <w:rsid w:val="005C451A"/>
    <w:rsid w:val="005C52F5"/>
    <w:rsid w:val="005C604E"/>
    <w:rsid w:val="005C6415"/>
    <w:rsid w:val="005C6A66"/>
    <w:rsid w:val="005C705C"/>
    <w:rsid w:val="005C793C"/>
    <w:rsid w:val="005D00F9"/>
    <w:rsid w:val="005D0105"/>
    <w:rsid w:val="005D0199"/>
    <w:rsid w:val="005D0BC0"/>
    <w:rsid w:val="005D0F25"/>
    <w:rsid w:val="005D18E0"/>
    <w:rsid w:val="005D24B3"/>
    <w:rsid w:val="005D27E4"/>
    <w:rsid w:val="005D30D4"/>
    <w:rsid w:val="005D3A91"/>
    <w:rsid w:val="005D4615"/>
    <w:rsid w:val="005D5BA1"/>
    <w:rsid w:val="005D697E"/>
    <w:rsid w:val="005E0145"/>
    <w:rsid w:val="005E0FAB"/>
    <w:rsid w:val="005E3CA7"/>
    <w:rsid w:val="005E49B2"/>
    <w:rsid w:val="005E5372"/>
    <w:rsid w:val="005E5F9E"/>
    <w:rsid w:val="005E6358"/>
    <w:rsid w:val="005E640B"/>
    <w:rsid w:val="005E76EA"/>
    <w:rsid w:val="005E7F26"/>
    <w:rsid w:val="005F0AE8"/>
    <w:rsid w:val="005F0B6D"/>
    <w:rsid w:val="005F18CE"/>
    <w:rsid w:val="005F1FD6"/>
    <w:rsid w:val="005F2515"/>
    <w:rsid w:val="005F2A6B"/>
    <w:rsid w:val="005F3366"/>
    <w:rsid w:val="005F3AC9"/>
    <w:rsid w:val="005F3E96"/>
    <w:rsid w:val="005F40C1"/>
    <w:rsid w:val="005F6A9E"/>
    <w:rsid w:val="005F7DED"/>
    <w:rsid w:val="00600A39"/>
    <w:rsid w:val="0060191B"/>
    <w:rsid w:val="00601B3F"/>
    <w:rsid w:val="00601C23"/>
    <w:rsid w:val="006024D3"/>
    <w:rsid w:val="006029CA"/>
    <w:rsid w:val="006044B7"/>
    <w:rsid w:val="006048D3"/>
    <w:rsid w:val="006055B5"/>
    <w:rsid w:val="00605789"/>
    <w:rsid w:val="006067A8"/>
    <w:rsid w:val="00606EF9"/>
    <w:rsid w:val="0060706A"/>
    <w:rsid w:val="00607758"/>
    <w:rsid w:val="0061034D"/>
    <w:rsid w:val="00610582"/>
    <w:rsid w:val="00610674"/>
    <w:rsid w:val="0061068C"/>
    <w:rsid w:val="00610D5E"/>
    <w:rsid w:val="006110C9"/>
    <w:rsid w:val="006110E8"/>
    <w:rsid w:val="006112E3"/>
    <w:rsid w:val="0061283E"/>
    <w:rsid w:val="00612A60"/>
    <w:rsid w:val="00613467"/>
    <w:rsid w:val="00613F20"/>
    <w:rsid w:val="00614133"/>
    <w:rsid w:val="0061431E"/>
    <w:rsid w:val="0061553C"/>
    <w:rsid w:val="006155A3"/>
    <w:rsid w:val="006157F8"/>
    <w:rsid w:val="00615FD6"/>
    <w:rsid w:val="006169CE"/>
    <w:rsid w:val="00616C56"/>
    <w:rsid w:val="00616D73"/>
    <w:rsid w:val="0062027A"/>
    <w:rsid w:val="00621033"/>
    <w:rsid w:val="00622F2F"/>
    <w:rsid w:val="00623092"/>
    <w:rsid w:val="00623454"/>
    <w:rsid w:val="0062398E"/>
    <w:rsid w:val="00624315"/>
    <w:rsid w:val="006245AB"/>
    <w:rsid w:val="00624778"/>
    <w:rsid w:val="0062545B"/>
    <w:rsid w:val="0062552A"/>
    <w:rsid w:val="0062726F"/>
    <w:rsid w:val="00627377"/>
    <w:rsid w:val="00627A65"/>
    <w:rsid w:val="00627CBD"/>
    <w:rsid w:val="00630496"/>
    <w:rsid w:val="006316D9"/>
    <w:rsid w:val="00631C0A"/>
    <w:rsid w:val="00631FD7"/>
    <w:rsid w:val="006332BE"/>
    <w:rsid w:val="0063362B"/>
    <w:rsid w:val="00633834"/>
    <w:rsid w:val="00634104"/>
    <w:rsid w:val="006344E0"/>
    <w:rsid w:val="00634778"/>
    <w:rsid w:val="00634900"/>
    <w:rsid w:val="00635409"/>
    <w:rsid w:val="00635F4C"/>
    <w:rsid w:val="006367DD"/>
    <w:rsid w:val="0063687B"/>
    <w:rsid w:val="00636E13"/>
    <w:rsid w:val="00637C5B"/>
    <w:rsid w:val="00637D34"/>
    <w:rsid w:val="00637FFD"/>
    <w:rsid w:val="006400D9"/>
    <w:rsid w:val="0064013D"/>
    <w:rsid w:val="00640785"/>
    <w:rsid w:val="006408C3"/>
    <w:rsid w:val="00640E65"/>
    <w:rsid w:val="006419CD"/>
    <w:rsid w:val="00641F9D"/>
    <w:rsid w:val="00642018"/>
    <w:rsid w:val="006421FC"/>
    <w:rsid w:val="0064290C"/>
    <w:rsid w:val="00643296"/>
    <w:rsid w:val="0064344A"/>
    <w:rsid w:val="00643486"/>
    <w:rsid w:val="006436B7"/>
    <w:rsid w:val="00643BA3"/>
    <w:rsid w:val="00643F4F"/>
    <w:rsid w:val="006445E2"/>
    <w:rsid w:val="006448C0"/>
    <w:rsid w:val="00644B1E"/>
    <w:rsid w:val="00645203"/>
    <w:rsid w:val="00645A02"/>
    <w:rsid w:val="00645AB3"/>
    <w:rsid w:val="00645CA5"/>
    <w:rsid w:val="00645D53"/>
    <w:rsid w:val="00645DBC"/>
    <w:rsid w:val="00645F14"/>
    <w:rsid w:val="0064620D"/>
    <w:rsid w:val="00646DE1"/>
    <w:rsid w:val="0064719A"/>
    <w:rsid w:val="0064762B"/>
    <w:rsid w:val="0064793F"/>
    <w:rsid w:val="006510FB"/>
    <w:rsid w:val="0065226B"/>
    <w:rsid w:val="006527E7"/>
    <w:rsid w:val="006539DF"/>
    <w:rsid w:val="006544A1"/>
    <w:rsid w:val="006550BC"/>
    <w:rsid w:val="00655158"/>
    <w:rsid w:val="00655D5D"/>
    <w:rsid w:val="0065600C"/>
    <w:rsid w:val="00656A27"/>
    <w:rsid w:val="00656A5A"/>
    <w:rsid w:val="00657754"/>
    <w:rsid w:val="00657A5A"/>
    <w:rsid w:val="0066043B"/>
    <w:rsid w:val="0066098C"/>
    <w:rsid w:val="00660DE0"/>
    <w:rsid w:val="00661165"/>
    <w:rsid w:val="00661392"/>
    <w:rsid w:val="006618AA"/>
    <w:rsid w:val="00661E8F"/>
    <w:rsid w:val="00662DFF"/>
    <w:rsid w:val="00662E1A"/>
    <w:rsid w:val="006631F0"/>
    <w:rsid w:val="00663B4B"/>
    <w:rsid w:val="00664356"/>
    <w:rsid w:val="00664970"/>
    <w:rsid w:val="00665790"/>
    <w:rsid w:val="00665FC6"/>
    <w:rsid w:val="00665FF3"/>
    <w:rsid w:val="00667104"/>
    <w:rsid w:val="0066733F"/>
    <w:rsid w:val="00667CBF"/>
    <w:rsid w:val="00670472"/>
    <w:rsid w:val="00670676"/>
    <w:rsid w:val="00671CC2"/>
    <w:rsid w:val="00672120"/>
    <w:rsid w:val="006726C4"/>
    <w:rsid w:val="0067327D"/>
    <w:rsid w:val="00673352"/>
    <w:rsid w:val="00673843"/>
    <w:rsid w:val="00673B13"/>
    <w:rsid w:val="00677059"/>
    <w:rsid w:val="006770D5"/>
    <w:rsid w:val="006775BA"/>
    <w:rsid w:val="00677A53"/>
    <w:rsid w:val="00677CF7"/>
    <w:rsid w:val="00680EC7"/>
    <w:rsid w:val="00681714"/>
    <w:rsid w:val="00681817"/>
    <w:rsid w:val="00681C5B"/>
    <w:rsid w:val="00681CDB"/>
    <w:rsid w:val="0068368C"/>
    <w:rsid w:val="00683786"/>
    <w:rsid w:val="00683E39"/>
    <w:rsid w:val="0068446B"/>
    <w:rsid w:val="00685BBF"/>
    <w:rsid w:val="00686346"/>
    <w:rsid w:val="006863B1"/>
    <w:rsid w:val="0068650C"/>
    <w:rsid w:val="00686A71"/>
    <w:rsid w:val="00687D51"/>
    <w:rsid w:val="00687F96"/>
    <w:rsid w:val="0069051D"/>
    <w:rsid w:val="0069123E"/>
    <w:rsid w:val="00691913"/>
    <w:rsid w:val="00692B74"/>
    <w:rsid w:val="00693399"/>
    <w:rsid w:val="00693A1B"/>
    <w:rsid w:val="0069459C"/>
    <w:rsid w:val="006945E0"/>
    <w:rsid w:val="00696C7E"/>
    <w:rsid w:val="00697239"/>
    <w:rsid w:val="006A037B"/>
    <w:rsid w:val="006A138B"/>
    <w:rsid w:val="006A1569"/>
    <w:rsid w:val="006A15B9"/>
    <w:rsid w:val="006A1942"/>
    <w:rsid w:val="006A1BDD"/>
    <w:rsid w:val="006A2CB9"/>
    <w:rsid w:val="006A6503"/>
    <w:rsid w:val="006A7140"/>
    <w:rsid w:val="006A7FE1"/>
    <w:rsid w:val="006B00FE"/>
    <w:rsid w:val="006B0480"/>
    <w:rsid w:val="006B122A"/>
    <w:rsid w:val="006B140A"/>
    <w:rsid w:val="006B1599"/>
    <w:rsid w:val="006B16C8"/>
    <w:rsid w:val="006B2F98"/>
    <w:rsid w:val="006B41BA"/>
    <w:rsid w:val="006B47D3"/>
    <w:rsid w:val="006B496A"/>
    <w:rsid w:val="006B5181"/>
    <w:rsid w:val="006B5D29"/>
    <w:rsid w:val="006B6027"/>
    <w:rsid w:val="006B6044"/>
    <w:rsid w:val="006B66A0"/>
    <w:rsid w:val="006B6DE4"/>
    <w:rsid w:val="006B7C66"/>
    <w:rsid w:val="006C014A"/>
    <w:rsid w:val="006C03E2"/>
    <w:rsid w:val="006C0974"/>
    <w:rsid w:val="006C280C"/>
    <w:rsid w:val="006C29D4"/>
    <w:rsid w:val="006C2C64"/>
    <w:rsid w:val="006C33C8"/>
    <w:rsid w:val="006C3CE3"/>
    <w:rsid w:val="006C4413"/>
    <w:rsid w:val="006C48FF"/>
    <w:rsid w:val="006C4906"/>
    <w:rsid w:val="006C6AA6"/>
    <w:rsid w:val="006C6F2F"/>
    <w:rsid w:val="006C79DB"/>
    <w:rsid w:val="006D0332"/>
    <w:rsid w:val="006D1131"/>
    <w:rsid w:val="006D1896"/>
    <w:rsid w:val="006D1C43"/>
    <w:rsid w:val="006D2C4B"/>
    <w:rsid w:val="006D3271"/>
    <w:rsid w:val="006D33C5"/>
    <w:rsid w:val="006D4E1F"/>
    <w:rsid w:val="006D5247"/>
    <w:rsid w:val="006D5D03"/>
    <w:rsid w:val="006D5F43"/>
    <w:rsid w:val="006D69BA"/>
    <w:rsid w:val="006D71F8"/>
    <w:rsid w:val="006D7D25"/>
    <w:rsid w:val="006E02E5"/>
    <w:rsid w:val="006E133C"/>
    <w:rsid w:val="006E1BB8"/>
    <w:rsid w:val="006E57EE"/>
    <w:rsid w:val="006E6AF0"/>
    <w:rsid w:val="006E6BF3"/>
    <w:rsid w:val="006E7302"/>
    <w:rsid w:val="006E7FDF"/>
    <w:rsid w:val="006F161E"/>
    <w:rsid w:val="006F1AF7"/>
    <w:rsid w:val="006F1BB3"/>
    <w:rsid w:val="006F21CC"/>
    <w:rsid w:val="006F23DC"/>
    <w:rsid w:val="006F25FE"/>
    <w:rsid w:val="006F350A"/>
    <w:rsid w:val="006F6565"/>
    <w:rsid w:val="006F6C5E"/>
    <w:rsid w:val="006F7F67"/>
    <w:rsid w:val="007000C5"/>
    <w:rsid w:val="00700928"/>
    <w:rsid w:val="00700FE7"/>
    <w:rsid w:val="0070129A"/>
    <w:rsid w:val="00702B6B"/>
    <w:rsid w:val="00703418"/>
    <w:rsid w:val="00703D59"/>
    <w:rsid w:val="007045F4"/>
    <w:rsid w:val="0070489D"/>
    <w:rsid w:val="0070527E"/>
    <w:rsid w:val="00705374"/>
    <w:rsid w:val="007061AA"/>
    <w:rsid w:val="007063D3"/>
    <w:rsid w:val="0070691C"/>
    <w:rsid w:val="00706CAA"/>
    <w:rsid w:val="00707802"/>
    <w:rsid w:val="00710485"/>
    <w:rsid w:val="007109D8"/>
    <w:rsid w:val="00710FC1"/>
    <w:rsid w:val="00711FDD"/>
    <w:rsid w:val="00712C73"/>
    <w:rsid w:val="0071362E"/>
    <w:rsid w:val="00714145"/>
    <w:rsid w:val="007141D5"/>
    <w:rsid w:val="0071484C"/>
    <w:rsid w:val="00714E0D"/>
    <w:rsid w:val="00715033"/>
    <w:rsid w:val="00717C8E"/>
    <w:rsid w:val="00720BE8"/>
    <w:rsid w:val="00720D09"/>
    <w:rsid w:val="00721FBC"/>
    <w:rsid w:val="00722107"/>
    <w:rsid w:val="00722446"/>
    <w:rsid w:val="00722A7F"/>
    <w:rsid w:val="00722FA4"/>
    <w:rsid w:val="007232AA"/>
    <w:rsid w:val="00723E1E"/>
    <w:rsid w:val="00724889"/>
    <w:rsid w:val="00724B19"/>
    <w:rsid w:val="007257E0"/>
    <w:rsid w:val="00725C02"/>
    <w:rsid w:val="00725F8E"/>
    <w:rsid w:val="007276AA"/>
    <w:rsid w:val="00730A4C"/>
    <w:rsid w:val="00730D7F"/>
    <w:rsid w:val="00731C74"/>
    <w:rsid w:val="0073438E"/>
    <w:rsid w:val="007347CC"/>
    <w:rsid w:val="007348AF"/>
    <w:rsid w:val="00735273"/>
    <w:rsid w:val="00735846"/>
    <w:rsid w:val="00735C67"/>
    <w:rsid w:val="00736B92"/>
    <w:rsid w:val="00736D64"/>
    <w:rsid w:val="00740764"/>
    <w:rsid w:val="007408F2"/>
    <w:rsid w:val="00741A74"/>
    <w:rsid w:val="007421F4"/>
    <w:rsid w:val="007424AB"/>
    <w:rsid w:val="00742865"/>
    <w:rsid w:val="0074311D"/>
    <w:rsid w:val="00743B80"/>
    <w:rsid w:val="0074442A"/>
    <w:rsid w:val="00744C4E"/>
    <w:rsid w:val="00745082"/>
    <w:rsid w:val="00746A24"/>
    <w:rsid w:val="007503C5"/>
    <w:rsid w:val="00750420"/>
    <w:rsid w:val="0075082C"/>
    <w:rsid w:val="007509A6"/>
    <w:rsid w:val="00750B5A"/>
    <w:rsid w:val="00750E2B"/>
    <w:rsid w:val="0075140C"/>
    <w:rsid w:val="00751C6B"/>
    <w:rsid w:val="00751EA2"/>
    <w:rsid w:val="00751F15"/>
    <w:rsid w:val="007533BC"/>
    <w:rsid w:val="00753DFA"/>
    <w:rsid w:val="007555B4"/>
    <w:rsid w:val="007568E0"/>
    <w:rsid w:val="00756BBD"/>
    <w:rsid w:val="00757BC7"/>
    <w:rsid w:val="00760876"/>
    <w:rsid w:val="00760C86"/>
    <w:rsid w:val="00762490"/>
    <w:rsid w:val="00762BDF"/>
    <w:rsid w:val="00763720"/>
    <w:rsid w:val="00764310"/>
    <w:rsid w:val="0076446C"/>
    <w:rsid w:val="007662B9"/>
    <w:rsid w:val="007662EA"/>
    <w:rsid w:val="00766348"/>
    <w:rsid w:val="00767588"/>
    <w:rsid w:val="00770563"/>
    <w:rsid w:val="00770966"/>
    <w:rsid w:val="00771833"/>
    <w:rsid w:val="00772C70"/>
    <w:rsid w:val="00772D45"/>
    <w:rsid w:val="00773585"/>
    <w:rsid w:val="00774561"/>
    <w:rsid w:val="0077548D"/>
    <w:rsid w:val="007765FB"/>
    <w:rsid w:val="00777D67"/>
    <w:rsid w:val="0078018C"/>
    <w:rsid w:val="00780204"/>
    <w:rsid w:val="00780F24"/>
    <w:rsid w:val="007816A5"/>
    <w:rsid w:val="00781777"/>
    <w:rsid w:val="007817B1"/>
    <w:rsid w:val="00781EC7"/>
    <w:rsid w:val="00781F4B"/>
    <w:rsid w:val="0078218C"/>
    <w:rsid w:val="007821EF"/>
    <w:rsid w:val="0078272D"/>
    <w:rsid w:val="007829CD"/>
    <w:rsid w:val="00782D4B"/>
    <w:rsid w:val="00783BBD"/>
    <w:rsid w:val="00783DB8"/>
    <w:rsid w:val="007847E0"/>
    <w:rsid w:val="007847FA"/>
    <w:rsid w:val="00786B9F"/>
    <w:rsid w:val="00787332"/>
    <w:rsid w:val="00787985"/>
    <w:rsid w:val="00787BDC"/>
    <w:rsid w:val="00790910"/>
    <w:rsid w:val="00791245"/>
    <w:rsid w:val="007914C5"/>
    <w:rsid w:val="00791C5D"/>
    <w:rsid w:val="00791DE1"/>
    <w:rsid w:val="00791F62"/>
    <w:rsid w:val="0079241F"/>
    <w:rsid w:val="0079375E"/>
    <w:rsid w:val="0079482B"/>
    <w:rsid w:val="00794C45"/>
    <w:rsid w:val="0079515E"/>
    <w:rsid w:val="0079673D"/>
    <w:rsid w:val="00796EAF"/>
    <w:rsid w:val="007976A9"/>
    <w:rsid w:val="00797D36"/>
    <w:rsid w:val="007A0667"/>
    <w:rsid w:val="007A09C7"/>
    <w:rsid w:val="007A0AA8"/>
    <w:rsid w:val="007A0C94"/>
    <w:rsid w:val="007A194D"/>
    <w:rsid w:val="007A2F3F"/>
    <w:rsid w:val="007A321D"/>
    <w:rsid w:val="007A37EA"/>
    <w:rsid w:val="007A387E"/>
    <w:rsid w:val="007A3A8C"/>
    <w:rsid w:val="007A4024"/>
    <w:rsid w:val="007A4500"/>
    <w:rsid w:val="007A5D6E"/>
    <w:rsid w:val="007A5FB6"/>
    <w:rsid w:val="007A6254"/>
    <w:rsid w:val="007A7481"/>
    <w:rsid w:val="007B03E9"/>
    <w:rsid w:val="007B0B33"/>
    <w:rsid w:val="007B0C11"/>
    <w:rsid w:val="007B0E0C"/>
    <w:rsid w:val="007B1B91"/>
    <w:rsid w:val="007B218B"/>
    <w:rsid w:val="007B23AF"/>
    <w:rsid w:val="007B269A"/>
    <w:rsid w:val="007B26B4"/>
    <w:rsid w:val="007B2AF8"/>
    <w:rsid w:val="007B344A"/>
    <w:rsid w:val="007B34D9"/>
    <w:rsid w:val="007B41C9"/>
    <w:rsid w:val="007B60E4"/>
    <w:rsid w:val="007B6B55"/>
    <w:rsid w:val="007C0D0E"/>
    <w:rsid w:val="007C26E5"/>
    <w:rsid w:val="007C346A"/>
    <w:rsid w:val="007C436E"/>
    <w:rsid w:val="007C4CDA"/>
    <w:rsid w:val="007C6B1D"/>
    <w:rsid w:val="007C6E2F"/>
    <w:rsid w:val="007C720A"/>
    <w:rsid w:val="007C7499"/>
    <w:rsid w:val="007C7C2E"/>
    <w:rsid w:val="007D0043"/>
    <w:rsid w:val="007D0C35"/>
    <w:rsid w:val="007D1092"/>
    <w:rsid w:val="007D118C"/>
    <w:rsid w:val="007D11CA"/>
    <w:rsid w:val="007D1924"/>
    <w:rsid w:val="007D1D3B"/>
    <w:rsid w:val="007D2621"/>
    <w:rsid w:val="007D26A6"/>
    <w:rsid w:val="007D2D04"/>
    <w:rsid w:val="007D5CA8"/>
    <w:rsid w:val="007D6B9E"/>
    <w:rsid w:val="007D714F"/>
    <w:rsid w:val="007D7578"/>
    <w:rsid w:val="007E0CAF"/>
    <w:rsid w:val="007E0FEA"/>
    <w:rsid w:val="007E2F09"/>
    <w:rsid w:val="007E3401"/>
    <w:rsid w:val="007E3511"/>
    <w:rsid w:val="007E58EB"/>
    <w:rsid w:val="007E6171"/>
    <w:rsid w:val="007E676C"/>
    <w:rsid w:val="007E6E8A"/>
    <w:rsid w:val="007E7252"/>
    <w:rsid w:val="007F070F"/>
    <w:rsid w:val="007F07D8"/>
    <w:rsid w:val="007F08CA"/>
    <w:rsid w:val="007F0CE5"/>
    <w:rsid w:val="007F106D"/>
    <w:rsid w:val="007F186C"/>
    <w:rsid w:val="007F3934"/>
    <w:rsid w:val="007F3B6E"/>
    <w:rsid w:val="007F4394"/>
    <w:rsid w:val="007F52AC"/>
    <w:rsid w:val="007F5305"/>
    <w:rsid w:val="007F5602"/>
    <w:rsid w:val="007F59DE"/>
    <w:rsid w:val="007F648B"/>
    <w:rsid w:val="007F6B13"/>
    <w:rsid w:val="007F6F68"/>
    <w:rsid w:val="007F7AC2"/>
    <w:rsid w:val="00801A6F"/>
    <w:rsid w:val="00801B6C"/>
    <w:rsid w:val="00802B63"/>
    <w:rsid w:val="00802CFB"/>
    <w:rsid w:val="0080399E"/>
    <w:rsid w:val="00803B41"/>
    <w:rsid w:val="0080460A"/>
    <w:rsid w:val="0080539C"/>
    <w:rsid w:val="0080593C"/>
    <w:rsid w:val="0080613E"/>
    <w:rsid w:val="00806434"/>
    <w:rsid w:val="00807559"/>
    <w:rsid w:val="00807AD6"/>
    <w:rsid w:val="00810074"/>
    <w:rsid w:val="008115C2"/>
    <w:rsid w:val="008117BF"/>
    <w:rsid w:val="00811904"/>
    <w:rsid w:val="00811EB0"/>
    <w:rsid w:val="008127AA"/>
    <w:rsid w:val="00813288"/>
    <w:rsid w:val="008144E6"/>
    <w:rsid w:val="00814E52"/>
    <w:rsid w:val="00814F2B"/>
    <w:rsid w:val="00816F98"/>
    <w:rsid w:val="0081711A"/>
    <w:rsid w:val="00817162"/>
    <w:rsid w:val="008171E6"/>
    <w:rsid w:val="00817BDA"/>
    <w:rsid w:val="00817F92"/>
    <w:rsid w:val="00821A29"/>
    <w:rsid w:val="008220DD"/>
    <w:rsid w:val="00822F43"/>
    <w:rsid w:val="00823233"/>
    <w:rsid w:val="00823D39"/>
    <w:rsid w:val="00824426"/>
    <w:rsid w:val="00824B0E"/>
    <w:rsid w:val="00824C9D"/>
    <w:rsid w:val="008260B8"/>
    <w:rsid w:val="00826EEA"/>
    <w:rsid w:val="00827126"/>
    <w:rsid w:val="0082741C"/>
    <w:rsid w:val="00827E97"/>
    <w:rsid w:val="00830597"/>
    <w:rsid w:val="00830C71"/>
    <w:rsid w:val="00830E52"/>
    <w:rsid w:val="00830EBF"/>
    <w:rsid w:val="008310EB"/>
    <w:rsid w:val="00831C64"/>
    <w:rsid w:val="0083233F"/>
    <w:rsid w:val="008324E3"/>
    <w:rsid w:val="0083263B"/>
    <w:rsid w:val="00833A28"/>
    <w:rsid w:val="00833E59"/>
    <w:rsid w:val="0083475E"/>
    <w:rsid w:val="0083640E"/>
    <w:rsid w:val="00836E8D"/>
    <w:rsid w:val="0084213E"/>
    <w:rsid w:val="00842490"/>
    <w:rsid w:val="00842B44"/>
    <w:rsid w:val="0084304E"/>
    <w:rsid w:val="008431D6"/>
    <w:rsid w:val="008434A2"/>
    <w:rsid w:val="00843F50"/>
    <w:rsid w:val="00843F6B"/>
    <w:rsid w:val="00843F8D"/>
    <w:rsid w:val="00844347"/>
    <w:rsid w:val="0084437F"/>
    <w:rsid w:val="00844B1F"/>
    <w:rsid w:val="008450F3"/>
    <w:rsid w:val="00845597"/>
    <w:rsid w:val="00845946"/>
    <w:rsid w:val="008460D7"/>
    <w:rsid w:val="00846BA8"/>
    <w:rsid w:val="008476A0"/>
    <w:rsid w:val="00850412"/>
    <w:rsid w:val="0085041B"/>
    <w:rsid w:val="008509E0"/>
    <w:rsid w:val="00851368"/>
    <w:rsid w:val="008515B8"/>
    <w:rsid w:val="0085176A"/>
    <w:rsid w:val="00851B35"/>
    <w:rsid w:val="00851BDF"/>
    <w:rsid w:val="00851C5E"/>
    <w:rsid w:val="00852E4A"/>
    <w:rsid w:val="00852F38"/>
    <w:rsid w:val="00854EF0"/>
    <w:rsid w:val="00855BE9"/>
    <w:rsid w:val="00856BCB"/>
    <w:rsid w:val="00856C34"/>
    <w:rsid w:val="0085704E"/>
    <w:rsid w:val="0086103B"/>
    <w:rsid w:val="00861E3E"/>
    <w:rsid w:val="008621C6"/>
    <w:rsid w:val="00862B69"/>
    <w:rsid w:val="00862E47"/>
    <w:rsid w:val="008631B5"/>
    <w:rsid w:val="00863CFF"/>
    <w:rsid w:val="00863E95"/>
    <w:rsid w:val="00864037"/>
    <w:rsid w:val="00865546"/>
    <w:rsid w:val="00865750"/>
    <w:rsid w:val="00865C3A"/>
    <w:rsid w:val="00865DC1"/>
    <w:rsid w:val="00866C21"/>
    <w:rsid w:val="00867740"/>
    <w:rsid w:val="00867E67"/>
    <w:rsid w:val="00870112"/>
    <w:rsid w:val="00870C8E"/>
    <w:rsid w:val="00871410"/>
    <w:rsid w:val="00871483"/>
    <w:rsid w:val="00872B4B"/>
    <w:rsid w:val="0087365A"/>
    <w:rsid w:val="00873E8E"/>
    <w:rsid w:val="008743C7"/>
    <w:rsid w:val="008750F9"/>
    <w:rsid w:val="00875341"/>
    <w:rsid w:val="0087536F"/>
    <w:rsid w:val="00875E65"/>
    <w:rsid w:val="00875FD3"/>
    <w:rsid w:val="00876A0D"/>
    <w:rsid w:val="00876BA9"/>
    <w:rsid w:val="00877B2F"/>
    <w:rsid w:val="00877B95"/>
    <w:rsid w:val="00877DBD"/>
    <w:rsid w:val="00880648"/>
    <w:rsid w:val="0088071B"/>
    <w:rsid w:val="00880A40"/>
    <w:rsid w:val="008810DB"/>
    <w:rsid w:val="00881788"/>
    <w:rsid w:val="00881C81"/>
    <w:rsid w:val="00881CB1"/>
    <w:rsid w:val="0088251E"/>
    <w:rsid w:val="00882C06"/>
    <w:rsid w:val="00882CC7"/>
    <w:rsid w:val="00883CC3"/>
    <w:rsid w:val="00884AF1"/>
    <w:rsid w:val="00885D6C"/>
    <w:rsid w:val="00885E28"/>
    <w:rsid w:val="008860C3"/>
    <w:rsid w:val="008867B1"/>
    <w:rsid w:val="008869F4"/>
    <w:rsid w:val="00886B4E"/>
    <w:rsid w:val="00887C70"/>
    <w:rsid w:val="00887E32"/>
    <w:rsid w:val="00890F77"/>
    <w:rsid w:val="008911CB"/>
    <w:rsid w:val="008914B8"/>
    <w:rsid w:val="008917EB"/>
    <w:rsid w:val="008920BF"/>
    <w:rsid w:val="008927EE"/>
    <w:rsid w:val="00893B28"/>
    <w:rsid w:val="00893EEF"/>
    <w:rsid w:val="00894F64"/>
    <w:rsid w:val="00895942"/>
    <w:rsid w:val="008975A2"/>
    <w:rsid w:val="00897B51"/>
    <w:rsid w:val="008A02E3"/>
    <w:rsid w:val="008A10E1"/>
    <w:rsid w:val="008A12B3"/>
    <w:rsid w:val="008A14CB"/>
    <w:rsid w:val="008A184F"/>
    <w:rsid w:val="008A2C72"/>
    <w:rsid w:val="008A3ADD"/>
    <w:rsid w:val="008A3D8D"/>
    <w:rsid w:val="008A3FFA"/>
    <w:rsid w:val="008A40BC"/>
    <w:rsid w:val="008A40DD"/>
    <w:rsid w:val="008A4772"/>
    <w:rsid w:val="008A4880"/>
    <w:rsid w:val="008A52B1"/>
    <w:rsid w:val="008A5754"/>
    <w:rsid w:val="008A5E0E"/>
    <w:rsid w:val="008A621C"/>
    <w:rsid w:val="008A6C7D"/>
    <w:rsid w:val="008A7950"/>
    <w:rsid w:val="008A7B53"/>
    <w:rsid w:val="008B0C53"/>
    <w:rsid w:val="008B1FFD"/>
    <w:rsid w:val="008B2287"/>
    <w:rsid w:val="008B2C24"/>
    <w:rsid w:val="008B2C31"/>
    <w:rsid w:val="008B2E71"/>
    <w:rsid w:val="008B4EA4"/>
    <w:rsid w:val="008B5B32"/>
    <w:rsid w:val="008B66D5"/>
    <w:rsid w:val="008B6C50"/>
    <w:rsid w:val="008C119E"/>
    <w:rsid w:val="008C1B83"/>
    <w:rsid w:val="008C2989"/>
    <w:rsid w:val="008C2E41"/>
    <w:rsid w:val="008C35F4"/>
    <w:rsid w:val="008C3655"/>
    <w:rsid w:val="008C3D0F"/>
    <w:rsid w:val="008C3D51"/>
    <w:rsid w:val="008C3D6B"/>
    <w:rsid w:val="008C460D"/>
    <w:rsid w:val="008C519F"/>
    <w:rsid w:val="008C6159"/>
    <w:rsid w:val="008C67E8"/>
    <w:rsid w:val="008C69C5"/>
    <w:rsid w:val="008C6A8B"/>
    <w:rsid w:val="008C6B3B"/>
    <w:rsid w:val="008C6F00"/>
    <w:rsid w:val="008C7353"/>
    <w:rsid w:val="008D09DD"/>
    <w:rsid w:val="008D0ADF"/>
    <w:rsid w:val="008D0DC9"/>
    <w:rsid w:val="008D1741"/>
    <w:rsid w:val="008D1784"/>
    <w:rsid w:val="008D18CE"/>
    <w:rsid w:val="008D2DDD"/>
    <w:rsid w:val="008D32E3"/>
    <w:rsid w:val="008D33C3"/>
    <w:rsid w:val="008D405B"/>
    <w:rsid w:val="008D40D4"/>
    <w:rsid w:val="008D40E8"/>
    <w:rsid w:val="008D475B"/>
    <w:rsid w:val="008D4B6A"/>
    <w:rsid w:val="008D5F42"/>
    <w:rsid w:val="008D78FF"/>
    <w:rsid w:val="008D7BF5"/>
    <w:rsid w:val="008E0982"/>
    <w:rsid w:val="008E10F4"/>
    <w:rsid w:val="008E1CFB"/>
    <w:rsid w:val="008E330C"/>
    <w:rsid w:val="008E3A1E"/>
    <w:rsid w:val="008E4A74"/>
    <w:rsid w:val="008E612E"/>
    <w:rsid w:val="008E6E00"/>
    <w:rsid w:val="008E7763"/>
    <w:rsid w:val="008F07FC"/>
    <w:rsid w:val="008F0B8A"/>
    <w:rsid w:val="008F1395"/>
    <w:rsid w:val="008F263F"/>
    <w:rsid w:val="008F3519"/>
    <w:rsid w:val="008F4A7E"/>
    <w:rsid w:val="008F5299"/>
    <w:rsid w:val="008F5E79"/>
    <w:rsid w:val="008F5EF2"/>
    <w:rsid w:val="008F703E"/>
    <w:rsid w:val="008F748D"/>
    <w:rsid w:val="008F7F61"/>
    <w:rsid w:val="00900174"/>
    <w:rsid w:val="009003BE"/>
    <w:rsid w:val="00901DAD"/>
    <w:rsid w:val="009023B3"/>
    <w:rsid w:val="00903F33"/>
    <w:rsid w:val="0090478D"/>
    <w:rsid w:val="00905653"/>
    <w:rsid w:val="009059D8"/>
    <w:rsid w:val="00905EF1"/>
    <w:rsid w:val="009062AD"/>
    <w:rsid w:val="00906BB1"/>
    <w:rsid w:val="00906BF5"/>
    <w:rsid w:val="00906C2F"/>
    <w:rsid w:val="00906E2F"/>
    <w:rsid w:val="0090734D"/>
    <w:rsid w:val="0090753F"/>
    <w:rsid w:val="00907823"/>
    <w:rsid w:val="00907899"/>
    <w:rsid w:val="009079A0"/>
    <w:rsid w:val="00907F7A"/>
    <w:rsid w:val="009110B2"/>
    <w:rsid w:val="009119EE"/>
    <w:rsid w:val="00912278"/>
    <w:rsid w:val="0091238F"/>
    <w:rsid w:val="0091268E"/>
    <w:rsid w:val="00912D3B"/>
    <w:rsid w:val="009134BA"/>
    <w:rsid w:val="00914DA7"/>
    <w:rsid w:val="00915A59"/>
    <w:rsid w:val="00915B0B"/>
    <w:rsid w:val="00915F63"/>
    <w:rsid w:val="00916AFA"/>
    <w:rsid w:val="009177E9"/>
    <w:rsid w:val="0092035D"/>
    <w:rsid w:val="0092039C"/>
    <w:rsid w:val="009221AD"/>
    <w:rsid w:val="00922871"/>
    <w:rsid w:val="00923281"/>
    <w:rsid w:val="00923366"/>
    <w:rsid w:val="009233E9"/>
    <w:rsid w:val="00923C72"/>
    <w:rsid w:val="009240B7"/>
    <w:rsid w:val="00924BA0"/>
    <w:rsid w:val="00924E61"/>
    <w:rsid w:val="00925B28"/>
    <w:rsid w:val="0092600B"/>
    <w:rsid w:val="009265C7"/>
    <w:rsid w:val="00926B1B"/>
    <w:rsid w:val="00926EC7"/>
    <w:rsid w:val="00927854"/>
    <w:rsid w:val="009307EF"/>
    <w:rsid w:val="00930D09"/>
    <w:rsid w:val="00930F54"/>
    <w:rsid w:val="00932586"/>
    <w:rsid w:val="009328C9"/>
    <w:rsid w:val="00932928"/>
    <w:rsid w:val="0093310A"/>
    <w:rsid w:val="009331CF"/>
    <w:rsid w:val="009334AC"/>
    <w:rsid w:val="00933B45"/>
    <w:rsid w:val="00934564"/>
    <w:rsid w:val="00934B6C"/>
    <w:rsid w:val="009375A1"/>
    <w:rsid w:val="00937E53"/>
    <w:rsid w:val="0094021E"/>
    <w:rsid w:val="00940228"/>
    <w:rsid w:val="009415F4"/>
    <w:rsid w:val="00941A22"/>
    <w:rsid w:val="00941CE0"/>
    <w:rsid w:val="00941ED9"/>
    <w:rsid w:val="00942005"/>
    <w:rsid w:val="00942010"/>
    <w:rsid w:val="009426C4"/>
    <w:rsid w:val="0094320A"/>
    <w:rsid w:val="009433BE"/>
    <w:rsid w:val="009439F7"/>
    <w:rsid w:val="0094417C"/>
    <w:rsid w:val="0094483A"/>
    <w:rsid w:val="009453D5"/>
    <w:rsid w:val="0094562D"/>
    <w:rsid w:val="00945A89"/>
    <w:rsid w:val="009463CD"/>
    <w:rsid w:val="00946C07"/>
    <w:rsid w:val="00947760"/>
    <w:rsid w:val="0095170D"/>
    <w:rsid w:val="00951719"/>
    <w:rsid w:val="00951910"/>
    <w:rsid w:val="00951DE2"/>
    <w:rsid w:val="00952632"/>
    <w:rsid w:val="00952E02"/>
    <w:rsid w:val="00952E2E"/>
    <w:rsid w:val="0095307F"/>
    <w:rsid w:val="009530DD"/>
    <w:rsid w:val="009548FF"/>
    <w:rsid w:val="00955394"/>
    <w:rsid w:val="00955450"/>
    <w:rsid w:val="00955526"/>
    <w:rsid w:val="009555CA"/>
    <w:rsid w:val="00956744"/>
    <w:rsid w:val="00956CA4"/>
    <w:rsid w:val="009570C8"/>
    <w:rsid w:val="00957A79"/>
    <w:rsid w:val="00957FD5"/>
    <w:rsid w:val="00960CCD"/>
    <w:rsid w:val="00961AB8"/>
    <w:rsid w:val="009624F6"/>
    <w:rsid w:val="00962538"/>
    <w:rsid w:val="009626CC"/>
    <w:rsid w:val="00962C73"/>
    <w:rsid w:val="00963141"/>
    <w:rsid w:val="00963FC8"/>
    <w:rsid w:val="0096514B"/>
    <w:rsid w:val="00965269"/>
    <w:rsid w:val="00966516"/>
    <w:rsid w:val="0096690E"/>
    <w:rsid w:val="00966A2F"/>
    <w:rsid w:val="00966C09"/>
    <w:rsid w:val="00966C4D"/>
    <w:rsid w:val="00967C2D"/>
    <w:rsid w:val="00967CE3"/>
    <w:rsid w:val="00970918"/>
    <w:rsid w:val="00970D2E"/>
    <w:rsid w:val="009716F8"/>
    <w:rsid w:val="009732E6"/>
    <w:rsid w:val="00973E9B"/>
    <w:rsid w:val="00974ECD"/>
    <w:rsid w:val="009751FA"/>
    <w:rsid w:val="00975A73"/>
    <w:rsid w:val="00976FC3"/>
    <w:rsid w:val="00977E1A"/>
    <w:rsid w:val="00980272"/>
    <w:rsid w:val="00980C89"/>
    <w:rsid w:val="00980F87"/>
    <w:rsid w:val="00981467"/>
    <w:rsid w:val="00981C7F"/>
    <w:rsid w:val="009831B7"/>
    <w:rsid w:val="009837B8"/>
    <w:rsid w:val="009840C0"/>
    <w:rsid w:val="00984441"/>
    <w:rsid w:val="009844CF"/>
    <w:rsid w:val="00984BC0"/>
    <w:rsid w:val="00984DD8"/>
    <w:rsid w:val="009850A1"/>
    <w:rsid w:val="0098530B"/>
    <w:rsid w:val="009854F3"/>
    <w:rsid w:val="00986356"/>
    <w:rsid w:val="0098702E"/>
    <w:rsid w:val="00987BDE"/>
    <w:rsid w:val="00987BE9"/>
    <w:rsid w:val="00990296"/>
    <w:rsid w:val="0099085F"/>
    <w:rsid w:val="00990A26"/>
    <w:rsid w:val="00990E16"/>
    <w:rsid w:val="0099157A"/>
    <w:rsid w:val="00991BAC"/>
    <w:rsid w:val="00992444"/>
    <w:rsid w:val="009925DB"/>
    <w:rsid w:val="00993114"/>
    <w:rsid w:val="00993CC9"/>
    <w:rsid w:val="009940A4"/>
    <w:rsid w:val="00994DA0"/>
    <w:rsid w:val="009953FC"/>
    <w:rsid w:val="00995AD7"/>
    <w:rsid w:val="00996005"/>
    <w:rsid w:val="00996ABB"/>
    <w:rsid w:val="009A1464"/>
    <w:rsid w:val="009A1740"/>
    <w:rsid w:val="009A17F4"/>
    <w:rsid w:val="009A1BC3"/>
    <w:rsid w:val="009A2132"/>
    <w:rsid w:val="009A3E7C"/>
    <w:rsid w:val="009A4305"/>
    <w:rsid w:val="009A4F68"/>
    <w:rsid w:val="009A501B"/>
    <w:rsid w:val="009A53D2"/>
    <w:rsid w:val="009A580E"/>
    <w:rsid w:val="009A6A4D"/>
    <w:rsid w:val="009A6F74"/>
    <w:rsid w:val="009B04F3"/>
    <w:rsid w:val="009B0768"/>
    <w:rsid w:val="009B07B0"/>
    <w:rsid w:val="009B0B31"/>
    <w:rsid w:val="009B312D"/>
    <w:rsid w:val="009B4401"/>
    <w:rsid w:val="009B56F6"/>
    <w:rsid w:val="009B5AC4"/>
    <w:rsid w:val="009C06C9"/>
    <w:rsid w:val="009C0CC4"/>
    <w:rsid w:val="009C0EAB"/>
    <w:rsid w:val="009C0F03"/>
    <w:rsid w:val="009C293A"/>
    <w:rsid w:val="009C2AC1"/>
    <w:rsid w:val="009C3B30"/>
    <w:rsid w:val="009C3ECA"/>
    <w:rsid w:val="009C45CF"/>
    <w:rsid w:val="009C4919"/>
    <w:rsid w:val="009C4D08"/>
    <w:rsid w:val="009C4F22"/>
    <w:rsid w:val="009C585C"/>
    <w:rsid w:val="009C7FAF"/>
    <w:rsid w:val="009D0A54"/>
    <w:rsid w:val="009D1774"/>
    <w:rsid w:val="009D1CAC"/>
    <w:rsid w:val="009D3237"/>
    <w:rsid w:val="009D3628"/>
    <w:rsid w:val="009D46A0"/>
    <w:rsid w:val="009D4C2A"/>
    <w:rsid w:val="009D4FF9"/>
    <w:rsid w:val="009D6098"/>
    <w:rsid w:val="009D6914"/>
    <w:rsid w:val="009D6ECD"/>
    <w:rsid w:val="009D78D4"/>
    <w:rsid w:val="009E11A3"/>
    <w:rsid w:val="009E1A3C"/>
    <w:rsid w:val="009E1C22"/>
    <w:rsid w:val="009E21DF"/>
    <w:rsid w:val="009E2481"/>
    <w:rsid w:val="009E24D8"/>
    <w:rsid w:val="009E3548"/>
    <w:rsid w:val="009E37E4"/>
    <w:rsid w:val="009E3C7E"/>
    <w:rsid w:val="009E3E1E"/>
    <w:rsid w:val="009E4047"/>
    <w:rsid w:val="009E43E8"/>
    <w:rsid w:val="009E7696"/>
    <w:rsid w:val="009E7A04"/>
    <w:rsid w:val="009F0241"/>
    <w:rsid w:val="009F0274"/>
    <w:rsid w:val="009F0381"/>
    <w:rsid w:val="009F0463"/>
    <w:rsid w:val="009F0C29"/>
    <w:rsid w:val="009F193A"/>
    <w:rsid w:val="009F1AD4"/>
    <w:rsid w:val="009F1E56"/>
    <w:rsid w:val="009F23E4"/>
    <w:rsid w:val="009F3631"/>
    <w:rsid w:val="009F363C"/>
    <w:rsid w:val="009F3790"/>
    <w:rsid w:val="009F3BAA"/>
    <w:rsid w:val="009F3C61"/>
    <w:rsid w:val="009F476C"/>
    <w:rsid w:val="009F586C"/>
    <w:rsid w:val="009F5D30"/>
    <w:rsid w:val="009F69CA"/>
    <w:rsid w:val="009F6C0E"/>
    <w:rsid w:val="009F74C2"/>
    <w:rsid w:val="009F79E0"/>
    <w:rsid w:val="009F7A90"/>
    <w:rsid w:val="009F7CEB"/>
    <w:rsid w:val="00A00C1A"/>
    <w:rsid w:val="00A01073"/>
    <w:rsid w:val="00A0160F"/>
    <w:rsid w:val="00A0177D"/>
    <w:rsid w:val="00A019F1"/>
    <w:rsid w:val="00A01DA1"/>
    <w:rsid w:val="00A02221"/>
    <w:rsid w:val="00A02E97"/>
    <w:rsid w:val="00A03256"/>
    <w:rsid w:val="00A034F8"/>
    <w:rsid w:val="00A040FD"/>
    <w:rsid w:val="00A0426A"/>
    <w:rsid w:val="00A04C0D"/>
    <w:rsid w:val="00A04E26"/>
    <w:rsid w:val="00A0651A"/>
    <w:rsid w:val="00A0731F"/>
    <w:rsid w:val="00A07327"/>
    <w:rsid w:val="00A1079C"/>
    <w:rsid w:val="00A10FBF"/>
    <w:rsid w:val="00A12A44"/>
    <w:rsid w:val="00A1365B"/>
    <w:rsid w:val="00A14C92"/>
    <w:rsid w:val="00A15BE8"/>
    <w:rsid w:val="00A15E2C"/>
    <w:rsid w:val="00A163E8"/>
    <w:rsid w:val="00A16638"/>
    <w:rsid w:val="00A17490"/>
    <w:rsid w:val="00A176D6"/>
    <w:rsid w:val="00A179C8"/>
    <w:rsid w:val="00A2016C"/>
    <w:rsid w:val="00A2043B"/>
    <w:rsid w:val="00A20B1A"/>
    <w:rsid w:val="00A216F9"/>
    <w:rsid w:val="00A22A39"/>
    <w:rsid w:val="00A22E23"/>
    <w:rsid w:val="00A2315A"/>
    <w:rsid w:val="00A24A89"/>
    <w:rsid w:val="00A24DED"/>
    <w:rsid w:val="00A25737"/>
    <w:rsid w:val="00A25C5B"/>
    <w:rsid w:val="00A2672F"/>
    <w:rsid w:val="00A26778"/>
    <w:rsid w:val="00A2693C"/>
    <w:rsid w:val="00A26E4A"/>
    <w:rsid w:val="00A26EF0"/>
    <w:rsid w:val="00A32004"/>
    <w:rsid w:val="00A323E3"/>
    <w:rsid w:val="00A33B1F"/>
    <w:rsid w:val="00A33C34"/>
    <w:rsid w:val="00A34436"/>
    <w:rsid w:val="00A362BA"/>
    <w:rsid w:val="00A369BD"/>
    <w:rsid w:val="00A36C3F"/>
    <w:rsid w:val="00A40A06"/>
    <w:rsid w:val="00A410D9"/>
    <w:rsid w:val="00A41194"/>
    <w:rsid w:val="00A41216"/>
    <w:rsid w:val="00A412BE"/>
    <w:rsid w:val="00A41E5D"/>
    <w:rsid w:val="00A4250D"/>
    <w:rsid w:val="00A426CF"/>
    <w:rsid w:val="00A42989"/>
    <w:rsid w:val="00A42D28"/>
    <w:rsid w:val="00A45200"/>
    <w:rsid w:val="00A45378"/>
    <w:rsid w:val="00A457A3"/>
    <w:rsid w:val="00A47457"/>
    <w:rsid w:val="00A47693"/>
    <w:rsid w:val="00A50012"/>
    <w:rsid w:val="00A5068F"/>
    <w:rsid w:val="00A50D3C"/>
    <w:rsid w:val="00A535FB"/>
    <w:rsid w:val="00A53E34"/>
    <w:rsid w:val="00A53FA8"/>
    <w:rsid w:val="00A550AE"/>
    <w:rsid w:val="00A5569B"/>
    <w:rsid w:val="00A6125A"/>
    <w:rsid w:val="00A625CA"/>
    <w:rsid w:val="00A625DE"/>
    <w:rsid w:val="00A63630"/>
    <w:rsid w:val="00A6374D"/>
    <w:rsid w:val="00A64947"/>
    <w:rsid w:val="00A6517D"/>
    <w:rsid w:val="00A65C1F"/>
    <w:rsid w:val="00A667D0"/>
    <w:rsid w:val="00A670CB"/>
    <w:rsid w:val="00A67CA1"/>
    <w:rsid w:val="00A67D0F"/>
    <w:rsid w:val="00A67D7C"/>
    <w:rsid w:val="00A71950"/>
    <w:rsid w:val="00A722E3"/>
    <w:rsid w:val="00A732F9"/>
    <w:rsid w:val="00A736FB"/>
    <w:rsid w:val="00A73A9C"/>
    <w:rsid w:val="00A73FC6"/>
    <w:rsid w:val="00A75112"/>
    <w:rsid w:val="00A75DA1"/>
    <w:rsid w:val="00A76EA4"/>
    <w:rsid w:val="00A770F2"/>
    <w:rsid w:val="00A778BF"/>
    <w:rsid w:val="00A77BDE"/>
    <w:rsid w:val="00A77CBB"/>
    <w:rsid w:val="00A77F64"/>
    <w:rsid w:val="00A81CA0"/>
    <w:rsid w:val="00A81F82"/>
    <w:rsid w:val="00A8201E"/>
    <w:rsid w:val="00A83A24"/>
    <w:rsid w:val="00A841B0"/>
    <w:rsid w:val="00A842A7"/>
    <w:rsid w:val="00A84818"/>
    <w:rsid w:val="00A84EAA"/>
    <w:rsid w:val="00A85A2B"/>
    <w:rsid w:val="00A85F13"/>
    <w:rsid w:val="00A86148"/>
    <w:rsid w:val="00A8699D"/>
    <w:rsid w:val="00A8743D"/>
    <w:rsid w:val="00A90DA6"/>
    <w:rsid w:val="00A91851"/>
    <w:rsid w:val="00A91B1F"/>
    <w:rsid w:val="00A9213D"/>
    <w:rsid w:val="00A921F0"/>
    <w:rsid w:val="00A93543"/>
    <w:rsid w:val="00A93F16"/>
    <w:rsid w:val="00A93F6B"/>
    <w:rsid w:val="00A9405C"/>
    <w:rsid w:val="00A94EC9"/>
    <w:rsid w:val="00A94EFC"/>
    <w:rsid w:val="00A952CC"/>
    <w:rsid w:val="00A95CC8"/>
    <w:rsid w:val="00A95FF6"/>
    <w:rsid w:val="00A963DD"/>
    <w:rsid w:val="00A9644D"/>
    <w:rsid w:val="00AA07C1"/>
    <w:rsid w:val="00AA1044"/>
    <w:rsid w:val="00AA1681"/>
    <w:rsid w:val="00AA1CEE"/>
    <w:rsid w:val="00AA25D1"/>
    <w:rsid w:val="00AA2FA1"/>
    <w:rsid w:val="00AA51C1"/>
    <w:rsid w:val="00AA6156"/>
    <w:rsid w:val="00AA6520"/>
    <w:rsid w:val="00AA6DF7"/>
    <w:rsid w:val="00AA73AC"/>
    <w:rsid w:val="00AA7597"/>
    <w:rsid w:val="00AA7B77"/>
    <w:rsid w:val="00AA7CCC"/>
    <w:rsid w:val="00AB176D"/>
    <w:rsid w:val="00AB1837"/>
    <w:rsid w:val="00AB187A"/>
    <w:rsid w:val="00AB514A"/>
    <w:rsid w:val="00AB5328"/>
    <w:rsid w:val="00AB59A4"/>
    <w:rsid w:val="00AB6EEF"/>
    <w:rsid w:val="00AB730A"/>
    <w:rsid w:val="00AB7A47"/>
    <w:rsid w:val="00AC002B"/>
    <w:rsid w:val="00AC0746"/>
    <w:rsid w:val="00AC0C37"/>
    <w:rsid w:val="00AC11D6"/>
    <w:rsid w:val="00AC1E12"/>
    <w:rsid w:val="00AC2D2E"/>
    <w:rsid w:val="00AC3A6B"/>
    <w:rsid w:val="00AC469A"/>
    <w:rsid w:val="00AC4FDA"/>
    <w:rsid w:val="00AC50E3"/>
    <w:rsid w:val="00AC512D"/>
    <w:rsid w:val="00AC59CF"/>
    <w:rsid w:val="00AC5A8C"/>
    <w:rsid w:val="00AC5DB0"/>
    <w:rsid w:val="00AC6673"/>
    <w:rsid w:val="00AC6E3B"/>
    <w:rsid w:val="00AD005A"/>
    <w:rsid w:val="00AD0F2A"/>
    <w:rsid w:val="00AD138C"/>
    <w:rsid w:val="00AD17AC"/>
    <w:rsid w:val="00AD1C98"/>
    <w:rsid w:val="00AD208D"/>
    <w:rsid w:val="00AD35BC"/>
    <w:rsid w:val="00AD51C9"/>
    <w:rsid w:val="00AD542F"/>
    <w:rsid w:val="00AE00AF"/>
    <w:rsid w:val="00AE00E7"/>
    <w:rsid w:val="00AE13FA"/>
    <w:rsid w:val="00AE2112"/>
    <w:rsid w:val="00AE2A68"/>
    <w:rsid w:val="00AE36AC"/>
    <w:rsid w:val="00AE3A5A"/>
    <w:rsid w:val="00AE47D0"/>
    <w:rsid w:val="00AE4CFB"/>
    <w:rsid w:val="00AE5357"/>
    <w:rsid w:val="00AE55FF"/>
    <w:rsid w:val="00AE5E44"/>
    <w:rsid w:val="00AE734E"/>
    <w:rsid w:val="00AE751E"/>
    <w:rsid w:val="00AE772D"/>
    <w:rsid w:val="00AF04E2"/>
    <w:rsid w:val="00AF0DF9"/>
    <w:rsid w:val="00AF1A88"/>
    <w:rsid w:val="00AF27DC"/>
    <w:rsid w:val="00AF3AB8"/>
    <w:rsid w:val="00AF48BA"/>
    <w:rsid w:val="00AF4BE4"/>
    <w:rsid w:val="00AF4C16"/>
    <w:rsid w:val="00AF635A"/>
    <w:rsid w:val="00AF66A1"/>
    <w:rsid w:val="00AF7148"/>
    <w:rsid w:val="00AF7178"/>
    <w:rsid w:val="00AF7A9F"/>
    <w:rsid w:val="00AF7B20"/>
    <w:rsid w:val="00AF7CCC"/>
    <w:rsid w:val="00B00DC9"/>
    <w:rsid w:val="00B0230D"/>
    <w:rsid w:val="00B02A26"/>
    <w:rsid w:val="00B03045"/>
    <w:rsid w:val="00B032BB"/>
    <w:rsid w:val="00B03A2C"/>
    <w:rsid w:val="00B04B27"/>
    <w:rsid w:val="00B0529B"/>
    <w:rsid w:val="00B05A6C"/>
    <w:rsid w:val="00B05CD6"/>
    <w:rsid w:val="00B05E21"/>
    <w:rsid w:val="00B05F92"/>
    <w:rsid w:val="00B068A4"/>
    <w:rsid w:val="00B06B7A"/>
    <w:rsid w:val="00B06FD0"/>
    <w:rsid w:val="00B07022"/>
    <w:rsid w:val="00B073C6"/>
    <w:rsid w:val="00B07593"/>
    <w:rsid w:val="00B07C5D"/>
    <w:rsid w:val="00B10316"/>
    <w:rsid w:val="00B10915"/>
    <w:rsid w:val="00B11268"/>
    <w:rsid w:val="00B1132B"/>
    <w:rsid w:val="00B11EA0"/>
    <w:rsid w:val="00B127C0"/>
    <w:rsid w:val="00B13338"/>
    <w:rsid w:val="00B13BB6"/>
    <w:rsid w:val="00B141B2"/>
    <w:rsid w:val="00B14BEF"/>
    <w:rsid w:val="00B1542E"/>
    <w:rsid w:val="00B16497"/>
    <w:rsid w:val="00B16979"/>
    <w:rsid w:val="00B17FDB"/>
    <w:rsid w:val="00B210C3"/>
    <w:rsid w:val="00B21BB1"/>
    <w:rsid w:val="00B21F99"/>
    <w:rsid w:val="00B224A9"/>
    <w:rsid w:val="00B225D0"/>
    <w:rsid w:val="00B22B37"/>
    <w:rsid w:val="00B2387B"/>
    <w:rsid w:val="00B23AF6"/>
    <w:rsid w:val="00B2407B"/>
    <w:rsid w:val="00B259DF"/>
    <w:rsid w:val="00B25D68"/>
    <w:rsid w:val="00B25E62"/>
    <w:rsid w:val="00B27264"/>
    <w:rsid w:val="00B27342"/>
    <w:rsid w:val="00B273C9"/>
    <w:rsid w:val="00B2777B"/>
    <w:rsid w:val="00B30120"/>
    <w:rsid w:val="00B3058B"/>
    <w:rsid w:val="00B30BDA"/>
    <w:rsid w:val="00B30D73"/>
    <w:rsid w:val="00B31643"/>
    <w:rsid w:val="00B31887"/>
    <w:rsid w:val="00B325DF"/>
    <w:rsid w:val="00B32E60"/>
    <w:rsid w:val="00B33652"/>
    <w:rsid w:val="00B33914"/>
    <w:rsid w:val="00B34A33"/>
    <w:rsid w:val="00B367E2"/>
    <w:rsid w:val="00B3683A"/>
    <w:rsid w:val="00B414A9"/>
    <w:rsid w:val="00B41D4E"/>
    <w:rsid w:val="00B4220C"/>
    <w:rsid w:val="00B42E92"/>
    <w:rsid w:val="00B44012"/>
    <w:rsid w:val="00B446C2"/>
    <w:rsid w:val="00B44D02"/>
    <w:rsid w:val="00B45801"/>
    <w:rsid w:val="00B46552"/>
    <w:rsid w:val="00B4656A"/>
    <w:rsid w:val="00B50A52"/>
    <w:rsid w:val="00B518AD"/>
    <w:rsid w:val="00B51F1F"/>
    <w:rsid w:val="00B524E6"/>
    <w:rsid w:val="00B54A42"/>
    <w:rsid w:val="00B55CAC"/>
    <w:rsid w:val="00B56101"/>
    <w:rsid w:val="00B56D6A"/>
    <w:rsid w:val="00B56DD0"/>
    <w:rsid w:val="00B57547"/>
    <w:rsid w:val="00B613C7"/>
    <w:rsid w:val="00B622E5"/>
    <w:rsid w:val="00B62A25"/>
    <w:rsid w:val="00B631FC"/>
    <w:rsid w:val="00B63460"/>
    <w:rsid w:val="00B638D0"/>
    <w:rsid w:val="00B645E4"/>
    <w:rsid w:val="00B655F4"/>
    <w:rsid w:val="00B66C04"/>
    <w:rsid w:val="00B66C37"/>
    <w:rsid w:val="00B66CC2"/>
    <w:rsid w:val="00B67119"/>
    <w:rsid w:val="00B67A6C"/>
    <w:rsid w:val="00B7030C"/>
    <w:rsid w:val="00B70522"/>
    <w:rsid w:val="00B70CA5"/>
    <w:rsid w:val="00B70F1B"/>
    <w:rsid w:val="00B71675"/>
    <w:rsid w:val="00B71B62"/>
    <w:rsid w:val="00B721CA"/>
    <w:rsid w:val="00B726E6"/>
    <w:rsid w:val="00B72D24"/>
    <w:rsid w:val="00B73D10"/>
    <w:rsid w:val="00B75BC0"/>
    <w:rsid w:val="00B75F00"/>
    <w:rsid w:val="00B76356"/>
    <w:rsid w:val="00B7636B"/>
    <w:rsid w:val="00B76492"/>
    <w:rsid w:val="00B76803"/>
    <w:rsid w:val="00B76FF9"/>
    <w:rsid w:val="00B7796D"/>
    <w:rsid w:val="00B802AB"/>
    <w:rsid w:val="00B80B83"/>
    <w:rsid w:val="00B80DC7"/>
    <w:rsid w:val="00B812E2"/>
    <w:rsid w:val="00B82171"/>
    <w:rsid w:val="00B82316"/>
    <w:rsid w:val="00B8254D"/>
    <w:rsid w:val="00B82DF4"/>
    <w:rsid w:val="00B82F68"/>
    <w:rsid w:val="00B83300"/>
    <w:rsid w:val="00B838CA"/>
    <w:rsid w:val="00B83EB3"/>
    <w:rsid w:val="00B8492B"/>
    <w:rsid w:val="00B84C0B"/>
    <w:rsid w:val="00B8560C"/>
    <w:rsid w:val="00B85BAA"/>
    <w:rsid w:val="00B860D1"/>
    <w:rsid w:val="00B863A0"/>
    <w:rsid w:val="00B86585"/>
    <w:rsid w:val="00B8745F"/>
    <w:rsid w:val="00B90B9A"/>
    <w:rsid w:val="00B90C39"/>
    <w:rsid w:val="00B90D82"/>
    <w:rsid w:val="00B9239F"/>
    <w:rsid w:val="00B926EF"/>
    <w:rsid w:val="00B92ED0"/>
    <w:rsid w:val="00B92F3A"/>
    <w:rsid w:val="00B93D31"/>
    <w:rsid w:val="00B95374"/>
    <w:rsid w:val="00B95888"/>
    <w:rsid w:val="00B95D58"/>
    <w:rsid w:val="00B95E95"/>
    <w:rsid w:val="00B96A65"/>
    <w:rsid w:val="00B97F50"/>
    <w:rsid w:val="00BA01AB"/>
    <w:rsid w:val="00BA3306"/>
    <w:rsid w:val="00BA3492"/>
    <w:rsid w:val="00BA47A9"/>
    <w:rsid w:val="00BA4C2F"/>
    <w:rsid w:val="00BA545C"/>
    <w:rsid w:val="00BA5572"/>
    <w:rsid w:val="00BA5724"/>
    <w:rsid w:val="00BA6ECF"/>
    <w:rsid w:val="00BA73EE"/>
    <w:rsid w:val="00BB0B47"/>
    <w:rsid w:val="00BB1CFC"/>
    <w:rsid w:val="00BB2329"/>
    <w:rsid w:val="00BB3110"/>
    <w:rsid w:val="00BB3A14"/>
    <w:rsid w:val="00BB3FCB"/>
    <w:rsid w:val="00BB418B"/>
    <w:rsid w:val="00BB54A6"/>
    <w:rsid w:val="00BB5DF6"/>
    <w:rsid w:val="00BB5FF9"/>
    <w:rsid w:val="00BB649E"/>
    <w:rsid w:val="00BB6875"/>
    <w:rsid w:val="00BB7710"/>
    <w:rsid w:val="00BC0A93"/>
    <w:rsid w:val="00BC0AED"/>
    <w:rsid w:val="00BC1065"/>
    <w:rsid w:val="00BC10A5"/>
    <w:rsid w:val="00BC1CAF"/>
    <w:rsid w:val="00BC1DFB"/>
    <w:rsid w:val="00BC1ECD"/>
    <w:rsid w:val="00BC380C"/>
    <w:rsid w:val="00BC4830"/>
    <w:rsid w:val="00BC4A1E"/>
    <w:rsid w:val="00BC5965"/>
    <w:rsid w:val="00BC5F38"/>
    <w:rsid w:val="00BC7820"/>
    <w:rsid w:val="00BD03EC"/>
    <w:rsid w:val="00BD325A"/>
    <w:rsid w:val="00BD4CD7"/>
    <w:rsid w:val="00BD4E71"/>
    <w:rsid w:val="00BD5560"/>
    <w:rsid w:val="00BD590A"/>
    <w:rsid w:val="00BD60FE"/>
    <w:rsid w:val="00BE037E"/>
    <w:rsid w:val="00BE07C5"/>
    <w:rsid w:val="00BE1135"/>
    <w:rsid w:val="00BE318D"/>
    <w:rsid w:val="00BE3613"/>
    <w:rsid w:val="00BE3CAA"/>
    <w:rsid w:val="00BE3D49"/>
    <w:rsid w:val="00BE3E5F"/>
    <w:rsid w:val="00BE583A"/>
    <w:rsid w:val="00BE5A24"/>
    <w:rsid w:val="00BF0AD0"/>
    <w:rsid w:val="00BF10F5"/>
    <w:rsid w:val="00BF1895"/>
    <w:rsid w:val="00BF2FF5"/>
    <w:rsid w:val="00BF34F3"/>
    <w:rsid w:val="00BF45B9"/>
    <w:rsid w:val="00BF52F0"/>
    <w:rsid w:val="00BF54BF"/>
    <w:rsid w:val="00BF78C3"/>
    <w:rsid w:val="00BF7E30"/>
    <w:rsid w:val="00C031FA"/>
    <w:rsid w:val="00C0408D"/>
    <w:rsid w:val="00C046A7"/>
    <w:rsid w:val="00C05EB4"/>
    <w:rsid w:val="00C06459"/>
    <w:rsid w:val="00C06AFA"/>
    <w:rsid w:val="00C06F34"/>
    <w:rsid w:val="00C07417"/>
    <w:rsid w:val="00C0754F"/>
    <w:rsid w:val="00C077D0"/>
    <w:rsid w:val="00C07BBA"/>
    <w:rsid w:val="00C10380"/>
    <w:rsid w:val="00C10407"/>
    <w:rsid w:val="00C10822"/>
    <w:rsid w:val="00C10B20"/>
    <w:rsid w:val="00C10B79"/>
    <w:rsid w:val="00C115F0"/>
    <w:rsid w:val="00C117B8"/>
    <w:rsid w:val="00C117C1"/>
    <w:rsid w:val="00C121FD"/>
    <w:rsid w:val="00C1333F"/>
    <w:rsid w:val="00C13BE7"/>
    <w:rsid w:val="00C1519C"/>
    <w:rsid w:val="00C15D39"/>
    <w:rsid w:val="00C164A4"/>
    <w:rsid w:val="00C164E9"/>
    <w:rsid w:val="00C168C8"/>
    <w:rsid w:val="00C16ACC"/>
    <w:rsid w:val="00C16EEE"/>
    <w:rsid w:val="00C17105"/>
    <w:rsid w:val="00C17B97"/>
    <w:rsid w:val="00C205A9"/>
    <w:rsid w:val="00C2162A"/>
    <w:rsid w:val="00C21906"/>
    <w:rsid w:val="00C221BF"/>
    <w:rsid w:val="00C23926"/>
    <w:rsid w:val="00C23FEA"/>
    <w:rsid w:val="00C25E24"/>
    <w:rsid w:val="00C262DC"/>
    <w:rsid w:val="00C268CF"/>
    <w:rsid w:val="00C316EB"/>
    <w:rsid w:val="00C317F3"/>
    <w:rsid w:val="00C320B5"/>
    <w:rsid w:val="00C32157"/>
    <w:rsid w:val="00C339CC"/>
    <w:rsid w:val="00C341E1"/>
    <w:rsid w:val="00C349C2"/>
    <w:rsid w:val="00C35768"/>
    <w:rsid w:val="00C361F4"/>
    <w:rsid w:val="00C3639A"/>
    <w:rsid w:val="00C36639"/>
    <w:rsid w:val="00C3668F"/>
    <w:rsid w:val="00C3766B"/>
    <w:rsid w:val="00C40809"/>
    <w:rsid w:val="00C418A6"/>
    <w:rsid w:val="00C41A85"/>
    <w:rsid w:val="00C41B17"/>
    <w:rsid w:val="00C42422"/>
    <w:rsid w:val="00C428AB"/>
    <w:rsid w:val="00C44C37"/>
    <w:rsid w:val="00C45249"/>
    <w:rsid w:val="00C45D0A"/>
    <w:rsid w:val="00C4659D"/>
    <w:rsid w:val="00C46AE5"/>
    <w:rsid w:val="00C475D9"/>
    <w:rsid w:val="00C47654"/>
    <w:rsid w:val="00C47AD4"/>
    <w:rsid w:val="00C47E70"/>
    <w:rsid w:val="00C50C2F"/>
    <w:rsid w:val="00C51EB3"/>
    <w:rsid w:val="00C52BE0"/>
    <w:rsid w:val="00C53D64"/>
    <w:rsid w:val="00C53DAF"/>
    <w:rsid w:val="00C54677"/>
    <w:rsid w:val="00C54767"/>
    <w:rsid w:val="00C550AA"/>
    <w:rsid w:val="00C56093"/>
    <w:rsid w:val="00C57808"/>
    <w:rsid w:val="00C57C38"/>
    <w:rsid w:val="00C57E4D"/>
    <w:rsid w:val="00C602A0"/>
    <w:rsid w:val="00C60B5B"/>
    <w:rsid w:val="00C60D47"/>
    <w:rsid w:val="00C61598"/>
    <w:rsid w:val="00C622A3"/>
    <w:rsid w:val="00C626E2"/>
    <w:rsid w:val="00C628C8"/>
    <w:rsid w:val="00C62C40"/>
    <w:rsid w:val="00C64746"/>
    <w:rsid w:val="00C6476F"/>
    <w:rsid w:val="00C6507C"/>
    <w:rsid w:val="00C667F8"/>
    <w:rsid w:val="00C66D58"/>
    <w:rsid w:val="00C6772C"/>
    <w:rsid w:val="00C71A5D"/>
    <w:rsid w:val="00C71E2B"/>
    <w:rsid w:val="00C721CC"/>
    <w:rsid w:val="00C7315D"/>
    <w:rsid w:val="00C73340"/>
    <w:rsid w:val="00C736E7"/>
    <w:rsid w:val="00C740A1"/>
    <w:rsid w:val="00C7496F"/>
    <w:rsid w:val="00C7519E"/>
    <w:rsid w:val="00C766AC"/>
    <w:rsid w:val="00C76D10"/>
    <w:rsid w:val="00C8170A"/>
    <w:rsid w:val="00C817F6"/>
    <w:rsid w:val="00C81A12"/>
    <w:rsid w:val="00C82011"/>
    <w:rsid w:val="00C82261"/>
    <w:rsid w:val="00C82339"/>
    <w:rsid w:val="00C824E4"/>
    <w:rsid w:val="00C8296F"/>
    <w:rsid w:val="00C8369D"/>
    <w:rsid w:val="00C838B8"/>
    <w:rsid w:val="00C844EB"/>
    <w:rsid w:val="00C846BE"/>
    <w:rsid w:val="00C84C02"/>
    <w:rsid w:val="00C87120"/>
    <w:rsid w:val="00C87374"/>
    <w:rsid w:val="00C87C05"/>
    <w:rsid w:val="00C87C5F"/>
    <w:rsid w:val="00C87F5E"/>
    <w:rsid w:val="00C9161F"/>
    <w:rsid w:val="00C91676"/>
    <w:rsid w:val="00C918A6"/>
    <w:rsid w:val="00C91B75"/>
    <w:rsid w:val="00C920A1"/>
    <w:rsid w:val="00C929AA"/>
    <w:rsid w:val="00C92CA3"/>
    <w:rsid w:val="00C934DC"/>
    <w:rsid w:val="00C936FB"/>
    <w:rsid w:val="00C93787"/>
    <w:rsid w:val="00C939AC"/>
    <w:rsid w:val="00C9461B"/>
    <w:rsid w:val="00C94DB3"/>
    <w:rsid w:val="00C963DE"/>
    <w:rsid w:val="00CA06CB"/>
    <w:rsid w:val="00CA0C26"/>
    <w:rsid w:val="00CA23A1"/>
    <w:rsid w:val="00CA2A13"/>
    <w:rsid w:val="00CA2CFF"/>
    <w:rsid w:val="00CA3685"/>
    <w:rsid w:val="00CA518B"/>
    <w:rsid w:val="00CA5301"/>
    <w:rsid w:val="00CA57D4"/>
    <w:rsid w:val="00CA63CB"/>
    <w:rsid w:val="00CA6682"/>
    <w:rsid w:val="00CA69AC"/>
    <w:rsid w:val="00CA7307"/>
    <w:rsid w:val="00CA75B3"/>
    <w:rsid w:val="00CA7EC8"/>
    <w:rsid w:val="00CB07A8"/>
    <w:rsid w:val="00CB0F3E"/>
    <w:rsid w:val="00CB2072"/>
    <w:rsid w:val="00CB2B22"/>
    <w:rsid w:val="00CB2C9A"/>
    <w:rsid w:val="00CB2F1F"/>
    <w:rsid w:val="00CB46E5"/>
    <w:rsid w:val="00CB5389"/>
    <w:rsid w:val="00CB5B09"/>
    <w:rsid w:val="00CB5D75"/>
    <w:rsid w:val="00CC10E1"/>
    <w:rsid w:val="00CC135F"/>
    <w:rsid w:val="00CC1B08"/>
    <w:rsid w:val="00CC1B59"/>
    <w:rsid w:val="00CC3543"/>
    <w:rsid w:val="00CC718B"/>
    <w:rsid w:val="00CC74A3"/>
    <w:rsid w:val="00CC779C"/>
    <w:rsid w:val="00CC7865"/>
    <w:rsid w:val="00CC7963"/>
    <w:rsid w:val="00CC79A7"/>
    <w:rsid w:val="00CD10BE"/>
    <w:rsid w:val="00CD12E3"/>
    <w:rsid w:val="00CD35AF"/>
    <w:rsid w:val="00CD3934"/>
    <w:rsid w:val="00CD3936"/>
    <w:rsid w:val="00CD4A79"/>
    <w:rsid w:val="00CD561A"/>
    <w:rsid w:val="00CD5BEE"/>
    <w:rsid w:val="00CD61A0"/>
    <w:rsid w:val="00CD6327"/>
    <w:rsid w:val="00CD6C99"/>
    <w:rsid w:val="00CE03B7"/>
    <w:rsid w:val="00CE119E"/>
    <w:rsid w:val="00CE2B78"/>
    <w:rsid w:val="00CE353B"/>
    <w:rsid w:val="00CE3D35"/>
    <w:rsid w:val="00CE470A"/>
    <w:rsid w:val="00CE5848"/>
    <w:rsid w:val="00CE6053"/>
    <w:rsid w:val="00CE7159"/>
    <w:rsid w:val="00CE74A3"/>
    <w:rsid w:val="00CE757A"/>
    <w:rsid w:val="00CE7A3F"/>
    <w:rsid w:val="00CF1F02"/>
    <w:rsid w:val="00CF2077"/>
    <w:rsid w:val="00CF2B76"/>
    <w:rsid w:val="00CF3A69"/>
    <w:rsid w:val="00CF4240"/>
    <w:rsid w:val="00CF437B"/>
    <w:rsid w:val="00CF5382"/>
    <w:rsid w:val="00CF56DC"/>
    <w:rsid w:val="00CF5EA3"/>
    <w:rsid w:val="00D0131B"/>
    <w:rsid w:val="00D021EB"/>
    <w:rsid w:val="00D026F7"/>
    <w:rsid w:val="00D034DD"/>
    <w:rsid w:val="00D03C68"/>
    <w:rsid w:val="00D04900"/>
    <w:rsid w:val="00D04952"/>
    <w:rsid w:val="00D050CB"/>
    <w:rsid w:val="00D060BE"/>
    <w:rsid w:val="00D0661E"/>
    <w:rsid w:val="00D06A16"/>
    <w:rsid w:val="00D074C2"/>
    <w:rsid w:val="00D1078F"/>
    <w:rsid w:val="00D10E60"/>
    <w:rsid w:val="00D115E4"/>
    <w:rsid w:val="00D117EB"/>
    <w:rsid w:val="00D1200B"/>
    <w:rsid w:val="00D12550"/>
    <w:rsid w:val="00D12886"/>
    <w:rsid w:val="00D12CD2"/>
    <w:rsid w:val="00D136A4"/>
    <w:rsid w:val="00D14220"/>
    <w:rsid w:val="00D14D23"/>
    <w:rsid w:val="00D1565C"/>
    <w:rsid w:val="00D15755"/>
    <w:rsid w:val="00D15D8B"/>
    <w:rsid w:val="00D15EA1"/>
    <w:rsid w:val="00D1795D"/>
    <w:rsid w:val="00D17984"/>
    <w:rsid w:val="00D179D5"/>
    <w:rsid w:val="00D212E2"/>
    <w:rsid w:val="00D21996"/>
    <w:rsid w:val="00D220E4"/>
    <w:rsid w:val="00D22199"/>
    <w:rsid w:val="00D225DF"/>
    <w:rsid w:val="00D23207"/>
    <w:rsid w:val="00D23ADA"/>
    <w:rsid w:val="00D24990"/>
    <w:rsid w:val="00D24D4B"/>
    <w:rsid w:val="00D24DAD"/>
    <w:rsid w:val="00D24F7B"/>
    <w:rsid w:val="00D25916"/>
    <w:rsid w:val="00D26D97"/>
    <w:rsid w:val="00D2789E"/>
    <w:rsid w:val="00D27943"/>
    <w:rsid w:val="00D3084E"/>
    <w:rsid w:val="00D30AA5"/>
    <w:rsid w:val="00D30F19"/>
    <w:rsid w:val="00D31A5B"/>
    <w:rsid w:val="00D329E6"/>
    <w:rsid w:val="00D33223"/>
    <w:rsid w:val="00D34065"/>
    <w:rsid w:val="00D340C0"/>
    <w:rsid w:val="00D34C82"/>
    <w:rsid w:val="00D34FAA"/>
    <w:rsid w:val="00D35326"/>
    <w:rsid w:val="00D36073"/>
    <w:rsid w:val="00D3696A"/>
    <w:rsid w:val="00D37411"/>
    <w:rsid w:val="00D37972"/>
    <w:rsid w:val="00D37F86"/>
    <w:rsid w:val="00D40896"/>
    <w:rsid w:val="00D40EC3"/>
    <w:rsid w:val="00D41534"/>
    <w:rsid w:val="00D42408"/>
    <w:rsid w:val="00D42CE3"/>
    <w:rsid w:val="00D44144"/>
    <w:rsid w:val="00D451FC"/>
    <w:rsid w:val="00D452C2"/>
    <w:rsid w:val="00D454BC"/>
    <w:rsid w:val="00D461B2"/>
    <w:rsid w:val="00D50BBD"/>
    <w:rsid w:val="00D50C7D"/>
    <w:rsid w:val="00D5155B"/>
    <w:rsid w:val="00D51A33"/>
    <w:rsid w:val="00D5238F"/>
    <w:rsid w:val="00D53F67"/>
    <w:rsid w:val="00D54294"/>
    <w:rsid w:val="00D54996"/>
    <w:rsid w:val="00D5531D"/>
    <w:rsid w:val="00D55E0F"/>
    <w:rsid w:val="00D579FE"/>
    <w:rsid w:val="00D6060D"/>
    <w:rsid w:val="00D61853"/>
    <w:rsid w:val="00D61F15"/>
    <w:rsid w:val="00D622C7"/>
    <w:rsid w:val="00D62584"/>
    <w:rsid w:val="00D63C48"/>
    <w:rsid w:val="00D64289"/>
    <w:rsid w:val="00D65178"/>
    <w:rsid w:val="00D65D1E"/>
    <w:rsid w:val="00D6667B"/>
    <w:rsid w:val="00D66E04"/>
    <w:rsid w:val="00D70497"/>
    <w:rsid w:val="00D70DD2"/>
    <w:rsid w:val="00D71194"/>
    <w:rsid w:val="00D713A3"/>
    <w:rsid w:val="00D71400"/>
    <w:rsid w:val="00D7174E"/>
    <w:rsid w:val="00D72496"/>
    <w:rsid w:val="00D724F0"/>
    <w:rsid w:val="00D72539"/>
    <w:rsid w:val="00D7253B"/>
    <w:rsid w:val="00D7296B"/>
    <w:rsid w:val="00D7311B"/>
    <w:rsid w:val="00D73399"/>
    <w:rsid w:val="00D73A0A"/>
    <w:rsid w:val="00D757B5"/>
    <w:rsid w:val="00D75C72"/>
    <w:rsid w:val="00D75C77"/>
    <w:rsid w:val="00D75D8E"/>
    <w:rsid w:val="00D7609F"/>
    <w:rsid w:val="00D766C1"/>
    <w:rsid w:val="00D76FCC"/>
    <w:rsid w:val="00D77AA1"/>
    <w:rsid w:val="00D8093E"/>
    <w:rsid w:val="00D818F5"/>
    <w:rsid w:val="00D8197C"/>
    <w:rsid w:val="00D81A86"/>
    <w:rsid w:val="00D825E0"/>
    <w:rsid w:val="00D8276F"/>
    <w:rsid w:val="00D831D4"/>
    <w:rsid w:val="00D8366C"/>
    <w:rsid w:val="00D83CE3"/>
    <w:rsid w:val="00D84166"/>
    <w:rsid w:val="00D8441F"/>
    <w:rsid w:val="00D84E25"/>
    <w:rsid w:val="00D8524F"/>
    <w:rsid w:val="00D85696"/>
    <w:rsid w:val="00D85AB6"/>
    <w:rsid w:val="00D8703B"/>
    <w:rsid w:val="00D87E15"/>
    <w:rsid w:val="00D9052C"/>
    <w:rsid w:val="00D90D1F"/>
    <w:rsid w:val="00D91772"/>
    <w:rsid w:val="00D93937"/>
    <w:rsid w:val="00D93AE3"/>
    <w:rsid w:val="00D93CDC"/>
    <w:rsid w:val="00D93D75"/>
    <w:rsid w:val="00D9408D"/>
    <w:rsid w:val="00D95394"/>
    <w:rsid w:val="00D970E7"/>
    <w:rsid w:val="00DA01E5"/>
    <w:rsid w:val="00DA032B"/>
    <w:rsid w:val="00DA0456"/>
    <w:rsid w:val="00DA05A4"/>
    <w:rsid w:val="00DA0FF3"/>
    <w:rsid w:val="00DA10C9"/>
    <w:rsid w:val="00DA13C6"/>
    <w:rsid w:val="00DA1CCA"/>
    <w:rsid w:val="00DA1DE8"/>
    <w:rsid w:val="00DA2F5B"/>
    <w:rsid w:val="00DA35FB"/>
    <w:rsid w:val="00DA370B"/>
    <w:rsid w:val="00DA3AD9"/>
    <w:rsid w:val="00DA55BB"/>
    <w:rsid w:val="00DA58F1"/>
    <w:rsid w:val="00DA59E8"/>
    <w:rsid w:val="00DA6024"/>
    <w:rsid w:val="00DA71DD"/>
    <w:rsid w:val="00DA7393"/>
    <w:rsid w:val="00DA73EE"/>
    <w:rsid w:val="00DA773A"/>
    <w:rsid w:val="00DB1E92"/>
    <w:rsid w:val="00DB290B"/>
    <w:rsid w:val="00DB2FC8"/>
    <w:rsid w:val="00DB3182"/>
    <w:rsid w:val="00DB4855"/>
    <w:rsid w:val="00DB4989"/>
    <w:rsid w:val="00DB502E"/>
    <w:rsid w:val="00DB577B"/>
    <w:rsid w:val="00DB6488"/>
    <w:rsid w:val="00DB64BA"/>
    <w:rsid w:val="00DB6B61"/>
    <w:rsid w:val="00DB6EB1"/>
    <w:rsid w:val="00DB6ED5"/>
    <w:rsid w:val="00DC0573"/>
    <w:rsid w:val="00DC09BB"/>
    <w:rsid w:val="00DC0A60"/>
    <w:rsid w:val="00DC0D7E"/>
    <w:rsid w:val="00DC10CE"/>
    <w:rsid w:val="00DC1466"/>
    <w:rsid w:val="00DC1743"/>
    <w:rsid w:val="00DC1929"/>
    <w:rsid w:val="00DC273B"/>
    <w:rsid w:val="00DC414F"/>
    <w:rsid w:val="00DC4CC9"/>
    <w:rsid w:val="00DC5124"/>
    <w:rsid w:val="00DC5218"/>
    <w:rsid w:val="00DC5272"/>
    <w:rsid w:val="00DC6F32"/>
    <w:rsid w:val="00DC72BE"/>
    <w:rsid w:val="00DC758D"/>
    <w:rsid w:val="00DC7746"/>
    <w:rsid w:val="00DD0221"/>
    <w:rsid w:val="00DD0AC4"/>
    <w:rsid w:val="00DD0EE8"/>
    <w:rsid w:val="00DD2409"/>
    <w:rsid w:val="00DD266B"/>
    <w:rsid w:val="00DD28C5"/>
    <w:rsid w:val="00DD3049"/>
    <w:rsid w:val="00DD30CC"/>
    <w:rsid w:val="00DD3641"/>
    <w:rsid w:val="00DD4AB8"/>
    <w:rsid w:val="00DD5714"/>
    <w:rsid w:val="00DD5EF9"/>
    <w:rsid w:val="00DD624A"/>
    <w:rsid w:val="00DD6548"/>
    <w:rsid w:val="00DD657A"/>
    <w:rsid w:val="00DD6AF9"/>
    <w:rsid w:val="00DD6E9B"/>
    <w:rsid w:val="00DD7812"/>
    <w:rsid w:val="00DE1F52"/>
    <w:rsid w:val="00DE21BF"/>
    <w:rsid w:val="00DE26FA"/>
    <w:rsid w:val="00DE30E2"/>
    <w:rsid w:val="00DE37B1"/>
    <w:rsid w:val="00DE38B8"/>
    <w:rsid w:val="00DE3A9A"/>
    <w:rsid w:val="00DE6421"/>
    <w:rsid w:val="00DE68DA"/>
    <w:rsid w:val="00DE706B"/>
    <w:rsid w:val="00DE74A7"/>
    <w:rsid w:val="00DF0EAD"/>
    <w:rsid w:val="00DF0F10"/>
    <w:rsid w:val="00DF0F64"/>
    <w:rsid w:val="00DF10A7"/>
    <w:rsid w:val="00DF167E"/>
    <w:rsid w:val="00DF16C0"/>
    <w:rsid w:val="00DF227E"/>
    <w:rsid w:val="00DF2294"/>
    <w:rsid w:val="00DF23BF"/>
    <w:rsid w:val="00DF2936"/>
    <w:rsid w:val="00DF2BC1"/>
    <w:rsid w:val="00DF2D1A"/>
    <w:rsid w:val="00DF3A42"/>
    <w:rsid w:val="00DF548B"/>
    <w:rsid w:val="00DF5A21"/>
    <w:rsid w:val="00DF5E17"/>
    <w:rsid w:val="00DF6C91"/>
    <w:rsid w:val="00DF74B0"/>
    <w:rsid w:val="00DF7713"/>
    <w:rsid w:val="00E01465"/>
    <w:rsid w:val="00E01D22"/>
    <w:rsid w:val="00E01D7F"/>
    <w:rsid w:val="00E0202C"/>
    <w:rsid w:val="00E02CE9"/>
    <w:rsid w:val="00E030CA"/>
    <w:rsid w:val="00E041E4"/>
    <w:rsid w:val="00E05314"/>
    <w:rsid w:val="00E05C6C"/>
    <w:rsid w:val="00E05DE3"/>
    <w:rsid w:val="00E05FBC"/>
    <w:rsid w:val="00E06194"/>
    <w:rsid w:val="00E06856"/>
    <w:rsid w:val="00E07329"/>
    <w:rsid w:val="00E108B9"/>
    <w:rsid w:val="00E10B7D"/>
    <w:rsid w:val="00E11D22"/>
    <w:rsid w:val="00E121FF"/>
    <w:rsid w:val="00E1230E"/>
    <w:rsid w:val="00E12C33"/>
    <w:rsid w:val="00E12DA7"/>
    <w:rsid w:val="00E147EC"/>
    <w:rsid w:val="00E14CB8"/>
    <w:rsid w:val="00E14E78"/>
    <w:rsid w:val="00E1657B"/>
    <w:rsid w:val="00E16B99"/>
    <w:rsid w:val="00E16F76"/>
    <w:rsid w:val="00E2193A"/>
    <w:rsid w:val="00E22029"/>
    <w:rsid w:val="00E2267B"/>
    <w:rsid w:val="00E227EA"/>
    <w:rsid w:val="00E22B79"/>
    <w:rsid w:val="00E22F58"/>
    <w:rsid w:val="00E23426"/>
    <w:rsid w:val="00E23660"/>
    <w:rsid w:val="00E236E3"/>
    <w:rsid w:val="00E24106"/>
    <w:rsid w:val="00E2532B"/>
    <w:rsid w:val="00E264A6"/>
    <w:rsid w:val="00E27038"/>
    <w:rsid w:val="00E2761D"/>
    <w:rsid w:val="00E277DA"/>
    <w:rsid w:val="00E27C0E"/>
    <w:rsid w:val="00E27E8A"/>
    <w:rsid w:val="00E27F33"/>
    <w:rsid w:val="00E30D39"/>
    <w:rsid w:val="00E31326"/>
    <w:rsid w:val="00E3137C"/>
    <w:rsid w:val="00E3183E"/>
    <w:rsid w:val="00E318B5"/>
    <w:rsid w:val="00E3195C"/>
    <w:rsid w:val="00E31A1E"/>
    <w:rsid w:val="00E31B9C"/>
    <w:rsid w:val="00E32C18"/>
    <w:rsid w:val="00E34484"/>
    <w:rsid w:val="00E350CD"/>
    <w:rsid w:val="00E37424"/>
    <w:rsid w:val="00E401B6"/>
    <w:rsid w:val="00E40AAA"/>
    <w:rsid w:val="00E42158"/>
    <w:rsid w:val="00E42812"/>
    <w:rsid w:val="00E43B48"/>
    <w:rsid w:val="00E45180"/>
    <w:rsid w:val="00E45305"/>
    <w:rsid w:val="00E453B8"/>
    <w:rsid w:val="00E45451"/>
    <w:rsid w:val="00E457F4"/>
    <w:rsid w:val="00E45E7E"/>
    <w:rsid w:val="00E460D8"/>
    <w:rsid w:val="00E46AC9"/>
    <w:rsid w:val="00E46CE3"/>
    <w:rsid w:val="00E506BA"/>
    <w:rsid w:val="00E522E9"/>
    <w:rsid w:val="00E52525"/>
    <w:rsid w:val="00E53407"/>
    <w:rsid w:val="00E53DB6"/>
    <w:rsid w:val="00E53E30"/>
    <w:rsid w:val="00E53E47"/>
    <w:rsid w:val="00E54ACA"/>
    <w:rsid w:val="00E54FB3"/>
    <w:rsid w:val="00E554BB"/>
    <w:rsid w:val="00E55904"/>
    <w:rsid w:val="00E55E72"/>
    <w:rsid w:val="00E56258"/>
    <w:rsid w:val="00E564F6"/>
    <w:rsid w:val="00E569BD"/>
    <w:rsid w:val="00E56BD4"/>
    <w:rsid w:val="00E57521"/>
    <w:rsid w:val="00E60005"/>
    <w:rsid w:val="00E6024C"/>
    <w:rsid w:val="00E60432"/>
    <w:rsid w:val="00E60616"/>
    <w:rsid w:val="00E6094E"/>
    <w:rsid w:val="00E612D7"/>
    <w:rsid w:val="00E6157A"/>
    <w:rsid w:val="00E615E9"/>
    <w:rsid w:val="00E61681"/>
    <w:rsid w:val="00E628DC"/>
    <w:rsid w:val="00E62D87"/>
    <w:rsid w:val="00E62FCD"/>
    <w:rsid w:val="00E63263"/>
    <w:rsid w:val="00E6346D"/>
    <w:rsid w:val="00E64A2B"/>
    <w:rsid w:val="00E64D63"/>
    <w:rsid w:val="00E6585D"/>
    <w:rsid w:val="00E65E3D"/>
    <w:rsid w:val="00E66614"/>
    <w:rsid w:val="00E66924"/>
    <w:rsid w:val="00E67300"/>
    <w:rsid w:val="00E674AF"/>
    <w:rsid w:val="00E676F7"/>
    <w:rsid w:val="00E6773F"/>
    <w:rsid w:val="00E70765"/>
    <w:rsid w:val="00E7117C"/>
    <w:rsid w:val="00E7176C"/>
    <w:rsid w:val="00E71CEB"/>
    <w:rsid w:val="00E724D3"/>
    <w:rsid w:val="00E7299D"/>
    <w:rsid w:val="00E729F0"/>
    <w:rsid w:val="00E73297"/>
    <w:rsid w:val="00E7398B"/>
    <w:rsid w:val="00E7400A"/>
    <w:rsid w:val="00E74154"/>
    <w:rsid w:val="00E7485C"/>
    <w:rsid w:val="00E74EF4"/>
    <w:rsid w:val="00E75CD9"/>
    <w:rsid w:val="00E7686F"/>
    <w:rsid w:val="00E77E8C"/>
    <w:rsid w:val="00E80035"/>
    <w:rsid w:val="00E80814"/>
    <w:rsid w:val="00E81136"/>
    <w:rsid w:val="00E8269B"/>
    <w:rsid w:val="00E82D29"/>
    <w:rsid w:val="00E82F93"/>
    <w:rsid w:val="00E83AF8"/>
    <w:rsid w:val="00E83CB4"/>
    <w:rsid w:val="00E8557C"/>
    <w:rsid w:val="00E857B2"/>
    <w:rsid w:val="00E85860"/>
    <w:rsid w:val="00E86273"/>
    <w:rsid w:val="00E86B71"/>
    <w:rsid w:val="00E86E7C"/>
    <w:rsid w:val="00E87E38"/>
    <w:rsid w:val="00E901D2"/>
    <w:rsid w:val="00E902F3"/>
    <w:rsid w:val="00E9065C"/>
    <w:rsid w:val="00E92123"/>
    <w:rsid w:val="00E92B30"/>
    <w:rsid w:val="00E92FAC"/>
    <w:rsid w:val="00E93016"/>
    <w:rsid w:val="00E930FA"/>
    <w:rsid w:val="00E93202"/>
    <w:rsid w:val="00E93BC4"/>
    <w:rsid w:val="00E94174"/>
    <w:rsid w:val="00E94CF9"/>
    <w:rsid w:val="00E95DFC"/>
    <w:rsid w:val="00E96944"/>
    <w:rsid w:val="00E9756D"/>
    <w:rsid w:val="00E976DF"/>
    <w:rsid w:val="00E97B14"/>
    <w:rsid w:val="00EA12D3"/>
    <w:rsid w:val="00EA1417"/>
    <w:rsid w:val="00EA1B29"/>
    <w:rsid w:val="00EA2F0E"/>
    <w:rsid w:val="00EA319D"/>
    <w:rsid w:val="00EA3AB8"/>
    <w:rsid w:val="00EA3C6F"/>
    <w:rsid w:val="00EA4CAB"/>
    <w:rsid w:val="00EA5552"/>
    <w:rsid w:val="00EA64D8"/>
    <w:rsid w:val="00EA655D"/>
    <w:rsid w:val="00EA66E6"/>
    <w:rsid w:val="00EA6795"/>
    <w:rsid w:val="00EA691A"/>
    <w:rsid w:val="00EA701D"/>
    <w:rsid w:val="00EA7365"/>
    <w:rsid w:val="00EA77AC"/>
    <w:rsid w:val="00EA7E1A"/>
    <w:rsid w:val="00EB1C04"/>
    <w:rsid w:val="00EB1ED8"/>
    <w:rsid w:val="00EB295A"/>
    <w:rsid w:val="00EB2C8E"/>
    <w:rsid w:val="00EB3089"/>
    <w:rsid w:val="00EB360C"/>
    <w:rsid w:val="00EB393A"/>
    <w:rsid w:val="00EB426B"/>
    <w:rsid w:val="00EB5E6D"/>
    <w:rsid w:val="00EB618E"/>
    <w:rsid w:val="00EB675E"/>
    <w:rsid w:val="00EC0769"/>
    <w:rsid w:val="00EC0DBB"/>
    <w:rsid w:val="00EC118E"/>
    <w:rsid w:val="00EC1C90"/>
    <w:rsid w:val="00EC32A5"/>
    <w:rsid w:val="00EC3770"/>
    <w:rsid w:val="00EC4308"/>
    <w:rsid w:val="00EC4758"/>
    <w:rsid w:val="00EC4EA4"/>
    <w:rsid w:val="00EC5566"/>
    <w:rsid w:val="00EC57D3"/>
    <w:rsid w:val="00EC59D7"/>
    <w:rsid w:val="00EC5EB6"/>
    <w:rsid w:val="00EC6741"/>
    <w:rsid w:val="00EC6A4B"/>
    <w:rsid w:val="00EC7E7E"/>
    <w:rsid w:val="00ED048D"/>
    <w:rsid w:val="00ED04AB"/>
    <w:rsid w:val="00ED0EF9"/>
    <w:rsid w:val="00ED13F4"/>
    <w:rsid w:val="00ED160E"/>
    <w:rsid w:val="00ED2002"/>
    <w:rsid w:val="00ED29A2"/>
    <w:rsid w:val="00ED32AB"/>
    <w:rsid w:val="00ED3EB5"/>
    <w:rsid w:val="00ED4B2F"/>
    <w:rsid w:val="00ED50F3"/>
    <w:rsid w:val="00ED5BB3"/>
    <w:rsid w:val="00ED5C2F"/>
    <w:rsid w:val="00ED6087"/>
    <w:rsid w:val="00ED707B"/>
    <w:rsid w:val="00ED7509"/>
    <w:rsid w:val="00ED7997"/>
    <w:rsid w:val="00EE0184"/>
    <w:rsid w:val="00EE0792"/>
    <w:rsid w:val="00EE0D76"/>
    <w:rsid w:val="00EE1BEE"/>
    <w:rsid w:val="00EE2852"/>
    <w:rsid w:val="00EE28AB"/>
    <w:rsid w:val="00EE317B"/>
    <w:rsid w:val="00EE33D9"/>
    <w:rsid w:val="00EE33FE"/>
    <w:rsid w:val="00EE5014"/>
    <w:rsid w:val="00EE65F2"/>
    <w:rsid w:val="00EE6A35"/>
    <w:rsid w:val="00EF0EFE"/>
    <w:rsid w:val="00EF22F8"/>
    <w:rsid w:val="00EF2517"/>
    <w:rsid w:val="00EF3278"/>
    <w:rsid w:val="00EF3C70"/>
    <w:rsid w:val="00EF3E8B"/>
    <w:rsid w:val="00EF4FED"/>
    <w:rsid w:val="00EF613D"/>
    <w:rsid w:val="00EF63EF"/>
    <w:rsid w:val="00F001B7"/>
    <w:rsid w:val="00F00678"/>
    <w:rsid w:val="00F00D47"/>
    <w:rsid w:val="00F0152D"/>
    <w:rsid w:val="00F01723"/>
    <w:rsid w:val="00F01999"/>
    <w:rsid w:val="00F01A88"/>
    <w:rsid w:val="00F02DF0"/>
    <w:rsid w:val="00F02EE1"/>
    <w:rsid w:val="00F0339A"/>
    <w:rsid w:val="00F049EC"/>
    <w:rsid w:val="00F053AB"/>
    <w:rsid w:val="00F0542E"/>
    <w:rsid w:val="00F05768"/>
    <w:rsid w:val="00F0645B"/>
    <w:rsid w:val="00F07C5D"/>
    <w:rsid w:val="00F106D6"/>
    <w:rsid w:val="00F10FDB"/>
    <w:rsid w:val="00F116B0"/>
    <w:rsid w:val="00F12553"/>
    <w:rsid w:val="00F12E8B"/>
    <w:rsid w:val="00F12ED0"/>
    <w:rsid w:val="00F13CFE"/>
    <w:rsid w:val="00F145A6"/>
    <w:rsid w:val="00F1531C"/>
    <w:rsid w:val="00F1546C"/>
    <w:rsid w:val="00F15A89"/>
    <w:rsid w:val="00F15B12"/>
    <w:rsid w:val="00F15D6E"/>
    <w:rsid w:val="00F15F2E"/>
    <w:rsid w:val="00F164BF"/>
    <w:rsid w:val="00F16853"/>
    <w:rsid w:val="00F16EFA"/>
    <w:rsid w:val="00F17551"/>
    <w:rsid w:val="00F17F2A"/>
    <w:rsid w:val="00F20147"/>
    <w:rsid w:val="00F211D0"/>
    <w:rsid w:val="00F213AD"/>
    <w:rsid w:val="00F224C6"/>
    <w:rsid w:val="00F22602"/>
    <w:rsid w:val="00F226A1"/>
    <w:rsid w:val="00F22C25"/>
    <w:rsid w:val="00F24844"/>
    <w:rsid w:val="00F24C1A"/>
    <w:rsid w:val="00F26024"/>
    <w:rsid w:val="00F267A9"/>
    <w:rsid w:val="00F268A0"/>
    <w:rsid w:val="00F26B36"/>
    <w:rsid w:val="00F26B4B"/>
    <w:rsid w:val="00F26DFE"/>
    <w:rsid w:val="00F2706C"/>
    <w:rsid w:val="00F272E5"/>
    <w:rsid w:val="00F2768F"/>
    <w:rsid w:val="00F27A64"/>
    <w:rsid w:val="00F30372"/>
    <w:rsid w:val="00F3094A"/>
    <w:rsid w:val="00F30C29"/>
    <w:rsid w:val="00F30DDB"/>
    <w:rsid w:val="00F3113E"/>
    <w:rsid w:val="00F31797"/>
    <w:rsid w:val="00F31FEB"/>
    <w:rsid w:val="00F32F5D"/>
    <w:rsid w:val="00F334D9"/>
    <w:rsid w:val="00F34668"/>
    <w:rsid w:val="00F34DF3"/>
    <w:rsid w:val="00F35280"/>
    <w:rsid w:val="00F35F86"/>
    <w:rsid w:val="00F36041"/>
    <w:rsid w:val="00F36331"/>
    <w:rsid w:val="00F36950"/>
    <w:rsid w:val="00F37864"/>
    <w:rsid w:val="00F402AA"/>
    <w:rsid w:val="00F4077B"/>
    <w:rsid w:val="00F40E79"/>
    <w:rsid w:val="00F42694"/>
    <w:rsid w:val="00F43DB7"/>
    <w:rsid w:val="00F445AC"/>
    <w:rsid w:val="00F44B02"/>
    <w:rsid w:val="00F46127"/>
    <w:rsid w:val="00F469BC"/>
    <w:rsid w:val="00F46FCD"/>
    <w:rsid w:val="00F512F7"/>
    <w:rsid w:val="00F54109"/>
    <w:rsid w:val="00F54E08"/>
    <w:rsid w:val="00F550DA"/>
    <w:rsid w:val="00F56314"/>
    <w:rsid w:val="00F5675B"/>
    <w:rsid w:val="00F573E3"/>
    <w:rsid w:val="00F60591"/>
    <w:rsid w:val="00F6177B"/>
    <w:rsid w:val="00F61E38"/>
    <w:rsid w:val="00F620CF"/>
    <w:rsid w:val="00F625F2"/>
    <w:rsid w:val="00F6297F"/>
    <w:rsid w:val="00F62DEE"/>
    <w:rsid w:val="00F62EE5"/>
    <w:rsid w:val="00F630C9"/>
    <w:rsid w:val="00F63F52"/>
    <w:rsid w:val="00F642FE"/>
    <w:rsid w:val="00F64814"/>
    <w:rsid w:val="00F649AA"/>
    <w:rsid w:val="00F6632C"/>
    <w:rsid w:val="00F663F9"/>
    <w:rsid w:val="00F67AE8"/>
    <w:rsid w:val="00F70498"/>
    <w:rsid w:val="00F7087C"/>
    <w:rsid w:val="00F70B52"/>
    <w:rsid w:val="00F716B8"/>
    <w:rsid w:val="00F71FC2"/>
    <w:rsid w:val="00F724B8"/>
    <w:rsid w:val="00F72656"/>
    <w:rsid w:val="00F72B42"/>
    <w:rsid w:val="00F72BB2"/>
    <w:rsid w:val="00F72FF7"/>
    <w:rsid w:val="00F730C9"/>
    <w:rsid w:val="00F732C4"/>
    <w:rsid w:val="00F733F3"/>
    <w:rsid w:val="00F73402"/>
    <w:rsid w:val="00F734AE"/>
    <w:rsid w:val="00F73A39"/>
    <w:rsid w:val="00F73E34"/>
    <w:rsid w:val="00F73E47"/>
    <w:rsid w:val="00F73E59"/>
    <w:rsid w:val="00F73F2D"/>
    <w:rsid w:val="00F758FF"/>
    <w:rsid w:val="00F75D3A"/>
    <w:rsid w:val="00F7672E"/>
    <w:rsid w:val="00F80139"/>
    <w:rsid w:val="00F825B5"/>
    <w:rsid w:val="00F82EA5"/>
    <w:rsid w:val="00F841CA"/>
    <w:rsid w:val="00F851AE"/>
    <w:rsid w:val="00F854BF"/>
    <w:rsid w:val="00F85B87"/>
    <w:rsid w:val="00F860CD"/>
    <w:rsid w:val="00F861A2"/>
    <w:rsid w:val="00F87B23"/>
    <w:rsid w:val="00F87C31"/>
    <w:rsid w:val="00F90B2E"/>
    <w:rsid w:val="00F91C77"/>
    <w:rsid w:val="00F9212E"/>
    <w:rsid w:val="00F9314C"/>
    <w:rsid w:val="00F93398"/>
    <w:rsid w:val="00F9445F"/>
    <w:rsid w:val="00F94D41"/>
    <w:rsid w:val="00F94FA3"/>
    <w:rsid w:val="00F9533B"/>
    <w:rsid w:val="00F95F0A"/>
    <w:rsid w:val="00F96E21"/>
    <w:rsid w:val="00FA01FB"/>
    <w:rsid w:val="00FA0329"/>
    <w:rsid w:val="00FA0491"/>
    <w:rsid w:val="00FA1852"/>
    <w:rsid w:val="00FA1A77"/>
    <w:rsid w:val="00FA2138"/>
    <w:rsid w:val="00FA2890"/>
    <w:rsid w:val="00FA3738"/>
    <w:rsid w:val="00FA39F2"/>
    <w:rsid w:val="00FA5504"/>
    <w:rsid w:val="00FA5E46"/>
    <w:rsid w:val="00FA6B7E"/>
    <w:rsid w:val="00FA7B86"/>
    <w:rsid w:val="00FA7F4F"/>
    <w:rsid w:val="00FB0171"/>
    <w:rsid w:val="00FB0AAA"/>
    <w:rsid w:val="00FB1958"/>
    <w:rsid w:val="00FB1BFA"/>
    <w:rsid w:val="00FB1C25"/>
    <w:rsid w:val="00FB2113"/>
    <w:rsid w:val="00FB3499"/>
    <w:rsid w:val="00FB37E1"/>
    <w:rsid w:val="00FB495B"/>
    <w:rsid w:val="00FB50EC"/>
    <w:rsid w:val="00FB5254"/>
    <w:rsid w:val="00FB57A1"/>
    <w:rsid w:val="00FB57DB"/>
    <w:rsid w:val="00FB6016"/>
    <w:rsid w:val="00FB6669"/>
    <w:rsid w:val="00FB7864"/>
    <w:rsid w:val="00FB7A95"/>
    <w:rsid w:val="00FC0301"/>
    <w:rsid w:val="00FC06E3"/>
    <w:rsid w:val="00FC0785"/>
    <w:rsid w:val="00FC091E"/>
    <w:rsid w:val="00FC0CDA"/>
    <w:rsid w:val="00FC1188"/>
    <w:rsid w:val="00FC22AB"/>
    <w:rsid w:val="00FC2505"/>
    <w:rsid w:val="00FC272E"/>
    <w:rsid w:val="00FC2910"/>
    <w:rsid w:val="00FC294A"/>
    <w:rsid w:val="00FC30F3"/>
    <w:rsid w:val="00FC3142"/>
    <w:rsid w:val="00FC3B0B"/>
    <w:rsid w:val="00FC45EA"/>
    <w:rsid w:val="00FC4DBD"/>
    <w:rsid w:val="00FC594B"/>
    <w:rsid w:val="00FC709F"/>
    <w:rsid w:val="00FC7DDB"/>
    <w:rsid w:val="00FC7EF4"/>
    <w:rsid w:val="00FD050E"/>
    <w:rsid w:val="00FD0BE3"/>
    <w:rsid w:val="00FD0DA5"/>
    <w:rsid w:val="00FD1088"/>
    <w:rsid w:val="00FD2394"/>
    <w:rsid w:val="00FD29B0"/>
    <w:rsid w:val="00FD2B24"/>
    <w:rsid w:val="00FD2E62"/>
    <w:rsid w:val="00FD2FAA"/>
    <w:rsid w:val="00FD3DFD"/>
    <w:rsid w:val="00FD4211"/>
    <w:rsid w:val="00FD5ED1"/>
    <w:rsid w:val="00FD5FAA"/>
    <w:rsid w:val="00FD6C27"/>
    <w:rsid w:val="00FD75A0"/>
    <w:rsid w:val="00FD7841"/>
    <w:rsid w:val="00FE0C51"/>
    <w:rsid w:val="00FE125A"/>
    <w:rsid w:val="00FE18EA"/>
    <w:rsid w:val="00FE1B54"/>
    <w:rsid w:val="00FE2431"/>
    <w:rsid w:val="00FE4C58"/>
    <w:rsid w:val="00FE51AC"/>
    <w:rsid w:val="00FE5300"/>
    <w:rsid w:val="00FE6746"/>
    <w:rsid w:val="00FE7EE9"/>
    <w:rsid w:val="00FF029F"/>
    <w:rsid w:val="00FF0B77"/>
    <w:rsid w:val="00FF0EDD"/>
    <w:rsid w:val="00FF232C"/>
    <w:rsid w:val="00FF2550"/>
    <w:rsid w:val="00FF31A4"/>
    <w:rsid w:val="00FF321A"/>
    <w:rsid w:val="00FF3592"/>
    <w:rsid w:val="00FF3B86"/>
    <w:rsid w:val="00FF5299"/>
    <w:rsid w:val="00FF576E"/>
    <w:rsid w:val="00FF610D"/>
    <w:rsid w:val="00FF61C2"/>
    <w:rsid w:val="00FF6C94"/>
    <w:rsid w:val="00FF7462"/>
    <w:rsid w:val="1134720A"/>
    <w:rsid w:val="303E013F"/>
    <w:rsid w:val="3F78F499"/>
    <w:rsid w:val="47430A0E"/>
    <w:rsid w:val="4B48EC0F"/>
    <w:rsid w:val="5550F84A"/>
    <w:rsid w:val="6B6897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4B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qFormat="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nhideWhenUsed="1" w:qFormat="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uiPriority="16" w:qFormat="1"/>
    <w:lsdException w:name="List Number" w:semiHidden="1" w:uiPriority="16" w:qFormat="1"/>
    <w:lsdException w:name="List 2" w:semiHidden="1"/>
    <w:lsdException w:name="List 3" w:semiHidden="1"/>
    <w:lsdException w:name="List 4" w:semiHidden="1"/>
    <w:lsdException w:name="List 5" w:semiHidden="1"/>
    <w:lsdException w:name="List Bullet 2" w:semiHidden="1" w:uiPriority="16" w:qFormat="1"/>
    <w:lsdException w:name="List Bullet 3" w:semiHidden="1" w:uiPriority="16" w:qFormat="1"/>
    <w:lsdException w:name="List Bullet 4" w:semiHidden="1" w:uiPriority="16" w:qFormat="1"/>
    <w:lsdException w:name="List Bullet 5" w:semiHidden="1"/>
    <w:lsdException w:name="List Number 2" w:semiHidden="1" w:uiPriority="16" w:qFormat="1"/>
    <w:lsdException w:name="List Number 3" w:semiHidden="1" w:uiPriority="16" w:qFormat="1"/>
    <w:lsdException w:name="List Number 4" w:semiHidden="1" w:uiPriority="16" w:qFormat="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DA"/>
    <w:pPr>
      <w:spacing w:before="120" w:line="240" w:lineRule="auto"/>
      <w:jc w:val="both"/>
    </w:pPr>
    <w:rPr>
      <w:sz w:val="24"/>
    </w:rPr>
  </w:style>
  <w:style w:type="paragraph" w:styleId="Heading1">
    <w:name w:val="heading 1"/>
    <w:next w:val="MSACESParagraph"/>
    <w:link w:val="Heading1Char"/>
    <w:uiPriority w:val="9"/>
    <w:qFormat/>
    <w:rsid w:val="005C2085"/>
    <w:pPr>
      <w:keepNext/>
      <w:keepLines/>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numPr>
        <w:ilvl w:val="3"/>
        <w:numId w:val="5"/>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9"/>
    <w:qFormat/>
    <w:rsid w:val="00186307"/>
    <w:pPr>
      <w:keepNext/>
      <w:keepLines/>
      <w:numPr>
        <w:ilvl w:val="5"/>
        <w:numId w:val="5"/>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9"/>
    <w:qFormat/>
    <w:rsid w:val="00BB6875"/>
    <w:pPr>
      <w:numPr>
        <w:ilvl w:val="6"/>
      </w:numPr>
      <w:spacing w:before="240" w:after="0"/>
      <w:outlineLvl w:val="3"/>
    </w:pPr>
    <w:rPr>
      <w:color w:val="000000" w:themeColor="text1"/>
      <w:sz w:val="24"/>
    </w:rPr>
  </w:style>
  <w:style w:type="paragraph" w:styleId="Heading5">
    <w:name w:val="heading 5"/>
    <w:aliases w:val="Heading 2 - Body,ASAPHeading 5,p5,DO NOT USE,- H37"/>
    <w:basedOn w:val="Heading2"/>
    <w:next w:val="Normal"/>
    <w:link w:val="Heading5Char"/>
    <w:uiPriority w:val="10"/>
    <w:qFormat/>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9"/>
    <w:rsid w:val="00245AD1"/>
    <w:rPr>
      <w:rFonts w:eastAsiaTheme="majorEastAsia" w:cstheme="majorBidi"/>
      <w:b/>
      <w:sz w:val="28"/>
      <w:szCs w:val="28"/>
    </w:rPr>
  </w:style>
  <w:style w:type="paragraph" w:styleId="ListParagraph">
    <w:name w:val="List Paragraph"/>
    <w:aliases w:val="PBAC ES Paragraph,Figure_name,List Paragraph1,Numbered Indented Text,Bullet- First level,List NUmber,Listenabsatz1,lp1,List Paragraph11,Style 2,TOC style,List Paragraph2,List Paragraph Char Char,Number_1,SGLText List Paragraph,new"/>
    <w:basedOn w:val="Normal"/>
    <w:link w:val="ListParagraphChar"/>
    <w:uiPriority w:val="34"/>
    <w:qFormat/>
    <w:rsid w:val="004908B7"/>
    <w:rPr>
      <w:color w:val="000000" w:themeColor="text1"/>
    </w:r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9"/>
    <w:rsid w:val="00245AD1"/>
    <w:rPr>
      <w:rFonts w:eastAsiaTheme="majorEastAsia" w:cstheme="majorBidi"/>
      <w:b/>
      <w:color w:val="000000" w:themeColor="text1"/>
      <w:sz w:val="24"/>
      <w:szCs w:val="28"/>
    </w:rPr>
  </w:style>
  <w:style w:type="character" w:customStyle="1" w:styleId="Heading5Char">
    <w:name w:val="Heading 5 Char"/>
    <w:aliases w:val="Heading 2 - Body Char,ASAPHeading 5 Char,p5 Char,DO NOT USE Char,- H37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MSD Table Grid,ASD Table,CMA Table Template,new style,PBAC table"/>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table"/>
    <w:next w:val="Normal"/>
    <w:link w:val="CaptionChar"/>
    <w:autoRedefine/>
    <w:qFormat/>
    <w:rsid w:val="002537A9"/>
    <w:pPr>
      <w:keepNext/>
      <w:keepLines/>
      <w:widowControl w:val="0"/>
      <w:spacing w:after="0" w:line="240" w:lineRule="auto"/>
      <w:ind w:left="993" w:hanging="993"/>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aliases w:val="Footnote Text Char1,Footnote Text Char Char,Footnote Text Char2,Footnote Text Char Char1"/>
    <w:basedOn w:val="Normal"/>
    <w:link w:val="FootnoteTextChar"/>
    <w:rsid w:val="00BA3306"/>
    <w:pPr>
      <w:spacing w:before="0" w:after="0"/>
    </w:pPr>
    <w:rPr>
      <w:sz w:val="18"/>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481549"/>
    <w:rPr>
      <w:sz w:val="18"/>
      <w:szCs w:val="20"/>
    </w:rPr>
  </w:style>
  <w:style w:type="character" w:styleId="FootnoteReference">
    <w:name w:val="footnote reference"/>
    <w:basedOn w:val="DefaultParagraphFont"/>
    <w:rsid w:val="00BA3306"/>
    <w:rPr>
      <w:vertAlign w:val="superscript"/>
    </w:rPr>
  </w:style>
  <w:style w:type="character" w:styleId="CommentReference">
    <w:name w:val="annotation reference"/>
    <w:aliases w:val="Table Title,-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table Char"/>
    <w:link w:val="Caption"/>
    <w:rsid w:val="002537A9"/>
    <w:rPr>
      <w:rFonts w:ascii="Arial Narrow" w:hAnsi="Arial Narrow"/>
      <w:b/>
      <w:iCs/>
      <w:sz w:val="20"/>
      <w:szCs w:val="18"/>
    </w:rPr>
  </w:style>
  <w:style w:type="paragraph" w:customStyle="1" w:styleId="TableFooter">
    <w:name w:val="Table Footer"/>
    <w:basedOn w:val="Normal"/>
    <w:link w:val="TableFooterChar"/>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qFormat/>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Figure_name Char,List Paragraph1 Char,Numbered Indented Text Char,Bullet- First level Char,List NUmber Char,Listenabsatz1 Char,lp1 Char,List Paragraph11 Char,Style 2 Char,TOC style Char,List Paragraph2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905653"/>
    <w:pPr>
      <w:numPr>
        <w:numId w:val="11"/>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0"/>
        <w:numId w:val="0"/>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905653"/>
    <w:rPr>
      <w:rFonts w:ascii="Calibri" w:hAnsi="Calibri"/>
      <w:color w:val="0070C0"/>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numId w:val="12"/>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0"/>
        <w:numId w:val="0"/>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7"/>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spacing w:before="240" w:line="240" w:lineRule="auto"/>
      <w:ind w:left="720" w:hanging="720"/>
    </w:pPr>
    <w:rPr>
      <w:rFonts w:eastAsia="Times New Roman" w:cs="Arial"/>
      <w:snapToGrid w:val="0"/>
      <w:szCs w:val="32"/>
    </w:rPr>
  </w:style>
  <w:style w:type="paragraph" w:customStyle="1" w:styleId="ESHeading2">
    <w:name w:val="ES Heading 2"/>
    <w:basedOn w:val="Heading2"/>
    <w:link w:val="ESHeading2Char"/>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9"/>
      </w:numPr>
    </w:pPr>
  </w:style>
  <w:style w:type="paragraph" w:customStyle="1" w:styleId="MainBodyBulletPoint">
    <w:name w:val="MainBody Bullet Point"/>
    <w:basedOn w:val="InstructionBulletpoint"/>
    <w:link w:val="MainBodyBulletPointChar"/>
    <w:uiPriority w:val="1"/>
    <w:qFormat/>
    <w:rsid w:val="00905653"/>
    <w:pPr>
      <w:numPr>
        <w:numId w:val="10"/>
      </w:numPr>
    </w:pPr>
    <w:rPr>
      <w:color w:val="auto"/>
    </w:rPr>
  </w:style>
  <w:style w:type="character" w:customStyle="1" w:styleId="MainBodyBulletPointChar">
    <w:name w:val="MainBody Bullet Point Char"/>
    <w:basedOn w:val="InstructionBulletpointChar"/>
    <w:link w:val="MainBodyBulletPoint"/>
    <w:uiPriority w:val="1"/>
    <w:rsid w:val="00905653"/>
    <w:rPr>
      <w:rFonts w:ascii="Calibri" w:hAnsi="Calibri"/>
      <w:color w:val="0070C0"/>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3"/>
      </w:numPr>
    </w:pPr>
  </w:style>
  <w:style w:type="numbering" w:customStyle="1" w:styleId="Style2">
    <w:name w:val="Style2"/>
    <w:uiPriority w:val="99"/>
    <w:rsid w:val="002A391F"/>
    <w:pPr>
      <w:numPr>
        <w:numId w:val="15"/>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6"/>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ListNumber">
    <w:name w:val="List Number"/>
    <w:basedOn w:val="Normal"/>
    <w:uiPriority w:val="16"/>
    <w:qFormat/>
    <w:rsid w:val="00F164BF"/>
    <w:pPr>
      <w:tabs>
        <w:tab w:val="num" w:pos="357"/>
      </w:tabs>
      <w:spacing w:before="0" w:after="240" w:line="360" w:lineRule="auto"/>
      <w:ind w:left="357" w:hanging="357"/>
      <w:jc w:val="left"/>
    </w:pPr>
    <w:rPr>
      <w:rFonts w:ascii="Arial" w:hAnsi="Arial"/>
      <w:sz w:val="20"/>
      <w:szCs w:val="20"/>
    </w:rPr>
  </w:style>
  <w:style w:type="paragraph" w:styleId="ListNumber2">
    <w:name w:val="List Number 2"/>
    <w:basedOn w:val="Normal"/>
    <w:uiPriority w:val="16"/>
    <w:qFormat/>
    <w:rsid w:val="00F164BF"/>
    <w:pPr>
      <w:tabs>
        <w:tab w:val="num" w:pos="720"/>
      </w:tabs>
      <w:spacing w:before="0" w:after="240" w:line="360" w:lineRule="auto"/>
      <w:ind w:left="720" w:hanging="363"/>
      <w:jc w:val="left"/>
    </w:pPr>
    <w:rPr>
      <w:rFonts w:ascii="Arial" w:hAnsi="Arial"/>
      <w:sz w:val="20"/>
      <w:szCs w:val="20"/>
    </w:rPr>
  </w:style>
  <w:style w:type="paragraph" w:styleId="ListNumber3">
    <w:name w:val="List Number 3"/>
    <w:aliases w:val="Char"/>
    <w:basedOn w:val="Normal"/>
    <w:uiPriority w:val="16"/>
    <w:qFormat/>
    <w:rsid w:val="00F164BF"/>
    <w:pPr>
      <w:tabs>
        <w:tab w:val="num" w:pos="1077"/>
      </w:tabs>
      <w:spacing w:before="0" w:after="240" w:line="360" w:lineRule="auto"/>
      <w:ind w:left="1077" w:hanging="357"/>
      <w:jc w:val="left"/>
    </w:pPr>
    <w:rPr>
      <w:rFonts w:ascii="Arial" w:hAnsi="Arial"/>
      <w:sz w:val="20"/>
      <w:szCs w:val="20"/>
    </w:rPr>
  </w:style>
  <w:style w:type="paragraph" w:styleId="ListNumber4">
    <w:name w:val="List Number 4"/>
    <w:basedOn w:val="Normal"/>
    <w:uiPriority w:val="16"/>
    <w:qFormat/>
    <w:rsid w:val="00F164BF"/>
    <w:pPr>
      <w:tabs>
        <w:tab w:val="num" w:pos="1435"/>
      </w:tabs>
      <w:spacing w:before="0" w:after="240" w:line="360" w:lineRule="auto"/>
      <w:ind w:left="1435" w:hanging="358"/>
      <w:contextualSpacing/>
      <w:jc w:val="left"/>
    </w:pPr>
    <w:rPr>
      <w:rFonts w:ascii="Arial" w:hAnsi="Arial"/>
      <w:sz w:val="20"/>
      <w:szCs w:val="20"/>
    </w:rPr>
  </w:style>
  <w:style w:type="numbering" w:customStyle="1" w:styleId="Lists6">
    <w:name w:val="Lists6"/>
    <w:uiPriority w:val="99"/>
    <w:rsid w:val="00F164BF"/>
    <w:pPr>
      <w:numPr>
        <w:numId w:val="17"/>
      </w:numPr>
    </w:pPr>
  </w:style>
  <w:style w:type="paragraph" w:styleId="ListBullet">
    <w:name w:val="List Bullet"/>
    <w:basedOn w:val="Normal"/>
    <w:uiPriority w:val="16"/>
    <w:qFormat/>
    <w:rsid w:val="00F164BF"/>
    <w:pPr>
      <w:numPr>
        <w:numId w:val="18"/>
      </w:numPr>
      <w:spacing w:before="0" w:after="240" w:line="360" w:lineRule="auto"/>
      <w:jc w:val="left"/>
    </w:pPr>
    <w:rPr>
      <w:rFonts w:ascii="Arial" w:hAnsi="Arial"/>
      <w:sz w:val="20"/>
      <w:szCs w:val="20"/>
    </w:rPr>
  </w:style>
  <w:style w:type="paragraph" w:styleId="ListBullet4">
    <w:name w:val="List Bullet 4"/>
    <w:basedOn w:val="Normal"/>
    <w:uiPriority w:val="16"/>
    <w:qFormat/>
    <w:rsid w:val="00F164BF"/>
    <w:pPr>
      <w:numPr>
        <w:ilvl w:val="3"/>
        <w:numId w:val="18"/>
      </w:numPr>
      <w:spacing w:before="0" w:after="240" w:line="360" w:lineRule="auto"/>
      <w:contextualSpacing/>
      <w:jc w:val="left"/>
    </w:pPr>
    <w:rPr>
      <w:rFonts w:ascii="Arial" w:hAnsi="Arial"/>
      <w:sz w:val="20"/>
      <w:szCs w:val="20"/>
    </w:rPr>
  </w:style>
  <w:style w:type="paragraph" w:styleId="CommentText">
    <w:name w:val="annotation text"/>
    <w:aliases w:val="- H19"/>
    <w:basedOn w:val="Normal"/>
    <w:link w:val="CommentTextChar"/>
    <w:uiPriority w:val="99"/>
    <w:unhideWhenUsed/>
    <w:qFormat/>
    <w:rsid w:val="00F164BF"/>
    <w:pPr>
      <w:spacing w:before="0" w:after="240"/>
      <w:jc w:val="left"/>
    </w:pPr>
    <w:rPr>
      <w:rFonts w:ascii="Arial" w:hAnsi="Arial"/>
      <w:sz w:val="20"/>
      <w:szCs w:val="20"/>
    </w:rPr>
  </w:style>
  <w:style w:type="character" w:customStyle="1" w:styleId="CommentTextChar">
    <w:name w:val="Comment Text Char"/>
    <w:aliases w:val="- H19 Char"/>
    <w:basedOn w:val="DefaultParagraphFont"/>
    <w:link w:val="CommentText"/>
    <w:uiPriority w:val="99"/>
    <w:rsid w:val="00F164BF"/>
    <w:rPr>
      <w:rFonts w:ascii="Arial" w:hAnsi="Arial"/>
      <w:sz w:val="20"/>
      <w:szCs w:val="20"/>
    </w:rPr>
  </w:style>
  <w:style w:type="paragraph" w:customStyle="1" w:styleId="Default">
    <w:name w:val="Default"/>
    <w:rsid w:val="00830C71"/>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2">
    <w:name w:val="List Bullet 2"/>
    <w:basedOn w:val="Normal"/>
    <w:uiPriority w:val="16"/>
    <w:qFormat/>
    <w:rsid w:val="007F648B"/>
    <w:pPr>
      <w:numPr>
        <w:numId w:val="20"/>
      </w:numPr>
      <w:contextualSpacing/>
    </w:pPr>
  </w:style>
  <w:style w:type="paragraph" w:customStyle="1" w:styleId="ES-text">
    <w:name w:val="ES - text"/>
    <w:basedOn w:val="BodyText"/>
    <w:qFormat/>
    <w:rsid w:val="00FC2910"/>
    <w:pPr>
      <w:spacing w:before="0" w:after="0" w:line="276" w:lineRule="auto"/>
      <w:jc w:val="left"/>
    </w:pPr>
    <w:rPr>
      <w:rFonts w:ascii="Arial" w:eastAsia="Times New Roman" w:hAnsi="Arial" w:cs="Times New Roman"/>
      <w:sz w:val="20"/>
      <w:szCs w:val="24"/>
      <w:lang w:val="en-US"/>
    </w:rPr>
  </w:style>
  <w:style w:type="paragraph" w:styleId="BodyText">
    <w:name w:val="Body Text"/>
    <w:basedOn w:val="Normal"/>
    <w:link w:val="BodyTextChar"/>
    <w:unhideWhenUsed/>
    <w:qFormat/>
    <w:rsid w:val="00FC2910"/>
    <w:pPr>
      <w:spacing w:after="120"/>
    </w:pPr>
  </w:style>
  <w:style w:type="character" w:customStyle="1" w:styleId="BodyTextChar">
    <w:name w:val="Body Text Char"/>
    <w:basedOn w:val="DefaultParagraphFont"/>
    <w:link w:val="BodyText"/>
    <w:rsid w:val="00FC2910"/>
    <w:rPr>
      <w:sz w:val="24"/>
    </w:rPr>
  </w:style>
  <w:style w:type="paragraph" w:customStyle="1" w:styleId="Tabletext0">
    <w:name w:val="Table text"/>
    <w:basedOn w:val="Normal"/>
    <w:link w:val="TabletextChar0"/>
    <w:qFormat/>
    <w:rsid w:val="007E676C"/>
    <w:pPr>
      <w:spacing w:before="0" w:after="0"/>
      <w:jc w:val="left"/>
    </w:pPr>
    <w:rPr>
      <w:rFonts w:ascii="Arial Narrow" w:eastAsia="Times New Roman" w:hAnsi="Arial Narrow" w:cs="Times New Roman"/>
      <w:sz w:val="20"/>
    </w:rPr>
  </w:style>
  <w:style w:type="character" w:customStyle="1" w:styleId="TabletextChar0">
    <w:name w:val="Table text Char"/>
    <w:link w:val="Tabletext0"/>
    <w:rsid w:val="007E676C"/>
    <w:rPr>
      <w:rFonts w:ascii="Arial Narrow" w:eastAsia="Times New Roman" w:hAnsi="Arial Narrow" w:cs="Times New Roman"/>
      <w:sz w:val="20"/>
    </w:rPr>
  </w:style>
  <w:style w:type="character" w:customStyle="1" w:styleId="UnresolvedMention1">
    <w:name w:val="Unresolved Mention1"/>
    <w:basedOn w:val="DefaultParagraphFont"/>
    <w:uiPriority w:val="99"/>
    <w:semiHidden/>
    <w:unhideWhenUsed/>
    <w:rsid w:val="00267BED"/>
    <w:rPr>
      <w:color w:val="605E5C"/>
      <w:shd w:val="clear" w:color="auto" w:fill="E1DFDD"/>
    </w:rPr>
  </w:style>
  <w:style w:type="table" w:customStyle="1" w:styleId="MSDTableGrid2">
    <w:name w:val="MSD Table Grid2"/>
    <w:basedOn w:val="TableNormal"/>
    <w:uiPriority w:val="59"/>
    <w:rsid w:val="007B1B91"/>
    <w:pPr>
      <w:spacing w:after="120" w:line="360" w:lineRule="auto"/>
      <w:ind w:right="57"/>
    </w:pPr>
    <w:rPr>
      <w:rFonts w:ascii="Arial" w:hAnsi="Arial"/>
      <w:sz w:val="20"/>
      <w:szCs w:val="20"/>
    </w:rPr>
    <w:tblPr>
      <w:tblInd w:w="0" w:type="nil"/>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paragraph" w:styleId="ListBullet3">
    <w:name w:val="List Bullet 3"/>
    <w:basedOn w:val="Normal"/>
    <w:uiPriority w:val="16"/>
    <w:unhideWhenUsed/>
    <w:qFormat/>
    <w:rsid w:val="00351DC3"/>
    <w:pPr>
      <w:spacing w:before="0" w:after="240" w:line="360" w:lineRule="auto"/>
      <w:ind w:left="1077" w:hanging="357"/>
      <w:contextualSpacing/>
      <w:jc w:val="left"/>
    </w:pPr>
    <w:rPr>
      <w:rFonts w:ascii="Arial" w:hAnsi="Arial"/>
      <w:sz w:val="20"/>
      <w:szCs w:val="20"/>
    </w:rPr>
  </w:style>
  <w:style w:type="character" w:styleId="PlaceholderText">
    <w:name w:val="Placeholder Text"/>
    <w:basedOn w:val="DefaultParagraphFont"/>
    <w:uiPriority w:val="99"/>
    <w:semiHidden/>
    <w:rsid w:val="00351DC3"/>
    <w:rPr>
      <w:color w:val="808080"/>
    </w:rPr>
  </w:style>
  <w:style w:type="paragraph" w:customStyle="1" w:styleId="Source">
    <w:name w:val="Source"/>
    <w:basedOn w:val="Normal"/>
    <w:uiPriority w:val="35"/>
    <w:qFormat/>
    <w:rsid w:val="00351DC3"/>
    <w:pPr>
      <w:tabs>
        <w:tab w:val="left" w:pos="284"/>
      </w:tabs>
      <w:spacing w:before="60" w:after="240" w:line="360" w:lineRule="auto"/>
      <w:contextualSpacing/>
      <w:jc w:val="left"/>
    </w:pPr>
    <w:rPr>
      <w:rFonts w:ascii="Arial" w:hAnsi="Arial"/>
      <w:sz w:val="18"/>
      <w:szCs w:val="20"/>
    </w:rPr>
  </w:style>
  <w:style w:type="table" w:customStyle="1" w:styleId="ExecSummTable">
    <w:name w:val="Exec Summ Table"/>
    <w:basedOn w:val="TableNormal"/>
    <w:uiPriority w:val="99"/>
    <w:rsid w:val="00351DC3"/>
    <w:pPr>
      <w:spacing w:after="80" w:line="360" w:lineRule="auto"/>
      <w:ind w:left="57" w:right="57"/>
    </w:pPr>
    <w:rPr>
      <w:rFonts w:ascii="Arial" w:hAnsi="Arial"/>
      <w:sz w:val="18"/>
      <w:szCs w:val="20"/>
      <w:lang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paragraph" w:customStyle="1" w:styleId="TableBodyCentered-H52">
    <w:name w:val="Table Body Centered - H52"/>
    <w:basedOn w:val="Normal"/>
    <w:qFormat/>
    <w:rsid w:val="00351DC3"/>
    <w:pPr>
      <w:keepLines/>
      <w:widowControl w:val="0"/>
      <w:spacing w:before="40" w:after="40"/>
      <w:jc w:val="center"/>
    </w:pPr>
    <w:rPr>
      <w:rFonts w:ascii="Calibri" w:eastAsia="Times New Roman" w:hAnsi="Calibri" w:cs="Times New Roman"/>
      <w:color w:val="000000" w:themeColor="text1"/>
      <w:sz w:val="18"/>
      <w:szCs w:val="20"/>
      <w:lang w:val="en-US"/>
    </w:rPr>
  </w:style>
  <w:style w:type="paragraph" w:customStyle="1" w:styleId="2-SectionHeading">
    <w:name w:val="2-Section Heading"/>
    <w:qFormat/>
    <w:rsid w:val="00351DC3"/>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351DC3"/>
    <w:pPr>
      <w:spacing w:before="0" w:after="120"/>
      <w:ind w:left="720" w:hanging="720"/>
    </w:pPr>
    <w:rPr>
      <w:rFonts w:eastAsia="Times New Roman" w:cs="Arial"/>
      <w:snapToGrid w:val="0"/>
      <w:color w:val="auto"/>
      <w:szCs w:val="24"/>
      <w:lang w:eastAsia="en-AU"/>
    </w:rPr>
  </w:style>
  <w:style w:type="paragraph" w:customStyle="1" w:styleId="5-SubsectionSubheading">
    <w:name w:val="5-Subsection Subheading"/>
    <w:basedOn w:val="Heading3"/>
    <w:next w:val="3-BodyText"/>
    <w:link w:val="5-SubsectionSubheadingChar"/>
    <w:qFormat/>
    <w:rsid w:val="00351DC3"/>
    <w:pPr>
      <w:numPr>
        <w:ilvl w:val="0"/>
        <w:numId w:val="0"/>
      </w:numPr>
      <w:spacing w:before="160"/>
    </w:pPr>
    <w:rPr>
      <w:color w:val="000000" w:themeColor="text1"/>
      <w:sz w:val="24"/>
      <w:szCs w:val="24"/>
      <w:lang w:eastAsia="en-AU"/>
    </w:rPr>
  </w:style>
  <w:style w:type="character" w:customStyle="1" w:styleId="5-SubsectionSubheadingChar">
    <w:name w:val="5-Subsection Subheading Char"/>
    <w:basedOn w:val="DefaultParagraphFont"/>
    <w:link w:val="5-SubsectionSubheading"/>
    <w:rsid w:val="00351DC3"/>
    <w:rPr>
      <w:rFonts w:eastAsiaTheme="majorEastAsia" w:cstheme="majorBidi"/>
      <w:b/>
      <w:color w:val="000000" w:themeColor="text1"/>
      <w:sz w:val="24"/>
      <w:szCs w:val="24"/>
      <w:lang w:eastAsia="en-AU"/>
    </w:rPr>
  </w:style>
  <w:style w:type="character" w:customStyle="1" w:styleId="3-BodyTextChar">
    <w:name w:val="3-Body Text Char"/>
    <w:basedOn w:val="DefaultParagraphFont"/>
    <w:link w:val="3-BodyText"/>
    <w:rsid w:val="00351DC3"/>
    <w:rPr>
      <w:rFonts w:eastAsia="Times New Roman" w:cs="Arial"/>
      <w:snapToGrid w:val="0"/>
      <w:sz w:val="24"/>
      <w:szCs w:val="24"/>
      <w:lang w:eastAsia="en-AU"/>
    </w:rPr>
  </w:style>
  <w:style w:type="paragraph" w:styleId="Index3">
    <w:name w:val="index 3"/>
    <w:basedOn w:val="Normal"/>
    <w:next w:val="Normal"/>
    <w:autoRedefine/>
    <w:uiPriority w:val="99"/>
    <w:semiHidden/>
    <w:unhideWhenUsed/>
    <w:rsid w:val="005D30D4"/>
    <w:pPr>
      <w:spacing w:before="0" w:after="0"/>
      <w:ind w:left="570" w:hanging="190"/>
      <w:jc w:val="left"/>
    </w:pPr>
    <w:rPr>
      <w:rFonts w:ascii="Arial" w:hAnsi="Arial"/>
      <w:sz w:val="20"/>
      <w:szCs w:val="20"/>
    </w:rPr>
  </w:style>
  <w:style w:type="paragraph" w:customStyle="1" w:styleId="TableHeading">
    <w:name w:val="Table Heading"/>
    <w:basedOn w:val="TableText"/>
    <w:qFormat/>
    <w:rsid w:val="00CA23A1"/>
    <w:pPr>
      <w:keepNext/>
      <w:keepLines/>
      <w:widowControl/>
      <w:spacing w:before="20" w:after="20" w:line="276" w:lineRule="auto"/>
      <w:jc w:val="both"/>
    </w:pPr>
    <w:rPr>
      <w:rFonts w:eastAsiaTheme="majorEastAsia" w:cs="Arial"/>
      <w:b/>
      <w:szCs w:val="20"/>
      <w:lang w:eastAsia="en-AU" w:bidi="en-US"/>
    </w:rPr>
  </w:style>
  <w:style w:type="table" w:styleId="GridTable2">
    <w:name w:val="Grid Table 2"/>
    <w:basedOn w:val="TableNormal"/>
    <w:uiPriority w:val="47"/>
    <w:rsid w:val="00CA23A1"/>
    <w:pPr>
      <w:spacing w:after="0" w:line="240" w:lineRule="auto"/>
    </w:pPr>
    <w:rPr>
      <w:rFonts w:ascii="Arial" w:hAnsi="Arial"/>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SDTable1">
    <w:name w:val="ASD Table1"/>
    <w:basedOn w:val="TableNormal"/>
    <w:next w:val="TableGrid"/>
    <w:uiPriority w:val="59"/>
    <w:rsid w:val="005A4301"/>
    <w:pPr>
      <w:spacing w:after="120" w:line="360" w:lineRule="auto"/>
      <w:ind w:right="57"/>
    </w:pPr>
    <w:rPr>
      <w:rFonts w:ascii="Arial" w:hAnsi="Arial"/>
      <w:sz w:val="20"/>
      <w:szCs w:val="20"/>
    </w:rPr>
    <w:tblPr>
      <w:tblBorders>
        <w:bottom w:val="single" w:sz="12" w:space="0" w:color="4472C4" w:themeColor="accent5"/>
        <w:insideH w:val="single" w:sz="4" w:space="0" w:color="4472C4" w:themeColor="accent5"/>
      </w:tblBorders>
      <w:tblCellMar>
        <w:left w:w="57" w:type="dxa"/>
        <w:right w:w="57" w:type="dxa"/>
      </w:tblCellMar>
    </w:tblPr>
    <w:tblStylePr w:type="firstRow">
      <w:pPr>
        <w:wordWrap/>
        <w:spacing w:line="276" w:lineRule="auto"/>
      </w:pPr>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tblPr/>
      <w:tcPr>
        <w:tcBorders>
          <w:top w:val="nil"/>
          <w:left w:val="nil"/>
          <w:bottom w:val="single" w:sz="12" w:space="0" w:color="4472C4" w:themeColor="accent5"/>
          <w:right w:val="nil"/>
          <w:insideH w:val="nil"/>
          <w:insideV w:val="nil"/>
          <w:tl2br w:val="nil"/>
          <w:tr2bl w:val="nil"/>
        </w:tcBorders>
      </w:tcPr>
    </w:tblStylePr>
    <w:tblStylePr w:type="firstCol">
      <w:rPr>
        <w:b/>
      </w:rPr>
    </w:tblStylePr>
  </w:style>
  <w:style w:type="paragraph" w:customStyle="1" w:styleId="Bulletlevel2">
    <w:name w:val="Bullet level 2"/>
    <w:basedOn w:val="ListParagraph"/>
    <w:qFormat/>
    <w:rsid w:val="008867B1"/>
    <w:pPr>
      <w:autoSpaceDE w:val="0"/>
      <w:autoSpaceDN w:val="0"/>
      <w:adjustRightInd w:val="0"/>
      <w:spacing w:before="0" w:after="240" w:line="276" w:lineRule="auto"/>
      <w:ind w:left="1260" w:hanging="360"/>
    </w:pPr>
    <w:rPr>
      <w:rFonts w:ascii="Times New Roman" w:eastAsia="Times New Roman" w:hAnsi="Times New Roman" w:cs="Times New Roman"/>
      <w:color w:val="auto"/>
      <w:szCs w:val="24"/>
      <w:lang w:val="en-US"/>
    </w:rPr>
  </w:style>
  <w:style w:type="table" w:styleId="LightGrid-Accent5">
    <w:name w:val="Light Grid Accent 5"/>
    <w:basedOn w:val="TableNormal"/>
    <w:uiPriority w:val="62"/>
    <w:rsid w:val="00BF78C3"/>
    <w:pPr>
      <w:spacing w:after="0" w:line="240" w:lineRule="auto"/>
    </w:pPr>
    <w:rPr>
      <w:rFonts w:ascii="Arial" w:hAnsi="Arial"/>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2">
    <w:name w:val="Light Grid Accent 2"/>
    <w:basedOn w:val="TableNormal"/>
    <w:uiPriority w:val="62"/>
    <w:rsid w:val="00BF78C3"/>
    <w:pPr>
      <w:spacing w:after="0" w:line="240" w:lineRule="auto"/>
    </w:pPr>
    <w:rPr>
      <w:rFonts w:ascii="Arial" w:hAnsi="Arial"/>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6">
    <w:name w:val="Light Grid Accent 6"/>
    <w:basedOn w:val="TableNormal"/>
    <w:uiPriority w:val="62"/>
    <w:rsid w:val="00BF78C3"/>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ES-bullets">
    <w:name w:val="ES - bullets"/>
    <w:basedOn w:val="ES-text"/>
    <w:qFormat/>
    <w:rsid w:val="00BF78C3"/>
    <w:pPr>
      <w:numPr>
        <w:numId w:val="35"/>
      </w:numPr>
      <w:tabs>
        <w:tab w:val="num" w:pos="360"/>
      </w:tabs>
      <w:spacing w:before="60" w:after="60"/>
      <w:ind w:left="284" w:hanging="284"/>
    </w:pPr>
  </w:style>
  <w:style w:type="table" w:customStyle="1" w:styleId="ExecSummTable1">
    <w:name w:val="Exec Summ Table1"/>
    <w:basedOn w:val="TableNormal"/>
    <w:uiPriority w:val="99"/>
    <w:rsid w:val="00BF78C3"/>
    <w:pPr>
      <w:spacing w:after="80" w:line="360" w:lineRule="auto"/>
      <w:ind w:left="57" w:right="57"/>
    </w:pPr>
    <w:rPr>
      <w:rFonts w:ascii="Arial" w:hAnsi="Arial"/>
      <w:sz w:val="18"/>
      <w:szCs w:val="20"/>
      <w:lang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MSDTableGrid3">
    <w:name w:val="MSD Table Grid3"/>
    <w:basedOn w:val="TableNormal"/>
    <w:next w:val="TableGrid"/>
    <w:uiPriority w:val="59"/>
    <w:rsid w:val="00BF78C3"/>
    <w:pPr>
      <w:spacing w:after="120" w:line="360" w:lineRule="auto"/>
      <w:ind w:right="57"/>
    </w:pPr>
    <w:rPr>
      <w:rFonts w:ascii="Arial" w:hAnsi="Arial"/>
      <w:sz w:val="20"/>
      <w:szCs w:val="20"/>
    </w:rPr>
    <w:tblPr>
      <w:tblBorders>
        <w:bottom w:val="single" w:sz="12" w:space="0" w:color="4472C4" w:themeColor="accent5"/>
        <w:insideH w:val="single" w:sz="4" w:space="0" w:color="4472C4" w:themeColor="accent5"/>
      </w:tblBorders>
      <w:tblCellMar>
        <w:left w:w="57" w:type="dxa"/>
        <w:right w:w="57" w:type="dxa"/>
      </w:tblCellMar>
    </w:tblPr>
    <w:tblStylePr w:type="firstRow">
      <w:pPr>
        <w:wordWrap/>
        <w:spacing w:line="276" w:lineRule="auto"/>
      </w:pPr>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tblPr/>
      <w:tcPr>
        <w:tcBorders>
          <w:top w:val="nil"/>
          <w:left w:val="nil"/>
          <w:bottom w:val="single" w:sz="12" w:space="0" w:color="4472C4" w:themeColor="accent5"/>
          <w:right w:val="nil"/>
          <w:insideH w:val="nil"/>
          <w:insideV w:val="nil"/>
          <w:tl2br w:val="nil"/>
          <w:tr2bl w:val="nil"/>
        </w:tcBorders>
      </w:tcPr>
    </w:tblStylePr>
    <w:tblStylePr w:type="firstCol">
      <w:rPr>
        <w:b/>
      </w:rPr>
    </w:tblStylePr>
  </w:style>
  <w:style w:type="table" w:customStyle="1" w:styleId="ExecSummTable15">
    <w:name w:val="Exec Summ Table15"/>
    <w:basedOn w:val="TableNormal"/>
    <w:uiPriority w:val="99"/>
    <w:rsid w:val="00BF78C3"/>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ExecSummTable16">
    <w:name w:val="Exec Summ Table16"/>
    <w:basedOn w:val="TableNormal"/>
    <w:uiPriority w:val="99"/>
    <w:rsid w:val="00BF78C3"/>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ExecSummTable17">
    <w:name w:val="Exec Summ Table17"/>
    <w:basedOn w:val="TableNormal"/>
    <w:uiPriority w:val="99"/>
    <w:rsid w:val="00BF78C3"/>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MSDTableGrid15">
    <w:name w:val="MSD Table Grid15"/>
    <w:basedOn w:val="TableNormal"/>
    <w:next w:val="TableGrid"/>
    <w:uiPriority w:val="59"/>
    <w:rsid w:val="00D7609F"/>
    <w:pPr>
      <w:spacing w:after="120" w:line="360" w:lineRule="auto"/>
      <w:ind w:right="57"/>
    </w:pPr>
    <w:rPr>
      <w:rFonts w:ascii="Arial" w:hAnsi="Arial"/>
      <w:sz w:val="20"/>
      <w:szCs w:val="20"/>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ExecSummTable14">
    <w:name w:val="Exec Summ Table14"/>
    <w:basedOn w:val="TableNormal"/>
    <w:uiPriority w:val="99"/>
    <w:rsid w:val="0028538F"/>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paragraph" w:customStyle="1" w:styleId="PBACHeading1">
    <w:name w:val="PBAC Heading 1"/>
    <w:qFormat/>
    <w:rsid w:val="00E12DA7"/>
    <w:pPr>
      <w:spacing w:after="0" w:line="240" w:lineRule="auto"/>
      <w:ind w:left="720" w:hanging="720"/>
      <w:outlineLvl w:val="0"/>
    </w:pPr>
    <w:rPr>
      <w:rFonts w:ascii="Calibri" w:eastAsia="Times New Roman" w:hAnsi="Calibri" w:cs="Calibri"/>
      <w:b/>
      <w:snapToGrid w:val="0"/>
      <w:sz w:val="32"/>
      <w:szCs w:val="32"/>
    </w:rPr>
  </w:style>
  <w:style w:type="paragraph" w:styleId="Subtitle">
    <w:name w:val="Subtitle"/>
    <w:basedOn w:val="Normal"/>
    <w:link w:val="SubtitleChar"/>
    <w:qFormat/>
    <w:rsid w:val="00CB2F1F"/>
    <w:pPr>
      <w:spacing w:before="0" w:after="0"/>
    </w:pPr>
    <w:rPr>
      <w:rFonts w:ascii="Times New Roman" w:eastAsia="Times New Roman" w:hAnsi="Times New Roman" w:cs="Times New Roman"/>
      <w:b/>
      <w:szCs w:val="20"/>
      <w:lang w:eastAsia="en-AU"/>
    </w:rPr>
  </w:style>
  <w:style w:type="character" w:customStyle="1" w:styleId="SubtitleChar">
    <w:name w:val="Subtitle Char"/>
    <w:basedOn w:val="DefaultParagraphFont"/>
    <w:link w:val="Subtitle"/>
    <w:rsid w:val="00CB2F1F"/>
    <w:rPr>
      <w:rFonts w:ascii="Times New Roman" w:eastAsia="Times New Roman" w:hAnsi="Times New Roman" w:cs="Times New Roman"/>
      <w:b/>
      <w:sz w:val="24"/>
      <w:szCs w:val="20"/>
      <w:lang w:eastAsia="en-AU"/>
    </w:rPr>
  </w:style>
  <w:style w:type="numbering" w:customStyle="1" w:styleId="NoList1">
    <w:name w:val="No List1"/>
    <w:next w:val="NoList"/>
    <w:uiPriority w:val="99"/>
    <w:semiHidden/>
    <w:unhideWhenUsed/>
    <w:rsid w:val="00250FA5"/>
  </w:style>
  <w:style w:type="paragraph" w:customStyle="1" w:styleId="Table">
    <w:name w:val="Table"/>
    <w:basedOn w:val="Normal"/>
    <w:link w:val="TableChar"/>
    <w:qFormat/>
    <w:rsid w:val="00250FA5"/>
    <w:pPr>
      <w:spacing w:before="0" w:after="0"/>
      <w:jc w:val="left"/>
    </w:pPr>
    <w:rPr>
      <w:rFonts w:ascii="Candara" w:eastAsia="Times New Roman" w:hAnsi="Candara" w:cs="Times New Roman"/>
      <w:sz w:val="20"/>
      <w:lang w:bidi="en-US"/>
    </w:rPr>
  </w:style>
  <w:style w:type="character" w:customStyle="1" w:styleId="TableChar">
    <w:name w:val="Table Char"/>
    <w:basedOn w:val="DefaultParagraphFont"/>
    <w:link w:val="Table"/>
    <w:locked/>
    <w:rsid w:val="00250FA5"/>
    <w:rPr>
      <w:rFonts w:ascii="Candara" w:eastAsia="Times New Roman" w:hAnsi="Candara" w:cs="Times New Roman"/>
      <w:sz w:val="20"/>
      <w:lang w:bidi="en-US"/>
    </w:rPr>
  </w:style>
  <w:style w:type="paragraph" w:customStyle="1" w:styleId="TableCentre">
    <w:name w:val="Table Centre"/>
    <w:basedOn w:val="Table"/>
    <w:uiPriority w:val="99"/>
    <w:qFormat/>
    <w:rsid w:val="00250FA5"/>
    <w:pPr>
      <w:jc w:val="center"/>
    </w:pPr>
  </w:style>
  <w:style w:type="table" w:customStyle="1" w:styleId="TableGridbeth1">
    <w:name w:val="Table Gridbeth1"/>
    <w:basedOn w:val="TableNormal"/>
    <w:next w:val="TableGrid"/>
    <w:uiPriority w:val="59"/>
    <w:rsid w:val="00250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Normal"/>
    <w:link w:val="TabletextboldChar"/>
    <w:rsid w:val="00250FA5"/>
    <w:pPr>
      <w:keepNext/>
      <w:spacing w:before="0" w:after="0"/>
      <w:jc w:val="center"/>
    </w:pPr>
    <w:rPr>
      <w:rFonts w:ascii="Arial Narrow" w:eastAsia="Times New Roman" w:hAnsi="Arial Narrow" w:cs="Arial"/>
      <w:b/>
      <w:sz w:val="20"/>
      <w:szCs w:val="20"/>
    </w:rPr>
  </w:style>
  <w:style w:type="character" w:customStyle="1" w:styleId="TabletextboldChar">
    <w:name w:val="Table text bold Char"/>
    <w:basedOn w:val="DefaultParagraphFont"/>
    <w:link w:val="Tabletextbold"/>
    <w:rsid w:val="00250FA5"/>
    <w:rPr>
      <w:rFonts w:ascii="Arial Narrow" w:eastAsia="Times New Roman" w:hAnsi="Arial Narrow" w:cs="Arial"/>
      <w:b/>
      <w:sz w:val="20"/>
      <w:szCs w:val="20"/>
    </w:rPr>
  </w:style>
  <w:style w:type="character" w:customStyle="1" w:styleId="ESHeading2Char">
    <w:name w:val="ES Heading 2 Char"/>
    <w:basedOn w:val="Heading2Char"/>
    <w:link w:val="ESHeading2"/>
    <w:rsid w:val="00250FA5"/>
    <w:rPr>
      <w:rFonts w:asciiTheme="majorHAnsi" w:eastAsiaTheme="majorEastAsia" w:hAnsiTheme="majorHAnsi" w:cstheme="majorBidi"/>
      <w:b/>
      <w:i/>
      <w:snapToGrid w:val="0"/>
      <w:sz w:val="28"/>
      <w:szCs w:val="28"/>
    </w:rPr>
  </w:style>
  <w:style w:type="table" w:customStyle="1" w:styleId="Submissiontemplate2">
    <w:name w:val="Submission template2"/>
    <w:basedOn w:val="TableNormal"/>
    <w:uiPriority w:val="99"/>
    <w:rsid w:val="00250FA5"/>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textboldleft">
    <w:name w:val="Table text bold left"/>
    <w:basedOn w:val="Tabletextbold"/>
    <w:link w:val="TabletextboldleftChar"/>
    <w:qFormat/>
    <w:rsid w:val="00250FA5"/>
    <w:pPr>
      <w:jc w:val="left"/>
    </w:pPr>
  </w:style>
  <w:style w:type="character" w:customStyle="1" w:styleId="TabletextboldleftChar">
    <w:name w:val="Table text bold left Char"/>
    <w:basedOn w:val="TabletextboldChar"/>
    <w:link w:val="Tabletextboldleft"/>
    <w:rsid w:val="00250FA5"/>
    <w:rPr>
      <w:rFonts w:ascii="Arial Narrow" w:eastAsia="Times New Roman" w:hAnsi="Arial Narrow" w:cs="Arial"/>
      <w:b/>
      <w:sz w:val="20"/>
      <w:szCs w:val="20"/>
    </w:rPr>
  </w:style>
  <w:style w:type="table" w:customStyle="1" w:styleId="Submissiontemplate7">
    <w:name w:val="Submission template7"/>
    <w:basedOn w:val="TableNormal"/>
    <w:uiPriority w:val="99"/>
    <w:rsid w:val="00250FA5"/>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caption">
    <w:name w:val="Table caption"/>
    <w:basedOn w:val="Normal"/>
    <w:link w:val="TablecaptionChar"/>
    <w:qFormat/>
    <w:rsid w:val="00250FA5"/>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250FA5"/>
    <w:rPr>
      <w:rFonts w:ascii="Arial Narrow" w:eastAsia="Times New Roman" w:hAnsi="Arial Narrow" w:cs="Arial"/>
      <w:sz w:val="20"/>
      <w:szCs w:val="20"/>
    </w:rPr>
  </w:style>
  <w:style w:type="paragraph" w:customStyle="1" w:styleId="Tabletextcentred">
    <w:name w:val="Table text centred"/>
    <w:basedOn w:val="Tabletext0"/>
    <w:link w:val="TabletextcentredChar"/>
    <w:qFormat/>
    <w:rsid w:val="00250FA5"/>
    <w:pPr>
      <w:spacing w:before="40" w:after="40"/>
      <w:jc w:val="center"/>
    </w:pPr>
    <w:rPr>
      <w:szCs w:val="24"/>
    </w:rPr>
  </w:style>
  <w:style w:type="character" w:customStyle="1" w:styleId="TabletextcentredChar">
    <w:name w:val="Table text centred Char"/>
    <w:basedOn w:val="TabletextChar0"/>
    <w:link w:val="Tabletextcentred"/>
    <w:rsid w:val="00250FA5"/>
    <w:rPr>
      <w:rFonts w:ascii="Arial Narrow" w:eastAsia="Times New Roman" w:hAnsi="Arial Narrow" w:cs="Times New Roman"/>
      <w:sz w:val="20"/>
      <w:szCs w:val="24"/>
    </w:rPr>
  </w:style>
  <w:style w:type="character" w:customStyle="1" w:styleId="TableBold">
    <w:name w:val="Table Bold"/>
    <w:uiPriority w:val="4"/>
    <w:qFormat/>
    <w:rsid w:val="00250FA5"/>
    <w:rPr>
      <w:rFonts w:ascii="Calibri" w:hAnsi="Calibri" w:hint="default"/>
      <w:b/>
      <w:bCs w:val="0"/>
      <w:sz w:val="20"/>
      <w:lang w:val="en-AU"/>
    </w:rPr>
  </w:style>
  <w:style w:type="table" w:customStyle="1" w:styleId="TableGrid12">
    <w:name w:val="Table Grid12"/>
    <w:basedOn w:val="TableNormal"/>
    <w:next w:val="TableGrid"/>
    <w:uiPriority w:val="59"/>
    <w:rsid w:val="00250FA5"/>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tyle2Char">
    <w:name w:val="Style2 Char"/>
    <w:basedOn w:val="DefaultParagraphFont"/>
    <w:rsid w:val="00250FA5"/>
    <w:rPr>
      <w:rFonts w:ascii="Arial" w:eastAsia="Times New Roman" w:hAnsi="Arial" w:cs="Arial"/>
      <w:color w:val="3366FF"/>
      <w:szCs w:val="24"/>
      <w:lang w:eastAsia="en-AU"/>
    </w:rPr>
  </w:style>
  <w:style w:type="paragraph" w:customStyle="1" w:styleId="NormalBulletList">
    <w:name w:val="Normal Bullet List"/>
    <w:basedOn w:val="Normal"/>
    <w:uiPriority w:val="3"/>
    <w:qFormat/>
    <w:rsid w:val="00250FA5"/>
    <w:pPr>
      <w:numPr>
        <w:numId w:val="71"/>
      </w:numPr>
      <w:spacing w:before="0" w:after="240" w:line="276" w:lineRule="auto"/>
      <w:ind w:left="717"/>
      <w:contextualSpacing/>
    </w:pPr>
    <w:rPr>
      <w:rFonts w:ascii="Candara" w:eastAsia="Times New Roman" w:hAnsi="Candara" w:cs="Times New Roman"/>
      <w:lang w:bidi="en-US"/>
    </w:rPr>
  </w:style>
  <w:style w:type="paragraph" w:styleId="EndnoteText">
    <w:name w:val="endnote text"/>
    <w:basedOn w:val="Normal"/>
    <w:link w:val="EndnoteTextChar"/>
    <w:rsid w:val="00250FA5"/>
    <w:pPr>
      <w:widowControl w:val="0"/>
      <w:spacing w:before="0" w:after="0"/>
      <w:jc w:val="left"/>
    </w:pPr>
    <w:rPr>
      <w:rFonts w:ascii="Times New Roman" w:eastAsia="Times New Roman" w:hAnsi="Times New Roman" w:cs="Times New Roman"/>
      <w:snapToGrid w:val="0"/>
      <w:sz w:val="20"/>
      <w:szCs w:val="20"/>
      <w:lang w:val="en-US"/>
    </w:rPr>
  </w:style>
  <w:style w:type="character" w:customStyle="1" w:styleId="EndnoteTextChar">
    <w:name w:val="Endnote Text Char"/>
    <w:basedOn w:val="DefaultParagraphFont"/>
    <w:link w:val="EndnoteText"/>
    <w:rsid w:val="00250FA5"/>
    <w:rPr>
      <w:rFonts w:ascii="Times New Roman" w:eastAsia="Times New Roman" w:hAnsi="Times New Roman" w:cs="Times New Roman"/>
      <w:snapToGrid w:val="0"/>
      <w:sz w:val="20"/>
      <w:szCs w:val="20"/>
      <w:lang w:val="en-US"/>
    </w:rPr>
  </w:style>
  <w:style w:type="character" w:styleId="EndnoteReference">
    <w:name w:val="endnote reference"/>
    <w:basedOn w:val="DefaultParagraphFont"/>
    <w:rsid w:val="00250FA5"/>
    <w:rPr>
      <w:vertAlign w:val="superscript"/>
    </w:rPr>
  </w:style>
  <w:style w:type="character" w:customStyle="1" w:styleId="SmallBold">
    <w:name w:val="Small Bold"/>
    <w:basedOn w:val="DefaultParagraphFont"/>
    <w:uiPriority w:val="4"/>
    <w:qFormat/>
    <w:rsid w:val="00250FA5"/>
    <w:rPr>
      <w:rFonts w:ascii="Candara" w:hAnsi="Candara"/>
      <w:b/>
      <w:sz w:val="20"/>
      <w:lang w:val="en-AU"/>
    </w:rPr>
  </w:style>
  <w:style w:type="table" w:customStyle="1" w:styleId="Submissiontemplate">
    <w:name w:val="Submission template"/>
    <w:basedOn w:val="TableNormal"/>
    <w:uiPriority w:val="99"/>
    <w:rsid w:val="00250FA5"/>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Heading0">
    <w:name w:val="TableHeading"/>
    <w:basedOn w:val="Normal"/>
    <w:link w:val="TableHeadingChar"/>
    <w:qFormat/>
    <w:rsid w:val="00250FA5"/>
    <w:pPr>
      <w:keepNext/>
      <w:spacing w:before="40" w:after="40"/>
      <w:ind w:left="1134" w:hanging="1134"/>
    </w:pPr>
    <w:rPr>
      <w:rFonts w:ascii="Arial Narrow" w:eastAsia="Times New Roman" w:hAnsi="Arial Narrow" w:cs="Tahoma"/>
      <w:b/>
      <w:noProof/>
      <w:sz w:val="20"/>
      <w:szCs w:val="20"/>
      <w:lang w:eastAsia="en-AU"/>
    </w:rPr>
  </w:style>
  <w:style w:type="character" w:customStyle="1" w:styleId="TableHeadingChar">
    <w:name w:val="TableHeading Char"/>
    <w:link w:val="TableHeading0"/>
    <w:rsid w:val="00250FA5"/>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250FA5"/>
    <w:pPr>
      <w:widowControl w:val="0"/>
      <w:spacing w:before="60" w:after="120"/>
      <w:contextualSpacing/>
      <w:jc w:val="left"/>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50FA5"/>
    <w:rPr>
      <w:rFonts w:ascii="Arial Narrow" w:eastAsia="Times New Roman" w:hAnsi="Arial Narrow" w:cs="Arial"/>
      <w:snapToGrid w:val="0"/>
      <w:sz w:val="18"/>
      <w:szCs w:val="20"/>
    </w:rPr>
  </w:style>
  <w:style w:type="table" w:customStyle="1" w:styleId="TableGrid2">
    <w:name w:val="Table Grid2"/>
    <w:basedOn w:val="TableNormal"/>
    <w:next w:val="TableGrid"/>
    <w:rsid w:val="00250FA5"/>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val="0"/>
        <w:sz w:val="20"/>
      </w:rPr>
    </w:tblStylePr>
  </w:style>
  <w:style w:type="paragraph" w:customStyle="1" w:styleId="Tablenotes1">
    <w:name w:val="Tablenotes 1"/>
    <w:basedOn w:val="Normal"/>
    <w:link w:val="Tablenotes1Char"/>
    <w:qFormat/>
    <w:rsid w:val="00250FA5"/>
    <w:pPr>
      <w:widowControl w:val="0"/>
      <w:spacing w:before="0" w:after="240"/>
      <w:contextualSpacing/>
      <w:jc w:val="left"/>
    </w:pPr>
    <w:rPr>
      <w:rFonts w:ascii="Arial Narrow" w:eastAsia="Times New Roman" w:hAnsi="Arial Narrow" w:cs="Arial"/>
      <w:snapToGrid w:val="0"/>
      <w:sz w:val="18"/>
      <w:szCs w:val="20"/>
    </w:rPr>
  </w:style>
  <w:style w:type="character" w:customStyle="1" w:styleId="Tablenotes1Char">
    <w:name w:val="Tablenotes 1 Char"/>
    <w:basedOn w:val="DefaultParagraphFont"/>
    <w:link w:val="Tablenotes1"/>
    <w:rsid w:val="00250FA5"/>
    <w:rPr>
      <w:rFonts w:ascii="Arial Narrow" w:eastAsia="Times New Roman" w:hAnsi="Arial Narrow" w:cs="Arial"/>
      <w:snapToGrid w:val="0"/>
      <w:sz w:val="18"/>
      <w:szCs w:val="20"/>
    </w:rPr>
  </w:style>
  <w:style w:type="numbering" w:customStyle="1" w:styleId="Heading1a">
    <w:name w:val="Heading 1a"/>
    <w:basedOn w:val="NoList"/>
    <w:uiPriority w:val="99"/>
    <w:rsid w:val="00250FA5"/>
    <w:pPr>
      <w:numPr>
        <w:numId w:val="75"/>
      </w:numPr>
    </w:pPr>
  </w:style>
  <w:style w:type="paragraph" w:customStyle="1" w:styleId="Tabletext-left">
    <w:name w:val="Table text - left"/>
    <w:basedOn w:val="Normal"/>
    <w:link w:val="Tabletext-leftChar"/>
    <w:rsid w:val="00250FA5"/>
    <w:pPr>
      <w:keepNext/>
      <w:tabs>
        <w:tab w:val="left" w:pos="2835"/>
      </w:tabs>
      <w:spacing w:after="120" w:line="312" w:lineRule="auto"/>
    </w:pPr>
    <w:rPr>
      <w:rFonts w:eastAsia="Times New Roman" w:cs="Arial"/>
      <w:sz w:val="20"/>
      <w:szCs w:val="20"/>
    </w:rPr>
  </w:style>
  <w:style w:type="character" w:customStyle="1" w:styleId="Tabletext-leftChar">
    <w:name w:val="Table text - left Char"/>
    <w:basedOn w:val="DefaultParagraphFont"/>
    <w:link w:val="Tabletext-left"/>
    <w:rsid w:val="00250FA5"/>
    <w:rPr>
      <w:rFonts w:eastAsia="Times New Roman" w:cs="Arial"/>
      <w:sz w:val="20"/>
      <w:szCs w:val="20"/>
    </w:rPr>
  </w:style>
  <w:style w:type="table" w:customStyle="1" w:styleId="TableGrid9">
    <w:name w:val="Table Grid9"/>
    <w:basedOn w:val="TableNormal"/>
    <w:next w:val="TableGrid"/>
    <w:uiPriority w:val="39"/>
    <w:rsid w:val="00250F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1">
    <w:name w:val="PBAC table1"/>
    <w:basedOn w:val="TableNormal"/>
    <w:next w:val="TableGrid"/>
    <w:uiPriority w:val="39"/>
    <w:rsid w:val="00250FA5"/>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2">
    <w:name w:val="PBAC table2"/>
    <w:basedOn w:val="TableNormal"/>
    <w:next w:val="TableGrid"/>
    <w:uiPriority w:val="39"/>
    <w:rsid w:val="00250FA5"/>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UnresolvedMention2">
    <w:name w:val="Unresolved Mention2"/>
    <w:basedOn w:val="DefaultParagraphFont"/>
    <w:uiPriority w:val="99"/>
    <w:semiHidden/>
    <w:unhideWhenUsed/>
    <w:rsid w:val="00250FA5"/>
    <w:rPr>
      <w:color w:val="605E5C"/>
      <w:shd w:val="clear" w:color="auto" w:fill="E1DFDD"/>
    </w:rPr>
  </w:style>
  <w:style w:type="table" w:customStyle="1" w:styleId="PBACtable3">
    <w:name w:val="PBAC table3"/>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4">
    <w:name w:val="PBAC table4"/>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5">
    <w:name w:val="PBAC table5"/>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6">
    <w:name w:val="PBAC table6"/>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7">
    <w:name w:val="PBAC table7"/>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ASDTable11">
    <w:name w:val="ASD Table11"/>
    <w:basedOn w:val="TableNormal"/>
    <w:uiPriority w:val="59"/>
    <w:rsid w:val="00250FA5"/>
    <w:pPr>
      <w:spacing w:after="120" w:line="360" w:lineRule="auto"/>
      <w:ind w:right="57"/>
    </w:pPr>
    <w:rPr>
      <w:rFonts w:ascii="Arial" w:eastAsia="Calibri" w:hAnsi="Arial" w:cs="Arial"/>
      <w:sz w:val="20"/>
      <w:szCs w:val="20"/>
    </w:rPr>
    <w:tblPr>
      <w:tblInd w:w="0" w:type="nil"/>
      <w:tblBorders>
        <w:bottom w:val="single" w:sz="12" w:space="0" w:color="4472C4"/>
        <w:insideH w:val="single" w:sz="4" w:space="0" w:color="4472C4"/>
      </w:tblBorders>
      <w:tblCellMar>
        <w:left w:w="57" w:type="dxa"/>
        <w:right w:w="57" w:type="dxa"/>
      </w:tblCellMar>
    </w:tblPr>
    <w:tblStylePr w:type="firstRow">
      <w:pPr>
        <w:wordWrap/>
        <w:spacing w:line="276" w:lineRule="auto"/>
      </w:pPr>
      <w:rPr>
        <w:b/>
      </w:rPr>
      <w:tblPr/>
      <w:tcPr>
        <w:tcBorders>
          <w:top w:val="single" w:sz="12" w:space="0" w:color="4472C4"/>
          <w:left w:val="nil"/>
          <w:bottom w:val="single" w:sz="12" w:space="0" w:color="4472C4"/>
          <w:right w:val="nil"/>
          <w:insideH w:val="nil"/>
          <w:insideV w:val="nil"/>
          <w:tl2br w:val="nil"/>
          <w:tr2bl w:val="nil"/>
        </w:tcBorders>
      </w:tcPr>
    </w:tblStylePr>
    <w:tblStylePr w:type="lastRow">
      <w:tblPr/>
      <w:tcPr>
        <w:tcBorders>
          <w:top w:val="nil"/>
          <w:left w:val="nil"/>
          <w:bottom w:val="single" w:sz="12" w:space="0" w:color="4472C4"/>
          <w:right w:val="nil"/>
          <w:insideH w:val="nil"/>
          <w:insideV w:val="nil"/>
          <w:tl2br w:val="nil"/>
          <w:tr2bl w:val="nil"/>
        </w:tcBorders>
      </w:tcPr>
    </w:tblStylePr>
    <w:tblStylePr w:type="firstCol">
      <w:rPr>
        <w:b/>
      </w:rPr>
    </w:tblStylePr>
  </w:style>
  <w:style w:type="table" w:customStyle="1" w:styleId="PBACtable8">
    <w:name w:val="PBAC table8"/>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ExecSummTable151">
    <w:name w:val="Exec Summ Table151"/>
    <w:basedOn w:val="TableNormal"/>
    <w:uiPriority w:val="99"/>
    <w:rsid w:val="00250FA5"/>
    <w:pPr>
      <w:spacing w:after="80" w:line="360" w:lineRule="auto"/>
      <w:ind w:left="57" w:right="57"/>
    </w:pPr>
    <w:rPr>
      <w:rFonts w:ascii="Arial" w:eastAsia="Calibri" w:hAnsi="Arial" w:cs="Arial"/>
      <w:sz w:val="18"/>
      <w:szCs w:val="20"/>
      <w:lang w:val="en-NZ" w:bidi="th-TH"/>
    </w:rPr>
    <w:tblPr>
      <w:tblStyleRowBandSize w:val="1"/>
      <w:tblInd w:w="0" w:type="nil"/>
      <w:tblBorders>
        <w:top w:val="single" w:sz="12" w:space="0" w:color="4472C4"/>
      </w:tblBorders>
      <w:tblCellMar>
        <w:left w:w="57" w:type="dxa"/>
        <w:right w:w="57" w:type="dxa"/>
      </w:tblCellMar>
    </w:tblPr>
    <w:tblStylePr w:type="firstRow">
      <w:pPr>
        <w:wordWrap/>
        <w:spacing w:line="276" w:lineRule="auto"/>
      </w:pPr>
      <w:rPr>
        <w:b/>
      </w:rPr>
      <w:tblPr/>
      <w:tcPr>
        <w:tcBorders>
          <w:top w:val="single" w:sz="12" w:space="0" w:color="4472C4"/>
          <w:left w:val="nil"/>
          <w:bottom w:val="single" w:sz="12" w:space="0" w:color="4472C4"/>
          <w:right w:val="nil"/>
          <w:insideH w:val="nil"/>
          <w:insideV w:val="nil"/>
          <w:tl2br w:val="nil"/>
          <w:tr2bl w:val="nil"/>
        </w:tcBorders>
      </w:tcPr>
    </w:tblStylePr>
    <w:tblStylePr w:type="lastRow">
      <w:rPr>
        <w:b/>
      </w:rPr>
      <w:tblPr/>
      <w:tcPr>
        <w:tcBorders>
          <w:top w:val="single" w:sz="12" w:space="0" w:color="4472C4"/>
          <w:left w:val="nil"/>
          <w:bottom w:val="single" w:sz="12" w:space="0" w:color="4472C4"/>
          <w:right w:val="nil"/>
          <w:insideH w:val="nil"/>
          <w:insideV w:val="nil"/>
          <w:tl2br w:val="nil"/>
          <w:tr2bl w:val="nil"/>
        </w:tcBorders>
      </w:tcPr>
    </w:tblStylePr>
    <w:tblStylePr w:type="firstCol">
      <w:rPr>
        <w:b/>
      </w:rPr>
    </w:tblStylePr>
    <w:tblStylePr w:type="lastCol">
      <w:rPr>
        <w:b/>
      </w:rPr>
    </w:tblStylePr>
  </w:style>
  <w:style w:type="table" w:customStyle="1" w:styleId="PBACtable9">
    <w:name w:val="PBAC table9"/>
    <w:basedOn w:val="TableNormal"/>
    <w:next w:val="TableGrid"/>
    <w:uiPriority w:val="39"/>
    <w:rsid w:val="00250FA5"/>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10">
    <w:name w:val="Table Grid1"/>
    <w:basedOn w:val="TableNormal"/>
    <w:next w:val="TableGrid"/>
    <w:uiPriority w:val="39"/>
    <w:rsid w:val="008D0AD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rsid w:val="003474FB"/>
    <w:pPr>
      <w:keepNext/>
      <w:spacing w:before="60" w:after="60"/>
      <w:jc w:val="left"/>
    </w:pPr>
    <w:rPr>
      <w:rFonts w:ascii="Times New Roman" w:eastAsia="Times New Roman" w:hAnsi="Times New Roman" w:cs="Times New Roman"/>
      <w:color w:val="000000"/>
      <w:sz w:val="21"/>
      <w:szCs w:val="21"/>
      <w:lang w:eastAsia="en-AU"/>
    </w:rPr>
  </w:style>
  <w:style w:type="paragraph" w:customStyle="1" w:styleId="BoxText">
    <w:name w:val="BoxText"/>
    <w:basedOn w:val="Normal"/>
    <w:qFormat/>
    <w:rsid w:val="003474FB"/>
    <w:pPr>
      <w:pBdr>
        <w:top w:val="single" w:sz="4" w:space="4" w:color="000000"/>
        <w:left w:val="single" w:sz="4" w:space="4" w:color="000000"/>
        <w:bottom w:val="single" w:sz="4" w:space="4" w:color="000000"/>
        <w:right w:val="single" w:sz="4" w:space="4" w:color="000000"/>
      </w:pBdr>
      <w:spacing w:before="0" w:after="120"/>
      <w:jc w:val="left"/>
    </w:pPr>
    <w:rPr>
      <w:rFonts w:ascii="Times New Roman" w:eastAsia="Times New Roman" w:hAnsi="Times New Roman" w:cs="Times New Roman"/>
      <w:color w:val="000000"/>
      <w:szCs w:val="20"/>
      <w:lang w:eastAsia="en-AU"/>
    </w:rPr>
  </w:style>
  <w:style w:type="table" w:customStyle="1" w:styleId="TableGrid3">
    <w:name w:val="Table Grid3"/>
    <w:basedOn w:val="TableNormal"/>
    <w:next w:val="TableGrid"/>
    <w:uiPriority w:val="39"/>
    <w:rsid w:val="005C34E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igureFooterChar">
    <w:name w:val="Table/Figure Footer Char"/>
    <w:link w:val="TableFigureFooter"/>
    <w:locked/>
    <w:rsid w:val="00D37411"/>
    <w:rPr>
      <w:rFonts w:ascii="Arial Narrow" w:eastAsia="Times New Roman" w:hAnsi="Arial Narrow" w:cs="Arial"/>
      <w:sz w:val="18"/>
      <w:lang w:eastAsia="en-AU"/>
    </w:rPr>
  </w:style>
  <w:style w:type="paragraph" w:customStyle="1" w:styleId="TableFigureFooter">
    <w:name w:val="Table/Figure Footer"/>
    <w:basedOn w:val="Normal"/>
    <w:link w:val="TableFigureFooterChar"/>
    <w:qFormat/>
    <w:rsid w:val="00D37411"/>
    <w:pPr>
      <w:snapToGrid w:val="0"/>
      <w:spacing w:before="0" w:after="120"/>
      <w:contextualSpacing/>
    </w:pPr>
    <w:rPr>
      <w:rFonts w:ascii="Arial Narrow" w:eastAsia="Times New Roman" w:hAnsi="Arial Narrow" w:cs="Arial"/>
      <w:sz w:val="18"/>
      <w:lang w:eastAsia="en-AU"/>
    </w:rPr>
  </w:style>
  <w:style w:type="character" w:styleId="UnresolvedMention">
    <w:name w:val="Unresolved Mention"/>
    <w:basedOn w:val="DefaultParagraphFont"/>
    <w:uiPriority w:val="99"/>
    <w:semiHidden/>
    <w:unhideWhenUsed/>
    <w:rsid w:val="00310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88626238">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4000299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98320893">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3706179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295836796">
      <w:bodyDiv w:val="1"/>
      <w:marLeft w:val="0"/>
      <w:marRight w:val="0"/>
      <w:marTop w:val="0"/>
      <w:marBottom w:val="0"/>
      <w:divBdr>
        <w:top w:val="none" w:sz="0" w:space="0" w:color="auto"/>
        <w:left w:val="none" w:sz="0" w:space="0" w:color="auto"/>
        <w:bottom w:val="none" w:sz="0" w:space="0" w:color="auto"/>
        <w:right w:val="none" w:sz="0" w:space="0" w:color="auto"/>
      </w:divBdr>
    </w:div>
    <w:div w:id="314334326">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3451981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95804793">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2758">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99819136">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5492">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20388139">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52842277">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18708210">
      <w:bodyDiv w:val="1"/>
      <w:marLeft w:val="0"/>
      <w:marRight w:val="0"/>
      <w:marTop w:val="0"/>
      <w:marBottom w:val="0"/>
      <w:divBdr>
        <w:top w:val="none" w:sz="0" w:space="0" w:color="auto"/>
        <w:left w:val="none" w:sz="0" w:space="0" w:color="auto"/>
        <w:bottom w:val="none" w:sz="0" w:space="0" w:color="auto"/>
        <w:right w:val="none" w:sz="0" w:space="0" w:color="auto"/>
      </w:divBdr>
    </w:div>
    <w:div w:id="950748992">
      <w:bodyDiv w:val="1"/>
      <w:marLeft w:val="0"/>
      <w:marRight w:val="0"/>
      <w:marTop w:val="0"/>
      <w:marBottom w:val="0"/>
      <w:divBdr>
        <w:top w:val="none" w:sz="0" w:space="0" w:color="auto"/>
        <w:left w:val="none" w:sz="0" w:space="0" w:color="auto"/>
        <w:bottom w:val="none" w:sz="0" w:space="0" w:color="auto"/>
        <w:right w:val="none" w:sz="0" w:space="0" w:color="auto"/>
      </w:divBdr>
    </w:div>
    <w:div w:id="953443954">
      <w:bodyDiv w:val="1"/>
      <w:marLeft w:val="0"/>
      <w:marRight w:val="0"/>
      <w:marTop w:val="0"/>
      <w:marBottom w:val="0"/>
      <w:divBdr>
        <w:top w:val="none" w:sz="0" w:space="0" w:color="auto"/>
        <w:left w:val="none" w:sz="0" w:space="0" w:color="auto"/>
        <w:bottom w:val="none" w:sz="0" w:space="0" w:color="auto"/>
        <w:right w:val="none" w:sz="0" w:space="0" w:color="auto"/>
      </w:divBdr>
    </w:div>
    <w:div w:id="958994669">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4674">
      <w:bodyDiv w:val="1"/>
      <w:marLeft w:val="0"/>
      <w:marRight w:val="0"/>
      <w:marTop w:val="0"/>
      <w:marBottom w:val="0"/>
      <w:divBdr>
        <w:top w:val="none" w:sz="0" w:space="0" w:color="auto"/>
        <w:left w:val="none" w:sz="0" w:space="0" w:color="auto"/>
        <w:bottom w:val="none" w:sz="0" w:space="0" w:color="auto"/>
        <w:right w:val="none" w:sz="0" w:space="0" w:color="auto"/>
      </w:divBdr>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220">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41574286">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487937943">
      <w:bodyDiv w:val="1"/>
      <w:marLeft w:val="0"/>
      <w:marRight w:val="0"/>
      <w:marTop w:val="0"/>
      <w:marBottom w:val="0"/>
      <w:divBdr>
        <w:top w:val="none" w:sz="0" w:space="0" w:color="auto"/>
        <w:left w:val="none" w:sz="0" w:space="0" w:color="auto"/>
        <w:bottom w:val="none" w:sz="0" w:space="0" w:color="auto"/>
        <w:right w:val="none" w:sz="0" w:space="0" w:color="auto"/>
      </w:divBdr>
    </w:div>
    <w:div w:id="1547109666">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82705072">
      <w:bodyDiv w:val="1"/>
      <w:marLeft w:val="0"/>
      <w:marRight w:val="0"/>
      <w:marTop w:val="0"/>
      <w:marBottom w:val="0"/>
      <w:divBdr>
        <w:top w:val="none" w:sz="0" w:space="0" w:color="auto"/>
        <w:left w:val="none" w:sz="0" w:space="0" w:color="auto"/>
        <w:bottom w:val="none" w:sz="0" w:space="0" w:color="auto"/>
        <w:right w:val="none" w:sz="0" w:space="0" w:color="auto"/>
      </w:divBdr>
    </w:div>
    <w:div w:id="1684168333">
      <w:bodyDiv w:val="1"/>
      <w:marLeft w:val="0"/>
      <w:marRight w:val="0"/>
      <w:marTop w:val="0"/>
      <w:marBottom w:val="0"/>
      <w:divBdr>
        <w:top w:val="none" w:sz="0" w:space="0" w:color="auto"/>
        <w:left w:val="none" w:sz="0" w:space="0" w:color="auto"/>
        <w:bottom w:val="none" w:sz="0" w:space="0" w:color="auto"/>
        <w:right w:val="none" w:sz="0" w:space="0" w:color="auto"/>
      </w:divBdr>
    </w:div>
    <w:div w:id="1685747360">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0157814">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15125199">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2096">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8622427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2048596">
      <w:bodyDiv w:val="1"/>
      <w:marLeft w:val="0"/>
      <w:marRight w:val="0"/>
      <w:marTop w:val="0"/>
      <w:marBottom w:val="0"/>
      <w:divBdr>
        <w:top w:val="none" w:sz="0" w:space="0" w:color="auto"/>
        <w:left w:val="none" w:sz="0" w:space="0" w:color="auto"/>
        <w:bottom w:val="none" w:sz="0" w:space="0" w:color="auto"/>
        <w:right w:val="none" w:sz="0" w:space="0" w:color="auto"/>
      </w:divBdr>
    </w:div>
    <w:div w:id="2139715810">
      <w:bodyDiv w:val="1"/>
      <w:marLeft w:val="0"/>
      <w:marRight w:val="0"/>
      <w:marTop w:val="0"/>
      <w:marBottom w:val="0"/>
      <w:divBdr>
        <w:top w:val="none" w:sz="0" w:space="0" w:color="auto"/>
        <w:left w:val="none" w:sz="0" w:space="0" w:color="auto"/>
        <w:bottom w:val="none" w:sz="0" w:space="0" w:color="auto"/>
        <w:right w:val="none" w:sz="0" w:space="0" w:color="auto"/>
      </w:divBdr>
    </w:div>
    <w:div w:id="21462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image" Target="media/image8.tmp"/><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tmp"/><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msa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89D7F161AAD715A8CA25823C007FAA24/$File/1522%20Ratified%20PICO.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msac.gov.au/internet/msac/publishing.nsf/Content/1522-public"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4.tmp"/><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3470-2668-4A14-B434-BC4C331F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15706</Words>
  <Characters>89529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2022-02-16T01:15:00Z</dcterms:created>
  <dcterms:modified xsi:type="dcterms:W3CDTF">2022-02-16T01:16:00Z</dcterms:modified>
</cp:coreProperties>
</file>