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AF397F" w14:textId="77777777" w:rsidR="0044715D" w:rsidRPr="00323092" w:rsidRDefault="0044715D" w:rsidP="0044715D">
      <w:pPr>
        <w:spacing w:before="120" w:after="120" w:line="312" w:lineRule="auto"/>
        <w:jc w:val="center"/>
      </w:pPr>
      <w:bookmarkStart w:id="0" w:name="_Toc403747457"/>
      <w:bookmarkStart w:id="1" w:name="_Toc412039297"/>
      <w:r w:rsidRPr="008D5584">
        <w:rPr>
          <w:b/>
          <w:noProof/>
          <w:lang w:eastAsia="en-AU"/>
        </w:rPr>
        <w:drawing>
          <wp:inline distT="0" distB="0" distL="0" distR="0" wp14:anchorId="08AF3A01" wp14:editId="08AF3A02">
            <wp:extent cx="1889760" cy="1226820"/>
            <wp:effectExtent l="0" t="0" r="0" b="0"/>
            <wp:docPr id="1" name="Picture 2"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08AF3980" w14:textId="77777777" w:rsidR="00303C94" w:rsidRPr="00FC3F3E" w:rsidRDefault="00303C94" w:rsidP="00F4622B">
      <w:pPr>
        <w:pStyle w:val="Heading10"/>
        <w:jc w:val="center"/>
        <w:rPr>
          <w:sz w:val="96"/>
          <w:szCs w:val="96"/>
        </w:rPr>
      </w:pPr>
    </w:p>
    <w:p w14:paraId="08AF3981" w14:textId="56177659" w:rsidR="0044715D" w:rsidRDefault="005F4D2F" w:rsidP="00A601AC">
      <w:pPr>
        <w:pStyle w:val="Heading10"/>
        <w:jc w:val="center"/>
        <w:rPr>
          <w:sz w:val="48"/>
          <w:szCs w:val="48"/>
        </w:rPr>
      </w:pPr>
      <w:r>
        <w:rPr>
          <w:sz w:val="48"/>
          <w:szCs w:val="48"/>
        </w:rPr>
        <w:t xml:space="preserve">Application </w:t>
      </w:r>
      <w:r w:rsidR="00D6560B">
        <w:rPr>
          <w:sz w:val="48"/>
          <w:szCs w:val="48"/>
        </w:rPr>
        <w:t>1510</w:t>
      </w:r>
      <w:r w:rsidR="00303C94">
        <w:rPr>
          <w:sz w:val="48"/>
          <w:szCs w:val="48"/>
        </w:rPr>
        <w:t>:</w:t>
      </w:r>
    </w:p>
    <w:p w14:paraId="08AF3983" w14:textId="02E7E247" w:rsidR="0044715D" w:rsidRPr="00FC3F3E" w:rsidRDefault="00D6560B" w:rsidP="00F4622B">
      <w:pPr>
        <w:pStyle w:val="Heading10"/>
        <w:tabs>
          <w:tab w:val="left" w:pos="5613"/>
        </w:tabs>
        <w:jc w:val="center"/>
        <w:rPr>
          <w:sz w:val="44"/>
          <w:szCs w:val="44"/>
        </w:rPr>
      </w:pPr>
      <w:r w:rsidRPr="00FC3F3E">
        <w:rPr>
          <w:color w:val="548DD4"/>
          <w:sz w:val="44"/>
          <w:szCs w:val="44"/>
        </w:rPr>
        <w:t xml:space="preserve">Emicizumab for routine prophylaxis to prevent bleeding or reduce the frequency of bleeding episodes in patients with </w:t>
      </w:r>
      <w:r w:rsidRPr="00FC3F3E">
        <w:rPr>
          <w:color w:val="548DD4"/>
          <w:sz w:val="44"/>
          <w:szCs w:val="44"/>
          <w:lang w:val="en-GB"/>
        </w:rPr>
        <w:t>Haemophilia</w:t>
      </w:r>
      <w:r w:rsidRPr="00FC3F3E">
        <w:rPr>
          <w:color w:val="548DD4"/>
          <w:sz w:val="44"/>
          <w:szCs w:val="44"/>
        </w:rPr>
        <w:t xml:space="preserve"> A (congenital Factor VIII deficiency) with </w:t>
      </w:r>
      <w:r w:rsidR="00DD3B9E">
        <w:rPr>
          <w:color w:val="548DD4"/>
          <w:sz w:val="44"/>
          <w:szCs w:val="44"/>
        </w:rPr>
        <w:t xml:space="preserve">or without </w:t>
      </w:r>
      <w:r w:rsidRPr="00FC3F3E">
        <w:rPr>
          <w:color w:val="548DD4"/>
          <w:sz w:val="44"/>
          <w:szCs w:val="44"/>
        </w:rPr>
        <w:t>Factor VIII inhi</w:t>
      </w:r>
      <w:bookmarkStart w:id="2" w:name="_GoBack"/>
      <w:bookmarkEnd w:id="2"/>
      <w:r w:rsidRPr="00FC3F3E">
        <w:rPr>
          <w:color w:val="548DD4"/>
          <w:sz w:val="44"/>
          <w:szCs w:val="44"/>
        </w:rPr>
        <w:t>bitors</w:t>
      </w:r>
    </w:p>
    <w:p w14:paraId="08AF3984" w14:textId="77777777" w:rsidR="00D46C89" w:rsidRDefault="00D46C89" w:rsidP="003D699E">
      <w:pPr>
        <w:pStyle w:val="Heading10"/>
        <w:jc w:val="center"/>
        <w:rPr>
          <w:sz w:val="72"/>
          <w:szCs w:val="72"/>
        </w:rPr>
      </w:pPr>
      <w:r>
        <w:rPr>
          <w:sz w:val="72"/>
          <w:szCs w:val="72"/>
        </w:rPr>
        <w:t>PICO Confirmation</w:t>
      </w:r>
    </w:p>
    <w:p w14:paraId="08AF3985" w14:textId="4058E306" w:rsidR="003D699E" w:rsidRDefault="003D699E" w:rsidP="00382875">
      <w:pPr>
        <w:spacing w:before="180"/>
        <w:jc w:val="center"/>
        <w:rPr>
          <w:rFonts w:ascii="Arial" w:hAnsi="Arial" w:cs="Arial"/>
          <w:b/>
          <w:sz w:val="32"/>
          <w:szCs w:val="32"/>
        </w:rPr>
      </w:pPr>
      <w:r w:rsidRPr="00606857">
        <w:rPr>
          <w:rFonts w:ascii="Arial" w:hAnsi="Arial" w:cs="Arial"/>
          <w:b/>
          <w:sz w:val="32"/>
          <w:szCs w:val="32"/>
        </w:rPr>
        <w:t>(</w:t>
      </w:r>
      <w:r w:rsidR="00142DF6">
        <w:rPr>
          <w:rFonts w:ascii="Arial" w:hAnsi="Arial" w:cs="Arial"/>
          <w:b/>
          <w:sz w:val="32"/>
          <w:szCs w:val="32"/>
        </w:rPr>
        <w:t>T</w:t>
      </w:r>
      <w:r w:rsidR="00382875">
        <w:rPr>
          <w:rFonts w:ascii="Arial" w:hAnsi="Arial" w:cs="Arial"/>
          <w:b/>
          <w:sz w:val="32"/>
          <w:szCs w:val="32"/>
        </w:rPr>
        <w:t>o guide a new application to MSAC</w:t>
      </w:r>
      <w:r w:rsidRPr="00606857">
        <w:rPr>
          <w:rFonts w:ascii="Arial" w:hAnsi="Arial" w:cs="Arial"/>
          <w:b/>
          <w:sz w:val="32"/>
          <w:szCs w:val="32"/>
        </w:rPr>
        <w:t>)</w:t>
      </w:r>
    </w:p>
    <w:p w14:paraId="08AF3986" w14:textId="77777777" w:rsidR="00EE7A1F" w:rsidRPr="00EE7A1F" w:rsidRDefault="00EE7A1F" w:rsidP="00EE7A1F">
      <w:pPr>
        <w:spacing w:before="180"/>
        <w:jc w:val="center"/>
        <w:rPr>
          <w:rFonts w:ascii="Arial" w:hAnsi="Arial" w:cs="Arial"/>
          <w:b/>
          <w:sz w:val="32"/>
          <w:szCs w:val="32"/>
        </w:rPr>
      </w:pPr>
      <w:r w:rsidRPr="00EE7A1F">
        <w:rPr>
          <w:rFonts w:ascii="Arial" w:hAnsi="Arial" w:cs="Arial"/>
          <w:b/>
          <w:sz w:val="32"/>
          <w:szCs w:val="32"/>
        </w:rPr>
        <w:t xml:space="preserve">(Version </w:t>
      </w:r>
      <w:r w:rsidR="005C7B58">
        <w:rPr>
          <w:rFonts w:ascii="Arial" w:hAnsi="Arial" w:cs="Arial"/>
          <w:b/>
          <w:sz w:val="32"/>
          <w:szCs w:val="32"/>
        </w:rPr>
        <w:t>1</w:t>
      </w:r>
      <w:r w:rsidRPr="00EE7A1F">
        <w:rPr>
          <w:rFonts w:ascii="Arial" w:hAnsi="Arial" w:cs="Arial"/>
          <w:b/>
          <w:sz w:val="32"/>
          <w:szCs w:val="32"/>
        </w:rPr>
        <w:t>.</w:t>
      </w:r>
      <w:r w:rsidR="005C7B58">
        <w:rPr>
          <w:rFonts w:ascii="Arial" w:hAnsi="Arial" w:cs="Arial"/>
          <w:b/>
          <w:sz w:val="32"/>
          <w:szCs w:val="32"/>
        </w:rPr>
        <w:t>0</w:t>
      </w:r>
      <w:r w:rsidRPr="00EE7A1F">
        <w:rPr>
          <w:rFonts w:ascii="Arial" w:hAnsi="Arial" w:cs="Arial"/>
          <w:b/>
          <w:sz w:val="32"/>
          <w:szCs w:val="32"/>
        </w:rPr>
        <w:t>)</w:t>
      </w:r>
    </w:p>
    <w:p w14:paraId="08AF3987" w14:textId="77777777" w:rsidR="00EE7A1F" w:rsidRPr="00606857" w:rsidRDefault="00EE7A1F" w:rsidP="00382875">
      <w:pPr>
        <w:spacing w:before="180"/>
        <w:jc w:val="center"/>
        <w:rPr>
          <w:rFonts w:ascii="Arial" w:hAnsi="Arial" w:cs="Arial"/>
          <w:b/>
          <w:sz w:val="32"/>
          <w:szCs w:val="32"/>
        </w:rPr>
      </w:pPr>
    </w:p>
    <w:p w14:paraId="3161C8BC" w14:textId="1F159F47" w:rsidR="007754FB" w:rsidRDefault="007754FB">
      <w:pPr>
        <w:rPr>
          <w:rStyle w:val="Heading1Char"/>
        </w:rPr>
      </w:pPr>
    </w:p>
    <w:p w14:paraId="3C9F47E0" w14:textId="77777777" w:rsidR="005E5B42" w:rsidRDefault="005E5B42" w:rsidP="00D80CD0">
      <w:pPr>
        <w:pStyle w:val="Heading1"/>
        <w:rPr>
          <w:rStyle w:val="Heading1Char"/>
          <w:b/>
          <w:bCs/>
        </w:rPr>
      </w:pPr>
      <w:r>
        <w:rPr>
          <w:rStyle w:val="Heading1Char"/>
          <w:b/>
          <w:bCs/>
        </w:rPr>
        <w:br w:type="page"/>
      </w:r>
    </w:p>
    <w:p w14:paraId="30DE952B" w14:textId="6BF1F70B" w:rsidR="00763498" w:rsidRPr="00D80CD0" w:rsidRDefault="00A76BA4" w:rsidP="00D80CD0">
      <w:pPr>
        <w:pStyle w:val="Heading1"/>
      </w:pPr>
      <w:r w:rsidRPr="00D80CD0">
        <w:rPr>
          <w:rStyle w:val="Heading1Char"/>
          <w:b/>
          <w:bCs/>
        </w:rPr>
        <w:lastRenderedPageBreak/>
        <w:t>Population one</w:t>
      </w:r>
    </w:p>
    <w:p w14:paraId="08AF39B3" w14:textId="44EA3D11" w:rsidR="0044715D" w:rsidRPr="004F47A0" w:rsidRDefault="0044715D" w:rsidP="00662A6B">
      <w:r w:rsidRPr="004F47A0">
        <w:t>Summary of PICO</w:t>
      </w:r>
      <w:r w:rsidR="00A84A56" w:rsidRPr="004F47A0">
        <w:t>/PPICO</w:t>
      </w:r>
      <w:r w:rsidRPr="004F47A0">
        <w:t xml:space="preserve"> criteria</w:t>
      </w:r>
      <w:bookmarkEnd w:id="0"/>
      <w:bookmarkEnd w:id="1"/>
      <w:r w:rsidR="00F12E59" w:rsidRPr="004F47A0">
        <w:t xml:space="preserve"> to define the question(s) to be addressed in an Assessment Report to the Medical Services Advisory Committee (MSAC</w:t>
      </w:r>
      <w:r w:rsidR="001E417C">
        <w:t>):</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58"/>
        <w:gridCol w:w="7384"/>
      </w:tblGrid>
      <w:tr w:rsidR="0044715D" w:rsidRPr="00662A6B" w14:paraId="08AF39B6" w14:textId="77777777" w:rsidTr="00A84A56">
        <w:trPr>
          <w:tblHeader/>
        </w:trPr>
        <w:tc>
          <w:tcPr>
            <w:tcW w:w="1005" w:type="pct"/>
            <w:tcBorders>
              <w:top w:val="single" w:sz="8" w:space="0" w:color="auto"/>
              <w:bottom w:val="single" w:sz="8" w:space="0" w:color="auto"/>
              <w:right w:val="single" w:sz="4" w:space="0" w:color="auto"/>
            </w:tcBorders>
            <w:shd w:val="clear" w:color="auto" w:fill="D9D9D9"/>
          </w:tcPr>
          <w:p w14:paraId="08AF39B4" w14:textId="77777777" w:rsidR="0044715D" w:rsidRPr="00662A6B" w:rsidRDefault="00A84A56" w:rsidP="004F47A0">
            <w:pPr>
              <w:rPr>
                <w:rFonts w:ascii="Arial Narrow" w:hAnsi="Arial Narrow"/>
              </w:rPr>
            </w:pPr>
            <w:r w:rsidRPr="00662A6B">
              <w:rPr>
                <w:rFonts w:ascii="Arial Narrow" w:hAnsi="Arial Narrow"/>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D9D9D9"/>
          </w:tcPr>
          <w:p w14:paraId="08AF39B5" w14:textId="77777777" w:rsidR="0044715D" w:rsidRPr="00662A6B" w:rsidRDefault="0044715D" w:rsidP="00023FF0">
            <w:pPr>
              <w:spacing w:before="60" w:after="60" w:line="240" w:lineRule="auto"/>
              <w:jc w:val="both"/>
              <w:rPr>
                <w:rFonts w:ascii="Arial Narrow" w:hAnsi="Arial Narrow"/>
                <w:b/>
              </w:rPr>
            </w:pPr>
            <w:r w:rsidRPr="00662A6B">
              <w:rPr>
                <w:rFonts w:ascii="Arial Narrow" w:hAnsi="Arial Narrow"/>
                <w:b/>
              </w:rPr>
              <w:t>Description</w:t>
            </w:r>
          </w:p>
        </w:tc>
      </w:tr>
      <w:tr w:rsidR="0044715D" w:rsidRPr="00662A6B" w14:paraId="08AF39B9" w14:textId="77777777" w:rsidTr="00A84A56">
        <w:tc>
          <w:tcPr>
            <w:tcW w:w="1005" w:type="pct"/>
            <w:tcBorders>
              <w:top w:val="single" w:sz="8" w:space="0" w:color="auto"/>
              <w:right w:val="single" w:sz="4" w:space="0" w:color="auto"/>
            </w:tcBorders>
          </w:tcPr>
          <w:p w14:paraId="08AF39B7" w14:textId="77777777" w:rsidR="0044715D" w:rsidRPr="00662A6B" w:rsidRDefault="0044715D" w:rsidP="004F47A0">
            <w:pPr>
              <w:rPr>
                <w:rFonts w:ascii="Arial Narrow" w:hAnsi="Arial Narrow" w:cs="Arial"/>
              </w:rPr>
            </w:pPr>
            <w:r w:rsidRPr="00662A6B">
              <w:rPr>
                <w:rFonts w:ascii="Arial Narrow" w:hAnsi="Arial Narrow" w:cs="Arial"/>
              </w:rPr>
              <w:t>Patients</w:t>
            </w:r>
          </w:p>
        </w:tc>
        <w:tc>
          <w:tcPr>
            <w:tcW w:w="3995" w:type="pct"/>
            <w:tcBorders>
              <w:top w:val="single" w:sz="4" w:space="0" w:color="auto"/>
              <w:left w:val="single" w:sz="4" w:space="0" w:color="auto"/>
              <w:bottom w:val="single" w:sz="4" w:space="0" w:color="auto"/>
              <w:right w:val="single" w:sz="4" w:space="0" w:color="auto"/>
            </w:tcBorders>
          </w:tcPr>
          <w:p w14:paraId="07AB1016" w14:textId="77777777" w:rsidR="00A664CF" w:rsidRPr="002136E3" w:rsidRDefault="003124DE" w:rsidP="00CE5430">
            <w:pPr>
              <w:spacing w:before="60" w:after="60"/>
              <w:rPr>
                <w:rFonts w:ascii="Arial Narrow" w:hAnsi="Arial Narrow"/>
              </w:rPr>
            </w:pPr>
            <w:r w:rsidRPr="002136E3">
              <w:rPr>
                <w:rFonts w:ascii="Arial Narrow" w:hAnsi="Arial Narrow"/>
              </w:rPr>
              <w:t>Patient</w:t>
            </w:r>
            <w:r w:rsidR="007B0663" w:rsidRPr="002136E3">
              <w:rPr>
                <w:rFonts w:ascii="Arial Narrow" w:hAnsi="Arial Narrow"/>
              </w:rPr>
              <w:t>s with congenital haemophilia A</w:t>
            </w:r>
            <w:r w:rsidR="00D80CD0" w:rsidRPr="002136E3">
              <w:rPr>
                <w:rFonts w:ascii="Arial Narrow" w:hAnsi="Arial Narrow"/>
                <w:vertAlign w:val="superscript"/>
              </w:rPr>
              <w:t xml:space="preserve">1 </w:t>
            </w:r>
            <w:r w:rsidRPr="002136E3">
              <w:rPr>
                <w:rFonts w:ascii="Arial Narrow" w:hAnsi="Arial Narrow"/>
              </w:rPr>
              <w:t>with factor Vlll inhibitors</w:t>
            </w:r>
            <w:r w:rsidR="006E6119" w:rsidRPr="002136E3">
              <w:rPr>
                <w:rFonts w:ascii="Arial Narrow" w:hAnsi="Arial Narrow"/>
              </w:rPr>
              <w:t xml:space="preserve"> </w:t>
            </w:r>
            <w:r w:rsidR="00A33735" w:rsidRPr="002136E3">
              <w:rPr>
                <w:rFonts w:ascii="Arial Narrow" w:hAnsi="Arial Narrow"/>
              </w:rPr>
              <w:t>who</w:t>
            </w:r>
            <w:r w:rsidR="00A664CF" w:rsidRPr="002136E3">
              <w:rPr>
                <w:rFonts w:ascii="Arial Narrow" w:hAnsi="Arial Narrow"/>
              </w:rPr>
              <w:t>:</w:t>
            </w:r>
          </w:p>
          <w:p w14:paraId="4B7C9488" w14:textId="524B50F8" w:rsidR="00A664CF" w:rsidRPr="002136E3" w:rsidRDefault="006E6119" w:rsidP="005C77B3">
            <w:pPr>
              <w:pStyle w:val="ListParagraph"/>
              <w:numPr>
                <w:ilvl w:val="0"/>
                <w:numId w:val="41"/>
              </w:numPr>
              <w:spacing w:before="60" w:after="60"/>
              <w:rPr>
                <w:rFonts w:ascii="Arial Narrow" w:hAnsi="Arial Narrow"/>
              </w:rPr>
            </w:pPr>
            <w:r w:rsidRPr="002136E3">
              <w:rPr>
                <w:rFonts w:ascii="Arial Narrow" w:hAnsi="Arial Narrow"/>
              </w:rPr>
              <w:t xml:space="preserve">are receiving or have a history of </w:t>
            </w:r>
            <w:r w:rsidR="00A33735" w:rsidRPr="002136E3">
              <w:rPr>
                <w:rFonts w:ascii="Arial Narrow" w:hAnsi="Arial Narrow"/>
              </w:rPr>
              <w:t xml:space="preserve">prophylactic </w:t>
            </w:r>
            <w:r w:rsidRPr="002136E3">
              <w:rPr>
                <w:rFonts w:ascii="Arial Narrow" w:hAnsi="Arial Narrow"/>
              </w:rPr>
              <w:t xml:space="preserve">use of </w:t>
            </w:r>
            <w:r w:rsidR="00887604" w:rsidRPr="002136E3">
              <w:rPr>
                <w:rFonts w:ascii="Arial Narrow" w:hAnsi="Arial Narrow"/>
              </w:rPr>
              <w:t xml:space="preserve">BPAs </w:t>
            </w:r>
            <w:r w:rsidR="0056436F" w:rsidRPr="002136E3">
              <w:rPr>
                <w:rFonts w:ascii="Arial Narrow" w:hAnsi="Arial Narrow"/>
              </w:rPr>
              <w:t>(BPAs</w:t>
            </w:r>
            <w:r w:rsidR="007B3BF0" w:rsidRPr="002136E3">
              <w:rPr>
                <w:rFonts w:ascii="Arial Narrow" w:hAnsi="Arial Narrow"/>
              </w:rPr>
              <w:t xml:space="preserve"> </w:t>
            </w:r>
            <w:r w:rsidR="00216014" w:rsidRPr="002136E3">
              <w:rPr>
                <w:rFonts w:ascii="Arial Narrow" w:hAnsi="Arial Narrow"/>
              </w:rPr>
              <w:t>[activated prothrombin complex concentrate or recombinant activated human factor VIIa</w:t>
            </w:r>
            <w:r w:rsidR="007B3BF0" w:rsidRPr="002136E3">
              <w:rPr>
                <w:rFonts w:ascii="Arial Narrow" w:hAnsi="Arial Narrow"/>
              </w:rPr>
              <w:t>]</w:t>
            </w:r>
            <w:r w:rsidR="0056436F" w:rsidRPr="002136E3">
              <w:rPr>
                <w:rFonts w:ascii="Arial Narrow" w:hAnsi="Arial Narrow"/>
              </w:rPr>
              <w:t>)</w:t>
            </w:r>
            <w:r w:rsidR="00780AFE" w:rsidRPr="002136E3">
              <w:rPr>
                <w:rFonts w:ascii="Arial Narrow" w:hAnsi="Arial Narrow"/>
                <w:vertAlign w:val="superscript"/>
              </w:rPr>
              <w:t>2</w:t>
            </w:r>
            <w:r w:rsidR="000B1C03" w:rsidRPr="002136E3">
              <w:rPr>
                <w:rFonts w:ascii="Arial Narrow" w:hAnsi="Arial Narrow"/>
                <w:vertAlign w:val="superscript"/>
              </w:rPr>
              <w:t xml:space="preserve"> </w:t>
            </w:r>
            <w:r w:rsidR="003124DE" w:rsidRPr="002136E3">
              <w:rPr>
                <w:rFonts w:ascii="Arial Narrow" w:hAnsi="Arial Narrow"/>
              </w:rPr>
              <w:t xml:space="preserve"> </w:t>
            </w:r>
          </w:p>
          <w:p w14:paraId="138BB382" w14:textId="77777777" w:rsidR="0044715D" w:rsidRPr="002136E3" w:rsidRDefault="00A664CF" w:rsidP="00A664CF">
            <w:pPr>
              <w:pStyle w:val="ListParagraph"/>
              <w:numPr>
                <w:ilvl w:val="0"/>
                <w:numId w:val="41"/>
              </w:numPr>
              <w:spacing w:before="60" w:after="60"/>
              <w:rPr>
                <w:rFonts w:ascii="Arial Narrow" w:hAnsi="Arial Narrow"/>
                <w:vanish/>
              </w:rPr>
            </w:pPr>
            <w:r w:rsidRPr="002136E3">
              <w:rPr>
                <w:rFonts w:ascii="Arial Narrow" w:hAnsi="Arial Narrow"/>
              </w:rPr>
              <w:t>are receiving or have a history of on demand use of BPAs</w:t>
            </w:r>
          </w:p>
          <w:p w14:paraId="08AF39B8" w14:textId="55EC411C" w:rsidR="004A2A19" w:rsidRPr="004A2A19" w:rsidRDefault="004A2A19" w:rsidP="004D7D74">
            <w:pPr>
              <w:spacing w:before="60" w:after="60"/>
              <w:rPr>
                <w:color w:val="FF0000"/>
              </w:rPr>
            </w:pPr>
            <w:r w:rsidRPr="004D7D74">
              <w:rPr>
                <w:rFonts w:ascii="Arial Narrow" w:hAnsi="Arial Narrow"/>
              </w:rPr>
              <w:t>Note: the above populations should be the subject of subgroup an</w:t>
            </w:r>
            <w:r w:rsidR="004D7D74" w:rsidRPr="004D7D74">
              <w:rPr>
                <w:rFonts w:ascii="Arial Narrow" w:hAnsi="Arial Narrow"/>
              </w:rPr>
              <w:t>alyses at the assessment phase.</w:t>
            </w:r>
          </w:p>
        </w:tc>
      </w:tr>
      <w:tr w:rsidR="00A84A56" w:rsidRPr="00662A6B" w14:paraId="08AF39C0" w14:textId="77777777" w:rsidTr="00A84A56">
        <w:tc>
          <w:tcPr>
            <w:tcW w:w="1005" w:type="pct"/>
            <w:tcBorders>
              <w:right w:val="single" w:sz="4" w:space="0" w:color="auto"/>
            </w:tcBorders>
          </w:tcPr>
          <w:p w14:paraId="08AF39BE" w14:textId="15C53612" w:rsidR="00A84A56" w:rsidRPr="00662A6B" w:rsidRDefault="00A84A56" w:rsidP="004F47A0">
            <w:pPr>
              <w:rPr>
                <w:rFonts w:ascii="Arial Narrow" w:hAnsi="Arial Narrow" w:cs="Arial"/>
              </w:rPr>
            </w:pPr>
            <w:r w:rsidRPr="00662A6B">
              <w:rPr>
                <w:rFonts w:ascii="Arial Narrow" w:hAnsi="Arial Narrow" w:cs="Arial"/>
              </w:rPr>
              <w:t>Intervention</w:t>
            </w:r>
          </w:p>
        </w:tc>
        <w:tc>
          <w:tcPr>
            <w:tcW w:w="3995" w:type="pct"/>
            <w:tcBorders>
              <w:top w:val="single" w:sz="4" w:space="0" w:color="auto"/>
              <w:left w:val="single" w:sz="4" w:space="0" w:color="auto"/>
              <w:bottom w:val="single" w:sz="4" w:space="0" w:color="auto"/>
              <w:right w:val="single" w:sz="4" w:space="0" w:color="auto"/>
            </w:tcBorders>
          </w:tcPr>
          <w:p w14:paraId="08AF39BF" w14:textId="7247CAA9" w:rsidR="00A84A56" w:rsidRPr="00662A6B" w:rsidRDefault="008C6CB0" w:rsidP="00887604">
            <w:pPr>
              <w:spacing w:before="60" w:after="60"/>
              <w:rPr>
                <w:rFonts w:ascii="Arial Narrow" w:hAnsi="Arial Narrow"/>
                <w:vanish/>
                <w:color w:val="FF0000"/>
              </w:rPr>
            </w:pPr>
            <w:r>
              <w:rPr>
                <w:rFonts w:ascii="Arial Narrow" w:hAnsi="Arial Narrow"/>
              </w:rPr>
              <w:t>P</w:t>
            </w:r>
            <w:r w:rsidR="003124DE" w:rsidRPr="00662A6B">
              <w:rPr>
                <w:rFonts w:ascii="Arial Narrow" w:hAnsi="Arial Narrow"/>
              </w:rPr>
              <w:t>rophylaxis</w:t>
            </w:r>
            <w:r w:rsidR="00740A5B">
              <w:rPr>
                <w:rFonts w:ascii="Arial Narrow" w:hAnsi="Arial Narrow"/>
                <w:vertAlign w:val="superscript"/>
              </w:rPr>
              <w:t>3</w:t>
            </w:r>
            <w:r w:rsidR="003124DE" w:rsidRPr="00662A6B">
              <w:rPr>
                <w:rFonts w:ascii="Arial Narrow" w:hAnsi="Arial Narrow"/>
              </w:rPr>
              <w:t xml:space="preserve"> with </w:t>
            </w:r>
            <w:r w:rsidR="00780AFE" w:rsidRPr="00662A6B">
              <w:rPr>
                <w:rFonts w:ascii="Arial Narrow" w:hAnsi="Arial Narrow"/>
              </w:rPr>
              <w:t>emicizumab</w:t>
            </w:r>
            <w:r w:rsidR="00740A5B">
              <w:rPr>
                <w:rFonts w:ascii="Arial Narrow" w:hAnsi="Arial Narrow"/>
                <w:vertAlign w:val="superscript"/>
              </w:rPr>
              <w:t>4</w:t>
            </w:r>
            <w:r w:rsidR="00CB61B8" w:rsidRPr="00662A6B">
              <w:rPr>
                <w:rFonts w:ascii="Arial Narrow" w:hAnsi="Arial Narrow"/>
                <w:vertAlign w:val="superscript"/>
              </w:rPr>
              <w:t xml:space="preserve"> </w:t>
            </w:r>
            <w:r w:rsidR="004744DE" w:rsidRPr="00662A6B">
              <w:rPr>
                <w:rFonts w:ascii="Arial Narrow" w:hAnsi="Arial Narrow"/>
              </w:rPr>
              <w:t>plus on</w:t>
            </w:r>
            <w:r w:rsidR="00D80CD0">
              <w:rPr>
                <w:rFonts w:ascii="Arial Narrow" w:hAnsi="Arial Narrow"/>
              </w:rPr>
              <w:t>-</w:t>
            </w:r>
            <w:r w:rsidR="004744DE" w:rsidRPr="00662A6B">
              <w:rPr>
                <w:rFonts w:ascii="Arial Narrow" w:hAnsi="Arial Narrow"/>
              </w:rPr>
              <w:t>demand</w:t>
            </w:r>
            <w:r w:rsidR="007B0663">
              <w:rPr>
                <w:rFonts w:ascii="Arial Narrow" w:hAnsi="Arial Narrow"/>
                <w:vertAlign w:val="superscript"/>
              </w:rPr>
              <w:t>4</w:t>
            </w:r>
            <w:r w:rsidR="009E6E57">
              <w:rPr>
                <w:rFonts w:ascii="Arial Narrow" w:hAnsi="Arial Narrow"/>
                <w:vertAlign w:val="superscript"/>
              </w:rPr>
              <w:t>,</w:t>
            </w:r>
            <w:r w:rsidR="00740A5B">
              <w:rPr>
                <w:rFonts w:ascii="Arial Narrow" w:hAnsi="Arial Narrow"/>
                <w:vertAlign w:val="superscript"/>
              </w:rPr>
              <w:t>5</w:t>
            </w:r>
            <w:r w:rsidR="004744DE" w:rsidRPr="00662A6B">
              <w:rPr>
                <w:rFonts w:ascii="Arial Narrow" w:hAnsi="Arial Narrow"/>
              </w:rPr>
              <w:t xml:space="preserve"> </w:t>
            </w:r>
            <w:r w:rsidR="00A76BA4" w:rsidRPr="00662A6B">
              <w:rPr>
                <w:rFonts w:ascii="Arial Narrow" w:hAnsi="Arial Narrow"/>
              </w:rPr>
              <w:t>BPAs</w:t>
            </w:r>
            <w:r w:rsidR="00662A6B" w:rsidRPr="00662A6B">
              <w:rPr>
                <w:rFonts w:ascii="Arial Narrow" w:hAnsi="Arial Narrow"/>
              </w:rPr>
              <w:t xml:space="preserve"> </w:t>
            </w:r>
            <w:r w:rsidR="00CB61B8" w:rsidRPr="00662A6B">
              <w:rPr>
                <w:rFonts w:ascii="Arial Narrow" w:hAnsi="Arial Narrow"/>
              </w:rPr>
              <w:t>to treat bleed</w:t>
            </w:r>
            <w:r w:rsidR="00A76BA4" w:rsidRPr="00662A6B">
              <w:rPr>
                <w:rFonts w:ascii="Arial Narrow" w:hAnsi="Arial Narrow"/>
              </w:rPr>
              <w:t>s</w:t>
            </w:r>
            <w:r w:rsidR="00CB61B8" w:rsidRPr="00662A6B">
              <w:rPr>
                <w:rFonts w:ascii="Arial Narrow" w:hAnsi="Arial Narrow"/>
              </w:rPr>
              <w:t xml:space="preserve"> or </w:t>
            </w:r>
            <w:r>
              <w:rPr>
                <w:rFonts w:ascii="Arial Narrow" w:hAnsi="Arial Narrow"/>
              </w:rPr>
              <w:t xml:space="preserve">as </w:t>
            </w:r>
            <w:r w:rsidR="00CB61B8" w:rsidRPr="00662A6B">
              <w:rPr>
                <w:rFonts w:ascii="Arial Narrow" w:hAnsi="Arial Narrow"/>
              </w:rPr>
              <w:t>surgical cover</w:t>
            </w:r>
          </w:p>
        </w:tc>
      </w:tr>
      <w:tr w:rsidR="00A84A56" w:rsidRPr="00662A6B" w14:paraId="08AF39C3" w14:textId="77777777" w:rsidTr="004A2A19">
        <w:trPr>
          <w:trHeight w:val="762"/>
        </w:trPr>
        <w:tc>
          <w:tcPr>
            <w:tcW w:w="1005" w:type="pct"/>
            <w:tcBorders>
              <w:right w:val="single" w:sz="4" w:space="0" w:color="auto"/>
            </w:tcBorders>
          </w:tcPr>
          <w:p w14:paraId="08AF39C1" w14:textId="1B95D454" w:rsidR="00A84A56" w:rsidRPr="00662A6B" w:rsidRDefault="00780AFE" w:rsidP="007B0663">
            <w:pPr>
              <w:rPr>
                <w:rFonts w:ascii="Arial Narrow" w:hAnsi="Arial Narrow"/>
                <w:vertAlign w:val="superscript"/>
              </w:rPr>
            </w:pPr>
            <w:r w:rsidRPr="00662A6B">
              <w:rPr>
                <w:rFonts w:ascii="Arial Narrow" w:hAnsi="Arial Narrow"/>
              </w:rPr>
              <w:t>Comparator</w:t>
            </w:r>
          </w:p>
        </w:tc>
        <w:tc>
          <w:tcPr>
            <w:tcW w:w="3995" w:type="pct"/>
            <w:tcBorders>
              <w:top w:val="single" w:sz="4" w:space="0" w:color="auto"/>
              <w:left w:val="single" w:sz="4" w:space="0" w:color="auto"/>
              <w:bottom w:val="single" w:sz="4" w:space="0" w:color="auto"/>
              <w:right w:val="single" w:sz="4" w:space="0" w:color="auto"/>
            </w:tcBorders>
          </w:tcPr>
          <w:p w14:paraId="4587D54A" w14:textId="10899086" w:rsidR="003124DE" w:rsidRPr="00662A6B" w:rsidRDefault="008C6CB0" w:rsidP="00023FF0">
            <w:pPr>
              <w:spacing w:before="60" w:after="60"/>
              <w:rPr>
                <w:rFonts w:ascii="Arial Narrow" w:hAnsi="Arial Narrow"/>
              </w:rPr>
            </w:pPr>
            <w:r>
              <w:rPr>
                <w:rFonts w:ascii="Arial Narrow" w:hAnsi="Arial Narrow"/>
              </w:rPr>
              <w:t>P</w:t>
            </w:r>
            <w:r w:rsidR="003124DE" w:rsidRPr="00662A6B">
              <w:rPr>
                <w:rFonts w:ascii="Arial Narrow" w:hAnsi="Arial Narrow"/>
              </w:rPr>
              <w:t>rophylaxis</w:t>
            </w:r>
            <w:r w:rsidR="00740A5B">
              <w:rPr>
                <w:rFonts w:ascii="Arial Narrow" w:hAnsi="Arial Narrow"/>
                <w:vertAlign w:val="superscript"/>
              </w:rPr>
              <w:t>3</w:t>
            </w:r>
            <w:r w:rsidR="003124DE" w:rsidRPr="00662A6B">
              <w:rPr>
                <w:rFonts w:ascii="Arial Narrow" w:hAnsi="Arial Narrow"/>
              </w:rPr>
              <w:t xml:space="preserve"> with </w:t>
            </w:r>
            <w:r w:rsidR="00DD3B9E">
              <w:rPr>
                <w:rFonts w:ascii="Arial Narrow" w:hAnsi="Arial Narrow"/>
              </w:rPr>
              <w:t>BPAs plus</w:t>
            </w:r>
            <w:r>
              <w:rPr>
                <w:rFonts w:ascii="Arial Narrow" w:hAnsi="Arial Narrow"/>
              </w:rPr>
              <w:t xml:space="preserve"> on-demand BPAs to treat bleeds</w:t>
            </w:r>
          </w:p>
          <w:p w14:paraId="08AF39C2" w14:textId="70F55F2C" w:rsidR="00A84A56" w:rsidRPr="00662A6B" w:rsidRDefault="005038BB" w:rsidP="00023FF0">
            <w:pPr>
              <w:spacing w:before="60" w:after="60"/>
              <w:rPr>
                <w:rFonts w:ascii="Arial Narrow" w:hAnsi="Arial Narrow"/>
              </w:rPr>
            </w:pPr>
            <w:r w:rsidRPr="00662A6B">
              <w:rPr>
                <w:rFonts w:ascii="Arial Narrow" w:hAnsi="Arial Narrow"/>
              </w:rPr>
              <w:t xml:space="preserve">No prophylaxis </w:t>
            </w:r>
            <w:r w:rsidR="00912D3C" w:rsidRPr="00662A6B">
              <w:rPr>
                <w:rFonts w:ascii="Arial Narrow" w:hAnsi="Arial Narrow"/>
              </w:rPr>
              <w:t>plus on</w:t>
            </w:r>
            <w:r w:rsidR="00D80CD0">
              <w:rPr>
                <w:rFonts w:ascii="Arial Narrow" w:hAnsi="Arial Narrow"/>
              </w:rPr>
              <w:t>-</w:t>
            </w:r>
            <w:r w:rsidR="00912D3C" w:rsidRPr="00662A6B">
              <w:rPr>
                <w:rFonts w:ascii="Arial Narrow" w:hAnsi="Arial Narrow"/>
              </w:rPr>
              <w:t>demand</w:t>
            </w:r>
            <w:r w:rsidR="003124DE" w:rsidRPr="00662A6B">
              <w:rPr>
                <w:rFonts w:ascii="Arial Narrow" w:hAnsi="Arial Narrow"/>
              </w:rPr>
              <w:t xml:space="preserve"> </w:t>
            </w:r>
            <w:r w:rsidR="00CB61B8" w:rsidRPr="00662A6B">
              <w:rPr>
                <w:rFonts w:ascii="Arial Narrow" w:hAnsi="Arial Narrow"/>
              </w:rPr>
              <w:t>B</w:t>
            </w:r>
            <w:r w:rsidR="00A76BA4" w:rsidRPr="00662A6B">
              <w:rPr>
                <w:rFonts w:ascii="Arial Narrow" w:hAnsi="Arial Narrow"/>
              </w:rPr>
              <w:t xml:space="preserve">PAs </w:t>
            </w:r>
            <w:r w:rsidR="00CB61B8" w:rsidRPr="00662A6B">
              <w:rPr>
                <w:rFonts w:ascii="Arial Narrow" w:hAnsi="Arial Narrow"/>
              </w:rPr>
              <w:t>to treat bleed</w:t>
            </w:r>
            <w:r w:rsidR="00A76BA4" w:rsidRPr="00662A6B">
              <w:rPr>
                <w:rFonts w:ascii="Arial Narrow" w:hAnsi="Arial Narrow"/>
              </w:rPr>
              <w:t>s</w:t>
            </w:r>
            <w:r w:rsidR="00CB61B8" w:rsidRPr="00662A6B">
              <w:rPr>
                <w:rFonts w:ascii="Arial Narrow" w:hAnsi="Arial Narrow"/>
              </w:rPr>
              <w:t xml:space="preserve"> or </w:t>
            </w:r>
            <w:r w:rsidR="008C6CB0">
              <w:rPr>
                <w:rFonts w:ascii="Arial Narrow" w:hAnsi="Arial Narrow"/>
              </w:rPr>
              <w:t xml:space="preserve">as </w:t>
            </w:r>
            <w:r w:rsidR="00CB61B8" w:rsidRPr="00662A6B">
              <w:rPr>
                <w:rFonts w:ascii="Arial Narrow" w:hAnsi="Arial Narrow"/>
              </w:rPr>
              <w:t>surgical cover</w:t>
            </w:r>
          </w:p>
        </w:tc>
      </w:tr>
      <w:tr w:rsidR="00A84A56" w:rsidRPr="00662A6B" w14:paraId="08AF39CB" w14:textId="77777777" w:rsidTr="004A2A19">
        <w:trPr>
          <w:trHeight w:val="6641"/>
        </w:trPr>
        <w:tc>
          <w:tcPr>
            <w:tcW w:w="1005" w:type="pct"/>
            <w:tcBorders>
              <w:right w:val="single" w:sz="4" w:space="0" w:color="auto"/>
            </w:tcBorders>
          </w:tcPr>
          <w:p w14:paraId="08AF39C4" w14:textId="77777777" w:rsidR="00A84A56" w:rsidRPr="00662A6B" w:rsidRDefault="00A84A56" w:rsidP="004F47A0">
            <w:pPr>
              <w:rPr>
                <w:rFonts w:ascii="Arial Narrow" w:hAnsi="Arial Narrow"/>
              </w:rPr>
            </w:pPr>
            <w:r w:rsidRPr="00662A6B">
              <w:rPr>
                <w:rFonts w:ascii="Arial Narrow" w:hAnsi="Arial Narrow"/>
              </w:rPr>
              <w:t>Outcomes</w:t>
            </w:r>
          </w:p>
        </w:tc>
        <w:tc>
          <w:tcPr>
            <w:tcW w:w="3995" w:type="pct"/>
            <w:tcBorders>
              <w:top w:val="single" w:sz="4" w:space="0" w:color="auto"/>
              <w:left w:val="single" w:sz="4" w:space="0" w:color="auto"/>
              <w:bottom w:val="single" w:sz="4" w:space="0" w:color="auto"/>
              <w:right w:val="single" w:sz="4" w:space="0" w:color="auto"/>
            </w:tcBorders>
          </w:tcPr>
          <w:p w14:paraId="58A5ED79" w14:textId="77777777" w:rsidR="003124DE" w:rsidRPr="00662A6B" w:rsidRDefault="003124DE" w:rsidP="00023FF0">
            <w:pPr>
              <w:spacing w:before="60" w:after="60"/>
              <w:rPr>
                <w:rFonts w:ascii="Arial Narrow" w:hAnsi="Arial Narrow"/>
              </w:rPr>
            </w:pPr>
            <w:r w:rsidRPr="00662A6B">
              <w:rPr>
                <w:rFonts w:ascii="Arial Narrow" w:hAnsi="Arial Narrow"/>
              </w:rPr>
              <w:t>Safety</w:t>
            </w:r>
          </w:p>
          <w:p w14:paraId="4ACCB741" w14:textId="77777777" w:rsidR="003124DE" w:rsidRPr="00662A6B" w:rsidRDefault="003124DE" w:rsidP="007E0759">
            <w:pPr>
              <w:pStyle w:val="ListParagraph"/>
              <w:numPr>
                <w:ilvl w:val="0"/>
                <w:numId w:val="22"/>
              </w:numPr>
              <w:spacing w:before="60" w:after="60"/>
              <w:rPr>
                <w:rFonts w:ascii="Arial Narrow" w:hAnsi="Arial Narrow"/>
              </w:rPr>
            </w:pPr>
            <w:r w:rsidRPr="00662A6B">
              <w:rPr>
                <w:rFonts w:ascii="Arial Narrow" w:hAnsi="Arial Narrow"/>
              </w:rPr>
              <w:t>Incidence and severity of adverse events</w:t>
            </w:r>
          </w:p>
          <w:p w14:paraId="19D01780" w14:textId="77777777" w:rsidR="003124DE" w:rsidRPr="00662A6B" w:rsidRDefault="003124DE" w:rsidP="007E0759">
            <w:pPr>
              <w:pStyle w:val="ListParagraph"/>
              <w:numPr>
                <w:ilvl w:val="0"/>
                <w:numId w:val="22"/>
              </w:numPr>
              <w:spacing w:before="60" w:after="60"/>
              <w:rPr>
                <w:rFonts w:ascii="Arial Narrow" w:hAnsi="Arial Narrow"/>
              </w:rPr>
            </w:pPr>
            <w:r w:rsidRPr="00662A6B">
              <w:rPr>
                <w:rFonts w:ascii="Arial Narrow" w:hAnsi="Arial Narrow"/>
              </w:rPr>
              <w:t>Mortality</w:t>
            </w:r>
          </w:p>
          <w:p w14:paraId="4155FFCD" w14:textId="77777777" w:rsidR="003124DE" w:rsidRPr="00662A6B" w:rsidRDefault="003124DE" w:rsidP="00023FF0">
            <w:pPr>
              <w:spacing w:before="60" w:after="60"/>
              <w:rPr>
                <w:rFonts w:ascii="Arial Narrow" w:hAnsi="Arial Narrow"/>
              </w:rPr>
            </w:pPr>
            <w:r w:rsidRPr="00662A6B">
              <w:rPr>
                <w:rFonts w:ascii="Arial Narrow" w:hAnsi="Arial Narrow"/>
              </w:rPr>
              <w:t>Effectiveness</w:t>
            </w:r>
          </w:p>
          <w:p w14:paraId="5E8AF7A3" w14:textId="77777777" w:rsidR="00BF39E1" w:rsidRPr="00662A6B" w:rsidRDefault="00BF39E1" w:rsidP="007E0759">
            <w:pPr>
              <w:pStyle w:val="ListParagraph"/>
              <w:numPr>
                <w:ilvl w:val="0"/>
                <w:numId w:val="23"/>
              </w:numPr>
              <w:spacing w:before="60" w:after="60"/>
              <w:rPr>
                <w:rFonts w:ascii="Arial Narrow" w:hAnsi="Arial Narrow"/>
              </w:rPr>
            </w:pPr>
            <w:r w:rsidRPr="00662A6B">
              <w:rPr>
                <w:rFonts w:ascii="Arial Narrow" w:hAnsi="Arial Narrow"/>
              </w:rPr>
              <w:t>Primary effectiveness</w:t>
            </w:r>
          </w:p>
          <w:p w14:paraId="144B1876" w14:textId="41FC18F2" w:rsidR="00BF39E1" w:rsidRPr="00662A6B" w:rsidRDefault="00BF39E1" w:rsidP="007E0759">
            <w:pPr>
              <w:pStyle w:val="ListParagraph"/>
              <w:numPr>
                <w:ilvl w:val="1"/>
                <w:numId w:val="23"/>
              </w:numPr>
              <w:spacing w:before="60" w:after="60"/>
              <w:rPr>
                <w:rFonts w:ascii="Arial Narrow" w:hAnsi="Arial Narrow"/>
              </w:rPr>
            </w:pPr>
            <w:r w:rsidRPr="00662A6B">
              <w:rPr>
                <w:rFonts w:ascii="Arial Narrow" w:hAnsi="Arial Narrow"/>
              </w:rPr>
              <w:t>Reduction in number of bleeds over time (bleed rate)</w:t>
            </w:r>
            <w:r w:rsidR="00211049">
              <w:rPr>
                <w:rFonts w:ascii="Arial Narrow" w:hAnsi="Arial Narrow"/>
                <w:vertAlign w:val="superscript"/>
              </w:rPr>
              <w:t>6</w:t>
            </w:r>
          </w:p>
          <w:p w14:paraId="1FF61E17" w14:textId="520BB1E5" w:rsidR="00BF39E1" w:rsidRPr="00662A6B" w:rsidRDefault="00BF39E1" w:rsidP="007E0759">
            <w:pPr>
              <w:pStyle w:val="ListParagraph"/>
              <w:numPr>
                <w:ilvl w:val="0"/>
                <w:numId w:val="23"/>
              </w:numPr>
              <w:spacing w:before="60" w:after="60"/>
              <w:rPr>
                <w:rFonts w:ascii="Arial Narrow" w:hAnsi="Arial Narrow"/>
              </w:rPr>
            </w:pPr>
            <w:r w:rsidRPr="00662A6B">
              <w:rPr>
                <w:rFonts w:ascii="Arial Narrow" w:hAnsi="Arial Narrow"/>
              </w:rPr>
              <w:t>Secondary effectiveness</w:t>
            </w:r>
          </w:p>
          <w:p w14:paraId="06438AF2" w14:textId="41D2400E" w:rsidR="000B1C03" w:rsidRDefault="000B1C03" w:rsidP="007E0759">
            <w:pPr>
              <w:pStyle w:val="ListParagraph"/>
              <w:numPr>
                <w:ilvl w:val="1"/>
                <w:numId w:val="23"/>
              </w:numPr>
              <w:spacing w:before="60" w:after="60"/>
              <w:rPr>
                <w:rFonts w:ascii="Arial Narrow" w:hAnsi="Arial Narrow"/>
              </w:rPr>
            </w:pPr>
            <w:r>
              <w:rPr>
                <w:rFonts w:ascii="Arial Narrow" w:hAnsi="Arial Narrow"/>
              </w:rPr>
              <w:t>Responder status</w:t>
            </w:r>
          </w:p>
          <w:p w14:paraId="36002975" w14:textId="506740BF" w:rsidR="00BF39E1" w:rsidRPr="00662A6B" w:rsidRDefault="00BF39E1" w:rsidP="007E0759">
            <w:pPr>
              <w:pStyle w:val="ListParagraph"/>
              <w:numPr>
                <w:ilvl w:val="1"/>
                <w:numId w:val="23"/>
              </w:numPr>
              <w:spacing w:before="60" w:after="60"/>
              <w:rPr>
                <w:rFonts w:ascii="Arial Narrow" w:hAnsi="Arial Narrow"/>
              </w:rPr>
            </w:pPr>
            <w:r w:rsidRPr="00662A6B">
              <w:rPr>
                <w:rFonts w:ascii="Arial Narrow" w:hAnsi="Arial Narrow"/>
              </w:rPr>
              <w:t>Other bleeding related outcomes such as: reduction in number of joint bleeds over time, reduction in number of target joint bleeds over time, reduces individual bleed rate compared to historical bleed rate and number of treated bleeds per month or year etc.</w:t>
            </w:r>
          </w:p>
          <w:p w14:paraId="642A79AB" w14:textId="00F95BE4" w:rsidR="00BF39E1" w:rsidRPr="00662A6B" w:rsidRDefault="00BF39E1" w:rsidP="007E0759">
            <w:pPr>
              <w:pStyle w:val="ListParagraph"/>
              <w:numPr>
                <w:ilvl w:val="1"/>
                <w:numId w:val="23"/>
              </w:numPr>
              <w:spacing w:before="60" w:after="60"/>
              <w:rPr>
                <w:rFonts w:ascii="Arial Narrow" w:hAnsi="Arial Narrow"/>
              </w:rPr>
            </w:pPr>
            <w:r w:rsidRPr="00662A6B">
              <w:rPr>
                <w:rFonts w:ascii="Arial Narrow" w:hAnsi="Arial Narrow"/>
              </w:rPr>
              <w:t>Health-related quality of life</w:t>
            </w:r>
          </w:p>
          <w:p w14:paraId="7A1F55EA" w14:textId="77777777" w:rsidR="00BF39E1" w:rsidRPr="00662A6B" w:rsidRDefault="00BF39E1" w:rsidP="007E0759">
            <w:pPr>
              <w:pStyle w:val="ListParagraph"/>
              <w:numPr>
                <w:ilvl w:val="1"/>
                <w:numId w:val="23"/>
              </w:numPr>
              <w:spacing w:before="60" w:after="60"/>
              <w:rPr>
                <w:rFonts w:ascii="Arial Narrow" w:hAnsi="Arial Narrow"/>
              </w:rPr>
            </w:pPr>
            <w:r w:rsidRPr="00662A6B">
              <w:rPr>
                <w:rFonts w:ascii="Arial Narrow" w:hAnsi="Arial Narrow"/>
              </w:rPr>
              <w:t>Joint health outcomes</w:t>
            </w:r>
          </w:p>
          <w:p w14:paraId="1F2FE793" w14:textId="77777777" w:rsidR="00BF39E1" w:rsidRPr="00662A6B" w:rsidRDefault="00BF39E1" w:rsidP="007E0759">
            <w:pPr>
              <w:pStyle w:val="ListParagraph"/>
              <w:numPr>
                <w:ilvl w:val="1"/>
                <w:numId w:val="23"/>
              </w:numPr>
              <w:spacing w:before="60" w:after="60"/>
              <w:rPr>
                <w:rFonts w:ascii="Arial Narrow" w:hAnsi="Arial Narrow"/>
              </w:rPr>
            </w:pPr>
            <w:r w:rsidRPr="00662A6B">
              <w:rPr>
                <w:rFonts w:ascii="Arial Narrow" w:hAnsi="Arial Narrow"/>
              </w:rPr>
              <w:t>Chronic pain associated with haemophilia</w:t>
            </w:r>
          </w:p>
          <w:p w14:paraId="28C1A097" w14:textId="77777777" w:rsidR="00BF39E1" w:rsidRPr="00662A6B" w:rsidRDefault="00BF39E1" w:rsidP="007E0759">
            <w:pPr>
              <w:pStyle w:val="ListParagraph"/>
              <w:numPr>
                <w:ilvl w:val="1"/>
                <w:numId w:val="23"/>
              </w:numPr>
              <w:spacing w:before="60" w:after="60"/>
              <w:rPr>
                <w:rFonts w:ascii="Arial Narrow" w:hAnsi="Arial Narrow"/>
              </w:rPr>
            </w:pPr>
            <w:r w:rsidRPr="00662A6B">
              <w:rPr>
                <w:rFonts w:ascii="Arial Narrow" w:hAnsi="Arial Narrow"/>
              </w:rPr>
              <w:t>Number of missed days of work/activity/school</w:t>
            </w:r>
          </w:p>
          <w:p w14:paraId="13149569" w14:textId="08CBCB05" w:rsidR="00BF39E1" w:rsidRPr="00662A6B" w:rsidRDefault="00BF39E1" w:rsidP="00023FF0">
            <w:pPr>
              <w:spacing w:before="60" w:after="60"/>
              <w:rPr>
                <w:rFonts w:ascii="Arial Narrow" w:hAnsi="Arial Narrow"/>
              </w:rPr>
            </w:pPr>
            <w:r w:rsidRPr="00662A6B">
              <w:rPr>
                <w:rFonts w:ascii="Arial Narrow" w:hAnsi="Arial Narrow"/>
              </w:rPr>
              <w:t>Healthcare resources</w:t>
            </w:r>
          </w:p>
          <w:p w14:paraId="5E5ADAC1" w14:textId="181B00FA" w:rsidR="00BF39E1" w:rsidRPr="00662A6B" w:rsidRDefault="00BF39E1" w:rsidP="007E0759">
            <w:pPr>
              <w:pStyle w:val="ListParagraph"/>
              <w:numPr>
                <w:ilvl w:val="0"/>
                <w:numId w:val="23"/>
              </w:numPr>
              <w:spacing w:before="60" w:after="60"/>
              <w:rPr>
                <w:rFonts w:ascii="Arial Narrow" w:hAnsi="Arial Narrow"/>
              </w:rPr>
            </w:pPr>
            <w:r w:rsidRPr="00662A6B">
              <w:rPr>
                <w:rFonts w:ascii="Arial Narrow" w:hAnsi="Arial Narrow"/>
              </w:rPr>
              <w:t>Cost offsets</w:t>
            </w:r>
            <w:r w:rsidR="000B1C03">
              <w:rPr>
                <w:rFonts w:ascii="Arial Narrow" w:hAnsi="Arial Narrow"/>
              </w:rPr>
              <w:t xml:space="preserve"> (including costs of immune tolerance therapy)</w:t>
            </w:r>
          </w:p>
          <w:p w14:paraId="62AE5239" w14:textId="54953D62" w:rsidR="00A76BA4" w:rsidRPr="00662A6B" w:rsidRDefault="00BF39E1" w:rsidP="007E0759">
            <w:pPr>
              <w:pStyle w:val="ListParagraph"/>
              <w:numPr>
                <w:ilvl w:val="0"/>
                <w:numId w:val="23"/>
              </w:numPr>
              <w:spacing w:before="60" w:after="60"/>
              <w:rPr>
                <w:rFonts w:ascii="Arial Narrow" w:hAnsi="Arial Narrow"/>
              </w:rPr>
            </w:pPr>
            <w:r w:rsidRPr="00662A6B">
              <w:rPr>
                <w:rFonts w:ascii="Arial Narrow" w:hAnsi="Arial Narrow"/>
              </w:rPr>
              <w:t>Costs of delivering the intervention</w:t>
            </w:r>
          </w:p>
          <w:p w14:paraId="5BDCD4C8" w14:textId="77777777" w:rsidR="004A2A19" w:rsidRDefault="00BF39E1" w:rsidP="004A2A19">
            <w:pPr>
              <w:pStyle w:val="ListParagraph"/>
              <w:numPr>
                <w:ilvl w:val="0"/>
                <w:numId w:val="23"/>
              </w:numPr>
              <w:spacing w:before="60" w:after="60"/>
              <w:rPr>
                <w:rFonts w:ascii="Arial Narrow" w:hAnsi="Arial Narrow"/>
              </w:rPr>
            </w:pPr>
            <w:r w:rsidRPr="00662A6B">
              <w:rPr>
                <w:rFonts w:ascii="Arial Narrow" w:hAnsi="Arial Narrow"/>
              </w:rPr>
              <w:t>Costs of managing adverse events</w:t>
            </w:r>
            <w:r w:rsidR="00CF0DA0" w:rsidRPr="00662A6B">
              <w:rPr>
                <w:rFonts w:ascii="Arial Narrow" w:hAnsi="Arial Narrow"/>
              </w:rPr>
              <w:t xml:space="preserve"> or breakthrough bleeding</w:t>
            </w:r>
          </w:p>
          <w:p w14:paraId="08AF39CA" w14:textId="41DBF3DE" w:rsidR="0000365E" w:rsidRPr="004A2A19" w:rsidRDefault="00A33735" w:rsidP="004A2A19">
            <w:pPr>
              <w:pStyle w:val="ListParagraph"/>
              <w:numPr>
                <w:ilvl w:val="0"/>
                <w:numId w:val="23"/>
              </w:numPr>
              <w:spacing w:before="60" w:after="60"/>
              <w:rPr>
                <w:rFonts w:ascii="Arial Narrow" w:hAnsi="Arial Narrow"/>
              </w:rPr>
            </w:pPr>
            <w:r w:rsidRPr="004A2A19">
              <w:rPr>
                <w:rFonts w:ascii="Arial Narrow" w:hAnsi="Arial Narrow"/>
              </w:rPr>
              <w:t>Cost per Quality Adjusted Life-Year (QALY) gained</w:t>
            </w:r>
          </w:p>
        </w:tc>
      </w:tr>
    </w:tbl>
    <w:p w14:paraId="491320A8" w14:textId="26FB2AF7" w:rsidR="00DF1C05" w:rsidRDefault="00CF0DA0" w:rsidP="005C77B3">
      <w:pPr>
        <w:spacing w:after="0"/>
        <w:ind w:left="142" w:hanging="142"/>
        <w:rPr>
          <w:sz w:val="20"/>
        </w:rPr>
      </w:pPr>
      <w:r w:rsidRPr="004F47A0">
        <w:rPr>
          <w:rFonts w:ascii="Arial Narrow" w:hAnsi="Arial Narrow" w:cs="Arial"/>
          <w:sz w:val="18"/>
          <w:szCs w:val="18"/>
          <w:vertAlign w:val="superscript"/>
        </w:rPr>
        <w:t>1</w:t>
      </w:r>
      <w:r w:rsidR="00C522F2" w:rsidRPr="004F47A0">
        <w:rPr>
          <w:rFonts w:ascii="Arial Narrow" w:hAnsi="Arial Narrow" w:cs="Arial"/>
          <w:sz w:val="18"/>
          <w:szCs w:val="18"/>
        </w:rPr>
        <w:t xml:space="preserve"> </w:t>
      </w:r>
      <w:r w:rsidR="00662A6B">
        <w:rPr>
          <w:rFonts w:ascii="Arial Narrow" w:hAnsi="Arial Narrow" w:cs="Arial"/>
          <w:sz w:val="18"/>
          <w:szCs w:val="18"/>
        </w:rPr>
        <w:tab/>
      </w:r>
      <w:r w:rsidR="00D80CD0" w:rsidRPr="004F47A0">
        <w:rPr>
          <w:rFonts w:ascii="Arial Narrow" w:hAnsi="Arial Narrow" w:cs="Arial"/>
          <w:sz w:val="18"/>
          <w:szCs w:val="18"/>
        </w:rPr>
        <w:t>At the assessment phase</w:t>
      </w:r>
      <w:r w:rsidR="001E417C">
        <w:rPr>
          <w:rFonts w:ascii="Arial Narrow" w:hAnsi="Arial Narrow" w:cs="Arial"/>
          <w:sz w:val="18"/>
          <w:szCs w:val="18"/>
        </w:rPr>
        <w:t>,</w:t>
      </w:r>
      <w:r w:rsidR="00D80CD0" w:rsidRPr="004F47A0">
        <w:rPr>
          <w:rFonts w:ascii="Arial Narrow" w:hAnsi="Arial Narrow" w:cs="Arial"/>
          <w:sz w:val="18"/>
          <w:szCs w:val="18"/>
        </w:rPr>
        <w:t xml:space="preserve"> it may be relevant to consider whether patient age is likely to impact on the safety or effectiveness of emicizumab.</w:t>
      </w:r>
      <w:r w:rsidR="00216014">
        <w:rPr>
          <w:rFonts w:ascii="Arial Narrow" w:hAnsi="Arial Narrow" w:cs="Arial"/>
          <w:sz w:val="18"/>
          <w:szCs w:val="18"/>
        </w:rPr>
        <w:t xml:space="preserve"> </w:t>
      </w:r>
      <w:r w:rsidR="00780AFE" w:rsidRPr="004F47A0">
        <w:rPr>
          <w:rFonts w:ascii="Arial Narrow" w:hAnsi="Arial Narrow" w:cs="Arial"/>
          <w:sz w:val="18"/>
          <w:szCs w:val="18"/>
          <w:vertAlign w:val="superscript"/>
        </w:rPr>
        <w:t xml:space="preserve">2 </w:t>
      </w:r>
      <w:r w:rsidR="00D80CD0" w:rsidRPr="004F47A0">
        <w:rPr>
          <w:rFonts w:ascii="Arial Narrow" w:hAnsi="Arial Narrow" w:cs="Arial"/>
          <w:sz w:val="18"/>
          <w:szCs w:val="18"/>
        </w:rPr>
        <w:t>Inhibitors currently present</w:t>
      </w:r>
      <w:r w:rsidR="001E417C">
        <w:rPr>
          <w:rFonts w:ascii="Arial Narrow" w:hAnsi="Arial Narrow" w:cs="Arial"/>
          <w:sz w:val="18"/>
          <w:szCs w:val="18"/>
        </w:rPr>
        <w:t xml:space="preserve"> </w:t>
      </w:r>
      <w:r w:rsidR="00D80CD0" w:rsidRPr="004F47A0">
        <w:rPr>
          <w:rFonts w:ascii="Arial Narrow" w:hAnsi="Arial Narrow" w:cs="Arial"/>
          <w:sz w:val="18"/>
          <w:szCs w:val="18"/>
        </w:rPr>
        <w:t>- Patient has a positive screening test result</w:t>
      </w:r>
      <w:r w:rsidR="000E5F7E">
        <w:rPr>
          <w:rFonts w:ascii="Arial Narrow" w:hAnsi="Arial Narrow" w:cs="Arial"/>
          <w:sz w:val="18"/>
          <w:szCs w:val="18"/>
        </w:rPr>
        <w:t>.</w:t>
      </w:r>
      <w:r w:rsidR="00216014">
        <w:rPr>
          <w:rFonts w:ascii="Arial Narrow" w:hAnsi="Arial Narrow" w:cs="Arial"/>
          <w:sz w:val="18"/>
          <w:szCs w:val="18"/>
          <w:vertAlign w:val="superscript"/>
        </w:rPr>
        <w:t xml:space="preserve"> </w:t>
      </w:r>
      <w:r w:rsidR="00740A5B" w:rsidRPr="00740A5B">
        <w:rPr>
          <w:rFonts w:ascii="Arial Narrow" w:hAnsi="Arial Narrow" w:cs="Arial"/>
          <w:sz w:val="18"/>
          <w:szCs w:val="18"/>
          <w:vertAlign w:val="superscript"/>
        </w:rPr>
        <w:t>3</w:t>
      </w:r>
      <w:r w:rsidR="00740A5B">
        <w:rPr>
          <w:rFonts w:ascii="Arial Narrow" w:hAnsi="Arial Narrow" w:cs="Arial"/>
          <w:sz w:val="18"/>
          <w:szCs w:val="18"/>
        </w:rPr>
        <w:t xml:space="preserve"> </w:t>
      </w:r>
      <w:r w:rsidR="009E6E57">
        <w:rPr>
          <w:rFonts w:ascii="Arial Narrow" w:hAnsi="Arial Narrow" w:cs="Arial"/>
          <w:sz w:val="18"/>
          <w:szCs w:val="18"/>
        </w:rPr>
        <w:t>C</w:t>
      </w:r>
      <w:r w:rsidR="00740A5B">
        <w:rPr>
          <w:rFonts w:ascii="Arial Narrow" w:hAnsi="Arial Narrow" w:cs="Arial"/>
          <w:sz w:val="18"/>
          <w:szCs w:val="18"/>
        </w:rPr>
        <w:t xml:space="preserve">onsidered to be with </w:t>
      </w:r>
      <w:r w:rsidR="00740A5B" w:rsidRPr="00740A5B">
        <w:rPr>
          <w:rFonts w:ascii="Arial Narrow" w:hAnsi="Arial Narrow" w:cs="Arial"/>
          <w:sz w:val="18"/>
          <w:szCs w:val="18"/>
        </w:rPr>
        <w:t>the intent</w:t>
      </w:r>
      <w:r w:rsidR="00740A5B">
        <w:rPr>
          <w:rFonts w:ascii="Arial Narrow" w:hAnsi="Arial Narrow" w:cs="Arial"/>
          <w:sz w:val="18"/>
          <w:szCs w:val="18"/>
        </w:rPr>
        <w:t xml:space="preserve"> of treating for 52 weeks/year</w:t>
      </w:r>
      <w:r w:rsidR="000E715D">
        <w:rPr>
          <w:rFonts w:ascii="Arial Narrow" w:hAnsi="Arial Narrow" w:cs="Arial"/>
          <w:sz w:val="18"/>
          <w:szCs w:val="18"/>
        </w:rPr>
        <w:t>.</w:t>
      </w:r>
      <w:r w:rsidR="00216014">
        <w:rPr>
          <w:rFonts w:ascii="Arial Narrow" w:hAnsi="Arial Narrow" w:cs="Arial"/>
          <w:sz w:val="18"/>
          <w:szCs w:val="18"/>
          <w:vertAlign w:val="superscript"/>
        </w:rPr>
        <w:t xml:space="preserve"> </w:t>
      </w:r>
      <w:r w:rsidR="00740A5B">
        <w:rPr>
          <w:rFonts w:ascii="Arial Narrow" w:hAnsi="Arial Narrow" w:cs="Arial"/>
          <w:sz w:val="18"/>
          <w:szCs w:val="18"/>
          <w:vertAlign w:val="superscript"/>
        </w:rPr>
        <w:t>4</w:t>
      </w:r>
      <w:r w:rsidR="00780AFE" w:rsidRPr="004F47A0">
        <w:rPr>
          <w:rFonts w:ascii="Arial Narrow" w:hAnsi="Arial Narrow" w:cs="Arial"/>
          <w:sz w:val="18"/>
          <w:szCs w:val="18"/>
          <w:vertAlign w:val="superscript"/>
        </w:rPr>
        <w:t xml:space="preserve"> </w:t>
      </w:r>
      <w:r w:rsidR="00862E23" w:rsidRPr="004F47A0">
        <w:rPr>
          <w:rFonts w:ascii="Arial Narrow" w:hAnsi="Arial Narrow" w:cs="Arial"/>
          <w:sz w:val="18"/>
          <w:szCs w:val="18"/>
        </w:rPr>
        <w:t>In the HAVEN 1 trial</w:t>
      </w:r>
      <w:r w:rsidR="001E417C">
        <w:rPr>
          <w:rFonts w:ascii="Arial Narrow" w:hAnsi="Arial Narrow" w:cs="Arial"/>
          <w:sz w:val="18"/>
          <w:szCs w:val="18"/>
        </w:rPr>
        <w:t>,</w:t>
      </w:r>
      <w:r w:rsidR="00862E23" w:rsidRPr="004F47A0">
        <w:rPr>
          <w:rFonts w:ascii="Arial Narrow" w:hAnsi="Arial Narrow" w:cs="Arial"/>
          <w:sz w:val="18"/>
          <w:szCs w:val="18"/>
        </w:rPr>
        <w:t xml:space="preserve"> emicizumab was prescribed as follows: the loading dose consisted of 3.0 mg per kilogram of body weight weekly for </w:t>
      </w:r>
      <w:r w:rsidR="00662A6B" w:rsidRPr="00662A6B">
        <w:rPr>
          <w:rFonts w:ascii="Arial Narrow" w:hAnsi="Arial Narrow" w:cs="Arial"/>
          <w:sz w:val="18"/>
          <w:szCs w:val="18"/>
        </w:rPr>
        <w:t>four</w:t>
      </w:r>
      <w:r w:rsidR="00662A6B" w:rsidRPr="004F47A0">
        <w:rPr>
          <w:rFonts w:ascii="Arial Narrow" w:hAnsi="Arial Narrow" w:cs="Arial"/>
          <w:sz w:val="18"/>
          <w:szCs w:val="18"/>
        </w:rPr>
        <w:t xml:space="preserve"> </w:t>
      </w:r>
      <w:r w:rsidR="00862E23" w:rsidRPr="004F47A0">
        <w:rPr>
          <w:rFonts w:ascii="Arial Narrow" w:hAnsi="Arial Narrow" w:cs="Arial"/>
          <w:sz w:val="18"/>
          <w:szCs w:val="18"/>
        </w:rPr>
        <w:t>weeks followed by 1.5 mg/kg weekly thereafter. If after the loading dose period or in the subsequent time on trial</w:t>
      </w:r>
      <w:r w:rsidR="001E417C">
        <w:rPr>
          <w:rFonts w:ascii="Arial Narrow" w:hAnsi="Arial Narrow" w:cs="Arial"/>
          <w:sz w:val="18"/>
          <w:szCs w:val="18"/>
        </w:rPr>
        <w:t>,</w:t>
      </w:r>
      <w:r w:rsidR="00862E23" w:rsidRPr="004F47A0">
        <w:rPr>
          <w:rFonts w:ascii="Arial Narrow" w:hAnsi="Arial Narrow" w:cs="Arial"/>
          <w:sz w:val="18"/>
          <w:szCs w:val="18"/>
        </w:rPr>
        <w:t xml:space="preserve"> a patient experienced at least two spontaneous and clinically significant treated bleeds</w:t>
      </w:r>
      <w:r w:rsidR="001E417C">
        <w:rPr>
          <w:rFonts w:ascii="Arial Narrow" w:hAnsi="Arial Narrow" w:cs="Arial"/>
          <w:sz w:val="18"/>
          <w:szCs w:val="18"/>
        </w:rPr>
        <w:t>,</w:t>
      </w:r>
      <w:r w:rsidR="00862E23" w:rsidRPr="004F47A0">
        <w:rPr>
          <w:rFonts w:ascii="Arial Narrow" w:hAnsi="Arial Narrow" w:cs="Arial"/>
          <w:sz w:val="18"/>
          <w:szCs w:val="18"/>
        </w:rPr>
        <w:t xml:space="preserve"> they could increase the weekly dose to 3.0 mg/kg.</w:t>
      </w:r>
      <w:r w:rsidR="00216014">
        <w:rPr>
          <w:rFonts w:ascii="Arial Narrow" w:hAnsi="Arial Narrow" w:cs="Arial"/>
          <w:sz w:val="18"/>
          <w:szCs w:val="18"/>
          <w:vertAlign w:val="superscript"/>
        </w:rPr>
        <w:t xml:space="preserve"> </w:t>
      </w:r>
      <w:r w:rsidR="00740A5B" w:rsidRPr="00740A5B">
        <w:rPr>
          <w:rFonts w:ascii="Arial Narrow" w:hAnsi="Arial Narrow" w:cs="Arial"/>
          <w:sz w:val="18"/>
          <w:szCs w:val="18"/>
          <w:vertAlign w:val="superscript"/>
        </w:rPr>
        <w:t>5</w:t>
      </w:r>
      <w:r w:rsidR="007B0663">
        <w:rPr>
          <w:rFonts w:ascii="Arial Narrow" w:hAnsi="Arial Narrow" w:cs="Arial"/>
          <w:sz w:val="18"/>
          <w:szCs w:val="18"/>
        </w:rPr>
        <w:tab/>
        <w:t>O</w:t>
      </w:r>
      <w:r w:rsidR="007B0663" w:rsidRPr="007B0663">
        <w:rPr>
          <w:rFonts w:ascii="Arial Narrow" w:hAnsi="Arial Narrow" w:cs="Arial"/>
          <w:sz w:val="18"/>
          <w:szCs w:val="18"/>
        </w:rPr>
        <w:t>n-demand</w:t>
      </w:r>
      <w:r w:rsidR="007B0663">
        <w:rPr>
          <w:rFonts w:ascii="Arial Narrow" w:hAnsi="Arial Narrow" w:cs="Arial"/>
          <w:sz w:val="18"/>
          <w:szCs w:val="18"/>
        </w:rPr>
        <w:t xml:space="preserve"> (e</w:t>
      </w:r>
      <w:r w:rsidR="007B0663" w:rsidRPr="007B0663">
        <w:rPr>
          <w:rFonts w:ascii="Arial Narrow" w:hAnsi="Arial Narrow" w:cs="Arial"/>
          <w:sz w:val="18"/>
          <w:szCs w:val="18"/>
        </w:rPr>
        <w:t>pisodic</w:t>
      </w:r>
      <w:r w:rsidR="007B0663">
        <w:rPr>
          <w:rFonts w:ascii="Arial Narrow" w:hAnsi="Arial Narrow" w:cs="Arial"/>
          <w:sz w:val="18"/>
          <w:szCs w:val="18"/>
        </w:rPr>
        <w:t xml:space="preserve">) treatment: </w:t>
      </w:r>
      <w:r w:rsidR="007B0663" w:rsidRPr="007B0663">
        <w:rPr>
          <w:rFonts w:ascii="Arial Narrow" w:hAnsi="Arial Narrow" w:cs="Arial"/>
          <w:sz w:val="18"/>
          <w:szCs w:val="18"/>
        </w:rPr>
        <w:t>Treatment given at the time of clinically evident bleed</w:t>
      </w:r>
      <w:r w:rsidR="009E6E57">
        <w:rPr>
          <w:rFonts w:ascii="Arial Narrow" w:hAnsi="Arial Narrow" w:cs="Arial"/>
          <w:sz w:val="18"/>
          <w:szCs w:val="18"/>
        </w:rPr>
        <w:t>ing</w:t>
      </w:r>
      <w:r w:rsidR="000E5F7E">
        <w:rPr>
          <w:rFonts w:ascii="Arial Narrow" w:hAnsi="Arial Narrow" w:cs="Arial"/>
          <w:sz w:val="18"/>
          <w:szCs w:val="18"/>
        </w:rPr>
        <w:t>.</w:t>
      </w:r>
      <w:r w:rsidR="00216014">
        <w:rPr>
          <w:rFonts w:ascii="Arial Narrow" w:hAnsi="Arial Narrow" w:cs="Arial"/>
          <w:sz w:val="18"/>
          <w:szCs w:val="18"/>
        </w:rPr>
        <w:t xml:space="preserve"> </w:t>
      </w:r>
      <w:r w:rsidR="00211049">
        <w:rPr>
          <w:vertAlign w:val="superscript"/>
        </w:rPr>
        <w:t>6</w:t>
      </w:r>
      <w:r w:rsidR="000B1C03" w:rsidRPr="000B1C03">
        <w:rPr>
          <w:rFonts w:ascii="Arial Narrow" w:hAnsi="Arial Narrow" w:cs="Arial"/>
          <w:sz w:val="18"/>
          <w:szCs w:val="18"/>
        </w:rPr>
        <w:t xml:space="preserve">Regarding bleed rate, PASC noted a minimal 20-25% reduction would be considered clinically significant. </w:t>
      </w:r>
      <w:r w:rsidR="00DF1C05">
        <w:rPr>
          <w:sz w:val="20"/>
        </w:rPr>
        <w:br w:type="page"/>
      </w:r>
    </w:p>
    <w:p w14:paraId="6FD01069" w14:textId="1ED93934" w:rsidR="00763498" w:rsidRPr="00D80CD0" w:rsidRDefault="00763498" w:rsidP="00D80CD0">
      <w:pPr>
        <w:pStyle w:val="Heading1"/>
      </w:pPr>
      <w:r w:rsidRPr="00D80CD0">
        <w:lastRenderedPageBreak/>
        <w:t>Population two</w:t>
      </w:r>
    </w:p>
    <w:p w14:paraId="2221E9F9" w14:textId="45802C5A" w:rsidR="00862E23" w:rsidRPr="00335702" w:rsidRDefault="00862E23" w:rsidP="00BE2CC7">
      <w:r w:rsidRPr="00335702">
        <w:t>Summary of PICO/PPICO criteria to define the question(s) to be addressed in an Assessment Report to the Medical Services Advisory Committee (MSAC)</w:t>
      </w:r>
      <w:r w:rsidR="001E417C">
        <w:t>:</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58"/>
        <w:gridCol w:w="7384"/>
      </w:tblGrid>
      <w:tr w:rsidR="00862E23" w:rsidRPr="00662A6B" w14:paraId="26A0624C" w14:textId="77777777" w:rsidTr="00566B37">
        <w:trPr>
          <w:tblHeader/>
        </w:trPr>
        <w:tc>
          <w:tcPr>
            <w:tcW w:w="1005" w:type="pct"/>
            <w:tcBorders>
              <w:top w:val="single" w:sz="8" w:space="0" w:color="auto"/>
              <w:bottom w:val="single" w:sz="8" w:space="0" w:color="auto"/>
              <w:right w:val="single" w:sz="4" w:space="0" w:color="auto"/>
            </w:tcBorders>
            <w:shd w:val="clear" w:color="auto" w:fill="D9D9D9"/>
          </w:tcPr>
          <w:p w14:paraId="158F6935" w14:textId="77777777" w:rsidR="00862E23" w:rsidRPr="00662A6B" w:rsidRDefault="00862E23" w:rsidP="00023FF0">
            <w:pPr>
              <w:spacing w:before="60" w:after="60" w:line="240" w:lineRule="auto"/>
              <w:rPr>
                <w:rFonts w:ascii="Arial Narrow" w:hAnsi="Arial Narrow"/>
                <w:b/>
              </w:rPr>
            </w:pPr>
            <w:r w:rsidRPr="00662A6B">
              <w:rPr>
                <w:rFonts w:ascii="Arial Narrow" w:hAnsi="Arial Narrow"/>
                <w:b/>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D9D9D9"/>
          </w:tcPr>
          <w:p w14:paraId="39C3C66F" w14:textId="77777777" w:rsidR="00862E23" w:rsidRPr="00662A6B" w:rsidRDefault="00862E23" w:rsidP="00023FF0">
            <w:pPr>
              <w:spacing w:before="60" w:after="60" w:line="240" w:lineRule="auto"/>
              <w:jc w:val="both"/>
              <w:rPr>
                <w:rFonts w:ascii="Arial Narrow" w:hAnsi="Arial Narrow"/>
                <w:b/>
              </w:rPr>
            </w:pPr>
            <w:r w:rsidRPr="00662A6B">
              <w:rPr>
                <w:rFonts w:ascii="Arial Narrow" w:hAnsi="Arial Narrow"/>
                <w:b/>
              </w:rPr>
              <w:t>Description</w:t>
            </w:r>
          </w:p>
        </w:tc>
      </w:tr>
      <w:tr w:rsidR="00862E23" w:rsidRPr="00662A6B" w14:paraId="08913922" w14:textId="77777777" w:rsidTr="00566B37">
        <w:tc>
          <w:tcPr>
            <w:tcW w:w="1005" w:type="pct"/>
            <w:tcBorders>
              <w:top w:val="single" w:sz="8" w:space="0" w:color="auto"/>
              <w:right w:val="single" w:sz="4" w:space="0" w:color="auto"/>
            </w:tcBorders>
          </w:tcPr>
          <w:p w14:paraId="71E7CC82" w14:textId="77777777" w:rsidR="00862E23" w:rsidRPr="00662A6B" w:rsidRDefault="00862E23" w:rsidP="00023FF0">
            <w:pPr>
              <w:spacing w:before="60" w:after="60" w:line="240" w:lineRule="auto"/>
              <w:rPr>
                <w:rFonts w:ascii="Arial Narrow" w:hAnsi="Arial Narrow" w:cs="Arial"/>
              </w:rPr>
            </w:pPr>
            <w:r w:rsidRPr="00662A6B">
              <w:rPr>
                <w:rFonts w:ascii="Arial Narrow" w:hAnsi="Arial Narrow" w:cs="Arial"/>
              </w:rPr>
              <w:t>Patients</w:t>
            </w:r>
          </w:p>
        </w:tc>
        <w:tc>
          <w:tcPr>
            <w:tcW w:w="3995" w:type="pct"/>
            <w:tcBorders>
              <w:top w:val="single" w:sz="4" w:space="0" w:color="auto"/>
              <w:left w:val="single" w:sz="4" w:space="0" w:color="auto"/>
              <w:bottom w:val="single" w:sz="4" w:space="0" w:color="auto"/>
              <w:right w:val="single" w:sz="4" w:space="0" w:color="auto"/>
            </w:tcBorders>
          </w:tcPr>
          <w:p w14:paraId="649D7B54" w14:textId="5BAEDB8C" w:rsidR="00862E23" w:rsidRPr="00F74008" w:rsidRDefault="00862E23" w:rsidP="00100E5D">
            <w:pPr>
              <w:spacing w:before="60" w:after="60"/>
              <w:rPr>
                <w:rFonts w:ascii="Arial Narrow" w:hAnsi="Arial Narrow"/>
                <w:vanish/>
                <w:color w:val="FF0000"/>
                <w:vertAlign w:val="superscript"/>
              </w:rPr>
            </w:pPr>
            <w:r w:rsidRPr="00662A6B">
              <w:rPr>
                <w:rFonts w:ascii="Arial Narrow" w:hAnsi="Arial Narrow"/>
              </w:rPr>
              <w:t>Patients with congenital haemophilia A</w:t>
            </w:r>
            <w:r w:rsidRPr="00662A6B">
              <w:rPr>
                <w:rFonts w:ascii="Arial Narrow" w:hAnsi="Arial Narrow"/>
                <w:vertAlign w:val="superscript"/>
              </w:rPr>
              <w:t>1</w:t>
            </w:r>
            <w:r w:rsidRPr="00662A6B">
              <w:rPr>
                <w:rFonts w:ascii="Arial Narrow" w:hAnsi="Arial Narrow"/>
                <w:color w:val="FF0000"/>
              </w:rPr>
              <w:t xml:space="preserve"> </w:t>
            </w:r>
            <w:r w:rsidR="00BE2CC7" w:rsidRPr="00F74008">
              <w:rPr>
                <w:rFonts w:ascii="Arial Narrow" w:hAnsi="Arial Narrow"/>
              </w:rPr>
              <w:t xml:space="preserve">without </w:t>
            </w:r>
            <w:r w:rsidR="00BE2CC7" w:rsidRPr="00662A6B">
              <w:rPr>
                <w:rFonts w:ascii="Arial Narrow" w:hAnsi="Arial Narrow"/>
              </w:rPr>
              <w:t>Factor VIII inhibitors</w:t>
            </w:r>
            <w:r w:rsidR="00F74008">
              <w:rPr>
                <w:rFonts w:ascii="Arial Narrow" w:hAnsi="Arial Narrow"/>
                <w:vertAlign w:val="superscript"/>
              </w:rPr>
              <w:t>2</w:t>
            </w:r>
          </w:p>
        </w:tc>
      </w:tr>
      <w:tr w:rsidR="00862E23" w:rsidRPr="00662A6B" w14:paraId="6C0EB620" w14:textId="77777777" w:rsidTr="004A2A19">
        <w:trPr>
          <w:trHeight w:val="757"/>
        </w:trPr>
        <w:tc>
          <w:tcPr>
            <w:tcW w:w="1005" w:type="pct"/>
            <w:tcBorders>
              <w:right w:val="single" w:sz="4" w:space="0" w:color="auto"/>
            </w:tcBorders>
          </w:tcPr>
          <w:p w14:paraId="46498B3E" w14:textId="77777777" w:rsidR="00862E23" w:rsidRPr="00662A6B" w:rsidRDefault="00862E23" w:rsidP="00023FF0">
            <w:pPr>
              <w:spacing w:before="60" w:after="60" w:line="240" w:lineRule="auto"/>
              <w:rPr>
                <w:rFonts w:ascii="Arial Narrow" w:hAnsi="Arial Narrow" w:cs="Arial"/>
              </w:rPr>
            </w:pPr>
            <w:r w:rsidRPr="00662A6B">
              <w:rPr>
                <w:rFonts w:ascii="Arial Narrow" w:hAnsi="Arial Narrow" w:cs="Arial"/>
              </w:rPr>
              <w:t>Intervention</w:t>
            </w:r>
          </w:p>
        </w:tc>
        <w:tc>
          <w:tcPr>
            <w:tcW w:w="3995" w:type="pct"/>
            <w:tcBorders>
              <w:top w:val="single" w:sz="4" w:space="0" w:color="auto"/>
              <w:left w:val="single" w:sz="4" w:space="0" w:color="auto"/>
              <w:bottom w:val="single" w:sz="4" w:space="0" w:color="auto"/>
              <w:right w:val="single" w:sz="4" w:space="0" w:color="auto"/>
            </w:tcBorders>
          </w:tcPr>
          <w:p w14:paraId="0E6FA4B7" w14:textId="2A937391" w:rsidR="00862E23" w:rsidRPr="004A2A19" w:rsidRDefault="008C6CB0" w:rsidP="00D80CD0">
            <w:pPr>
              <w:spacing w:before="60" w:after="60"/>
              <w:rPr>
                <w:rFonts w:ascii="Arial Narrow" w:hAnsi="Arial Narrow"/>
              </w:rPr>
            </w:pPr>
            <w:r>
              <w:rPr>
                <w:rFonts w:ascii="Arial Narrow" w:hAnsi="Arial Narrow"/>
              </w:rPr>
              <w:t>P</w:t>
            </w:r>
            <w:r w:rsidR="00862E23" w:rsidRPr="00662A6B">
              <w:rPr>
                <w:rFonts w:ascii="Arial Narrow" w:hAnsi="Arial Narrow"/>
              </w:rPr>
              <w:t>rophylaxis</w:t>
            </w:r>
            <w:r w:rsidR="00740A5B">
              <w:rPr>
                <w:rFonts w:ascii="Arial Narrow" w:hAnsi="Arial Narrow"/>
                <w:vertAlign w:val="superscript"/>
              </w:rPr>
              <w:t>3</w:t>
            </w:r>
            <w:r w:rsidR="00862E23" w:rsidRPr="00662A6B">
              <w:rPr>
                <w:rFonts w:ascii="Arial Narrow" w:hAnsi="Arial Narrow"/>
              </w:rPr>
              <w:t xml:space="preserve"> with emicizumab</w:t>
            </w:r>
            <w:r w:rsidR="00740A5B">
              <w:rPr>
                <w:rFonts w:ascii="Arial Narrow" w:hAnsi="Arial Narrow"/>
                <w:vertAlign w:val="superscript"/>
              </w:rPr>
              <w:t>4</w:t>
            </w:r>
            <w:r w:rsidR="00662A6B">
              <w:rPr>
                <w:rFonts w:ascii="Arial Narrow" w:hAnsi="Arial Narrow"/>
                <w:vertAlign w:val="superscript"/>
              </w:rPr>
              <w:t xml:space="preserve"> </w:t>
            </w:r>
            <w:r w:rsidR="00D80CD0">
              <w:rPr>
                <w:rFonts w:ascii="Arial Narrow" w:hAnsi="Arial Narrow"/>
              </w:rPr>
              <w:t>plus on-</w:t>
            </w:r>
            <w:r w:rsidR="00662A6B" w:rsidRPr="00662A6B">
              <w:rPr>
                <w:rFonts w:ascii="Arial Narrow" w:hAnsi="Arial Narrow"/>
              </w:rPr>
              <w:t>demand</w:t>
            </w:r>
            <w:r w:rsidR="00740A5B">
              <w:rPr>
                <w:rFonts w:ascii="Arial Narrow" w:hAnsi="Arial Narrow"/>
                <w:vertAlign w:val="superscript"/>
              </w:rPr>
              <w:t>5</w:t>
            </w:r>
            <w:r w:rsidR="00662A6B" w:rsidRPr="00662A6B">
              <w:rPr>
                <w:rFonts w:ascii="Arial Narrow" w:hAnsi="Arial Narrow"/>
              </w:rPr>
              <w:t xml:space="preserve"> </w:t>
            </w:r>
            <w:r w:rsidR="00D80CD0" w:rsidRPr="00D80CD0">
              <w:rPr>
                <w:rFonts w:ascii="Arial Narrow" w:hAnsi="Arial Narrow"/>
              </w:rPr>
              <w:t xml:space="preserve">factor VIII to treat bleeds or </w:t>
            </w:r>
            <w:r>
              <w:rPr>
                <w:rFonts w:ascii="Arial Narrow" w:hAnsi="Arial Narrow"/>
              </w:rPr>
              <w:t xml:space="preserve">as </w:t>
            </w:r>
            <w:r w:rsidR="00D80CD0" w:rsidRPr="00D80CD0">
              <w:rPr>
                <w:rFonts w:ascii="Arial Narrow" w:hAnsi="Arial Narrow"/>
              </w:rPr>
              <w:t>surgical cover</w:t>
            </w:r>
          </w:p>
        </w:tc>
      </w:tr>
      <w:tr w:rsidR="00862E23" w:rsidRPr="00662A6B" w14:paraId="625B9C4F" w14:textId="77777777" w:rsidTr="00023FF0">
        <w:trPr>
          <w:trHeight w:val="881"/>
        </w:trPr>
        <w:tc>
          <w:tcPr>
            <w:tcW w:w="1005" w:type="pct"/>
            <w:tcBorders>
              <w:right w:val="single" w:sz="4" w:space="0" w:color="auto"/>
            </w:tcBorders>
          </w:tcPr>
          <w:p w14:paraId="0B6DEBEE" w14:textId="77777777" w:rsidR="00862E23" w:rsidRPr="00662A6B" w:rsidRDefault="00862E23" w:rsidP="00023FF0">
            <w:pPr>
              <w:spacing w:before="60" w:after="60"/>
              <w:rPr>
                <w:rFonts w:ascii="Arial Narrow" w:hAnsi="Arial Narrow"/>
              </w:rPr>
            </w:pPr>
            <w:r w:rsidRPr="00662A6B">
              <w:rPr>
                <w:rFonts w:ascii="Arial Narrow" w:hAnsi="Arial Narrow"/>
              </w:rPr>
              <w:t>Comparator</w:t>
            </w:r>
          </w:p>
        </w:tc>
        <w:tc>
          <w:tcPr>
            <w:tcW w:w="3995" w:type="pct"/>
            <w:tcBorders>
              <w:top w:val="single" w:sz="4" w:space="0" w:color="auto"/>
              <w:left w:val="single" w:sz="4" w:space="0" w:color="auto"/>
              <w:bottom w:val="single" w:sz="4" w:space="0" w:color="auto"/>
              <w:right w:val="single" w:sz="4" w:space="0" w:color="auto"/>
            </w:tcBorders>
          </w:tcPr>
          <w:p w14:paraId="1300B825" w14:textId="26E11570" w:rsidR="00862E23" w:rsidRPr="00662A6B" w:rsidRDefault="008C6CB0" w:rsidP="00023FF0">
            <w:pPr>
              <w:spacing w:before="60" w:after="60"/>
              <w:rPr>
                <w:rFonts w:ascii="Arial Narrow" w:hAnsi="Arial Narrow"/>
              </w:rPr>
            </w:pPr>
            <w:r>
              <w:rPr>
                <w:rFonts w:ascii="Arial Narrow" w:hAnsi="Arial Narrow"/>
              </w:rPr>
              <w:t>P</w:t>
            </w:r>
            <w:r w:rsidR="00862E23" w:rsidRPr="00662A6B">
              <w:rPr>
                <w:rFonts w:ascii="Arial Narrow" w:hAnsi="Arial Narrow"/>
              </w:rPr>
              <w:t>rophylaxis</w:t>
            </w:r>
            <w:r w:rsidR="004C5C11">
              <w:rPr>
                <w:rFonts w:ascii="Arial Narrow" w:hAnsi="Arial Narrow"/>
                <w:vertAlign w:val="superscript"/>
              </w:rPr>
              <w:t>3</w:t>
            </w:r>
            <w:r w:rsidR="00862E23" w:rsidRPr="00662A6B">
              <w:rPr>
                <w:rFonts w:ascii="Arial Narrow" w:hAnsi="Arial Narrow"/>
              </w:rPr>
              <w:t xml:space="preserve"> with factor VIII</w:t>
            </w:r>
            <w:r w:rsidR="00DD3B9E">
              <w:rPr>
                <w:rFonts w:ascii="Arial Narrow" w:hAnsi="Arial Narrow"/>
              </w:rPr>
              <w:t xml:space="preserve"> plus on-demand factor VIII to treat bleeds</w:t>
            </w:r>
          </w:p>
          <w:p w14:paraId="6DA9B692" w14:textId="0570E29E" w:rsidR="00763498" w:rsidRPr="00662A6B" w:rsidRDefault="00763498" w:rsidP="00763498">
            <w:pPr>
              <w:spacing w:before="60" w:after="60"/>
              <w:rPr>
                <w:rFonts w:ascii="Arial Narrow" w:hAnsi="Arial Narrow"/>
              </w:rPr>
            </w:pPr>
            <w:r w:rsidRPr="00662A6B">
              <w:rPr>
                <w:rFonts w:ascii="Arial Narrow" w:hAnsi="Arial Narrow"/>
              </w:rPr>
              <w:t>No prophylaxis plus</w:t>
            </w:r>
            <w:r w:rsidR="00D80CD0">
              <w:rPr>
                <w:rFonts w:ascii="Arial Narrow" w:hAnsi="Arial Narrow"/>
              </w:rPr>
              <w:t xml:space="preserve"> on-</w:t>
            </w:r>
            <w:r w:rsidRPr="00662A6B">
              <w:rPr>
                <w:rFonts w:ascii="Arial Narrow" w:hAnsi="Arial Narrow"/>
              </w:rPr>
              <w:t xml:space="preserve">demand </w:t>
            </w:r>
            <w:r w:rsidR="00662A6B" w:rsidRPr="00662A6B">
              <w:rPr>
                <w:rFonts w:ascii="Arial Narrow" w:hAnsi="Arial Narrow"/>
              </w:rPr>
              <w:t xml:space="preserve">factor VIII </w:t>
            </w:r>
            <w:r w:rsidRPr="00662A6B">
              <w:rPr>
                <w:rFonts w:ascii="Arial Narrow" w:hAnsi="Arial Narrow"/>
              </w:rPr>
              <w:t>to treat bleeds or</w:t>
            </w:r>
            <w:r w:rsidR="008C6CB0">
              <w:rPr>
                <w:rFonts w:ascii="Arial Narrow" w:hAnsi="Arial Narrow"/>
              </w:rPr>
              <w:t xml:space="preserve"> as</w:t>
            </w:r>
            <w:r w:rsidRPr="00662A6B">
              <w:rPr>
                <w:rFonts w:ascii="Arial Narrow" w:hAnsi="Arial Narrow"/>
              </w:rPr>
              <w:t xml:space="preserve"> surgical cover</w:t>
            </w:r>
          </w:p>
          <w:p w14:paraId="1DA51D23" w14:textId="0869081B" w:rsidR="00862E23" w:rsidRPr="00662A6B" w:rsidRDefault="00862E23" w:rsidP="00023FF0">
            <w:pPr>
              <w:spacing w:before="60" w:after="60"/>
              <w:rPr>
                <w:rFonts w:ascii="Arial Narrow" w:hAnsi="Arial Narrow"/>
              </w:rPr>
            </w:pPr>
          </w:p>
        </w:tc>
      </w:tr>
      <w:tr w:rsidR="00862E23" w:rsidRPr="00662A6B" w14:paraId="3CB3CFE1" w14:textId="77777777" w:rsidTr="00566B37">
        <w:tc>
          <w:tcPr>
            <w:tcW w:w="1005" w:type="pct"/>
            <w:tcBorders>
              <w:right w:val="single" w:sz="4" w:space="0" w:color="auto"/>
            </w:tcBorders>
          </w:tcPr>
          <w:p w14:paraId="6F885F4F" w14:textId="77777777" w:rsidR="00862E23" w:rsidRPr="00662A6B" w:rsidRDefault="00862E23" w:rsidP="00023FF0">
            <w:pPr>
              <w:spacing w:before="60" w:after="60"/>
              <w:rPr>
                <w:rFonts w:ascii="Arial Narrow" w:hAnsi="Arial Narrow"/>
              </w:rPr>
            </w:pPr>
            <w:r w:rsidRPr="00662A6B">
              <w:rPr>
                <w:rFonts w:ascii="Arial Narrow" w:hAnsi="Arial Narrow"/>
              </w:rPr>
              <w:t>Outcomes</w:t>
            </w:r>
          </w:p>
        </w:tc>
        <w:tc>
          <w:tcPr>
            <w:tcW w:w="3995" w:type="pct"/>
            <w:tcBorders>
              <w:top w:val="single" w:sz="4" w:space="0" w:color="auto"/>
              <w:left w:val="single" w:sz="4" w:space="0" w:color="auto"/>
              <w:bottom w:val="single" w:sz="4" w:space="0" w:color="auto"/>
              <w:right w:val="single" w:sz="4" w:space="0" w:color="auto"/>
            </w:tcBorders>
          </w:tcPr>
          <w:p w14:paraId="5DBD4705" w14:textId="77777777" w:rsidR="00862E23" w:rsidRPr="00662A6B" w:rsidRDefault="00862E23" w:rsidP="00023FF0">
            <w:pPr>
              <w:spacing w:before="60" w:after="60"/>
              <w:rPr>
                <w:rFonts w:ascii="Arial Narrow" w:hAnsi="Arial Narrow"/>
              </w:rPr>
            </w:pPr>
            <w:r w:rsidRPr="00662A6B">
              <w:rPr>
                <w:rFonts w:ascii="Arial Narrow" w:hAnsi="Arial Narrow"/>
              </w:rPr>
              <w:t>Safety</w:t>
            </w:r>
          </w:p>
          <w:p w14:paraId="415A6541" w14:textId="77777777" w:rsidR="00862E23" w:rsidRPr="00662A6B" w:rsidRDefault="00862E23" w:rsidP="007E0759">
            <w:pPr>
              <w:pStyle w:val="ListParagraph"/>
              <w:numPr>
                <w:ilvl w:val="0"/>
                <w:numId w:val="22"/>
              </w:numPr>
              <w:spacing w:before="60" w:after="60"/>
              <w:rPr>
                <w:rFonts w:ascii="Arial Narrow" w:hAnsi="Arial Narrow"/>
              </w:rPr>
            </w:pPr>
            <w:r w:rsidRPr="00662A6B">
              <w:rPr>
                <w:rFonts w:ascii="Arial Narrow" w:hAnsi="Arial Narrow"/>
              </w:rPr>
              <w:t>Incidence and severity of adverse events</w:t>
            </w:r>
          </w:p>
          <w:p w14:paraId="43EB51AB" w14:textId="77777777" w:rsidR="00862E23" w:rsidRPr="00662A6B" w:rsidRDefault="00862E23" w:rsidP="007E0759">
            <w:pPr>
              <w:pStyle w:val="ListParagraph"/>
              <w:numPr>
                <w:ilvl w:val="0"/>
                <w:numId w:val="22"/>
              </w:numPr>
              <w:spacing w:before="60" w:after="60"/>
              <w:rPr>
                <w:rFonts w:ascii="Arial Narrow" w:hAnsi="Arial Narrow"/>
              </w:rPr>
            </w:pPr>
            <w:r w:rsidRPr="00662A6B">
              <w:rPr>
                <w:rFonts w:ascii="Arial Narrow" w:hAnsi="Arial Narrow"/>
              </w:rPr>
              <w:t>Mortality</w:t>
            </w:r>
          </w:p>
          <w:p w14:paraId="35A8EBE8" w14:textId="77777777" w:rsidR="00862E23" w:rsidRPr="00662A6B" w:rsidRDefault="00862E23" w:rsidP="00023FF0">
            <w:pPr>
              <w:spacing w:before="60" w:after="60"/>
              <w:rPr>
                <w:rFonts w:ascii="Arial Narrow" w:hAnsi="Arial Narrow"/>
              </w:rPr>
            </w:pPr>
            <w:r w:rsidRPr="00662A6B">
              <w:rPr>
                <w:rFonts w:ascii="Arial Narrow" w:hAnsi="Arial Narrow"/>
              </w:rPr>
              <w:t>Effectiveness</w:t>
            </w:r>
          </w:p>
          <w:p w14:paraId="2C6EF481" w14:textId="77777777" w:rsidR="00862E23" w:rsidRPr="00662A6B" w:rsidRDefault="00862E23" w:rsidP="007E0759">
            <w:pPr>
              <w:pStyle w:val="ListParagraph"/>
              <w:numPr>
                <w:ilvl w:val="0"/>
                <w:numId w:val="23"/>
              </w:numPr>
              <w:spacing w:before="60" w:after="60"/>
              <w:rPr>
                <w:rFonts w:ascii="Arial Narrow" w:hAnsi="Arial Narrow"/>
              </w:rPr>
            </w:pPr>
            <w:r w:rsidRPr="00662A6B">
              <w:rPr>
                <w:rFonts w:ascii="Arial Narrow" w:hAnsi="Arial Narrow"/>
              </w:rPr>
              <w:t>Primary effectiveness</w:t>
            </w:r>
          </w:p>
          <w:p w14:paraId="37A6CECF" w14:textId="1B0564B0" w:rsidR="00862E23" w:rsidRPr="00662A6B" w:rsidRDefault="00862E23" w:rsidP="007E0759">
            <w:pPr>
              <w:pStyle w:val="ListParagraph"/>
              <w:numPr>
                <w:ilvl w:val="1"/>
                <w:numId w:val="23"/>
              </w:numPr>
              <w:spacing w:before="60" w:after="60"/>
              <w:rPr>
                <w:rFonts w:ascii="Arial Narrow" w:hAnsi="Arial Narrow"/>
              </w:rPr>
            </w:pPr>
            <w:r w:rsidRPr="00662A6B">
              <w:rPr>
                <w:rFonts w:ascii="Arial Narrow" w:hAnsi="Arial Narrow"/>
              </w:rPr>
              <w:t>Reduction in number of bleeds over time (bleed rate)</w:t>
            </w:r>
            <w:r w:rsidR="000B1C03">
              <w:rPr>
                <w:rFonts w:ascii="Arial Narrow" w:hAnsi="Arial Narrow"/>
                <w:vertAlign w:val="superscript"/>
              </w:rPr>
              <w:t>6</w:t>
            </w:r>
          </w:p>
          <w:p w14:paraId="15589BCA" w14:textId="77777777" w:rsidR="00862E23" w:rsidRPr="00662A6B" w:rsidRDefault="00862E23" w:rsidP="007E0759">
            <w:pPr>
              <w:pStyle w:val="ListParagraph"/>
              <w:numPr>
                <w:ilvl w:val="0"/>
                <w:numId w:val="23"/>
              </w:numPr>
              <w:spacing w:before="60" w:after="60"/>
              <w:rPr>
                <w:rFonts w:ascii="Arial Narrow" w:hAnsi="Arial Narrow"/>
              </w:rPr>
            </w:pPr>
            <w:r w:rsidRPr="00662A6B">
              <w:rPr>
                <w:rFonts w:ascii="Arial Narrow" w:hAnsi="Arial Narrow"/>
              </w:rPr>
              <w:t>Secondary effectiveness</w:t>
            </w:r>
          </w:p>
          <w:p w14:paraId="4EB449C2" w14:textId="2B52200A" w:rsidR="000B1C03" w:rsidRDefault="000B1C03" w:rsidP="007E0759">
            <w:pPr>
              <w:pStyle w:val="ListParagraph"/>
              <w:numPr>
                <w:ilvl w:val="1"/>
                <w:numId w:val="23"/>
              </w:numPr>
              <w:spacing w:before="60" w:after="60"/>
              <w:rPr>
                <w:rFonts w:ascii="Arial Narrow" w:hAnsi="Arial Narrow"/>
              </w:rPr>
            </w:pPr>
            <w:r>
              <w:rPr>
                <w:rFonts w:ascii="Arial Narrow" w:hAnsi="Arial Narrow"/>
              </w:rPr>
              <w:t>Responder status</w:t>
            </w:r>
          </w:p>
          <w:p w14:paraId="035D5DE4" w14:textId="2A182F42" w:rsidR="00862E23" w:rsidRPr="00662A6B" w:rsidRDefault="00862E23" w:rsidP="007E0759">
            <w:pPr>
              <w:pStyle w:val="ListParagraph"/>
              <w:numPr>
                <w:ilvl w:val="1"/>
                <w:numId w:val="23"/>
              </w:numPr>
              <w:spacing w:before="60" w:after="60"/>
              <w:rPr>
                <w:rFonts w:ascii="Arial Narrow" w:hAnsi="Arial Narrow"/>
              </w:rPr>
            </w:pPr>
            <w:r w:rsidRPr="00662A6B">
              <w:rPr>
                <w:rFonts w:ascii="Arial Narrow" w:hAnsi="Arial Narrow"/>
              </w:rPr>
              <w:t>Other bleeding related outcomes such as: reduction in number of joint bleeds over time, reduction in number of target joint bleeds over time, reduces individual bleed rate compared to historical bleed rate and number of treated bleeds per month or year etc.</w:t>
            </w:r>
          </w:p>
          <w:p w14:paraId="2FE7AE93" w14:textId="77777777" w:rsidR="00862E23" w:rsidRPr="00662A6B" w:rsidRDefault="00862E23" w:rsidP="007E0759">
            <w:pPr>
              <w:pStyle w:val="ListParagraph"/>
              <w:numPr>
                <w:ilvl w:val="1"/>
                <w:numId w:val="23"/>
              </w:numPr>
              <w:spacing w:before="60" w:after="60"/>
              <w:rPr>
                <w:rFonts w:ascii="Arial Narrow" w:hAnsi="Arial Narrow"/>
              </w:rPr>
            </w:pPr>
            <w:r w:rsidRPr="00662A6B">
              <w:rPr>
                <w:rFonts w:ascii="Arial Narrow" w:hAnsi="Arial Narrow"/>
              </w:rPr>
              <w:t>Health-related quality of life</w:t>
            </w:r>
          </w:p>
          <w:p w14:paraId="66210076" w14:textId="77777777" w:rsidR="00862E23" w:rsidRPr="00662A6B" w:rsidRDefault="00862E23" w:rsidP="007E0759">
            <w:pPr>
              <w:pStyle w:val="ListParagraph"/>
              <w:numPr>
                <w:ilvl w:val="1"/>
                <w:numId w:val="23"/>
              </w:numPr>
              <w:spacing w:before="60" w:after="60"/>
              <w:rPr>
                <w:rFonts w:ascii="Arial Narrow" w:hAnsi="Arial Narrow"/>
              </w:rPr>
            </w:pPr>
            <w:r w:rsidRPr="00662A6B">
              <w:rPr>
                <w:rFonts w:ascii="Arial Narrow" w:hAnsi="Arial Narrow"/>
              </w:rPr>
              <w:t>Joint health outcomes</w:t>
            </w:r>
          </w:p>
          <w:p w14:paraId="1B1B9E83" w14:textId="77777777" w:rsidR="00862E23" w:rsidRPr="00662A6B" w:rsidRDefault="00862E23" w:rsidP="007E0759">
            <w:pPr>
              <w:pStyle w:val="ListParagraph"/>
              <w:numPr>
                <w:ilvl w:val="1"/>
                <w:numId w:val="23"/>
              </w:numPr>
              <w:spacing w:before="60" w:after="60"/>
              <w:rPr>
                <w:rFonts w:ascii="Arial Narrow" w:hAnsi="Arial Narrow"/>
              </w:rPr>
            </w:pPr>
            <w:r w:rsidRPr="00662A6B">
              <w:rPr>
                <w:rFonts w:ascii="Arial Narrow" w:hAnsi="Arial Narrow"/>
              </w:rPr>
              <w:t>Chronic pain associated with haemophilia</w:t>
            </w:r>
          </w:p>
          <w:p w14:paraId="5475E22B" w14:textId="77777777" w:rsidR="00862E23" w:rsidRPr="00662A6B" w:rsidRDefault="00862E23" w:rsidP="007E0759">
            <w:pPr>
              <w:pStyle w:val="ListParagraph"/>
              <w:numPr>
                <w:ilvl w:val="1"/>
                <w:numId w:val="23"/>
              </w:numPr>
              <w:spacing w:before="60" w:after="60"/>
              <w:rPr>
                <w:rFonts w:ascii="Arial Narrow" w:hAnsi="Arial Narrow"/>
              </w:rPr>
            </w:pPr>
            <w:r w:rsidRPr="00662A6B">
              <w:rPr>
                <w:rFonts w:ascii="Arial Narrow" w:hAnsi="Arial Narrow"/>
              </w:rPr>
              <w:t>Number of missed days of work/activity/school</w:t>
            </w:r>
          </w:p>
          <w:p w14:paraId="49727A24" w14:textId="77777777" w:rsidR="00862E23" w:rsidRPr="00662A6B" w:rsidRDefault="00862E23" w:rsidP="00023FF0">
            <w:pPr>
              <w:spacing w:before="60" w:after="60"/>
              <w:rPr>
                <w:rFonts w:ascii="Arial Narrow" w:hAnsi="Arial Narrow"/>
              </w:rPr>
            </w:pPr>
            <w:r w:rsidRPr="00662A6B">
              <w:rPr>
                <w:rFonts w:ascii="Arial Narrow" w:hAnsi="Arial Narrow"/>
              </w:rPr>
              <w:t>Healthcare resources</w:t>
            </w:r>
          </w:p>
          <w:p w14:paraId="47C48DD8" w14:textId="46FE2A2C" w:rsidR="00862E23" w:rsidRPr="00662A6B" w:rsidRDefault="00862E23" w:rsidP="007E0759">
            <w:pPr>
              <w:pStyle w:val="ListParagraph"/>
              <w:numPr>
                <w:ilvl w:val="0"/>
                <w:numId w:val="23"/>
              </w:numPr>
              <w:spacing w:before="60" w:after="60"/>
              <w:rPr>
                <w:rFonts w:ascii="Arial Narrow" w:hAnsi="Arial Narrow"/>
              </w:rPr>
            </w:pPr>
            <w:r w:rsidRPr="00662A6B">
              <w:rPr>
                <w:rFonts w:ascii="Arial Narrow" w:hAnsi="Arial Narrow"/>
              </w:rPr>
              <w:t>Cost offsets</w:t>
            </w:r>
            <w:r w:rsidR="000B1C03">
              <w:rPr>
                <w:rFonts w:ascii="Arial Narrow" w:hAnsi="Arial Narrow"/>
              </w:rPr>
              <w:t xml:space="preserve"> (including costs of immune tolerance therapy)</w:t>
            </w:r>
          </w:p>
          <w:p w14:paraId="5A827E58" w14:textId="77777777" w:rsidR="00862E23" w:rsidRPr="00662A6B" w:rsidRDefault="00862E23" w:rsidP="007E0759">
            <w:pPr>
              <w:pStyle w:val="ListParagraph"/>
              <w:numPr>
                <w:ilvl w:val="0"/>
                <w:numId w:val="23"/>
              </w:numPr>
              <w:spacing w:before="60" w:after="60"/>
              <w:rPr>
                <w:rFonts w:ascii="Arial Narrow" w:hAnsi="Arial Narrow"/>
              </w:rPr>
            </w:pPr>
            <w:r w:rsidRPr="00662A6B">
              <w:rPr>
                <w:rFonts w:ascii="Arial Narrow" w:hAnsi="Arial Narrow"/>
              </w:rPr>
              <w:t>Costs of delivering the intervention</w:t>
            </w:r>
          </w:p>
          <w:p w14:paraId="2C798363" w14:textId="77777777" w:rsidR="00862E23" w:rsidRDefault="00862E23" w:rsidP="0000365E">
            <w:pPr>
              <w:pStyle w:val="ListParagraph"/>
              <w:numPr>
                <w:ilvl w:val="0"/>
                <w:numId w:val="23"/>
              </w:numPr>
              <w:spacing w:before="60" w:after="60"/>
              <w:rPr>
                <w:rFonts w:ascii="Arial Narrow" w:hAnsi="Arial Narrow"/>
              </w:rPr>
            </w:pPr>
            <w:r w:rsidRPr="00662A6B">
              <w:rPr>
                <w:rFonts w:ascii="Arial Narrow" w:hAnsi="Arial Narrow"/>
              </w:rPr>
              <w:t>Costs of managing adverse events or breakthrough bleeding</w:t>
            </w:r>
          </w:p>
          <w:p w14:paraId="1E1F7CD2" w14:textId="77777777" w:rsidR="00A33735" w:rsidRDefault="00A33735" w:rsidP="00A33735">
            <w:pPr>
              <w:pStyle w:val="ListParagraph"/>
              <w:numPr>
                <w:ilvl w:val="0"/>
                <w:numId w:val="23"/>
              </w:numPr>
              <w:spacing w:before="60" w:after="60"/>
              <w:rPr>
                <w:rFonts w:ascii="Arial Narrow" w:hAnsi="Arial Narrow"/>
              </w:rPr>
            </w:pPr>
            <w:r>
              <w:rPr>
                <w:rFonts w:ascii="Arial Narrow" w:hAnsi="Arial Narrow"/>
              </w:rPr>
              <w:t>Cost per Quality Adjusted Life-Year (QALY) gained</w:t>
            </w:r>
          </w:p>
          <w:p w14:paraId="5B35DEDE" w14:textId="3BDFFBFA" w:rsidR="0000365E" w:rsidRPr="00F46D95" w:rsidRDefault="0000365E" w:rsidP="00F46D95">
            <w:pPr>
              <w:spacing w:before="60" w:after="60"/>
              <w:ind w:left="360"/>
              <w:rPr>
                <w:rFonts w:ascii="Arial Narrow" w:hAnsi="Arial Narrow"/>
              </w:rPr>
            </w:pPr>
          </w:p>
        </w:tc>
      </w:tr>
    </w:tbl>
    <w:p w14:paraId="08AF39CD" w14:textId="4646882C" w:rsidR="00F12E59" w:rsidRPr="000B1C03" w:rsidRDefault="00F74008" w:rsidP="00F46D95">
      <w:pPr>
        <w:spacing w:after="0"/>
        <w:ind w:left="142" w:hanging="142"/>
        <w:rPr>
          <w:rFonts w:eastAsia="MS Gothic"/>
          <w:b/>
          <w:bCs/>
          <w:i/>
          <w:color w:val="548DD4"/>
          <w:szCs w:val="26"/>
          <w:u w:val="single"/>
        </w:rPr>
      </w:pPr>
      <w:r w:rsidRPr="00F74008">
        <w:rPr>
          <w:rFonts w:ascii="Arial Narrow" w:hAnsi="Arial Narrow" w:cs="Arial"/>
          <w:sz w:val="18"/>
          <w:szCs w:val="18"/>
          <w:vertAlign w:val="superscript"/>
        </w:rPr>
        <w:t>1</w:t>
      </w:r>
      <w:r>
        <w:rPr>
          <w:rFonts w:ascii="Arial Narrow" w:hAnsi="Arial Narrow" w:cs="Arial"/>
          <w:sz w:val="18"/>
          <w:szCs w:val="18"/>
          <w:vertAlign w:val="superscript"/>
        </w:rPr>
        <w:t xml:space="preserve"> </w:t>
      </w:r>
      <w:r w:rsidR="00DC6838">
        <w:rPr>
          <w:rFonts w:ascii="Arial Narrow" w:hAnsi="Arial Narrow" w:cs="Arial"/>
          <w:sz w:val="18"/>
          <w:szCs w:val="18"/>
          <w:vertAlign w:val="superscript"/>
        </w:rPr>
        <w:tab/>
      </w:r>
      <w:r w:rsidR="00862E23" w:rsidRPr="00F74008">
        <w:rPr>
          <w:rFonts w:ascii="Arial Narrow" w:hAnsi="Arial Narrow" w:cs="Arial"/>
          <w:sz w:val="18"/>
          <w:szCs w:val="18"/>
        </w:rPr>
        <w:t>At the assessment phase it may be relevant to consider whether patient age is likely to impact on the safety or effectiveness of emicizumab.</w:t>
      </w:r>
      <w:r w:rsidR="000B1C03">
        <w:rPr>
          <w:rFonts w:ascii="Arial Narrow" w:hAnsi="Arial Narrow" w:cs="Arial"/>
          <w:sz w:val="18"/>
          <w:szCs w:val="18"/>
        </w:rPr>
        <w:t xml:space="preserve"> </w:t>
      </w:r>
      <w:r w:rsidRPr="00F74008">
        <w:rPr>
          <w:rFonts w:ascii="Arial Narrow" w:hAnsi="Arial Narrow" w:cs="Arial"/>
          <w:sz w:val="18"/>
          <w:szCs w:val="18"/>
          <w:vertAlign w:val="superscript"/>
        </w:rPr>
        <w:t>2</w:t>
      </w:r>
      <w:r>
        <w:rPr>
          <w:rFonts w:ascii="Arial Narrow" w:hAnsi="Arial Narrow" w:cs="Arial"/>
          <w:sz w:val="18"/>
          <w:szCs w:val="18"/>
          <w:vertAlign w:val="superscript"/>
        </w:rPr>
        <w:t xml:space="preserve"> </w:t>
      </w:r>
      <w:r w:rsidRPr="00F74008">
        <w:rPr>
          <w:rFonts w:ascii="Arial Narrow" w:hAnsi="Arial Narrow" w:cs="Arial"/>
          <w:sz w:val="18"/>
          <w:szCs w:val="18"/>
        </w:rPr>
        <w:t>Without includes patients that have previously</w:t>
      </w:r>
      <w:r w:rsidRPr="00F46D95">
        <w:rPr>
          <w:rFonts w:ascii="Arial Narrow" w:hAnsi="Arial Narrow" w:cs="Arial"/>
          <w:sz w:val="18"/>
          <w:szCs w:val="18"/>
        </w:rPr>
        <w:t xml:space="preserve"> had inhibitors (historical) and have either had spontaneous remission or successful tolerisation.</w:t>
      </w:r>
      <w:r w:rsidR="000B1C03">
        <w:rPr>
          <w:rFonts w:ascii="Arial Narrow" w:hAnsi="Arial Narrow"/>
          <w:sz w:val="20"/>
          <w:szCs w:val="20"/>
        </w:rPr>
        <w:t xml:space="preserve"> </w:t>
      </w:r>
      <w:r w:rsidR="00740A5B" w:rsidRPr="00740A5B">
        <w:rPr>
          <w:rFonts w:ascii="Arial Narrow" w:hAnsi="Arial Narrow" w:cs="Arial"/>
          <w:sz w:val="18"/>
          <w:szCs w:val="18"/>
          <w:vertAlign w:val="superscript"/>
        </w:rPr>
        <w:t>3</w:t>
      </w:r>
      <w:r w:rsidR="00DC6838">
        <w:rPr>
          <w:rFonts w:ascii="Arial Narrow" w:hAnsi="Arial Narrow" w:cs="Arial"/>
          <w:sz w:val="18"/>
          <w:szCs w:val="18"/>
        </w:rPr>
        <w:t xml:space="preserve"> C</w:t>
      </w:r>
      <w:r w:rsidR="00740A5B">
        <w:rPr>
          <w:rFonts w:ascii="Arial Narrow" w:hAnsi="Arial Narrow" w:cs="Arial"/>
          <w:sz w:val="18"/>
          <w:szCs w:val="18"/>
        </w:rPr>
        <w:t xml:space="preserve">onsidered to be with </w:t>
      </w:r>
      <w:r w:rsidR="00740A5B" w:rsidRPr="00740A5B">
        <w:rPr>
          <w:rFonts w:ascii="Arial Narrow" w:hAnsi="Arial Narrow" w:cs="Arial"/>
          <w:sz w:val="18"/>
          <w:szCs w:val="18"/>
        </w:rPr>
        <w:t>the intent</w:t>
      </w:r>
      <w:r w:rsidR="00740A5B">
        <w:rPr>
          <w:rFonts w:ascii="Arial Narrow" w:hAnsi="Arial Narrow" w:cs="Arial"/>
          <w:sz w:val="18"/>
          <w:szCs w:val="18"/>
        </w:rPr>
        <w:t xml:space="preserve"> of treating for 52 weeks/year</w:t>
      </w:r>
      <w:r w:rsidR="000E715D">
        <w:rPr>
          <w:rFonts w:ascii="Arial Narrow" w:hAnsi="Arial Narrow" w:cs="Arial"/>
          <w:sz w:val="18"/>
          <w:szCs w:val="18"/>
        </w:rPr>
        <w:t>.</w:t>
      </w:r>
      <w:r w:rsidR="000B1C03">
        <w:rPr>
          <w:rFonts w:ascii="Arial Narrow" w:hAnsi="Arial Narrow" w:cs="Arial"/>
          <w:sz w:val="18"/>
          <w:szCs w:val="18"/>
        </w:rPr>
        <w:t xml:space="preserve"> </w:t>
      </w:r>
      <w:r w:rsidR="00740A5B">
        <w:rPr>
          <w:rFonts w:ascii="Arial Narrow" w:hAnsi="Arial Narrow"/>
          <w:sz w:val="20"/>
          <w:szCs w:val="20"/>
          <w:vertAlign w:val="superscript"/>
        </w:rPr>
        <w:t>4</w:t>
      </w:r>
      <w:r w:rsidR="007E0759">
        <w:rPr>
          <w:rFonts w:ascii="Arial Narrow" w:hAnsi="Arial Narrow"/>
          <w:sz w:val="20"/>
          <w:szCs w:val="20"/>
          <w:vertAlign w:val="superscript"/>
        </w:rPr>
        <w:t xml:space="preserve"> </w:t>
      </w:r>
      <w:r w:rsidR="00862E23" w:rsidRPr="00D80CD0">
        <w:rPr>
          <w:rFonts w:ascii="Arial Narrow" w:hAnsi="Arial Narrow" w:cs="Arial"/>
          <w:sz w:val="18"/>
          <w:szCs w:val="18"/>
        </w:rPr>
        <w:t>In the HAVEN 1 trial emicizumab was prescribed as follows: the loading dose consisted of 3.0 mg per kilogram of body weight weekly for 4 weeks followed by 1.5 mg/kg weekly thereafter. If after the loading dose period or in the subsequent time on trial a patient experienced at least two spontaneous and clinically significant treated bleeds they could increase the weekly dose to 3.0 mg/kg.</w:t>
      </w:r>
      <w:r>
        <w:rPr>
          <w:rFonts w:ascii="Arial Narrow" w:hAnsi="Arial Narrow" w:cs="Arial"/>
          <w:sz w:val="18"/>
          <w:szCs w:val="18"/>
        </w:rPr>
        <w:t xml:space="preserve"> Note that: the HAVEN 3 trial (population two) </w:t>
      </w:r>
      <w:r w:rsidRPr="00F74008">
        <w:rPr>
          <w:rFonts w:ascii="Arial Narrow" w:hAnsi="Arial Narrow" w:cs="Arial"/>
          <w:sz w:val="18"/>
          <w:szCs w:val="18"/>
        </w:rPr>
        <w:t xml:space="preserve">is examining two-weekly dosing of 3mg/kg after 4 weeks of weekly 3mg/kg, in addition to the dosing regimen examined in HAVEN </w:t>
      </w:r>
      <w:r w:rsidR="000E715D">
        <w:rPr>
          <w:rFonts w:ascii="Arial Narrow" w:hAnsi="Arial Narrow" w:cs="Arial"/>
          <w:sz w:val="18"/>
          <w:szCs w:val="18"/>
        </w:rPr>
        <w:t>1.</w:t>
      </w:r>
      <w:r w:rsidR="000B1C03">
        <w:rPr>
          <w:rFonts w:ascii="Arial Narrow" w:hAnsi="Arial Narrow" w:cs="Arial"/>
          <w:sz w:val="18"/>
          <w:szCs w:val="18"/>
        </w:rPr>
        <w:t xml:space="preserve"> </w:t>
      </w:r>
      <w:r w:rsidR="00740A5B" w:rsidRPr="00740A5B">
        <w:rPr>
          <w:rFonts w:ascii="Arial Narrow" w:hAnsi="Arial Narrow" w:cs="Arial"/>
          <w:sz w:val="18"/>
          <w:szCs w:val="18"/>
          <w:vertAlign w:val="superscript"/>
        </w:rPr>
        <w:t>5</w:t>
      </w:r>
      <w:r w:rsidR="000B1C03">
        <w:rPr>
          <w:rFonts w:ascii="Arial Narrow" w:hAnsi="Arial Narrow" w:cs="Arial"/>
          <w:sz w:val="18"/>
          <w:szCs w:val="18"/>
        </w:rPr>
        <w:t xml:space="preserve"> </w:t>
      </w:r>
      <w:r w:rsidR="007B0663" w:rsidRPr="007B0663">
        <w:rPr>
          <w:rFonts w:ascii="Arial Narrow" w:hAnsi="Arial Narrow" w:cs="Arial"/>
          <w:sz w:val="18"/>
          <w:szCs w:val="18"/>
        </w:rPr>
        <w:t>On-demand (episodic) treatment: Treatment given at the time of clinically evident bleeding</w:t>
      </w:r>
      <w:r w:rsidR="000E5F7E">
        <w:rPr>
          <w:rFonts w:ascii="Arial Narrow" w:hAnsi="Arial Narrow" w:cs="Arial"/>
          <w:sz w:val="18"/>
          <w:szCs w:val="18"/>
        </w:rPr>
        <w:t>.</w:t>
      </w:r>
      <w:r w:rsidR="000B1C03">
        <w:rPr>
          <w:rFonts w:ascii="Arial Narrow" w:hAnsi="Arial Narrow" w:cs="Arial"/>
          <w:sz w:val="18"/>
          <w:szCs w:val="18"/>
          <w:vertAlign w:val="superscript"/>
        </w:rPr>
        <w:t>6</w:t>
      </w:r>
      <w:r w:rsidR="000B1C03" w:rsidRPr="000B1C03">
        <w:t xml:space="preserve"> </w:t>
      </w:r>
      <w:r w:rsidR="000B1C03" w:rsidRPr="00F46D95">
        <w:rPr>
          <w:rFonts w:ascii="Arial Narrow" w:hAnsi="Arial Narrow" w:cs="Arial"/>
          <w:sz w:val="18"/>
          <w:szCs w:val="18"/>
        </w:rPr>
        <w:t xml:space="preserve">Regarding bleed rate, PASC noted a minimal 20-25% reduction would be considered clinically significant. </w:t>
      </w:r>
      <w:r w:rsidR="00F12E59" w:rsidRPr="000B1C03">
        <w:rPr>
          <w:rFonts w:eastAsia="MS Gothic"/>
          <w:b/>
          <w:bCs/>
          <w:i/>
          <w:color w:val="548DD4"/>
          <w:szCs w:val="26"/>
          <w:u w:val="single"/>
        </w:rPr>
        <w:br w:type="page"/>
      </w:r>
    </w:p>
    <w:p w14:paraId="08AF39CF" w14:textId="77777777" w:rsidR="00896845" w:rsidRPr="00E364F7" w:rsidRDefault="00896845" w:rsidP="007F3CEB">
      <w:pPr>
        <w:pStyle w:val="Heading1"/>
      </w:pPr>
      <w:r w:rsidRPr="00E364F7">
        <w:lastRenderedPageBreak/>
        <w:t>Population</w:t>
      </w:r>
    </w:p>
    <w:p w14:paraId="7710D74E" w14:textId="14B306CE" w:rsidR="00974955" w:rsidRDefault="006B47DE" w:rsidP="00846740">
      <w:r>
        <w:t xml:space="preserve">Patients with </w:t>
      </w:r>
      <w:r w:rsidR="000E5F7E">
        <w:t>c</w:t>
      </w:r>
      <w:r w:rsidR="009731EB" w:rsidRPr="009731EB">
        <w:t xml:space="preserve">ongenital </w:t>
      </w:r>
      <w:r w:rsidR="000E5F7E">
        <w:t>h</w:t>
      </w:r>
      <w:r w:rsidR="009731EB" w:rsidRPr="009731EB">
        <w:t xml:space="preserve">aemophilia A </w:t>
      </w:r>
      <w:r w:rsidR="007F3CEB">
        <w:t>(</w:t>
      </w:r>
      <w:r w:rsidR="002B7CEB">
        <w:t>c</w:t>
      </w:r>
      <w:r w:rsidR="007F3CEB">
        <w:t>HMA) consider</w:t>
      </w:r>
      <w:r w:rsidR="002B7CEB">
        <w:t>ed</w:t>
      </w:r>
      <w:r w:rsidR="007F3CEB">
        <w:t xml:space="preserve"> </w:t>
      </w:r>
      <w:r w:rsidR="009731EB">
        <w:t>eligible for</w:t>
      </w:r>
      <w:r w:rsidR="00974955">
        <w:t xml:space="preserve"> </w:t>
      </w:r>
      <w:r w:rsidR="009731EB">
        <w:t>r</w:t>
      </w:r>
      <w:r w:rsidR="009731EB" w:rsidRPr="009731EB">
        <w:t>outine prophylaxis with the facto</w:t>
      </w:r>
      <w:r w:rsidR="009731EB">
        <w:t>r VIII (</w:t>
      </w:r>
      <w:r w:rsidR="003858C7">
        <w:t>FVIII</w:t>
      </w:r>
      <w:r w:rsidR="009731EB">
        <w:t>) mimic emicizumab</w:t>
      </w:r>
      <w:r w:rsidR="009731EB" w:rsidRPr="009731EB">
        <w:t xml:space="preserve"> </w:t>
      </w:r>
      <w:r w:rsidR="002B7CEB">
        <w:t xml:space="preserve">that are </w:t>
      </w:r>
      <w:r w:rsidR="00974955">
        <w:t>relevant to this application</w:t>
      </w:r>
      <w:r>
        <w:t xml:space="preserve"> include</w:t>
      </w:r>
      <w:r w:rsidR="00EE6DBE">
        <w:t>:</w:t>
      </w:r>
    </w:p>
    <w:p w14:paraId="70F6A142" w14:textId="78F4FA99" w:rsidR="00974955" w:rsidRDefault="00F74008" w:rsidP="00E6475C">
      <w:pPr>
        <w:pStyle w:val="ListParagraph"/>
        <w:numPr>
          <w:ilvl w:val="0"/>
          <w:numId w:val="24"/>
        </w:numPr>
      </w:pPr>
      <w:r>
        <w:t>P</w:t>
      </w:r>
      <w:r w:rsidR="00D73C1B">
        <w:t>atients</w:t>
      </w:r>
      <w:r w:rsidR="009731EB">
        <w:t xml:space="preserve"> </w:t>
      </w:r>
      <w:r w:rsidR="00EE6DBE">
        <w:t xml:space="preserve">that have received </w:t>
      </w:r>
      <w:r w:rsidR="003858C7">
        <w:t>plasma</w:t>
      </w:r>
      <w:r w:rsidR="003E173E">
        <w:t xml:space="preserve"> </w:t>
      </w:r>
      <w:r w:rsidR="003858C7">
        <w:t xml:space="preserve">derived or recombinant FVIII </w:t>
      </w:r>
      <w:r w:rsidR="002B7CEB">
        <w:t xml:space="preserve">(rFVIII) </w:t>
      </w:r>
      <w:r w:rsidR="00EE6DBE">
        <w:t>products</w:t>
      </w:r>
      <w:r w:rsidR="005F197E">
        <w:rPr>
          <w:rStyle w:val="FootnoteReference"/>
        </w:rPr>
        <w:footnoteReference w:id="2"/>
      </w:r>
      <w:r w:rsidR="00EE6DBE">
        <w:t xml:space="preserve"> and </w:t>
      </w:r>
      <w:r w:rsidR="00C01B2A">
        <w:t xml:space="preserve">have a </w:t>
      </w:r>
      <w:r w:rsidR="000E715D">
        <w:t xml:space="preserve">positive </w:t>
      </w:r>
      <w:r w:rsidR="000E715D" w:rsidRPr="002B7CEB">
        <w:t>FVIII</w:t>
      </w:r>
      <w:r w:rsidR="005361AD">
        <w:t xml:space="preserve"> inhibitor</w:t>
      </w:r>
      <w:r w:rsidR="00C01B2A">
        <w:t xml:space="preserve"> status</w:t>
      </w:r>
      <w:r>
        <w:t>.</w:t>
      </w:r>
    </w:p>
    <w:p w14:paraId="1DA00376" w14:textId="0A340630" w:rsidR="00974955" w:rsidRDefault="00F74008" w:rsidP="00F74008">
      <w:pPr>
        <w:pStyle w:val="ListParagraph"/>
        <w:numPr>
          <w:ilvl w:val="0"/>
          <w:numId w:val="24"/>
        </w:numPr>
      </w:pPr>
      <w:r>
        <w:t>P</w:t>
      </w:r>
      <w:r w:rsidR="006B47DE">
        <w:t>atients</w:t>
      </w:r>
      <w:r w:rsidR="00D73C1B">
        <w:t xml:space="preserve"> with moderate to severe disease</w:t>
      </w:r>
      <w:r w:rsidR="009731EB">
        <w:t xml:space="preserve"> that</w:t>
      </w:r>
      <w:r>
        <w:t xml:space="preserve"> do not have FVIII inhibitors. This includes patients who have never</w:t>
      </w:r>
      <w:r w:rsidR="002B7CEB">
        <w:t xml:space="preserve"> received</w:t>
      </w:r>
      <w:r w:rsidR="009731EB">
        <w:t xml:space="preserve"> </w:t>
      </w:r>
      <w:r w:rsidR="003858C7" w:rsidRPr="003858C7">
        <w:t>plasma</w:t>
      </w:r>
      <w:r w:rsidR="003E173E">
        <w:t xml:space="preserve"> </w:t>
      </w:r>
      <w:r w:rsidR="003858C7" w:rsidRPr="003858C7">
        <w:t xml:space="preserve">derived or recombinant </w:t>
      </w:r>
      <w:r w:rsidR="003858C7">
        <w:t>FVIII</w:t>
      </w:r>
      <w:r w:rsidR="009731EB">
        <w:t xml:space="preserve"> product</w:t>
      </w:r>
      <w:r w:rsidR="002B7CEB">
        <w:t>s</w:t>
      </w:r>
      <w:r w:rsidR="00C53878">
        <w:t xml:space="preserve"> and patients who </w:t>
      </w:r>
      <w:r w:rsidRPr="00F74008">
        <w:t>have previously developed an inhibitor to these products that has resolv</w:t>
      </w:r>
      <w:r>
        <w:t xml:space="preserve">ed spontaneously or through </w:t>
      </w:r>
      <w:r w:rsidR="00C53878">
        <w:t>immune tolerisation induction</w:t>
      </w:r>
      <w:r w:rsidR="003858C7">
        <w:t>.</w:t>
      </w:r>
    </w:p>
    <w:p w14:paraId="6C05CA6B" w14:textId="43FA553B" w:rsidR="007E0759" w:rsidRPr="00DD6684" w:rsidRDefault="007E0759" w:rsidP="007E0759">
      <w:r w:rsidRPr="007E0759">
        <w:t xml:space="preserve">The </w:t>
      </w:r>
      <w:r w:rsidR="003E173E">
        <w:t>a</w:t>
      </w:r>
      <w:r w:rsidRPr="007E0759">
        <w:t xml:space="preserve">pplicant has indicated </w:t>
      </w:r>
      <w:r w:rsidR="006B47DE">
        <w:t>that the first of these patient groups</w:t>
      </w:r>
      <w:r w:rsidRPr="007E0759">
        <w:t xml:space="preserve"> has been prioritised for review </w:t>
      </w:r>
      <w:r w:rsidR="00CB4AD2">
        <w:t>due to</w:t>
      </w:r>
      <w:r w:rsidR="00C53878">
        <w:t xml:space="preserve"> the availability of published evidence (HAVEN 1) and an</w:t>
      </w:r>
      <w:r w:rsidR="00CB4AD2">
        <w:t xml:space="preserve"> unmet</w:t>
      </w:r>
      <w:r w:rsidRPr="007E0759">
        <w:t xml:space="preserve"> clinical need </w:t>
      </w:r>
      <w:r w:rsidR="00CB4AD2">
        <w:t>for</w:t>
      </w:r>
      <w:r w:rsidR="00CB4AD2" w:rsidRPr="007E0759">
        <w:t xml:space="preserve"> </w:t>
      </w:r>
      <w:r w:rsidRPr="007E0759">
        <w:t xml:space="preserve">novel </w:t>
      </w:r>
      <w:r w:rsidR="002B7CEB">
        <w:t>interventions</w:t>
      </w:r>
      <w:r w:rsidR="00C53878">
        <w:t xml:space="preserve"> for patients with inhibitors</w:t>
      </w:r>
      <w:r w:rsidRPr="007E0759">
        <w:t>.</w:t>
      </w:r>
      <w:r w:rsidRPr="00DD6684">
        <w:t xml:space="preserve"> However, as a subsequent submission may be received for </w:t>
      </w:r>
      <w:r w:rsidR="00CB4AD2">
        <w:t>the second population</w:t>
      </w:r>
      <w:r w:rsidR="00C53878">
        <w:t xml:space="preserve"> (in which clinical trials are ongoing)</w:t>
      </w:r>
      <w:r w:rsidR="00DC6838">
        <w:t xml:space="preserve"> </w:t>
      </w:r>
      <w:r w:rsidRPr="00DD6684">
        <w:t>this PICO confirmation outlines key information relevant to this group.</w:t>
      </w:r>
    </w:p>
    <w:p w14:paraId="08172533" w14:textId="17C246CE" w:rsidR="00CB0CE2" w:rsidRDefault="00EE6DBE" w:rsidP="00A27C6E">
      <w:r w:rsidRPr="008A7087">
        <w:rPr>
          <w:b/>
          <w:u w:val="single"/>
        </w:rPr>
        <w:t>Haemophilia A</w:t>
      </w:r>
      <w:r>
        <w:t xml:space="preserve"> is the result of a deficiency in coagulation </w:t>
      </w:r>
      <w:r w:rsidR="000E1AD5">
        <w:t xml:space="preserve">factor </w:t>
      </w:r>
      <w:r w:rsidR="00DE017B">
        <w:t>VIII</w:t>
      </w:r>
      <w:r>
        <w:rPr>
          <w:rStyle w:val="FootnoteReference"/>
        </w:rPr>
        <w:footnoteReference w:id="3"/>
      </w:r>
      <w:r>
        <w:t xml:space="preserve"> that can be inherited, the result of a spontaneous mutation or acquired</w:t>
      </w:r>
      <w:r w:rsidR="00D73C1B">
        <w:rPr>
          <w:rStyle w:val="FootnoteReference"/>
        </w:rPr>
        <w:footnoteReference w:id="4"/>
      </w:r>
      <w:r>
        <w:t xml:space="preserve">. </w:t>
      </w:r>
      <w:r w:rsidR="00950D7D">
        <w:t xml:space="preserve">It is characterised by a slowed </w:t>
      </w:r>
      <w:r w:rsidR="00954A05">
        <w:t>blood clotting process resulting in prolonged or renewed bleeding from</w:t>
      </w:r>
      <w:r w:rsidR="00381922">
        <w:t xml:space="preserve"> trauma or surgical </w:t>
      </w:r>
      <w:r w:rsidR="00A26DE3">
        <w:t>procedures</w:t>
      </w:r>
      <w:r w:rsidR="00381922">
        <w:t>. I</w:t>
      </w:r>
      <w:r w:rsidR="00954A05">
        <w:t>n severe cases</w:t>
      </w:r>
      <w:r w:rsidR="00381922">
        <w:t xml:space="preserve"> bleeding occurs </w:t>
      </w:r>
      <w:r w:rsidR="00954A05">
        <w:t>spontaneous</w:t>
      </w:r>
      <w:r w:rsidR="00381922">
        <w:t xml:space="preserve">ly and is a cause of major </w:t>
      </w:r>
      <w:r w:rsidR="00A26DE3">
        <w:t>morbidity</w:t>
      </w:r>
      <w:r w:rsidR="00381922">
        <w:t xml:space="preserve"> and can be </w:t>
      </w:r>
      <w:r w:rsidR="00954A05">
        <w:t>life</w:t>
      </w:r>
      <w:r w:rsidR="000E715D">
        <w:t>-</w:t>
      </w:r>
      <w:r w:rsidR="00954A05">
        <w:t xml:space="preserve">threatening. </w:t>
      </w:r>
      <w:r w:rsidR="00A27C6E">
        <w:t xml:space="preserve">In Australia, </w:t>
      </w:r>
      <w:r w:rsidR="007F3CEB">
        <w:t>HMA</w:t>
      </w:r>
      <w:r w:rsidR="00DE017B">
        <w:t xml:space="preserve"> is the dominant form </w:t>
      </w:r>
      <w:r w:rsidR="000B414F">
        <w:t xml:space="preserve">with a reported incidence of 9.8 per 100 000 </w:t>
      </w:r>
      <w:r w:rsidR="000B414F">
        <w:fldChar w:fldCharType="begin"/>
      </w:r>
      <w:r w:rsidR="00DF30B8">
        <w:instrText xml:space="preserve"> ADDIN EN.CITE &lt;EndNote&gt;&lt;Cite&gt;&lt;Author&gt;National Blood Authority&lt;/Author&gt;&lt;Year&gt;2016&lt;/Year&gt;&lt;RecNum&gt;1&lt;/RecNum&gt;&lt;DisplayText&gt;(National Blood Authority 2016a)&lt;/DisplayText&gt;&lt;record&gt;&lt;rec-number&gt;1&lt;/rec-number&gt;&lt;foreign-keys&gt;&lt;key app="EN" db-id="rwz09pa0y9ee9se9epe5f5xde52pzetxev5x" timestamp="1508890326"&gt;1&lt;/key&gt;&lt;/foreign-keys&gt;&lt;ref-type name="Web Page"&gt;12&lt;/ref-type&gt;&lt;contributors&gt;&lt;authors&gt;&lt;author&gt;National Blood Authority,&lt;/author&gt;&lt;/authors&gt;&lt;/contributors&gt;&lt;titles&gt;&lt;title&gt;Guidelines for the management of haemophilia in Australia&lt;/title&gt;&lt;/titles&gt;&lt;volume&gt;2017&lt;/volume&gt;&lt;number&gt;29 September &lt;/number&gt;&lt;dates&gt;&lt;year&gt;2016&lt;/year&gt;&lt;pub-dates&gt;&lt;date&gt;2016&lt;/date&gt;&lt;/pub-dates&gt;&lt;/dates&gt;&lt;urls&gt;&lt;related-urls&gt;&lt;url&gt;https://www.blood.gov.au/system/files/HaemophiliaGuidelines-interactive-updated-260317v2.pdf&lt;/url&gt;&lt;/related-urls&gt;&lt;/urls&gt;&lt;/record&gt;&lt;/Cite&gt;&lt;/EndNote&gt;</w:instrText>
      </w:r>
      <w:r w:rsidR="000B414F">
        <w:fldChar w:fldCharType="separate"/>
      </w:r>
      <w:r w:rsidR="000B414F">
        <w:rPr>
          <w:noProof/>
        </w:rPr>
        <w:t>(National Blood Authority 2016a)</w:t>
      </w:r>
      <w:r w:rsidR="000B414F">
        <w:fldChar w:fldCharType="end"/>
      </w:r>
      <w:r w:rsidR="000B414F">
        <w:t xml:space="preserve">, and in 2015-16 </w:t>
      </w:r>
      <w:r w:rsidR="00062FE6" w:rsidRPr="00062FE6">
        <w:t>The Australian Bleeding Disorders Registry</w:t>
      </w:r>
      <w:r w:rsidR="00062FE6">
        <w:t xml:space="preserve"> </w:t>
      </w:r>
      <w:r w:rsidR="00062FE6">
        <w:fldChar w:fldCharType="begin"/>
      </w:r>
      <w:r w:rsidR="00DF30B8">
        <w:instrText xml:space="preserve"> ADDIN EN.CITE &lt;EndNote&gt;&lt;Cite ExcludeAuth="1"&gt;&lt;Author&gt;Australian Bleeding Disorders Registry&lt;/Author&gt;&lt;Year&gt;2016&lt;/Year&gt;&lt;RecNum&gt;2&lt;/RecNum&gt;&lt;DisplayText&gt;(2016)&lt;/DisplayText&gt;&lt;record&gt;&lt;rec-number&gt;2&lt;/rec-number&gt;&lt;foreign-keys&gt;&lt;key app="EN" db-id="rwz09pa0y9ee9se9epe5f5xde52pzetxev5x" timestamp="1508890326"&gt;2&lt;/key&gt;&lt;/foreign-keys&gt;&lt;ref-type name="Web Page"&gt;12&lt;/ref-type&gt;&lt;contributors&gt;&lt;authors&gt;&lt;author&gt;Australian Bleeding Disorders Registry,&lt;/author&gt;&lt;/authors&gt;&lt;/contributors&gt;&lt;titles&gt;&lt;title&gt;Australian Bleeding Disorders Registry (ABDR) Annual Report 2015-16&lt;/title&gt;&lt;/titles&gt;&lt;volume&gt;2017&lt;/volume&gt;&lt;number&gt;29 September&lt;/number&gt;&lt;dates&gt;&lt;year&gt;2016&lt;/year&gt;&lt;pub-dates&gt;&lt;date&gt;unknown&lt;/date&gt;&lt;/pub-dates&gt;&lt;/dates&gt;&lt;urls&gt;&lt;related-urls&gt;&lt;url&gt;http://www.blood.gov.au/data-analysis-reporting&lt;/url&gt;&lt;/related-urls&gt;&lt;/urls&gt;&lt;/record&gt;&lt;/Cite&gt;&lt;/EndNote&gt;</w:instrText>
      </w:r>
      <w:r w:rsidR="00062FE6">
        <w:fldChar w:fldCharType="separate"/>
      </w:r>
      <w:r w:rsidR="00062FE6">
        <w:rPr>
          <w:noProof/>
        </w:rPr>
        <w:t>(2016)</w:t>
      </w:r>
      <w:r w:rsidR="00062FE6">
        <w:fldChar w:fldCharType="end"/>
      </w:r>
      <w:r w:rsidR="00062FE6">
        <w:t xml:space="preserve"> </w:t>
      </w:r>
      <w:r w:rsidR="000B414F">
        <w:t>included</w:t>
      </w:r>
      <w:r w:rsidR="00062FE6">
        <w:t xml:space="preserve"> 2,149 persons with symptomatic </w:t>
      </w:r>
      <w:r w:rsidR="00E6475C">
        <w:t>HM</w:t>
      </w:r>
      <w:r w:rsidR="00062FE6">
        <w:t>A</w:t>
      </w:r>
      <w:r w:rsidR="00062FE6">
        <w:rPr>
          <w:rStyle w:val="FootnoteReference"/>
        </w:rPr>
        <w:footnoteReference w:id="5"/>
      </w:r>
      <w:r w:rsidR="00062FE6">
        <w:t>.</w:t>
      </w:r>
    </w:p>
    <w:p w14:paraId="486A21E6" w14:textId="74A0DA5A" w:rsidR="005328AC" w:rsidRDefault="005328AC" w:rsidP="00DB21A1">
      <w:pPr>
        <w:rPr>
          <w:u w:val="single"/>
        </w:rPr>
      </w:pPr>
      <w:r w:rsidRPr="008A7087">
        <w:rPr>
          <w:b/>
          <w:u w:val="single"/>
        </w:rPr>
        <w:t>Congenital haemophilia A</w:t>
      </w:r>
      <w:r>
        <w:t xml:space="preserve"> is </w:t>
      </w:r>
      <w:r w:rsidR="007E0759">
        <w:t>inherited</w:t>
      </w:r>
      <w:r>
        <w:t xml:space="preserve"> in an X-linked manner, accounting for its over</w:t>
      </w:r>
      <w:r w:rsidR="008E75CA">
        <w:t>-</w:t>
      </w:r>
      <w:r>
        <w:t xml:space="preserve">representation in males. The pathogenic </w:t>
      </w:r>
      <w:r w:rsidR="003858C7">
        <w:t>FVIII</w:t>
      </w:r>
      <w:r>
        <w:t xml:space="preserve"> variant is passed from heterozygous females to their children</w:t>
      </w:r>
      <w:r w:rsidR="008E75CA">
        <w:t>,</w:t>
      </w:r>
      <w:r>
        <w:t xml:space="preserve"> with a 50 per cent chance of pa</w:t>
      </w:r>
      <w:r w:rsidR="008E75CA">
        <w:t>ssing it on with each pregnancy;</w:t>
      </w:r>
      <w:r>
        <w:t xml:space="preserve"> for male children</w:t>
      </w:r>
      <w:r w:rsidR="008E75CA">
        <w:t>,</w:t>
      </w:r>
      <w:r>
        <w:t xml:space="preserve"> if the pathogenic variant is inherited</w:t>
      </w:r>
      <w:r w:rsidR="008E75CA">
        <w:t>,</w:t>
      </w:r>
      <w:r>
        <w:t xml:space="preserve"> they will be affected</w:t>
      </w:r>
      <w:r w:rsidR="008E75CA">
        <w:t>,</w:t>
      </w:r>
      <w:r>
        <w:t xml:space="preserve"> </w:t>
      </w:r>
      <w:r w:rsidR="007F3CEB">
        <w:t xml:space="preserve">while </w:t>
      </w:r>
      <w:r>
        <w:t>females may become carriers. Some heterozy</w:t>
      </w:r>
      <w:r w:rsidR="008E75CA">
        <w:t xml:space="preserve">gous women can also display low </w:t>
      </w:r>
      <w:r>
        <w:t xml:space="preserve">clotting activity </w:t>
      </w:r>
      <w:r w:rsidR="007F3CEB">
        <w:t>and</w:t>
      </w:r>
      <w:r>
        <w:t xml:space="preserve"> </w:t>
      </w:r>
      <w:r w:rsidR="00A62D56">
        <w:t xml:space="preserve">are </w:t>
      </w:r>
      <w:r>
        <w:t>considered to have haemophilia.</w:t>
      </w:r>
      <w:r w:rsidRPr="00062FE6">
        <w:t xml:space="preserve"> </w:t>
      </w:r>
      <w:r w:rsidR="007F3CEB">
        <w:t xml:space="preserve">Spontaneous genetic </w:t>
      </w:r>
      <w:r>
        <w:t>mutation can occur</w:t>
      </w:r>
      <w:r w:rsidR="008E75CA">
        <w:t>,</w:t>
      </w:r>
      <w:r>
        <w:t xml:space="preserve"> and account</w:t>
      </w:r>
      <w:r w:rsidR="007F3CEB">
        <w:t>s</w:t>
      </w:r>
      <w:r>
        <w:t xml:space="preserve"> for 1 in 3</w:t>
      </w:r>
      <w:r w:rsidR="007E0759">
        <w:t xml:space="preserve"> of</w:t>
      </w:r>
      <w:r w:rsidR="007F3CEB">
        <w:t xml:space="preserve"> </w:t>
      </w:r>
      <w:r w:rsidR="000E1AD5">
        <w:t>c</w:t>
      </w:r>
      <w:r w:rsidR="007F3CEB">
        <w:t>HMA cases</w:t>
      </w:r>
      <w:r>
        <w:t>. Risk factors for</w:t>
      </w:r>
      <w:r w:rsidR="000E1AD5">
        <w:t xml:space="preserve"> cHMA</w:t>
      </w:r>
      <w:r>
        <w:t xml:space="preserve"> include a family history of bleeding and being male </w:t>
      </w:r>
      <w:r>
        <w:fldChar w:fldCharType="begin">
          <w:fldData xml:space="preserve">PEVuZE5vdGU+PENpdGU+PEF1dGhvcj5LbGFtcm90aDwvQXV0aG9yPjxZZWFyPjIwMTc8L1llYXI+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</w:fldData>
        </w:fldChar>
      </w:r>
      <w:r w:rsidR="00DF30B8">
        <w:instrText xml:space="preserve"> ADDIN EN.CITE </w:instrText>
      </w:r>
      <w:r w:rsidR="00DF30B8">
        <w:fldChar w:fldCharType="begin">
          <w:fldData xml:space="preserve">PEVuZE5vdGU+PENpdGU+PEF1dGhvcj5LbGFtcm90aDwvQXV0aG9yPjxZZWFyPjIwMTc8L1llYXI+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</w:fldData>
        </w:fldChar>
      </w:r>
      <w:r w:rsidR="00DF30B8" w:rsidRPr="00127848">
        <w:instrText xml:space="preserve"> ADDIN EN.CITE.DATA </w:instrText>
      </w:r>
      <w:r w:rsidR="00DF30B8">
        <w:fldChar w:fldCharType="end"/>
      </w:r>
      <w:r>
        <w:fldChar w:fldCharType="separate"/>
      </w:r>
      <w:r>
        <w:rPr>
          <w:noProof/>
        </w:rPr>
        <w:t>(Klamroth 2017; National Blood Authority 2016a; Witmer and Young 2013)</w:t>
      </w:r>
      <w:r>
        <w:fldChar w:fldCharType="end"/>
      </w:r>
      <w:r>
        <w:t>.</w:t>
      </w:r>
    </w:p>
    <w:p w14:paraId="111733E2" w14:textId="6F0450AA" w:rsidR="003D590E" w:rsidRDefault="00062FE6" w:rsidP="00DB21A1">
      <w:r w:rsidRPr="008A7087">
        <w:rPr>
          <w:b/>
          <w:u w:val="single"/>
        </w:rPr>
        <w:t>The severity</w:t>
      </w:r>
      <w:r w:rsidR="00CB0CE2" w:rsidRPr="008A7087">
        <w:rPr>
          <w:b/>
          <w:u w:val="single"/>
        </w:rPr>
        <w:t xml:space="preserve"> </w:t>
      </w:r>
      <w:r w:rsidRPr="008A7087">
        <w:rPr>
          <w:b/>
          <w:u w:val="single"/>
        </w:rPr>
        <w:t>of Haemophilia A</w:t>
      </w:r>
      <w:r>
        <w:t xml:space="preserve"> </w:t>
      </w:r>
      <w:r w:rsidR="00381922">
        <w:t xml:space="preserve">is affected by the degree of </w:t>
      </w:r>
      <w:r w:rsidR="003858C7">
        <w:t>FVIII</w:t>
      </w:r>
      <w:r w:rsidR="00381922">
        <w:t xml:space="preserve"> deficiency. </w:t>
      </w:r>
      <w:r w:rsidR="002B27E1" w:rsidRPr="002B27E1">
        <w:t>Test results are usually</w:t>
      </w:r>
      <w:r w:rsidR="006A6D83">
        <w:t xml:space="preserve"> reported as a percentage of a ‘normal’</w:t>
      </w:r>
      <w:r w:rsidR="002B27E1" w:rsidRPr="002B27E1">
        <w:t xml:space="preserve"> </w:t>
      </w:r>
      <w:r w:rsidR="00CB0CE2" w:rsidRPr="00CB0CE2">
        <w:t xml:space="preserve">plasma level of </w:t>
      </w:r>
      <w:r w:rsidR="003858C7">
        <w:t>FVIII</w:t>
      </w:r>
      <w:r w:rsidR="002B27E1">
        <w:t xml:space="preserve"> and a normal test result ranges from </w:t>
      </w:r>
      <w:r w:rsidR="00CB0CE2">
        <w:t>50</w:t>
      </w:r>
      <w:r w:rsidR="00467BE3">
        <w:t xml:space="preserve"> per cent</w:t>
      </w:r>
      <w:r w:rsidR="00CB0CE2">
        <w:t xml:space="preserve"> to 150</w:t>
      </w:r>
      <w:r w:rsidR="00467BE3">
        <w:t xml:space="preserve"> per cent</w:t>
      </w:r>
      <w:r w:rsidR="00CB0CE2">
        <w:t>. Levels below 50</w:t>
      </w:r>
      <w:r w:rsidR="00467BE3">
        <w:t xml:space="preserve"> per cent</w:t>
      </w:r>
      <w:r w:rsidR="00CB0CE2">
        <w:t xml:space="preserve"> can result in abnormal bleeding</w:t>
      </w:r>
      <w:r w:rsidR="00CB0CE2" w:rsidRPr="00CB0CE2">
        <w:t>,</w:t>
      </w:r>
      <w:r w:rsidR="00CB0CE2">
        <w:t xml:space="preserve"> although serious </w:t>
      </w:r>
      <w:r w:rsidR="00CB0CE2">
        <w:lastRenderedPageBreak/>
        <w:t xml:space="preserve">spontaneous bleeds are usually associated with levels below </w:t>
      </w:r>
      <w:r w:rsidR="002B7CEB">
        <w:t>6</w:t>
      </w:r>
      <w:r w:rsidR="007E0759">
        <w:t xml:space="preserve"> </w:t>
      </w:r>
      <w:r w:rsidR="00CB0CE2">
        <w:t>per cent</w:t>
      </w:r>
      <w:r w:rsidR="00463AAE">
        <w:t xml:space="preserve"> </w:t>
      </w:r>
      <w:r w:rsidR="009A3D98">
        <w:fldChar w:fldCharType="begin"/>
      </w:r>
      <w:r w:rsidR="00DF30B8">
        <w:instrText xml:space="preserve"> ADDIN EN.CITE &lt;EndNote&gt;&lt;Cite&gt;&lt;Author&gt;National Blood Authority&lt;/Author&gt;&lt;Year&gt;2016&lt;/Year&gt;&lt;RecNum&gt;1&lt;/RecNum&gt;&lt;DisplayText&gt;(National Blood Authority 2016a; Witmer and Young 2013)&lt;/DisplayText&gt;&lt;record&gt;&lt;rec-number&gt;1&lt;/rec-number&gt;&lt;foreign-keys&gt;&lt;key app="EN" db-id="rwz09pa0y9ee9se9epe5f5xde52pzetxev5x" timestamp="1508890326"&gt;1&lt;/key&gt;&lt;/foreign-keys&gt;&lt;ref-type name="Web Page"&gt;12&lt;/ref-type&gt;&lt;contributors&gt;&lt;authors&gt;&lt;author&gt;National Blood Authority,&lt;/author&gt;&lt;/authors&gt;&lt;/contributors&gt;&lt;titles&gt;&lt;title&gt;Guidelines for the management of haemophilia in Australia&lt;/title&gt;&lt;/titles&gt;&lt;volume&gt;2017&lt;/volume&gt;&lt;number&gt;29 September &lt;/number&gt;&lt;dates&gt;&lt;year&gt;2016&lt;/year&gt;&lt;pub-dates&gt;&lt;date&gt;2016&lt;/date&gt;&lt;/pub-dates&gt;&lt;/dates&gt;&lt;urls&gt;&lt;related-urls&gt;&lt;url&gt;https://www.blood.gov.au/system/files/HaemophiliaGuidelines-interactive-updated-260317v2.pdf&lt;/url&gt;&lt;/related-urls&gt;&lt;/urls&gt;&lt;/record&gt;&lt;/Cite&gt;&lt;Cite&gt;&lt;Author&gt;Witmer&lt;/Author&gt;&lt;Year&gt;2013&lt;/Year&gt;&lt;RecNum&gt;4&lt;/RecNum&gt;&lt;record&gt;&lt;rec-number&gt;4&lt;/rec-number&gt;&lt;foreign-keys&gt;&lt;key app="EN" db-id="rwz09pa0y9ee9se9epe5f5xde52pzetxev5x" timestamp="1508890326"&gt;4&lt;/key&gt;&lt;/foreign-keys&gt;&lt;ref-type name="Journal Article"&gt;17&lt;/ref-type&gt;&lt;contributors&gt;&lt;authors&gt;&lt;author&gt;Witmer, Char&lt;/author&gt;&lt;author&gt;Young, Guy&lt;/author&gt;&lt;/authors&gt;&lt;/contributors&gt;&lt;titles&gt;&lt;title&gt;Factor VIII inhibitors in hemophilia A: rationale and latest evidence&lt;/title&gt;&lt;secondary-title&gt;Therapeutic Advances in Hematology&lt;/secondary-title&gt;&lt;/titles&gt;&lt;periodical&gt;&lt;full-title&gt;Therapeutic Advances in Hematology&lt;/full-title&gt;&lt;/periodical&gt;&lt;pages&gt;59-72&lt;/pages&gt;&lt;volume&gt;4&lt;/volume&gt;&lt;number&gt;1&lt;/number&gt;&lt;dates&gt;&lt;year&gt;2013&lt;/year&gt;&lt;/dates&gt;&lt;pub-location&gt;Sage UK: London, England&lt;/pub-location&gt;&lt;publisher&gt;SAGE Publications&lt;/publisher&gt;&lt;isbn&gt;2040-6207&amp;#xD;2040-6215&lt;/isbn&gt;&lt;accession-num&gt;PMC3629762&lt;/accession-num&gt;&lt;urls&gt;&lt;related-urls&gt;&lt;url&gt;http://www.ncbi.nlm.nih.gov/pmc/articles/PMC3629762/&lt;/url&gt;&lt;/related-urls&gt;&lt;/urls&gt;&lt;electronic-resource-num&gt;10.1177/2040620712464509&lt;/electronic-resource-num&gt;&lt;remote-database-name&gt;PMC&lt;/remote-database-name&gt;&lt;/record&gt;&lt;/Cite&gt;&lt;/EndNote&gt;</w:instrText>
      </w:r>
      <w:r w:rsidR="009A3D98">
        <w:fldChar w:fldCharType="separate"/>
      </w:r>
      <w:r w:rsidR="009A3D98">
        <w:rPr>
          <w:noProof/>
        </w:rPr>
        <w:t>(National Blood Authority 2016a; Witmer and Young 2013)</w:t>
      </w:r>
      <w:r w:rsidR="009A3D98">
        <w:fldChar w:fldCharType="end"/>
      </w:r>
      <w:r w:rsidR="00CB0CE2">
        <w:t>.</w:t>
      </w:r>
    </w:p>
    <w:p w14:paraId="77ED7CC1" w14:textId="61C23593" w:rsidR="005328AC" w:rsidRDefault="005328AC" w:rsidP="00062FE6">
      <w:r>
        <w:t xml:space="preserve">The relationship between </w:t>
      </w:r>
      <w:r w:rsidR="000E1AD5">
        <w:t>F</w:t>
      </w:r>
      <w:r>
        <w:t xml:space="preserve">VIII levels and haemophilia severity and bleeding episodes is characterised in the </w:t>
      </w:r>
      <w:r>
        <w:fldChar w:fldCharType="begin"/>
      </w:r>
      <w:r>
        <w:instrText xml:space="preserve"> REF _Ref495567584 \h </w:instrText>
      </w:r>
      <w:r>
        <w:fldChar w:fldCharType="separate"/>
      </w:r>
      <w:r w:rsidR="00A04E68" w:rsidRPr="00F652CB">
        <w:t xml:space="preserve">Table </w:t>
      </w:r>
      <w:r w:rsidR="00A04E68">
        <w:rPr>
          <w:noProof/>
        </w:rPr>
        <w:t>1</w:t>
      </w:r>
      <w:r>
        <w:fldChar w:fldCharType="end"/>
      </w:r>
      <w:r w:rsidR="00F652CB">
        <w:t>.</w:t>
      </w:r>
    </w:p>
    <w:p w14:paraId="2BD7D91D" w14:textId="476A0E53" w:rsidR="003D590E" w:rsidRPr="00F652CB" w:rsidRDefault="003D590E" w:rsidP="003D590E">
      <w:pPr>
        <w:pStyle w:val="Caption"/>
        <w:rPr>
          <w:vertAlign w:val="superscript"/>
        </w:rPr>
      </w:pPr>
      <w:bookmarkStart w:id="3" w:name="_Ref495567584"/>
      <w:r w:rsidRPr="00F652CB">
        <w:t xml:space="preserve">Table </w:t>
      </w:r>
      <w:r w:rsidRPr="00F652CB">
        <w:fldChar w:fldCharType="begin"/>
      </w:r>
      <w:r w:rsidRPr="00F652CB">
        <w:instrText xml:space="preserve"> SEQ Table \* ARABIC </w:instrText>
      </w:r>
      <w:r w:rsidRPr="00F652CB">
        <w:fldChar w:fldCharType="separate"/>
      </w:r>
      <w:r w:rsidR="00A04E68">
        <w:rPr>
          <w:noProof/>
        </w:rPr>
        <w:t>1</w:t>
      </w:r>
      <w:r w:rsidRPr="00F652CB">
        <w:fldChar w:fldCharType="end"/>
      </w:r>
      <w:bookmarkEnd w:id="3"/>
      <w:r w:rsidRPr="00F652CB">
        <w:tab/>
        <w:t xml:space="preserve">Factor </w:t>
      </w:r>
      <w:r w:rsidR="00A27C6E" w:rsidRPr="00F652CB">
        <w:t>VIII deficiency level and relationship with bleeding</w:t>
      </w:r>
      <w:r w:rsidR="003D6D70" w:rsidRPr="00F652CB">
        <w:t xml:space="preserve"> </w:t>
      </w:r>
      <w:r w:rsidR="00062FE6" w:rsidRPr="00F652CB">
        <w:fldChar w:fldCharType="begin"/>
      </w:r>
      <w:r w:rsidR="00DF30B8">
        <w:instrText xml:space="preserve"> ADDIN EN.CITE &lt;EndNote&gt;&lt;Cite&gt;&lt;Author&gt;National Blood Authority&lt;/Author&gt;&lt;Year&gt;2016&lt;/Year&gt;&lt;RecNum&gt;1&lt;/RecNum&gt;&lt;DisplayText&gt;(National Blood Authority 2016a)&lt;/DisplayText&gt;&lt;record&gt;&lt;rec-number&gt;1&lt;/rec-number&gt;&lt;foreign-keys&gt;&lt;key app="EN" db-id="rwz09pa0y9ee9se9epe5f5xde52pzetxev5x" timestamp="1508890326"&gt;1&lt;/key&gt;&lt;/foreign-keys&gt;&lt;ref-type name="Web Page"&gt;12&lt;/ref-type&gt;&lt;contributors&gt;&lt;authors&gt;&lt;author&gt;National Blood Authority,&lt;/author&gt;&lt;/authors&gt;&lt;/contributors&gt;&lt;titles&gt;&lt;title&gt;Guidelines for the management of haemophilia in Australia&lt;/title&gt;&lt;/titles&gt;&lt;volume&gt;2017&lt;/volume&gt;&lt;number&gt;29 September &lt;/number&gt;&lt;dates&gt;&lt;year&gt;2016&lt;/year&gt;&lt;pub-dates&gt;&lt;date&gt;2016&lt;/date&gt;&lt;/pub-dates&gt;&lt;/dates&gt;&lt;urls&gt;&lt;related-urls&gt;&lt;url&gt;https://www.blood.gov.au/system/files/HaemophiliaGuidelines-interactive-updated-260317v2.pdf&lt;/url&gt;&lt;/related-urls&gt;&lt;/urls&gt;&lt;/record&gt;&lt;/Cite&gt;&lt;/EndNote&gt;</w:instrText>
      </w:r>
      <w:r w:rsidR="00062FE6" w:rsidRPr="00F652CB">
        <w:fldChar w:fldCharType="separate"/>
      </w:r>
      <w:r w:rsidR="004140FC" w:rsidRPr="00F652CB">
        <w:rPr>
          <w:noProof/>
        </w:rPr>
        <w:t>(National Blood Authority 2016a)</w:t>
      </w:r>
      <w:r w:rsidR="00062FE6" w:rsidRPr="00F652CB">
        <w:fldChar w:fldCharType="end"/>
      </w:r>
      <w:r w:rsidR="00F652CB" w:rsidRPr="00F652CB">
        <w:rPr>
          <w:vertAlign w:val="superscript"/>
        </w:rPr>
        <w:t>1</w:t>
      </w:r>
    </w:p>
    <w:tbl>
      <w:tblPr>
        <w:tblStyle w:val="TableGrid"/>
        <w:tblW w:w="0" w:type="auto"/>
        <w:tblBorders>
          <w:insideV w:val="none" w:sz="0" w:space="0" w:color="auto"/>
        </w:tblBorders>
        <w:tblLook w:val="04A0" w:firstRow="1" w:lastRow="0" w:firstColumn="1" w:lastColumn="0" w:noHBand="0" w:noVBand="1"/>
        <w:tblCaption w:val="Table 1 Factor VIII deficiency level and relationship with bleeding (National Blood Authority 2016a)"/>
      </w:tblPr>
      <w:tblGrid>
        <w:gridCol w:w="1384"/>
        <w:gridCol w:w="2835"/>
        <w:gridCol w:w="5023"/>
      </w:tblGrid>
      <w:tr w:rsidR="003D590E" w:rsidRPr="00F652CB" w14:paraId="47C38FA3" w14:textId="77777777" w:rsidTr="000A2091">
        <w:trPr>
          <w:tblHeader/>
        </w:trPr>
        <w:tc>
          <w:tcPr>
            <w:tcW w:w="1384" w:type="dxa"/>
            <w:shd w:val="clear" w:color="auto" w:fill="D9D9D9" w:themeFill="background1" w:themeFillShade="D9"/>
          </w:tcPr>
          <w:p w14:paraId="76BB4907" w14:textId="60E6D39C" w:rsidR="003D590E" w:rsidRPr="00F652CB" w:rsidRDefault="003D590E" w:rsidP="00DB21A1">
            <w:pPr>
              <w:rPr>
                <w:rFonts w:ascii="Arial Narrow" w:hAnsi="Arial Narrow"/>
                <w:b/>
                <w:sz w:val="20"/>
                <w:szCs w:val="20"/>
              </w:rPr>
            </w:pPr>
            <w:r w:rsidRPr="00F652CB">
              <w:rPr>
                <w:rFonts w:ascii="Arial Narrow" w:hAnsi="Arial Narrow"/>
                <w:b/>
                <w:sz w:val="20"/>
                <w:szCs w:val="20"/>
              </w:rPr>
              <w:t>Severity</w:t>
            </w:r>
          </w:p>
        </w:tc>
        <w:tc>
          <w:tcPr>
            <w:tcW w:w="2835" w:type="dxa"/>
            <w:shd w:val="clear" w:color="auto" w:fill="D9D9D9" w:themeFill="background1" w:themeFillShade="D9"/>
          </w:tcPr>
          <w:p w14:paraId="09ED80AA" w14:textId="1250EE07" w:rsidR="003D590E" w:rsidRPr="00F652CB" w:rsidRDefault="003D590E" w:rsidP="00DB21A1">
            <w:pPr>
              <w:rPr>
                <w:rFonts w:ascii="Arial Narrow" w:hAnsi="Arial Narrow"/>
                <w:b/>
                <w:sz w:val="20"/>
                <w:szCs w:val="20"/>
              </w:rPr>
            </w:pPr>
            <w:r w:rsidRPr="00F652CB">
              <w:rPr>
                <w:rFonts w:ascii="Arial Narrow" w:hAnsi="Arial Narrow"/>
                <w:b/>
                <w:sz w:val="20"/>
                <w:szCs w:val="20"/>
              </w:rPr>
              <w:t>Clotting factor level</w:t>
            </w:r>
          </w:p>
        </w:tc>
        <w:tc>
          <w:tcPr>
            <w:tcW w:w="5023" w:type="dxa"/>
            <w:shd w:val="clear" w:color="auto" w:fill="D9D9D9" w:themeFill="background1" w:themeFillShade="D9"/>
          </w:tcPr>
          <w:p w14:paraId="776DBB9E" w14:textId="3918ED81" w:rsidR="003D590E" w:rsidRPr="00F652CB" w:rsidRDefault="003D590E" w:rsidP="00F652CB">
            <w:pPr>
              <w:rPr>
                <w:rFonts w:ascii="Arial Narrow" w:hAnsi="Arial Narrow"/>
                <w:b/>
                <w:sz w:val="20"/>
                <w:szCs w:val="20"/>
                <w:vertAlign w:val="superscript"/>
              </w:rPr>
            </w:pPr>
            <w:r w:rsidRPr="00F652CB">
              <w:rPr>
                <w:rFonts w:ascii="Arial Narrow" w:hAnsi="Arial Narrow"/>
                <w:b/>
                <w:sz w:val="20"/>
                <w:szCs w:val="20"/>
              </w:rPr>
              <w:t xml:space="preserve">Characteristic bleeding </w:t>
            </w:r>
            <w:r w:rsidR="00F652CB" w:rsidRPr="00F652CB">
              <w:rPr>
                <w:rFonts w:ascii="Arial Narrow" w:hAnsi="Arial Narrow"/>
                <w:b/>
                <w:sz w:val="20"/>
                <w:szCs w:val="20"/>
              </w:rPr>
              <w:t>episodes</w:t>
            </w:r>
            <w:r w:rsidR="00F652CB" w:rsidRPr="00F652CB">
              <w:rPr>
                <w:rFonts w:ascii="Arial Narrow" w:hAnsi="Arial Narrow"/>
                <w:b/>
                <w:sz w:val="20"/>
                <w:szCs w:val="20"/>
                <w:vertAlign w:val="superscript"/>
              </w:rPr>
              <w:t>2</w:t>
            </w:r>
          </w:p>
        </w:tc>
      </w:tr>
      <w:tr w:rsidR="003D590E" w:rsidRPr="00F652CB" w14:paraId="409793AA" w14:textId="77777777" w:rsidTr="001E54CB">
        <w:trPr>
          <w:trHeight w:val="828"/>
        </w:trPr>
        <w:tc>
          <w:tcPr>
            <w:tcW w:w="1384" w:type="dxa"/>
          </w:tcPr>
          <w:p w14:paraId="346A47FE" w14:textId="3061DAA1" w:rsidR="003D590E" w:rsidRPr="00F652CB" w:rsidRDefault="003D590E" w:rsidP="000E1AD5">
            <w:pPr>
              <w:spacing w:before="40"/>
              <w:rPr>
                <w:rFonts w:ascii="Arial Narrow" w:hAnsi="Arial Narrow"/>
                <w:b/>
                <w:sz w:val="20"/>
                <w:szCs w:val="20"/>
              </w:rPr>
            </w:pPr>
            <w:r w:rsidRPr="00F652CB">
              <w:rPr>
                <w:rFonts w:ascii="Arial Narrow" w:hAnsi="Arial Narrow"/>
                <w:b/>
                <w:sz w:val="20"/>
                <w:szCs w:val="20"/>
              </w:rPr>
              <w:t>Severe</w:t>
            </w:r>
          </w:p>
        </w:tc>
        <w:tc>
          <w:tcPr>
            <w:tcW w:w="2835" w:type="dxa"/>
          </w:tcPr>
          <w:p w14:paraId="01F2B4CF" w14:textId="77777777" w:rsidR="003D590E" w:rsidRPr="00F652CB" w:rsidRDefault="003D590E" w:rsidP="000E1AD5">
            <w:pPr>
              <w:spacing w:before="40"/>
              <w:rPr>
                <w:rFonts w:ascii="Arial Narrow" w:hAnsi="Arial Narrow"/>
                <w:sz w:val="20"/>
                <w:szCs w:val="20"/>
              </w:rPr>
            </w:pPr>
            <w:r w:rsidRPr="00F652CB">
              <w:rPr>
                <w:rFonts w:ascii="Arial Narrow" w:hAnsi="Arial Narrow"/>
                <w:sz w:val="20"/>
                <w:szCs w:val="20"/>
              </w:rPr>
              <w:t>&lt;1 IU/dl (&lt;0.01 IU/ml) or</w:t>
            </w:r>
          </w:p>
          <w:p w14:paraId="6C58A4B3" w14:textId="570F0CA4" w:rsidR="003D590E" w:rsidRPr="00F652CB" w:rsidRDefault="003D590E" w:rsidP="003D590E">
            <w:pPr>
              <w:rPr>
                <w:rFonts w:ascii="Arial Narrow" w:hAnsi="Arial Narrow"/>
                <w:sz w:val="20"/>
                <w:szCs w:val="20"/>
              </w:rPr>
            </w:pPr>
            <w:r w:rsidRPr="00F652CB">
              <w:rPr>
                <w:rFonts w:ascii="Arial Narrow" w:hAnsi="Arial Narrow"/>
                <w:sz w:val="20"/>
                <w:szCs w:val="20"/>
              </w:rPr>
              <w:t>&lt;1% of normal</w:t>
            </w:r>
          </w:p>
        </w:tc>
        <w:tc>
          <w:tcPr>
            <w:tcW w:w="5023" w:type="dxa"/>
          </w:tcPr>
          <w:p w14:paraId="6342D7B7" w14:textId="77777777" w:rsidR="003D590E" w:rsidRPr="00F652CB" w:rsidRDefault="003D590E" w:rsidP="000E1AD5">
            <w:pPr>
              <w:spacing w:before="40"/>
              <w:rPr>
                <w:rFonts w:ascii="Arial Narrow" w:hAnsi="Arial Narrow"/>
                <w:sz w:val="20"/>
                <w:szCs w:val="20"/>
              </w:rPr>
            </w:pPr>
            <w:r w:rsidRPr="00F652CB">
              <w:rPr>
                <w:rFonts w:ascii="Arial Narrow" w:hAnsi="Arial Narrow"/>
                <w:sz w:val="20"/>
                <w:szCs w:val="20"/>
              </w:rPr>
              <w:t>Spontaneous bleeding into joints or muscles,</w:t>
            </w:r>
          </w:p>
          <w:p w14:paraId="165A7734" w14:textId="77777777" w:rsidR="003D590E" w:rsidRPr="00F652CB" w:rsidRDefault="003D590E" w:rsidP="003D590E">
            <w:pPr>
              <w:rPr>
                <w:rFonts w:ascii="Arial Narrow" w:hAnsi="Arial Narrow"/>
                <w:sz w:val="20"/>
                <w:szCs w:val="20"/>
              </w:rPr>
            </w:pPr>
            <w:r w:rsidRPr="00F652CB">
              <w:rPr>
                <w:rFonts w:ascii="Arial Narrow" w:hAnsi="Arial Narrow"/>
                <w:sz w:val="20"/>
                <w:szCs w:val="20"/>
              </w:rPr>
              <w:t>predominantly in the absence of identifiable</w:t>
            </w:r>
          </w:p>
          <w:p w14:paraId="1FB36788" w14:textId="279BB2B3" w:rsidR="003D590E" w:rsidRPr="00F652CB" w:rsidRDefault="003D590E" w:rsidP="003D590E">
            <w:pPr>
              <w:rPr>
                <w:rFonts w:ascii="Arial Narrow" w:hAnsi="Arial Narrow"/>
                <w:sz w:val="20"/>
                <w:szCs w:val="20"/>
              </w:rPr>
            </w:pPr>
            <w:r w:rsidRPr="00F652CB">
              <w:rPr>
                <w:rFonts w:ascii="Arial Narrow" w:hAnsi="Arial Narrow"/>
                <w:sz w:val="20"/>
                <w:szCs w:val="20"/>
              </w:rPr>
              <w:t>haemostatic challenge</w:t>
            </w:r>
          </w:p>
        </w:tc>
      </w:tr>
      <w:tr w:rsidR="003D590E" w:rsidRPr="00F652CB" w14:paraId="4395BD9F" w14:textId="77777777" w:rsidTr="001E54CB">
        <w:trPr>
          <w:trHeight w:val="556"/>
        </w:trPr>
        <w:tc>
          <w:tcPr>
            <w:tcW w:w="1384" w:type="dxa"/>
          </w:tcPr>
          <w:p w14:paraId="1208B0A2" w14:textId="350D2A15" w:rsidR="003D590E" w:rsidRPr="001E54CB" w:rsidRDefault="003D590E" w:rsidP="000E1AD5">
            <w:pPr>
              <w:spacing w:before="40"/>
              <w:rPr>
                <w:rFonts w:ascii="Arial Narrow" w:hAnsi="Arial Narrow"/>
                <w:b/>
                <w:sz w:val="20"/>
                <w:szCs w:val="20"/>
              </w:rPr>
            </w:pPr>
            <w:r w:rsidRPr="001E54CB">
              <w:rPr>
                <w:rFonts w:ascii="Arial Narrow" w:hAnsi="Arial Narrow"/>
                <w:b/>
                <w:sz w:val="20"/>
                <w:szCs w:val="20"/>
              </w:rPr>
              <w:t>Moderate</w:t>
            </w:r>
          </w:p>
        </w:tc>
        <w:tc>
          <w:tcPr>
            <w:tcW w:w="2835" w:type="dxa"/>
          </w:tcPr>
          <w:p w14:paraId="787A71CD" w14:textId="77777777" w:rsidR="003D590E" w:rsidRPr="00F652CB" w:rsidRDefault="003D590E" w:rsidP="001E54CB">
            <w:pPr>
              <w:spacing w:before="40"/>
              <w:rPr>
                <w:rFonts w:ascii="Arial Narrow" w:hAnsi="Arial Narrow"/>
                <w:sz w:val="20"/>
                <w:szCs w:val="20"/>
              </w:rPr>
            </w:pPr>
            <w:r w:rsidRPr="00F652CB">
              <w:rPr>
                <w:rFonts w:ascii="Arial Narrow" w:hAnsi="Arial Narrow"/>
                <w:sz w:val="20"/>
                <w:szCs w:val="20"/>
              </w:rPr>
              <w:t>1– 5 IU/dl (0.01– 0.05 IU/ml) or</w:t>
            </w:r>
          </w:p>
          <w:p w14:paraId="726D0274" w14:textId="0C6CBB7D" w:rsidR="003D590E" w:rsidRPr="00F652CB" w:rsidRDefault="003D590E" w:rsidP="003D590E">
            <w:pPr>
              <w:rPr>
                <w:rFonts w:ascii="Arial Narrow" w:hAnsi="Arial Narrow"/>
                <w:sz w:val="20"/>
                <w:szCs w:val="20"/>
              </w:rPr>
            </w:pPr>
            <w:r w:rsidRPr="00F652CB">
              <w:rPr>
                <w:rFonts w:ascii="Arial Narrow" w:hAnsi="Arial Narrow"/>
                <w:sz w:val="20"/>
                <w:szCs w:val="20"/>
              </w:rPr>
              <w:t>1–5% of normal</w:t>
            </w:r>
          </w:p>
        </w:tc>
        <w:tc>
          <w:tcPr>
            <w:tcW w:w="5023" w:type="dxa"/>
          </w:tcPr>
          <w:p w14:paraId="72A3E176" w14:textId="77777777" w:rsidR="003D590E" w:rsidRPr="00F652CB" w:rsidRDefault="003D590E" w:rsidP="001E54CB">
            <w:pPr>
              <w:spacing w:before="40"/>
              <w:rPr>
                <w:rFonts w:ascii="Arial Narrow" w:hAnsi="Arial Narrow"/>
                <w:sz w:val="20"/>
                <w:szCs w:val="20"/>
              </w:rPr>
            </w:pPr>
            <w:r w:rsidRPr="00F652CB">
              <w:rPr>
                <w:rFonts w:ascii="Arial Narrow" w:hAnsi="Arial Narrow"/>
                <w:sz w:val="20"/>
                <w:szCs w:val="20"/>
              </w:rPr>
              <w:t>Occasional spontaneous bleeding; prolonged</w:t>
            </w:r>
          </w:p>
          <w:p w14:paraId="5B04008B" w14:textId="140D7237" w:rsidR="003D590E" w:rsidRPr="00F652CB" w:rsidRDefault="003D590E" w:rsidP="003D590E">
            <w:pPr>
              <w:rPr>
                <w:rFonts w:ascii="Arial Narrow" w:hAnsi="Arial Narrow"/>
                <w:sz w:val="20"/>
                <w:szCs w:val="20"/>
              </w:rPr>
            </w:pPr>
            <w:r w:rsidRPr="00F652CB">
              <w:rPr>
                <w:rFonts w:ascii="Arial Narrow" w:hAnsi="Arial Narrow"/>
                <w:sz w:val="20"/>
                <w:szCs w:val="20"/>
              </w:rPr>
              <w:t>bleeding with minor trauma or surgery</w:t>
            </w:r>
          </w:p>
        </w:tc>
      </w:tr>
      <w:tr w:rsidR="003D590E" w:rsidRPr="00F652CB" w14:paraId="5497DC2F" w14:textId="77777777" w:rsidTr="001E54CB">
        <w:trPr>
          <w:trHeight w:val="594"/>
        </w:trPr>
        <w:tc>
          <w:tcPr>
            <w:tcW w:w="1384" w:type="dxa"/>
          </w:tcPr>
          <w:p w14:paraId="62985088" w14:textId="55142811" w:rsidR="003D590E" w:rsidRPr="00F652CB" w:rsidRDefault="003D590E" w:rsidP="001E54CB">
            <w:pPr>
              <w:spacing w:before="40"/>
              <w:rPr>
                <w:rFonts w:ascii="Arial Narrow" w:hAnsi="Arial Narrow"/>
                <w:b/>
                <w:sz w:val="20"/>
                <w:szCs w:val="20"/>
              </w:rPr>
            </w:pPr>
            <w:r w:rsidRPr="00F652CB">
              <w:rPr>
                <w:rFonts w:ascii="Arial Narrow" w:hAnsi="Arial Narrow"/>
                <w:b/>
                <w:sz w:val="20"/>
                <w:szCs w:val="20"/>
              </w:rPr>
              <w:t>Mild</w:t>
            </w:r>
          </w:p>
        </w:tc>
        <w:tc>
          <w:tcPr>
            <w:tcW w:w="2835" w:type="dxa"/>
          </w:tcPr>
          <w:p w14:paraId="06C253EB" w14:textId="77777777" w:rsidR="003D590E" w:rsidRPr="00F652CB" w:rsidRDefault="003D590E" w:rsidP="001E54CB">
            <w:pPr>
              <w:spacing w:before="40"/>
              <w:rPr>
                <w:rFonts w:ascii="Arial Narrow" w:hAnsi="Arial Narrow"/>
                <w:sz w:val="20"/>
                <w:szCs w:val="20"/>
              </w:rPr>
            </w:pPr>
            <w:r w:rsidRPr="00F652CB">
              <w:rPr>
                <w:rFonts w:ascii="Arial Narrow" w:hAnsi="Arial Narrow"/>
                <w:sz w:val="20"/>
                <w:szCs w:val="20"/>
              </w:rPr>
              <w:t>5–40 IU/dl (0.05–0.40 IU/ml) or</w:t>
            </w:r>
          </w:p>
          <w:p w14:paraId="08564E19" w14:textId="681A14FE" w:rsidR="003D590E" w:rsidRPr="00F652CB" w:rsidRDefault="003D590E" w:rsidP="003D590E">
            <w:pPr>
              <w:rPr>
                <w:rFonts w:ascii="Arial Narrow" w:hAnsi="Arial Narrow"/>
                <w:sz w:val="20"/>
                <w:szCs w:val="20"/>
              </w:rPr>
            </w:pPr>
            <w:r w:rsidRPr="00F652CB">
              <w:rPr>
                <w:rFonts w:ascii="Arial Narrow" w:hAnsi="Arial Narrow"/>
                <w:sz w:val="20"/>
                <w:szCs w:val="20"/>
              </w:rPr>
              <w:t>5% to &lt;40% of normal</w:t>
            </w:r>
          </w:p>
        </w:tc>
        <w:tc>
          <w:tcPr>
            <w:tcW w:w="5023" w:type="dxa"/>
          </w:tcPr>
          <w:p w14:paraId="39E12E3F" w14:textId="77777777" w:rsidR="003D590E" w:rsidRPr="00F652CB" w:rsidRDefault="003D590E" w:rsidP="001E54CB">
            <w:pPr>
              <w:spacing w:before="40"/>
              <w:rPr>
                <w:rFonts w:ascii="Arial Narrow" w:hAnsi="Arial Narrow"/>
                <w:sz w:val="20"/>
                <w:szCs w:val="20"/>
              </w:rPr>
            </w:pPr>
            <w:r w:rsidRPr="00F652CB">
              <w:rPr>
                <w:rFonts w:ascii="Arial Narrow" w:hAnsi="Arial Narrow"/>
                <w:sz w:val="20"/>
                <w:szCs w:val="20"/>
              </w:rPr>
              <w:t>Severe bleeding with major trauma or surgery;</w:t>
            </w:r>
          </w:p>
          <w:p w14:paraId="71FEBCA4" w14:textId="0EB80334" w:rsidR="003D590E" w:rsidRPr="00F652CB" w:rsidRDefault="003D590E" w:rsidP="003D590E">
            <w:pPr>
              <w:rPr>
                <w:rFonts w:ascii="Arial Narrow" w:hAnsi="Arial Narrow"/>
                <w:sz w:val="20"/>
                <w:szCs w:val="20"/>
              </w:rPr>
            </w:pPr>
            <w:r w:rsidRPr="00F652CB">
              <w:rPr>
                <w:rFonts w:ascii="Arial Narrow" w:hAnsi="Arial Narrow"/>
                <w:sz w:val="20"/>
                <w:szCs w:val="20"/>
              </w:rPr>
              <w:t>spontaneous bleeding is rare</w:t>
            </w:r>
          </w:p>
        </w:tc>
      </w:tr>
    </w:tbl>
    <w:p w14:paraId="54F52A3C" w14:textId="335F90C7" w:rsidR="00F652CB" w:rsidRPr="00F652CB" w:rsidRDefault="00F652CB" w:rsidP="000E1AD5">
      <w:pPr>
        <w:spacing w:after="0"/>
        <w:ind w:left="142" w:hanging="142"/>
        <w:rPr>
          <w:rFonts w:ascii="Arial Narrow" w:hAnsi="Arial Narrow"/>
          <w:sz w:val="18"/>
          <w:szCs w:val="18"/>
        </w:rPr>
      </w:pPr>
      <w:r w:rsidRPr="00F652CB">
        <w:rPr>
          <w:rFonts w:ascii="Arial Narrow" w:hAnsi="Arial Narrow"/>
          <w:sz w:val="18"/>
          <w:szCs w:val="18"/>
          <w:vertAlign w:val="superscript"/>
        </w:rPr>
        <w:t>1</w:t>
      </w:r>
      <w:r w:rsidRPr="00F652CB">
        <w:rPr>
          <w:rFonts w:ascii="Arial Narrow" w:hAnsi="Arial Narrow"/>
          <w:sz w:val="18"/>
          <w:szCs w:val="18"/>
        </w:rPr>
        <w:t xml:space="preserve"> </w:t>
      </w:r>
      <w:r w:rsidR="000E1AD5">
        <w:rPr>
          <w:rFonts w:ascii="Arial Narrow" w:hAnsi="Arial Narrow"/>
          <w:sz w:val="18"/>
          <w:szCs w:val="18"/>
        </w:rPr>
        <w:tab/>
      </w:r>
      <w:r w:rsidRPr="00F652CB">
        <w:rPr>
          <w:rFonts w:ascii="Arial Narrow" w:hAnsi="Arial Narrow"/>
          <w:sz w:val="18"/>
          <w:szCs w:val="18"/>
        </w:rPr>
        <w:t>Source, Taken from Table 1-1 of Guidelines for the management of haemophilia (2nd edition)</w:t>
      </w:r>
    </w:p>
    <w:p w14:paraId="70AF294C" w14:textId="14977D2F" w:rsidR="007E0759" w:rsidRPr="00F652CB" w:rsidRDefault="00F652CB" w:rsidP="000E1AD5">
      <w:pPr>
        <w:spacing w:after="0"/>
        <w:ind w:left="142" w:hanging="142"/>
        <w:rPr>
          <w:rFonts w:ascii="Arial Narrow" w:hAnsi="Arial Narrow"/>
          <w:sz w:val="18"/>
          <w:szCs w:val="18"/>
        </w:rPr>
      </w:pPr>
      <w:r w:rsidRPr="00F652CB">
        <w:rPr>
          <w:rFonts w:ascii="Arial Narrow" w:hAnsi="Arial Narrow"/>
          <w:sz w:val="18"/>
          <w:szCs w:val="18"/>
          <w:vertAlign w:val="superscript"/>
        </w:rPr>
        <w:t>2</w:t>
      </w:r>
      <w:r w:rsidR="000E1AD5">
        <w:rPr>
          <w:rFonts w:ascii="Arial Narrow" w:hAnsi="Arial Narrow"/>
          <w:sz w:val="18"/>
          <w:szCs w:val="18"/>
          <w:vertAlign w:val="superscript"/>
        </w:rPr>
        <w:tab/>
      </w:r>
      <w:r w:rsidR="00A27C6E" w:rsidRPr="00F652CB">
        <w:rPr>
          <w:rFonts w:ascii="Arial Narrow" w:hAnsi="Arial Narrow"/>
          <w:sz w:val="18"/>
          <w:szCs w:val="18"/>
        </w:rPr>
        <w:t>Note that site of bleeding affects whether it is considered a serious or life</w:t>
      </w:r>
      <w:r w:rsidR="000E715D">
        <w:rPr>
          <w:rFonts w:ascii="Arial Narrow" w:hAnsi="Arial Narrow"/>
          <w:sz w:val="18"/>
          <w:szCs w:val="18"/>
        </w:rPr>
        <w:t>-</w:t>
      </w:r>
      <w:r w:rsidR="00A27C6E" w:rsidRPr="00F652CB">
        <w:rPr>
          <w:rFonts w:ascii="Arial Narrow" w:hAnsi="Arial Narrow"/>
          <w:sz w:val="18"/>
          <w:szCs w:val="18"/>
        </w:rPr>
        <w:t>threatening bleed. Bleeding into the joints (70-80% of bleeds), muscles (10-20% of bleeds) and mucous membranes are considered serious bleeds. Intracranial, neck or throat or gastrointestinal bleeds are considered life-threatening.</w:t>
      </w:r>
    </w:p>
    <w:p w14:paraId="5AD65AF3" w14:textId="79A3DB26" w:rsidR="003D590E" w:rsidRDefault="003D590E" w:rsidP="00F652CB">
      <w:pPr>
        <w:spacing w:after="0"/>
      </w:pPr>
    </w:p>
    <w:p w14:paraId="47EBDC40" w14:textId="0F28C574" w:rsidR="006E6918" w:rsidRDefault="007B0663" w:rsidP="00DB21A1">
      <w:pPr>
        <w:rPr>
          <w:color w:val="FF0000"/>
        </w:rPr>
      </w:pPr>
      <w:r>
        <w:rPr>
          <w:b/>
          <w:u w:val="single"/>
        </w:rPr>
        <w:t>Routine care/</w:t>
      </w:r>
      <w:r w:rsidRPr="007B0663">
        <w:rPr>
          <w:b/>
          <w:u w:val="single"/>
        </w:rPr>
        <w:t xml:space="preserve">management of people with </w:t>
      </w:r>
      <w:r w:rsidR="00052844" w:rsidRPr="008A7087">
        <w:rPr>
          <w:b/>
          <w:u w:val="single"/>
        </w:rPr>
        <w:t>Haemophilia A</w:t>
      </w:r>
      <w:r w:rsidR="00052844">
        <w:rPr>
          <w:b/>
          <w:u w:val="single"/>
        </w:rPr>
        <w:t xml:space="preserve"> </w:t>
      </w:r>
      <w:r w:rsidR="00052844" w:rsidRPr="00052844">
        <w:t>i</w:t>
      </w:r>
      <w:r w:rsidRPr="00052844">
        <w:t>s complex</w:t>
      </w:r>
      <w:r w:rsidR="00052844">
        <w:t xml:space="preserve"> and</w:t>
      </w:r>
      <w:r w:rsidR="001E54CB">
        <w:t xml:space="preserve"> </w:t>
      </w:r>
      <w:r w:rsidR="00052844">
        <w:t>includes</w:t>
      </w:r>
      <w:r w:rsidR="00467BE3">
        <w:t xml:space="preserve"> </w:t>
      </w:r>
      <w:r w:rsidR="0096428C">
        <w:t xml:space="preserve">both </w:t>
      </w:r>
      <w:r w:rsidR="00E639BC">
        <w:t>prophylactic</w:t>
      </w:r>
      <w:r w:rsidR="00467BE3">
        <w:t xml:space="preserve"> strategies</w:t>
      </w:r>
      <w:r w:rsidR="00E639BC">
        <w:t xml:space="preserve"> </w:t>
      </w:r>
      <w:r w:rsidR="0096428C">
        <w:t>aimed at minimising the chance of serious bleeding</w:t>
      </w:r>
      <w:r w:rsidR="00E639BC">
        <w:t xml:space="preserve"> (rare </w:t>
      </w:r>
      <w:r w:rsidR="00A62D56">
        <w:t>when</w:t>
      </w:r>
      <w:r w:rsidR="00A62D56" w:rsidRPr="00E639BC">
        <w:t xml:space="preserve"> </w:t>
      </w:r>
      <w:r w:rsidR="003858C7">
        <w:t>FVIII</w:t>
      </w:r>
      <w:r w:rsidR="00A62D56" w:rsidRPr="00E639BC">
        <w:t xml:space="preserve"> </w:t>
      </w:r>
      <w:r w:rsidR="00E639BC" w:rsidRPr="00E639BC">
        <w:t>level is &gt; 1 IU/dl</w:t>
      </w:r>
      <w:r w:rsidR="00E639BC">
        <w:t>)</w:t>
      </w:r>
      <w:r w:rsidR="0096428C">
        <w:t xml:space="preserve"> and </w:t>
      </w:r>
      <w:r w:rsidR="001E54CB">
        <w:t>on-demand</w:t>
      </w:r>
      <w:r w:rsidR="0096428C">
        <w:t xml:space="preserve"> treatment of bleeds when they do occur. </w:t>
      </w:r>
      <w:r w:rsidR="00113D5F">
        <w:t xml:space="preserve">Replacement </w:t>
      </w:r>
      <w:r w:rsidR="003858C7">
        <w:t>FVIII</w:t>
      </w:r>
      <w:r w:rsidR="0096428C">
        <w:t xml:space="preserve"> is the mainstay of </w:t>
      </w:r>
      <w:r w:rsidR="00113D5F">
        <w:t xml:space="preserve">both </w:t>
      </w:r>
      <w:r w:rsidR="00A62D56">
        <w:t xml:space="preserve">prophylaxis and </w:t>
      </w:r>
      <w:r w:rsidR="00E639BC">
        <w:t xml:space="preserve">treatment </w:t>
      </w:r>
      <w:r w:rsidR="001E54CB">
        <w:t>of bleed</w:t>
      </w:r>
      <w:r w:rsidR="0096428C">
        <w:t xml:space="preserve">; however, up to a third of patients will eventually develop alloantibodies to </w:t>
      </w:r>
      <w:r w:rsidR="003858C7">
        <w:t>FVIII</w:t>
      </w:r>
      <w:r w:rsidR="00E639BC">
        <w:rPr>
          <w:rStyle w:val="FootnoteReference"/>
        </w:rPr>
        <w:footnoteReference w:id="6"/>
      </w:r>
      <w:r w:rsidR="0096428C">
        <w:t xml:space="preserve"> (</w:t>
      </w:r>
      <w:r w:rsidR="003858C7">
        <w:t>FVIII</w:t>
      </w:r>
      <w:r w:rsidR="0096428C">
        <w:t xml:space="preserve"> inhibitors) which renders replacement therapy ineffective and makes bleeding episodes more difficult to control</w:t>
      </w:r>
      <w:r w:rsidR="005C6C85">
        <w:t xml:space="preserve"> </w:t>
      </w:r>
      <w:r w:rsidR="00062FE6">
        <w:fldChar w:fldCharType="begin"/>
      </w:r>
      <w:r w:rsidR="00DF30B8">
        <w:instrText xml:space="preserve"> ADDIN EN.CITE &lt;EndNote&gt;&lt;Cite&gt;&lt;Author&gt;Witmer&lt;/Author&gt;&lt;Year&gt;2013&lt;/Year&gt;&lt;RecNum&gt;4&lt;/RecNum&gt;&lt;DisplayText&gt;(Witmer and Young 2013)&lt;/DisplayText&gt;&lt;record&gt;&lt;rec-number&gt;4&lt;/rec-number&gt;&lt;foreign-keys&gt;&lt;key app="EN" db-id="rwz09pa0y9ee9se9epe5f5xde52pzetxev5x" timestamp="1508890326"&gt;4&lt;/key&gt;&lt;/foreign-keys&gt;&lt;ref-type name="Journal Article"&gt;17&lt;/ref-type&gt;&lt;contributors&gt;&lt;authors&gt;&lt;author&gt;Witmer, Char&lt;/author&gt;&lt;author&gt;Young, Guy&lt;/author&gt;&lt;/authors&gt;&lt;/contributors&gt;&lt;titles&gt;&lt;title&gt;Factor VIII inhibitors in hemophilia A: rationale and latest evidence&lt;/title&gt;&lt;secondary-title&gt;Therapeutic Advances in Hematology&lt;/secondary-title&gt;&lt;/titles&gt;&lt;periodical&gt;&lt;full-title&gt;Therapeutic Advances in Hematology&lt;/full-title&gt;&lt;/periodical&gt;&lt;pages&gt;59-72&lt;/pages&gt;&lt;volume&gt;4&lt;/volume&gt;&lt;number&gt;1&lt;/number&gt;&lt;dates&gt;&lt;year&gt;2013&lt;/year&gt;&lt;/dates&gt;&lt;pub-location&gt;Sage UK: London, England&lt;/pub-location&gt;&lt;publisher&gt;SAGE Publications&lt;/publisher&gt;&lt;isbn&gt;2040-6207&amp;#xD;2040-6215&lt;/isbn&gt;&lt;accession-num&gt;PMC3629762&lt;/accession-num&gt;&lt;urls&gt;&lt;related-urls&gt;&lt;url&gt;http://www.ncbi.nlm.nih.gov/pmc/articles/PMC3629762/&lt;/url&gt;&lt;/related-urls&gt;&lt;/urls&gt;&lt;electronic-resource-num&gt;10.1177/2040620712464509&lt;/electronic-resource-num&gt;&lt;remote-database-name&gt;PMC&lt;/remote-database-name&gt;&lt;/record&gt;&lt;/Cite&gt;&lt;/EndNote&gt;</w:instrText>
      </w:r>
      <w:r w:rsidR="00062FE6">
        <w:fldChar w:fldCharType="separate"/>
      </w:r>
      <w:r w:rsidR="00062FE6">
        <w:rPr>
          <w:noProof/>
        </w:rPr>
        <w:t>(Witmer and Young 2013)</w:t>
      </w:r>
      <w:r w:rsidR="00062FE6">
        <w:fldChar w:fldCharType="end"/>
      </w:r>
      <w:r w:rsidR="0096428C">
        <w:t xml:space="preserve">. </w:t>
      </w:r>
      <w:r w:rsidR="00333516">
        <w:t>This</w:t>
      </w:r>
      <w:r w:rsidR="00E639BC">
        <w:t xml:space="preserve"> subgroup of </w:t>
      </w:r>
      <w:r w:rsidR="001E54CB">
        <w:t>c</w:t>
      </w:r>
      <w:r w:rsidR="00113D5F">
        <w:t>HMA</w:t>
      </w:r>
      <w:r w:rsidR="00E639BC">
        <w:t xml:space="preserve"> patients </w:t>
      </w:r>
      <w:r w:rsidR="00333516">
        <w:t>are the</w:t>
      </w:r>
      <w:r w:rsidR="00113D5F">
        <w:t xml:space="preserve"> primary</w:t>
      </w:r>
      <w:r w:rsidR="00E639BC">
        <w:t xml:space="preserve"> </w:t>
      </w:r>
      <w:r w:rsidR="00113D5F">
        <w:t xml:space="preserve">target for </w:t>
      </w:r>
      <w:r w:rsidR="00113D5F" w:rsidRPr="00113D5F">
        <w:t>emicizumab</w:t>
      </w:r>
      <w:r w:rsidR="00113D5F">
        <w:t xml:space="preserve"> prophylaxis</w:t>
      </w:r>
      <w:r w:rsidR="00C53878">
        <w:t xml:space="preserve"> in population one</w:t>
      </w:r>
      <w:r w:rsidR="00E639BC">
        <w:t xml:space="preserve">. </w:t>
      </w:r>
      <w:r w:rsidR="00467BE3">
        <w:t>Within this population there are further distinctions between patients with inhibitors in terms of low versus high</w:t>
      </w:r>
      <w:r w:rsidR="003E173E">
        <w:t>-</w:t>
      </w:r>
      <w:r w:rsidR="00467BE3">
        <w:t>titre inhibitors and the severity of haemophilia</w:t>
      </w:r>
      <w:r w:rsidR="001E54CB">
        <w:t>, these determine the</w:t>
      </w:r>
      <w:r w:rsidR="00467BE3">
        <w:t xml:space="preserve"> choice of </w:t>
      </w:r>
      <w:r w:rsidR="00113D5F" w:rsidRPr="00113D5F">
        <w:t>prophylac</w:t>
      </w:r>
      <w:r w:rsidR="00113D5F">
        <w:t xml:space="preserve">tic and </w:t>
      </w:r>
      <w:r w:rsidR="00467BE3">
        <w:t>treatment strategies.</w:t>
      </w:r>
    </w:p>
    <w:p w14:paraId="640785BA" w14:textId="2AD0211C" w:rsidR="007F3CEB" w:rsidRPr="001F4A61" w:rsidRDefault="007F3CEB" w:rsidP="001F4A61">
      <w:pPr>
        <w:pStyle w:val="Heading2"/>
      </w:pPr>
      <w:r w:rsidRPr="001F4A61">
        <w:t>P</w:t>
      </w:r>
      <w:r w:rsidR="00CB4AD2" w:rsidRPr="001F4A61">
        <w:t>opulation</w:t>
      </w:r>
      <w:r w:rsidRPr="001F4A61">
        <w:t xml:space="preserve"> </w:t>
      </w:r>
      <w:r w:rsidR="00113D5F" w:rsidRPr="001F4A61">
        <w:t>on</w:t>
      </w:r>
      <w:r w:rsidR="00CB4AD2" w:rsidRPr="001F4A61">
        <w:t>e</w:t>
      </w:r>
      <w:r w:rsidR="00113D5F" w:rsidRPr="001F4A61">
        <w:t>: Haemophilia A patients with inhibitors</w:t>
      </w:r>
    </w:p>
    <w:p w14:paraId="6F5EE911" w14:textId="177151B4" w:rsidR="008A7087" w:rsidRPr="008A7087" w:rsidRDefault="003858C7" w:rsidP="008A7087">
      <w:r w:rsidRPr="00DB2FE2">
        <w:t>FVIII</w:t>
      </w:r>
      <w:r w:rsidR="00113D5F" w:rsidRPr="00DB2FE2">
        <w:t xml:space="preserve"> inhibitors develop</w:t>
      </w:r>
      <w:r w:rsidR="00741829" w:rsidRPr="00DB2FE2">
        <w:t xml:space="preserve"> through </w:t>
      </w:r>
      <w:r w:rsidR="00E639BC" w:rsidRPr="00DB2FE2">
        <w:t>a T-cell dependent event that includes antigen-presenting cells, B- and T-helper lymphocytes and inhibition can be complete (Type I inhibitors: dose-dependent linear inhibition kinetics) or incomplete (Type II inhibitors</w:t>
      </w:r>
      <w:r w:rsidR="007D411A" w:rsidRPr="00DB2FE2">
        <w:t xml:space="preserve">: complex kinetics resulting in incomplete inhibition). Patients who develop inhibitors to </w:t>
      </w:r>
      <w:r w:rsidRPr="00DB2FE2">
        <w:t>FVIII</w:t>
      </w:r>
      <w:r w:rsidR="007D411A" w:rsidRPr="00DB2FE2">
        <w:t xml:space="preserve"> replacement </w:t>
      </w:r>
      <w:r w:rsidR="008D734F" w:rsidRPr="00DB2FE2">
        <w:t xml:space="preserve">typically </w:t>
      </w:r>
      <w:r w:rsidR="007D411A" w:rsidRPr="00DB2FE2">
        <w:t xml:space="preserve">do so </w:t>
      </w:r>
      <w:r w:rsidR="008D734F" w:rsidRPr="00DB2FE2">
        <w:t>within 90-120 days from</w:t>
      </w:r>
      <w:r w:rsidR="002820D3">
        <w:t xml:space="preserve"> </w:t>
      </w:r>
      <w:r w:rsidR="007D411A" w:rsidRPr="00DB2FE2">
        <w:t xml:space="preserve">exposure to </w:t>
      </w:r>
      <w:r w:rsidR="00AF31E5">
        <w:t>F</w:t>
      </w:r>
      <w:r w:rsidR="007D411A" w:rsidRPr="00DB2FE2">
        <w:t>VII</w:t>
      </w:r>
      <w:r w:rsidR="00113D5F" w:rsidRPr="00DB2FE2">
        <w:t>I</w:t>
      </w:r>
      <w:r w:rsidR="007D411A" w:rsidRPr="00DB2FE2">
        <w:t xml:space="preserve"> </w:t>
      </w:r>
      <w:r w:rsidR="008D734F" w:rsidRPr="00DB2FE2">
        <w:t>(</w:t>
      </w:r>
      <w:r w:rsidR="002820D3">
        <w:rPr>
          <w:noProof/>
        </w:rPr>
        <w:t>Witmer and Young 2013</w:t>
      </w:r>
      <w:r w:rsidR="008D734F" w:rsidRPr="00DB2FE2">
        <w:t xml:space="preserve">). </w:t>
      </w:r>
      <w:r w:rsidR="007D411A" w:rsidRPr="00DB2FE2">
        <w:t xml:space="preserve">Factors affecting inhibitor development are complex </w:t>
      </w:r>
      <w:r w:rsidR="00741829" w:rsidRPr="00DB2FE2">
        <w:t xml:space="preserve">and not well understood but include genetic and environmental factors </w:t>
      </w:r>
      <w:r w:rsidR="00062FE6" w:rsidRPr="00DB2FE2">
        <w:fldChar w:fldCharType="begin"/>
      </w:r>
      <w:r w:rsidR="00DF30B8">
        <w:instrText xml:space="preserve"> ADDIN EN.CITE &lt;EndNote&gt;&lt;Cite&gt;&lt;Author&gt;Chai-Adisaksopha&lt;/Author&gt;&lt;Year&gt;2017&lt;/Year&gt;&lt;RecNum&gt;5&lt;/RecNum&gt;&lt;DisplayText&gt;(Chai-Adisaksopha et al 2017)&lt;/DisplayText&gt;&lt;record&gt;&lt;rec-number&gt;5&lt;/rec-number&gt;&lt;foreign-keys&gt;&lt;key app="EN" db-id="rwz09pa0y9ee9se9epe5f5xde52pzetxev5x" timestamp="1508890326"&gt;5&lt;/key&gt;&lt;/foreign-keys&gt;&lt;ref-type name="Journal Article"&gt;17&lt;/ref-type&gt;&lt;contributors&gt;&lt;authors&gt;&lt;author&gt;Chai-Adisaksopha, C.&lt;/author&gt;&lt;author&gt;Nevitt, S. J.&lt;/author&gt;&lt;author&gt;Simpson, M. L.&lt;/author&gt;&lt;author&gt;Janbain, M.&lt;/author&gt;&lt;author&gt;Konkle, B. A.&lt;/author&gt;&lt;/authors&gt;&lt;/contributors&gt;&lt;auth-address&gt;McMaster University, Hamilton, Ontario, Canada.&lt;/auth-address&gt;&lt;titles&gt;&lt;title&gt;Bypassing agent prophylaxis in people with hemophilia A or B with inhibitors&lt;/title&gt;&lt;secondary-title&gt;Cochrane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reviews&lt;/abbr-1&gt;&lt;/alt-periodical&gt;&lt;pages&gt;Cd011441&lt;/pages&gt;&lt;volume&gt;9&lt;/volume&gt;&lt;edition&gt;2017/09/26&lt;/edition&gt;&lt;dates&gt;&lt;year&gt;2017&lt;/year&gt;&lt;pub-dates&gt;&lt;date&gt;Sep 25&lt;/date&gt;&lt;/pub-dates&gt;&lt;/dates&gt;&lt;isbn&gt;1361-6137&lt;/isbn&gt;&lt;accession-num&gt;28944952&lt;/accession-num&gt;&lt;urls&gt;&lt;/urls&gt;&lt;electronic-resource-num&gt;10.1002/14651858.CD011441.pub2&lt;/electronic-resource-num&gt;&lt;remote-database-provider&gt;NLM&lt;/remote-database-provider&gt;&lt;language&gt;eng&lt;/language&gt;&lt;/record&gt;&lt;/Cite&gt;&lt;/EndNote&gt;</w:instrText>
      </w:r>
      <w:r w:rsidR="00062FE6" w:rsidRPr="00DB2FE2">
        <w:fldChar w:fldCharType="separate"/>
      </w:r>
      <w:r w:rsidR="00062FE6" w:rsidRPr="008A7087">
        <w:rPr>
          <w:noProof/>
        </w:rPr>
        <w:t>(Chai-Adisaksopha et al 2017)</w:t>
      </w:r>
      <w:r w:rsidR="00062FE6" w:rsidRPr="00DB2FE2">
        <w:fldChar w:fldCharType="end"/>
      </w:r>
      <w:r w:rsidR="00741829" w:rsidRPr="00DB2FE2">
        <w:t xml:space="preserve">. </w:t>
      </w:r>
      <w:r w:rsidR="008D734F" w:rsidRPr="00DB2FE2">
        <w:t xml:space="preserve">In severe </w:t>
      </w:r>
      <w:r w:rsidR="00AF31E5">
        <w:t>c</w:t>
      </w:r>
      <w:r w:rsidR="008D734F" w:rsidRPr="00DB2FE2">
        <w:t>HMA</w:t>
      </w:r>
      <w:r w:rsidR="00CB4AD2" w:rsidRPr="00DB2FE2">
        <w:t xml:space="preserve"> the</w:t>
      </w:r>
      <w:r w:rsidR="008D734F" w:rsidRPr="00DB2FE2">
        <w:t xml:space="preserve"> </w:t>
      </w:r>
      <w:r w:rsidR="00741829" w:rsidRPr="00DB2FE2">
        <w:t>development of inhibitors is more common and, more likely to be Type I inhibitors</w:t>
      </w:r>
      <w:r w:rsidR="00AF31E5">
        <w:t>,</w:t>
      </w:r>
      <w:r w:rsidR="00741829" w:rsidRPr="00DB2FE2">
        <w:t xml:space="preserve"> </w:t>
      </w:r>
      <w:r w:rsidR="00AF31E5">
        <w:t>which</w:t>
      </w:r>
      <w:r w:rsidR="00741829" w:rsidRPr="00DB2FE2">
        <w:t xml:space="preserve"> signals a major complication for </w:t>
      </w:r>
      <w:r w:rsidR="008D734F" w:rsidRPr="00DB2FE2">
        <w:t xml:space="preserve">prophylaxis and </w:t>
      </w:r>
      <w:r w:rsidR="00741829" w:rsidRPr="00DB2FE2">
        <w:t>treatment of bleed</w:t>
      </w:r>
      <w:r w:rsidR="008D734F" w:rsidRPr="00DB2FE2">
        <w:t>s</w:t>
      </w:r>
      <w:r w:rsidR="00741829" w:rsidRPr="00DB2FE2">
        <w:t xml:space="preserve">. The complications associated with frequent and difficult to manage bleeding impact on the </w:t>
      </w:r>
      <w:r w:rsidR="00AF31E5">
        <w:t xml:space="preserve">patient’s </w:t>
      </w:r>
      <w:r w:rsidR="00741829" w:rsidRPr="00DB2FE2">
        <w:t>overall health, joint health, and quality of life</w:t>
      </w:r>
      <w:r w:rsidR="00EC095D" w:rsidRPr="00DB2FE2">
        <w:t>.</w:t>
      </w:r>
      <w:r w:rsidR="00467BE3" w:rsidRPr="00DB2FE2">
        <w:t xml:space="preserve"> </w:t>
      </w:r>
      <w:r w:rsidR="00EC095D" w:rsidRPr="00DB2FE2">
        <w:t>In addition,</w:t>
      </w:r>
      <w:r w:rsidR="00741829" w:rsidRPr="00DB2FE2">
        <w:t xml:space="preserve"> there is evidence to suggest th</w:t>
      </w:r>
      <w:r w:rsidR="005C6C85" w:rsidRPr="00DB2FE2">
        <w:t>at development of inhibitors increases</w:t>
      </w:r>
      <w:r w:rsidR="005C6C85">
        <w:t xml:space="preserve"> the </w:t>
      </w:r>
      <w:r w:rsidR="00741829">
        <w:t>bleeding related mortality</w:t>
      </w:r>
      <w:r w:rsidR="005C6C85">
        <w:t xml:space="preserve"> rate</w:t>
      </w:r>
      <w:r w:rsidR="00741829">
        <w:t xml:space="preserve"> in the </w:t>
      </w:r>
      <w:r w:rsidR="008D734F">
        <w:t>HMA</w:t>
      </w:r>
      <w:r w:rsidR="005C6C85">
        <w:t xml:space="preserve"> </w:t>
      </w:r>
      <w:r w:rsidR="00741829">
        <w:t xml:space="preserve">population </w:t>
      </w:r>
      <w:r w:rsidR="00062FE6">
        <w:fldChar w:fldCharType="begin"/>
      </w:r>
      <w:r w:rsidR="00DF30B8">
        <w:instrText xml:space="preserve"> ADDIN EN.CITE &lt;EndNote&gt;&lt;Cite&gt;&lt;Author&gt;Walsh&lt;/Author&gt;&lt;Year&gt;2015&lt;/Year&gt;&lt;RecNum&gt;6&lt;/RecNum&gt;&lt;DisplayText&gt;(Walsh et al 2015)&lt;/DisplayText&gt;&lt;record&gt;&lt;rec-number&gt;6&lt;/rec-number&gt;&lt;foreign-keys&gt;&lt;key app="EN" db-id="rwz09pa0y9ee9se9epe5f5xde52pzetxev5x" timestamp="1508890326"&gt;6&lt;/key&gt;&lt;/foreign-keys&gt;&lt;ref-type name="Journal Article"&gt;17&lt;/ref-type&gt;&lt;contributors&gt;&lt;authors&gt;&lt;author&gt;Walsh, C. E.&lt;/author&gt;&lt;author&gt;Soucie, J. M.&lt;/author&gt;&lt;author&gt;Miller, C. H.&lt;/author&gt;&lt;/authors&gt;&lt;/contributors&gt;&lt;auth-address&gt;Mount Sinai School of Medicine, New York, New York.&lt;/auth-address&gt;&lt;titles&gt;&lt;title&gt;Impact of inhibitors on hemophilia A mortality in the United States&lt;/title&gt;&lt;secondary-title&gt;Am J Hematol&lt;/secondary-title&gt;&lt;alt-title&gt;American journal of hematology&lt;/alt-title&gt;&lt;/titles&gt;&lt;periodical&gt;&lt;full-title&gt;Am J Hematol&lt;/full-title&gt;&lt;abbr-1&gt;American journal of hematology&lt;/abbr-1&gt;&lt;/periodical&gt;&lt;alt-periodical&gt;&lt;full-title&gt;Am J Hematol&lt;/full-title&gt;&lt;abbr-1&gt;American journal of hematology&lt;/abbr-1&gt;&lt;/alt-periodical&gt;&lt;pages&gt;400-5&lt;/pages&gt;&lt;volume&gt;90&lt;/volume&gt;&lt;number&gt;5&lt;/number&gt;&lt;edition&gt;2015/01/24&lt;/edition&gt;&lt;keywords&gt;&lt;keyword&gt;Adolescent&lt;/keyword&gt;&lt;keyword&gt;Adult&lt;/keyword&gt;&lt;keyword&gt;Antibodies/*blood&lt;/keyword&gt;&lt;keyword&gt;Child&lt;/keyword&gt;&lt;keyword&gt;Cytomegalovirus Infections/blood/complications/drug therapy/*mortality&lt;/keyword&gt;&lt;keyword&gt;Factor VIII/administration &amp;amp; dosage/*antagonists &amp;amp; inhibitors&lt;/keyword&gt;&lt;keyword&gt;HIV Infections/blood/complications/drug therapy/*mortality&lt;/keyword&gt;&lt;keyword&gt;Hemophilia A/blood/complications/drug therapy/*mortality&lt;/keyword&gt;&lt;keyword&gt;Humans&lt;/keyword&gt;&lt;keyword&gt;Male&lt;/keyword&gt;&lt;keyword&gt;Middle Aged&lt;/keyword&gt;&lt;keyword&gt;Retrospective Studies&lt;/keyword&gt;&lt;keyword&gt;Risk Factors&lt;/keyword&gt;&lt;keyword&gt;Survival Analysis&lt;/keyword&gt;&lt;keyword&gt;United States&lt;/keyword&gt;&lt;/keywords&gt;&lt;dates&gt;&lt;year&gt;2015&lt;/year&gt;&lt;pub-dates&gt;&lt;date&gt;May&lt;/date&gt;&lt;/pub-dates&gt;&lt;/dates&gt;&lt;isbn&gt;0361-8609&lt;/isbn&gt;&lt;accession-num&gt;25616111&lt;/accession-num&gt;&lt;urls&gt;&lt;/urls&gt;&lt;electronic-resource-num&gt;10.1002/ajh.23957&lt;/electronic-resource-num&gt;&lt;remote-database-provider&gt;NLM&lt;/remote-database-provider&gt;&lt;language&gt;eng&lt;/language&gt;&lt;/record&gt;&lt;/Cite&gt;&lt;/EndNote&gt;</w:instrText>
      </w:r>
      <w:r w:rsidR="00062FE6">
        <w:fldChar w:fldCharType="separate"/>
      </w:r>
      <w:r w:rsidR="00062FE6">
        <w:rPr>
          <w:noProof/>
        </w:rPr>
        <w:t>(Walsh et al 2015)</w:t>
      </w:r>
      <w:r w:rsidR="00062FE6">
        <w:fldChar w:fldCharType="end"/>
      </w:r>
      <w:r w:rsidR="00741829">
        <w:t>.</w:t>
      </w:r>
    </w:p>
    <w:p w14:paraId="48FAE6DE" w14:textId="7158173E" w:rsidR="00CB4AD2" w:rsidRDefault="00CB4AD2" w:rsidP="008A7087">
      <w:pPr>
        <w:pStyle w:val="Heading3"/>
      </w:pPr>
      <w:r>
        <w:lastRenderedPageBreak/>
        <w:t>P</w:t>
      </w:r>
      <w:r w:rsidRPr="00566B37">
        <w:t xml:space="preserve">opulation </w:t>
      </w:r>
      <w:r>
        <w:t xml:space="preserve">one: </w:t>
      </w:r>
      <w:r w:rsidR="0080144A" w:rsidRPr="00566B37">
        <w:t>Estimat</w:t>
      </w:r>
      <w:r w:rsidR="00AF31E5">
        <w:t>e</w:t>
      </w:r>
      <w:r w:rsidR="0080144A" w:rsidRPr="00566B37">
        <w:t xml:space="preserve"> of </w:t>
      </w:r>
      <w:r w:rsidR="00AF31E5">
        <w:t>patient numbers</w:t>
      </w:r>
    </w:p>
    <w:p w14:paraId="381D041D" w14:textId="094613CF" w:rsidR="0035725E" w:rsidRDefault="0007144C" w:rsidP="0007144C">
      <w:r>
        <w:t>The application states that eligible patients are those with c</w:t>
      </w:r>
      <w:r w:rsidR="0086227A">
        <w:t>HMA</w:t>
      </w:r>
      <w:r>
        <w:t xml:space="preserve"> and </w:t>
      </w:r>
      <w:r w:rsidR="00AF31E5">
        <w:t>have</w:t>
      </w:r>
      <w:r w:rsidR="00333516">
        <w:t xml:space="preserve"> persistent </w:t>
      </w:r>
      <w:r w:rsidR="003858C7">
        <w:t>FVIII</w:t>
      </w:r>
      <w:r>
        <w:t xml:space="preserve"> inhibitors</w:t>
      </w:r>
      <w:r w:rsidR="005334BE">
        <w:t xml:space="preserve"> </w:t>
      </w:r>
      <w:r w:rsidR="00C53878">
        <w:t>(</w:t>
      </w:r>
      <w:r w:rsidR="00C53878" w:rsidRPr="00C53878">
        <w:t>an inhibitor titre of ≥0.5BU</w:t>
      </w:r>
      <w:r w:rsidR="00751729">
        <w:t>/mL confirmed on repeat testing</w:t>
      </w:r>
      <w:r w:rsidR="00C53878">
        <w:t xml:space="preserve">, </w:t>
      </w:r>
      <w:r w:rsidR="00DB2FE2">
        <w:t>Part 7, response 45 Applica</w:t>
      </w:r>
      <w:r w:rsidR="00AF31E5">
        <w:t xml:space="preserve">tion </w:t>
      </w:r>
      <w:r w:rsidR="00DB2FE2">
        <w:t>1510)</w:t>
      </w:r>
      <w:r>
        <w:t xml:space="preserve">. </w:t>
      </w:r>
      <w:r w:rsidR="0035725E">
        <w:t>The applicant states that approximately 47 patients would be eligible for emicizumab</w:t>
      </w:r>
      <w:r w:rsidR="0035725E">
        <w:rPr>
          <w:rStyle w:val="FootnoteReference"/>
        </w:rPr>
        <w:footnoteReference w:id="7"/>
      </w:r>
      <w:r w:rsidR="0035725E">
        <w:t xml:space="preserve">. This estimate is congruent with the number of patients who have inhibitors but who are not currently receiving or who have failed </w:t>
      </w:r>
      <w:r w:rsidR="003E173E">
        <w:t>ITI</w:t>
      </w:r>
      <w:r w:rsidR="00355FC7">
        <w:t>,</w:t>
      </w:r>
      <w:r w:rsidR="0059185D">
        <w:t xml:space="preserve"> as reported in the</w:t>
      </w:r>
      <w:r w:rsidR="00A365A3">
        <w:t xml:space="preserve"> </w:t>
      </w:r>
      <w:r w:rsidR="00A365A3" w:rsidRPr="00A365A3">
        <w:t xml:space="preserve">2015-16 </w:t>
      </w:r>
      <w:r w:rsidR="00A365A3">
        <w:t>annual report published by</w:t>
      </w:r>
      <w:r w:rsidR="00A365A3" w:rsidRPr="00A365A3">
        <w:t xml:space="preserve"> </w:t>
      </w:r>
      <w:r w:rsidR="008A7087">
        <w:t>t</w:t>
      </w:r>
      <w:r w:rsidR="00A365A3" w:rsidRPr="00A365A3">
        <w:t>he Australian Bleeding Disorders Registry</w:t>
      </w:r>
      <w:r w:rsidR="008A7087">
        <w:t xml:space="preserve"> (ABDR), Table 2</w:t>
      </w:r>
      <w:r w:rsidR="00A365A3">
        <w:t>.</w:t>
      </w:r>
    </w:p>
    <w:p w14:paraId="2B53B33F" w14:textId="344839A6" w:rsidR="00DD6684" w:rsidRPr="0035725E" w:rsidRDefault="00DD6684" w:rsidP="00DD6684">
      <w:pPr>
        <w:pStyle w:val="Caption"/>
      </w:pPr>
      <w:bookmarkStart w:id="4" w:name="_Ref495651903"/>
      <w:r w:rsidRPr="0035725E">
        <w:t xml:space="preserve">Table </w:t>
      </w:r>
      <w:r w:rsidRPr="0035725E">
        <w:fldChar w:fldCharType="begin"/>
      </w:r>
      <w:r w:rsidRPr="0035725E">
        <w:instrText xml:space="preserve"> SEQ Table \* ARABIC </w:instrText>
      </w:r>
      <w:r w:rsidRPr="0035725E">
        <w:fldChar w:fldCharType="separate"/>
      </w:r>
      <w:r w:rsidR="00A04E68">
        <w:rPr>
          <w:noProof/>
        </w:rPr>
        <w:t>2</w:t>
      </w:r>
      <w:r w:rsidRPr="0035725E">
        <w:fldChar w:fldCharType="end"/>
      </w:r>
      <w:bookmarkEnd w:id="4"/>
      <w:r w:rsidRPr="0035725E">
        <w:tab/>
      </w:r>
      <w:r w:rsidRPr="0035725E">
        <w:tab/>
      </w:r>
      <w:r w:rsidR="004B4518" w:rsidRPr="0035725E">
        <w:t xml:space="preserve">HMA patients inhibitor status: adapted </w:t>
      </w:r>
      <w:r w:rsidRPr="0035725E">
        <w:t>from Table 14 of The Australian Bleeding Disorders Registry annual report 2015-16</w:t>
      </w:r>
    </w:p>
    <w:tbl>
      <w:tblPr>
        <w:tblStyle w:val="TableGrid"/>
        <w:tblW w:w="5000" w:type="pct"/>
        <w:tblBorders>
          <w:insideV w:val="none" w:sz="0" w:space="0" w:color="auto"/>
        </w:tblBorders>
        <w:tblLook w:val="04A0" w:firstRow="1" w:lastRow="0" w:firstColumn="1" w:lastColumn="0" w:noHBand="0" w:noVBand="1"/>
        <w:tblCaption w:val="Table 2  HMA patients inhibitor status: adapted from Table 14 of The Australian Bleeding Disorders Registry annual report 2015-16"/>
      </w:tblPr>
      <w:tblGrid>
        <w:gridCol w:w="4360"/>
        <w:gridCol w:w="4882"/>
      </w:tblGrid>
      <w:tr w:rsidR="00DD6684" w:rsidRPr="0035725E" w14:paraId="733E09F7" w14:textId="77777777" w:rsidTr="0035725E">
        <w:trPr>
          <w:trHeight w:val="315"/>
          <w:tblHeader/>
        </w:trPr>
        <w:tc>
          <w:tcPr>
            <w:tcW w:w="2359" w:type="pct"/>
            <w:shd w:val="clear" w:color="auto" w:fill="D9D9D9" w:themeFill="background1" w:themeFillShade="D9"/>
            <w:hideMark/>
          </w:tcPr>
          <w:p w14:paraId="4510413E" w14:textId="77865DC2" w:rsidR="00DD6684" w:rsidRPr="0035725E" w:rsidRDefault="00DD6684" w:rsidP="00023FF0">
            <w:pPr>
              <w:spacing w:after="60"/>
              <w:rPr>
                <w:rFonts w:ascii="Arial Narrow" w:hAnsi="Arial Narrow"/>
                <w:b/>
                <w:bCs/>
                <w:i/>
                <w:sz w:val="20"/>
                <w:szCs w:val="20"/>
              </w:rPr>
            </w:pPr>
            <w:r w:rsidRPr="0035725E">
              <w:rPr>
                <w:rFonts w:ascii="Arial Narrow" w:hAnsi="Arial Narrow"/>
                <w:b/>
                <w:bCs/>
                <w:sz w:val="20"/>
                <w:szCs w:val="20"/>
              </w:rPr>
              <w:t xml:space="preserve">Inhibitor </w:t>
            </w:r>
            <w:r w:rsidR="000E5F7E">
              <w:rPr>
                <w:rFonts w:ascii="Arial Narrow" w:hAnsi="Arial Narrow"/>
                <w:b/>
                <w:bCs/>
                <w:sz w:val="20"/>
                <w:szCs w:val="20"/>
              </w:rPr>
              <w:t>S</w:t>
            </w:r>
            <w:r w:rsidRPr="0035725E">
              <w:rPr>
                <w:rFonts w:ascii="Arial Narrow" w:hAnsi="Arial Narrow"/>
                <w:b/>
                <w:bCs/>
                <w:sz w:val="20"/>
                <w:szCs w:val="20"/>
              </w:rPr>
              <w:t>tatus</w:t>
            </w:r>
          </w:p>
        </w:tc>
        <w:tc>
          <w:tcPr>
            <w:tcW w:w="2641" w:type="pct"/>
            <w:shd w:val="clear" w:color="auto" w:fill="D9D9D9" w:themeFill="background1" w:themeFillShade="D9"/>
          </w:tcPr>
          <w:p w14:paraId="1BA3BAB2" w14:textId="77777777" w:rsidR="00DD6684" w:rsidRPr="0035725E" w:rsidRDefault="00DD6684" w:rsidP="00023FF0">
            <w:pPr>
              <w:spacing w:after="60" w:line="276" w:lineRule="auto"/>
              <w:rPr>
                <w:rFonts w:ascii="Arial Narrow" w:hAnsi="Arial Narrow"/>
                <w:b/>
                <w:bCs/>
                <w:sz w:val="20"/>
                <w:szCs w:val="20"/>
              </w:rPr>
            </w:pPr>
            <w:r w:rsidRPr="0035725E">
              <w:rPr>
                <w:rFonts w:ascii="Arial Narrow" w:hAnsi="Arial Narrow"/>
                <w:b/>
                <w:bCs/>
                <w:sz w:val="20"/>
                <w:szCs w:val="20"/>
              </w:rPr>
              <w:t xml:space="preserve">Number in The Australian Bleeding Disorders Registry </w:t>
            </w:r>
          </w:p>
        </w:tc>
      </w:tr>
      <w:tr w:rsidR="00DD6684" w:rsidRPr="0035725E" w14:paraId="5806B6C8" w14:textId="77777777" w:rsidTr="0035725E">
        <w:trPr>
          <w:trHeight w:val="525"/>
        </w:trPr>
        <w:tc>
          <w:tcPr>
            <w:tcW w:w="2359" w:type="pct"/>
            <w:tcBorders>
              <w:bottom w:val="single" w:sz="4" w:space="0" w:color="auto"/>
            </w:tcBorders>
            <w:shd w:val="clear" w:color="auto" w:fill="F2F2F2" w:themeFill="background1" w:themeFillShade="F2"/>
          </w:tcPr>
          <w:p w14:paraId="2E1137A0" w14:textId="77777777" w:rsidR="00DD6684" w:rsidRPr="0035725E" w:rsidRDefault="00DD6684" w:rsidP="00023FF0">
            <w:pPr>
              <w:spacing w:after="60" w:line="276" w:lineRule="auto"/>
              <w:rPr>
                <w:rFonts w:ascii="Arial Narrow" w:hAnsi="Arial Narrow"/>
                <w:b/>
                <w:bCs/>
                <w:sz w:val="20"/>
                <w:szCs w:val="20"/>
              </w:rPr>
            </w:pPr>
            <w:r w:rsidRPr="0035725E">
              <w:rPr>
                <w:rFonts w:ascii="Arial Narrow" w:hAnsi="Arial Narrow"/>
                <w:b/>
                <w:bCs/>
                <w:sz w:val="20"/>
                <w:szCs w:val="20"/>
              </w:rPr>
              <w:t>Total patients in registry at 30 June 2016</w:t>
            </w:r>
          </w:p>
        </w:tc>
        <w:tc>
          <w:tcPr>
            <w:tcW w:w="2641" w:type="pct"/>
            <w:tcBorders>
              <w:bottom w:val="single" w:sz="4" w:space="0" w:color="auto"/>
            </w:tcBorders>
            <w:shd w:val="clear" w:color="auto" w:fill="F2F2F2" w:themeFill="background1" w:themeFillShade="F2"/>
          </w:tcPr>
          <w:p w14:paraId="658FC85E" w14:textId="77777777" w:rsidR="00DD6684" w:rsidRPr="0035725E" w:rsidRDefault="00DD6684" w:rsidP="007E2E2D">
            <w:pPr>
              <w:spacing w:after="60" w:line="276" w:lineRule="auto"/>
              <w:rPr>
                <w:rFonts w:ascii="Arial Narrow" w:hAnsi="Arial Narrow"/>
                <w:b/>
                <w:bCs/>
                <w:sz w:val="20"/>
                <w:szCs w:val="20"/>
              </w:rPr>
            </w:pPr>
            <w:r w:rsidRPr="0035725E">
              <w:rPr>
                <w:rFonts w:ascii="Arial Narrow" w:hAnsi="Arial Narrow"/>
                <w:b/>
                <w:bCs/>
                <w:sz w:val="20"/>
                <w:szCs w:val="20"/>
              </w:rPr>
              <w:t>2,298</w:t>
            </w:r>
          </w:p>
        </w:tc>
      </w:tr>
      <w:tr w:rsidR="00333516" w:rsidRPr="0035725E" w14:paraId="1986CD4A" w14:textId="77777777" w:rsidTr="0035725E">
        <w:trPr>
          <w:trHeight w:val="525"/>
        </w:trPr>
        <w:tc>
          <w:tcPr>
            <w:tcW w:w="2359" w:type="pct"/>
            <w:tcBorders>
              <w:bottom w:val="single" w:sz="4" w:space="0" w:color="auto"/>
            </w:tcBorders>
            <w:shd w:val="clear" w:color="auto" w:fill="auto"/>
          </w:tcPr>
          <w:p w14:paraId="53E6D52E" w14:textId="7579AA81" w:rsidR="00333516" w:rsidRPr="0035725E" w:rsidRDefault="00333516" w:rsidP="007E2E2D">
            <w:pPr>
              <w:spacing w:after="60"/>
              <w:jc w:val="both"/>
              <w:rPr>
                <w:rFonts w:ascii="Arial Narrow" w:hAnsi="Arial Narrow"/>
                <w:bCs/>
                <w:i/>
                <w:sz w:val="20"/>
                <w:szCs w:val="20"/>
              </w:rPr>
            </w:pPr>
            <w:r w:rsidRPr="0035725E">
              <w:rPr>
                <w:rFonts w:ascii="Arial Narrow" w:hAnsi="Arial Narrow"/>
                <w:b/>
                <w:bCs/>
                <w:i/>
                <w:sz w:val="20"/>
                <w:szCs w:val="20"/>
              </w:rPr>
              <w:t>No inhibitors</w:t>
            </w:r>
            <w:r w:rsidR="004B4518" w:rsidRPr="0035725E">
              <w:rPr>
                <w:rFonts w:ascii="Arial Narrow" w:hAnsi="Arial Narrow"/>
                <w:b/>
                <w:bCs/>
                <w:i/>
                <w:sz w:val="20"/>
                <w:szCs w:val="20"/>
              </w:rPr>
              <w:t xml:space="preserve"> (never present)</w:t>
            </w:r>
            <w:r w:rsidRPr="0035725E">
              <w:rPr>
                <w:rFonts w:ascii="Arial Narrow" w:hAnsi="Arial Narrow"/>
                <w:b/>
                <w:bCs/>
                <w:i/>
                <w:sz w:val="20"/>
                <w:szCs w:val="20"/>
              </w:rPr>
              <w:t xml:space="preserve"> </w:t>
            </w:r>
          </w:p>
        </w:tc>
        <w:tc>
          <w:tcPr>
            <w:tcW w:w="2641" w:type="pct"/>
            <w:tcBorders>
              <w:bottom w:val="single" w:sz="4" w:space="0" w:color="auto"/>
            </w:tcBorders>
            <w:shd w:val="clear" w:color="auto" w:fill="auto"/>
          </w:tcPr>
          <w:p w14:paraId="598D3714" w14:textId="271F3BB1" w:rsidR="00333516" w:rsidRPr="0035725E" w:rsidRDefault="004B4518" w:rsidP="007E2E2D">
            <w:pPr>
              <w:spacing w:after="60"/>
              <w:rPr>
                <w:rFonts w:ascii="Arial Narrow" w:hAnsi="Arial Narrow"/>
                <w:bCs/>
                <w:sz w:val="20"/>
                <w:szCs w:val="20"/>
              </w:rPr>
            </w:pPr>
            <w:r w:rsidRPr="0035725E">
              <w:rPr>
                <w:rFonts w:ascii="Arial Narrow" w:hAnsi="Arial Narrow"/>
                <w:b/>
                <w:bCs/>
                <w:sz w:val="20"/>
                <w:szCs w:val="20"/>
              </w:rPr>
              <w:t>1209</w:t>
            </w:r>
          </w:p>
        </w:tc>
      </w:tr>
      <w:tr w:rsidR="00333516" w:rsidRPr="0035725E" w14:paraId="22179EE1" w14:textId="77777777" w:rsidTr="0035725E">
        <w:trPr>
          <w:trHeight w:val="525"/>
        </w:trPr>
        <w:tc>
          <w:tcPr>
            <w:tcW w:w="2359" w:type="pct"/>
            <w:tcBorders>
              <w:bottom w:val="single" w:sz="4" w:space="0" w:color="auto"/>
            </w:tcBorders>
            <w:shd w:val="clear" w:color="auto" w:fill="auto"/>
          </w:tcPr>
          <w:p w14:paraId="149F016F" w14:textId="77777777" w:rsidR="00333516" w:rsidRPr="0035725E" w:rsidRDefault="00333516" w:rsidP="00023FF0">
            <w:pPr>
              <w:spacing w:after="60"/>
              <w:rPr>
                <w:rFonts w:ascii="Arial Narrow" w:hAnsi="Arial Narrow"/>
                <w:bCs/>
                <w:sz w:val="20"/>
                <w:szCs w:val="20"/>
              </w:rPr>
            </w:pPr>
            <w:r w:rsidRPr="0035725E">
              <w:rPr>
                <w:rFonts w:ascii="Arial Narrow" w:hAnsi="Arial Narrow"/>
                <w:bCs/>
                <w:sz w:val="20"/>
                <w:szCs w:val="20"/>
              </w:rPr>
              <w:t>Untested or equivocal result(s)</w:t>
            </w:r>
          </w:p>
        </w:tc>
        <w:tc>
          <w:tcPr>
            <w:tcW w:w="2641" w:type="pct"/>
            <w:tcBorders>
              <w:bottom w:val="single" w:sz="4" w:space="0" w:color="auto"/>
            </w:tcBorders>
            <w:shd w:val="clear" w:color="auto" w:fill="auto"/>
          </w:tcPr>
          <w:p w14:paraId="3306AC95" w14:textId="77777777" w:rsidR="00333516" w:rsidRPr="0035725E" w:rsidRDefault="00333516" w:rsidP="007E2E2D">
            <w:pPr>
              <w:spacing w:after="60"/>
              <w:rPr>
                <w:rFonts w:ascii="Arial Narrow" w:hAnsi="Arial Narrow"/>
                <w:bCs/>
                <w:sz w:val="20"/>
                <w:szCs w:val="20"/>
              </w:rPr>
            </w:pPr>
            <w:r w:rsidRPr="0035725E">
              <w:rPr>
                <w:rFonts w:ascii="Arial Narrow" w:hAnsi="Arial Narrow"/>
                <w:bCs/>
                <w:sz w:val="20"/>
                <w:szCs w:val="20"/>
              </w:rPr>
              <w:t>851</w:t>
            </w:r>
          </w:p>
        </w:tc>
      </w:tr>
      <w:tr w:rsidR="00333516" w:rsidRPr="0035725E" w14:paraId="4C31D5B4" w14:textId="77777777" w:rsidTr="0035725E">
        <w:trPr>
          <w:trHeight w:val="525"/>
        </w:trPr>
        <w:tc>
          <w:tcPr>
            <w:tcW w:w="2359" w:type="pct"/>
            <w:tcBorders>
              <w:right w:val="nil"/>
            </w:tcBorders>
            <w:shd w:val="clear" w:color="auto" w:fill="F2F2F2" w:themeFill="background1" w:themeFillShade="F2"/>
          </w:tcPr>
          <w:p w14:paraId="7F36F3E7" w14:textId="6ADA7782" w:rsidR="00333516" w:rsidRPr="0035725E" w:rsidRDefault="00333516" w:rsidP="00023FF0">
            <w:pPr>
              <w:spacing w:after="60" w:line="276" w:lineRule="auto"/>
              <w:rPr>
                <w:rFonts w:ascii="Arial Narrow" w:hAnsi="Arial Narrow"/>
                <w:b/>
                <w:bCs/>
                <w:i/>
                <w:sz w:val="20"/>
                <w:szCs w:val="20"/>
              </w:rPr>
            </w:pPr>
            <w:r w:rsidRPr="0035725E">
              <w:rPr>
                <w:rFonts w:ascii="Arial Narrow" w:hAnsi="Arial Narrow"/>
                <w:b/>
                <w:bCs/>
                <w:i/>
                <w:sz w:val="20"/>
                <w:szCs w:val="20"/>
              </w:rPr>
              <w:t>With inhibitors</w:t>
            </w:r>
          </w:p>
          <w:p w14:paraId="7A37E0C5" w14:textId="4F0B69B2" w:rsidR="00333516" w:rsidRPr="0035725E" w:rsidRDefault="00333516" w:rsidP="0035725E">
            <w:pPr>
              <w:spacing w:after="60"/>
              <w:ind w:left="284"/>
              <w:rPr>
                <w:rFonts w:ascii="Arial Narrow" w:hAnsi="Arial Narrow"/>
                <w:bCs/>
                <w:sz w:val="20"/>
                <w:szCs w:val="20"/>
              </w:rPr>
            </w:pPr>
            <w:r w:rsidRPr="0035725E">
              <w:rPr>
                <w:rFonts w:ascii="Arial Narrow" w:hAnsi="Arial Narrow"/>
                <w:bCs/>
                <w:sz w:val="20"/>
                <w:szCs w:val="20"/>
              </w:rPr>
              <w:t>Patients on immune tolerisation induction</w:t>
            </w:r>
          </w:p>
          <w:p w14:paraId="4CB6EF82" w14:textId="21791229" w:rsidR="00333516" w:rsidRPr="0035725E" w:rsidRDefault="00333516" w:rsidP="0035725E">
            <w:pPr>
              <w:spacing w:after="60"/>
              <w:ind w:left="284"/>
              <w:rPr>
                <w:rFonts w:ascii="Arial Narrow" w:hAnsi="Arial Narrow"/>
                <w:bCs/>
                <w:sz w:val="20"/>
                <w:szCs w:val="20"/>
              </w:rPr>
            </w:pPr>
            <w:r w:rsidRPr="0035725E">
              <w:rPr>
                <w:rFonts w:ascii="Arial Narrow" w:hAnsi="Arial Narrow"/>
                <w:bCs/>
                <w:sz w:val="20"/>
                <w:szCs w:val="20"/>
              </w:rPr>
              <w:t>Not on immune tolerisation induction</w:t>
            </w:r>
          </w:p>
        </w:tc>
        <w:tc>
          <w:tcPr>
            <w:tcW w:w="2641" w:type="pct"/>
            <w:tcBorders>
              <w:left w:val="nil"/>
            </w:tcBorders>
            <w:shd w:val="clear" w:color="auto" w:fill="F2F2F2" w:themeFill="background1" w:themeFillShade="F2"/>
          </w:tcPr>
          <w:p w14:paraId="210F3781" w14:textId="77777777" w:rsidR="00333516" w:rsidRPr="0035725E" w:rsidRDefault="00333516" w:rsidP="007E2E2D">
            <w:pPr>
              <w:spacing w:after="60" w:line="276" w:lineRule="auto"/>
              <w:rPr>
                <w:rFonts w:ascii="Arial Narrow" w:hAnsi="Arial Narrow"/>
                <w:b/>
                <w:bCs/>
                <w:sz w:val="20"/>
                <w:szCs w:val="20"/>
              </w:rPr>
            </w:pPr>
            <w:r w:rsidRPr="0035725E">
              <w:rPr>
                <w:rFonts w:ascii="Arial Narrow" w:hAnsi="Arial Narrow"/>
                <w:b/>
                <w:bCs/>
                <w:sz w:val="20"/>
                <w:szCs w:val="20"/>
              </w:rPr>
              <w:t>61</w:t>
            </w:r>
          </w:p>
          <w:p w14:paraId="5FD10B34" w14:textId="77777777" w:rsidR="00333516" w:rsidRPr="0035725E" w:rsidRDefault="00333516" w:rsidP="007E2E2D">
            <w:pPr>
              <w:spacing w:after="60"/>
              <w:rPr>
                <w:rFonts w:ascii="Arial Narrow" w:hAnsi="Arial Narrow"/>
                <w:bCs/>
                <w:sz w:val="20"/>
                <w:szCs w:val="20"/>
              </w:rPr>
            </w:pPr>
            <w:r w:rsidRPr="0035725E">
              <w:rPr>
                <w:rFonts w:ascii="Arial Narrow" w:hAnsi="Arial Narrow"/>
                <w:bCs/>
                <w:sz w:val="20"/>
                <w:szCs w:val="20"/>
              </w:rPr>
              <w:t>17</w:t>
            </w:r>
          </w:p>
          <w:p w14:paraId="71A7C4B2" w14:textId="77777777" w:rsidR="00333516" w:rsidRPr="0035725E" w:rsidRDefault="00333516" w:rsidP="007E2E2D">
            <w:pPr>
              <w:spacing w:after="60"/>
              <w:rPr>
                <w:rFonts w:ascii="Arial Narrow" w:hAnsi="Arial Narrow"/>
                <w:bCs/>
                <w:sz w:val="20"/>
                <w:szCs w:val="20"/>
              </w:rPr>
            </w:pPr>
            <w:r w:rsidRPr="0035725E">
              <w:rPr>
                <w:rFonts w:ascii="Arial Narrow" w:hAnsi="Arial Narrow"/>
                <w:bCs/>
                <w:sz w:val="20"/>
                <w:szCs w:val="20"/>
              </w:rPr>
              <w:t>37</w:t>
            </w:r>
          </w:p>
        </w:tc>
      </w:tr>
      <w:tr w:rsidR="004B4518" w:rsidRPr="0035725E" w14:paraId="1E6361BA" w14:textId="77777777" w:rsidTr="0035725E">
        <w:trPr>
          <w:trHeight w:val="371"/>
        </w:trPr>
        <w:tc>
          <w:tcPr>
            <w:tcW w:w="2359" w:type="pct"/>
            <w:shd w:val="clear" w:color="auto" w:fill="auto"/>
          </w:tcPr>
          <w:p w14:paraId="14FC0DB0" w14:textId="77777777" w:rsidR="004B4518" w:rsidRPr="0035725E" w:rsidRDefault="004B4518" w:rsidP="00023FF0">
            <w:pPr>
              <w:spacing w:after="60"/>
              <w:rPr>
                <w:rFonts w:ascii="Arial Narrow" w:hAnsi="Arial Narrow"/>
                <w:b/>
                <w:i/>
                <w:sz w:val="20"/>
                <w:szCs w:val="20"/>
              </w:rPr>
            </w:pPr>
            <w:r w:rsidRPr="0035725E">
              <w:rPr>
                <w:rFonts w:ascii="Arial Narrow" w:hAnsi="Arial Narrow"/>
                <w:b/>
                <w:i/>
                <w:sz w:val="20"/>
                <w:szCs w:val="20"/>
              </w:rPr>
              <w:t>Historically present*</w:t>
            </w:r>
          </w:p>
          <w:p w14:paraId="24A5C5E5" w14:textId="77777777" w:rsidR="004B4518" w:rsidRPr="0035725E" w:rsidRDefault="004B4518" w:rsidP="0035725E">
            <w:pPr>
              <w:spacing w:after="60"/>
              <w:ind w:left="284"/>
              <w:rPr>
                <w:rFonts w:ascii="Arial Narrow" w:hAnsi="Arial Narrow"/>
                <w:sz w:val="20"/>
                <w:szCs w:val="20"/>
              </w:rPr>
            </w:pPr>
            <w:r w:rsidRPr="0035725E">
              <w:rPr>
                <w:rFonts w:ascii="Arial Narrow" w:hAnsi="Arial Narrow"/>
                <w:sz w:val="20"/>
                <w:szCs w:val="20"/>
              </w:rPr>
              <w:t>High titre</w:t>
            </w:r>
          </w:p>
          <w:p w14:paraId="3F0C52C5" w14:textId="77777777" w:rsidR="004B4518" w:rsidRDefault="004B4518" w:rsidP="0035725E">
            <w:pPr>
              <w:spacing w:line="276" w:lineRule="auto"/>
              <w:ind w:left="284"/>
              <w:rPr>
                <w:rFonts w:ascii="Arial Narrow" w:hAnsi="Arial Narrow"/>
                <w:sz w:val="20"/>
                <w:szCs w:val="20"/>
              </w:rPr>
            </w:pPr>
            <w:r w:rsidRPr="0035725E">
              <w:rPr>
                <w:rFonts w:ascii="Arial Narrow" w:hAnsi="Arial Narrow"/>
                <w:sz w:val="20"/>
                <w:szCs w:val="20"/>
              </w:rPr>
              <w:t>Low titre</w:t>
            </w:r>
          </w:p>
          <w:p w14:paraId="2EE02997" w14:textId="02D640AC" w:rsidR="0035725E" w:rsidRPr="0035725E" w:rsidRDefault="0035725E" w:rsidP="0035725E">
            <w:pPr>
              <w:spacing w:after="60" w:line="276" w:lineRule="auto"/>
              <w:ind w:left="284"/>
              <w:rPr>
                <w:rFonts w:ascii="Arial Narrow" w:hAnsi="Arial Narrow"/>
                <w:bCs/>
                <w:sz w:val="20"/>
                <w:szCs w:val="20"/>
              </w:rPr>
            </w:pPr>
            <w:r w:rsidRPr="0035725E">
              <w:rPr>
                <w:rFonts w:ascii="Arial Narrow" w:hAnsi="Arial Narrow"/>
                <w:bCs/>
                <w:sz w:val="20"/>
                <w:szCs w:val="20"/>
              </w:rPr>
              <w:t>Tolerised</w:t>
            </w:r>
            <w:r>
              <w:rPr>
                <w:rFonts w:ascii="Arial Narrow" w:hAnsi="Arial Narrow"/>
                <w:bCs/>
                <w:sz w:val="20"/>
                <w:szCs w:val="20"/>
              </w:rPr>
              <w:t>*</w:t>
            </w:r>
          </w:p>
        </w:tc>
        <w:tc>
          <w:tcPr>
            <w:tcW w:w="2641" w:type="pct"/>
            <w:shd w:val="clear" w:color="auto" w:fill="auto"/>
          </w:tcPr>
          <w:p w14:paraId="1F14519D" w14:textId="77777777" w:rsidR="004B4518" w:rsidRPr="0035725E" w:rsidRDefault="004B4518" w:rsidP="007E2E2D">
            <w:pPr>
              <w:spacing w:after="60"/>
              <w:rPr>
                <w:rFonts w:ascii="Arial Narrow" w:hAnsi="Arial Narrow"/>
                <w:sz w:val="20"/>
                <w:szCs w:val="20"/>
              </w:rPr>
            </w:pPr>
            <w:r w:rsidRPr="0035725E">
              <w:rPr>
                <w:rFonts w:ascii="Arial Narrow" w:hAnsi="Arial Narrow"/>
                <w:sz w:val="20"/>
                <w:szCs w:val="20"/>
              </w:rPr>
              <w:t>≈174</w:t>
            </w:r>
          </w:p>
          <w:p w14:paraId="698BC807" w14:textId="77777777" w:rsidR="004B4518" w:rsidRPr="0035725E" w:rsidRDefault="004B4518" w:rsidP="007E2E2D">
            <w:pPr>
              <w:spacing w:after="60"/>
              <w:rPr>
                <w:rFonts w:ascii="Arial Narrow" w:hAnsi="Arial Narrow"/>
                <w:sz w:val="20"/>
                <w:szCs w:val="20"/>
              </w:rPr>
            </w:pPr>
            <w:r w:rsidRPr="0035725E">
              <w:rPr>
                <w:rFonts w:ascii="Arial Narrow" w:hAnsi="Arial Narrow"/>
                <w:sz w:val="20"/>
                <w:szCs w:val="20"/>
              </w:rPr>
              <w:t>70</w:t>
            </w:r>
          </w:p>
          <w:p w14:paraId="69A2AB3D" w14:textId="77777777" w:rsidR="0035725E" w:rsidRDefault="004B4518" w:rsidP="007E2E2D">
            <w:pPr>
              <w:spacing w:line="276" w:lineRule="auto"/>
              <w:rPr>
                <w:rFonts w:ascii="Arial Narrow" w:hAnsi="Arial Narrow"/>
                <w:sz w:val="20"/>
                <w:szCs w:val="20"/>
              </w:rPr>
            </w:pPr>
            <w:r w:rsidRPr="0035725E">
              <w:rPr>
                <w:rFonts w:ascii="Arial Narrow" w:hAnsi="Arial Narrow"/>
                <w:sz w:val="20"/>
                <w:szCs w:val="20"/>
              </w:rPr>
              <w:t>99</w:t>
            </w:r>
          </w:p>
          <w:p w14:paraId="68A85F78" w14:textId="05BFC462" w:rsidR="004B4518" w:rsidRPr="0035725E" w:rsidRDefault="0035725E" w:rsidP="007E2E2D">
            <w:pPr>
              <w:spacing w:after="60" w:line="276" w:lineRule="auto"/>
              <w:rPr>
                <w:rFonts w:ascii="Arial Narrow" w:hAnsi="Arial Narrow"/>
                <w:bCs/>
                <w:sz w:val="20"/>
                <w:szCs w:val="20"/>
              </w:rPr>
            </w:pPr>
            <w:r w:rsidRPr="0035725E">
              <w:rPr>
                <w:rFonts w:ascii="Arial Narrow" w:hAnsi="Arial Narrow"/>
                <w:bCs/>
                <w:sz w:val="20"/>
                <w:szCs w:val="20"/>
              </w:rPr>
              <w:t>&lt;5</w:t>
            </w:r>
          </w:p>
        </w:tc>
      </w:tr>
    </w:tbl>
    <w:p w14:paraId="40604BBC" w14:textId="77777777" w:rsidR="00DD6684" w:rsidRPr="00585892" w:rsidRDefault="00DD6684" w:rsidP="00585892">
      <w:pPr>
        <w:spacing w:after="60" w:line="240" w:lineRule="auto"/>
        <w:rPr>
          <w:rFonts w:ascii="Arial Narrow" w:hAnsi="Arial Narrow"/>
          <w:sz w:val="18"/>
          <w:szCs w:val="18"/>
        </w:rPr>
      </w:pPr>
      <w:r w:rsidRPr="00585892">
        <w:rPr>
          <w:rFonts w:ascii="Arial Narrow" w:hAnsi="Arial Narrow"/>
          <w:sz w:val="18"/>
          <w:szCs w:val="18"/>
        </w:rPr>
        <w:t xml:space="preserve">*includes estimated numbers, registry </w:t>
      </w:r>
      <w:r w:rsidRPr="00585892">
        <w:rPr>
          <w:rFonts w:ascii="Arial Narrow" w:hAnsi="Arial Narrow"/>
          <w:b/>
          <w:bCs/>
          <w:sz w:val="18"/>
          <w:szCs w:val="18"/>
        </w:rPr>
        <w:t>reported</w:t>
      </w:r>
      <w:r w:rsidRPr="00585892">
        <w:rPr>
          <w:rFonts w:ascii="Arial Narrow" w:hAnsi="Arial Narrow"/>
          <w:sz w:val="18"/>
          <w:szCs w:val="18"/>
        </w:rPr>
        <w:t xml:space="preserve"> &lt;5 rather than actual n</w:t>
      </w:r>
    </w:p>
    <w:p w14:paraId="040EC0CD" w14:textId="4DC27CC2" w:rsidR="008A7087" w:rsidRDefault="008A7087" w:rsidP="001F4A61">
      <w:pPr>
        <w:pStyle w:val="Heading2"/>
      </w:pPr>
      <w:r w:rsidRPr="008A7087">
        <w:t xml:space="preserve">Population </w:t>
      </w:r>
      <w:r>
        <w:t>two</w:t>
      </w:r>
      <w:r w:rsidRPr="008A7087">
        <w:t>: Haemophilia A patients with</w:t>
      </w:r>
      <w:r>
        <w:t>out</w:t>
      </w:r>
      <w:r w:rsidRPr="008A7087">
        <w:t xml:space="preserve"> inhibitors</w:t>
      </w:r>
    </w:p>
    <w:p w14:paraId="756A4F92" w14:textId="5812A44F" w:rsidR="00651502" w:rsidRDefault="00804BD2" w:rsidP="00585892">
      <w:pPr>
        <w:spacing w:after="0"/>
      </w:pPr>
      <w:r w:rsidRPr="007E2E2D">
        <w:t xml:space="preserve">The second patient population </w:t>
      </w:r>
      <w:r w:rsidR="00100E5D" w:rsidRPr="007E2E2D">
        <w:t xml:space="preserve">in which </w:t>
      </w:r>
      <w:r w:rsidRPr="007E2E2D">
        <w:t xml:space="preserve">emicizumab </w:t>
      </w:r>
      <w:r w:rsidR="00100E5D" w:rsidRPr="007E2E2D">
        <w:t xml:space="preserve">may be </w:t>
      </w:r>
      <w:r w:rsidR="00B851A8" w:rsidRPr="007E2E2D">
        <w:t xml:space="preserve">considered </w:t>
      </w:r>
      <w:r w:rsidR="00100E5D" w:rsidRPr="007E2E2D">
        <w:t>as</w:t>
      </w:r>
      <w:r w:rsidRPr="007E2E2D">
        <w:t xml:space="preserve"> an alternative </w:t>
      </w:r>
      <w:r w:rsidR="00100E5D" w:rsidRPr="007E2E2D">
        <w:t>to prophylaxis</w:t>
      </w:r>
      <w:r w:rsidRPr="007E2E2D">
        <w:t xml:space="preserve"> </w:t>
      </w:r>
      <w:r w:rsidR="009B7EF0" w:rsidRPr="007E2E2D">
        <w:t xml:space="preserve">with </w:t>
      </w:r>
      <w:r w:rsidRPr="007E2E2D">
        <w:t>either plasma</w:t>
      </w:r>
      <w:r w:rsidR="003E173E">
        <w:t xml:space="preserve"> </w:t>
      </w:r>
      <w:r w:rsidRPr="007E2E2D">
        <w:t xml:space="preserve">derived or recombinant FVIII are those patients with moderate to severe disease </w:t>
      </w:r>
      <w:r w:rsidR="00651502">
        <w:t>who;</w:t>
      </w:r>
    </w:p>
    <w:p w14:paraId="293A2A06" w14:textId="7E51FFD0" w:rsidR="00651502" w:rsidRDefault="00804BD2" w:rsidP="00651502">
      <w:pPr>
        <w:pStyle w:val="ListParagraph"/>
        <w:numPr>
          <w:ilvl w:val="0"/>
          <w:numId w:val="37"/>
        </w:numPr>
      </w:pPr>
      <w:r w:rsidRPr="007E2E2D">
        <w:t>have n</w:t>
      </w:r>
      <w:r w:rsidR="007E2E2D">
        <w:t>ot been screened for inhibitors</w:t>
      </w:r>
      <w:r w:rsidR="000E715D">
        <w:t xml:space="preserve"> or,</w:t>
      </w:r>
    </w:p>
    <w:p w14:paraId="1BF1F141" w14:textId="518624A1" w:rsidR="00651502" w:rsidRDefault="00804BD2" w:rsidP="00651502">
      <w:pPr>
        <w:pStyle w:val="ListParagraph"/>
        <w:numPr>
          <w:ilvl w:val="0"/>
          <w:numId w:val="37"/>
        </w:numPr>
      </w:pPr>
      <w:r w:rsidRPr="007E2E2D">
        <w:t>have tested negative for inhibitors</w:t>
      </w:r>
      <w:r w:rsidR="000E715D">
        <w:t xml:space="preserve"> </w:t>
      </w:r>
      <w:r w:rsidR="007E2E2D">
        <w:t>or</w:t>
      </w:r>
      <w:r w:rsidR="00651502">
        <w:t>,</w:t>
      </w:r>
    </w:p>
    <w:p w14:paraId="6E68325F" w14:textId="3873BD13" w:rsidR="00C53878" w:rsidRDefault="00C53878" w:rsidP="00651502">
      <w:pPr>
        <w:pStyle w:val="ListParagraph"/>
        <w:numPr>
          <w:ilvl w:val="0"/>
          <w:numId w:val="37"/>
        </w:numPr>
      </w:pPr>
      <w:r>
        <w:t>have had spontaneous remission of inhibitors or</w:t>
      </w:r>
      <w:r w:rsidR="000E715D">
        <w:t>,</w:t>
      </w:r>
    </w:p>
    <w:p w14:paraId="27EBB27E" w14:textId="451E550B" w:rsidR="00651502" w:rsidRDefault="007E2E2D" w:rsidP="00585892">
      <w:pPr>
        <w:pStyle w:val="ListParagraph"/>
        <w:numPr>
          <w:ilvl w:val="0"/>
          <w:numId w:val="37"/>
        </w:numPr>
        <w:spacing w:after="60"/>
      </w:pPr>
      <w:r>
        <w:t xml:space="preserve">have undergone successful </w:t>
      </w:r>
      <w:r w:rsidR="00651502" w:rsidRPr="00651502">
        <w:t>immune tolerisation therapy</w:t>
      </w:r>
      <w:r w:rsidR="00651502">
        <w:t xml:space="preserve"> and returned to </w:t>
      </w:r>
      <w:r w:rsidR="00C53878">
        <w:t xml:space="preserve">FVIII </w:t>
      </w:r>
      <w:r w:rsidR="00651502">
        <w:t>prophylaxis</w:t>
      </w:r>
      <w:r w:rsidR="00804BD2" w:rsidRPr="007E2E2D">
        <w:t>.</w:t>
      </w:r>
    </w:p>
    <w:p w14:paraId="5E14FE6C" w14:textId="5D9280E3" w:rsidR="008A7087" w:rsidRPr="007E2E2D" w:rsidRDefault="005E0152">
      <w:r w:rsidRPr="007E2E2D">
        <w:t xml:space="preserve">These patients </w:t>
      </w:r>
      <w:r w:rsidR="00804BD2" w:rsidRPr="007E2E2D">
        <w:t>represent</w:t>
      </w:r>
      <w:r w:rsidRPr="007E2E2D">
        <w:t xml:space="preserve"> subgroups of</w:t>
      </w:r>
      <w:r w:rsidR="00804BD2" w:rsidRPr="007E2E2D">
        <w:t xml:space="preserve"> the broader HMA population</w:t>
      </w:r>
      <w:r w:rsidR="00100E5D" w:rsidRPr="007E2E2D">
        <w:t xml:space="preserve">. </w:t>
      </w:r>
      <w:r w:rsidR="00B851A8" w:rsidRPr="007E2E2D">
        <w:t>Within these subgroups</w:t>
      </w:r>
      <w:r w:rsidRPr="007E2E2D">
        <w:t>,</w:t>
      </w:r>
      <w:r w:rsidR="00B851A8" w:rsidRPr="007E2E2D">
        <w:t xml:space="preserve"> patients may be assigned to either </w:t>
      </w:r>
      <w:r w:rsidR="00651502" w:rsidRPr="00651502">
        <w:t xml:space="preserve">continuous or intermittent </w:t>
      </w:r>
      <w:r w:rsidR="00B851A8" w:rsidRPr="007E2E2D">
        <w:t xml:space="preserve">prophylaxis or </w:t>
      </w:r>
      <w:r w:rsidR="00651502">
        <w:t>on-</w:t>
      </w:r>
      <w:r w:rsidR="00B851A8" w:rsidRPr="007E2E2D">
        <w:t xml:space="preserve">demand </w:t>
      </w:r>
      <w:r w:rsidR="00651502">
        <w:t>treatments for bleeds or surgical cover</w:t>
      </w:r>
      <w:r w:rsidR="00B851A8" w:rsidRPr="007E2E2D">
        <w:t>, noting that</w:t>
      </w:r>
      <w:r w:rsidR="00804BD2" w:rsidRPr="007E2E2D">
        <w:t xml:space="preserve"> for the paediatric population with severe disease </w:t>
      </w:r>
      <w:r w:rsidR="00F432E6" w:rsidRPr="007E2E2D">
        <w:t>prophylaxis is</w:t>
      </w:r>
      <w:r w:rsidR="00804BD2" w:rsidRPr="007E2E2D">
        <w:t xml:space="preserve"> consider</w:t>
      </w:r>
      <w:r w:rsidR="00F432E6" w:rsidRPr="007E2E2D">
        <w:t>ed</w:t>
      </w:r>
      <w:r w:rsidR="00804BD2" w:rsidRPr="007E2E2D">
        <w:t xml:space="preserve"> standard care</w:t>
      </w:r>
      <w:r w:rsidR="00B851A8" w:rsidRPr="007E2E2D">
        <w:t xml:space="preserve"> (</w:t>
      </w:r>
      <w:r w:rsidRPr="007E2E2D">
        <w:t>Practic</w:t>
      </w:r>
      <w:r w:rsidR="007E2E2D" w:rsidRPr="007E2E2D">
        <w:t xml:space="preserve">e </w:t>
      </w:r>
      <w:r w:rsidRPr="007E2E2D">
        <w:t xml:space="preserve">Point 1.9, page 6 </w:t>
      </w:r>
      <w:r w:rsidR="00DF30B8" w:rsidRPr="007E2E2D">
        <w:fldChar w:fldCharType="begin"/>
      </w:r>
      <w:r w:rsidR="00DF30B8" w:rsidRPr="007E2E2D">
        <w:instrText xml:space="preserve"> ADDIN EN.CITE &lt;EndNote&gt;&lt;Cite&gt;&lt;Author&gt;Australian Haemophilia Centre Directors’ Organisation&lt;/Author&gt;&lt;Year&gt;2010&lt;/Year&gt;&lt;RecNum&gt;11&lt;/RecNum&gt;&lt;DisplayText&gt;(Australian Haemophilia Centre Directors’ Organisation 2010)&lt;/DisplayText&gt;&lt;record&gt;&lt;rec-number&gt;11&lt;/rec-number&gt;&lt;foreign-keys&gt;&lt;key app="EN" db-id="rwz09pa0y9ee9se9epe5f5xde52pzetxev5x" timestamp="1508890328"&gt;11&lt;/key&gt;&lt;/foreign-keys&gt;&lt;ref-type name="Web Page"&gt;12&lt;/ref-type&gt;&lt;contributors&gt;&lt;authors&gt;&lt;author&gt;Australian Haemophilia Centre Directors’ Organisation,&lt;/author&gt;&lt;/authors&gt;&lt;/contributors&gt;&lt;titles&gt;&lt;title&gt;Guidelines for the treatment of inhibitors in Haemophilia A and Haemophilia B&lt;/title&gt;&lt;/titles&gt;&lt;volume&gt;2017&lt;/volume&gt;&lt;number&gt;04/10/2017&lt;/number&gt;&lt;dates&gt;&lt;year&gt;2010&lt;/year&gt;&lt;pub-dates&gt;&lt;date&gt;2010&lt;/date&gt;&lt;/pub-dates&gt;&lt;/dates&gt;&lt;urls&gt;&lt;related-urls&gt;&lt;url&gt;http://www.ahcdo.org.au/documents/item/16&lt;/url&gt;&lt;/related-urls&gt;&lt;/urls&gt;&lt;/record&gt;&lt;/Cite&gt;&lt;/EndNote&gt;</w:instrText>
      </w:r>
      <w:r w:rsidR="00DF30B8" w:rsidRPr="007E2E2D">
        <w:fldChar w:fldCharType="separate"/>
      </w:r>
      <w:r w:rsidR="00DF30B8" w:rsidRPr="007E2E2D">
        <w:rPr>
          <w:noProof/>
        </w:rPr>
        <w:t>(Australian Haemophilia Centre Directors’ Organisation 2010)</w:t>
      </w:r>
      <w:r w:rsidR="00DF30B8" w:rsidRPr="007E2E2D">
        <w:fldChar w:fldCharType="end"/>
      </w:r>
      <w:r w:rsidRPr="007E2E2D">
        <w:t>)</w:t>
      </w:r>
      <w:r w:rsidR="00804BD2" w:rsidRPr="007E2E2D">
        <w:t>.</w:t>
      </w:r>
    </w:p>
    <w:p w14:paraId="7319A4FB" w14:textId="58676D37" w:rsidR="001F4A61" w:rsidRDefault="001F4A61" w:rsidP="005E0152">
      <w:pPr>
        <w:pStyle w:val="Heading3"/>
      </w:pPr>
      <w:r w:rsidRPr="001F4A61">
        <w:t xml:space="preserve">Population </w:t>
      </w:r>
      <w:r>
        <w:t>two</w:t>
      </w:r>
      <w:r w:rsidRPr="001F4A61">
        <w:t xml:space="preserve">: </w:t>
      </w:r>
      <w:r w:rsidR="005A59E9" w:rsidRPr="00566B37">
        <w:t>Estimat</w:t>
      </w:r>
      <w:r w:rsidR="005A59E9">
        <w:t>e</w:t>
      </w:r>
      <w:r w:rsidR="005A59E9" w:rsidRPr="00566B37">
        <w:t xml:space="preserve"> of </w:t>
      </w:r>
      <w:r w:rsidR="005A59E9">
        <w:t>patient numbers</w:t>
      </w:r>
    </w:p>
    <w:p w14:paraId="3FB0EDE0" w14:textId="52B30B76" w:rsidR="00BA4743" w:rsidRDefault="001F4A61">
      <w:r w:rsidRPr="005E0152">
        <w:t>Population two</w:t>
      </w:r>
      <w:r>
        <w:t xml:space="preserve"> considers</w:t>
      </w:r>
      <w:r w:rsidR="00DD6684">
        <w:t xml:space="preserve"> the broad </w:t>
      </w:r>
      <w:r w:rsidR="008967B1">
        <w:t>c</w:t>
      </w:r>
      <w:r>
        <w:t>HMA</w:t>
      </w:r>
      <w:r w:rsidR="00DF1C05">
        <w:t xml:space="preserve"> population</w:t>
      </w:r>
      <w:r w:rsidR="00DD6684">
        <w:t xml:space="preserve">. </w:t>
      </w:r>
      <w:r w:rsidR="00DD6684">
        <w:fldChar w:fldCharType="begin"/>
      </w:r>
      <w:r w:rsidR="00DD6684">
        <w:instrText xml:space="preserve"> REF _Ref494443127 \h </w:instrText>
      </w:r>
      <w:r w:rsidR="00DD6684">
        <w:fldChar w:fldCharType="separate"/>
      </w:r>
      <w:r w:rsidR="00A04E68" w:rsidRPr="004A5756">
        <w:t xml:space="preserve">Table </w:t>
      </w:r>
      <w:r w:rsidR="00A04E68">
        <w:rPr>
          <w:noProof/>
        </w:rPr>
        <w:t>3</w:t>
      </w:r>
      <w:r w:rsidR="00DD6684">
        <w:fldChar w:fldCharType="end"/>
      </w:r>
      <w:r w:rsidR="00DD6684">
        <w:t xml:space="preserve"> provides an overview of </w:t>
      </w:r>
      <w:r w:rsidR="008967B1">
        <w:t>c</w:t>
      </w:r>
      <w:r>
        <w:t>HMA</w:t>
      </w:r>
      <w:r w:rsidR="00DD6684">
        <w:t xml:space="preserve"> patients in the Australian registry </w:t>
      </w:r>
      <w:r w:rsidR="002D758D">
        <w:t>for the past five years</w:t>
      </w:r>
      <w:r w:rsidR="00DD6684">
        <w:t xml:space="preserve"> and the proportion of patients in each category who received a blood product in that year </w:t>
      </w:r>
      <w:r w:rsidR="00DD6684">
        <w:fldChar w:fldCharType="begin"/>
      </w:r>
      <w:r w:rsidR="00DF30B8">
        <w:instrText xml:space="preserve"> ADDIN EN.CITE &lt;EndNote&gt;&lt;Cite&gt;&lt;Author&gt;Australian Bleeding Disorders Registry&lt;/Author&gt;&lt;Year&gt;2016&lt;/Year&gt;&lt;RecNum&gt;2&lt;/RecNum&gt;&lt;DisplayText&gt;(Australian Bleeding Disorders Registry 2016)&lt;/DisplayText&gt;&lt;record&gt;&lt;rec-number&gt;2&lt;/rec-number&gt;&lt;foreign-keys&gt;&lt;key app="EN" db-id="rwz09pa0y9ee9se9epe5f5xde52pzetxev5x" timestamp="1508890326"&gt;2&lt;/key&gt;&lt;/foreign-keys&gt;&lt;ref-type name="Web Page"&gt;12&lt;/ref-type&gt;&lt;contributors&gt;&lt;authors&gt;&lt;author&gt;Australian Bleeding Disorders Registry,&lt;/author&gt;&lt;/authors&gt;&lt;/contributors&gt;&lt;titles&gt;&lt;title&gt;Australian Bleeding Disorders Registry (ABDR) Annual Report 2015-16&lt;/title&gt;&lt;/titles&gt;&lt;volume&gt;2017&lt;/volume&gt;&lt;number&gt;29 September&lt;/number&gt;&lt;dates&gt;&lt;year&gt;2016&lt;/year&gt;&lt;pub-dates&gt;&lt;date&gt;unknown&lt;/date&gt;&lt;/pub-dates&gt;&lt;/dates&gt;&lt;urls&gt;&lt;related-urls&gt;&lt;url&gt;http://www.blood.gov.au/data-analysis-reporting&lt;/url&gt;&lt;/related-urls&gt;&lt;/urls&gt;&lt;/record&gt;&lt;/Cite&gt;&lt;/EndNote&gt;</w:instrText>
      </w:r>
      <w:r w:rsidR="00DD6684">
        <w:fldChar w:fldCharType="separate"/>
      </w:r>
      <w:r w:rsidR="00DD6684">
        <w:rPr>
          <w:noProof/>
        </w:rPr>
        <w:t>(Australian Bleeding Disorders Registry 2016)</w:t>
      </w:r>
      <w:r w:rsidR="00DD6684">
        <w:fldChar w:fldCharType="end"/>
      </w:r>
      <w:r w:rsidR="00DD6684">
        <w:t xml:space="preserve">. </w:t>
      </w:r>
      <w:r w:rsidR="00E41A27">
        <w:t xml:space="preserve">The applicant proposes that patients with mild disease would not be considered </w:t>
      </w:r>
      <w:r w:rsidR="008967B1">
        <w:t>for</w:t>
      </w:r>
      <w:r w:rsidR="00E41A27">
        <w:t xml:space="preserve"> emicizumab as </w:t>
      </w:r>
      <w:r w:rsidR="00E41A27">
        <w:lastRenderedPageBreak/>
        <w:t xml:space="preserve">published and ongoing trials have largely enrolled patients with severe disease. The ABDR reported number of patient with moderate to severe disease to be 885 of which 737 received </w:t>
      </w:r>
      <w:r w:rsidR="008967B1">
        <w:t>plasma</w:t>
      </w:r>
      <w:r w:rsidR="003E173E">
        <w:t xml:space="preserve"> </w:t>
      </w:r>
      <w:r w:rsidR="008967B1">
        <w:t>derived or recombinant products</w:t>
      </w:r>
      <w:r w:rsidR="00E41A27">
        <w:t xml:space="preserve"> for either prophylaxis or treatment of bleeds.</w:t>
      </w:r>
      <w:r w:rsidR="00804BD2">
        <w:t xml:space="preserve"> Based on the </w:t>
      </w:r>
      <w:r w:rsidR="00F432E6">
        <w:t>proportion</w:t>
      </w:r>
      <w:r w:rsidR="00804BD2">
        <w:t xml:space="preserve"> of patient receiving prophylaxis </w:t>
      </w:r>
      <w:r w:rsidR="008967B1">
        <w:t>(</w:t>
      </w:r>
      <w:r w:rsidR="00204041">
        <w:t>Figure 3 and 4</w:t>
      </w:r>
      <w:r w:rsidR="008967B1">
        <w:t xml:space="preserve">) </w:t>
      </w:r>
      <w:r w:rsidR="00804BD2">
        <w:t xml:space="preserve">the number of patient eligible to receive </w:t>
      </w:r>
      <w:r w:rsidR="00804BD2" w:rsidRPr="00804BD2">
        <w:t>emicizumab</w:t>
      </w:r>
      <w:r w:rsidR="00804BD2">
        <w:t xml:space="preserve"> </w:t>
      </w:r>
      <w:r w:rsidR="008967B1">
        <w:t xml:space="preserve">would </w:t>
      </w:r>
      <w:r w:rsidR="00804BD2">
        <w:t>reduce to 530. However, th</w:t>
      </w:r>
      <w:r w:rsidR="008967B1">
        <w:t>is</w:t>
      </w:r>
      <w:r w:rsidR="00804BD2">
        <w:t xml:space="preserve"> </w:t>
      </w:r>
      <w:r w:rsidR="00E661A5">
        <w:t>estimate</w:t>
      </w:r>
      <w:r w:rsidR="008967B1">
        <w:t xml:space="preserve"> of </w:t>
      </w:r>
      <w:r w:rsidR="00E661A5">
        <w:t xml:space="preserve">size of the patient population </w:t>
      </w:r>
      <w:r w:rsidR="00585892">
        <w:t>should be confirmed</w:t>
      </w:r>
      <w:r w:rsidR="00E661A5">
        <w:t xml:space="preserve"> at the time of formal submission</w:t>
      </w:r>
      <w:r w:rsidR="00F432E6">
        <w:t xml:space="preserve"> taking into consideration timing of </w:t>
      </w:r>
      <w:r w:rsidR="00585892" w:rsidRPr="00585892">
        <w:t xml:space="preserve">prophylaxis </w:t>
      </w:r>
      <w:r w:rsidR="00F432E6">
        <w:t xml:space="preserve">commencement, dosing regimen and continuation of prophylaxis into adulthood. All </w:t>
      </w:r>
      <w:r w:rsidR="009B7EF0">
        <w:t xml:space="preserve">these factors </w:t>
      </w:r>
      <w:r w:rsidR="00F432E6">
        <w:t>will be influenced by the bleeding phenotype of the individual patient.</w:t>
      </w:r>
    </w:p>
    <w:p w14:paraId="0CF5BCB7" w14:textId="741647C8" w:rsidR="00DB556B" w:rsidRPr="004A5756" w:rsidRDefault="00DB556B" w:rsidP="00DB556B">
      <w:pPr>
        <w:pStyle w:val="Caption"/>
      </w:pPr>
      <w:bookmarkStart w:id="5" w:name="_Ref494443127"/>
      <w:r w:rsidRPr="004A5756">
        <w:t xml:space="preserve">Table </w:t>
      </w:r>
      <w:r w:rsidRPr="004A5756">
        <w:fldChar w:fldCharType="begin"/>
      </w:r>
      <w:r w:rsidRPr="004A5756">
        <w:instrText xml:space="preserve"> SEQ Table \* ARABIC </w:instrText>
      </w:r>
      <w:r w:rsidRPr="004A5756">
        <w:fldChar w:fldCharType="separate"/>
      </w:r>
      <w:r w:rsidR="00A04E68">
        <w:rPr>
          <w:noProof/>
        </w:rPr>
        <w:t>3</w:t>
      </w:r>
      <w:r w:rsidRPr="004A5756">
        <w:fldChar w:fldCharType="end"/>
      </w:r>
      <w:bookmarkEnd w:id="5"/>
      <w:r w:rsidRPr="004A5756">
        <w:tab/>
      </w:r>
      <w:r w:rsidR="000A2091">
        <w:t xml:space="preserve">Number of patients Haemophilia A patients and the percentage </w:t>
      </w:r>
      <w:r w:rsidR="000A2091" w:rsidRPr="000A2091">
        <w:t>who received a blood product during that year</w:t>
      </w:r>
      <w:r w:rsidRPr="004A5756">
        <w:t xml:space="preserve"> </w:t>
      </w:r>
      <w:r w:rsidR="000A2091">
        <w:t>data derived from the</w:t>
      </w:r>
      <w:r w:rsidRPr="004A5756">
        <w:t xml:space="preserve"> Australian Bleeding Disorders Registry annual report 2015-16</w:t>
      </w:r>
      <w:r w:rsidR="000A2091">
        <w:t xml:space="preserve">, </w:t>
      </w:r>
      <w:r w:rsidR="000A2091" w:rsidRPr="004A5756">
        <w:t>Tables 5- 7</w:t>
      </w:r>
      <w:r w:rsidR="000A2091">
        <w:t>.</w:t>
      </w:r>
    </w:p>
    <w:tbl>
      <w:tblPr>
        <w:tblStyle w:val="TableGrid"/>
        <w:tblW w:w="5000" w:type="pct"/>
        <w:tblBorders>
          <w:insideV w:val="none" w:sz="0" w:space="0" w:color="auto"/>
        </w:tblBorders>
        <w:tblLook w:val="04A0" w:firstRow="1" w:lastRow="0" w:firstColumn="1" w:lastColumn="0" w:noHBand="0" w:noVBand="1"/>
        <w:tblCaption w:val="Table 3 Number of patients Haemophilia A patients and the percentage who received a blood product during that year data derived from the Australian Bleeding Disorders Registry annual report 2015-16, Tables 5- 7."/>
      </w:tblPr>
      <w:tblGrid>
        <w:gridCol w:w="3087"/>
        <w:gridCol w:w="1231"/>
        <w:gridCol w:w="1231"/>
        <w:gridCol w:w="1231"/>
        <w:gridCol w:w="1231"/>
        <w:gridCol w:w="1231"/>
      </w:tblGrid>
      <w:tr w:rsidR="000A2091" w:rsidRPr="004A5756" w14:paraId="04840093" w14:textId="1FF5FD98" w:rsidTr="000A2091">
        <w:trPr>
          <w:trHeight w:val="315"/>
          <w:tblHeader/>
        </w:trPr>
        <w:tc>
          <w:tcPr>
            <w:tcW w:w="1670" w:type="pct"/>
            <w:tcBorders>
              <w:bottom w:val="nil"/>
            </w:tcBorders>
            <w:shd w:val="clear" w:color="auto" w:fill="D9D9D9" w:themeFill="background1" w:themeFillShade="D9"/>
            <w:hideMark/>
          </w:tcPr>
          <w:p w14:paraId="0A2B71BC" w14:textId="24B6C5CF" w:rsidR="000A2091" w:rsidRPr="004A5756" w:rsidRDefault="000A2091" w:rsidP="00D30EBE">
            <w:pPr>
              <w:rPr>
                <w:rFonts w:ascii="Arial Narrow" w:hAnsi="Arial Narrow"/>
                <w:b/>
                <w:bCs/>
                <w:sz w:val="20"/>
                <w:szCs w:val="20"/>
              </w:rPr>
            </w:pPr>
            <w:r>
              <w:rPr>
                <w:rFonts w:ascii="Arial Narrow" w:hAnsi="Arial Narrow"/>
                <w:b/>
                <w:bCs/>
                <w:sz w:val="20"/>
                <w:szCs w:val="20"/>
              </w:rPr>
              <w:t>Haemophilia Diagnostic Grouping</w:t>
            </w:r>
          </w:p>
        </w:tc>
        <w:tc>
          <w:tcPr>
            <w:tcW w:w="666" w:type="pct"/>
            <w:tcBorders>
              <w:bottom w:val="nil"/>
            </w:tcBorders>
            <w:shd w:val="clear" w:color="auto" w:fill="D9D9D9" w:themeFill="background1" w:themeFillShade="D9"/>
            <w:hideMark/>
          </w:tcPr>
          <w:p w14:paraId="3FB6F218" w14:textId="1A4AC8A7" w:rsidR="000A2091" w:rsidRPr="004A5756" w:rsidRDefault="000A2091" w:rsidP="009A3D98">
            <w:pPr>
              <w:rPr>
                <w:rFonts w:ascii="Arial Narrow" w:hAnsi="Arial Narrow"/>
                <w:b/>
                <w:bCs/>
                <w:sz w:val="20"/>
                <w:szCs w:val="20"/>
              </w:rPr>
            </w:pPr>
          </w:p>
        </w:tc>
        <w:tc>
          <w:tcPr>
            <w:tcW w:w="666" w:type="pct"/>
            <w:tcBorders>
              <w:bottom w:val="nil"/>
            </w:tcBorders>
            <w:shd w:val="clear" w:color="auto" w:fill="D9D9D9" w:themeFill="background1" w:themeFillShade="D9"/>
          </w:tcPr>
          <w:p w14:paraId="3B0E73CE" w14:textId="77777777" w:rsidR="000A2091" w:rsidRPr="004A5756" w:rsidRDefault="000A2091" w:rsidP="009A3D98">
            <w:pPr>
              <w:rPr>
                <w:rFonts w:ascii="Arial Narrow" w:hAnsi="Arial Narrow"/>
                <w:b/>
                <w:bCs/>
                <w:sz w:val="20"/>
                <w:szCs w:val="20"/>
              </w:rPr>
            </w:pPr>
          </w:p>
        </w:tc>
        <w:tc>
          <w:tcPr>
            <w:tcW w:w="666" w:type="pct"/>
            <w:tcBorders>
              <w:bottom w:val="nil"/>
            </w:tcBorders>
            <w:shd w:val="clear" w:color="auto" w:fill="D9D9D9" w:themeFill="background1" w:themeFillShade="D9"/>
          </w:tcPr>
          <w:p w14:paraId="347D7988" w14:textId="77777777" w:rsidR="000A2091" w:rsidRPr="004A5756" w:rsidRDefault="000A2091" w:rsidP="009A3D98">
            <w:pPr>
              <w:rPr>
                <w:rFonts w:ascii="Arial Narrow" w:hAnsi="Arial Narrow"/>
                <w:b/>
                <w:bCs/>
                <w:sz w:val="20"/>
                <w:szCs w:val="20"/>
              </w:rPr>
            </w:pPr>
          </w:p>
        </w:tc>
        <w:tc>
          <w:tcPr>
            <w:tcW w:w="666" w:type="pct"/>
            <w:tcBorders>
              <w:bottom w:val="nil"/>
            </w:tcBorders>
            <w:shd w:val="clear" w:color="auto" w:fill="D9D9D9" w:themeFill="background1" w:themeFillShade="D9"/>
          </w:tcPr>
          <w:p w14:paraId="4CAC2C20" w14:textId="77777777" w:rsidR="000A2091" w:rsidRPr="004A5756" w:rsidRDefault="000A2091" w:rsidP="009A3D98">
            <w:pPr>
              <w:rPr>
                <w:rFonts w:ascii="Arial Narrow" w:hAnsi="Arial Narrow"/>
                <w:b/>
                <w:bCs/>
                <w:sz w:val="20"/>
                <w:szCs w:val="20"/>
              </w:rPr>
            </w:pPr>
          </w:p>
        </w:tc>
        <w:tc>
          <w:tcPr>
            <w:tcW w:w="666" w:type="pct"/>
            <w:tcBorders>
              <w:bottom w:val="nil"/>
            </w:tcBorders>
            <w:shd w:val="clear" w:color="auto" w:fill="D9D9D9" w:themeFill="background1" w:themeFillShade="D9"/>
          </w:tcPr>
          <w:p w14:paraId="042599AD" w14:textId="77777777" w:rsidR="000A2091" w:rsidRPr="004A5756" w:rsidRDefault="000A2091" w:rsidP="009A3D98">
            <w:pPr>
              <w:rPr>
                <w:rFonts w:ascii="Arial Narrow" w:hAnsi="Arial Narrow"/>
                <w:b/>
                <w:bCs/>
                <w:sz w:val="20"/>
                <w:szCs w:val="20"/>
              </w:rPr>
            </w:pPr>
          </w:p>
        </w:tc>
      </w:tr>
      <w:tr w:rsidR="005865B6" w:rsidRPr="004A5756" w14:paraId="40FB0363" w14:textId="77777777" w:rsidTr="000A2091">
        <w:trPr>
          <w:trHeight w:val="315"/>
          <w:tblHeader/>
        </w:trPr>
        <w:tc>
          <w:tcPr>
            <w:tcW w:w="1670" w:type="pct"/>
            <w:tcBorders>
              <w:top w:val="nil"/>
            </w:tcBorders>
            <w:shd w:val="clear" w:color="auto" w:fill="D9D9D9" w:themeFill="background1" w:themeFillShade="D9"/>
            <w:hideMark/>
          </w:tcPr>
          <w:p w14:paraId="5716C9DD" w14:textId="6D2CE1FD" w:rsidR="005865B6" w:rsidRPr="004A5756" w:rsidRDefault="005865B6" w:rsidP="00D30EBE">
            <w:pPr>
              <w:rPr>
                <w:rFonts w:ascii="Arial Narrow" w:hAnsi="Arial Narrow"/>
                <w:b/>
                <w:bCs/>
                <w:i/>
                <w:sz w:val="20"/>
                <w:szCs w:val="20"/>
              </w:rPr>
            </w:pPr>
            <w:r w:rsidRPr="004A5756">
              <w:rPr>
                <w:rFonts w:ascii="Arial Narrow" w:hAnsi="Arial Narrow"/>
                <w:b/>
                <w:bCs/>
                <w:i/>
                <w:sz w:val="20"/>
                <w:szCs w:val="20"/>
              </w:rPr>
              <w:t> </w:t>
            </w:r>
            <w:r w:rsidR="003C2563" w:rsidRPr="004A5756">
              <w:rPr>
                <w:rFonts w:ascii="Arial Narrow" w:hAnsi="Arial Narrow"/>
                <w:b/>
                <w:bCs/>
                <w:i/>
                <w:sz w:val="20"/>
                <w:szCs w:val="20"/>
              </w:rPr>
              <w:t>Year</w:t>
            </w:r>
          </w:p>
        </w:tc>
        <w:tc>
          <w:tcPr>
            <w:tcW w:w="666" w:type="pct"/>
            <w:tcBorders>
              <w:top w:val="nil"/>
            </w:tcBorders>
            <w:shd w:val="clear" w:color="auto" w:fill="D9D9D9" w:themeFill="background1" w:themeFillShade="D9"/>
            <w:hideMark/>
          </w:tcPr>
          <w:p w14:paraId="204B018C" w14:textId="77777777" w:rsidR="005865B6" w:rsidRPr="004A5756" w:rsidRDefault="005865B6" w:rsidP="00D30EBE">
            <w:pPr>
              <w:rPr>
                <w:rFonts w:ascii="Arial Narrow" w:hAnsi="Arial Narrow"/>
                <w:b/>
                <w:bCs/>
                <w:i/>
                <w:sz w:val="20"/>
                <w:szCs w:val="20"/>
              </w:rPr>
            </w:pPr>
            <w:r w:rsidRPr="004A5756">
              <w:rPr>
                <w:rFonts w:ascii="Arial Narrow" w:hAnsi="Arial Narrow"/>
                <w:b/>
                <w:bCs/>
                <w:i/>
                <w:sz w:val="20"/>
                <w:szCs w:val="20"/>
              </w:rPr>
              <w:t>2011-12</w:t>
            </w:r>
          </w:p>
        </w:tc>
        <w:tc>
          <w:tcPr>
            <w:tcW w:w="666" w:type="pct"/>
            <w:tcBorders>
              <w:top w:val="nil"/>
            </w:tcBorders>
            <w:shd w:val="clear" w:color="auto" w:fill="D9D9D9" w:themeFill="background1" w:themeFillShade="D9"/>
            <w:hideMark/>
          </w:tcPr>
          <w:p w14:paraId="78871EAA" w14:textId="77777777" w:rsidR="005865B6" w:rsidRPr="004A5756" w:rsidRDefault="005865B6" w:rsidP="00D30EBE">
            <w:pPr>
              <w:rPr>
                <w:rFonts w:ascii="Arial Narrow" w:hAnsi="Arial Narrow"/>
                <w:b/>
                <w:bCs/>
                <w:i/>
                <w:sz w:val="20"/>
                <w:szCs w:val="20"/>
              </w:rPr>
            </w:pPr>
            <w:r w:rsidRPr="004A5756">
              <w:rPr>
                <w:rFonts w:ascii="Arial Narrow" w:hAnsi="Arial Narrow"/>
                <w:b/>
                <w:bCs/>
                <w:i/>
                <w:sz w:val="20"/>
                <w:szCs w:val="20"/>
              </w:rPr>
              <w:t>2012-13</w:t>
            </w:r>
          </w:p>
        </w:tc>
        <w:tc>
          <w:tcPr>
            <w:tcW w:w="666" w:type="pct"/>
            <w:tcBorders>
              <w:top w:val="nil"/>
            </w:tcBorders>
            <w:shd w:val="clear" w:color="auto" w:fill="D9D9D9" w:themeFill="background1" w:themeFillShade="D9"/>
            <w:hideMark/>
          </w:tcPr>
          <w:p w14:paraId="72B0528C" w14:textId="77777777" w:rsidR="005865B6" w:rsidRPr="004A5756" w:rsidRDefault="005865B6" w:rsidP="00D30EBE">
            <w:pPr>
              <w:rPr>
                <w:rFonts w:ascii="Arial Narrow" w:hAnsi="Arial Narrow"/>
                <w:b/>
                <w:bCs/>
                <w:i/>
                <w:sz w:val="20"/>
                <w:szCs w:val="20"/>
              </w:rPr>
            </w:pPr>
            <w:r w:rsidRPr="004A5756">
              <w:rPr>
                <w:rFonts w:ascii="Arial Narrow" w:hAnsi="Arial Narrow"/>
                <w:b/>
                <w:bCs/>
                <w:i/>
                <w:sz w:val="20"/>
                <w:szCs w:val="20"/>
              </w:rPr>
              <w:t>2013-14</w:t>
            </w:r>
          </w:p>
        </w:tc>
        <w:tc>
          <w:tcPr>
            <w:tcW w:w="666" w:type="pct"/>
            <w:tcBorders>
              <w:top w:val="nil"/>
            </w:tcBorders>
            <w:shd w:val="clear" w:color="auto" w:fill="D9D9D9" w:themeFill="background1" w:themeFillShade="D9"/>
            <w:hideMark/>
          </w:tcPr>
          <w:p w14:paraId="715BA930" w14:textId="77777777" w:rsidR="005865B6" w:rsidRPr="004A5756" w:rsidRDefault="005865B6" w:rsidP="00D30EBE">
            <w:pPr>
              <w:rPr>
                <w:rFonts w:ascii="Arial Narrow" w:hAnsi="Arial Narrow"/>
                <w:b/>
                <w:bCs/>
                <w:i/>
                <w:sz w:val="20"/>
                <w:szCs w:val="20"/>
              </w:rPr>
            </w:pPr>
            <w:r w:rsidRPr="004A5756">
              <w:rPr>
                <w:rFonts w:ascii="Arial Narrow" w:hAnsi="Arial Narrow"/>
                <w:b/>
                <w:bCs/>
                <w:i/>
                <w:sz w:val="20"/>
                <w:szCs w:val="20"/>
              </w:rPr>
              <w:t>2014-15</w:t>
            </w:r>
          </w:p>
        </w:tc>
        <w:tc>
          <w:tcPr>
            <w:tcW w:w="666" w:type="pct"/>
            <w:tcBorders>
              <w:top w:val="nil"/>
            </w:tcBorders>
            <w:shd w:val="clear" w:color="auto" w:fill="D9D9D9" w:themeFill="background1" w:themeFillShade="D9"/>
            <w:hideMark/>
          </w:tcPr>
          <w:p w14:paraId="647678AB" w14:textId="77777777" w:rsidR="005865B6" w:rsidRPr="004A5756" w:rsidRDefault="005865B6" w:rsidP="00D30EBE">
            <w:pPr>
              <w:rPr>
                <w:rFonts w:ascii="Arial Narrow" w:hAnsi="Arial Narrow"/>
                <w:b/>
                <w:bCs/>
                <w:i/>
                <w:sz w:val="20"/>
                <w:szCs w:val="20"/>
              </w:rPr>
            </w:pPr>
            <w:r w:rsidRPr="004A5756">
              <w:rPr>
                <w:rFonts w:ascii="Arial Narrow" w:hAnsi="Arial Narrow"/>
                <w:b/>
                <w:bCs/>
                <w:i/>
                <w:sz w:val="20"/>
                <w:szCs w:val="20"/>
              </w:rPr>
              <w:t>2015-16</w:t>
            </w:r>
          </w:p>
        </w:tc>
      </w:tr>
      <w:tr w:rsidR="005865B6" w:rsidRPr="004A5756" w14:paraId="57A2CA89" w14:textId="77777777" w:rsidTr="00023FF0">
        <w:trPr>
          <w:trHeight w:val="525"/>
        </w:trPr>
        <w:tc>
          <w:tcPr>
            <w:tcW w:w="1670" w:type="pct"/>
            <w:shd w:val="clear" w:color="auto" w:fill="F2F2F2" w:themeFill="background1" w:themeFillShade="F2"/>
            <w:hideMark/>
          </w:tcPr>
          <w:p w14:paraId="78BDB3C5" w14:textId="431959F8" w:rsidR="005865B6" w:rsidRPr="004A5756" w:rsidRDefault="008967B1">
            <w:pPr>
              <w:rPr>
                <w:rFonts w:ascii="Arial Narrow" w:hAnsi="Arial Narrow"/>
                <w:b/>
                <w:bCs/>
                <w:sz w:val="20"/>
                <w:szCs w:val="20"/>
              </w:rPr>
            </w:pPr>
            <w:r>
              <w:rPr>
                <w:rFonts w:ascii="Arial Narrow" w:hAnsi="Arial Narrow"/>
                <w:b/>
                <w:bCs/>
                <w:sz w:val="20"/>
                <w:szCs w:val="20"/>
              </w:rPr>
              <w:t>C</w:t>
            </w:r>
            <w:r w:rsidRPr="008967B1">
              <w:rPr>
                <w:rFonts w:ascii="Arial Narrow" w:hAnsi="Arial Narrow"/>
                <w:b/>
                <w:bCs/>
                <w:sz w:val="20"/>
                <w:szCs w:val="20"/>
              </w:rPr>
              <w:t>ongenital</w:t>
            </w:r>
            <w:r w:rsidR="005865B6" w:rsidRPr="004A5756">
              <w:rPr>
                <w:rFonts w:ascii="Arial Narrow" w:hAnsi="Arial Narrow"/>
                <w:b/>
                <w:bCs/>
                <w:sz w:val="20"/>
                <w:szCs w:val="20"/>
              </w:rPr>
              <w:t xml:space="preserve"> haemophilia A</w:t>
            </w:r>
          </w:p>
        </w:tc>
        <w:tc>
          <w:tcPr>
            <w:tcW w:w="666" w:type="pct"/>
            <w:shd w:val="clear" w:color="auto" w:fill="F2F2F2" w:themeFill="background1" w:themeFillShade="F2"/>
            <w:hideMark/>
          </w:tcPr>
          <w:p w14:paraId="20A67F5C" w14:textId="77777777" w:rsidR="005865B6" w:rsidRPr="004A5756" w:rsidRDefault="005865B6" w:rsidP="00D30EBE">
            <w:pPr>
              <w:rPr>
                <w:rFonts w:ascii="Arial Narrow" w:hAnsi="Arial Narrow"/>
                <w:b/>
                <w:bCs/>
                <w:sz w:val="20"/>
                <w:szCs w:val="20"/>
              </w:rPr>
            </w:pPr>
            <w:r w:rsidRPr="004A5756">
              <w:rPr>
                <w:rFonts w:ascii="Arial Narrow" w:hAnsi="Arial Narrow"/>
                <w:b/>
                <w:bCs/>
                <w:sz w:val="20"/>
                <w:szCs w:val="20"/>
              </w:rPr>
              <w:t> </w:t>
            </w:r>
          </w:p>
        </w:tc>
        <w:tc>
          <w:tcPr>
            <w:tcW w:w="666" w:type="pct"/>
            <w:shd w:val="clear" w:color="auto" w:fill="F2F2F2" w:themeFill="background1" w:themeFillShade="F2"/>
            <w:hideMark/>
          </w:tcPr>
          <w:p w14:paraId="2E70AA64" w14:textId="77777777" w:rsidR="005865B6" w:rsidRPr="004A5756" w:rsidRDefault="005865B6" w:rsidP="00D30EBE">
            <w:pPr>
              <w:rPr>
                <w:rFonts w:ascii="Arial Narrow" w:hAnsi="Arial Narrow"/>
                <w:b/>
                <w:bCs/>
                <w:sz w:val="20"/>
                <w:szCs w:val="20"/>
              </w:rPr>
            </w:pPr>
            <w:r w:rsidRPr="004A5756">
              <w:rPr>
                <w:rFonts w:ascii="Arial Narrow" w:hAnsi="Arial Narrow"/>
                <w:b/>
                <w:bCs/>
                <w:sz w:val="20"/>
                <w:szCs w:val="20"/>
              </w:rPr>
              <w:t> </w:t>
            </w:r>
          </w:p>
        </w:tc>
        <w:tc>
          <w:tcPr>
            <w:tcW w:w="666" w:type="pct"/>
            <w:shd w:val="clear" w:color="auto" w:fill="F2F2F2" w:themeFill="background1" w:themeFillShade="F2"/>
            <w:hideMark/>
          </w:tcPr>
          <w:p w14:paraId="33457A1F" w14:textId="77777777" w:rsidR="005865B6" w:rsidRPr="004A5756" w:rsidRDefault="005865B6" w:rsidP="00D30EBE">
            <w:pPr>
              <w:rPr>
                <w:rFonts w:ascii="Arial Narrow" w:hAnsi="Arial Narrow"/>
                <w:b/>
                <w:bCs/>
                <w:sz w:val="20"/>
                <w:szCs w:val="20"/>
              </w:rPr>
            </w:pPr>
            <w:r w:rsidRPr="004A5756">
              <w:rPr>
                <w:rFonts w:ascii="Arial Narrow" w:hAnsi="Arial Narrow"/>
                <w:b/>
                <w:bCs/>
                <w:sz w:val="20"/>
                <w:szCs w:val="20"/>
              </w:rPr>
              <w:t> </w:t>
            </w:r>
          </w:p>
        </w:tc>
        <w:tc>
          <w:tcPr>
            <w:tcW w:w="666" w:type="pct"/>
            <w:shd w:val="clear" w:color="auto" w:fill="F2F2F2" w:themeFill="background1" w:themeFillShade="F2"/>
            <w:hideMark/>
          </w:tcPr>
          <w:p w14:paraId="0B6ACF28" w14:textId="77777777" w:rsidR="005865B6" w:rsidRPr="004A5756" w:rsidRDefault="005865B6" w:rsidP="00D30EBE">
            <w:pPr>
              <w:rPr>
                <w:rFonts w:ascii="Arial Narrow" w:hAnsi="Arial Narrow"/>
                <w:b/>
                <w:bCs/>
                <w:sz w:val="20"/>
                <w:szCs w:val="20"/>
              </w:rPr>
            </w:pPr>
            <w:r w:rsidRPr="004A5756">
              <w:rPr>
                <w:rFonts w:ascii="Arial Narrow" w:hAnsi="Arial Narrow"/>
                <w:b/>
                <w:bCs/>
                <w:sz w:val="20"/>
                <w:szCs w:val="20"/>
              </w:rPr>
              <w:t> </w:t>
            </w:r>
          </w:p>
        </w:tc>
        <w:tc>
          <w:tcPr>
            <w:tcW w:w="666" w:type="pct"/>
            <w:shd w:val="clear" w:color="auto" w:fill="F2F2F2" w:themeFill="background1" w:themeFillShade="F2"/>
            <w:hideMark/>
          </w:tcPr>
          <w:p w14:paraId="1B99E77B" w14:textId="77777777" w:rsidR="005865B6" w:rsidRPr="004A5756" w:rsidRDefault="005865B6" w:rsidP="00D30EBE">
            <w:pPr>
              <w:rPr>
                <w:rFonts w:ascii="Arial Narrow" w:hAnsi="Arial Narrow"/>
                <w:b/>
                <w:bCs/>
                <w:sz w:val="20"/>
                <w:szCs w:val="20"/>
              </w:rPr>
            </w:pPr>
            <w:r w:rsidRPr="004A5756">
              <w:rPr>
                <w:rFonts w:ascii="Arial Narrow" w:hAnsi="Arial Narrow"/>
                <w:b/>
                <w:bCs/>
                <w:sz w:val="20"/>
                <w:szCs w:val="20"/>
              </w:rPr>
              <w:t> </w:t>
            </w:r>
          </w:p>
        </w:tc>
      </w:tr>
      <w:tr w:rsidR="005865B6" w:rsidRPr="004A5756" w14:paraId="6EF8B0BC" w14:textId="77777777" w:rsidTr="00073E60">
        <w:trPr>
          <w:trHeight w:val="504"/>
        </w:trPr>
        <w:tc>
          <w:tcPr>
            <w:tcW w:w="1670" w:type="pct"/>
            <w:shd w:val="clear" w:color="auto" w:fill="auto"/>
            <w:hideMark/>
          </w:tcPr>
          <w:p w14:paraId="6ECA1B6B" w14:textId="236887A5" w:rsidR="005865B6" w:rsidRPr="004A5756" w:rsidRDefault="005865B6">
            <w:pPr>
              <w:rPr>
                <w:rFonts w:ascii="Arial Narrow" w:hAnsi="Arial Narrow"/>
                <w:sz w:val="20"/>
                <w:szCs w:val="20"/>
              </w:rPr>
            </w:pPr>
            <w:r w:rsidRPr="004A5756">
              <w:rPr>
                <w:rFonts w:ascii="Arial Narrow" w:hAnsi="Arial Narrow"/>
                <w:sz w:val="20"/>
                <w:szCs w:val="20"/>
              </w:rPr>
              <w:t>Asymptomatic Carrier Factor VIII Deficiency (</w:t>
            </w:r>
            <w:r w:rsidR="007B51B0" w:rsidRPr="004A5756">
              <w:rPr>
                <w:rFonts w:ascii="Arial Narrow" w:hAnsi="Arial Narrow"/>
                <w:sz w:val="20"/>
                <w:szCs w:val="20"/>
              </w:rPr>
              <w:t>H</w:t>
            </w:r>
            <w:r w:rsidR="007B51B0">
              <w:rPr>
                <w:rFonts w:ascii="Arial Narrow" w:hAnsi="Arial Narrow"/>
                <w:sz w:val="20"/>
                <w:szCs w:val="20"/>
              </w:rPr>
              <w:t>M</w:t>
            </w:r>
            <w:r w:rsidR="007B51B0" w:rsidRPr="004A5756">
              <w:rPr>
                <w:rFonts w:ascii="Arial Narrow" w:hAnsi="Arial Narrow"/>
                <w:sz w:val="20"/>
                <w:szCs w:val="20"/>
              </w:rPr>
              <w:t>A</w:t>
            </w:r>
            <w:r w:rsidRPr="004A5756">
              <w:rPr>
                <w:rFonts w:ascii="Arial Narrow" w:hAnsi="Arial Narrow"/>
                <w:sz w:val="20"/>
                <w:szCs w:val="20"/>
              </w:rPr>
              <w:t>)</w:t>
            </w:r>
          </w:p>
        </w:tc>
        <w:tc>
          <w:tcPr>
            <w:tcW w:w="666" w:type="pct"/>
            <w:shd w:val="clear" w:color="auto" w:fill="auto"/>
            <w:hideMark/>
          </w:tcPr>
          <w:p w14:paraId="5A8AD872" w14:textId="66522C06" w:rsidR="005865B6" w:rsidRPr="004A5756" w:rsidRDefault="005865B6" w:rsidP="00D30EBE">
            <w:pPr>
              <w:rPr>
                <w:rFonts w:ascii="Arial Narrow" w:hAnsi="Arial Narrow"/>
                <w:sz w:val="20"/>
                <w:szCs w:val="20"/>
              </w:rPr>
            </w:pPr>
            <w:r w:rsidRPr="004A5756">
              <w:rPr>
                <w:rFonts w:ascii="Arial Narrow" w:hAnsi="Arial Narrow"/>
                <w:sz w:val="20"/>
                <w:szCs w:val="20"/>
              </w:rPr>
              <w:t>197 (NA)</w:t>
            </w:r>
          </w:p>
        </w:tc>
        <w:tc>
          <w:tcPr>
            <w:tcW w:w="666" w:type="pct"/>
            <w:shd w:val="clear" w:color="auto" w:fill="auto"/>
            <w:hideMark/>
          </w:tcPr>
          <w:p w14:paraId="1B9E81EE" w14:textId="79810964" w:rsidR="005865B6" w:rsidRPr="004A5756" w:rsidRDefault="005865B6" w:rsidP="00D30EBE">
            <w:pPr>
              <w:rPr>
                <w:rFonts w:ascii="Arial Narrow" w:hAnsi="Arial Narrow"/>
                <w:sz w:val="20"/>
                <w:szCs w:val="20"/>
              </w:rPr>
            </w:pPr>
            <w:r w:rsidRPr="004A5756">
              <w:rPr>
                <w:rFonts w:ascii="Arial Narrow" w:hAnsi="Arial Narrow"/>
                <w:sz w:val="20"/>
                <w:szCs w:val="20"/>
              </w:rPr>
              <w:t>218 (3)</w:t>
            </w:r>
          </w:p>
        </w:tc>
        <w:tc>
          <w:tcPr>
            <w:tcW w:w="666" w:type="pct"/>
            <w:shd w:val="clear" w:color="auto" w:fill="auto"/>
            <w:hideMark/>
          </w:tcPr>
          <w:p w14:paraId="2AEB4C3F" w14:textId="796FD531" w:rsidR="005865B6" w:rsidRPr="004A5756" w:rsidRDefault="005865B6" w:rsidP="00D30EBE">
            <w:pPr>
              <w:rPr>
                <w:rFonts w:ascii="Arial Narrow" w:hAnsi="Arial Narrow"/>
                <w:sz w:val="20"/>
                <w:szCs w:val="20"/>
              </w:rPr>
            </w:pPr>
            <w:r w:rsidRPr="004A5756">
              <w:rPr>
                <w:rFonts w:ascii="Arial Narrow" w:hAnsi="Arial Narrow"/>
                <w:sz w:val="20"/>
                <w:szCs w:val="20"/>
              </w:rPr>
              <w:t>241 (NA)</w:t>
            </w:r>
          </w:p>
        </w:tc>
        <w:tc>
          <w:tcPr>
            <w:tcW w:w="666" w:type="pct"/>
            <w:shd w:val="clear" w:color="auto" w:fill="auto"/>
            <w:hideMark/>
          </w:tcPr>
          <w:p w14:paraId="1FD8DCFD" w14:textId="5252B209" w:rsidR="005865B6" w:rsidRPr="004A5756" w:rsidRDefault="005865B6" w:rsidP="00D30EBE">
            <w:pPr>
              <w:rPr>
                <w:rFonts w:ascii="Arial Narrow" w:hAnsi="Arial Narrow"/>
                <w:sz w:val="20"/>
                <w:szCs w:val="20"/>
              </w:rPr>
            </w:pPr>
            <w:r w:rsidRPr="004A5756">
              <w:rPr>
                <w:rFonts w:ascii="Arial Narrow" w:hAnsi="Arial Narrow"/>
                <w:sz w:val="20"/>
                <w:szCs w:val="20"/>
              </w:rPr>
              <w:t>190 (3)</w:t>
            </w:r>
          </w:p>
        </w:tc>
        <w:tc>
          <w:tcPr>
            <w:tcW w:w="666" w:type="pct"/>
            <w:shd w:val="clear" w:color="auto" w:fill="auto"/>
            <w:hideMark/>
          </w:tcPr>
          <w:p w14:paraId="5DA2900E" w14:textId="4984D910" w:rsidR="005865B6" w:rsidRPr="004A5756" w:rsidRDefault="005865B6" w:rsidP="00D30EBE">
            <w:pPr>
              <w:rPr>
                <w:rFonts w:ascii="Arial Narrow" w:hAnsi="Arial Narrow"/>
                <w:sz w:val="20"/>
                <w:szCs w:val="20"/>
              </w:rPr>
            </w:pPr>
            <w:r w:rsidRPr="004A5756">
              <w:rPr>
                <w:rFonts w:ascii="Arial Narrow" w:hAnsi="Arial Narrow"/>
                <w:sz w:val="20"/>
                <w:szCs w:val="20"/>
              </w:rPr>
              <w:t>226 (NA)</w:t>
            </w:r>
          </w:p>
        </w:tc>
      </w:tr>
      <w:tr w:rsidR="005865B6" w:rsidRPr="004A5756" w14:paraId="0B0C44BB" w14:textId="77777777" w:rsidTr="00023FF0">
        <w:trPr>
          <w:trHeight w:val="419"/>
        </w:trPr>
        <w:tc>
          <w:tcPr>
            <w:tcW w:w="1670" w:type="pct"/>
            <w:shd w:val="clear" w:color="auto" w:fill="auto"/>
            <w:hideMark/>
          </w:tcPr>
          <w:p w14:paraId="55A0FD8E" w14:textId="3B1E6A53" w:rsidR="005865B6" w:rsidRPr="004A5756" w:rsidRDefault="005865B6">
            <w:pPr>
              <w:rPr>
                <w:rFonts w:ascii="Arial Narrow" w:hAnsi="Arial Narrow"/>
                <w:sz w:val="20"/>
                <w:szCs w:val="20"/>
              </w:rPr>
            </w:pPr>
            <w:r w:rsidRPr="004A5756">
              <w:rPr>
                <w:rFonts w:ascii="Arial Narrow" w:hAnsi="Arial Narrow"/>
                <w:sz w:val="20"/>
                <w:szCs w:val="20"/>
              </w:rPr>
              <w:t>Factor VIII Deficiency (</w:t>
            </w:r>
            <w:r w:rsidR="007B51B0" w:rsidRPr="004A5756">
              <w:rPr>
                <w:rFonts w:ascii="Arial Narrow" w:hAnsi="Arial Narrow"/>
                <w:sz w:val="20"/>
                <w:szCs w:val="20"/>
              </w:rPr>
              <w:t>H</w:t>
            </w:r>
            <w:r w:rsidR="007B51B0">
              <w:rPr>
                <w:rFonts w:ascii="Arial Narrow" w:hAnsi="Arial Narrow"/>
                <w:sz w:val="20"/>
                <w:szCs w:val="20"/>
              </w:rPr>
              <w:t>M</w:t>
            </w:r>
            <w:r w:rsidR="007B51B0" w:rsidRPr="004A5756">
              <w:rPr>
                <w:rFonts w:ascii="Arial Narrow" w:hAnsi="Arial Narrow"/>
                <w:sz w:val="20"/>
                <w:szCs w:val="20"/>
              </w:rPr>
              <w:t>A</w:t>
            </w:r>
            <w:r w:rsidRPr="004A5756">
              <w:rPr>
                <w:rFonts w:ascii="Arial Narrow" w:hAnsi="Arial Narrow"/>
                <w:sz w:val="20"/>
                <w:szCs w:val="20"/>
              </w:rPr>
              <w:t>)</w:t>
            </w:r>
          </w:p>
        </w:tc>
        <w:tc>
          <w:tcPr>
            <w:tcW w:w="666" w:type="pct"/>
            <w:shd w:val="clear" w:color="auto" w:fill="auto"/>
            <w:hideMark/>
          </w:tcPr>
          <w:p w14:paraId="1C2C0196" w14:textId="088813D5" w:rsidR="005865B6" w:rsidRPr="004A5756" w:rsidRDefault="005865B6" w:rsidP="00D30EBE">
            <w:pPr>
              <w:rPr>
                <w:rFonts w:ascii="Arial Narrow" w:hAnsi="Arial Narrow"/>
                <w:sz w:val="20"/>
                <w:szCs w:val="20"/>
              </w:rPr>
            </w:pPr>
            <w:r w:rsidRPr="004A5756">
              <w:rPr>
                <w:rFonts w:ascii="Arial Narrow" w:hAnsi="Arial Narrow"/>
                <w:sz w:val="20"/>
                <w:szCs w:val="20"/>
              </w:rPr>
              <w:t>1,680 (54)</w:t>
            </w:r>
          </w:p>
        </w:tc>
        <w:tc>
          <w:tcPr>
            <w:tcW w:w="666" w:type="pct"/>
            <w:shd w:val="clear" w:color="auto" w:fill="auto"/>
            <w:hideMark/>
          </w:tcPr>
          <w:p w14:paraId="5F459887" w14:textId="676D7DC3" w:rsidR="005865B6" w:rsidRPr="004A5756" w:rsidRDefault="005865B6" w:rsidP="00D30EBE">
            <w:pPr>
              <w:rPr>
                <w:rFonts w:ascii="Arial Narrow" w:hAnsi="Arial Narrow"/>
                <w:sz w:val="20"/>
                <w:szCs w:val="20"/>
              </w:rPr>
            </w:pPr>
            <w:r w:rsidRPr="004A5756">
              <w:rPr>
                <w:rFonts w:ascii="Arial Narrow" w:hAnsi="Arial Narrow"/>
                <w:sz w:val="20"/>
                <w:szCs w:val="20"/>
              </w:rPr>
              <w:t>1,723 (56)</w:t>
            </w:r>
          </w:p>
        </w:tc>
        <w:tc>
          <w:tcPr>
            <w:tcW w:w="666" w:type="pct"/>
            <w:shd w:val="clear" w:color="auto" w:fill="auto"/>
            <w:hideMark/>
          </w:tcPr>
          <w:p w14:paraId="0BF9665C" w14:textId="6E7E8232" w:rsidR="005865B6" w:rsidRPr="004A5756" w:rsidRDefault="005865B6" w:rsidP="00D30EBE">
            <w:pPr>
              <w:rPr>
                <w:rFonts w:ascii="Arial Narrow" w:hAnsi="Arial Narrow"/>
                <w:sz w:val="20"/>
                <w:szCs w:val="20"/>
              </w:rPr>
            </w:pPr>
            <w:r w:rsidRPr="004A5756">
              <w:rPr>
                <w:rFonts w:ascii="Arial Narrow" w:hAnsi="Arial Narrow"/>
                <w:sz w:val="20"/>
                <w:szCs w:val="20"/>
              </w:rPr>
              <w:t>1,752 (54)</w:t>
            </w:r>
          </w:p>
        </w:tc>
        <w:tc>
          <w:tcPr>
            <w:tcW w:w="666" w:type="pct"/>
            <w:shd w:val="clear" w:color="auto" w:fill="auto"/>
            <w:hideMark/>
          </w:tcPr>
          <w:p w14:paraId="79D89FCD" w14:textId="0655A8A3" w:rsidR="005865B6" w:rsidRPr="004A5756" w:rsidRDefault="005865B6" w:rsidP="00D30EBE">
            <w:pPr>
              <w:rPr>
                <w:rFonts w:ascii="Arial Narrow" w:hAnsi="Arial Narrow"/>
                <w:sz w:val="20"/>
                <w:szCs w:val="20"/>
              </w:rPr>
            </w:pPr>
            <w:r w:rsidRPr="004A5756">
              <w:rPr>
                <w:rFonts w:ascii="Arial Narrow" w:hAnsi="Arial Narrow"/>
                <w:sz w:val="20"/>
                <w:szCs w:val="20"/>
              </w:rPr>
              <w:t>1,793 (54)</w:t>
            </w:r>
          </w:p>
        </w:tc>
        <w:tc>
          <w:tcPr>
            <w:tcW w:w="666" w:type="pct"/>
            <w:shd w:val="clear" w:color="auto" w:fill="auto"/>
            <w:hideMark/>
          </w:tcPr>
          <w:p w14:paraId="06776726" w14:textId="1F331B0E" w:rsidR="005865B6" w:rsidRPr="004A5756" w:rsidRDefault="005865B6" w:rsidP="00D30EBE">
            <w:pPr>
              <w:rPr>
                <w:rFonts w:ascii="Arial Narrow" w:hAnsi="Arial Narrow"/>
                <w:sz w:val="20"/>
                <w:szCs w:val="20"/>
              </w:rPr>
            </w:pPr>
            <w:r w:rsidRPr="004A5756">
              <w:rPr>
                <w:rFonts w:ascii="Arial Narrow" w:hAnsi="Arial Narrow"/>
                <w:sz w:val="20"/>
                <w:szCs w:val="20"/>
              </w:rPr>
              <w:t>1,972 (51)</w:t>
            </w:r>
          </w:p>
        </w:tc>
      </w:tr>
      <w:tr w:rsidR="005865B6" w:rsidRPr="004A5756" w14:paraId="79F646E4" w14:textId="77777777" w:rsidTr="00023FF0">
        <w:trPr>
          <w:trHeight w:val="552"/>
        </w:trPr>
        <w:tc>
          <w:tcPr>
            <w:tcW w:w="1670" w:type="pct"/>
            <w:shd w:val="clear" w:color="auto" w:fill="auto"/>
            <w:hideMark/>
          </w:tcPr>
          <w:p w14:paraId="70B560D2" w14:textId="26F47C9F" w:rsidR="005865B6" w:rsidRPr="004A5756" w:rsidRDefault="005865B6">
            <w:pPr>
              <w:rPr>
                <w:rFonts w:ascii="Arial Narrow" w:hAnsi="Arial Narrow"/>
                <w:sz w:val="20"/>
                <w:szCs w:val="20"/>
              </w:rPr>
            </w:pPr>
            <w:r w:rsidRPr="004A5756">
              <w:rPr>
                <w:rFonts w:ascii="Arial Narrow" w:hAnsi="Arial Narrow"/>
                <w:sz w:val="20"/>
                <w:szCs w:val="20"/>
              </w:rPr>
              <w:t>Symptomatic Carrier Factor VIII Deficiency (</w:t>
            </w:r>
            <w:r w:rsidR="007B51B0" w:rsidRPr="004A5756">
              <w:rPr>
                <w:rFonts w:ascii="Arial Narrow" w:hAnsi="Arial Narrow"/>
                <w:sz w:val="20"/>
                <w:szCs w:val="20"/>
              </w:rPr>
              <w:t>H</w:t>
            </w:r>
            <w:r w:rsidR="007B51B0">
              <w:rPr>
                <w:rFonts w:ascii="Arial Narrow" w:hAnsi="Arial Narrow"/>
                <w:sz w:val="20"/>
                <w:szCs w:val="20"/>
              </w:rPr>
              <w:t>M</w:t>
            </w:r>
            <w:r w:rsidR="007B51B0" w:rsidRPr="004A5756">
              <w:rPr>
                <w:rFonts w:ascii="Arial Narrow" w:hAnsi="Arial Narrow"/>
                <w:sz w:val="20"/>
                <w:szCs w:val="20"/>
              </w:rPr>
              <w:t>A</w:t>
            </w:r>
            <w:r w:rsidRPr="004A5756">
              <w:rPr>
                <w:rFonts w:ascii="Arial Narrow" w:hAnsi="Arial Narrow"/>
                <w:sz w:val="20"/>
                <w:szCs w:val="20"/>
              </w:rPr>
              <w:t>)</w:t>
            </w:r>
          </w:p>
        </w:tc>
        <w:tc>
          <w:tcPr>
            <w:tcW w:w="666" w:type="pct"/>
            <w:shd w:val="clear" w:color="auto" w:fill="auto"/>
            <w:hideMark/>
          </w:tcPr>
          <w:p w14:paraId="79503C8A" w14:textId="1B3251DE" w:rsidR="005865B6" w:rsidRPr="004A5756" w:rsidRDefault="005865B6" w:rsidP="00D30EBE">
            <w:pPr>
              <w:rPr>
                <w:rFonts w:ascii="Arial Narrow" w:hAnsi="Arial Narrow"/>
                <w:sz w:val="20"/>
                <w:szCs w:val="20"/>
              </w:rPr>
            </w:pPr>
            <w:r w:rsidRPr="004A5756">
              <w:rPr>
                <w:rFonts w:ascii="Arial Narrow" w:hAnsi="Arial Narrow"/>
                <w:sz w:val="20"/>
                <w:szCs w:val="20"/>
              </w:rPr>
              <w:t>140</w:t>
            </w:r>
            <w:r w:rsidR="00715C1A" w:rsidRPr="004A5756">
              <w:rPr>
                <w:rFonts w:ascii="Arial Narrow" w:hAnsi="Arial Narrow"/>
                <w:sz w:val="20"/>
                <w:szCs w:val="20"/>
              </w:rPr>
              <w:t xml:space="preserve"> (11)</w:t>
            </w:r>
          </w:p>
        </w:tc>
        <w:tc>
          <w:tcPr>
            <w:tcW w:w="666" w:type="pct"/>
            <w:shd w:val="clear" w:color="auto" w:fill="auto"/>
            <w:hideMark/>
          </w:tcPr>
          <w:p w14:paraId="162F7BB0" w14:textId="747B6978" w:rsidR="005865B6" w:rsidRPr="004A5756" w:rsidRDefault="005865B6" w:rsidP="00D30EBE">
            <w:pPr>
              <w:rPr>
                <w:rFonts w:ascii="Arial Narrow" w:hAnsi="Arial Narrow"/>
                <w:sz w:val="20"/>
                <w:szCs w:val="20"/>
              </w:rPr>
            </w:pPr>
            <w:r w:rsidRPr="004A5756">
              <w:rPr>
                <w:rFonts w:ascii="Arial Narrow" w:hAnsi="Arial Narrow"/>
                <w:sz w:val="20"/>
                <w:szCs w:val="20"/>
              </w:rPr>
              <w:t>150</w:t>
            </w:r>
            <w:r w:rsidR="00715C1A" w:rsidRPr="004A5756">
              <w:rPr>
                <w:rFonts w:ascii="Arial Narrow" w:hAnsi="Arial Narrow"/>
                <w:sz w:val="20"/>
                <w:szCs w:val="20"/>
              </w:rPr>
              <w:t xml:space="preserve"> (10)</w:t>
            </w:r>
          </w:p>
        </w:tc>
        <w:tc>
          <w:tcPr>
            <w:tcW w:w="666" w:type="pct"/>
            <w:shd w:val="clear" w:color="auto" w:fill="auto"/>
            <w:hideMark/>
          </w:tcPr>
          <w:p w14:paraId="36A8C4A9" w14:textId="3D8A06CC" w:rsidR="005865B6" w:rsidRPr="004A5756" w:rsidRDefault="005865B6" w:rsidP="00D30EBE">
            <w:pPr>
              <w:rPr>
                <w:rFonts w:ascii="Arial Narrow" w:hAnsi="Arial Narrow"/>
                <w:sz w:val="20"/>
                <w:szCs w:val="20"/>
              </w:rPr>
            </w:pPr>
            <w:r w:rsidRPr="004A5756">
              <w:rPr>
                <w:rFonts w:ascii="Arial Narrow" w:hAnsi="Arial Narrow"/>
                <w:sz w:val="20"/>
                <w:szCs w:val="20"/>
              </w:rPr>
              <w:t>162</w:t>
            </w:r>
            <w:r w:rsidR="00715C1A" w:rsidRPr="004A5756">
              <w:rPr>
                <w:rFonts w:ascii="Arial Narrow" w:hAnsi="Arial Narrow"/>
                <w:sz w:val="20"/>
                <w:szCs w:val="20"/>
              </w:rPr>
              <w:t xml:space="preserve"> (11)</w:t>
            </w:r>
          </w:p>
        </w:tc>
        <w:tc>
          <w:tcPr>
            <w:tcW w:w="666" w:type="pct"/>
            <w:shd w:val="clear" w:color="auto" w:fill="auto"/>
            <w:hideMark/>
          </w:tcPr>
          <w:p w14:paraId="038D6A4E" w14:textId="733390A8" w:rsidR="005865B6" w:rsidRPr="004A5756" w:rsidRDefault="005865B6" w:rsidP="00D30EBE">
            <w:pPr>
              <w:rPr>
                <w:rFonts w:ascii="Arial Narrow" w:hAnsi="Arial Narrow"/>
                <w:sz w:val="20"/>
                <w:szCs w:val="20"/>
              </w:rPr>
            </w:pPr>
            <w:r w:rsidRPr="004A5756">
              <w:rPr>
                <w:rFonts w:ascii="Arial Narrow" w:hAnsi="Arial Narrow"/>
                <w:sz w:val="20"/>
                <w:szCs w:val="20"/>
              </w:rPr>
              <w:t>175</w:t>
            </w:r>
            <w:r w:rsidR="00715C1A" w:rsidRPr="004A5756">
              <w:rPr>
                <w:rFonts w:ascii="Arial Narrow" w:hAnsi="Arial Narrow"/>
                <w:sz w:val="20"/>
                <w:szCs w:val="20"/>
              </w:rPr>
              <w:t xml:space="preserve"> (8)</w:t>
            </w:r>
          </w:p>
        </w:tc>
        <w:tc>
          <w:tcPr>
            <w:tcW w:w="666" w:type="pct"/>
            <w:shd w:val="clear" w:color="auto" w:fill="auto"/>
            <w:hideMark/>
          </w:tcPr>
          <w:p w14:paraId="6333DCD2" w14:textId="1C4160FD" w:rsidR="005865B6" w:rsidRPr="004A5756" w:rsidRDefault="005865B6" w:rsidP="00D30EBE">
            <w:pPr>
              <w:rPr>
                <w:rFonts w:ascii="Arial Narrow" w:hAnsi="Arial Narrow"/>
                <w:sz w:val="20"/>
                <w:szCs w:val="20"/>
              </w:rPr>
            </w:pPr>
            <w:r w:rsidRPr="004A5756">
              <w:rPr>
                <w:rFonts w:ascii="Arial Narrow" w:hAnsi="Arial Narrow"/>
                <w:sz w:val="20"/>
                <w:szCs w:val="20"/>
              </w:rPr>
              <w:t>103</w:t>
            </w:r>
            <w:r w:rsidR="00715C1A" w:rsidRPr="004A5756">
              <w:rPr>
                <w:rFonts w:ascii="Arial Narrow" w:hAnsi="Arial Narrow"/>
                <w:sz w:val="20"/>
                <w:szCs w:val="20"/>
              </w:rPr>
              <w:t xml:space="preserve"> (9)</w:t>
            </w:r>
          </w:p>
        </w:tc>
      </w:tr>
      <w:tr w:rsidR="005865B6" w:rsidRPr="004A5756" w14:paraId="6415A8F2" w14:textId="77777777" w:rsidTr="00073E60">
        <w:trPr>
          <w:trHeight w:val="586"/>
        </w:trPr>
        <w:tc>
          <w:tcPr>
            <w:tcW w:w="1670" w:type="pct"/>
            <w:shd w:val="clear" w:color="auto" w:fill="F2F2F2" w:themeFill="background1" w:themeFillShade="F2"/>
            <w:hideMark/>
          </w:tcPr>
          <w:p w14:paraId="780A9295" w14:textId="2F081E22" w:rsidR="005865B6" w:rsidRPr="004A5756" w:rsidRDefault="005865B6" w:rsidP="009A3D98">
            <w:pPr>
              <w:rPr>
                <w:rFonts w:ascii="Arial Narrow" w:hAnsi="Arial Narrow"/>
                <w:b/>
                <w:bCs/>
                <w:i/>
                <w:sz w:val="20"/>
                <w:szCs w:val="20"/>
              </w:rPr>
            </w:pPr>
            <w:r w:rsidRPr="004A5756">
              <w:rPr>
                <w:rFonts w:ascii="Arial Narrow" w:hAnsi="Arial Narrow"/>
                <w:b/>
                <w:bCs/>
                <w:i/>
                <w:sz w:val="20"/>
                <w:szCs w:val="20"/>
              </w:rPr>
              <w:t xml:space="preserve">Hereditary (excluding </w:t>
            </w:r>
            <w:r w:rsidR="00DF1C05" w:rsidRPr="004A5756">
              <w:rPr>
                <w:rFonts w:ascii="Arial Narrow" w:hAnsi="Arial Narrow"/>
                <w:b/>
                <w:bCs/>
                <w:i/>
                <w:sz w:val="20"/>
                <w:szCs w:val="20"/>
              </w:rPr>
              <w:t>asymptomatic</w:t>
            </w:r>
            <w:r w:rsidRPr="004A5756">
              <w:rPr>
                <w:rFonts w:ascii="Arial Narrow" w:hAnsi="Arial Narrow"/>
                <w:b/>
                <w:bCs/>
                <w:i/>
                <w:sz w:val="20"/>
                <w:szCs w:val="20"/>
              </w:rPr>
              <w:t xml:space="preserve"> carriers) </w:t>
            </w:r>
            <w:r w:rsidR="009A3D98" w:rsidRPr="004A5756">
              <w:rPr>
                <w:rFonts w:ascii="Arial Narrow" w:hAnsi="Arial Narrow"/>
                <w:b/>
                <w:bCs/>
                <w:i/>
                <w:sz w:val="20"/>
                <w:szCs w:val="20"/>
              </w:rPr>
              <w:t>t</w:t>
            </w:r>
            <w:r w:rsidRPr="004A5756">
              <w:rPr>
                <w:rFonts w:ascii="Arial Narrow" w:hAnsi="Arial Narrow"/>
                <w:b/>
                <w:bCs/>
                <w:i/>
                <w:sz w:val="20"/>
                <w:szCs w:val="20"/>
              </w:rPr>
              <w:t>otal</w:t>
            </w:r>
          </w:p>
        </w:tc>
        <w:tc>
          <w:tcPr>
            <w:tcW w:w="666" w:type="pct"/>
            <w:shd w:val="clear" w:color="auto" w:fill="F2F2F2" w:themeFill="background1" w:themeFillShade="F2"/>
            <w:hideMark/>
          </w:tcPr>
          <w:p w14:paraId="48A664C6" w14:textId="14C73C35" w:rsidR="005865B6" w:rsidRPr="004A5756" w:rsidRDefault="005865B6" w:rsidP="00D30EBE">
            <w:pPr>
              <w:rPr>
                <w:rFonts w:ascii="Arial Narrow" w:hAnsi="Arial Narrow"/>
                <w:b/>
                <w:bCs/>
                <w:i/>
                <w:sz w:val="20"/>
                <w:szCs w:val="20"/>
              </w:rPr>
            </w:pPr>
            <w:r w:rsidRPr="004A5756">
              <w:rPr>
                <w:rFonts w:ascii="Arial Narrow" w:hAnsi="Arial Narrow"/>
                <w:b/>
                <w:bCs/>
                <w:i/>
                <w:sz w:val="20"/>
                <w:szCs w:val="20"/>
              </w:rPr>
              <w:t>1,820</w:t>
            </w:r>
            <w:r w:rsidR="00715C1A" w:rsidRPr="004A5756">
              <w:rPr>
                <w:rFonts w:ascii="Arial Narrow" w:hAnsi="Arial Narrow"/>
                <w:b/>
                <w:bCs/>
                <w:i/>
                <w:sz w:val="20"/>
                <w:szCs w:val="20"/>
              </w:rPr>
              <w:t xml:space="preserve"> (50)</w:t>
            </w:r>
          </w:p>
        </w:tc>
        <w:tc>
          <w:tcPr>
            <w:tcW w:w="666" w:type="pct"/>
            <w:shd w:val="clear" w:color="auto" w:fill="F2F2F2" w:themeFill="background1" w:themeFillShade="F2"/>
            <w:hideMark/>
          </w:tcPr>
          <w:p w14:paraId="3274E981" w14:textId="3A5D7154" w:rsidR="005865B6" w:rsidRPr="004A5756" w:rsidRDefault="005865B6" w:rsidP="00D30EBE">
            <w:pPr>
              <w:rPr>
                <w:rFonts w:ascii="Arial Narrow" w:hAnsi="Arial Narrow"/>
                <w:b/>
                <w:bCs/>
                <w:i/>
                <w:sz w:val="20"/>
                <w:szCs w:val="20"/>
              </w:rPr>
            </w:pPr>
            <w:r w:rsidRPr="004A5756">
              <w:rPr>
                <w:rFonts w:ascii="Arial Narrow" w:hAnsi="Arial Narrow"/>
                <w:b/>
                <w:bCs/>
                <w:i/>
                <w:sz w:val="20"/>
                <w:szCs w:val="20"/>
              </w:rPr>
              <w:t>1,873</w:t>
            </w:r>
            <w:r w:rsidR="00715C1A" w:rsidRPr="004A5756">
              <w:rPr>
                <w:rFonts w:ascii="Arial Narrow" w:hAnsi="Arial Narrow"/>
                <w:b/>
                <w:bCs/>
                <w:i/>
                <w:sz w:val="20"/>
                <w:szCs w:val="20"/>
              </w:rPr>
              <w:t xml:space="preserve"> (52)</w:t>
            </w:r>
          </w:p>
        </w:tc>
        <w:tc>
          <w:tcPr>
            <w:tcW w:w="666" w:type="pct"/>
            <w:shd w:val="clear" w:color="auto" w:fill="F2F2F2" w:themeFill="background1" w:themeFillShade="F2"/>
            <w:hideMark/>
          </w:tcPr>
          <w:p w14:paraId="4A2ED114" w14:textId="5A246DD2" w:rsidR="005865B6" w:rsidRPr="004A5756" w:rsidRDefault="005865B6" w:rsidP="00D30EBE">
            <w:pPr>
              <w:rPr>
                <w:rFonts w:ascii="Arial Narrow" w:hAnsi="Arial Narrow"/>
                <w:b/>
                <w:bCs/>
                <w:i/>
                <w:sz w:val="20"/>
                <w:szCs w:val="20"/>
              </w:rPr>
            </w:pPr>
            <w:r w:rsidRPr="004A5756">
              <w:rPr>
                <w:rFonts w:ascii="Arial Narrow" w:hAnsi="Arial Narrow"/>
                <w:b/>
                <w:bCs/>
                <w:i/>
                <w:sz w:val="20"/>
                <w:szCs w:val="20"/>
              </w:rPr>
              <w:t>1,914</w:t>
            </w:r>
            <w:r w:rsidR="00715C1A" w:rsidRPr="004A5756">
              <w:rPr>
                <w:rFonts w:ascii="Arial Narrow" w:hAnsi="Arial Narrow"/>
                <w:b/>
                <w:bCs/>
                <w:i/>
                <w:sz w:val="20"/>
                <w:szCs w:val="20"/>
              </w:rPr>
              <w:t xml:space="preserve"> (50)</w:t>
            </w:r>
          </w:p>
        </w:tc>
        <w:tc>
          <w:tcPr>
            <w:tcW w:w="666" w:type="pct"/>
            <w:shd w:val="clear" w:color="auto" w:fill="F2F2F2" w:themeFill="background1" w:themeFillShade="F2"/>
            <w:hideMark/>
          </w:tcPr>
          <w:p w14:paraId="0117D698" w14:textId="429608E0" w:rsidR="005865B6" w:rsidRPr="004A5756" w:rsidRDefault="005865B6" w:rsidP="00D30EBE">
            <w:pPr>
              <w:rPr>
                <w:rFonts w:ascii="Arial Narrow" w:hAnsi="Arial Narrow"/>
                <w:b/>
                <w:bCs/>
                <w:i/>
                <w:sz w:val="20"/>
                <w:szCs w:val="20"/>
              </w:rPr>
            </w:pPr>
            <w:r w:rsidRPr="004A5756">
              <w:rPr>
                <w:rFonts w:ascii="Arial Narrow" w:hAnsi="Arial Narrow"/>
                <w:b/>
                <w:bCs/>
                <w:i/>
                <w:sz w:val="20"/>
                <w:szCs w:val="20"/>
              </w:rPr>
              <w:t>1,968</w:t>
            </w:r>
            <w:r w:rsidR="00715C1A" w:rsidRPr="004A5756">
              <w:rPr>
                <w:rFonts w:ascii="Arial Narrow" w:hAnsi="Arial Narrow"/>
                <w:b/>
                <w:bCs/>
                <w:i/>
                <w:sz w:val="20"/>
                <w:szCs w:val="20"/>
              </w:rPr>
              <w:t xml:space="preserve"> (50)</w:t>
            </w:r>
          </w:p>
        </w:tc>
        <w:tc>
          <w:tcPr>
            <w:tcW w:w="666" w:type="pct"/>
            <w:shd w:val="clear" w:color="auto" w:fill="F2F2F2" w:themeFill="background1" w:themeFillShade="F2"/>
            <w:hideMark/>
          </w:tcPr>
          <w:p w14:paraId="0A902F08" w14:textId="10DF4F52" w:rsidR="005865B6" w:rsidRPr="004A5756" w:rsidRDefault="005865B6" w:rsidP="00D30EBE">
            <w:pPr>
              <w:rPr>
                <w:rFonts w:ascii="Arial Narrow" w:hAnsi="Arial Narrow"/>
                <w:b/>
                <w:bCs/>
                <w:i/>
                <w:sz w:val="20"/>
                <w:szCs w:val="20"/>
              </w:rPr>
            </w:pPr>
            <w:r w:rsidRPr="004A5756">
              <w:rPr>
                <w:rFonts w:ascii="Arial Narrow" w:hAnsi="Arial Narrow"/>
                <w:b/>
                <w:bCs/>
                <w:i/>
                <w:sz w:val="20"/>
                <w:szCs w:val="20"/>
              </w:rPr>
              <w:t>2,075</w:t>
            </w:r>
            <w:r w:rsidR="00715C1A" w:rsidRPr="004A5756">
              <w:rPr>
                <w:rFonts w:ascii="Arial Narrow" w:hAnsi="Arial Narrow"/>
                <w:b/>
                <w:bCs/>
                <w:i/>
                <w:sz w:val="20"/>
                <w:szCs w:val="20"/>
              </w:rPr>
              <w:t xml:space="preserve"> (49)</w:t>
            </w:r>
          </w:p>
        </w:tc>
      </w:tr>
      <w:tr w:rsidR="005865B6" w:rsidRPr="004A5756" w14:paraId="4B9D3FF0" w14:textId="77777777" w:rsidTr="00023FF0">
        <w:trPr>
          <w:trHeight w:val="330"/>
        </w:trPr>
        <w:tc>
          <w:tcPr>
            <w:tcW w:w="1670" w:type="pct"/>
            <w:shd w:val="clear" w:color="auto" w:fill="auto"/>
          </w:tcPr>
          <w:p w14:paraId="2DFF28C0" w14:textId="633C58D3" w:rsidR="005865B6" w:rsidRPr="004A5756" w:rsidRDefault="00DD6684">
            <w:pPr>
              <w:rPr>
                <w:rFonts w:ascii="Arial Narrow" w:hAnsi="Arial Narrow"/>
                <w:bCs/>
                <w:sz w:val="20"/>
                <w:szCs w:val="20"/>
              </w:rPr>
            </w:pPr>
            <w:r w:rsidRPr="004A5756">
              <w:rPr>
                <w:rFonts w:ascii="Arial Narrow" w:hAnsi="Arial Narrow"/>
                <w:bCs/>
                <w:sz w:val="20"/>
                <w:szCs w:val="20"/>
              </w:rPr>
              <w:t>Number with moderate disease</w:t>
            </w:r>
          </w:p>
        </w:tc>
        <w:tc>
          <w:tcPr>
            <w:tcW w:w="666" w:type="pct"/>
            <w:shd w:val="clear" w:color="auto" w:fill="auto"/>
          </w:tcPr>
          <w:p w14:paraId="30CB299D" w14:textId="333CA5C6" w:rsidR="005865B6" w:rsidRPr="004A5756" w:rsidRDefault="00DD6684" w:rsidP="00D30EBE">
            <w:pPr>
              <w:rPr>
                <w:rFonts w:ascii="Arial Narrow" w:hAnsi="Arial Narrow"/>
                <w:b/>
                <w:bCs/>
                <w:sz w:val="20"/>
                <w:szCs w:val="20"/>
              </w:rPr>
            </w:pPr>
            <w:r w:rsidRPr="004A5756">
              <w:rPr>
                <w:rFonts w:ascii="Arial Narrow" w:hAnsi="Arial Narrow"/>
                <w:sz w:val="20"/>
                <w:szCs w:val="20"/>
              </w:rPr>
              <w:t>212</w:t>
            </w:r>
            <w:r w:rsidR="00E661A5" w:rsidRPr="004A5756">
              <w:rPr>
                <w:rFonts w:ascii="Arial Narrow" w:hAnsi="Arial Narrow"/>
                <w:sz w:val="20"/>
                <w:szCs w:val="20"/>
              </w:rPr>
              <w:t xml:space="preserve"> (64)</w:t>
            </w:r>
          </w:p>
        </w:tc>
        <w:tc>
          <w:tcPr>
            <w:tcW w:w="666" w:type="pct"/>
            <w:shd w:val="clear" w:color="auto" w:fill="auto"/>
          </w:tcPr>
          <w:p w14:paraId="7D083A08" w14:textId="64563A69" w:rsidR="005865B6" w:rsidRPr="004A5756" w:rsidRDefault="00DD6684" w:rsidP="00D30EBE">
            <w:pPr>
              <w:rPr>
                <w:rFonts w:ascii="Arial Narrow" w:hAnsi="Arial Narrow"/>
                <w:b/>
                <w:bCs/>
                <w:sz w:val="20"/>
                <w:szCs w:val="20"/>
              </w:rPr>
            </w:pPr>
            <w:r w:rsidRPr="004A5756">
              <w:rPr>
                <w:rFonts w:ascii="Arial Narrow" w:hAnsi="Arial Narrow"/>
                <w:sz w:val="20"/>
                <w:szCs w:val="20"/>
              </w:rPr>
              <w:t>218</w:t>
            </w:r>
            <w:r w:rsidR="00E661A5" w:rsidRPr="004A5756">
              <w:rPr>
                <w:rFonts w:ascii="Arial Narrow" w:hAnsi="Arial Narrow"/>
                <w:sz w:val="20"/>
                <w:szCs w:val="20"/>
              </w:rPr>
              <w:t xml:space="preserve"> (64)</w:t>
            </w:r>
          </w:p>
        </w:tc>
        <w:tc>
          <w:tcPr>
            <w:tcW w:w="666" w:type="pct"/>
            <w:shd w:val="clear" w:color="auto" w:fill="auto"/>
          </w:tcPr>
          <w:p w14:paraId="3FA7487B" w14:textId="6ADBED56" w:rsidR="005865B6" w:rsidRPr="004A5756" w:rsidRDefault="00DD6684" w:rsidP="00D30EBE">
            <w:pPr>
              <w:rPr>
                <w:rFonts w:ascii="Arial Narrow" w:hAnsi="Arial Narrow"/>
                <w:b/>
                <w:bCs/>
                <w:sz w:val="20"/>
                <w:szCs w:val="20"/>
              </w:rPr>
            </w:pPr>
            <w:r w:rsidRPr="004A5756">
              <w:rPr>
                <w:rFonts w:ascii="Arial Narrow" w:hAnsi="Arial Narrow"/>
                <w:sz w:val="20"/>
                <w:szCs w:val="20"/>
              </w:rPr>
              <w:t>217</w:t>
            </w:r>
            <w:r w:rsidR="00E661A5" w:rsidRPr="004A5756">
              <w:rPr>
                <w:rFonts w:ascii="Arial Narrow" w:hAnsi="Arial Narrow"/>
                <w:sz w:val="20"/>
                <w:szCs w:val="20"/>
              </w:rPr>
              <w:t xml:space="preserve"> (59)</w:t>
            </w:r>
          </w:p>
        </w:tc>
        <w:tc>
          <w:tcPr>
            <w:tcW w:w="666" w:type="pct"/>
            <w:shd w:val="clear" w:color="auto" w:fill="auto"/>
          </w:tcPr>
          <w:p w14:paraId="0F946F07" w14:textId="5EDE2133" w:rsidR="005865B6" w:rsidRPr="004A5756" w:rsidRDefault="00DD6684" w:rsidP="00D30EBE">
            <w:pPr>
              <w:rPr>
                <w:rFonts w:ascii="Arial Narrow" w:hAnsi="Arial Narrow"/>
                <w:b/>
                <w:bCs/>
                <w:sz w:val="20"/>
                <w:szCs w:val="20"/>
              </w:rPr>
            </w:pPr>
            <w:r w:rsidRPr="004A5756">
              <w:rPr>
                <w:rFonts w:ascii="Arial Narrow" w:hAnsi="Arial Narrow"/>
                <w:sz w:val="20"/>
                <w:szCs w:val="20"/>
              </w:rPr>
              <w:t>214</w:t>
            </w:r>
            <w:r w:rsidR="00E661A5" w:rsidRPr="004A5756">
              <w:rPr>
                <w:rFonts w:ascii="Arial Narrow" w:hAnsi="Arial Narrow"/>
                <w:sz w:val="20"/>
                <w:szCs w:val="20"/>
              </w:rPr>
              <w:t xml:space="preserve"> (70)</w:t>
            </w:r>
          </w:p>
        </w:tc>
        <w:tc>
          <w:tcPr>
            <w:tcW w:w="666" w:type="pct"/>
            <w:shd w:val="clear" w:color="auto" w:fill="auto"/>
          </w:tcPr>
          <w:p w14:paraId="4C7418F0" w14:textId="18641B89" w:rsidR="005865B6" w:rsidRPr="004A5756" w:rsidRDefault="00DD6684" w:rsidP="00D30EBE">
            <w:pPr>
              <w:rPr>
                <w:rFonts w:ascii="Arial Narrow" w:hAnsi="Arial Narrow"/>
                <w:b/>
                <w:bCs/>
                <w:sz w:val="20"/>
                <w:szCs w:val="20"/>
              </w:rPr>
            </w:pPr>
            <w:r w:rsidRPr="004A5756">
              <w:rPr>
                <w:rFonts w:ascii="Arial Narrow" w:hAnsi="Arial Narrow"/>
                <w:sz w:val="20"/>
                <w:szCs w:val="20"/>
              </w:rPr>
              <w:t>225</w:t>
            </w:r>
            <w:r w:rsidR="00E661A5" w:rsidRPr="004A5756">
              <w:rPr>
                <w:rFonts w:ascii="Arial Narrow" w:hAnsi="Arial Narrow"/>
                <w:sz w:val="20"/>
                <w:szCs w:val="20"/>
              </w:rPr>
              <w:t xml:space="preserve"> (67)</w:t>
            </w:r>
          </w:p>
        </w:tc>
      </w:tr>
      <w:tr w:rsidR="00DD6684" w:rsidRPr="004A5756" w14:paraId="2B993B10" w14:textId="77777777" w:rsidTr="00073E60">
        <w:trPr>
          <w:trHeight w:val="373"/>
        </w:trPr>
        <w:tc>
          <w:tcPr>
            <w:tcW w:w="1670" w:type="pct"/>
            <w:shd w:val="clear" w:color="auto" w:fill="auto"/>
          </w:tcPr>
          <w:p w14:paraId="20EE5953" w14:textId="249966C9" w:rsidR="00DD6684" w:rsidRPr="004A5756" w:rsidRDefault="00DD6684">
            <w:pPr>
              <w:spacing w:after="200" w:line="276" w:lineRule="auto"/>
              <w:rPr>
                <w:rFonts w:ascii="Arial Narrow" w:hAnsi="Arial Narrow"/>
                <w:bCs/>
                <w:sz w:val="20"/>
                <w:szCs w:val="20"/>
              </w:rPr>
            </w:pPr>
            <w:r w:rsidRPr="004A5756">
              <w:rPr>
                <w:rFonts w:ascii="Arial Narrow" w:hAnsi="Arial Narrow"/>
                <w:bCs/>
                <w:sz w:val="20"/>
                <w:szCs w:val="20"/>
              </w:rPr>
              <w:t>Number with severe disease</w:t>
            </w:r>
          </w:p>
        </w:tc>
        <w:tc>
          <w:tcPr>
            <w:tcW w:w="666" w:type="pct"/>
            <w:shd w:val="clear" w:color="auto" w:fill="auto"/>
          </w:tcPr>
          <w:p w14:paraId="72E57B06" w14:textId="563ECDC5" w:rsidR="00DD6684" w:rsidRPr="004A5756" w:rsidRDefault="00DD6684" w:rsidP="00D30EBE">
            <w:pPr>
              <w:spacing w:after="200" w:line="276" w:lineRule="auto"/>
              <w:rPr>
                <w:rFonts w:ascii="Arial Narrow" w:hAnsi="Arial Narrow"/>
                <w:sz w:val="20"/>
                <w:szCs w:val="20"/>
              </w:rPr>
            </w:pPr>
            <w:r w:rsidRPr="004A5756">
              <w:rPr>
                <w:rFonts w:ascii="Arial Narrow" w:hAnsi="Arial Narrow"/>
                <w:sz w:val="20"/>
                <w:szCs w:val="20"/>
              </w:rPr>
              <w:t>595</w:t>
            </w:r>
            <w:r w:rsidR="00E661A5" w:rsidRPr="004A5756">
              <w:rPr>
                <w:rFonts w:ascii="Arial Narrow" w:hAnsi="Arial Narrow"/>
                <w:sz w:val="20"/>
                <w:szCs w:val="20"/>
              </w:rPr>
              <w:t xml:space="preserve"> (92)</w:t>
            </w:r>
          </w:p>
        </w:tc>
        <w:tc>
          <w:tcPr>
            <w:tcW w:w="666" w:type="pct"/>
            <w:shd w:val="clear" w:color="auto" w:fill="auto"/>
          </w:tcPr>
          <w:p w14:paraId="68AD8605" w14:textId="2B9D8D34" w:rsidR="00DD6684" w:rsidRPr="004A5756" w:rsidRDefault="00DD6684" w:rsidP="00D30EBE">
            <w:pPr>
              <w:spacing w:after="200" w:line="276" w:lineRule="auto"/>
              <w:rPr>
                <w:rFonts w:ascii="Arial Narrow" w:hAnsi="Arial Narrow"/>
                <w:sz w:val="20"/>
                <w:szCs w:val="20"/>
              </w:rPr>
            </w:pPr>
            <w:r w:rsidRPr="004A5756">
              <w:rPr>
                <w:rFonts w:ascii="Arial Narrow" w:hAnsi="Arial Narrow"/>
                <w:sz w:val="20"/>
                <w:szCs w:val="20"/>
              </w:rPr>
              <w:t>611</w:t>
            </w:r>
            <w:r w:rsidR="00E661A5" w:rsidRPr="004A5756">
              <w:rPr>
                <w:rFonts w:ascii="Arial Narrow" w:hAnsi="Arial Narrow"/>
                <w:sz w:val="20"/>
                <w:szCs w:val="20"/>
              </w:rPr>
              <w:t xml:space="preserve"> (93)</w:t>
            </w:r>
          </w:p>
        </w:tc>
        <w:tc>
          <w:tcPr>
            <w:tcW w:w="666" w:type="pct"/>
            <w:shd w:val="clear" w:color="auto" w:fill="auto"/>
          </w:tcPr>
          <w:p w14:paraId="63FB5CC9" w14:textId="48060FEB" w:rsidR="00DD6684" w:rsidRPr="004A5756" w:rsidRDefault="00DD6684" w:rsidP="00D30EBE">
            <w:pPr>
              <w:spacing w:after="200" w:line="276" w:lineRule="auto"/>
              <w:rPr>
                <w:rFonts w:ascii="Arial Narrow" w:hAnsi="Arial Narrow"/>
                <w:sz w:val="20"/>
                <w:szCs w:val="20"/>
              </w:rPr>
            </w:pPr>
            <w:r w:rsidRPr="004A5756">
              <w:rPr>
                <w:rFonts w:ascii="Arial Narrow" w:hAnsi="Arial Narrow"/>
                <w:sz w:val="20"/>
                <w:szCs w:val="20"/>
              </w:rPr>
              <w:t>629</w:t>
            </w:r>
            <w:r w:rsidR="00E661A5" w:rsidRPr="004A5756">
              <w:rPr>
                <w:rFonts w:ascii="Arial Narrow" w:hAnsi="Arial Narrow"/>
                <w:sz w:val="20"/>
                <w:szCs w:val="20"/>
              </w:rPr>
              <w:t xml:space="preserve"> (92)</w:t>
            </w:r>
          </w:p>
        </w:tc>
        <w:tc>
          <w:tcPr>
            <w:tcW w:w="666" w:type="pct"/>
            <w:shd w:val="clear" w:color="auto" w:fill="auto"/>
          </w:tcPr>
          <w:p w14:paraId="3D23653C" w14:textId="7F0D9B26" w:rsidR="00DD6684" w:rsidRPr="004A5756" w:rsidRDefault="00DD6684" w:rsidP="00D30EBE">
            <w:pPr>
              <w:spacing w:after="200" w:line="276" w:lineRule="auto"/>
              <w:rPr>
                <w:rFonts w:ascii="Arial Narrow" w:hAnsi="Arial Narrow"/>
                <w:sz w:val="20"/>
                <w:szCs w:val="20"/>
              </w:rPr>
            </w:pPr>
            <w:r w:rsidRPr="004A5756">
              <w:rPr>
                <w:rFonts w:ascii="Arial Narrow" w:hAnsi="Arial Narrow"/>
                <w:sz w:val="20"/>
                <w:szCs w:val="20"/>
              </w:rPr>
              <w:t>640</w:t>
            </w:r>
            <w:r w:rsidR="00E661A5" w:rsidRPr="004A5756">
              <w:rPr>
                <w:rFonts w:ascii="Arial Narrow" w:hAnsi="Arial Narrow"/>
                <w:sz w:val="20"/>
                <w:szCs w:val="20"/>
              </w:rPr>
              <w:t xml:space="preserve"> (90)</w:t>
            </w:r>
          </w:p>
        </w:tc>
        <w:tc>
          <w:tcPr>
            <w:tcW w:w="666" w:type="pct"/>
            <w:shd w:val="clear" w:color="auto" w:fill="auto"/>
          </w:tcPr>
          <w:p w14:paraId="11EF7CF3" w14:textId="0160F116" w:rsidR="00DD6684" w:rsidRPr="004A5756" w:rsidRDefault="00DD6684" w:rsidP="00D30EBE">
            <w:pPr>
              <w:spacing w:after="200" w:line="276" w:lineRule="auto"/>
              <w:rPr>
                <w:rFonts w:ascii="Arial Narrow" w:hAnsi="Arial Narrow"/>
                <w:sz w:val="20"/>
                <w:szCs w:val="20"/>
              </w:rPr>
            </w:pPr>
            <w:r w:rsidRPr="004A5756">
              <w:rPr>
                <w:rFonts w:ascii="Arial Narrow" w:hAnsi="Arial Narrow"/>
                <w:sz w:val="20"/>
                <w:szCs w:val="20"/>
              </w:rPr>
              <w:t>660</w:t>
            </w:r>
            <w:r w:rsidR="00E661A5" w:rsidRPr="004A5756">
              <w:rPr>
                <w:rFonts w:ascii="Arial Narrow" w:hAnsi="Arial Narrow"/>
                <w:sz w:val="20"/>
                <w:szCs w:val="20"/>
              </w:rPr>
              <w:t xml:space="preserve"> (89)</w:t>
            </w:r>
          </w:p>
        </w:tc>
      </w:tr>
    </w:tbl>
    <w:p w14:paraId="69A75BF4" w14:textId="77777777" w:rsidR="000A2091" w:rsidRDefault="000A2091" w:rsidP="00D5006D">
      <w:pPr>
        <w:spacing w:after="0"/>
      </w:pPr>
    </w:p>
    <w:p w14:paraId="08AF39D2" w14:textId="77777777" w:rsidR="00E364F7" w:rsidRDefault="002B3338" w:rsidP="00D5006D">
      <w:pPr>
        <w:pStyle w:val="Heading3"/>
        <w:spacing w:before="0"/>
      </w:pPr>
      <w:r>
        <w:t>Rationale</w:t>
      </w:r>
    </w:p>
    <w:p w14:paraId="27B82087" w14:textId="447B5B79" w:rsidR="002A6496" w:rsidRDefault="002A6496" w:rsidP="002A6496">
      <w:r>
        <w:t xml:space="preserve">In considering </w:t>
      </w:r>
      <w:r w:rsidR="00862E23">
        <w:t>the appropriate population</w:t>
      </w:r>
      <w:r>
        <w:t xml:space="preserve"> for </w:t>
      </w:r>
      <w:r w:rsidR="00E839A5">
        <w:t>e</w:t>
      </w:r>
      <w:r w:rsidR="00A510F1">
        <w:t xml:space="preserve">micizumab </w:t>
      </w:r>
      <w:r>
        <w:t xml:space="preserve">which is a novel </w:t>
      </w:r>
      <w:r w:rsidR="009B7EF0">
        <w:t>F</w:t>
      </w:r>
      <w:r>
        <w:t>VIII mimic the following should be considered: the re</w:t>
      </w:r>
      <w:r w:rsidR="009A3D98">
        <w:t xml:space="preserve">gistration status of </w:t>
      </w:r>
      <w:r w:rsidR="00E839A5">
        <w:t>e</w:t>
      </w:r>
      <w:r w:rsidR="00A510F1">
        <w:t>micizumab</w:t>
      </w:r>
      <w:r w:rsidR="009A3D98">
        <w:t>;</w:t>
      </w:r>
      <w:r>
        <w:t xml:space="preserve"> the populations</w:t>
      </w:r>
      <w:r w:rsidR="009A3D98">
        <w:t xml:space="preserve"> in which it has been trialled; </w:t>
      </w:r>
      <w:r>
        <w:t>and, the populations with the greatest clinical need.</w:t>
      </w:r>
    </w:p>
    <w:p w14:paraId="622A6C58" w14:textId="39FC5662" w:rsidR="002A6496" w:rsidRDefault="002A6496" w:rsidP="009B7EF0">
      <w:pPr>
        <w:pStyle w:val="Heading4"/>
      </w:pPr>
      <w:r w:rsidRPr="002A6496">
        <w:t>Registration status of the drug</w:t>
      </w:r>
    </w:p>
    <w:p w14:paraId="16A3280A" w14:textId="4B7118CF" w:rsidR="00041862" w:rsidRDefault="00A1394F" w:rsidP="002A6496">
      <w:r>
        <w:t xml:space="preserve">Emicizumab has priority review status for orphan drug designation with </w:t>
      </w:r>
      <w:r w:rsidRPr="00A1394F">
        <w:t xml:space="preserve">the Therapeutic Goods Administration </w:t>
      </w:r>
      <w:r>
        <w:t>(effective 29/08/2017) for the r</w:t>
      </w:r>
      <w:r w:rsidRPr="00BE7F6E">
        <w:t xml:space="preserve">outine prophylaxis to prevent bleeding or reduce the frequency of bleeding episodes in patients with haemophilia A (congenital </w:t>
      </w:r>
      <w:r>
        <w:t>FVIII</w:t>
      </w:r>
      <w:r w:rsidRPr="00BE7F6E">
        <w:t xml:space="preserve"> deficiency) with </w:t>
      </w:r>
      <w:r>
        <w:t xml:space="preserve">FVIII </w:t>
      </w:r>
      <w:r w:rsidRPr="00BE7F6E">
        <w:t>inhibitors</w:t>
      </w:r>
      <w:r>
        <w:t xml:space="preserve"> (</w:t>
      </w:r>
      <w:r>
        <w:rPr>
          <w:u w:val="single"/>
        </w:rPr>
        <w:t>Population one</w:t>
      </w:r>
      <w:r>
        <w:t>).</w:t>
      </w:r>
    </w:p>
    <w:p w14:paraId="1BC5402F" w14:textId="4CD18D99" w:rsidR="007942FD" w:rsidRDefault="002A6496" w:rsidP="002A6496">
      <w:r>
        <w:t xml:space="preserve">Emicizumab </w:t>
      </w:r>
      <w:r w:rsidR="00A1394F">
        <w:t xml:space="preserve">also </w:t>
      </w:r>
      <w:r>
        <w:t xml:space="preserve">has orphan drug designation status </w:t>
      </w:r>
      <w:r w:rsidR="00A1394F">
        <w:t xml:space="preserve">(effective </w:t>
      </w:r>
      <w:r>
        <w:t>25/08/2017) for routine prophylaxis in patients with haemophilia A (</w:t>
      </w:r>
      <w:r w:rsidR="00A1394F">
        <w:rPr>
          <w:u w:val="single"/>
        </w:rPr>
        <w:t>P</w:t>
      </w:r>
      <w:r w:rsidR="00E661A5">
        <w:rPr>
          <w:u w:val="single"/>
        </w:rPr>
        <w:t xml:space="preserve">opulation </w:t>
      </w:r>
      <w:r w:rsidR="00A1394F">
        <w:rPr>
          <w:u w:val="single"/>
        </w:rPr>
        <w:t>two</w:t>
      </w:r>
      <w:r>
        <w:t>).</w:t>
      </w:r>
    </w:p>
    <w:p w14:paraId="0E1B883C" w14:textId="1A52DD34" w:rsidR="002A6496" w:rsidRDefault="002A6496" w:rsidP="009B7EF0">
      <w:pPr>
        <w:pStyle w:val="Heading4"/>
      </w:pPr>
      <w:r w:rsidRPr="00BE7F6E">
        <w:t>Trial population</w:t>
      </w:r>
      <w:r w:rsidR="00E661A5">
        <w:t>s</w:t>
      </w:r>
    </w:p>
    <w:p w14:paraId="4E7F2C27" w14:textId="508F3783" w:rsidR="00AF21F1" w:rsidRDefault="001F2D89" w:rsidP="00BE7F6E">
      <w:r>
        <w:t xml:space="preserve">To date there have been three in-human trials of emicizumab published, of which the initial phase I and II trials enrolled </w:t>
      </w:r>
      <w:r w:rsidR="00041862">
        <w:t>HMA</w:t>
      </w:r>
      <w:r>
        <w:t xml:space="preserve"> patients with or without inhibitors. In the recently published phase III (randomised controlled trial; HAVEN 1) of emicizumab the population was restricted to the subgroup of patients with inhibitors</w:t>
      </w:r>
      <w:r w:rsidR="009E0307">
        <w:t xml:space="preserve"> (</w:t>
      </w:r>
      <w:r w:rsidR="009E0307">
        <w:fldChar w:fldCharType="begin"/>
      </w:r>
      <w:r w:rsidR="009E0307">
        <w:instrText xml:space="preserve"> REF _Ref494884022 \h </w:instrText>
      </w:r>
      <w:r w:rsidR="009E0307">
        <w:fldChar w:fldCharType="separate"/>
      </w:r>
      <w:r w:rsidR="00A04E68" w:rsidRPr="0059514F">
        <w:t xml:space="preserve">Table </w:t>
      </w:r>
      <w:r w:rsidR="00A04E68">
        <w:rPr>
          <w:noProof/>
        </w:rPr>
        <w:t>7</w:t>
      </w:r>
      <w:r w:rsidR="009E0307">
        <w:fldChar w:fldCharType="end"/>
      </w:r>
      <w:r w:rsidR="009E0307">
        <w:t>)</w:t>
      </w:r>
      <w:r>
        <w:t xml:space="preserve">. There is also an ongoing phase III (randomised controlled trial; HAVEN 3) of emicizumab in the population without inhibitors. </w:t>
      </w:r>
      <w:r w:rsidRPr="001F2D89">
        <w:t>Th</w:t>
      </w:r>
      <w:r>
        <w:t xml:space="preserve">e applicant has been clear that evidence in this population is unlikely to be submitted for consideration in </w:t>
      </w:r>
      <w:r w:rsidR="00E661A5">
        <w:t xml:space="preserve">the first </w:t>
      </w:r>
      <w:r>
        <w:t xml:space="preserve">submission based </w:t>
      </w:r>
      <w:r>
        <w:lastRenderedPageBreak/>
        <w:t>assessment</w:t>
      </w:r>
      <w:r w:rsidR="00E661A5">
        <w:t xml:space="preserve"> as it does not pertain to population </w:t>
      </w:r>
      <w:r w:rsidR="006D571E">
        <w:t>one</w:t>
      </w:r>
      <w:r>
        <w:t xml:space="preserve">; however, </w:t>
      </w:r>
      <w:r w:rsidR="00E661A5">
        <w:t xml:space="preserve">such evidence </w:t>
      </w:r>
      <w:r w:rsidR="00041862">
        <w:t xml:space="preserve">would </w:t>
      </w:r>
      <w:r w:rsidR="00E661A5">
        <w:t>support an application</w:t>
      </w:r>
      <w:r w:rsidR="006D571E">
        <w:t xml:space="preserve"> to fund </w:t>
      </w:r>
      <w:r w:rsidR="006D571E" w:rsidRPr="006D571E">
        <w:t>emicizumab</w:t>
      </w:r>
      <w:r w:rsidR="006D571E">
        <w:t xml:space="preserve"> for prophylaxis</w:t>
      </w:r>
      <w:r w:rsidR="00E661A5">
        <w:t xml:space="preserve"> in population </w:t>
      </w:r>
      <w:r w:rsidR="006D571E">
        <w:t>two</w:t>
      </w:r>
      <w:r w:rsidR="00E661A5">
        <w:t>.</w:t>
      </w:r>
    </w:p>
    <w:p w14:paraId="2C9B88B2" w14:textId="01E25228" w:rsidR="00862E23" w:rsidRDefault="00E661A5" w:rsidP="00BE7F6E">
      <w:r>
        <w:t>It is logical to separate these groups as p</w:t>
      </w:r>
      <w:r w:rsidR="00B60640">
        <w:t>atients</w:t>
      </w:r>
      <w:r w:rsidR="001F2D89">
        <w:t xml:space="preserve"> with inhibitors require consideration separate to the broad </w:t>
      </w:r>
      <w:r w:rsidR="006D571E">
        <w:t>HMA</w:t>
      </w:r>
      <w:r w:rsidR="001F2D89">
        <w:t xml:space="preserve"> population owing to differences in their management </w:t>
      </w:r>
      <w:r w:rsidR="00B60640">
        <w:t>and baseline</w:t>
      </w:r>
      <w:r w:rsidR="001F2D89">
        <w:t xml:space="preserve"> risk for bleeding events</w:t>
      </w:r>
      <w:r>
        <w:t>.</w:t>
      </w:r>
    </w:p>
    <w:p w14:paraId="7DC3EFA2" w14:textId="31962678" w:rsidR="001F2D89" w:rsidRDefault="00862E23" w:rsidP="00BE7F6E">
      <w:r w:rsidRPr="00862E23">
        <w:t xml:space="preserve">To date published trials have enrolled patients 12 years or older (HAVEN 1, patients had a median age of 28), ongoing trials in the paediatric population have been identified (HAVEN 2). The proposed TGA listing will not restrict emicizumab according to patient age. New patients not switching from other treatments are anticipated to be largely paediatric patients given the nature of the disease. At the assessment phase it may be relevant to consider whether patient age is likely to impact on the safety </w:t>
      </w:r>
      <w:r w:rsidR="006D571E">
        <w:t>or effectiveness of emicizumab.</w:t>
      </w:r>
    </w:p>
    <w:p w14:paraId="454A6B08" w14:textId="36FAE59A" w:rsidR="002A6496" w:rsidRPr="00B60640" w:rsidRDefault="002A6496" w:rsidP="009B7EF0">
      <w:pPr>
        <w:pStyle w:val="Heading4"/>
      </w:pPr>
      <w:r w:rsidRPr="00B60640">
        <w:t xml:space="preserve">Clinical need </w:t>
      </w:r>
      <w:r w:rsidR="001F2D89" w:rsidRPr="00B60640">
        <w:t>and disease severity</w:t>
      </w:r>
    </w:p>
    <w:p w14:paraId="0BD92425" w14:textId="6F1AF4D9" w:rsidR="00E661A5" w:rsidRDefault="001F2D89" w:rsidP="001F2D89">
      <w:r>
        <w:t xml:space="preserve">With respect to the eligibility criteria proposed </w:t>
      </w:r>
      <w:r w:rsidR="007942FD">
        <w:t>it is clear that the clinical need for novel prophylaxis is greater in patients</w:t>
      </w:r>
      <w:r w:rsidR="00EA4F20">
        <w:t xml:space="preserve"> with F</w:t>
      </w:r>
      <w:r w:rsidR="007942FD">
        <w:t xml:space="preserve">VIII inhibitors for whom </w:t>
      </w:r>
      <w:r w:rsidR="003E173E">
        <w:t>ITI</w:t>
      </w:r>
      <w:r w:rsidR="00DF1C05">
        <w:t xml:space="preserve"> </w:t>
      </w:r>
      <w:r w:rsidR="007942FD">
        <w:t xml:space="preserve">therapy had failed or in the absence of natural resolution of inhibitor development. These patients are complex to manage and disproportionately affected by the burden of complications associated with </w:t>
      </w:r>
      <w:r w:rsidR="00EA4F20">
        <w:t>HMA</w:t>
      </w:r>
      <w:r w:rsidR="007942FD">
        <w:t xml:space="preserve">. Therefore, the rationale for </w:t>
      </w:r>
      <w:r w:rsidR="00E661A5">
        <w:t>population one</w:t>
      </w:r>
      <w:r w:rsidR="007942FD">
        <w:t xml:space="preserve"> is a logical extension of the unmet clinical need in this group</w:t>
      </w:r>
      <w:r w:rsidR="007B2D09">
        <w:t>.</w:t>
      </w:r>
    </w:p>
    <w:p w14:paraId="25FDDD63" w14:textId="77777777" w:rsidR="00A33735" w:rsidRDefault="007942FD" w:rsidP="001F2D89">
      <w:r>
        <w:t xml:space="preserve">In addition when considering the patient population most likely to </w:t>
      </w:r>
      <w:r w:rsidR="00B60640">
        <w:t xml:space="preserve">benefit from prophylaxis the severity of disease and baseline risk for bleeding are important considerations. In practice, eligible </w:t>
      </w:r>
      <w:r w:rsidR="009E0307">
        <w:t xml:space="preserve">patients </w:t>
      </w:r>
      <w:r w:rsidR="00B60640">
        <w:t xml:space="preserve">would be managed by specialist centres where such issues would be addressed comprehensively. Given the proposed population it is likely that most eligible patients would have severe </w:t>
      </w:r>
      <w:r w:rsidR="009E0307">
        <w:t>disease</w:t>
      </w:r>
      <w:r w:rsidR="00B60640">
        <w:t>; however, in trials inclusion criteria have been mixed.</w:t>
      </w:r>
      <w:r w:rsidR="00A33735" w:rsidRPr="00A33735">
        <w:t xml:space="preserve"> </w:t>
      </w:r>
    </w:p>
    <w:p w14:paraId="66FF8770" w14:textId="215172D6" w:rsidR="00A664CF" w:rsidRDefault="00A33735" w:rsidP="00A664CF">
      <w:r w:rsidRPr="00A33735">
        <w:t xml:space="preserve">PASC recommended </w:t>
      </w:r>
      <w:r>
        <w:t>that population one should reflect groups with greatest need</w:t>
      </w:r>
      <w:r w:rsidRPr="00A33735">
        <w:t>,</w:t>
      </w:r>
      <w:r>
        <w:t xml:space="preserve"> i.e. patients with a clinical need </w:t>
      </w:r>
      <w:r w:rsidR="007B3BF0">
        <w:t xml:space="preserve">for </w:t>
      </w:r>
      <w:r w:rsidR="00887604">
        <w:t>BPAs</w:t>
      </w:r>
      <w:r>
        <w:t>.</w:t>
      </w:r>
      <w:r>
        <w:rPr>
          <w:rStyle w:val="FootnoteReference"/>
        </w:rPr>
        <w:footnoteReference w:id="8"/>
      </w:r>
      <w:r>
        <w:t xml:space="preserve"> </w:t>
      </w:r>
      <w:r w:rsidRPr="00A33735">
        <w:t xml:space="preserve">PASC advised this would be preferable to attempting to define inhibitor status or severity (titre) in population one’s definition. </w:t>
      </w:r>
      <w:r w:rsidR="00A664CF">
        <w:t>At the assessment phase it will therefore be relevant to present subgroup analyses in patients who:</w:t>
      </w:r>
      <w:r w:rsidR="00A664CF" w:rsidRPr="00A664CF">
        <w:t xml:space="preserve"> </w:t>
      </w:r>
    </w:p>
    <w:p w14:paraId="51784679" w14:textId="7817E47C" w:rsidR="00A664CF" w:rsidRDefault="00A664CF" w:rsidP="007B3BF0">
      <w:pPr>
        <w:pStyle w:val="ListParagraph"/>
        <w:numPr>
          <w:ilvl w:val="0"/>
          <w:numId w:val="42"/>
        </w:numPr>
      </w:pPr>
      <w:r>
        <w:t xml:space="preserve">are receiving or have a history of prophylactic or on-demand use of </w:t>
      </w:r>
      <w:r w:rsidR="00887604">
        <w:t>bypassing</w:t>
      </w:r>
      <w:r>
        <w:t xml:space="preserve"> agents (BPAs[activated prothrombin complex concentrate or recombinant activated human factor VIIa</w:t>
      </w:r>
      <w:r w:rsidR="007B3BF0">
        <w:t>]</w:t>
      </w:r>
      <w:r>
        <w:t>).</w:t>
      </w:r>
    </w:p>
    <w:p w14:paraId="0D4CB774" w14:textId="52D1B6A1" w:rsidR="00A664CF" w:rsidRDefault="00A664CF" w:rsidP="007B3BF0">
      <w:pPr>
        <w:pStyle w:val="ListParagraph"/>
        <w:numPr>
          <w:ilvl w:val="0"/>
          <w:numId w:val="42"/>
        </w:numPr>
      </w:pPr>
      <w:r>
        <w:t>are receiving or have a history of on demand use of BPAs.</w:t>
      </w:r>
    </w:p>
    <w:p w14:paraId="1A83F604" w14:textId="050703BD" w:rsidR="009E0307" w:rsidRPr="00AD62E3" w:rsidRDefault="0000365E" w:rsidP="001F2D89">
      <w:pPr>
        <w:rPr>
          <w:i/>
        </w:rPr>
      </w:pPr>
      <w:r w:rsidRPr="0000365E">
        <w:rPr>
          <w:i/>
        </w:rPr>
        <w:t xml:space="preserve">At the assessment phase it may be relevant to consider whether </w:t>
      </w:r>
      <w:r>
        <w:rPr>
          <w:i/>
        </w:rPr>
        <w:t xml:space="preserve">disease severity or history of prophylaxis has an </w:t>
      </w:r>
      <w:r w:rsidRPr="0000365E">
        <w:rPr>
          <w:i/>
        </w:rPr>
        <w:t>impact on the safety or effectiveness of emicizumab</w:t>
      </w:r>
      <w:r w:rsidR="00603A1F">
        <w:rPr>
          <w:i/>
        </w:rPr>
        <w:t>.</w:t>
      </w:r>
    </w:p>
    <w:p w14:paraId="08AF39D5" w14:textId="7EB46780" w:rsidR="00953ED7" w:rsidRDefault="00953ED7" w:rsidP="004A5756">
      <w:pPr>
        <w:pStyle w:val="Heading3"/>
      </w:pPr>
      <w:r>
        <w:t>Prior test</w:t>
      </w:r>
      <w:r w:rsidR="00C6056D">
        <w:t xml:space="preserve">s used to define populations </w:t>
      </w:r>
      <w:r w:rsidR="00EA4F20">
        <w:t>one</w:t>
      </w:r>
    </w:p>
    <w:p w14:paraId="215A7346" w14:textId="3842F193" w:rsidR="00BA4743" w:rsidRDefault="00AD0FA1" w:rsidP="00953ED7">
      <w:pPr>
        <w:rPr>
          <w:rFonts w:ascii="Arial Narrow" w:hAnsi="Arial Narrow"/>
          <w:sz w:val="20"/>
          <w:szCs w:val="20"/>
        </w:rPr>
      </w:pPr>
      <w:r>
        <w:fldChar w:fldCharType="begin"/>
      </w:r>
      <w:r>
        <w:instrText xml:space="preserve"> REF _Ref494456529 \h </w:instrText>
      </w:r>
      <w:r>
        <w:fldChar w:fldCharType="separate"/>
      </w:r>
      <w:r w:rsidR="00A04E68" w:rsidRPr="004A5756">
        <w:t xml:space="preserve">Table </w:t>
      </w:r>
      <w:r w:rsidR="00A04E68">
        <w:rPr>
          <w:noProof/>
        </w:rPr>
        <w:t>4</w:t>
      </w:r>
      <w:r>
        <w:fldChar w:fldCharType="end"/>
      </w:r>
      <w:r>
        <w:t xml:space="preserve"> </w:t>
      </w:r>
      <w:r w:rsidR="00B55520" w:rsidRPr="00B55520">
        <w:t xml:space="preserve">describes common tests that are performed to identify the eligible population. These tests are routinely performed and it is not expected that any new tests are required for access to emicizumab. </w:t>
      </w:r>
      <w:r>
        <w:t xml:space="preserve">However, </w:t>
      </w:r>
      <w:r w:rsidR="007B2D09">
        <w:t xml:space="preserve">for population </w:t>
      </w:r>
      <w:r w:rsidR="00EA4F20">
        <w:t>one</w:t>
      </w:r>
      <w:r w:rsidR="007B2D09">
        <w:t>, a</w:t>
      </w:r>
      <w:r>
        <w:t xml:space="preserve"> subset of the </w:t>
      </w:r>
      <w:r w:rsidR="00EA4F20">
        <w:t>HMA</w:t>
      </w:r>
      <w:r w:rsidR="009E0307">
        <w:t xml:space="preserve"> population</w:t>
      </w:r>
      <w:r w:rsidR="007B2D09">
        <w:t>,</w:t>
      </w:r>
      <w:r w:rsidR="009E0307">
        <w:t xml:space="preserve"> access will</w:t>
      </w:r>
      <w:r>
        <w:t xml:space="preserve"> be </w:t>
      </w:r>
      <w:r w:rsidRPr="004A5756">
        <w:t xml:space="preserve">predicated on the results of screening for and quantification of </w:t>
      </w:r>
      <w:r w:rsidR="00EA4F20">
        <w:t xml:space="preserve">FVIII </w:t>
      </w:r>
      <w:r w:rsidRPr="004A5756">
        <w:t>inhibitors.</w:t>
      </w:r>
    </w:p>
    <w:p w14:paraId="00A11E24" w14:textId="43BC4C8E" w:rsidR="00B55520" w:rsidRPr="004A5756" w:rsidRDefault="00B55520" w:rsidP="00B55520">
      <w:pPr>
        <w:pStyle w:val="Caption"/>
      </w:pPr>
      <w:bookmarkStart w:id="6" w:name="_Ref494456529"/>
      <w:r w:rsidRPr="004A5756">
        <w:lastRenderedPageBreak/>
        <w:t xml:space="preserve">Table </w:t>
      </w:r>
      <w:r w:rsidRPr="004A5756">
        <w:fldChar w:fldCharType="begin"/>
      </w:r>
      <w:r w:rsidRPr="004A5756">
        <w:instrText xml:space="preserve"> SEQ Table \* ARABIC </w:instrText>
      </w:r>
      <w:r w:rsidRPr="004A5756">
        <w:fldChar w:fldCharType="separate"/>
      </w:r>
      <w:r w:rsidR="00A04E68">
        <w:rPr>
          <w:noProof/>
        </w:rPr>
        <w:t>4</w:t>
      </w:r>
      <w:r w:rsidRPr="004A5756">
        <w:fldChar w:fldCharType="end"/>
      </w:r>
      <w:bookmarkEnd w:id="6"/>
      <w:r w:rsidRPr="004A5756">
        <w:tab/>
        <w:t>Investigative services relevant to the proposed population</w:t>
      </w:r>
      <w:r w:rsidR="007A1531" w:rsidRPr="004A5756">
        <w:t xml:space="preserve"> </w:t>
      </w:r>
      <w:r w:rsidR="00AD0FA1" w:rsidRPr="004A5756">
        <w:fldChar w:fldCharType="begin"/>
      </w:r>
      <w:r w:rsidR="00DF30B8">
        <w:instrText xml:space="preserve"> ADDIN EN.CITE &lt;EndNote&gt;&lt;Cite&gt;&lt;Author&gt;National Blood Authority&lt;/Author&gt;&lt;Year&gt;2016&lt;/Year&gt;&lt;RecNum&gt;1&lt;/RecNum&gt;&lt;DisplayText&gt;(National Blood Authority 2016a; The Royal College of Pathologists of Australia 2015)&lt;/DisplayText&gt;&lt;record&gt;&lt;rec-number&gt;1&lt;/rec-number&gt;&lt;foreign-keys&gt;&lt;key app="EN" db-id="rwz09pa0y9ee9se9epe5f5xde52pzetxev5x" timestamp="1508890326"&gt;1&lt;/key&gt;&lt;/foreign-keys&gt;&lt;ref-type name="Web Page"&gt;12&lt;/ref-type&gt;&lt;contributors&gt;&lt;authors&gt;&lt;author&gt;National Blood Authority,&lt;/author&gt;&lt;/authors&gt;&lt;/contributors&gt;&lt;titles&gt;&lt;title&gt;Guidelines for the management of haemophilia in Australia&lt;/title&gt;&lt;/titles&gt;&lt;volume&gt;2017&lt;/volume&gt;&lt;number&gt;29 September &lt;/number&gt;&lt;dates&gt;&lt;year&gt;2016&lt;/year&gt;&lt;pub-dates&gt;&lt;date&gt;2016&lt;/date&gt;&lt;/pub-dates&gt;&lt;/dates&gt;&lt;urls&gt;&lt;related-urls&gt;&lt;url&gt;https://www.blood.gov.au/system/files/HaemophiliaGuidelines-interactive-updated-260317v2.pdf&lt;/url&gt;&lt;/related-urls&gt;&lt;/urls&gt;&lt;/record&gt;&lt;/Cite&gt;&lt;Cite&gt;&lt;Author&gt;The Royal College of Pathologists of Australia&lt;/Author&gt;&lt;Year&gt;2015&lt;/Year&gt;&lt;RecNum&gt;7&lt;/RecNum&gt;&lt;record&gt;&lt;rec-number&gt;7&lt;/rec-number&gt;&lt;foreign-keys&gt;&lt;key app="EN" db-id="rwz09pa0y9ee9se9epe5f5xde52pzetxev5x" timestamp="1508890327"&gt;7&lt;/key&gt;&lt;/foreign-keys&gt;&lt;ref-type name="Web Page"&gt;12&lt;/ref-type&gt;&lt;contributors&gt;&lt;authors&gt;&lt;author&gt;The Royal College of Pathologists of Australia,&lt;/author&gt;&lt;/authors&gt;&lt;/contributors&gt;&lt;titles&gt;&lt;title&gt;RCPA manual: Haemophilia&lt;/title&gt;&lt;/titles&gt;&lt;volume&gt;2017&lt;/volume&gt;&lt;number&gt;29 September 2017&lt;/number&gt;&lt;dates&gt;&lt;year&gt;2015&lt;/year&gt;&lt;pub-dates&gt;&lt;date&gt;28 October 2016&lt;/date&gt;&lt;/pub-dates&gt;&lt;/dates&gt;&lt;urls&gt;&lt;related-urls&gt;&lt;url&gt;http://www.rcpa.edu.au/Library/Practising-Pathology/RCPA-Manual/Items/Clinical-Problems/H/Haemophilia&lt;/url&gt;&lt;/related-urls&gt;&lt;/urls&gt;&lt;/record&gt;&lt;/Cite&gt;&lt;/EndNote&gt;</w:instrText>
      </w:r>
      <w:r w:rsidR="00AD0FA1" w:rsidRPr="004A5756">
        <w:fldChar w:fldCharType="separate"/>
      </w:r>
      <w:r w:rsidR="004140FC" w:rsidRPr="004A5756">
        <w:rPr>
          <w:noProof/>
        </w:rPr>
        <w:t>(National Blood Authority 2016a; The Royal College of Pathologists of Australia 2015)</w:t>
      </w:r>
      <w:r w:rsidR="00AD0FA1" w:rsidRPr="004A5756">
        <w:fldChar w:fldCharType="end"/>
      </w:r>
    </w:p>
    <w:tbl>
      <w:tblPr>
        <w:tblStyle w:val="TableGrid"/>
        <w:tblW w:w="0" w:type="auto"/>
        <w:tblBorders>
          <w:insideV w:val="none" w:sz="0" w:space="0" w:color="auto"/>
        </w:tblBorders>
        <w:tblLook w:val="04A0" w:firstRow="1" w:lastRow="0" w:firstColumn="1" w:lastColumn="0" w:noHBand="0" w:noVBand="1"/>
        <w:tblCaption w:val="Table 4 Investigative services relevant to the proposed population (National Blood Authority 2016a; The Royal College of Pathologists of Australia 2015)"/>
      </w:tblPr>
      <w:tblGrid>
        <w:gridCol w:w="3510"/>
        <w:gridCol w:w="5732"/>
      </w:tblGrid>
      <w:tr w:rsidR="00B55520" w:rsidRPr="004A5756" w14:paraId="450CC0A4" w14:textId="77777777" w:rsidTr="000A2091">
        <w:trPr>
          <w:tblHeader/>
        </w:trPr>
        <w:tc>
          <w:tcPr>
            <w:tcW w:w="3510" w:type="dxa"/>
            <w:shd w:val="clear" w:color="auto" w:fill="D9D9D9" w:themeFill="background1" w:themeFillShade="D9"/>
            <w:vAlign w:val="center"/>
          </w:tcPr>
          <w:p w14:paraId="1ABE3063" w14:textId="4CA53447" w:rsidR="00B55520" w:rsidRPr="004A5756" w:rsidRDefault="00B55520" w:rsidP="00DE4B34">
            <w:pPr>
              <w:spacing w:before="60"/>
              <w:rPr>
                <w:rFonts w:ascii="Arial Narrow" w:hAnsi="Arial Narrow"/>
                <w:b/>
                <w:sz w:val="20"/>
                <w:szCs w:val="20"/>
              </w:rPr>
            </w:pPr>
            <w:r w:rsidRPr="004A5756">
              <w:rPr>
                <w:rFonts w:ascii="Arial Narrow" w:hAnsi="Arial Narrow"/>
                <w:b/>
                <w:sz w:val="20"/>
                <w:szCs w:val="20"/>
              </w:rPr>
              <w:t>Investigative tests</w:t>
            </w:r>
          </w:p>
        </w:tc>
        <w:tc>
          <w:tcPr>
            <w:tcW w:w="5732" w:type="dxa"/>
            <w:shd w:val="clear" w:color="auto" w:fill="D9D9D9" w:themeFill="background1" w:themeFillShade="D9"/>
            <w:vAlign w:val="center"/>
          </w:tcPr>
          <w:p w14:paraId="0D5305A8" w14:textId="295ABEEC" w:rsidR="00B55520" w:rsidRPr="004A5756" w:rsidRDefault="00AD0FA1" w:rsidP="00DE4B34">
            <w:pPr>
              <w:spacing w:before="60"/>
              <w:rPr>
                <w:rFonts w:ascii="Arial Narrow" w:hAnsi="Arial Narrow"/>
                <w:b/>
                <w:sz w:val="20"/>
                <w:szCs w:val="20"/>
              </w:rPr>
            </w:pPr>
            <w:r w:rsidRPr="004A5756">
              <w:rPr>
                <w:rFonts w:ascii="Arial Narrow" w:hAnsi="Arial Narrow"/>
                <w:b/>
                <w:sz w:val="20"/>
                <w:szCs w:val="20"/>
              </w:rPr>
              <w:t>Relevant notes</w:t>
            </w:r>
          </w:p>
        </w:tc>
      </w:tr>
      <w:tr w:rsidR="00B55520" w:rsidRPr="004A5756" w14:paraId="7746785D" w14:textId="77777777" w:rsidTr="001778AC">
        <w:trPr>
          <w:trHeight w:val="416"/>
        </w:trPr>
        <w:tc>
          <w:tcPr>
            <w:tcW w:w="3510" w:type="dxa"/>
            <w:vAlign w:val="center"/>
          </w:tcPr>
          <w:p w14:paraId="01E04DEF" w14:textId="77777777" w:rsidR="00B55520" w:rsidRPr="004A5756" w:rsidRDefault="00B55520" w:rsidP="00DE4B34">
            <w:pPr>
              <w:spacing w:before="60"/>
              <w:rPr>
                <w:rFonts w:ascii="Arial Narrow" w:hAnsi="Arial Narrow"/>
                <w:sz w:val="20"/>
                <w:szCs w:val="20"/>
                <w:u w:val="single"/>
              </w:rPr>
            </w:pPr>
            <w:r w:rsidRPr="004A5756">
              <w:rPr>
                <w:rFonts w:ascii="Arial Narrow" w:hAnsi="Arial Narrow"/>
                <w:sz w:val="20"/>
                <w:szCs w:val="20"/>
                <w:u w:val="single"/>
              </w:rPr>
              <w:t>Initial evaluation</w:t>
            </w:r>
          </w:p>
          <w:p w14:paraId="1A32F1BF" w14:textId="6DD0E4A4" w:rsidR="00B55520" w:rsidRPr="004A5756" w:rsidRDefault="00B55520" w:rsidP="004A5756">
            <w:pPr>
              <w:pStyle w:val="ListParagraph"/>
              <w:numPr>
                <w:ilvl w:val="0"/>
                <w:numId w:val="2"/>
              </w:numPr>
              <w:spacing w:before="60"/>
              <w:rPr>
                <w:rFonts w:ascii="Arial Narrow" w:hAnsi="Arial Narrow"/>
                <w:sz w:val="20"/>
                <w:szCs w:val="20"/>
              </w:rPr>
            </w:pPr>
            <w:r w:rsidRPr="004A5756">
              <w:rPr>
                <w:rFonts w:ascii="Arial Narrow" w:hAnsi="Arial Narrow"/>
                <w:sz w:val="20"/>
                <w:szCs w:val="20"/>
              </w:rPr>
              <w:t>Full blood count</w:t>
            </w:r>
          </w:p>
          <w:p w14:paraId="1C14873F" w14:textId="5861AD25" w:rsidR="00B55520" w:rsidRPr="004A5756" w:rsidRDefault="00B55520" w:rsidP="004A5756">
            <w:pPr>
              <w:pStyle w:val="ListParagraph"/>
              <w:numPr>
                <w:ilvl w:val="0"/>
                <w:numId w:val="2"/>
              </w:numPr>
              <w:spacing w:before="60"/>
              <w:rPr>
                <w:rFonts w:ascii="Arial Narrow" w:hAnsi="Arial Narrow"/>
                <w:sz w:val="20"/>
                <w:szCs w:val="20"/>
              </w:rPr>
            </w:pPr>
            <w:r w:rsidRPr="004A5756">
              <w:rPr>
                <w:rFonts w:ascii="Arial Narrow" w:hAnsi="Arial Narrow"/>
                <w:sz w:val="20"/>
                <w:szCs w:val="20"/>
              </w:rPr>
              <w:t>Activated partial thromboplastin time (APPT)</w:t>
            </w:r>
          </w:p>
          <w:p w14:paraId="2C2F2774" w14:textId="77777777" w:rsidR="00B55520" w:rsidRPr="004A5756" w:rsidRDefault="00B55520" w:rsidP="004A5756">
            <w:pPr>
              <w:pStyle w:val="ListParagraph"/>
              <w:numPr>
                <w:ilvl w:val="0"/>
                <w:numId w:val="2"/>
              </w:numPr>
              <w:spacing w:before="60"/>
              <w:rPr>
                <w:rFonts w:ascii="Arial Narrow" w:hAnsi="Arial Narrow"/>
                <w:sz w:val="20"/>
                <w:szCs w:val="20"/>
              </w:rPr>
            </w:pPr>
            <w:r w:rsidRPr="004A5756">
              <w:rPr>
                <w:rFonts w:ascii="Arial Narrow" w:hAnsi="Arial Narrow"/>
                <w:sz w:val="20"/>
                <w:szCs w:val="20"/>
              </w:rPr>
              <w:t>Prothrombin time</w:t>
            </w:r>
          </w:p>
          <w:p w14:paraId="696673DB" w14:textId="1E717306" w:rsidR="00B55520" w:rsidRPr="004A5756" w:rsidRDefault="00B55520" w:rsidP="004A5756">
            <w:pPr>
              <w:pStyle w:val="ListParagraph"/>
              <w:numPr>
                <w:ilvl w:val="0"/>
                <w:numId w:val="2"/>
              </w:numPr>
              <w:spacing w:before="60"/>
              <w:rPr>
                <w:rFonts w:ascii="Arial Narrow" w:hAnsi="Arial Narrow"/>
                <w:sz w:val="20"/>
                <w:szCs w:val="20"/>
              </w:rPr>
            </w:pPr>
            <w:r w:rsidRPr="004A5756">
              <w:rPr>
                <w:rFonts w:ascii="Arial Narrow" w:hAnsi="Arial Narrow"/>
                <w:sz w:val="20"/>
                <w:szCs w:val="20"/>
              </w:rPr>
              <w:t>International normalised ratio</w:t>
            </w:r>
          </w:p>
        </w:tc>
        <w:tc>
          <w:tcPr>
            <w:tcW w:w="5732" w:type="dxa"/>
            <w:vAlign w:val="center"/>
          </w:tcPr>
          <w:p w14:paraId="273ACEE3" w14:textId="2B8BBBB4" w:rsidR="00B55520" w:rsidRPr="004A5756" w:rsidRDefault="00B55520" w:rsidP="00DE4B34">
            <w:pPr>
              <w:spacing w:before="60"/>
              <w:rPr>
                <w:rFonts w:ascii="Arial Narrow" w:hAnsi="Arial Narrow"/>
                <w:sz w:val="20"/>
                <w:szCs w:val="20"/>
              </w:rPr>
            </w:pPr>
            <w:r w:rsidRPr="004A5756">
              <w:rPr>
                <w:rFonts w:ascii="Arial Narrow" w:hAnsi="Arial Narrow"/>
                <w:sz w:val="20"/>
                <w:szCs w:val="20"/>
              </w:rPr>
              <w:t>There is an isolated prolongation of the APTT in severe and moderate haemophilia; the test may not be sufficiently sensitive to detect those with mild haemophilia, with factor VIII or IX levels &gt;30</w:t>
            </w:r>
            <w:r w:rsidR="000E5F7E">
              <w:rPr>
                <w:rFonts w:ascii="Arial Narrow" w:hAnsi="Arial Narrow"/>
                <w:sz w:val="20"/>
                <w:szCs w:val="20"/>
              </w:rPr>
              <w:t>%</w:t>
            </w:r>
          </w:p>
          <w:p w14:paraId="1A778C1A" w14:textId="363C47CC" w:rsidR="00B55520" w:rsidRPr="004A5756" w:rsidRDefault="00B55520" w:rsidP="00DE4B34">
            <w:pPr>
              <w:spacing w:before="60"/>
              <w:rPr>
                <w:rFonts w:ascii="Arial Narrow" w:hAnsi="Arial Narrow"/>
                <w:sz w:val="20"/>
                <w:szCs w:val="20"/>
              </w:rPr>
            </w:pPr>
          </w:p>
        </w:tc>
      </w:tr>
      <w:tr w:rsidR="00B55520" w:rsidRPr="004A5756" w14:paraId="3E4B6A58" w14:textId="77777777" w:rsidTr="007A1531">
        <w:tc>
          <w:tcPr>
            <w:tcW w:w="3510" w:type="dxa"/>
            <w:vAlign w:val="center"/>
          </w:tcPr>
          <w:p w14:paraId="357C2EBD" w14:textId="77777777" w:rsidR="00B55520" w:rsidRPr="004A5756" w:rsidRDefault="00B55520" w:rsidP="00DE4B34">
            <w:pPr>
              <w:spacing w:before="60"/>
              <w:rPr>
                <w:rFonts w:ascii="Arial Narrow" w:hAnsi="Arial Narrow"/>
                <w:sz w:val="20"/>
                <w:szCs w:val="20"/>
                <w:u w:val="single"/>
              </w:rPr>
            </w:pPr>
            <w:r w:rsidRPr="004A5756">
              <w:rPr>
                <w:rFonts w:ascii="Arial Narrow" w:hAnsi="Arial Narrow"/>
                <w:sz w:val="20"/>
                <w:szCs w:val="20"/>
                <w:u w:val="single"/>
              </w:rPr>
              <w:t>Diagnosis of haemophilia A</w:t>
            </w:r>
          </w:p>
          <w:p w14:paraId="6DCA8442" w14:textId="33307EBD" w:rsidR="00B55520" w:rsidRPr="004A5756" w:rsidRDefault="00B55520" w:rsidP="004A5756">
            <w:pPr>
              <w:pStyle w:val="ListParagraph"/>
              <w:numPr>
                <w:ilvl w:val="0"/>
                <w:numId w:val="3"/>
              </w:numPr>
              <w:spacing w:before="60"/>
              <w:rPr>
                <w:rFonts w:ascii="Arial Narrow" w:hAnsi="Arial Narrow"/>
                <w:sz w:val="20"/>
                <w:szCs w:val="20"/>
              </w:rPr>
            </w:pPr>
            <w:r w:rsidRPr="004A5756">
              <w:rPr>
                <w:rFonts w:ascii="Arial Narrow" w:hAnsi="Arial Narrow"/>
                <w:sz w:val="20"/>
                <w:szCs w:val="20"/>
              </w:rPr>
              <w:t>Plasma (factor VIII) assay</w:t>
            </w:r>
          </w:p>
          <w:p w14:paraId="29339D25" w14:textId="074B6128" w:rsidR="00B55520" w:rsidRPr="004A5756" w:rsidRDefault="00B55520" w:rsidP="004A5756">
            <w:pPr>
              <w:pStyle w:val="ListParagraph"/>
              <w:numPr>
                <w:ilvl w:val="0"/>
                <w:numId w:val="3"/>
              </w:numPr>
              <w:spacing w:before="60"/>
              <w:rPr>
                <w:rFonts w:ascii="Arial Narrow" w:hAnsi="Arial Narrow"/>
                <w:sz w:val="20"/>
                <w:szCs w:val="20"/>
              </w:rPr>
            </w:pPr>
            <w:r w:rsidRPr="004A5756">
              <w:rPr>
                <w:rFonts w:ascii="Arial Narrow" w:hAnsi="Arial Narrow"/>
                <w:sz w:val="20"/>
                <w:szCs w:val="20"/>
              </w:rPr>
              <w:t>von Willebrand factor antigen</w:t>
            </w:r>
          </w:p>
        </w:tc>
        <w:tc>
          <w:tcPr>
            <w:tcW w:w="5732" w:type="dxa"/>
            <w:vAlign w:val="center"/>
          </w:tcPr>
          <w:p w14:paraId="3C204D8A" w14:textId="2F0A3F70" w:rsidR="00B55520" w:rsidRPr="004A5756" w:rsidRDefault="00B55520" w:rsidP="00DE4B34">
            <w:pPr>
              <w:spacing w:before="60"/>
              <w:rPr>
                <w:rFonts w:ascii="Arial Narrow" w:hAnsi="Arial Narrow"/>
                <w:sz w:val="20"/>
                <w:szCs w:val="20"/>
              </w:rPr>
            </w:pPr>
            <w:r w:rsidRPr="004A5756">
              <w:rPr>
                <w:rFonts w:ascii="Arial Narrow" w:hAnsi="Arial Narrow"/>
                <w:sz w:val="20"/>
                <w:szCs w:val="20"/>
              </w:rPr>
              <w:t xml:space="preserve">Normal von Willebrand factor levels distinguish mild </w:t>
            </w:r>
            <w:r w:rsidR="00DF1C05" w:rsidRPr="004A5756">
              <w:rPr>
                <w:rFonts w:ascii="Arial Narrow" w:hAnsi="Arial Narrow"/>
                <w:sz w:val="20"/>
                <w:szCs w:val="20"/>
              </w:rPr>
              <w:t>haemophilia</w:t>
            </w:r>
            <w:r w:rsidRPr="004A5756">
              <w:rPr>
                <w:rFonts w:ascii="Arial Narrow" w:hAnsi="Arial Narrow"/>
                <w:sz w:val="20"/>
                <w:szCs w:val="20"/>
              </w:rPr>
              <w:t xml:space="preserve"> from von Willebrands disease</w:t>
            </w:r>
          </w:p>
        </w:tc>
      </w:tr>
      <w:tr w:rsidR="00B55520" w:rsidRPr="004A5756" w14:paraId="7EC1977D" w14:textId="77777777" w:rsidTr="007A1531">
        <w:tc>
          <w:tcPr>
            <w:tcW w:w="3510" w:type="dxa"/>
            <w:vAlign w:val="center"/>
          </w:tcPr>
          <w:p w14:paraId="0185B230" w14:textId="01119416" w:rsidR="00B55520" w:rsidRPr="004A5756" w:rsidRDefault="00B55520" w:rsidP="00DE4B34">
            <w:pPr>
              <w:spacing w:before="60"/>
              <w:rPr>
                <w:rFonts w:ascii="Arial Narrow" w:hAnsi="Arial Narrow"/>
                <w:sz w:val="20"/>
                <w:szCs w:val="20"/>
                <w:u w:val="single"/>
              </w:rPr>
            </w:pPr>
            <w:r w:rsidRPr="004A5756">
              <w:rPr>
                <w:rFonts w:ascii="Arial Narrow" w:hAnsi="Arial Narrow"/>
                <w:sz w:val="20"/>
                <w:szCs w:val="20"/>
                <w:u w:val="single"/>
              </w:rPr>
              <w:t>Development of inhibitors</w:t>
            </w:r>
          </w:p>
          <w:p w14:paraId="2C62FE03" w14:textId="3B54994F" w:rsidR="00B55520" w:rsidRPr="004A5756" w:rsidRDefault="00B55520" w:rsidP="004A5756">
            <w:pPr>
              <w:pStyle w:val="ListParagraph"/>
              <w:numPr>
                <w:ilvl w:val="0"/>
                <w:numId w:val="4"/>
              </w:numPr>
              <w:spacing w:before="60"/>
              <w:rPr>
                <w:rFonts w:ascii="Arial Narrow" w:hAnsi="Arial Narrow"/>
                <w:sz w:val="20"/>
                <w:szCs w:val="20"/>
              </w:rPr>
            </w:pPr>
            <w:r w:rsidRPr="004A5756">
              <w:rPr>
                <w:rFonts w:ascii="Arial Narrow" w:hAnsi="Arial Narrow"/>
                <w:sz w:val="20"/>
                <w:szCs w:val="20"/>
              </w:rPr>
              <w:t>Coagulation factor inhibitors test</w:t>
            </w:r>
          </w:p>
          <w:p w14:paraId="7D0ABA65" w14:textId="7F413DCB" w:rsidR="00B55520" w:rsidRPr="004A5756" w:rsidRDefault="00B55520" w:rsidP="00DE4B34">
            <w:pPr>
              <w:spacing w:before="60"/>
              <w:rPr>
                <w:rFonts w:ascii="Arial Narrow" w:hAnsi="Arial Narrow"/>
                <w:sz w:val="20"/>
                <w:szCs w:val="20"/>
              </w:rPr>
            </w:pPr>
          </w:p>
        </w:tc>
        <w:tc>
          <w:tcPr>
            <w:tcW w:w="5732" w:type="dxa"/>
            <w:vAlign w:val="center"/>
          </w:tcPr>
          <w:p w14:paraId="71A22FA3" w14:textId="77777777" w:rsidR="007A1531" w:rsidRPr="004A5756" w:rsidRDefault="007A1531" w:rsidP="00DE4B34">
            <w:pPr>
              <w:spacing w:before="60"/>
              <w:rPr>
                <w:rFonts w:ascii="Arial Narrow" w:hAnsi="Arial Narrow"/>
                <w:sz w:val="20"/>
                <w:szCs w:val="20"/>
              </w:rPr>
            </w:pPr>
          </w:p>
          <w:p w14:paraId="11FC1900" w14:textId="2AACAB27" w:rsidR="00B55520" w:rsidRPr="004A5756" w:rsidRDefault="00B55520" w:rsidP="00DE4B34">
            <w:pPr>
              <w:spacing w:before="60"/>
              <w:rPr>
                <w:rFonts w:ascii="Arial Narrow" w:hAnsi="Arial Narrow"/>
                <w:sz w:val="20"/>
                <w:szCs w:val="20"/>
              </w:rPr>
            </w:pPr>
            <w:r w:rsidRPr="004A5756">
              <w:rPr>
                <w:rFonts w:ascii="Arial Narrow" w:hAnsi="Arial Narrow"/>
                <w:sz w:val="20"/>
                <w:szCs w:val="20"/>
              </w:rPr>
              <w:t>Test based on the inability of normal plasm</w:t>
            </w:r>
            <w:r w:rsidR="008D5D4A" w:rsidRPr="004A5756">
              <w:rPr>
                <w:rFonts w:ascii="Arial Narrow" w:hAnsi="Arial Narrow"/>
                <w:sz w:val="20"/>
                <w:szCs w:val="20"/>
              </w:rPr>
              <w:t>a</w:t>
            </w:r>
            <w:r w:rsidRPr="004A5756">
              <w:rPr>
                <w:rFonts w:ascii="Arial Narrow" w:hAnsi="Arial Narrow"/>
                <w:sz w:val="20"/>
                <w:szCs w:val="20"/>
              </w:rPr>
              <w:t xml:space="preserve"> to correct prolonged APTT (or PT). Further testing is required for quantifying inhibitor levels</w:t>
            </w:r>
          </w:p>
          <w:p w14:paraId="1F9DAB4E" w14:textId="4BFE3EE9" w:rsidR="00B55520" w:rsidRPr="004A5756" w:rsidRDefault="00B55520" w:rsidP="00DE4B34">
            <w:pPr>
              <w:spacing w:before="60"/>
              <w:rPr>
                <w:rFonts w:ascii="Arial Narrow" w:hAnsi="Arial Narrow"/>
                <w:sz w:val="20"/>
                <w:szCs w:val="20"/>
              </w:rPr>
            </w:pPr>
          </w:p>
        </w:tc>
      </w:tr>
      <w:tr w:rsidR="00B55520" w:rsidRPr="004A5756" w14:paraId="4BF7AC00" w14:textId="77777777" w:rsidTr="007A1531">
        <w:tc>
          <w:tcPr>
            <w:tcW w:w="3510" w:type="dxa"/>
            <w:vAlign w:val="center"/>
          </w:tcPr>
          <w:p w14:paraId="2D73E8C4" w14:textId="52B57700" w:rsidR="00B55520" w:rsidRPr="004A5756" w:rsidRDefault="00B55520" w:rsidP="00DE4B34">
            <w:pPr>
              <w:spacing w:before="60"/>
              <w:rPr>
                <w:rFonts w:ascii="Arial Narrow" w:hAnsi="Arial Narrow"/>
                <w:sz w:val="20"/>
                <w:szCs w:val="20"/>
                <w:u w:val="single"/>
              </w:rPr>
            </w:pPr>
            <w:r w:rsidRPr="004A5756">
              <w:rPr>
                <w:rFonts w:ascii="Arial Narrow" w:hAnsi="Arial Narrow"/>
                <w:sz w:val="20"/>
                <w:szCs w:val="20"/>
                <w:u w:val="single"/>
              </w:rPr>
              <w:t>Quantification of inhibitor</w:t>
            </w:r>
          </w:p>
          <w:p w14:paraId="6FEE403F" w14:textId="58FFC2DA" w:rsidR="00B55520" w:rsidRPr="004A5756" w:rsidRDefault="00B55520" w:rsidP="004A5756">
            <w:pPr>
              <w:pStyle w:val="ListParagraph"/>
              <w:numPr>
                <w:ilvl w:val="0"/>
                <w:numId w:val="4"/>
              </w:numPr>
              <w:spacing w:before="60"/>
              <w:rPr>
                <w:rFonts w:ascii="Arial Narrow" w:hAnsi="Arial Narrow"/>
                <w:sz w:val="20"/>
                <w:szCs w:val="20"/>
              </w:rPr>
            </w:pPr>
            <w:r w:rsidRPr="004A5756">
              <w:rPr>
                <w:rFonts w:ascii="Arial Narrow" w:hAnsi="Arial Narrow"/>
                <w:sz w:val="20"/>
                <w:szCs w:val="20"/>
              </w:rPr>
              <w:t>Bethesda assay</w:t>
            </w:r>
          </w:p>
        </w:tc>
        <w:tc>
          <w:tcPr>
            <w:tcW w:w="5732" w:type="dxa"/>
            <w:vAlign w:val="center"/>
          </w:tcPr>
          <w:p w14:paraId="240BED51" w14:textId="16CA037B" w:rsidR="007A1531" w:rsidRPr="004A5756" w:rsidRDefault="00B55520" w:rsidP="00DE4B34">
            <w:pPr>
              <w:spacing w:before="60"/>
              <w:rPr>
                <w:rFonts w:ascii="Arial Narrow" w:hAnsi="Arial Narrow"/>
                <w:sz w:val="20"/>
                <w:szCs w:val="20"/>
              </w:rPr>
            </w:pPr>
            <w:r w:rsidRPr="004A5756">
              <w:rPr>
                <w:rFonts w:ascii="Arial Narrow" w:hAnsi="Arial Narrow"/>
                <w:sz w:val="20"/>
                <w:szCs w:val="20"/>
              </w:rPr>
              <w:t>Inhibitors may be low or high titre;</w:t>
            </w:r>
            <w:r w:rsidR="007A1531" w:rsidRPr="004A5756">
              <w:rPr>
                <w:rFonts w:ascii="Arial Narrow" w:hAnsi="Arial Narrow"/>
                <w:sz w:val="20"/>
                <w:szCs w:val="20"/>
              </w:rPr>
              <w:t xml:space="preserve"> A low-responding inhibitor is defined as an inhibitor level that is persistently below 5 Bethesda units</w:t>
            </w:r>
          </w:p>
          <w:p w14:paraId="2223A182" w14:textId="3D2ECAF0" w:rsidR="00B55520" w:rsidRPr="004A5756" w:rsidRDefault="007A1531" w:rsidP="000E5F7E">
            <w:pPr>
              <w:spacing w:before="60"/>
              <w:rPr>
                <w:rFonts w:ascii="Arial Narrow" w:hAnsi="Arial Narrow"/>
                <w:sz w:val="20"/>
                <w:szCs w:val="20"/>
              </w:rPr>
            </w:pPr>
            <w:r w:rsidRPr="004A5756">
              <w:rPr>
                <w:rFonts w:ascii="Arial Narrow" w:hAnsi="Arial Narrow"/>
                <w:sz w:val="20"/>
                <w:szCs w:val="20"/>
              </w:rPr>
              <w:t>(BU)/ml, whereas a high-responding inhibitor is defined by a level of at least 5 BU/ml</w:t>
            </w:r>
          </w:p>
        </w:tc>
      </w:tr>
      <w:tr w:rsidR="007A1531" w:rsidRPr="004A5756" w14:paraId="362AAD25" w14:textId="77777777" w:rsidTr="007A1531">
        <w:tc>
          <w:tcPr>
            <w:tcW w:w="3510" w:type="dxa"/>
            <w:vAlign w:val="center"/>
          </w:tcPr>
          <w:p w14:paraId="0C9D4C02" w14:textId="083F2892" w:rsidR="007A1531" w:rsidRPr="004A5756" w:rsidRDefault="007A1531" w:rsidP="00DE4B34">
            <w:pPr>
              <w:spacing w:before="60"/>
              <w:rPr>
                <w:rFonts w:ascii="Arial Narrow" w:hAnsi="Arial Narrow"/>
                <w:sz w:val="20"/>
                <w:szCs w:val="20"/>
                <w:u w:val="single"/>
              </w:rPr>
            </w:pPr>
            <w:r w:rsidRPr="004A5756">
              <w:rPr>
                <w:rFonts w:ascii="Arial Narrow" w:hAnsi="Arial Narrow"/>
                <w:sz w:val="20"/>
                <w:szCs w:val="20"/>
                <w:u w:val="single"/>
              </w:rPr>
              <w:t>Carrier diagnosis</w:t>
            </w:r>
          </w:p>
          <w:p w14:paraId="2AF8075C" w14:textId="77777777" w:rsidR="007A1531" w:rsidRPr="004A5756" w:rsidRDefault="007A1531" w:rsidP="004A5756">
            <w:pPr>
              <w:pStyle w:val="ListParagraph"/>
              <w:numPr>
                <w:ilvl w:val="0"/>
                <w:numId w:val="4"/>
              </w:numPr>
              <w:spacing w:before="60"/>
              <w:rPr>
                <w:rFonts w:ascii="Arial Narrow" w:hAnsi="Arial Narrow"/>
                <w:sz w:val="20"/>
                <w:szCs w:val="20"/>
              </w:rPr>
            </w:pPr>
            <w:r w:rsidRPr="004A5756">
              <w:rPr>
                <w:rFonts w:ascii="Arial Narrow" w:hAnsi="Arial Narrow"/>
                <w:sz w:val="20"/>
                <w:szCs w:val="20"/>
              </w:rPr>
              <w:t>Patient and family history</w:t>
            </w:r>
          </w:p>
          <w:p w14:paraId="6375870F" w14:textId="77777777" w:rsidR="007A1531" w:rsidRPr="004A5756" w:rsidRDefault="007A1531" w:rsidP="004A5756">
            <w:pPr>
              <w:pStyle w:val="ListParagraph"/>
              <w:numPr>
                <w:ilvl w:val="0"/>
                <w:numId w:val="4"/>
              </w:numPr>
              <w:spacing w:before="60"/>
              <w:rPr>
                <w:rFonts w:ascii="Arial Narrow" w:hAnsi="Arial Narrow"/>
                <w:sz w:val="20"/>
                <w:szCs w:val="20"/>
              </w:rPr>
            </w:pPr>
            <w:r w:rsidRPr="004A5756">
              <w:rPr>
                <w:rFonts w:ascii="Arial Narrow" w:hAnsi="Arial Narrow"/>
                <w:sz w:val="20"/>
                <w:szCs w:val="20"/>
              </w:rPr>
              <w:t>Plasma (factor VIII) assay</w:t>
            </w:r>
          </w:p>
          <w:p w14:paraId="42F8F889" w14:textId="3E4BA35E" w:rsidR="007A1531" w:rsidRPr="004A5756" w:rsidRDefault="007A1531" w:rsidP="004A5756">
            <w:pPr>
              <w:pStyle w:val="ListParagraph"/>
              <w:numPr>
                <w:ilvl w:val="0"/>
                <w:numId w:val="4"/>
              </w:numPr>
              <w:spacing w:before="60"/>
              <w:rPr>
                <w:rFonts w:ascii="Arial Narrow" w:hAnsi="Arial Narrow"/>
                <w:sz w:val="20"/>
                <w:szCs w:val="20"/>
              </w:rPr>
            </w:pPr>
            <w:r w:rsidRPr="004A5756">
              <w:rPr>
                <w:rFonts w:ascii="Arial Narrow" w:hAnsi="Arial Narrow"/>
                <w:sz w:val="20"/>
                <w:szCs w:val="20"/>
              </w:rPr>
              <w:t>von Willebrand factor antigen</w:t>
            </w:r>
          </w:p>
          <w:p w14:paraId="7FA1CEF4" w14:textId="646370EA" w:rsidR="007A1531" w:rsidRPr="004A5756" w:rsidRDefault="007A1531" w:rsidP="004A5756">
            <w:pPr>
              <w:pStyle w:val="ListParagraph"/>
              <w:numPr>
                <w:ilvl w:val="0"/>
                <w:numId w:val="4"/>
              </w:numPr>
              <w:spacing w:before="60"/>
              <w:rPr>
                <w:rFonts w:ascii="Arial Narrow" w:hAnsi="Arial Narrow"/>
                <w:sz w:val="20"/>
                <w:szCs w:val="20"/>
                <w:u w:val="single"/>
              </w:rPr>
            </w:pPr>
            <w:r w:rsidRPr="004A5756">
              <w:rPr>
                <w:rFonts w:ascii="Arial Narrow" w:hAnsi="Arial Narrow"/>
                <w:sz w:val="20"/>
                <w:szCs w:val="20"/>
              </w:rPr>
              <w:t>DNA analysis</w:t>
            </w:r>
          </w:p>
        </w:tc>
        <w:tc>
          <w:tcPr>
            <w:tcW w:w="5732" w:type="dxa"/>
            <w:vAlign w:val="center"/>
          </w:tcPr>
          <w:p w14:paraId="7D8D70BB" w14:textId="472C35E0" w:rsidR="007A1531" w:rsidRPr="004A5756" w:rsidRDefault="007A1531" w:rsidP="000E5F7E">
            <w:pPr>
              <w:spacing w:before="60"/>
              <w:rPr>
                <w:rFonts w:ascii="Arial Narrow" w:hAnsi="Arial Narrow"/>
                <w:sz w:val="20"/>
                <w:szCs w:val="20"/>
              </w:rPr>
            </w:pPr>
            <w:r w:rsidRPr="004A5756">
              <w:rPr>
                <w:rFonts w:ascii="Arial Narrow" w:hAnsi="Arial Narrow"/>
                <w:sz w:val="20"/>
                <w:szCs w:val="20"/>
              </w:rPr>
              <w:t>For carriers the ratio of factor VIII:</w:t>
            </w:r>
            <w:r w:rsidR="00AD0FA1" w:rsidRPr="004A5756">
              <w:rPr>
                <w:rFonts w:ascii="Arial Narrow" w:hAnsi="Arial Narrow"/>
                <w:sz w:val="20"/>
                <w:szCs w:val="20"/>
              </w:rPr>
              <w:t xml:space="preserve"> von Willebrand factor </w:t>
            </w:r>
            <w:r w:rsidR="009E0307" w:rsidRPr="004A5756">
              <w:rPr>
                <w:rFonts w:ascii="Arial Narrow" w:hAnsi="Arial Narrow"/>
                <w:sz w:val="20"/>
                <w:szCs w:val="20"/>
              </w:rPr>
              <w:t>antigen is</w:t>
            </w:r>
            <w:r w:rsidRPr="004A5756">
              <w:rPr>
                <w:rFonts w:ascii="Arial Narrow" w:hAnsi="Arial Narrow"/>
                <w:sz w:val="20"/>
                <w:szCs w:val="20"/>
              </w:rPr>
              <w:t xml:space="preserve"> often reduced (&lt;0.7). Some carriers have completely normal coagulation results, and the possibility of a carrier state cannot be excluded on these assays. Molecular genetics testing increases the detection rate, but a definitive answer cannot always be obtained</w:t>
            </w:r>
          </w:p>
        </w:tc>
      </w:tr>
    </w:tbl>
    <w:p w14:paraId="46977FCD" w14:textId="77777777" w:rsidR="007A1531" w:rsidRPr="007A1531" w:rsidRDefault="007A1531" w:rsidP="004A5756">
      <w:pPr>
        <w:pStyle w:val="Heading4"/>
      </w:pPr>
      <w:r w:rsidRPr="007A1531">
        <w:t>Inhibitor status</w:t>
      </w:r>
    </w:p>
    <w:p w14:paraId="0F57D24B" w14:textId="7B4D3C4A" w:rsidR="00B55520" w:rsidRDefault="007A1531" w:rsidP="00953ED7">
      <w:r>
        <w:t xml:space="preserve">In patients with inhibitors a low </w:t>
      </w:r>
      <w:r w:rsidRPr="007A1531">
        <w:t xml:space="preserve">titre </w:t>
      </w:r>
      <w:r>
        <w:t xml:space="preserve">does not </w:t>
      </w:r>
      <w:r w:rsidRPr="007A1531">
        <w:t xml:space="preserve">cause major therapeutic problems and may become undetectable over time, even with continued </w:t>
      </w:r>
      <w:r w:rsidR="002A22F9">
        <w:t>FVIII therapy</w:t>
      </w:r>
      <w:r>
        <w:t xml:space="preserve"> </w:t>
      </w:r>
      <w:r w:rsidR="00AD0FA1">
        <w:fldChar w:fldCharType="begin"/>
      </w:r>
      <w:r w:rsidR="00DF30B8">
        <w:instrText xml:space="preserve"> ADDIN EN.CITE &lt;EndNote&gt;&lt;Cite&gt;&lt;Author&gt;The Royal College of Pathologists of Australia&lt;/Author&gt;&lt;Year&gt;2015&lt;/Year&gt;&lt;RecNum&gt;7&lt;/RecNum&gt;&lt;DisplayText&gt;(The Royal College of Pathologists of Australia 2015)&lt;/DisplayText&gt;&lt;record&gt;&lt;rec-number&gt;7&lt;/rec-number&gt;&lt;foreign-keys&gt;&lt;key app="EN" db-id="rwz09pa0y9ee9se9epe5f5xde52pzetxev5x" timestamp="1508890327"&gt;7&lt;/key&gt;&lt;/foreign-keys&gt;&lt;ref-type name="Web Page"&gt;12&lt;/ref-type&gt;&lt;contributors&gt;&lt;authors&gt;&lt;author&gt;The Royal College of Pathologists of Australia,&lt;/author&gt;&lt;/authors&gt;&lt;/contributors&gt;&lt;titles&gt;&lt;title&gt;RCPA manual: Haemophilia&lt;/title&gt;&lt;/titles&gt;&lt;volume&gt;2017&lt;/volume&gt;&lt;number&gt;29 September 2017&lt;/number&gt;&lt;dates&gt;&lt;year&gt;2015&lt;/year&gt;&lt;pub-dates&gt;&lt;date&gt;28 October 2016&lt;/date&gt;&lt;/pub-dates&gt;&lt;/dates&gt;&lt;urls&gt;&lt;related-urls&gt;&lt;url&gt;http://www.rcpa.edu.au/Library/Practising-Pathology/RCPA-Manual/Items/Clinical-Problems/H/Haemophilia&lt;/url&gt;&lt;/related-urls&gt;&lt;/urls&gt;&lt;/record&gt;&lt;/Cite&gt;&lt;/EndNote&gt;</w:instrText>
      </w:r>
      <w:r w:rsidR="00AD0FA1">
        <w:fldChar w:fldCharType="separate"/>
      </w:r>
      <w:r w:rsidR="00AD0FA1">
        <w:rPr>
          <w:noProof/>
        </w:rPr>
        <w:t>(The Royal College of Pathologists of Australia 2015)</w:t>
      </w:r>
      <w:r w:rsidR="00AD0FA1">
        <w:fldChar w:fldCharType="end"/>
      </w:r>
      <w:r w:rsidRPr="007A1531">
        <w:t>. High</w:t>
      </w:r>
      <w:r w:rsidR="003E173E">
        <w:t>-</w:t>
      </w:r>
      <w:r w:rsidRPr="007A1531">
        <w:t>titre inhibitors po</w:t>
      </w:r>
      <w:r>
        <w:t xml:space="preserve">se a major therapeutic problem. The </w:t>
      </w:r>
      <w:r w:rsidR="00463AAE">
        <w:t xml:space="preserve">National Blood Authority </w:t>
      </w:r>
      <w:r>
        <w:t xml:space="preserve">guidelines on the management of haemophilia provide the following guidance on screening for inhibitors </w:t>
      </w:r>
      <w:r w:rsidR="00AD0FA1">
        <w:fldChar w:fldCharType="begin"/>
      </w:r>
      <w:r w:rsidR="00DF30B8">
        <w:instrText xml:space="preserve"> ADDIN EN.CITE &lt;EndNote&gt;&lt;Cite&gt;&lt;Author&gt;National Blood Authority&lt;/Author&gt;&lt;Year&gt;2016&lt;/Year&gt;&lt;RecNum&gt;1&lt;/RecNum&gt;&lt;DisplayText&gt;(National Blood Authority 2016a)&lt;/DisplayText&gt;&lt;record&gt;&lt;rec-number&gt;1&lt;/rec-number&gt;&lt;foreign-keys&gt;&lt;key app="EN" db-id="rwz09pa0y9ee9se9epe5f5xde52pzetxev5x" timestamp="1508890326"&gt;1&lt;/key&gt;&lt;/foreign-keys&gt;&lt;ref-type name="Web Page"&gt;12&lt;/ref-type&gt;&lt;contributors&gt;&lt;authors&gt;&lt;author&gt;National Blood Authority,&lt;/author&gt;&lt;/authors&gt;&lt;/contributors&gt;&lt;titles&gt;&lt;title&gt;Guidelines for the management of haemophilia in Australia&lt;/title&gt;&lt;/titles&gt;&lt;volume&gt;2017&lt;/volume&gt;&lt;number&gt;29 September &lt;/number&gt;&lt;dates&gt;&lt;year&gt;2016&lt;/year&gt;&lt;pub-dates&gt;&lt;date&gt;2016&lt;/date&gt;&lt;/pub-dates&gt;&lt;/dates&gt;&lt;urls&gt;&lt;related-urls&gt;&lt;url&gt;https://www.blood.gov.au/system/files/HaemophiliaGuidelines-interactive-updated-260317v2.pdf&lt;/url&gt;&lt;/related-urls&gt;&lt;/urls&gt;&lt;/record&gt;&lt;/Cite&gt;&lt;/EndNote&gt;</w:instrText>
      </w:r>
      <w:r w:rsidR="00AD0FA1">
        <w:fldChar w:fldCharType="separate"/>
      </w:r>
      <w:r w:rsidR="004140FC">
        <w:rPr>
          <w:noProof/>
        </w:rPr>
        <w:t>(National Blood Authority 2016a)</w:t>
      </w:r>
      <w:r w:rsidR="00AD0FA1">
        <w:fldChar w:fldCharType="end"/>
      </w:r>
      <w:r>
        <w:t>:</w:t>
      </w:r>
    </w:p>
    <w:p w14:paraId="7D238C26" w14:textId="4E81F108" w:rsidR="00B55520" w:rsidRPr="007A1531" w:rsidRDefault="007A1531" w:rsidP="004A5756">
      <w:pPr>
        <w:pStyle w:val="ListParagraph"/>
        <w:numPr>
          <w:ilvl w:val="0"/>
          <w:numId w:val="5"/>
        </w:numPr>
      </w:pPr>
      <w:r w:rsidRPr="007A1531">
        <w:t>“</w:t>
      </w:r>
      <w:r w:rsidR="00B55520" w:rsidRPr="007A1531">
        <w:t>For children, inhibitors should be screened once every 5 exposure days until 20 exposure days, then</w:t>
      </w:r>
      <w:r w:rsidRPr="007A1531">
        <w:t xml:space="preserve"> </w:t>
      </w:r>
      <w:r w:rsidR="00B55520" w:rsidRPr="007A1531">
        <w:t>every 10 exposure days between 21 and 50 exposure days, and at least two times a year until 150</w:t>
      </w:r>
      <w:r w:rsidRPr="007A1531">
        <w:t xml:space="preserve"> </w:t>
      </w:r>
      <w:r w:rsidR="00B55520" w:rsidRPr="007A1531">
        <w:t>exposure days</w:t>
      </w:r>
      <w:r>
        <w:t>.</w:t>
      </w:r>
    </w:p>
    <w:p w14:paraId="67C98B9D" w14:textId="317C7D19" w:rsidR="00B55520" w:rsidRPr="007A1531" w:rsidRDefault="00B55520" w:rsidP="004A5756">
      <w:pPr>
        <w:pStyle w:val="ListParagraph"/>
        <w:numPr>
          <w:ilvl w:val="0"/>
          <w:numId w:val="5"/>
        </w:numPr>
      </w:pPr>
      <w:r w:rsidRPr="007A1531">
        <w:t>For adults with more than 150 exposure days, apart from a 6–12</w:t>
      </w:r>
      <w:r w:rsidR="007A1531" w:rsidRPr="007A1531">
        <w:t xml:space="preserve"> monthly review, any failure to </w:t>
      </w:r>
      <w:r w:rsidRPr="007A1531">
        <w:t>respond to adequate factor concentrate replacement therapy in a previously responsive patient is an</w:t>
      </w:r>
      <w:r w:rsidR="007A1531" w:rsidRPr="007A1531">
        <w:t xml:space="preserve"> </w:t>
      </w:r>
      <w:r w:rsidRPr="007A1531">
        <w:t>indication to assess for an inhibitor.</w:t>
      </w:r>
    </w:p>
    <w:p w14:paraId="6119E5A4" w14:textId="3B8CB149" w:rsidR="00B55520" w:rsidRPr="007A1531" w:rsidRDefault="00B55520" w:rsidP="004A5756">
      <w:pPr>
        <w:pStyle w:val="ListParagraph"/>
        <w:numPr>
          <w:ilvl w:val="0"/>
          <w:numId w:val="5"/>
        </w:numPr>
      </w:pPr>
      <w:r w:rsidRPr="007A1531">
        <w:t>Inhibitors should also be assessed in all patients who have been intensively treated for more than</w:t>
      </w:r>
      <w:r w:rsidR="007A1531" w:rsidRPr="007A1531">
        <w:t xml:space="preserve"> </w:t>
      </w:r>
      <w:r w:rsidRPr="007A1531">
        <w:t>5 days, within 4 weeks of the last infusion.</w:t>
      </w:r>
    </w:p>
    <w:p w14:paraId="521A62B1" w14:textId="6A089459" w:rsidR="00B55520" w:rsidRDefault="00B55520" w:rsidP="004A5756">
      <w:pPr>
        <w:pStyle w:val="ListParagraph"/>
        <w:numPr>
          <w:ilvl w:val="0"/>
          <w:numId w:val="5"/>
        </w:numPr>
      </w:pPr>
      <w:r w:rsidRPr="007A1531">
        <w:t>Inhibitors should also be assessed before surgery or if recovery assays are not as expected, and</w:t>
      </w:r>
      <w:r w:rsidR="007A1531" w:rsidRPr="007A1531">
        <w:t xml:space="preserve"> </w:t>
      </w:r>
      <w:r w:rsidRPr="007A1531">
        <w:t>when clinical response to treatment of bleeding is suboptimal in the postoperative period</w:t>
      </w:r>
      <w:r w:rsidR="007A1531">
        <w:t>.</w:t>
      </w:r>
      <w:r w:rsidR="007A1531" w:rsidRPr="007A1531">
        <w:t>”</w:t>
      </w:r>
    </w:p>
    <w:p w14:paraId="2AFB68B8" w14:textId="3F488DA3" w:rsidR="00073E60" w:rsidRPr="007A1531" w:rsidRDefault="00073E60" w:rsidP="00073E60">
      <w:pPr>
        <w:pStyle w:val="ListParagraph"/>
        <w:numPr>
          <w:ilvl w:val="0"/>
          <w:numId w:val="5"/>
        </w:numPr>
      </w:pPr>
      <w:r>
        <w:t>A</w:t>
      </w:r>
      <w:r w:rsidRPr="00714ACB">
        <w:t xml:space="preserve">ll patients </w:t>
      </w:r>
      <w:r>
        <w:t xml:space="preserve">newly </w:t>
      </w:r>
      <w:r w:rsidRPr="00714ACB">
        <w:t xml:space="preserve">diagnosed with an inhibitor should be referred to the </w:t>
      </w:r>
      <w:r w:rsidRPr="000E4BBB">
        <w:t>Australian Haemophilia Centre Directors’ Organisation</w:t>
      </w:r>
      <w:r w:rsidRPr="00714ACB">
        <w:t xml:space="preserve"> Tolerisation Committee for discussion (PP6.4 pg. 10</w:t>
      </w:r>
      <w:r>
        <w:t>, National Blood Authority 2016a</w:t>
      </w:r>
      <w:r w:rsidRPr="00714ACB">
        <w:t>).</w:t>
      </w:r>
    </w:p>
    <w:p w14:paraId="017F93B2" w14:textId="76C7330C" w:rsidR="009E0307" w:rsidRDefault="007A1531" w:rsidP="009E0307">
      <w:pPr>
        <w:rPr>
          <w:b/>
        </w:rPr>
      </w:pPr>
      <w:r w:rsidRPr="00F90E2D">
        <w:t>The development of inhibitors has implications for management that are discussed under intervention and comparators.</w:t>
      </w:r>
    </w:p>
    <w:p w14:paraId="08AF39D7" w14:textId="3839914F" w:rsidR="00896845" w:rsidRPr="00E364F7" w:rsidRDefault="00896845" w:rsidP="004A5756">
      <w:pPr>
        <w:pStyle w:val="Heading2"/>
      </w:pPr>
      <w:r w:rsidRPr="000C2612">
        <w:lastRenderedPageBreak/>
        <w:t>Intervention</w:t>
      </w:r>
    </w:p>
    <w:p w14:paraId="3C3D4298" w14:textId="760460DD" w:rsidR="001F2CD0" w:rsidRDefault="001F2CD0" w:rsidP="001F2CD0">
      <w:r w:rsidRPr="001F2CD0">
        <w:t xml:space="preserve">Emicizumab </w:t>
      </w:r>
      <w:r>
        <w:t>is a recombinant, humani</w:t>
      </w:r>
      <w:r w:rsidR="003E173E">
        <w:t>s</w:t>
      </w:r>
      <w:r>
        <w:t xml:space="preserve">ed, bispecific monoclonal antibody that bridges activated factor IX </w:t>
      </w:r>
      <w:r w:rsidR="002A22F9">
        <w:t>(F</w:t>
      </w:r>
      <w:r w:rsidR="00C6008F">
        <w:t xml:space="preserve">IXa) </w:t>
      </w:r>
      <w:r>
        <w:t>and factor X</w:t>
      </w:r>
      <w:r w:rsidR="00C6008F">
        <w:t xml:space="preserve"> (</w:t>
      </w:r>
      <w:r w:rsidR="00F46D95">
        <w:fldChar w:fldCharType="begin"/>
      </w:r>
      <w:r w:rsidR="00F46D95">
        <w:instrText xml:space="preserve"> REF _Ref505090189 \h </w:instrText>
      </w:r>
      <w:r w:rsidR="00F46D95">
        <w:fldChar w:fldCharType="separate"/>
      </w:r>
      <w:r w:rsidR="00F46D95" w:rsidRPr="00073E60">
        <w:rPr>
          <w:rFonts w:ascii="Arial Narrow" w:eastAsia="Times New Roman" w:hAnsi="Arial Narrow" w:cs="Tahoma"/>
          <w:b/>
          <w:sz w:val="20"/>
          <w:szCs w:val="20"/>
          <w:lang w:val="en-GB" w:eastAsia="ja-JP"/>
        </w:rPr>
        <w:t xml:space="preserve">Figure </w:t>
      </w:r>
      <w:r w:rsidR="00F46D95">
        <w:rPr>
          <w:rFonts w:ascii="Arial Narrow" w:eastAsia="Times New Roman" w:hAnsi="Arial Narrow" w:cs="Tahoma"/>
          <w:b/>
          <w:noProof/>
          <w:sz w:val="20"/>
          <w:szCs w:val="20"/>
          <w:lang w:val="en-GB" w:eastAsia="ja-JP"/>
        </w:rPr>
        <w:t>1</w:t>
      </w:r>
      <w:r w:rsidR="00F46D95">
        <w:fldChar w:fldCharType="end"/>
      </w:r>
      <w:r w:rsidR="00C6008F">
        <w:t>)</w:t>
      </w:r>
      <w:r>
        <w:t xml:space="preserve">. In </w:t>
      </w:r>
      <w:r w:rsidR="00D6119C">
        <w:t>h</w:t>
      </w:r>
      <w:r>
        <w:t>aemophilia A</w:t>
      </w:r>
      <w:r w:rsidR="00D6119C">
        <w:t xml:space="preserve"> the deficiency in F</w:t>
      </w:r>
      <w:r w:rsidR="00C6008F">
        <w:t xml:space="preserve">VIII (or the presents of antibodies to replacement </w:t>
      </w:r>
      <w:r w:rsidR="00D6119C">
        <w:t>F</w:t>
      </w:r>
      <w:r w:rsidR="00C6008F">
        <w:t xml:space="preserve">VIII) disrupts the maturation of clotting factor X because it cannot be bound with factor IX. Emicizumab </w:t>
      </w:r>
      <w:r w:rsidR="00D6119C">
        <w:t>mimics</w:t>
      </w:r>
      <w:r w:rsidR="00C6008F">
        <w:t xml:space="preserve"> the function of </w:t>
      </w:r>
      <w:r w:rsidR="00D6119C">
        <w:t>F</w:t>
      </w:r>
      <w:r w:rsidR="00C6008F">
        <w:t>VIII allowing maturation of factor X</w:t>
      </w:r>
      <w:r w:rsidR="00D6119C">
        <w:t xml:space="preserve"> (</w:t>
      </w:r>
      <w:r w:rsidR="00F46D95">
        <w:fldChar w:fldCharType="begin"/>
      </w:r>
      <w:r w:rsidR="00F46D95">
        <w:instrText xml:space="preserve"> REF _Ref505090189 \h </w:instrText>
      </w:r>
      <w:r w:rsidR="00F46D95">
        <w:fldChar w:fldCharType="separate"/>
      </w:r>
      <w:r w:rsidR="00F46D95" w:rsidRPr="00073E60">
        <w:rPr>
          <w:rFonts w:ascii="Arial Narrow" w:eastAsia="Times New Roman" w:hAnsi="Arial Narrow" w:cs="Tahoma"/>
          <w:b/>
          <w:sz w:val="20"/>
          <w:szCs w:val="20"/>
          <w:lang w:val="en-GB" w:eastAsia="ja-JP"/>
        </w:rPr>
        <w:t xml:space="preserve">Figure </w:t>
      </w:r>
      <w:r w:rsidR="00F46D95">
        <w:rPr>
          <w:rFonts w:ascii="Arial Narrow" w:eastAsia="Times New Roman" w:hAnsi="Arial Narrow" w:cs="Tahoma"/>
          <w:b/>
          <w:noProof/>
          <w:sz w:val="20"/>
          <w:szCs w:val="20"/>
          <w:lang w:val="en-GB" w:eastAsia="ja-JP"/>
        </w:rPr>
        <w:t>1</w:t>
      </w:r>
      <w:r w:rsidR="00F46D95">
        <w:fldChar w:fldCharType="end"/>
      </w:r>
      <w:r w:rsidR="00D6119C">
        <w:t>).</w:t>
      </w:r>
    </w:p>
    <w:p w14:paraId="63AE54AC" w14:textId="77777777" w:rsidR="00073E60" w:rsidRDefault="00C6008F" w:rsidP="00073E60">
      <w:pPr>
        <w:ind w:left="709" w:hanging="709"/>
        <w:jc w:val="center"/>
      </w:pPr>
      <w:r>
        <w:rPr>
          <w:noProof/>
          <w:lang w:eastAsia="en-AU"/>
        </w:rPr>
        <w:drawing>
          <wp:inline distT="0" distB="0" distL="0" distR="0" wp14:anchorId="5C69770E" wp14:editId="6FB60542">
            <wp:extent cx="4886554" cy="3005235"/>
            <wp:effectExtent l="0" t="0" r="0" b="5080"/>
            <wp:docPr id="2" name="Picture 2" title="Figure 1 Schematic Illustrations of the Action of factor VIIIa and Emicizumab as a Cofactor Promoting the Interaction between FIXa and FX –as produced in the supplementary appendix to Shim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cizuma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7164" cy="3005610"/>
                    </a:xfrm>
                    <a:prstGeom prst="rect">
                      <a:avLst/>
                    </a:prstGeom>
                  </pic:spPr>
                </pic:pic>
              </a:graphicData>
            </a:graphic>
          </wp:inline>
        </w:drawing>
      </w:r>
    </w:p>
    <w:p w14:paraId="353DFB7A" w14:textId="31F327EC" w:rsidR="004A5756" w:rsidRPr="00073E60" w:rsidRDefault="004A5756" w:rsidP="00073E60">
      <w:pPr>
        <w:ind w:left="709" w:hanging="709"/>
        <w:rPr>
          <w:rFonts w:ascii="Arial Narrow" w:eastAsia="Times New Roman" w:hAnsi="Arial Narrow" w:cs="Tahoma"/>
          <w:b/>
          <w:sz w:val="20"/>
          <w:szCs w:val="20"/>
          <w:lang w:val="en-GB" w:eastAsia="ja-JP"/>
        </w:rPr>
      </w:pPr>
      <w:bookmarkStart w:id="7" w:name="_Ref505090189"/>
      <w:r w:rsidRPr="00073E60">
        <w:rPr>
          <w:rFonts w:ascii="Arial Narrow" w:eastAsia="Times New Roman" w:hAnsi="Arial Narrow" w:cs="Tahoma"/>
          <w:b/>
          <w:sz w:val="20"/>
          <w:szCs w:val="20"/>
          <w:lang w:val="en-GB" w:eastAsia="ja-JP"/>
        </w:rPr>
        <w:t xml:space="preserve">Figure </w:t>
      </w:r>
      <w:r w:rsidRPr="00073E60">
        <w:rPr>
          <w:rFonts w:ascii="Arial Narrow" w:eastAsia="Times New Roman" w:hAnsi="Arial Narrow" w:cs="Tahoma"/>
          <w:b/>
          <w:sz w:val="20"/>
          <w:szCs w:val="20"/>
          <w:lang w:val="en-GB" w:eastAsia="ja-JP"/>
        </w:rPr>
        <w:fldChar w:fldCharType="begin"/>
      </w:r>
      <w:r w:rsidRPr="00073E60">
        <w:rPr>
          <w:rFonts w:ascii="Arial Narrow" w:eastAsia="Times New Roman" w:hAnsi="Arial Narrow" w:cs="Tahoma"/>
          <w:b/>
          <w:sz w:val="20"/>
          <w:szCs w:val="20"/>
          <w:lang w:val="en-GB" w:eastAsia="ja-JP"/>
        </w:rPr>
        <w:instrText xml:space="preserve"> SEQ Figure \* ARABIC </w:instrText>
      </w:r>
      <w:r w:rsidRPr="00073E60">
        <w:rPr>
          <w:rFonts w:ascii="Arial Narrow" w:eastAsia="Times New Roman" w:hAnsi="Arial Narrow" w:cs="Tahoma"/>
          <w:b/>
          <w:sz w:val="20"/>
          <w:szCs w:val="20"/>
          <w:lang w:val="en-GB" w:eastAsia="ja-JP"/>
        </w:rPr>
        <w:fldChar w:fldCharType="separate"/>
      </w:r>
      <w:r w:rsidR="00A04E68">
        <w:rPr>
          <w:rFonts w:ascii="Arial Narrow" w:eastAsia="Times New Roman" w:hAnsi="Arial Narrow" w:cs="Tahoma"/>
          <w:b/>
          <w:noProof/>
          <w:sz w:val="20"/>
          <w:szCs w:val="20"/>
          <w:lang w:val="en-GB" w:eastAsia="ja-JP"/>
        </w:rPr>
        <w:t>1</w:t>
      </w:r>
      <w:r w:rsidRPr="00073E60">
        <w:rPr>
          <w:rFonts w:ascii="Arial Narrow" w:eastAsia="Times New Roman" w:hAnsi="Arial Narrow" w:cs="Tahoma"/>
          <w:b/>
          <w:sz w:val="20"/>
          <w:szCs w:val="20"/>
          <w:lang w:val="en-GB" w:eastAsia="ja-JP"/>
        </w:rPr>
        <w:fldChar w:fldCharType="end"/>
      </w:r>
      <w:bookmarkEnd w:id="7"/>
      <w:r w:rsidR="00D6119C" w:rsidRPr="00073E60">
        <w:rPr>
          <w:rFonts w:ascii="Arial Narrow" w:eastAsia="Times New Roman" w:hAnsi="Arial Narrow" w:cs="Tahoma"/>
          <w:b/>
          <w:sz w:val="20"/>
          <w:szCs w:val="20"/>
          <w:lang w:val="en-GB" w:eastAsia="ja-JP"/>
        </w:rPr>
        <w:t xml:space="preserve"> </w:t>
      </w:r>
      <w:r w:rsidRPr="00073E60">
        <w:rPr>
          <w:rFonts w:ascii="Arial Narrow" w:eastAsia="Times New Roman" w:hAnsi="Arial Narrow" w:cs="Tahoma"/>
          <w:b/>
          <w:sz w:val="20"/>
          <w:szCs w:val="20"/>
          <w:lang w:val="en-GB" w:eastAsia="ja-JP"/>
        </w:rPr>
        <w:t>Schematic Illustrations of the Action of factor VIIIa and Emicizumab as a Cofactor Promoting</w:t>
      </w:r>
      <w:r w:rsidR="00D6119C" w:rsidRPr="00073E60">
        <w:rPr>
          <w:rFonts w:ascii="Arial Narrow" w:eastAsia="Times New Roman" w:hAnsi="Arial Narrow" w:cs="Tahoma"/>
          <w:b/>
          <w:sz w:val="20"/>
          <w:szCs w:val="20"/>
          <w:lang w:val="en-GB" w:eastAsia="ja-JP"/>
        </w:rPr>
        <w:t xml:space="preserve"> </w:t>
      </w:r>
      <w:r w:rsidRPr="00073E60">
        <w:rPr>
          <w:rFonts w:ascii="Arial Narrow" w:eastAsia="Times New Roman" w:hAnsi="Arial Narrow" w:cs="Tahoma"/>
          <w:b/>
          <w:sz w:val="20"/>
          <w:szCs w:val="20"/>
          <w:lang w:val="en-GB" w:eastAsia="ja-JP"/>
        </w:rPr>
        <w:t xml:space="preserve">the Interaction between FIXa and FX –as produced in the supplementary appendix to Shima </w:t>
      </w:r>
      <w:r w:rsidRPr="00073E60">
        <w:rPr>
          <w:rFonts w:ascii="Arial Narrow" w:eastAsia="Times New Roman" w:hAnsi="Arial Narrow" w:cs="Tahoma"/>
          <w:b/>
          <w:sz w:val="20"/>
          <w:szCs w:val="20"/>
          <w:lang w:val="en-GB" w:eastAsia="ja-JP"/>
        </w:rPr>
        <w:fldChar w:fldCharType="begin">
          <w:fldData xml:space="preserve">PEVuZE5vdGU+PENpdGUgRXhjbHVkZUF1dGg9IjEiPjxBdXRob3I+U2hpbWE8L0F1dGhvcj48WWVh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MDQ0LTUzPC9wYWdlcz48dm9sdW1lPjM3NDwvdm9sdW1lPjxudW1iZXI+MjE8L251bWJlcj48ZWRp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</w:fldData>
        </w:fldChar>
      </w:r>
      <w:r w:rsidR="00DF30B8" w:rsidRPr="00073E60">
        <w:rPr>
          <w:rFonts w:ascii="Arial Narrow" w:eastAsia="Times New Roman" w:hAnsi="Arial Narrow" w:cs="Tahoma"/>
          <w:b/>
          <w:sz w:val="20"/>
          <w:szCs w:val="20"/>
          <w:lang w:val="en-GB" w:eastAsia="ja-JP"/>
        </w:rPr>
        <w:instrText xml:space="preserve"> ADDIN EN.CITE </w:instrText>
      </w:r>
      <w:r w:rsidR="00DF30B8" w:rsidRPr="00073E60">
        <w:rPr>
          <w:rFonts w:ascii="Arial Narrow" w:eastAsia="Times New Roman" w:hAnsi="Arial Narrow" w:cs="Tahoma"/>
          <w:b/>
          <w:sz w:val="20"/>
          <w:szCs w:val="20"/>
          <w:lang w:val="en-GB" w:eastAsia="ja-JP"/>
        </w:rPr>
        <w:fldChar w:fldCharType="begin">
          <w:fldData xml:space="preserve">PEVuZE5vdGU+PENpdGUgRXhjbHVkZUF1dGg9IjEiPjxBdXRob3I+U2hpbWE8L0F1dGhvcj48WWVh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</w:fldData>
        </w:fldChar>
      </w:r>
      <w:r w:rsidR="00DF30B8" w:rsidRPr="00073E60">
        <w:rPr>
          <w:rFonts w:ascii="Arial Narrow" w:eastAsia="Times New Roman" w:hAnsi="Arial Narrow" w:cs="Tahoma"/>
          <w:b/>
          <w:sz w:val="20"/>
          <w:szCs w:val="20"/>
          <w:lang w:val="en-GB" w:eastAsia="ja-JP"/>
        </w:rPr>
        <w:instrText xml:space="preserve"> ADDIN EN.CITE.DATA </w:instrText>
      </w:r>
      <w:r w:rsidR="00DF30B8" w:rsidRPr="00073E60">
        <w:rPr>
          <w:rFonts w:ascii="Arial Narrow" w:eastAsia="Times New Roman" w:hAnsi="Arial Narrow" w:cs="Tahoma"/>
          <w:b/>
          <w:sz w:val="20"/>
          <w:szCs w:val="20"/>
          <w:lang w:val="en-GB" w:eastAsia="ja-JP"/>
        </w:rPr>
      </w:r>
      <w:r w:rsidR="00DF30B8" w:rsidRPr="00073E60">
        <w:rPr>
          <w:rFonts w:ascii="Arial Narrow" w:eastAsia="Times New Roman" w:hAnsi="Arial Narrow" w:cs="Tahoma"/>
          <w:b/>
          <w:sz w:val="20"/>
          <w:szCs w:val="20"/>
          <w:lang w:val="en-GB" w:eastAsia="ja-JP"/>
        </w:rPr>
        <w:fldChar w:fldCharType="end"/>
      </w:r>
      <w:r w:rsidRPr="00073E60">
        <w:rPr>
          <w:rFonts w:ascii="Arial Narrow" w:eastAsia="Times New Roman" w:hAnsi="Arial Narrow" w:cs="Tahoma"/>
          <w:b/>
          <w:sz w:val="20"/>
          <w:szCs w:val="20"/>
          <w:lang w:val="en-GB" w:eastAsia="ja-JP"/>
        </w:rPr>
      </w:r>
      <w:r w:rsidRPr="00073E60">
        <w:rPr>
          <w:rFonts w:ascii="Arial Narrow" w:eastAsia="Times New Roman" w:hAnsi="Arial Narrow" w:cs="Tahoma"/>
          <w:b/>
          <w:sz w:val="20"/>
          <w:szCs w:val="20"/>
          <w:lang w:val="en-GB" w:eastAsia="ja-JP"/>
        </w:rPr>
        <w:fldChar w:fldCharType="separate"/>
      </w:r>
      <w:r w:rsidRPr="00073E60">
        <w:rPr>
          <w:rFonts w:ascii="Arial Narrow" w:eastAsia="Times New Roman" w:hAnsi="Arial Narrow" w:cs="Tahoma"/>
          <w:b/>
          <w:sz w:val="20"/>
          <w:szCs w:val="20"/>
          <w:lang w:val="en-GB" w:eastAsia="ja-JP"/>
        </w:rPr>
        <w:t>(2016)</w:t>
      </w:r>
      <w:r w:rsidRPr="00073E60">
        <w:rPr>
          <w:rFonts w:ascii="Arial Narrow" w:eastAsia="Times New Roman" w:hAnsi="Arial Narrow" w:cs="Tahoma"/>
          <w:b/>
          <w:sz w:val="20"/>
          <w:szCs w:val="20"/>
          <w:lang w:val="en-GB" w:eastAsia="ja-JP"/>
        </w:rPr>
        <w:fldChar w:fldCharType="end"/>
      </w:r>
    </w:p>
    <w:p w14:paraId="7F6042E3" w14:textId="07BF8E1E" w:rsidR="001F2CD0" w:rsidRDefault="00817B5A" w:rsidP="00D6119C">
      <w:pPr>
        <w:spacing w:before="200"/>
      </w:pPr>
      <w:r w:rsidRPr="00817B5A">
        <w:t>While emicizumab will be evaluated as a prescription medicine by the Therapeutic Goods Administration</w:t>
      </w:r>
      <w:r w:rsidR="00D6119C">
        <w:t xml:space="preserve">, the National Blood Authority </w:t>
      </w:r>
      <w:r w:rsidRPr="00817B5A">
        <w:t>and Jurisdictional Blood Committee advised on 13 December 2016 that emicizumab can be evaluated as a blood-related product (as defined in Clause 40 and Section 3) under Schedule 4 the National Blood Authority Act 2003.</w:t>
      </w:r>
    </w:p>
    <w:p w14:paraId="7CE123F0" w14:textId="642CABC4" w:rsidR="003C1D19" w:rsidRPr="003C1D19" w:rsidRDefault="003C1D19" w:rsidP="004A5756">
      <w:pPr>
        <w:pStyle w:val="Heading3"/>
      </w:pPr>
      <w:r>
        <w:t>Anticipated use</w:t>
      </w:r>
    </w:p>
    <w:p w14:paraId="10219121" w14:textId="72C95456" w:rsidR="00431A19" w:rsidRPr="00431A19" w:rsidRDefault="00431A19" w:rsidP="004A5756">
      <w:pPr>
        <w:pStyle w:val="Heading4"/>
      </w:pPr>
      <w:r w:rsidRPr="00431A19">
        <w:t>Dosage and frequency of treatment</w:t>
      </w:r>
    </w:p>
    <w:p w14:paraId="737EA4B1" w14:textId="52FE54C2" w:rsidR="007F1172" w:rsidRDefault="00431A19" w:rsidP="00431A19">
      <w:r w:rsidRPr="00817B5A">
        <w:t>Emicizumab is</w:t>
      </w:r>
      <w:r>
        <w:t xml:space="preserve"> intended to be used </w:t>
      </w:r>
      <w:r w:rsidRPr="00817B5A">
        <w:t xml:space="preserve">for routine prophylaxis to prevent bleeding or reduce the frequency of bleeding episodes in adults and children with </w:t>
      </w:r>
      <w:r w:rsidR="00614A93">
        <w:t>cHMA</w:t>
      </w:r>
      <w:r w:rsidRPr="00817B5A">
        <w:t xml:space="preserve"> (</w:t>
      </w:r>
      <w:r w:rsidR="007B2D09">
        <w:t xml:space="preserve">with and without </w:t>
      </w:r>
      <w:r w:rsidRPr="00817B5A">
        <w:t xml:space="preserve">factor VIII </w:t>
      </w:r>
      <w:r w:rsidR="007B2D09">
        <w:t>inhibitors</w:t>
      </w:r>
      <w:r w:rsidRPr="00817B5A">
        <w:t xml:space="preserve">). </w:t>
      </w:r>
      <w:r>
        <w:t>The applicant states that emicizumab will be taken as a once-weekly subcutaneous injection in an ongoing manner</w:t>
      </w:r>
      <w:r w:rsidR="007F1172">
        <w:t>.</w:t>
      </w:r>
    </w:p>
    <w:p w14:paraId="390815D7" w14:textId="35C3BC3B" w:rsidR="00277A72" w:rsidRDefault="000B1C03" w:rsidP="00431A19">
      <w:r>
        <w:t xml:space="preserve">PASC confirmed that the proposed dosing schedule is as per the HAVEN 1 trial </w:t>
      </w:r>
      <w:r w:rsidR="00431A19">
        <w:fldChar w:fldCharType="begin">
          <w:fldData xml:space="preserve">PEVuZE5vdGU+PENpdGU+PEF1dGhvcj5PbGRlbmJ1cmc8L0F1dGhvcj48WWVhcj4yMDE3PC9ZZWFy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bmFsIG9mIG1lZGljaW5lPC9hYmJyLTE+PC9hbHQtcGVyaW9kaWNhbD48cGFnZXM+ODA5LTgxODwv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</w:fldData>
        </w:fldChar>
      </w:r>
      <w:r w:rsidR="00DF30B8" w:rsidRPr="003E173E">
        <w:instrText xml:space="preserve"> ADDIN EN.CITE </w:instrText>
      </w:r>
      <w:r w:rsidR="00DF30B8" w:rsidRPr="003E173E">
        <w:fldChar w:fldCharType="begin">
          <w:fldData xml:space="preserve">PEVuZE5vdGU+PENpdGU+PEF1dGhvcj5PbGRlbmJ1cmc8L0F1dGhvcj48WWVhcj4yMDE3PC9ZZWFy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bmFsIG9mIG1lZGljaW5lPC9hYmJyLTE+PC9hbHQtcGVyaW9kaWNhbD48cGFnZXM+ODA5LTgxODwv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</w:fldData>
        </w:fldChar>
      </w:r>
      <w:r w:rsidR="00DF30B8" w:rsidRPr="003E173E">
        <w:instrText xml:space="preserve"> ADDIN EN.CITE.DATA </w:instrText>
      </w:r>
      <w:r w:rsidR="00DF30B8" w:rsidRPr="003E173E">
        <w:fldChar w:fldCharType="end"/>
      </w:r>
      <w:r w:rsidR="00431A19">
        <w:fldChar w:fldCharType="separate"/>
      </w:r>
      <w:r w:rsidR="00431A19">
        <w:rPr>
          <w:noProof/>
        </w:rPr>
        <w:t>(Oldenburg et al 2017)</w:t>
      </w:r>
      <w:r w:rsidR="00431A19">
        <w:fldChar w:fldCharType="end"/>
      </w:r>
      <w:r w:rsidR="00431A19">
        <w:t>.</w:t>
      </w:r>
      <w:r w:rsidR="007F1172">
        <w:t xml:space="preserve"> </w:t>
      </w:r>
      <w:r w:rsidR="00431A19">
        <w:t>In the HAVEN 1 trial</w:t>
      </w:r>
      <w:r w:rsidR="00614A93">
        <w:t xml:space="preserve"> </w:t>
      </w:r>
      <w:r w:rsidR="00431A19">
        <w:t xml:space="preserve">emicizumab was prescribed as follows: </w:t>
      </w:r>
      <w:r w:rsidR="00614A93">
        <w:t xml:space="preserve">the </w:t>
      </w:r>
      <w:r w:rsidR="00431A19">
        <w:t xml:space="preserve">loading dose consisted of 3.0 mg per kilogram of body weight weekly for </w:t>
      </w:r>
      <w:r w:rsidR="00614A93">
        <w:t>four</w:t>
      </w:r>
      <w:r w:rsidR="00431A19">
        <w:t xml:space="preserve"> weeks followed by 1.5 mg/kg weekly thereafter. If after the loading dose period or in the subsequent time on trial a patient experienced at least two spontaneous and clinically significant treated bleeds they could increase the weekly dose to 3.0 mg/kg.</w:t>
      </w:r>
      <w:r w:rsidRPr="000B1C03">
        <w:t xml:space="preserve"> </w:t>
      </w:r>
      <w:r>
        <w:t xml:space="preserve">Dosing in various ongoing and published trials is reported in </w:t>
      </w:r>
      <w:r>
        <w:rPr>
          <w:highlight w:val="yellow"/>
        </w:rPr>
        <w:fldChar w:fldCharType="begin"/>
      </w:r>
      <w:r>
        <w:instrText xml:space="preserve"> REF _Ref494884022 \h </w:instrText>
      </w:r>
      <w:r>
        <w:rPr>
          <w:highlight w:val="yellow"/>
        </w:rPr>
      </w:r>
      <w:r>
        <w:rPr>
          <w:highlight w:val="yellow"/>
        </w:rPr>
        <w:fldChar w:fldCharType="separate"/>
      </w:r>
      <w:r w:rsidR="00A04E68" w:rsidRPr="0059514F">
        <w:t xml:space="preserve">Table </w:t>
      </w:r>
      <w:r w:rsidR="00A04E68">
        <w:rPr>
          <w:noProof/>
        </w:rPr>
        <w:t>7</w:t>
      </w:r>
      <w:r>
        <w:rPr>
          <w:highlight w:val="yellow"/>
        </w:rPr>
        <w:fldChar w:fldCharType="end"/>
      </w:r>
      <w:r>
        <w:t>, it is understood that dosing submitted to the TGA aligns with that reported in HAVEN 1.</w:t>
      </w:r>
    </w:p>
    <w:p w14:paraId="62D17962" w14:textId="1C3F0ABA" w:rsidR="00431A19" w:rsidRPr="006E564D" w:rsidRDefault="0099160D" w:rsidP="00431A19">
      <w:pPr>
        <w:rPr>
          <w:i/>
        </w:rPr>
      </w:pPr>
      <w:r w:rsidRPr="0099160D">
        <w:rPr>
          <w:i/>
        </w:rPr>
        <w:lastRenderedPageBreak/>
        <w:t>See table 7 for an overview of dosing in published and ongoing trials, the impact of different dosing regimens</w:t>
      </w:r>
      <w:r w:rsidR="00277A72" w:rsidRPr="0099160D">
        <w:rPr>
          <w:i/>
        </w:rPr>
        <w:t xml:space="preserve"> on the safety </w:t>
      </w:r>
      <w:r w:rsidRPr="0099160D">
        <w:rPr>
          <w:i/>
        </w:rPr>
        <w:t xml:space="preserve">and effectiveness </w:t>
      </w:r>
      <w:r w:rsidR="00277A72" w:rsidRPr="0099160D">
        <w:rPr>
          <w:i/>
        </w:rPr>
        <w:t>of emicizumab</w:t>
      </w:r>
      <w:r w:rsidRPr="0099160D">
        <w:rPr>
          <w:i/>
        </w:rPr>
        <w:t xml:space="preserve"> is unknown</w:t>
      </w:r>
      <w:r w:rsidR="00277A72" w:rsidRPr="0099160D">
        <w:rPr>
          <w:i/>
        </w:rPr>
        <w:t xml:space="preserve">. At the assessment phase it </w:t>
      </w:r>
      <w:r w:rsidRPr="0099160D">
        <w:rPr>
          <w:i/>
        </w:rPr>
        <w:t>may</w:t>
      </w:r>
      <w:r w:rsidR="00277A72" w:rsidRPr="0099160D">
        <w:rPr>
          <w:i/>
        </w:rPr>
        <w:t xml:space="preserve"> be relevant to consider whether it is possible to define a minimum therapeutically effective dose</w:t>
      </w:r>
      <w:r w:rsidR="00F26CAC" w:rsidRPr="0099160D">
        <w:rPr>
          <w:i/>
        </w:rPr>
        <w:t>, noting that a four weekly administration schedule is being considered in ongoing trials</w:t>
      </w:r>
      <w:r w:rsidR="00277A72" w:rsidRPr="0099160D">
        <w:rPr>
          <w:i/>
        </w:rPr>
        <w:t>.</w:t>
      </w:r>
    </w:p>
    <w:p w14:paraId="30B54DAC" w14:textId="36717EA6" w:rsidR="00431A19" w:rsidRPr="00431A19" w:rsidRDefault="00431A19" w:rsidP="00E41A27">
      <w:pPr>
        <w:pStyle w:val="Heading4"/>
      </w:pPr>
      <w:r w:rsidRPr="00431A19">
        <w:t>Restrictions</w:t>
      </w:r>
    </w:p>
    <w:p w14:paraId="1E6B8949" w14:textId="500EF70F" w:rsidR="00277A72" w:rsidRPr="00C6056D" w:rsidRDefault="00431A19" w:rsidP="00431A19">
      <w:r>
        <w:t>No restrictions on dose have been proposed and it is clear that the proposal i</w:t>
      </w:r>
      <w:r w:rsidR="00605932">
        <w:t>s</w:t>
      </w:r>
      <w:r>
        <w:t xml:space="preserve"> for an unrestricted duration of treatment. </w:t>
      </w:r>
      <w:r w:rsidR="00277A72">
        <w:t xml:space="preserve">It is anticipated that in patients whose bleeding is well controlled </w:t>
      </w:r>
      <w:r w:rsidR="00A10914">
        <w:t xml:space="preserve">with </w:t>
      </w:r>
      <w:r w:rsidR="00277A72">
        <w:t>emicizumab</w:t>
      </w:r>
      <w:r w:rsidR="00725614">
        <w:t>,</w:t>
      </w:r>
      <w:r w:rsidR="00277A72">
        <w:t xml:space="preserve"> </w:t>
      </w:r>
      <w:r w:rsidR="00725614">
        <w:t xml:space="preserve">prophylaxis </w:t>
      </w:r>
      <w:r w:rsidR="00277A72">
        <w:t>could be life</w:t>
      </w:r>
      <w:r w:rsidR="003E173E">
        <w:t>long</w:t>
      </w:r>
      <w:r w:rsidR="00277A72">
        <w:t xml:space="preserve">, or until the development of drug autoantibodies or </w:t>
      </w:r>
      <w:r w:rsidR="00277A72" w:rsidRPr="00C6056D">
        <w:t>unacceptable toxicity.</w:t>
      </w:r>
    </w:p>
    <w:p w14:paraId="192A8AF5" w14:textId="69AEB460" w:rsidR="00431A19" w:rsidRPr="00E41A27" w:rsidRDefault="00277A72" w:rsidP="00431A19">
      <w:r w:rsidRPr="00E41A27">
        <w:t>I</w:t>
      </w:r>
      <w:r w:rsidR="00431A19" w:rsidRPr="00E41A27">
        <w:t xml:space="preserve">n the event of frequent or severe breakthrough bleeding events on emicizumab it may be relevant to consider </w:t>
      </w:r>
      <w:r w:rsidR="00B529E9" w:rsidRPr="00E41A27">
        <w:t xml:space="preserve">whether there is any indication for </w:t>
      </w:r>
      <w:r w:rsidR="00431A19" w:rsidRPr="00E41A27">
        <w:t xml:space="preserve">stopping rules to reflect treatment futility. </w:t>
      </w:r>
      <w:r w:rsidRPr="00E41A27">
        <w:t>Furthermore, it may be relevant to consider whether dose escalation has a role in more refractory patients. This could be investigated at the assessment phase.</w:t>
      </w:r>
    </w:p>
    <w:p w14:paraId="1D5B0214" w14:textId="3118EC6A" w:rsidR="001D132F" w:rsidRPr="00E41A27" w:rsidRDefault="001D132F" w:rsidP="004478F3">
      <w:r w:rsidRPr="00E41A27">
        <w:t xml:space="preserve">Additionally, at the assessment phase it may be relevant to consider the appropriate strategy for managing bleeding events and to consider whether the co-administration of emicizumab and </w:t>
      </w:r>
      <w:r w:rsidR="00887604">
        <w:t xml:space="preserve">BPAs </w:t>
      </w:r>
      <w:r w:rsidRPr="00E41A27">
        <w:t>represents any additional risk of thrombotic events.</w:t>
      </w:r>
    </w:p>
    <w:p w14:paraId="7F70585D" w14:textId="752DC153" w:rsidR="00FF2BB7" w:rsidRPr="00E41A27" w:rsidRDefault="004478F3" w:rsidP="00A000DE">
      <w:pPr>
        <w:spacing w:after="100"/>
      </w:pPr>
      <w:r w:rsidRPr="00E41A27">
        <w:t>In the HAVEN 1 trial</w:t>
      </w:r>
      <w:r w:rsidR="001D132F" w:rsidRPr="00E41A27">
        <w:t xml:space="preserve"> the following adverse events of particular note were reported </w:t>
      </w:r>
      <w:r w:rsidR="003E173E">
        <w:t>among</w:t>
      </w:r>
      <w:r w:rsidR="001D132F" w:rsidRPr="00E41A27">
        <w:t xml:space="preserve"> all patients who received emicizumab: thrombotic microangiopathy</w:t>
      </w:r>
      <w:r w:rsidR="00DD439E" w:rsidRPr="00E41A27">
        <w:t xml:space="preserve"> (TMA)</w:t>
      </w:r>
      <w:r w:rsidR="001D132F" w:rsidRPr="00E41A27">
        <w:t xml:space="preserve"> in </w:t>
      </w:r>
      <w:r w:rsidR="00A000DE">
        <w:t>three</w:t>
      </w:r>
      <w:r w:rsidR="001D132F" w:rsidRPr="00E41A27">
        <w:t xml:space="preserve"> patients</w:t>
      </w:r>
      <w:r w:rsidR="00B529E9" w:rsidRPr="00E41A27">
        <w:t xml:space="preserve"> </w:t>
      </w:r>
      <w:r w:rsidR="001D132F" w:rsidRPr="00E41A27">
        <w:t xml:space="preserve">(2.9%) and thrombotic event in </w:t>
      </w:r>
      <w:r w:rsidR="00A000DE">
        <w:t>two patients</w:t>
      </w:r>
      <w:r w:rsidR="001D132F" w:rsidRPr="00E41A27">
        <w:t xml:space="preserve"> (1.9%). </w:t>
      </w:r>
      <w:r w:rsidR="00DF1C05" w:rsidRPr="00E41A27">
        <w:t>One death was reported in a patient being treated with emicizumab who was given activated prothrombin complex concentrate for bleeding</w:t>
      </w:r>
      <w:r w:rsidR="006773A9">
        <w:t>;</w:t>
      </w:r>
      <w:r w:rsidR="006773A9" w:rsidRPr="00E41A27">
        <w:t xml:space="preserve"> </w:t>
      </w:r>
      <w:r w:rsidR="00DF1C05" w:rsidRPr="00E41A27">
        <w:t xml:space="preserve">however, on developing signs of TMA the patient discontinued activated prothrombin complex concentrate and ultimately died due to haemorrhage. </w:t>
      </w:r>
      <w:r w:rsidR="00FF2BB7" w:rsidRPr="00E41A27">
        <w:t>According to Roche</w:t>
      </w:r>
      <w:r w:rsidR="00A000DE">
        <w:t>,</w:t>
      </w:r>
      <w:r w:rsidR="00FF2BB7" w:rsidRPr="00E41A27">
        <w:t xml:space="preserve"> all thrombolic events occurred in patients receiving </w:t>
      </w:r>
      <w:r w:rsidR="00887604">
        <w:t xml:space="preserve">BPAs </w:t>
      </w:r>
      <w:r w:rsidR="00FF2BB7" w:rsidRPr="00E41A27">
        <w:t>for breakthrough bleeding</w:t>
      </w:r>
      <w:r w:rsidR="00B529E9" w:rsidRPr="00E41A27">
        <w:t>, specifically in patients receiving &gt;100 U/kg daily for 24 or more hours</w:t>
      </w:r>
      <w:r w:rsidR="00FF2BB7" w:rsidRPr="00E41A27">
        <w:t xml:space="preserve">. Thrombolic events are a known risk of </w:t>
      </w:r>
      <w:r w:rsidR="00887604">
        <w:t xml:space="preserve">BPAs </w:t>
      </w:r>
      <w:r w:rsidR="00FF2BB7" w:rsidRPr="00E41A27">
        <w:t>and therefore there is some uncertainty regarding whether:</w:t>
      </w:r>
    </w:p>
    <w:p w14:paraId="3E3D06DF" w14:textId="775E9272" w:rsidR="00FF2BB7" w:rsidRPr="00E41A27" w:rsidRDefault="0027464A" w:rsidP="00E41A27">
      <w:pPr>
        <w:pStyle w:val="ListParagraph"/>
        <w:numPr>
          <w:ilvl w:val="0"/>
          <w:numId w:val="18"/>
        </w:numPr>
      </w:pPr>
      <w:r>
        <w:t>t</w:t>
      </w:r>
      <w:r w:rsidR="00FF2BB7" w:rsidRPr="00E41A27">
        <w:t xml:space="preserve">hrombolic events are attributable to </w:t>
      </w:r>
      <w:r w:rsidR="00887604">
        <w:t xml:space="preserve">BPAs </w:t>
      </w:r>
      <w:r w:rsidR="00FF2BB7" w:rsidRPr="00E41A27">
        <w:t>alone; or,</w:t>
      </w:r>
    </w:p>
    <w:p w14:paraId="5457D75B" w14:textId="1E04ADEF" w:rsidR="00FF2BB7" w:rsidRPr="00E41A27" w:rsidRDefault="0027464A" w:rsidP="00E41A27">
      <w:pPr>
        <w:pStyle w:val="ListParagraph"/>
        <w:numPr>
          <w:ilvl w:val="0"/>
          <w:numId w:val="18"/>
        </w:numPr>
      </w:pPr>
      <w:r>
        <w:t>t</w:t>
      </w:r>
      <w:r w:rsidR="00FF2BB7" w:rsidRPr="00E41A27">
        <w:t xml:space="preserve">he combination of emicizumab and </w:t>
      </w:r>
      <w:r w:rsidR="00887604">
        <w:t xml:space="preserve">BPAs </w:t>
      </w:r>
      <w:r w:rsidR="00FF2BB7" w:rsidRPr="00E41A27">
        <w:t>adds additional risk of thrombolic events; or,</w:t>
      </w:r>
    </w:p>
    <w:p w14:paraId="0134D3FE" w14:textId="4A38FDEA" w:rsidR="00FF2BB7" w:rsidRPr="00E41A27" w:rsidRDefault="0027464A" w:rsidP="00E41A27">
      <w:pPr>
        <w:pStyle w:val="ListParagraph"/>
        <w:numPr>
          <w:ilvl w:val="0"/>
          <w:numId w:val="18"/>
        </w:numPr>
      </w:pPr>
      <w:r>
        <w:t>m</w:t>
      </w:r>
      <w:r w:rsidR="00FF2BB7" w:rsidRPr="00E41A27">
        <w:t>onotherapy with emicizumab has an independent risk of thrombolic events.</w:t>
      </w:r>
    </w:p>
    <w:p w14:paraId="7B191ED5" w14:textId="27B8CAC3" w:rsidR="00DD439E" w:rsidRPr="00E443D5" w:rsidRDefault="0027464A" w:rsidP="00B529E9">
      <w:pPr>
        <w:rPr>
          <w:i/>
        </w:rPr>
      </w:pPr>
      <w:r>
        <w:t>T</w:t>
      </w:r>
      <w:r w:rsidRPr="00E41A27">
        <w:t>herefore</w:t>
      </w:r>
      <w:r>
        <w:t>, i</w:t>
      </w:r>
      <w:r w:rsidR="00B529E9" w:rsidRPr="00E41A27">
        <w:t>t may be relevant at the assessment phase to consider what constitutes a safe rescue strategy in patients on emicizumab who experience breakthrough bleeding</w:t>
      </w:r>
      <w:r>
        <w:t>.</w:t>
      </w:r>
    </w:p>
    <w:p w14:paraId="218DFA62" w14:textId="4A258086" w:rsidR="00B529E9" w:rsidRPr="002820D3" w:rsidRDefault="00B529E9" w:rsidP="002820D3">
      <w:pPr>
        <w:pStyle w:val="Heading3"/>
      </w:pPr>
      <w:r w:rsidRPr="00ED2B29">
        <w:t>P</w:t>
      </w:r>
      <w:r w:rsidRPr="002820D3">
        <w:rPr>
          <w:rFonts w:eastAsia="Calibri"/>
        </w:rPr>
        <w:t>lace in treatment</w:t>
      </w:r>
    </w:p>
    <w:p w14:paraId="5ABE15DF" w14:textId="0B0859BE" w:rsidR="00030752" w:rsidRPr="00A07EDD" w:rsidRDefault="003C1D19" w:rsidP="005B2674">
      <w:pPr>
        <w:rPr>
          <w:rFonts w:ascii="Arial Narrow" w:hAnsi="Arial Narrow"/>
          <w:sz w:val="20"/>
          <w:szCs w:val="20"/>
        </w:rPr>
      </w:pPr>
      <w:r>
        <w:t xml:space="preserve">The </w:t>
      </w:r>
      <w:r w:rsidR="00463AAE">
        <w:t>National Blood Authority</w:t>
      </w:r>
      <w:r>
        <w:t xml:space="preserve"> </w:t>
      </w:r>
      <w:r w:rsidR="00A07EDD">
        <w:t>guidelines on Haemophilia define</w:t>
      </w:r>
      <w:r>
        <w:t xml:space="preserve"> a range of replacement therapy protocols for </w:t>
      </w:r>
      <w:r w:rsidR="00A07EDD">
        <w:t>HMA (</w:t>
      </w:r>
      <w:r w:rsidR="00A07EDD">
        <w:fldChar w:fldCharType="begin"/>
      </w:r>
      <w:r w:rsidR="00A07EDD">
        <w:instrText xml:space="preserve"> REF _Ref496789574 \h  \* MERGEFORMAT </w:instrText>
      </w:r>
      <w:r w:rsidR="00A07EDD">
        <w:fldChar w:fldCharType="separate"/>
      </w:r>
      <w:r w:rsidR="00A04E68" w:rsidRPr="00A07EDD">
        <w:t xml:space="preserve">Table </w:t>
      </w:r>
      <w:r w:rsidR="00A04E68">
        <w:t>5</w:t>
      </w:r>
      <w:r w:rsidR="00A07EDD">
        <w:fldChar w:fldCharType="end"/>
      </w:r>
      <w:r w:rsidR="00A07EDD">
        <w:t>).</w:t>
      </w:r>
      <w:r w:rsidR="006E6119">
        <w:t xml:space="preserve"> Emicizumab is intended to be used as routine </w:t>
      </w:r>
      <w:r w:rsidR="007B3BF0">
        <w:t>prophylaxis;</w:t>
      </w:r>
      <w:r w:rsidR="006E6119">
        <w:t xml:space="preserve"> this has been interpreted as </w:t>
      </w:r>
      <w:r w:rsidR="00AC661D">
        <w:t>suitable for</w:t>
      </w:r>
      <w:r w:rsidR="005B2674">
        <w:t xml:space="preserve"> primary, secondary or tertiary prophylaxis. </w:t>
      </w:r>
      <w:r w:rsidR="006E6119">
        <w:t xml:space="preserve">Emicizumab is not indicated </w:t>
      </w:r>
      <w:r w:rsidR="006839DC">
        <w:t>as an on-demand</w:t>
      </w:r>
      <w:r w:rsidR="005B2674" w:rsidRPr="00AC661D">
        <w:t xml:space="preserve"> treatment.</w:t>
      </w:r>
    </w:p>
    <w:p w14:paraId="44D53582" w14:textId="09832128" w:rsidR="004478F3" w:rsidRPr="00A07EDD" w:rsidRDefault="004478F3" w:rsidP="004478F3">
      <w:pPr>
        <w:pStyle w:val="Caption"/>
      </w:pPr>
      <w:bookmarkStart w:id="8" w:name="_Ref496789574"/>
      <w:r w:rsidRPr="00A07EDD">
        <w:t xml:space="preserve">Table </w:t>
      </w:r>
      <w:r w:rsidRPr="00A07EDD">
        <w:fldChar w:fldCharType="begin"/>
      </w:r>
      <w:r w:rsidRPr="00A07EDD">
        <w:instrText xml:space="preserve"> SEQ Table \* ARABIC </w:instrText>
      </w:r>
      <w:r w:rsidRPr="00A07EDD">
        <w:fldChar w:fldCharType="separate"/>
      </w:r>
      <w:r w:rsidR="00A04E68">
        <w:rPr>
          <w:noProof/>
        </w:rPr>
        <w:t>5</w:t>
      </w:r>
      <w:r w:rsidRPr="00A07EDD">
        <w:fldChar w:fldCharType="end"/>
      </w:r>
      <w:bookmarkEnd w:id="8"/>
      <w:r w:rsidRPr="00A07EDD">
        <w:tab/>
        <w:t>Definitions of factor replacement therapy protocols</w:t>
      </w:r>
      <w:r w:rsidRPr="00A07EDD">
        <w:fldChar w:fldCharType="begin"/>
      </w:r>
      <w:r w:rsidR="00DF30B8" w:rsidRPr="00A07EDD">
        <w:instrText xml:space="preserve"> ADDIN EN.CITE &lt;EndNote&gt;&lt;Cite&gt;&lt;Author&gt;National Blood Authority&lt;/Author&gt;&lt;Year&gt;2016&lt;/Year&gt;&lt;RecNum&gt;1&lt;/RecNum&gt;&lt;DisplayText&gt;(National Blood Authority 2016a)&lt;/DisplayText&gt;&lt;record&gt;&lt;rec-number&gt;1&lt;/rec-number&gt;&lt;foreign-keys&gt;&lt;key app="EN" db-id="rwz09pa0y9ee9se9epe5f5xde52pzetxev5x" timestamp="1508890326"&gt;1&lt;/key&gt;&lt;/foreign-keys&gt;&lt;ref-type name="Web Page"&gt;12&lt;/ref-type&gt;&lt;contributors&gt;&lt;authors&gt;&lt;author&gt;National Blood Authority,&lt;/author&gt;&lt;/authors&gt;&lt;/contributors&gt;&lt;titles&gt;&lt;title&gt;Guidelines for the management of haemophilia in Australia&lt;/title&gt;&lt;/titles&gt;&lt;volume&gt;2017&lt;/volume&gt;&lt;number&gt;29 September &lt;/number&gt;&lt;dates&gt;&lt;year&gt;2016&lt;/year&gt;&lt;pub-dates&gt;&lt;date&gt;2016&lt;/date&gt;&lt;/pub-dates&gt;&lt;/dates&gt;&lt;urls&gt;&lt;related-urls&gt;&lt;url&gt;https://www.blood.gov.au/system/files/HaemophiliaGuidelines-interactive-updated-260317v2.pdf&lt;/url&gt;&lt;/related-urls&gt;&lt;/urls&gt;&lt;/record&gt;&lt;/Cite&gt;&lt;/EndNote&gt;</w:instrText>
      </w:r>
      <w:r w:rsidRPr="00A07EDD">
        <w:fldChar w:fldCharType="separate"/>
      </w:r>
      <w:r w:rsidRPr="00A07EDD">
        <w:rPr>
          <w:noProof/>
        </w:rPr>
        <w:t>(National Blood Authority 2016a)</w:t>
      </w:r>
      <w:r w:rsidRPr="00A07EDD">
        <w:fldChar w:fldCharType="end"/>
      </w:r>
    </w:p>
    <w:tbl>
      <w:tblPr>
        <w:tblStyle w:val="TableGrid"/>
        <w:tblW w:w="5000" w:type="pct"/>
        <w:tblBorders>
          <w:insideV w:val="none" w:sz="0" w:space="0" w:color="auto"/>
        </w:tblBorders>
        <w:tblLook w:val="04A0" w:firstRow="1" w:lastRow="0" w:firstColumn="1" w:lastColumn="0" w:noHBand="0" w:noVBand="1"/>
        <w:tblCaption w:val="Table 5 Definitions of factor replacement therapy protocols(National Blood Authority 2016a)"/>
      </w:tblPr>
      <w:tblGrid>
        <w:gridCol w:w="3370"/>
        <w:gridCol w:w="5872"/>
      </w:tblGrid>
      <w:tr w:rsidR="004478F3" w:rsidRPr="00A07EDD" w14:paraId="71CE62B5" w14:textId="77777777" w:rsidTr="000A2091">
        <w:trPr>
          <w:tblHeader/>
        </w:trPr>
        <w:tc>
          <w:tcPr>
            <w:tcW w:w="1823" w:type="pct"/>
            <w:shd w:val="clear" w:color="auto" w:fill="D9D9D9" w:themeFill="background1" w:themeFillShade="D9"/>
          </w:tcPr>
          <w:p w14:paraId="4272A161" w14:textId="77777777" w:rsidR="004478F3" w:rsidRPr="00A07EDD" w:rsidRDefault="004478F3" w:rsidP="004478F3">
            <w:pPr>
              <w:rPr>
                <w:rFonts w:ascii="Arial Narrow" w:hAnsi="Arial Narrow"/>
                <w:sz w:val="20"/>
                <w:szCs w:val="20"/>
              </w:rPr>
            </w:pPr>
            <w:r w:rsidRPr="00A07EDD">
              <w:rPr>
                <w:rFonts w:ascii="Arial Narrow" w:hAnsi="Arial Narrow"/>
                <w:sz w:val="20"/>
                <w:szCs w:val="20"/>
              </w:rPr>
              <w:t>Protocol</w:t>
            </w:r>
          </w:p>
        </w:tc>
        <w:tc>
          <w:tcPr>
            <w:tcW w:w="3177" w:type="pct"/>
            <w:shd w:val="clear" w:color="auto" w:fill="D9D9D9" w:themeFill="background1" w:themeFillShade="D9"/>
          </w:tcPr>
          <w:p w14:paraId="42A5E852" w14:textId="77777777" w:rsidR="004478F3" w:rsidRPr="00A07EDD" w:rsidRDefault="004478F3" w:rsidP="004478F3">
            <w:pPr>
              <w:rPr>
                <w:rFonts w:ascii="Arial Narrow" w:hAnsi="Arial Narrow"/>
                <w:sz w:val="20"/>
                <w:szCs w:val="20"/>
              </w:rPr>
            </w:pPr>
            <w:r w:rsidRPr="00A07EDD">
              <w:rPr>
                <w:rFonts w:ascii="Arial Narrow" w:hAnsi="Arial Narrow"/>
                <w:sz w:val="20"/>
                <w:szCs w:val="20"/>
              </w:rPr>
              <w:t>Definition</w:t>
            </w:r>
          </w:p>
        </w:tc>
      </w:tr>
      <w:tr w:rsidR="004478F3" w:rsidRPr="00A07EDD" w14:paraId="0C87B57D" w14:textId="77777777" w:rsidTr="004478F3">
        <w:tc>
          <w:tcPr>
            <w:tcW w:w="1823" w:type="pct"/>
          </w:tcPr>
          <w:p w14:paraId="15ADC08E" w14:textId="32D38A66" w:rsidR="004478F3" w:rsidRPr="00A07EDD" w:rsidRDefault="00A07EDD" w:rsidP="00A07EDD">
            <w:pPr>
              <w:rPr>
                <w:rFonts w:ascii="Arial Narrow" w:hAnsi="Arial Narrow"/>
                <w:sz w:val="20"/>
                <w:szCs w:val="20"/>
              </w:rPr>
            </w:pPr>
            <w:r>
              <w:rPr>
                <w:rFonts w:ascii="Arial Narrow" w:hAnsi="Arial Narrow"/>
                <w:sz w:val="20"/>
                <w:szCs w:val="20"/>
              </w:rPr>
              <w:t>O</w:t>
            </w:r>
            <w:r w:rsidRPr="00A07EDD">
              <w:rPr>
                <w:rFonts w:ascii="Arial Narrow" w:hAnsi="Arial Narrow"/>
                <w:sz w:val="20"/>
                <w:szCs w:val="20"/>
              </w:rPr>
              <w:t>n-</w:t>
            </w:r>
            <w:r>
              <w:rPr>
                <w:rFonts w:ascii="Arial Narrow" w:hAnsi="Arial Narrow"/>
                <w:sz w:val="20"/>
                <w:szCs w:val="20"/>
              </w:rPr>
              <w:t>demand (</w:t>
            </w:r>
            <w:r w:rsidR="00D80CD0" w:rsidRPr="00A07EDD">
              <w:rPr>
                <w:rFonts w:ascii="Arial Narrow" w:hAnsi="Arial Narrow"/>
                <w:sz w:val="20"/>
                <w:szCs w:val="20"/>
              </w:rPr>
              <w:t>Episodic</w:t>
            </w:r>
            <w:r>
              <w:rPr>
                <w:rFonts w:ascii="Arial Narrow" w:hAnsi="Arial Narrow"/>
                <w:sz w:val="20"/>
                <w:szCs w:val="20"/>
              </w:rPr>
              <w:t xml:space="preserve">) </w:t>
            </w:r>
            <w:r w:rsidR="004478F3" w:rsidRPr="00A07EDD">
              <w:rPr>
                <w:rFonts w:ascii="Arial Narrow" w:hAnsi="Arial Narrow"/>
                <w:sz w:val="20"/>
                <w:szCs w:val="20"/>
              </w:rPr>
              <w:t>treatment</w:t>
            </w:r>
          </w:p>
        </w:tc>
        <w:tc>
          <w:tcPr>
            <w:tcW w:w="3177" w:type="pct"/>
          </w:tcPr>
          <w:p w14:paraId="45C0B25F" w14:textId="77777777" w:rsidR="004478F3" w:rsidRPr="00A07EDD" w:rsidRDefault="004478F3" w:rsidP="004478F3">
            <w:pPr>
              <w:rPr>
                <w:rFonts w:ascii="Arial Narrow" w:hAnsi="Arial Narrow"/>
                <w:sz w:val="20"/>
                <w:szCs w:val="20"/>
              </w:rPr>
            </w:pPr>
            <w:r w:rsidRPr="00A07EDD">
              <w:rPr>
                <w:rFonts w:ascii="Arial Narrow" w:hAnsi="Arial Narrow"/>
                <w:sz w:val="20"/>
                <w:szCs w:val="20"/>
              </w:rPr>
              <w:t>Treatment given at the time of clinically evident bleeding</w:t>
            </w:r>
          </w:p>
        </w:tc>
      </w:tr>
      <w:tr w:rsidR="004478F3" w:rsidRPr="00A07EDD" w14:paraId="3D8B3AE4" w14:textId="77777777" w:rsidTr="004478F3">
        <w:tc>
          <w:tcPr>
            <w:tcW w:w="1823" w:type="pct"/>
          </w:tcPr>
          <w:p w14:paraId="4D4A411E" w14:textId="63967ADC" w:rsidR="004478F3" w:rsidRPr="00A07EDD" w:rsidRDefault="004478F3" w:rsidP="004478F3">
            <w:pPr>
              <w:rPr>
                <w:rFonts w:ascii="Arial Narrow" w:hAnsi="Arial Narrow"/>
                <w:sz w:val="20"/>
                <w:szCs w:val="20"/>
              </w:rPr>
            </w:pPr>
            <w:r w:rsidRPr="00A07EDD">
              <w:rPr>
                <w:rFonts w:ascii="Arial Narrow" w:hAnsi="Arial Narrow"/>
                <w:sz w:val="20"/>
                <w:szCs w:val="20"/>
              </w:rPr>
              <w:t>Continuous</w:t>
            </w:r>
            <w:r w:rsidR="00A07EDD">
              <w:rPr>
                <w:rFonts w:ascii="Arial Narrow" w:hAnsi="Arial Narrow"/>
                <w:sz w:val="20"/>
                <w:szCs w:val="20"/>
                <w:vertAlign w:val="superscript"/>
              </w:rPr>
              <w:t>1</w:t>
            </w:r>
            <w:r w:rsidRPr="00A07EDD">
              <w:rPr>
                <w:rFonts w:ascii="Arial Narrow" w:hAnsi="Arial Narrow"/>
                <w:sz w:val="20"/>
                <w:szCs w:val="20"/>
              </w:rPr>
              <w:t xml:space="preserve"> prophylaxis/</w:t>
            </w:r>
          </w:p>
          <w:p w14:paraId="34B10B65" w14:textId="77777777" w:rsidR="004478F3" w:rsidRPr="00A07EDD" w:rsidRDefault="004478F3" w:rsidP="004478F3">
            <w:pPr>
              <w:rPr>
                <w:rFonts w:ascii="Arial Narrow" w:hAnsi="Arial Narrow"/>
                <w:sz w:val="20"/>
                <w:szCs w:val="20"/>
              </w:rPr>
            </w:pPr>
            <w:r w:rsidRPr="00A07EDD">
              <w:rPr>
                <w:rFonts w:ascii="Arial Narrow" w:hAnsi="Arial Narrow"/>
                <w:sz w:val="20"/>
                <w:szCs w:val="20"/>
              </w:rPr>
              <w:t>Primary prophylaxis</w:t>
            </w:r>
          </w:p>
        </w:tc>
        <w:tc>
          <w:tcPr>
            <w:tcW w:w="3177" w:type="pct"/>
          </w:tcPr>
          <w:p w14:paraId="070EDFF6" w14:textId="4C81731E" w:rsidR="004478F3" w:rsidRPr="00A07EDD" w:rsidRDefault="004478F3" w:rsidP="004478F3">
            <w:pPr>
              <w:rPr>
                <w:rFonts w:ascii="Arial Narrow" w:hAnsi="Arial Narrow"/>
                <w:sz w:val="20"/>
                <w:szCs w:val="20"/>
              </w:rPr>
            </w:pPr>
            <w:r w:rsidRPr="00A07EDD">
              <w:rPr>
                <w:rFonts w:ascii="Arial Narrow" w:hAnsi="Arial Narrow"/>
                <w:sz w:val="20"/>
                <w:szCs w:val="20"/>
              </w:rPr>
              <w:t xml:space="preserve">Regular </w:t>
            </w:r>
            <w:r w:rsidR="00DF1C05" w:rsidRPr="00A07EDD">
              <w:rPr>
                <w:rFonts w:ascii="Arial Narrow" w:hAnsi="Arial Narrow"/>
                <w:sz w:val="20"/>
                <w:szCs w:val="20"/>
              </w:rPr>
              <w:t>continuous</w:t>
            </w:r>
            <w:r w:rsidRPr="00A07EDD">
              <w:rPr>
                <w:rFonts w:ascii="Arial Narrow" w:hAnsi="Arial Narrow"/>
                <w:sz w:val="20"/>
                <w:szCs w:val="20"/>
              </w:rPr>
              <w:t xml:space="preserve"> </w:t>
            </w:r>
            <w:r w:rsidR="00A07EDD" w:rsidRPr="00A07EDD">
              <w:rPr>
                <w:rFonts w:ascii="Arial Narrow" w:hAnsi="Arial Narrow"/>
                <w:sz w:val="20"/>
                <w:szCs w:val="20"/>
              </w:rPr>
              <w:t>prophylaxis</w:t>
            </w:r>
            <w:r w:rsidRPr="00A07EDD">
              <w:rPr>
                <w:rFonts w:ascii="Arial Narrow" w:hAnsi="Arial Narrow"/>
                <w:sz w:val="20"/>
                <w:szCs w:val="20"/>
              </w:rPr>
              <w:t xml:space="preserve"> initiated in the absence of documented osteochondral joint disease, determined by physical examination or imaging studies (or both), and</w:t>
            </w:r>
          </w:p>
          <w:p w14:paraId="60B291AB" w14:textId="6CE18036" w:rsidR="004478F3" w:rsidRPr="00A07EDD" w:rsidRDefault="004478F3" w:rsidP="00A07EDD">
            <w:pPr>
              <w:rPr>
                <w:rFonts w:ascii="Arial Narrow" w:hAnsi="Arial Narrow"/>
                <w:sz w:val="20"/>
                <w:szCs w:val="20"/>
              </w:rPr>
            </w:pPr>
            <w:r w:rsidRPr="00A07EDD">
              <w:rPr>
                <w:rFonts w:ascii="Arial Narrow" w:hAnsi="Arial Narrow"/>
                <w:sz w:val="20"/>
                <w:szCs w:val="20"/>
              </w:rPr>
              <w:t>started before the second clinically evident large joint bleed and age 3 years</w:t>
            </w:r>
            <w:r w:rsidR="00A07EDD">
              <w:rPr>
                <w:rFonts w:ascii="Arial Narrow" w:hAnsi="Arial Narrow"/>
                <w:sz w:val="20"/>
                <w:szCs w:val="20"/>
              </w:rPr>
              <w:t>.</w:t>
            </w:r>
            <w:r w:rsidR="000E5F7E">
              <w:rPr>
                <w:rFonts w:ascii="Arial Narrow" w:hAnsi="Arial Narrow"/>
                <w:sz w:val="20"/>
                <w:szCs w:val="20"/>
                <w:vertAlign w:val="superscript"/>
              </w:rPr>
              <w:t>2.</w:t>
            </w:r>
          </w:p>
        </w:tc>
      </w:tr>
      <w:tr w:rsidR="004478F3" w:rsidRPr="00A07EDD" w14:paraId="52628457" w14:textId="77777777" w:rsidTr="004478F3">
        <w:tc>
          <w:tcPr>
            <w:tcW w:w="1823" w:type="pct"/>
          </w:tcPr>
          <w:p w14:paraId="215F1AA4" w14:textId="77777777" w:rsidR="004478F3" w:rsidRPr="00A07EDD" w:rsidRDefault="004478F3" w:rsidP="004478F3">
            <w:pPr>
              <w:rPr>
                <w:rFonts w:ascii="Arial Narrow" w:hAnsi="Arial Narrow"/>
                <w:sz w:val="20"/>
                <w:szCs w:val="20"/>
              </w:rPr>
            </w:pPr>
            <w:r w:rsidRPr="00A07EDD">
              <w:rPr>
                <w:rFonts w:ascii="Arial Narrow" w:hAnsi="Arial Narrow"/>
                <w:sz w:val="20"/>
                <w:szCs w:val="20"/>
              </w:rPr>
              <w:t>Secondary prophylaxis</w:t>
            </w:r>
          </w:p>
        </w:tc>
        <w:tc>
          <w:tcPr>
            <w:tcW w:w="3177" w:type="pct"/>
          </w:tcPr>
          <w:p w14:paraId="588DC8F0" w14:textId="22009A72" w:rsidR="004478F3" w:rsidRPr="00A07EDD" w:rsidRDefault="004478F3" w:rsidP="000E5F7E">
            <w:pPr>
              <w:rPr>
                <w:rFonts w:ascii="Arial Narrow" w:hAnsi="Arial Narrow"/>
                <w:sz w:val="20"/>
                <w:szCs w:val="20"/>
              </w:rPr>
            </w:pPr>
            <w:r w:rsidRPr="00A07EDD">
              <w:rPr>
                <w:rFonts w:ascii="Arial Narrow" w:hAnsi="Arial Narrow"/>
                <w:sz w:val="20"/>
                <w:szCs w:val="20"/>
              </w:rPr>
              <w:t>Regular continuous</w:t>
            </w:r>
            <w:r w:rsidR="00A07EDD">
              <w:rPr>
                <w:rFonts w:ascii="Arial Narrow" w:hAnsi="Arial Narrow"/>
                <w:sz w:val="20"/>
                <w:szCs w:val="20"/>
                <w:vertAlign w:val="superscript"/>
              </w:rPr>
              <w:t>1</w:t>
            </w:r>
            <w:r w:rsidRPr="00A07EDD">
              <w:rPr>
                <w:rFonts w:ascii="Arial Narrow" w:hAnsi="Arial Narrow"/>
                <w:sz w:val="20"/>
                <w:szCs w:val="20"/>
              </w:rPr>
              <w:t xml:space="preserve"> </w:t>
            </w:r>
            <w:r w:rsidR="00A07EDD" w:rsidRPr="00A07EDD">
              <w:rPr>
                <w:rFonts w:ascii="Arial Narrow" w:hAnsi="Arial Narrow"/>
                <w:sz w:val="20"/>
                <w:szCs w:val="20"/>
              </w:rPr>
              <w:t>prophylaxis</w:t>
            </w:r>
            <w:r w:rsidRPr="00A07EDD">
              <w:rPr>
                <w:rFonts w:ascii="Arial Narrow" w:hAnsi="Arial Narrow"/>
                <w:sz w:val="20"/>
                <w:szCs w:val="20"/>
              </w:rPr>
              <w:t xml:space="preserve"> started after two or more bleeds into large </w:t>
            </w:r>
            <w:r w:rsidRPr="00A07EDD">
              <w:rPr>
                <w:rFonts w:ascii="Arial Narrow" w:hAnsi="Arial Narrow"/>
                <w:sz w:val="20"/>
                <w:szCs w:val="20"/>
              </w:rPr>
              <w:lastRenderedPageBreak/>
              <w:t>joints,</w:t>
            </w:r>
            <w:r w:rsidR="00A07EDD">
              <w:rPr>
                <w:rFonts w:ascii="Arial Narrow" w:hAnsi="Arial Narrow"/>
                <w:sz w:val="20"/>
                <w:szCs w:val="20"/>
                <w:vertAlign w:val="superscript"/>
              </w:rPr>
              <w:t>2</w:t>
            </w:r>
            <w:r w:rsidRPr="00A07EDD">
              <w:rPr>
                <w:rFonts w:ascii="Arial Narrow" w:hAnsi="Arial Narrow"/>
                <w:sz w:val="20"/>
                <w:szCs w:val="20"/>
              </w:rPr>
              <w:t xml:space="preserve"> and before the onset of joint disease documented by physical examination and imaging studies</w:t>
            </w:r>
          </w:p>
        </w:tc>
      </w:tr>
      <w:tr w:rsidR="004478F3" w:rsidRPr="00A07EDD" w14:paraId="676F5F5A" w14:textId="77777777" w:rsidTr="004478F3">
        <w:tc>
          <w:tcPr>
            <w:tcW w:w="1823" w:type="pct"/>
          </w:tcPr>
          <w:p w14:paraId="287BDFB0" w14:textId="77777777" w:rsidR="004478F3" w:rsidRPr="00A07EDD" w:rsidRDefault="004478F3" w:rsidP="004478F3">
            <w:pPr>
              <w:rPr>
                <w:rFonts w:ascii="Arial Narrow" w:hAnsi="Arial Narrow"/>
                <w:sz w:val="20"/>
                <w:szCs w:val="20"/>
              </w:rPr>
            </w:pPr>
            <w:r w:rsidRPr="00A07EDD">
              <w:rPr>
                <w:rFonts w:ascii="Arial Narrow" w:hAnsi="Arial Narrow"/>
                <w:sz w:val="20"/>
                <w:szCs w:val="20"/>
              </w:rPr>
              <w:lastRenderedPageBreak/>
              <w:t>Tertiary prophylaxis</w:t>
            </w:r>
          </w:p>
        </w:tc>
        <w:tc>
          <w:tcPr>
            <w:tcW w:w="3177" w:type="pct"/>
          </w:tcPr>
          <w:p w14:paraId="334133DC" w14:textId="0C31C070" w:rsidR="004478F3" w:rsidRPr="00A07EDD" w:rsidRDefault="004478F3" w:rsidP="000E5F7E">
            <w:pPr>
              <w:rPr>
                <w:rFonts w:ascii="Arial Narrow" w:hAnsi="Arial Narrow"/>
                <w:sz w:val="20"/>
                <w:szCs w:val="20"/>
              </w:rPr>
            </w:pPr>
            <w:r w:rsidRPr="00A07EDD">
              <w:rPr>
                <w:rFonts w:ascii="Arial Narrow" w:hAnsi="Arial Narrow"/>
                <w:sz w:val="20"/>
                <w:szCs w:val="20"/>
              </w:rPr>
              <w:t xml:space="preserve">Regular </w:t>
            </w:r>
            <w:r w:rsidR="00DF1C05" w:rsidRPr="00A07EDD">
              <w:rPr>
                <w:rFonts w:ascii="Arial Narrow" w:hAnsi="Arial Narrow"/>
                <w:sz w:val="20"/>
                <w:szCs w:val="20"/>
              </w:rPr>
              <w:t>continuous</w:t>
            </w:r>
            <w:r w:rsidRPr="00A07EDD">
              <w:rPr>
                <w:rFonts w:ascii="Arial Narrow" w:hAnsi="Arial Narrow"/>
                <w:sz w:val="20"/>
                <w:szCs w:val="20"/>
              </w:rPr>
              <w:t xml:space="preserve"> </w:t>
            </w:r>
            <w:r w:rsidR="00A07EDD" w:rsidRPr="00A07EDD">
              <w:rPr>
                <w:rFonts w:ascii="Arial Narrow" w:hAnsi="Arial Narrow"/>
                <w:sz w:val="20"/>
                <w:szCs w:val="20"/>
              </w:rPr>
              <w:t>prophylaxis</w:t>
            </w:r>
            <w:r w:rsidRPr="00A07EDD">
              <w:rPr>
                <w:rFonts w:ascii="Arial Narrow" w:hAnsi="Arial Narrow"/>
                <w:sz w:val="20"/>
                <w:szCs w:val="20"/>
              </w:rPr>
              <w:t xml:space="preserve"> started after the onset of joint disease documented by physical examination and plain radiographs of the affected joints</w:t>
            </w:r>
          </w:p>
        </w:tc>
      </w:tr>
      <w:tr w:rsidR="004478F3" w:rsidRPr="00A07EDD" w14:paraId="47A6E141" w14:textId="77777777" w:rsidTr="004478F3">
        <w:tc>
          <w:tcPr>
            <w:tcW w:w="1823" w:type="pct"/>
          </w:tcPr>
          <w:p w14:paraId="36A9F722" w14:textId="77777777" w:rsidR="004478F3" w:rsidRPr="00A07EDD" w:rsidRDefault="004478F3" w:rsidP="004478F3">
            <w:pPr>
              <w:rPr>
                <w:rFonts w:ascii="Arial Narrow" w:hAnsi="Arial Narrow"/>
                <w:sz w:val="20"/>
                <w:szCs w:val="20"/>
              </w:rPr>
            </w:pPr>
            <w:r w:rsidRPr="00A07EDD">
              <w:rPr>
                <w:rFonts w:ascii="Arial Narrow" w:hAnsi="Arial Narrow"/>
                <w:sz w:val="20"/>
                <w:szCs w:val="20"/>
              </w:rPr>
              <w:t>Intermittent (‘periodic’) prophylaxis</w:t>
            </w:r>
          </w:p>
        </w:tc>
        <w:tc>
          <w:tcPr>
            <w:tcW w:w="3177" w:type="pct"/>
          </w:tcPr>
          <w:p w14:paraId="317A9B5C" w14:textId="6BB044ED" w:rsidR="004478F3" w:rsidRPr="00A07EDD" w:rsidRDefault="00A07EDD" w:rsidP="000E5F7E">
            <w:pPr>
              <w:rPr>
                <w:rFonts w:ascii="Arial Narrow" w:hAnsi="Arial Narrow"/>
                <w:sz w:val="20"/>
                <w:szCs w:val="20"/>
              </w:rPr>
            </w:pPr>
            <w:r>
              <w:rPr>
                <w:rFonts w:ascii="Arial Narrow" w:hAnsi="Arial Narrow"/>
                <w:sz w:val="20"/>
                <w:szCs w:val="20"/>
              </w:rPr>
              <w:t>P</w:t>
            </w:r>
            <w:r w:rsidRPr="00A07EDD">
              <w:rPr>
                <w:rFonts w:ascii="Arial Narrow" w:hAnsi="Arial Narrow"/>
                <w:sz w:val="20"/>
                <w:szCs w:val="20"/>
              </w:rPr>
              <w:t xml:space="preserve">rophylaxis </w:t>
            </w:r>
            <w:r w:rsidR="004478F3" w:rsidRPr="00A07EDD">
              <w:rPr>
                <w:rFonts w:ascii="Arial Narrow" w:hAnsi="Arial Narrow"/>
                <w:sz w:val="20"/>
                <w:szCs w:val="20"/>
              </w:rPr>
              <w:t>given to prevent bleeding for periods not exceeding 45 weeks in a year</w:t>
            </w:r>
          </w:p>
        </w:tc>
      </w:tr>
    </w:tbl>
    <w:p w14:paraId="681C435E" w14:textId="1B373189" w:rsidR="004478F3" w:rsidRPr="00A07EDD" w:rsidRDefault="00A07EDD" w:rsidP="00A07EDD">
      <w:pPr>
        <w:spacing w:after="0"/>
        <w:ind w:left="142" w:hanging="142"/>
        <w:rPr>
          <w:rFonts w:ascii="Arial Narrow" w:hAnsi="Arial Narrow"/>
          <w:sz w:val="18"/>
          <w:szCs w:val="18"/>
        </w:rPr>
      </w:pPr>
      <w:r>
        <w:rPr>
          <w:rFonts w:ascii="Arial Narrow" w:hAnsi="Arial Narrow"/>
          <w:sz w:val="18"/>
          <w:szCs w:val="18"/>
          <w:vertAlign w:val="superscript"/>
        </w:rPr>
        <w:t>1</w:t>
      </w:r>
      <w:r w:rsidR="004478F3" w:rsidRPr="00A07EDD">
        <w:rPr>
          <w:rFonts w:ascii="Arial Narrow" w:hAnsi="Arial Narrow"/>
          <w:sz w:val="18"/>
          <w:szCs w:val="18"/>
        </w:rPr>
        <w:t xml:space="preserve"> ‘Continuous’ is defined as the intent of treating for 52 weeks/year, and receiving a minimum of an a priori defined frequency of infusions for at least 45 weeks (85%) of the year under consideration.</w:t>
      </w:r>
    </w:p>
    <w:p w14:paraId="5FBEE130" w14:textId="14DEEC5A" w:rsidR="00EF07FB" w:rsidRPr="00A07EDD" w:rsidRDefault="00A07EDD" w:rsidP="00A07EDD">
      <w:pPr>
        <w:ind w:left="142" w:hanging="142"/>
        <w:rPr>
          <w:rFonts w:ascii="Arial Narrow" w:hAnsi="Arial Narrow"/>
          <w:sz w:val="18"/>
          <w:szCs w:val="18"/>
        </w:rPr>
      </w:pPr>
      <w:r>
        <w:rPr>
          <w:rFonts w:ascii="Arial Narrow" w:hAnsi="Arial Narrow"/>
          <w:sz w:val="18"/>
          <w:szCs w:val="18"/>
          <w:vertAlign w:val="superscript"/>
        </w:rPr>
        <w:t>2</w:t>
      </w:r>
      <w:r w:rsidR="00DF1C05" w:rsidRPr="00A07EDD">
        <w:rPr>
          <w:rFonts w:ascii="Arial Narrow" w:hAnsi="Arial Narrow"/>
          <w:sz w:val="18"/>
          <w:szCs w:val="18"/>
        </w:rPr>
        <w:t xml:space="preserve"> ‘Large</w:t>
      </w:r>
      <w:r w:rsidR="004478F3" w:rsidRPr="00A07EDD">
        <w:rPr>
          <w:rFonts w:ascii="Arial Narrow" w:hAnsi="Arial Narrow"/>
          <w:sz w:val="18"/>
          <w:szCs w:val="18"/>
        </w:rPr>
        <w:t xml:space="preserve"> joints’ are ankles, knees, hips, elbows and shoulders.</w:t>
      </w:r>
    </w:p>
    <w:p w14:paraId="1F60CC08" w14:textId="7B6C54FE" w:rsidR="004478F3" w:rsidRPr="00431A19" w:rsidRDefault="004478F3" w:rsidP="002820D3">
      <w:pPr>
        <w:pStyle w:val="Heading4"/>
      </w:pPr>
      <w:r w:rsidRPr="00431A19">
        <w:t>Place in treatment</w:t>
      </w:r>
      <w:r>
        <w:t xml:space="preserve"> in population </w:t>
      </w:r>
      <w:r w:rsidR="004A221B">
        <w:t>one</w:t>
      </w:r>
    </w:p>
    <w:p w14:paraId="633B9F0B" w14:textId="5FD9B88F" w:rsidR="00EF07FB" w:rsidRDefault="00B529E9" w:rsidP="005B2674">
      <w:r>
        <w:t>For patients with inhibitors</w:t>
      </w:r>
      <w:r w:rsidR="004A221B">
        <w:t>,</w:t>
      </w:r>
      <w:r>
        <w:t xml:space="preserve"> emicizumab represents a novel </w:t>
      </w:r>
      <w:r w:rsidR="004A221B">
        <w:t xml:space="preserve">therapy </w:t>
      </w:r>
      <w:r>
        <w:t xml:space="preserve">option which the applicant indicates would </w:t>
      </w:r>
      <w:r w:rsidR="004A221B">
        <w:t>replace prophylaxis with BPAs or provide a</w:t>
      </w:r>
      <w:r w:rsidR="009E18CD">
        <w:t>n</w:t>
      </w:r>
      <w:r w:rsidR="004A221B">
        <w:t xml:space="preserve"> option for patients for whom BPA</w:t>
      </w:r>
      <w:r w:rsidR="000024A7">
        <w:t>s</w:t>
      </w:r>
      <w:r w:rsidR="004A221B">
        <w:t xml:space="preserve"> are not a viable prophylactic regimen </w:t>
      </w:r>
      <w:r w:rsidR="00EF07FB">
        <w:t>(</w:t>
      </w:r>
      <w:r w:rsidR="00EF07FB">
        <w:fldChar w:fldCharType="begin"/>
      </w:r>
      <w:r w:rsidR="00EF07FB">
        <w:instrText xml:space="preserve"> REF _Ref494978984 \h </w:instrText>
      </w:r>
      <w:r w:rsidR="00EF07FB">
        <w:fldChar w:fldCharType="separate"/>
      </w:r>
      <w:r w:rsidR="00A04E68" w:rsidRPr="004A5756">
        <w:t xml:space="preserve">Table </w:t>
      </w:r>
      <w:r w:rsidR="00A04E68">
        <w:rPr>
          <w:noProof/>
        </w:rPr>
        <w:t>6</w:t>
      </w:r>
      <w:r w:rsidR="00EF07FB">
        <w:fldChar w:fldCharType="end"/>
      </w:r>
      <w:r>
        <w:t xml:space="preserve"> </w:t>
      </w:r>
      <w:r w:rsidR="00EF07FB">
        <w:t>describes common prophylaxis or on-demand regimens with BPAs for patients with inhibitors). This i</w:t>
      </w:r>
      <w:r w:rsidR="00030752">
        <w:t xml:space="preserve">s indicated in trial enrolment and by the clinical pathway </w:t>
      </w:r>
      <w:r w:rsidR="004A221B">
        <w:t xml:space="preserve">for </w:t>
      </w:r>
      <w:r w:rsidR="00030752">
        <w:t>emicizumab</w:t>
      </w:r>
      <w:r w:rsidR="00431A19" w:rsidRPr="00E443D5">
        <w:t xml:space="preserve"> (inclusion criteria of HAVEN 1).</w:t>
      </w:r>
    </w:p>
    <w:p w14:paraId="3EA2AC77" w14:textId="08C2E615" w:rsidR="007B2D09" w:rsidRPr="00030752" w:rsidRDefault="007B2D09" w:rsidP="005B2674">
      <w:r w:rsidRPr="00030752">
        <w:t>Additionally</w:t>
      </w:r>
      <w:r w:rsidR="00EF07FB">
        <w:t xml:space="preserve"> feedback from clinical experts has indicated that</w:t>
      </w:r>
      <w:r w:rsidRPr="00030752">
        <w:t xml:space="preserve"> emicizumab may be used as a bridge to tolerisation therapy in some patients, </w:t>
      </w:r>
      <w:r w:rsidR="007C396B" w:rsidRPr="00030752">
        <w:t>particularly</w:t>
      </w:r>
      <w:r w:rsidRPr="00030752">
        <w:t xml:space="preserve"> those in whom placement of a central venous access device is contraindicated</w:t>
      </w:r>
      <w:r w:rsidRPr="00E443D5">
        <w:t>. For others</w:t>
      </w:r>
      <w:r w:rsidR="00E443D5">
        <w:t>,</w:t>
      </w:r>
      <w:r w:rsidRPr="00E443D5">
        <w:t xml:space="preserve"> emicizumab may be preferred over tolerisation particularly if the patient would have difficulty complying with a </w:t>
      </w:r>
      <w:r w:rsidRPr="00030752">
        <w:t>rigorous tolerisation schedule</w:t>
      </w:r>
      <w:r w:rsidRPr="00E443D5">
        <w:t>.</w:t>
      </w:r>
    </w:p>
    <w:p w14:paraId="52CAF04C" w14:textId="462509B0" w:rsidR="00EF07FB" w:rsidRDefault="00277A72" w:rsidP="005B2674">
      <w:r>
        <w:t>For patients with inhibitors</w:t>
      </w:r>
      <w:r w:rsidR="009763FC">
        <w:t>,</w:t>
      </w:r>
      <w:r>
        <w:t xml:space="preserve"> emicizumab represents a novel </w:t>
      </w:r>
      <w:r w:rsidR="009E18CD">
        <w:t xml:space="preserve">therapy </w:t>
      </w:r>
      <w:r>
        <w:t>option that could provide a form of prophylaxis not currently available for this patient group.</w:t>
      </w:r>
    </w:p>
    <w:p w14:paraId="6DF86FA6" w14:textId="0D2566C1" w:rsidR="007B2D09" w:rsidRDefault="00605932" w:rsidP="005B2674">
      <w:r>
        <w:t xml:space="preserve">However, it is also important to note that emicizumab will not eliminate the need for </w:t>
      </w:r>
      <w:r w:rsidR="00887604">
        <w:t xml:space="preserve">BPAs </w:t>
      </w:r>
      <w:r>
        <w:t>entirely</w:t>
      </w:r>
      <w:r w:rsidR="009E18CD">
        <w:t>.</w:t>
      </w:r>
      <w:r>
        <w:t xml:space="preserve"> </w:t>
      </w:r>
      <w:r w:rsidR="009E18CD">
        <w:t>B</w:t>
      </w:r>
      <w:r>
        <w:t xml:space="preserve">reakthrough </w:t>
      </w:r>
      <w:r w:rsidR="009763FC">
        <w:t xml:space="preserve">bleeding </w:t>
      </w:r>
      <w:r w:rsidR="009E18CD">
        <w:t xml:space="preserve">in patients with inhibitors </w:t>
      </w:r>
      <w:r>
        <w:t>whil</w:t>
      </w:r>
      <w:r w:rsidR="009E18CD">
        <w:t xml:space="preserve">e </w:t>
      </w:r>
      <w:r>
        <w:t>on emicizumab</w:t>
      </w:r>
      <w:r w:rsidR="009E18CD">
        <w:t xml:space="preserve"> prophylaxis</w:t>
      </w:r>
      <w:r>
        <w:t xml:space="preserve"> will still require acute treatment.</w:t>
      </w:r>
    </w:p>
    <w:p w14:paraId="2639A109" w14:textId="118475F9" w:rsidR="007B2D09" w:rsidRPr="00431A19" w:rsidRDefault="007B2D09" w:rsidP="002820D3">
      <w:pPr>
        <w:pStyle w:val="Heading4"/>
      </w:pPr>
      <w:r w:rsidRPr="00431A19">
        <w:t>Place in treatment</w:t>
      </w:r>
      <w:r>
        <w:t xml:space="preserve"> in population </w:t>
      </w:r>
      <w:r w:rsidR="00DA15E8">
        <w:t>two</w:t>
      </w:r>
    </w:p>
    <w:p w14:paraId="32C6E7AF" w14:textId="0EB90CE5" w:rsidR="00605932" w:rsidRDefault="007B2D09" w:rsidP="004478F3">
      <w:r>
        <w:t xml:space="preserve">For population </w:t>
      </w:r>
      <w:r w:rsidR="00DA15E8">
        <w:t>two</w:t>
      </w:r>
      <w:r>
        <w:t xml:space="preserve">, </w:t>
      </w:r>
      <w:r w:rsidR="00030752">
        <w:t xml:space="preserve">the standard of care for prophylaxis to protect joint health is </w:t>
      </w:r>
      <w:r w:rsidR="00030752" w:rsidRPr="00030752">
        <w:t>intraven</w:t>
      </w:r>
      <w:r w:rsidR="00030752">
        <w:t xml:space="preserve">ous infusions of </w:t>
      </w:r>
      <w:r w:rsidR="00DA15E8">
        <w:t>F</w:t>
      </w:r>
      <w:r w:rsidR="00030752">
        <w:t>VIII</w:t>
      </w:r>
      <w:r w:rsidR="00030752" w:rsidRPr="00030752">
        <w:t xml:space="preserve"> </w:t>
      </w:r>
      <w:r w:rsidR="00030752">
        <w:t xml:space="preserve">(from 25 to 40 IU/kg) three times per week or on alternate days with </w:t>
      </w:r>
      <w:r w:rsidR="00DA15E8">
        <w:t>on-demand</w:t>
      </w:r>
      <w:r w:rsidR="00030752">
        <w:t xml:space="preserve"> </w:t>
      </w:r>
      <w:r w:rsidR="006D4F46">
        <w:t xml:space="preserve">treatments </w:t>
      </w:r>
      <w:r w:rsidR="00030752">
        <w:t>to manage acute bleeding or surgery</w:t>
      </w:r>
      <w:r w:rsidR="00DA15E8">
        <w:t xml:space="preserve"> cover</w:t>
      </w:r>
      <w:r w:rsidR="00030752">
        <w:t xml:space="preserve">. The duration of </w:t>
      </w:r>
      <w:r w:rsidR="00DA15E8">
        <w:t>F</w:t>
      </w:r>
      <w:r w:rsidR="00030752">
        <w:t xml:space="preserve">VIII replacement and the dose is dependent on the severity of haemophilia and the seriousness of the bleed or surgical procedure being managed. </w:t>
      </w:r>
      <w:r w:rsidR="007C396B">
        <w:t>P</w:t>
      </w:r>
      <w:r w:rsidR="007C396B" w:rsidRPr="007C396B">
        <w:t xml:space="preserve">rotein modifications intended to delay </w:t>
      </w:r>
      <w:r w:rsidR="00CF1B88">
        <w:t>recombinant F</w:t>
      </w:r>
      <w:r w:rsidR="007C396B" w:rsidRPr="007C396B">
        <w:t xml:space="preserve">VIII clearance and reduce infusion frequency have been </w:t>
      </w:r>
      <w:r w:rsidR="007C396B">
        <w:t>trialled</w:t>
      </w:r>
      <w:r w:rsidR="00CF1B88">
        <w:t>;</w:t>
      </w:r>
      <w:r w:rsidR="007C396B">
        <w:t xml:space="preserve"> however, the burden of treatment in </w:t>
      </w:r>
      <w:r w:rsidR="00CF1B88">
        <w:t xml:space="preserve">HMA patients is still high. </w:t>
      </w:r>
      <w:r w:rsidR="007C396B">
        <w:t xml:space="preserve">In patients with </w:t>
      </w:r>
      <w:r w:rsidR="00CF1B88">
        <w:t>cHMA</w:t>
      </w:r>
      <w:r w:rsidR="007C396B">
        <w:t xml:space="preserve"> without inhibitors emicizumab would be expected to replace both proph</w:t>
      </w:r>
      <w:r w:rsidR="00CF1B88">
        <w:t>ylactic F</w:t>
      </w:r>
      <w:r w:rsidR="004478F3">
        <w:t xml:space="preserve">VIII replacement (cohort 4 of HAVEN 3 and patients in Shima et al 2016) and </w:t>
      </w:r>
      <w:r w:rsidR="00CF1B88">
        <w:t>on-demand F</w:t>
      </w:r>
      <w:r w:rsidR="004478F3">
        <w:t xml:space="preserve">VIII </w:t>
      </w:r>
      <w:r w:rsidR="00CF1B88">
        <w:t xml:space="preserve">treatment </w:t>
      </w:r>
      <w:r w:rsidR="004478F3">
        <w:t>(HAVEN 3 inclusion criteria).</w:t>
      </w:r>
    </w:p>
    <w:p w14:paraId="0D4693D9" w14:textId="2D617179" w:rsidR="00817B5A" w:rsidRDefault="00431A19" w:rsidP="002820D3">
      <w:pPr>
        <w:pStyle w:val="Heading3"/>
      </w:pPr>
      <w:r w:rsidRPr="00431A19">
        <w:t>Provider and setting</w:t>
      </w:r>
    </w:p>
    <w:p w14:paraId="47805B63" w14:textId="562EFE33" w:rsidR="00FC17DD" w:rsidRPr="00C6056D" w:rsidRDefault="00FC17DD" w:rsidP="00FC17DD">
      <w:pPr>
        <w:rPr>
          <w:i/>
        </w:rPr>
      </w:pPr>
      <w:r w:rsidRPr="00E443D5">
        <w:rPr>
          <w:i/>
        </w:rPr>
        <w:t>The intervention is not currently reimbursed in the private or public setting in Australia. The following active trials have study sites in Australia (HAVEN 1, 3 and 4 and STASEY</w:t>
      </w:r>
      <w:r w:rsidR="00605932" w:rsidRPr="00E443D5">
        <w:rPr>
          <w:i/>
        </w:rPr>
        <w:t xml:space="preserve"> – see </w:t>
      </w:r>
      <w:r w:rsidR="00605932" w:rsidRPr="00E443D5">
        <w:rPr>
          <w:i/>
        </w:rPr>
        <w:fldChar w:fldCharType="begin"/>
      </w:r>
      <w:r w:rsidR="00605932" w:rsidRPr="00E443D5">
        <w:rPr>
          <w:i/>
        </w:rPr>
        <w:instrText xml:space="preserve"> REF _Ref494884022 \h  \* MERGEFORMAT </w:instrText>
      </w:r>
      <w:r w:rsidR="00605932" w:rsidRPr="00E443D5">
        <w:rPr>
          <w:i/>
        </w:rPr>
      </w:r>
      <w:r w:rsidR="00605932" w:rsidRPr="00E443D5">
        <w:rPr>
          <w:i/>
        </w:rPr>
        <w:fldChar w:fldCharType="separate"/>
      </w:r>
      <w:r w:rsidR="00A04E68" w:rsidRPr="00A04E68">
        <w:rPr>
          <w:i/>
        </w:rPr>
        <w:t>Table 7</w:t>
      </w:r>
      <w:r w:rsidR="00605932" w:rsidRPr="00E443D5">
        <w:rPr>
          <w:i/>
        </w:rPr>
        <w:fldChar w:fldCharType="end"/>
      </w:r>
      <w:r w:rsidRPr="00E443D5">
        <w:rPr>
          <w:i/>
        </w:rPr>
        <w:t xml:space="preserve">) – it is expected that </w:t>
      </w:r>
      <w:r w:rsidR="00605932" w:rsidRPr="00E443D5">
        <w:rPr>
          <w:i/>
        </w:rPr>
        <w:t>a small number of</w:t>
      </w:r>
      <w:r w:rsidRPr="00E443D5">
        <w:rPr>
          <w:i/>
        </w:rPr>
        <w:t xml:space="preserve"> patients in Australia have had access to emicizumab in the trial setting</w:t>
      </w:r>
      <w:r w:rsidRPr="00C6056D">
        <w:rPr>
          <w:i/>
        </w:rPr>
        <w:t>.</w:t>
      </w:r>
    </w:p>
    <w:p w14:paraId="32276E43" w14:textId="6C8AA6FA" w:rsidR="00605932" w:rsidRDefault="00C760A7" w:rsidP="00FC17DD">
      <w:r>
        <w:t xml:space="preserve">As noted by the applicant, management of </w:t>
      </w:r>
      <w:r w:rsidR="001677B9">
        <w:t>HMA</w:t>
      </w:r>
      <w:r>
        <w:t xml:space="preserve"> is complex and patients would be manage</w:t>
      </w:r>
      <w:r w:rsidR="001677B9">
        <w:t>d</w:t>
      </w:r>
      <w:r>
        <w:t xml:space="preserve"> in specialist centres where the diverse needs of patients and their families can be met by a multidisciplinary team of health</w:t>
      </w:r>
      <w:r w:rsidR="003E173E">
        <w:t>care</w:t>
      </w:r>
      <w:r>
        <w:t xml:space="preserve"> professionals</w:t>
      </w:r>
      <w:r w:rsidR="0099160D">
        <w:t>.</w:t>
      </w:r>
      <w:r w:rsidR="0099160D" w:rsidRPr="0099160D">
        <w:t xml:space="preserve"> Additionally, patients that develop inhibitors to treatment with plasma</w:t>
      </w:r>
      <w:r w:rsidR="000E715D">
        <w:t xml:space="preserve"> </w:t>
      </w:r>
      <w:r w:rsidR="0099160D" w:rsidRPr="0099160D">
        <w:t xml:space="preserve">derived or recombinant FVIII are currently referred to the Australian </w:t>
      </w:r>
      <w:r w:rsidR="0099160D" w:rsidRPr="0099160D">
        <w:lastRenderedPageBreak/>
        <w:t>Haemophilia Centre Directors’ Organisation Tolerisation Committee for discussion of their management</w:t>
      </w:r>
      <w:r w:rsidR="00605932">
        <w:t xml:space="preserve"> </w:t>
      </w:r>
      <w:r w:rsidR="00E21687">
        <w:fldChar w:fldCharType="begin"/>
      </w:r>
      <w:r w:rsidR="00DF30B8">
        <w:instrText xml:space="preserve"> ADDIN EN.CITE &lt;EndNote&gt;&lt;Cite&gt;&lt;Author&gt;National Blood Authority&lt;/Author&gt;&lt;Year&gt;2016&lt;/Year&gt;&lt;RecNum&gt;1&lt;/RecNum&gt;&lt;DisplayText&gt;(National Blood Authority 2016a)&lt;/DisplayText&gt;&lt;record&gt;&lt;rec-number&gt;1&lt;/rec-number&gt;&lt;foreign-keys&gt;&lt;key app="EN" db-id="rwz09pa0y9ee9se9epe5f5xde52pzetxev5x" timestamp="1508890326"&gt;1&lt;/key&gt;&lt;/foreign-keys&gt;&lt;ref-type name="Web Page"&gt;12&lt;/ref-type&gt;&lt;contributors&gt;&lt;authors&gt;&lt;author&gt;National Blood Authority,&lt;/author&gt;&lt;/authors&gt;&lt;/contributors&gt;&lt;titles&gt;&lt;title&gt;Guidelines for the management of haemophilia in Australia&lt;/title&gt;&lt;/titles&gt;&lt;volume&gt;2017&lt;/volume&gt;&lt;number&gt;29 September &lt;/number&gt;&lt;dates&gt;&lt;year&gt;2016&lt;/year&gt;&lt;pub-dates&gt;&lt;date&gt;2016&lt;/date&gt;&lt;/pub-dates&gt;&lt;/dates&gt;&lt;urls&gt;&lt;related-urls&gt;&lt;url&gt;https://www.blood.gov.au/system/files/HaemophiliaGuidelines-interactive-updated-260317v2.pdf&lt;/url&gt;&lt;/related-urls&gt;&lt;/urls&gt;&lt;/record&gt;&lt;/Cite&gt;&lt;/EndNote&gt;</w:instrText>
      </w:r>
      <w:r w:rsidR="00E21687">
        <w:fldChar w:fldCharType="separate"/>
      </w:r>
      <w:r w:rsidR="00E21687">
        <w:rPr>
          <w:noProof/>
        </w:rPr>
        <w:t>(National Blood Authority 2016a)</w:t>
      </w:r>
      <w:r w:rsidR="00E21687">
        <w:fldChar w:fldCharType="end"/>
      </w:r>
      <w:r>
        <w:t>. A patient being considered for emicizumab will be within the care of these centres and their suitability for treatment is likely to take into account a multitude of complex factors.</w:t>
      </w:r>
    </w:p>
    <w:p w14:paraId="6407AD1A" w14:textId="249AF642" w:rsidR="00FC17DD" w:rsidRDefault="00C760A7" w:rsidP="00FC17DD">
      <w:r>
        <w:t>Emicizumab would</w:t>
      </w:r>
      <w:r w:rsidRPr="00C760A7">
        <w:t xml:space="preserve"> initially be administered by a healthcare provider </w:t>
      </w:r>
      <w:r w:rsidR="00FC17DD">
        <w:t xml:space="preserve">(likely a trained nurse) </w:t>
      </w:r>
      <w:r>
        <w:t xml:space="preserve">at the treating centre with a view to training the </w:t>
      </w:r>
      <w:r w:rsidRPr="00C760A7">
        <w:t xml:space="preserve">patient or the patient’s caregiver </w:t>
      </w:r>
      <w:r>
        <w:t>in administration</w:t>
      </w:r>
      <w:r w:rsidR="00F333BD">
        <w:t>,</w:t>
      </w:r>
      <w:r>
        <w:t xml:space="preserve"> if suitable</w:t>
      </w:r>
      <w:r w:rsidRPr="00C760A7">
        <w:t xml:space="preserve">. </w:t>
      </w:r>
      <w:r w:rsidR="00FC17DD">
        <w:t xml:space="preserve">The applicant states that emicizumab would be provided with a </w:t>
      </w:r>
      <w:r w:rsidR="00F333BD">
        <w:t>“</w:t>
      </w:r>
      <w:r w:rsidR="00FC17DD">
        <w:t>convenience kit</w:t>
      </w:r>
      <w:r w:rsidR="00F333BD">
        <w:t>”</w:t>
      </w:r>
      <w:r w:rsidR="00FC17DD">
        <w:t xml:space="preserve"> to facilitate patient self-administration. How frequently emicizumab would be dispensed to a patient or caregiver and the frequency of follow-up or arrangements for monitoring in these patients has not been specified at this stage.</w:t>
      </w:r>
      <w:r w:rsidR="000B1C03">
        <w:t xml:space="preserve"> </w:t>
      </w:r>
      <w:r w:rsidR="000B1C03" w:rsidRPr="000B1C03">
        <w:t xml:space="preserve">PASC recommended that, during the assessment phase, more clarification </w:t>
      </w:r>
      <w:r w:rsidR="000B1C03">
        <w:t>is provided</w:t>
      </w:r>
      <w:r w:rsidR="000B1C03" w:rsidRPr="000B1C03">
        <w:t xml:space="preserve"> on how emicizumab will be administered and by whom, upon the likely movement to self-administration (and the consequences for monitoring the disease, including dose adjustment of emicizumab).</w:t>
      </w:r>
    </w:p>
    <w:p w14:paraId="13FDA389" w14:textId="4A579E6A" w:rsidR="00817B5A" w:rsidRDefault="00277A72" w:rsidP="001778AC">
      <w:r>
        <w:t>There is some uncertainty regarding how emicizumab would be dispensed and controlled owing to differences in the treatment of Schedule 4 – prescription on</w:t>
      </w:r>
      <w:r w:rsidR="00F333BD">
        <w:t xml:space="preserve">ly medicines and blood products </w:t>
      </w:r>
      <w:r>
        <w:t xml:space="preserve">traditionally used to manage this patient group. The applicant has indicated that the appropriate arrangements for </w:t>
      </w:r>
      <w:r w:rsidR="00FC17DD">
        <w:t>access are currently under investigation.</w:t>
      </w:r>
    </w:p>
    <w:p w14:paraId="08AF39DC" w14:textId="77777777" w:rsidR="002B3338" w:rsidRDefault="002B3338" w:rsidP="002820D3">
      <w:pPr>
        <w:pStyle w:val="Heading4"/>
      </w:pPr>
      <w:r>
        <w:t>Rationale</w:t>
      </w:r>
    </w:p>
    <w:p w14:paraId="08AF39DE" w14:textId="1E65318F" w:rsidR="00FF5347" w:rsidRPr="00FC17DD" w:rsidRDefault="00FC17DD" w:rsidP="00277A72">
      <w:r w:rsidRPr="00FC17DD">
        <w:t xml:space="preserve">No alternative </w:t>
      </w:r>
      <w:r>
        <w:t>uses of the intervention have been identified.</w:t>
      </w:r>
    </w:p>
    <w:p w14:paraId="08AF39DF" w14:textId="5D1510A6" w:rsidR="00896845" w:rsidRDefault="00896845" w:rsidP="002820D3">
      <w:pPr>
        <w:pStyle w:val="Heading2"/>
      </w:pPr>
      <w:r w:rsidRPr="000C2612">
        <w:t>Comparator</w:t>
      </w:r>
      <w:r w:rsidR="00364911">
        <w:t>(s)</w:t>
      </w:r>
    </w:p>
    <w:p w14:paraId="08F3B9AA" w14:textId="73B36D65" w:rsidR="00EF07FB" w:rsidRPr="008A5D19" w:rsidRDefault="00EF07FB" w:rsidP="002820D3">
      <w:pPr>
        <w:pStyle w:val="Heading3"/>
        <w:rPr>
          <w:lang w:val="en"/>
        </w:rPr>
      </w:pPr>
      <w:r w:rsidRPr="008A5D19">
        <w:rPr>
          <w:lang w:val="en"/>
        </w:rPr>
        <w:t xml:space="preserve">Comparator(s) in population </w:t>
      </w:r>
      <w:r w:rsidR="004F2A80">
        <w:rPr>
          <w:lang w:val="en"/>
        </w:rPr>
        <w:t>one</w:t>
      </w:r>
    </w:p>
    <w:p w14:paraId="4A822425" w14:textId="2B2B07C1" w:rsidR="00364911" w:rsidRDefault="00C16701" w:rsidP="00F205F2">
      <w:r>
        <w:rPr>
          <w:lang w:val="en"/>
        </w:rPr>
        <w:t>Patients with</w:t>
      </w:r>
      <w:r w:rsidRPr="00C16701">
        <w:rPr>
          <w:lang w:val="en"/>
        </w:rPr>
        <w:t xml:space="preserve"> inhibitors, particularly those with high-tit</w:t>
      </w:r>
      <w:r w:rsidR="004F2A80">
        <w:rPr>
          <w:lang w:val="en"/>
        </w:rPr>
        <w:t>re</w:t>
      </w:r>
      <w:r w:rsidRPr="00C16701">
        <w:rPr>
          <w:lang w:val="en"/>
        </w:rPr>
        <w:t xml:space="preserve"> inhibitors (&gt; 5 BU/mL), are at increased risk of uncontrollable h</w:t>
      </w:r>
      <w:r w:rsidR="003E173E">
        <w:rPr>
          <w:lang w:val="en"/>
        </w:rPr>
        <w:t>aemorrhage</w:t>
      </w:r>
      <w:r w:rsidRPr="00C16701">
        <w:rPr>
          <w:lang w:val="en"/>
        </w:rPr>
        <w:t>, devastating joint damage, and subsequent disability</w:t>
      </w:r>
      <w:r>
        <w:t xml:space="preserve">. </w:t>
      </w:r>
      <w:r w:rsidR="00CC175B">
        <w:t xml:space="preserve">For patients with </w:t>
      </w:r>
      <w:r w:rsidR="00E31E48">
        <w:t xml:space="preserve">low titre </w:t>
      </w:r>
      <w:r w:rsidR="00CC175B">
        <w:t>inhibitors</w:t>
      </w:r>
      <w:r w:rsidR="00E31E48">
        <w:t xml:space="preserve"> effective management can often be achieved with higher doses of </w:t>
      </w:r>
      <w:r w:rsidR="004F2A80">
        <w:t>F</w:t>
      </w:r>
      <w:r w:rsidR="00E31E48">
        <w:t xml:space="preserve">VIII </w:t>
      </w:r>
      <w:r w:rsidR="00F83CED">
        <w:t>and for up to half of patients with inhibitors they may di</w:t>
      </w:r>
      <w:r w:rsidR="004F2A80">
        <w:t xml:space="preserve">sappear when treated normally. </w:t>
      </w:r>
      <w:r w:rsidR="00F83CED">
        <w:t xml:space="preserve">However, for those whose inhibitors are persistent and/or bleeding profile </w:t>
      </w:r>
      <w:r w:rsidR="00F205F2">
        <w:t xml:space="preserve">interfere with a patient’s </w:t>
      </w:r>
      <w:r w:rsidR="00F205F2" w:rsidRPr="00F205F2">
        <w:t xml:space="preserve">quality of life, prophylaxis </w:t>
      </w:r>
      <w:r w:rsidR="00891CB9">
        <w:t>with BPAs might be considered.</w:t>
      </w:r>
    </w:p>
    <w:p w14:paraId="12E5882C" w14:textId="2CD5318F" w:rsidR="00EF07FB" w:rsidRDefault="00F205F2" w:rsidP="00F205F2">
      <w:r>
        <w:t xml:space="preserve">The following </w:t>
      </w:r>
      <w:r w:rsidR="00891CB9">
        <w:t xml:space="preserve">therapy </w:t>
      </w:r>
      <w:r>
        <w:t xml:space="preserve">strategies </w:t>
      </w:r>
      <w:r w:rsidR="00F83CED">
        <w:t xml:space="preserve">might be considered comparators to emicizumab. In </w:t>
      </w:r>
      <w:r w:rsidR="00605932">
        <w:t>all</w:t>
      </w:r>
      <w:r w:rsidR="00F83CED">
        <w:t xml:space="preserve"> situations emicizumab could be used after failure</w:t>
      </w:r>
      <w:r w:rsidR="006A4D75">
        <w:t xml:space="preserve"> (or relapse) on</w:t>
      </w:r>
      <w:r w:rsidR="00F83CED">
        <w:t xml:space="preserve"> those treatments or as a replacement/alternative to them.</w:t>
      </w:r>
    </w:p>
    <w:p w14:paraId="55D35042" w14:textId="09DB0881" w:rsidR="00FB18D2" w:rsidRDefault="00364911" w:rsidP="008A5D19">
      <w:pPr>
        <w:rPr>
          <w:i/>
        </w:rPr>
      </w:pPr>
      <w:r>
        <w:t xml:space="preserve">The </w:t>
      </w:r>
      <w:r w:rsidR="00175DAC">
        <w:t>first</w:t>
      </w:r>
      <w:r>
        <w:t xml:space="preserve"> comparator to emicizumab is </w:t>
      </w:r>
      <w:r w:rsidR="00FB18D2">
        <w:t xml:space="preserve">prophylaxis with BPAs (strategy 1) </w:t>
      </w:r>
      <w:r>
        <w:t xml:space="preserve">as this comparator represents the patient group </w:t>
      </w:r>
      <w:r w:rsidR="00605932">
        <w:t>with a</w:t>
      </w:r>
      <w:r>
        <w:t xml:space="preserve"> </w:t>
      </w:r>
      <w:r w:rsidR="00605932">
        <w:t>clear indication for routine prophylaxis</w:t>
      </w:r>
      <w:r w:rsidR="00175DAC">
        <w:t>.</w:t>
      </w:r>
      <w:r>
        <w:t xml:space="preserve"> </w:t>
      </w:r>
      <w:r w:rsidR="00175DAC">
        <w:t xml:space="preserve">The second comparator is </w:t>
      </w:r>
      <w:r w:rsidR="00FB18D2">
        <w:t>on-demand BPAs (</w:t>
      </w:r>
      <w:r w:rsidR="00B66B1C">
        <w:t>s</w:t>
      </w:r>
      <w:r>
        <w:t xml:space="preserve">trategy </w:t>
      </w:r>
      <w:r w:rsidR="00FB18D2">
        <w:t>2)</w:t>
      </w:r>
      <w:r>
        <w:t xml:space="preserve"> </w:t>
      </w:r>
      <w:r w:rsidR="00175DAC">
        <w:t>this</w:t>
      </w:r>
      <w:r>
        <w:t xml:space="preserve"> represent</w:t>
      </w:r>
      <w:r w:rsidR="00175DAC">
        <w:t>s</w:t>
      </w:r>
      <w:r>
        <w:t xml:space="preserve"> a </w:t>
      </w:r>
      <w:r w:rsidR="00175DAC">
        <w:t xml:space="preserve">patient </w:t>
      </w:r>
      <w:r>
        <w:t xml:space="preserve">group that may benefit from emicizumab but do not currently </w:t>
      </w:r>
      <w:r w:rsidR="00EF07FB">
        <w:t>receive</w:t>
      </w:r>
      <w:r w:rsidR="00175DAC">
        <w:t xml:space="preserve"> prophylaxis</w:t>
      </w:r>
      <w:r>
        <w:t>.</w:t>
      </w:r>
    </w:p>
    <w:p w14:paraId="283B891C" w14:textId="784D2B61" w:rsidR="00F205F2" w:rsidRPr="008A5D19" w:rsidRDefault="00F205F2" w:rsidP="002820D3">
      <w:pPr>
        <w:pStyle w:val="ListParagraph"/>
        <w:numPr>
          <w:ilvl w:val="0"/>
          <w:numId w:val="19"/>
        </w:numPr>
        <w:rPr>
          <w:i/>
        </w:rPr>
      </w:pPr>
      <w:r w:rsidRPr="008A5D19">
        <w:rPr>
          <w:i/>
        </w:rPr>
        <w:t xml:space="preserve">Prevention of bleeding with prophylactic administration of </w:t>
      </w:r>
      <w:r w:rsidR="00887604">
        <w:rPr>
          <w:i/>
        </w:rPr>
        <w:t>BPAs</w:t>
      </w:r>
    </w:p>
    <w:p w14:paraId="12F279AE" w14:textId="01CBF870" w:rsidR="00FB18D2" w:rsidRDefault="00E31E48" w:rsidP="00E31E48">
      <w:r w:rsidRPr="00F205F2">
        <w:t xml:space="preserve">Prophylaxis with </w:t>
      </w:r>
      <w:r w:rsidR="00887604">
        <w:t xml:space="preserve">BPAs </w:t>
      </w:r>
      <w:r w:rsidRPr="00F205F2">
        <w:t xml:space="preserve">is </w:t>
      </w:r>
      <w:r>
        <w:t xml:space="preserve">considered for </w:t>
      </w:r>
      <w:r w:rsidR="00EC4151">
        <w:t xml:space="preserve">some </w:t>
      </w:r>
      <w:r>
        <w:t xml:space="preserve">patients who have </w:t>
      </w:r>
      <w:r w:rsidR="00175DAC">
        <w:t>F</w:t>
      </w:r>
      <w:r>
        <w:t xml:space="preserve">VIII inhibitors </w:t>
      </w:r>
      <w:r w:rsidR="00364911">
        <w:fldChar w:fldCharType="begin"/>
      </w:r>
      <w:r w:rsidR="00DF30B8">
        <w:instrText xml:space="preserve"> ADDIN EN.CITE &lt;EndNote&gt;&lt;Cite&gt;&lt;Author&gt;Australian Haemophilia Centre Directors’ Organisation&lt;/Author&gt;&lt;Year&gt;2010&lt;/Year&gt;&lt;RecNum&gt;11&lt;/RecNum&gt;&lt;DisplayText&gt;(Australian Haemophilia Centre Directors’ Organisation 2010)&lt;/DisplayText&gt;&lt;record&gt;&lt;rec-number&gt;11&lt;/rec-number&gt;&lt;foreign-keys&gt;&lt;key app="EN" db-id="rwz09pa0y9ee9se9epe5f5xde52pzetxev5x" timestamp="1508890328"&gt;11&lt;/key&gt;&lt;/foreign-keys&gt;&lt;ref-type name="Web Page"&gt;12&lt;/ref-type&gt;&lt;contributors&gt;&lt;authors&gt;&lt;author&gt;Australian Haemophilia Centre Directors’ Organisation,&lt;/author&gt;&lt;/authors&gt;&lt;/contributors&gt;&lt;titles&gt;&lt;title&gt;Guidelines for the treatment of inhibitors in Haemophilia A and Haemophilia B&lt;/title&gt;&lt;/titles&gt;&lt;volume&gt;2017&lt;/volume&gt;&lt;number&gt;04/10/2017&lt;/number&gt;&lt;dates&gt;&lt;year&gt;2010&lt;/year&gt;&lt;pub-dates&gt;&lt;date&gt;2010&lt;/date&gt;&lt;/pub-dates&gt;&lt;/dates&gt;&lt;urls&gt;&lt;related-urls&gt;&lt;url&gt;http://www.ahcdo.org.au/documents/item/16&lt;/url&gt;&lt;/related-urls&gt;&lt;/urls&gt;&lt;/record&gt;&lt;/Cite&gt;&lt;/EndNote&gt;</w:instrText>
      </w:r>
      <w:r w:rsidR="00364911">
        <w:fldChar w:fldCharType="separate"/>
      </w:r>
      <w:r w:rsidR="00364911">
        <w:rPr>
          <w:noProof/>
        </w:rPr>
        <w:t>(Australian Haemophilia Centre Directors’ Organisation 2010)</w:t>
      </w:r>
      <w:r w:rsidR="00364911">
        <w:fldChar w:fldCharType="end"/>
      </w:r>
      <w:r w:rsidR="00217B40">
        <w:rPr>
          <w:rStyle w:val="FootnoteReference"/>
        </w:rPr>
        <w:footnoteReference w:id="9"/>
      </w:r>
      <w:r>
        <w:t xml:space="preserve">. </w:t>
      </w:r>
      <w:r w:rsidR="00887604">
        <w:t xml:space="preserve">BPAs </w:t>
      </w:r>
      <w:r>
        <w:t xml:space="preserve">are short acting and are required daily </w:t>
      </w:r>
      <w:r w:rsidR="00F26CAC">
        <w:t xml:space="preserve">(or </w:t>
      </w:r>
      <w:r w:rsidR="00F26CAC">
        <w:lastRenderedPageBreak/>
        <w:t xml:space="preserve">multiple times a week) </w:t>
      </w:r>
      <w:r>
        <w:t xml:space="preserve">when used for prophylaxis. </w:t>
      </w:r>
      <w:r w:rsidR="00743857">
        <w:t xml:space="preserve">Trials examining the effectiveness of </w:t>
      </w:r>
      <w:r w:rsidR="00743857" w:rsidRPr="00743857">
        <w:t>BPAs</w:t>
      </w:r>
      <w:r w:rsidR="00743857">
        <w:t xml:space="preserve"> </w:t>
      </w:r>
      <w:r w:rsidR="00743857" w:rsidRPr="00743857">
        <w:t xml:space="preserve">as secondary prophylaxis for patients with inhibitors </w:t>
      </w:r>
      <w:r w:rsidR="00743857">
        <w:t xml:space="preserve">demonstrate </w:t>
      </w:r>
      <w:r w:rsidR="00743857" w:rsidRPr="00743857">
        <w:t xml:space="preserve">decreased bleeding </w:t>
      </w:r>
      <w:r w:rsidR="00743857">
        <w:t>and improved quality of life</w:t>
      </w:r>
      <w:r w:rsidR="00364911">
        <w:t xml:space="preserve"> </w:t>
      </w:r>
      <w:r w:rsidR="00364911">
        <w:fldChar w:fldCharType="begin">
          <w:fldData xml:space="preserve">PEVuZE5vdGU+PENpdGU+PEF1dGhvcj5BbnR1bmVzPC9BdXRob3I+PFllYXI+MjAxNDwvWWVhcj48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</w:fldData>
        </w:fldChar>
      </w:r>
      <w:r w:rsidR="00DF30B8" w:rsidRPr="003E173E">
        <w:instrText xml:space="preserve"> ADDIN EN.CITE </w:instrText>
      </w:r>
      <w:r w:rsidR="00DF30B8" w:rsidRPr="003E173E">
        <w:fldChar w:fldCharType="begin">
          <w:fldData xml:space="preserve">PEVuZE5vdGU+PENpdGU+PEF1dGhvcj5BbnR1bmVzPC9BdXRob3I+PFllYXI+MjAxNDwvWWVhcj48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</w:fldData>
        </w:fldChar>
      </w:r>
      <w:r w:rsidR="00DF30B8" w:rsidRPr="003E173E">
        <w:instrText xml:space="preserve"> ADDIN EN.CITE.DATA </w:instrText>
      </w:r>
      <w:r w:rsidR="00DF30B8" w:rsidRPr="003E173E">
        <w:fldChar w:fldCharType="end"/>
      </w:r>
      <w:r w:rsidR="00364911">
        <w:fldChar w:fldCharType="separate"/>
      </w:r>
      <w:r w:rsidR="00364911">
        <w:rPr>
          <w:noProof/>
        </w:rPr>
        <w:t>(Antunes et al 2014; Stasyshyn et al 2014)</w:t>
      </w:r>
      <w:r w:rsidR="00364911">
        <w:fldChar w:fldCharType="end"/>
      </w:r>
      <w:r w:rsidR="00743857" w:rsidRPr="00743857">
        <w:t xml:space="preserve">. </w:t>
      </w:r>
      <w:r w:rsidR="00743857">
        <w:t>As compared to on-demand treatment</w:t>
      </w:r>
      <w:r w:rsidR="00084B07">
        <w:t>,</w:t>
      </w:r>
      <w:r w:rsidR="00743857">
        <w:t xml:space="preserve"> prophylaxis with BPAs has demonstrated </w:t>
      </w:r>
      <w:r w:rsidR="00364911">
        <w:t>reductions in the annual rates of bleeding in the order of 60-70</w:t>
      </w:r>
      <w:r w:rsidR="00084B07">
        <w:t xml:space="preserve"> per cent</w:t>
      </w:r>
      <w:r w:rsidR="00364911">
        <w:t xml:space="preserve"> </w:t>
      </w:r>
      <w:r w:rsidR="00364911">
        <w:fldChar w:fldCharType="begin">
          <w:fldData xml:space="preserve">PEVuZE5vdGU+PENpdGU+PEF1dGhvcj5MZWlzc2luZ2VyPC9BdXRob3I+PFllYXI+MjAxMTwvWWVh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YnItMT48L2FsdC1wZXJpb2RpY2FsPjxwYWdlcz4xNjg0LTkyPC9wYWdlcz48dm9sdW1lPjM2NTwv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</w:fldData>
        </w:fldChar>
      </w:r>
      <w:r w:rsidR="00DF30B8" w:rsidRPr="003E173E">
        <w:instrText xml:space="preserve"> ADDIN EN.CITE </w:instrText>
      </w:r>
      <w:r w:rsidR="00DF30B8" w:rsidRPr="003E173E">
        <w:fldChar w:fldCharType="begin">
          <w:fldData xml:space="preserve">PEVuZE5vdGU+PENpdGU+PEF1dGhvcj5MZWlzc2luZ2VyPC9BdXRob3I+PFllYXI+MjAxMTwvWWVh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YnItMT48L2FsdC1wZXJpb2RpY2FsPjxwYWdlcz4xNjg0LTkyPC9wYWdlcz48dm9sdW1lPjM2NTwv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</w:fldData>
        </w:fldChar>
      </w:r>
      <w:r w:rsidR="00DF30B8" w:rsidRPr="003E173E">
        <w:instrText xml:space="preserve"> ADDIN EN.CITE.DATA </w:instrText>
      </w:r>
      <w:r w:rsidR="00DF30B8" w:rsidRPr="003E173E">
        <w:fldChar w:fldCharType="end"/>
      </w:r>
      <w:r w:rsidR="00364911">
        <w:fldChar w:fldCharType="separate"/>
      </w:r>
      <w:r w:rsidR="00364911">
        <w:rPr>
          <w:noProof/>
        </w:rPr>
        <w:t>(Leissinger et al 2011)</w:t>
      </w:r>
      <w:r w:rsidR="00364911">
        <w:fldChar w:fldCharType="end"/>
      </w:r>
      <w:r w:rsidR="00743857">
        <w:t>.</w:t>
      </w:r>
    </w:p>
    <w:p w14:paraId="12D9F3B8" w14:textId="20CB2B69" w:rsidR="00E31E48" w:rsidRDefault="00743857" w:rsidP="00E31E48">
      <w:r>
        <w:t xml:space="preserve">Young et al </w:t>
      </w:r>
      <w:r w:rsidR="00364911">
        <w:fldChar w:fldCharType="begin">
          <w:fldData xml:space="preserve">PEVuZE5vdGU+PENpdGUgRXhjbHVkZUF1dGg9IjEiPjxBdXRob3I+WW91bmc8L0F1dGhvcj48WWVh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</w:fldData>
        </w:fldChar>
      </w:r>
      <w:r w:rsidR="00DF30B8">
        <w:instrText xml:space="preserve"> ADDIN EN.CITE </w:instrText>
      </w:r>
      <w:r w:rsidR="00DF30B8">
        <w:fldChar w:fldCharType="begin">
          <w:fldData xml:space="preserve">PEVuZE5vdGU+PENpdGUgRXhjbHVkZUF1dGg9IjEiPjxBdXRob3I+WW91bmc8L0F1dGhvcj48WWVh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</w:fldData>
        </w:fldChar>
      </w:r>
      <w:r w:rsidR="00DF30B8">
        <w:instrText xml:space="preserve"> ADDIN EN.CITE.DATA </w:instrText>
      </w:r>
      <w:r w:rsidR="00DF30B8">
        <w:fldChar w:fldCharType="end"/>
      </w:r>
      <w:r w:rsidR="00364911">
        <w:fldChar w:fldCharType="separate"/>
      </w:r>
      <w:r w:rsidR="00E21687">
        <w:rPr>
          <w:noProof/>
        </w:rPr>
        <w:t>(2011)</w:t>
      </w:r>
      <w:r w:rsidR="00364911">
        <w:fldChar w:fldCharType="end"/>
      </w:r>
      <w:r>
        <w:t xml:space="preserve"> recommends that </w:t>
      </w:r>
      <w:r w:rsidRPr="00743857">
        <w:t xml:space="preserve">prophylaxis be considered for patients whose condition has failed to respond to </w:t>
      </w:r>
      <w:r w:rsidR="003E173E">
        <w:t>ITI</w:t>
      </w:r>
      <w:r w:rsidR="00DF1C05">
        <w:t xml:space="preserve"> </w:t>
      </w:r>
      <w:r w:rsidRPr="00743857">
        <w:t xml:space="preserve">and who have recurrent significant bleeding (i.e. a target joint or life-threatening </w:t>
      </w:r>
      <w:r w:rsidR="00364911" w:rsidRPr="00743857">
        <w:t>haemorrhages</w:t>
      </w:r>
      <w:r w:rsidRPr="00743857">
        <w:t>).</w:t>
      </w:r>
      <w:r w:rsidR="00364911">
        <w:t xml:space="preserve"> </w:t>
      </w:r>
      <w:r w:rsidR="00FE687B">
        <w:t>Adverse events with BPAs are relatively rare (ranging between approxi</w:t>
      </w:r>
      <w:r w:rsidR="00084B07">
        <w:t xml:space="preserve">mately 2.5 and 8.0 per 100,000 </w:t>
      </w:r>
      <w:r w:rsidR="00FE687B">
        <w:t xml:space="preserve">infusions) but can be serious and include </w:t>
      </w:r>
      <w:r w:rsidR="00FE687B" w:rsidRPr="00FE687B">
        <w:t>myocardial infarction, disseminated intravascular coagulation, arterial and venous thrombosis, pulmonary embolism, and stroke</w:t>
      </w:r>
      <w:r w:rsidR="00FE687B">
        <w:t xml:space="preserve"> </w:t>
      </w:r>
      <w:r w:rsidR="00463AAE">
        <w:fldChar w:fldCharType="begin"/>
      </w:r>
      <w:r w:rsidR="00DF30B8">
        <w:instrText xml:space="preserve"> ADDIN EN.CITE &lt;EndNote&gt;&lt;Cite&gt;&lt;Author&gt;Sborov&lt;/Author&gt;&lt;Year&gt;2013&lt;/Year&gt;&lt;RecNum&gt;16&lt;/RecNum&gt;&lt;DisplayText&gt;(Sborov and Rodgers 2013)&lt;/DisplayText&gt;&lt;record&gt;&lt;rec-number&gt;16&lt;/rec-number&gt;&lt;foreign-keys&gt;&lt;key app="EN" db-id="rwz09pa0y9ee9se9epe5f5xde52pzetxev5x" timestamp="1508890329"&gt;16&lt;/key&gt;&lt;/foreign-keys&gt;&lt;ref-type name="Journal Article"&gt;17&lt;/ref-type&gt;&lt;contributors&gt;&lt;authors&gt;&lt;author&gt;Sborov, D. W.&lt;/author&gt;&lt;author&gt;Rodgers, G. M.&lt;/author&gt;&lt;/authors&gt;&lt;/contributors&gt;&lt;auth-address&gt;Division of Hematology and Oncology, Ohio State University Medical Center, The Arthur G. James Comprehensive Cancer Center, Columbus, OH, USA. douglas.sborov@osumc.edu&lt;/auth-address&gt;&lt;titles&gt;&lt;title&gt;How I manage patients with acquired haemophilia A&lt;/title&gt;&lt;secondary-title&gt;Br J Haematol&lt;/secondary-title&gt;&lt;alt-title&gt;British journal of haematology&lt;/alt-title&gt;&lt;/titles&gt;&lt;periodical&gt;&lt;full-title&gt;Br J Haematol&lt;/full-title&gt;&lt;abbr-1&gt;British journal of haematology&lt;/abbr-1&gt;&lt;/periodical&gt;&lt;alt-periodical&gt;&lt;full-title&gt;Br J Haematol&lt;/full-title&gt;&lt;abbr-1&gt;British journal of haematology&lt;/abbr-1&gt;&lt;/alt-periodical&gt;&lt;pages&gt;157-65&lt;/pages&gt;&lt;volume&gt;161&lt;/volume&gt;&lt;number&gt;2&lt;/number&gt;&lt;edition&gt;2013/02/05&lt;/edition&gt;&lt;keywords&gt;&lt;keyword&gt;*Algorithms&lt;/keyword&gt;&lt;keyword&gt;Autoantibodies/blood/immunology&lt;/keyword&gt;&lt;keyword&gt;*Blood Coagulation Factor Inhibitors/blood/immunology&lt;/keyword&gt;&lt;keyword&gt;Female&lt;/keyword&gt;&lt;keyword&gt;*Hemophilia A/blood/diagnosis/immunology/therapy&lt;/keyword&gt;&lt;keyword&gt;Humans&lt;/keyword&gt;&lt;keyword&gt;Male&lt;/keyword&gt;&lt;keyword&gt;Pregnancy&lt;/keyword&gt;&lt;keyword&gt;Pregnancy Complications, Hematologic/blood/diagnosis/immunology/therapy&lt;/keyword&gt;&lt;/keywords&gt;&lt;dates&gt;&lt;year&gt;2013&lt;/year&gt;&lt;pub-dates&gt;&lt;date&gt;Apr&lt;/date&gt;&lt;/pub-dates&gt;&lt;/dates&gt;&lt;isbn&gt;0007-1048&lt;/isbn&gt;&lt;accession-num&gt;23373521&lt;/accession-num&gt;&lt;urls&gt;&lt;/urls&gt;&lt;electronic-resource-num&gt;10.1111/bjh.12228&lt;/electronic-resource-num&gt;&lt;remote-database-provider&gt;NLM&lt;/remote-database-provider&gt;&lt;language&gt;eng&lt;/language&gt;&lt;/record&gt;&lt;/Cite&gt;&lt;/EndNote&gt;</w:instrText>
      </w:r>
      <w:r w:rsidR="00463AAE">
        <w:fldChar w:fldCharType="separate"/>
      </w:r>
      <w:r w:rsidR="00463AAE">
        <w:rPr>
          <w:noProof/>
        </w:rPr>
        <w:t>(Sborov and Rodgers 2013)</w:t>
      </w:r>
      <w:r w:rsidR="00463AAE">
        <w:fldChar w:fldCharType="end"/>
      </w:r>
      <w:r w:rsidR="00FE687B">
        <w:t xml:space="preserve">. </w:t>
      </w:r>
      <w:r w:rsidR="001059E7">
        <w:t>F</w:t>
      </w:r>
      <w:r w:rsidR="001059E7" w:rsidRPr="001059E7">
        <w:t xml:space="preserve">actors </w:t>
      </w:r>
      <w:r w:rsidR="00084B07">
        <w:t>determining</w:t>
      </w:r>
      <w:r w:rsidR="001059E7" w:rsidRPr="001059E7">
        <w:t xml:space="preserve"> </w:t>
      </w:r>
      <w:r w:rsidR="00F205F2">
        <w:t xml:space="preserve">which BPA to use for prophylaxis include: </w:t>
      </w:r>
      <w:r w:rsidR="001059E7" w:rsidRPr="001059E7">
        <w:t xml:space="preserve">frequency of infusions, volume of infusion, cost, and anamnestic response. </w:t>
      </w:r>
      <w:r w:rsidR="00F205F2">
        <w:t xml:space="preserve">In patients who are planned for tolerisation it may be preferable to use a </w:t>
      </w:r>
      <w:r w:rsidR="00F205F2" w:rsidRPr="00F205F2">
        <w:t>recombinant activated human</w:t>
      </w:r>
      <w:r w:rsidR="00463AAE">
        <w:t xml:space="preserve"> factor</w:t>
      </w:r>
      <w:r w:rsidR="00862E23">
        <w:t xml:space="preserve"> </w:t>
      </w:r>
      <w:r w:rsidR="00F205F2" w:rsidRPr="00F205F2">
        <w:t>VIIa</w:t>
      </w:r>
      <w:r w:rsidR="00463AAE">
        <w:t xml:space="preserve"> </w:t>
      </w:r>
      <w:r w:rsidR="00F205F2">
        <w:t xml:space="preserve">as opposed to </w:t>
      </w:r>
      <w:r w:rsidR="00862E23">
        <w:t>activated prothrombin complex concentrate</w:t>
      </w:r>
      <w:r w:rsidR="00F205F2">
        <w:t xml:space="preserve"> due to a </w:t>
      </w:r>
      <w:r w:rsidR="001059E7" w:rsidRPr="001059E7">
        <w:t>small risk of anamnesis</w:t>
      </w:r>
      <w:r>
        <w:t xml:space="preserve"> </w:t>
      </w:r>
      <w:r w:rsidR="00364911">
        <w:fldChar w:fldCharType="begin"/>
      </w:r>
      <w:r w:rsidR="00DF30B8">
        <w:instrText xml:space="preserve"> ADDIN EN.CITE &lt;EndNote&gt;&lt;Cite&gt;&lt;Author&gt;Kempton&lt;/Author&gt;&lt;Year&gt;2009&lt;/Year&gt;&lt;RecNum&gt;17&lt;/RecNum&gt;&lt;DisplayText&gt;(Kempton and White 2009)&lt;/DisplayText&gt;&lt;record&gt;&lt;rec-number&gt;17&lt;/rec-number&gt;&lt;foreign-keys&gt;&lt;key app="EN" db-id="rwz09pa0y9ee9se9epe5f5xde52pzetxev5x" timestamp="1508890329"&gt;17&lt;/key&gt;&lt;/foreign-keys&gt;&lt;ref-type name="Journal Article"&gt;17&lt;/ref-type&gt;&lt;contributors&gt;&lt;authors&gt;&lt;author&gt;Kempton, C. L.&lt;/author&gt;&lt;author&gt;White, G. C., 2nd&lt;/author&gt;&lt;/authors&gt;&lt;/contributors&gt;&lt;auth-address&gt;AFLAC Cancer Center and Blood Disorders Service and Winship Cancer Institute, Emory University, Atlanta, GA 30322, USA. ckempto@emory.edu&lt;/auth-address&gt;&lt;titles&gt;&lt;title&gt;How we treat a hemophilia A patient with a factor VIII inhibitor&lt;/title&gt;&lt;secondary-title&gt;Blood&lt;/secondary-title&gt;&lt;alt-title&gt;Blood&lt;/alt-title&gt;&lt;/titles&gt;&lt;periodical&gt;&lt;full-title&gt;Blood&lt;/full-title&gt;&lt;abbr-1&gt;Blood&lt;/abbr-1&gt;&lt;/periodical&gt;&lt;alt-periodical&gt;&lt;full-title&gt;Blood&lt;/full-title&gt;&lt;abbr-1&gt;Blood&lt;/abbr-1&gt;&lt;/alt-periodical&gt;&lt;pages&gt;11-7&lt;/pages&gt;&lt;volume&gt;113&lt;/volume&gt;&lt;number&gt;1&lt;/number&gt;&lt;edition&gt;2008/09/30&lt;/edition&gt;&lt;keywords&gt;&lt;keyword&gt;Factor VIII/*administration &amp;amp; dosage/antagonists &amp;amp; inhibitors/*immunology&lt;/keyword&gt;&lt;keyword&gt;Hemophilia A/*drug therapy/epidemiology/*immunology&lt;/keyword&gt;&lt;keyword&gt;Humans&lt;/keyword&gt;&lt;keyword&gt;*Immune Tolerance&lt;/keyword&gt;&lt;keyword&gt;Isoantibodies/immunology&lt;/keyword&gt;&lt;keyword&gt;Risk Factors&lt;/keyword&gt;&lt;/keywords&gt;&lt;dates&gt;&lt;year&gt;2009&lt;/year&gt;&lt;pub-dates&gt;&lt;date&gt;Jan 01&lt;/date&gt;&lt;/pub-dates&gt;&lt;/dates&gt;&lt;isbn&gt;0006-4971&lt;/isbn&gt;&lt;accession-num&gt;18820129&lt;/accession-num&gt;&lt;urls&gt;&lt;/urls&gt;&lt;electronic-resource-num&gt;10.1182/blood-2008-06-160432&lt;/electronic-resource-num&gt;&lt;remote-database-provider&gt;NLM&lt;/remote-database-provider&gt;&lt;language&gt;eng&lt;/language&gt;&lt;/record&gt;&lt;/Cite&gt;&lt;/EndNote&gt;</w:instrText>
      </w:r>
      <w:r w:rsidR="00364911">
        <w:fldChar w:fldCharType="separate"/>
      </w:r>
      <w:r w:rsidR="00364911">
        <w:rPr>
          <w:noProof/>
        </w:rPr>
        <w:t>(Kempton and White 2009)</w:t>
      </w:r>
      <w:r w:rsidR="00364911">
        <w:fldChar w:fldCharType="end"/>
      </w:r>
      <w:r w:rsidR="00F205F2">
        <w:t>.</w:t>
      </w:r>
    </w:p>
    <w:p w14:paraId="1FAB6C9F" w14:textId="62EBB5CA" w:rsidR="00364911" w:rsidRPr="00E21687" w:rsidRDefault="00364911" w:rsidP="002820D3">
      <w:pPr>
        <w:pStyle w:val="ListParagraph"/>
        <w:numPr>
          <w:ilvl w:val="0"/>
          <w:numId w:val="19"/>
        </w:numPr>
        <w:rPr>
          <w:i/>
        </w:rPr>
      </w:pPr>
      <w:r w:rsidRPr="00E21687">
        <w:rPr>
          <w:i/>
        </w:rPr>
        <w:t>Treatment of bleeding events in</w:t>
      </w:r>
      <w:r w:rsidR="00DC3451">
        <w:rPr>
          <w:i/>
        </w:rPr>
        <w:t xml:space="preserve"> an</w:t>
      </w:r>
      <w:r w:rsidRPr="00E21687">
        <w:rPr>
          <w:i/>
        </w:rPr>
        <w:t xml:space="preserve"> </w:t>
      </w:r>
      <w:r w:rsidR="00DC3451">
        <w:rPr>
          <w:i/>
        </w:rPr>
        <w:t>on-demand</w:t>
      </w:r>
      <w:r w:rsidRPr="00E21687">
        <w:rPr>
          <w:i/>
        </w:rPr>
        <w:t xml:space="preserve"> manner</w:t>
      </w:r>
    </w:p>
    <w:p w14:paraId="32079678" w14:textId="09069F08" w:rsidR="00743857" w:rsidRPr="00364911" w:rsidRDefault="00F83CED" w:rsidP="00E31E48">
      <w:r w:rsidRPr="00364911">
        <w:t xml:space="preserve">In all patients with inhibitors the management of bleeding events </w:t>
      </w:r>
      <w:r w:rsidR="0056436F">
        <w:t xml:space="preserve">or planned surgery </w:t>
      </w:r>
      <w:r w:rsidRPr="00364911">
        <w:t xml:space="preserve">requires either high dose </w:t>
      </w:r>
      <w:r w:rsidR="00DC3451">
        <w:t>F</w:t>
      </w:r>
      <w:r w:rsidRPr="00364911">
        <w:t xml:space="preserve">VIII or </w:t>
      </w:r>
      <w:r w:rsidR="00887604">
        <w:t xml:space="preserve">BPAs </w:t>
      </w:r>
      <w:r w:rsidRPr="00364911">
        <w:t xml:space="preserve">in an on-demand fashion. </w:t>
      </w:r>
      <w:r w:rsidR="00743857" w:rsidRPr="00364911">
        <w:t>Treatment of bleeding in a patient with an inhibitor is based on the classification of the inhibitor.</w:t>
      </w:r>
    </w:p>
    <w:p w14:paraId="04B0512A" w14:textId="1A3EB1B2" w:rsidR="00743857" w:rsidRPr="00364911" w:rsidRDefault="00743857" w:rsidP="002820D3">
      <w:pPr>
        <w:pStyle w:val="ListParagraph"/>
        <w:numPr>
          <w:ilvl w:val="0"/>
          <w:numId w:val="6"/>
        </w:numPr>
      </w:pPr>
      <w:r w:rsidRPr="00364911">
        <w:t>A low-tit</w:t>
      </w:r>
      <w:r w:rsidR="00DC3451">
        <w:t>re</w:t>
      </w:r>
      <w:r w:rsidRPr="00364911">
        <w:t xml:space="preserve"> inhibitor (&lt;5 BU) can be overcome with higher doses of </w:t>
      </w:r>
      <w:r w:rsidR="00DC3451">
        <w:t>F</w:t>
      </w:r>
      <w:r w:rsidRPr="00364911">
        <w:t>VIII</w:t>
      </w:r>
      <w:r w:rsidR="00EC4151">
        <w:t>, however, prophylactic regimens may still be used to avoid increasing titre levels with on-demand treatment</w:t>
      </w:r>
      <w:r w:rsidR="00DC3451">
        <w:t>.</w:t>
      </w:r>
    </w:p>
    <w:p w14:paraId="5831A9F8" w14:textId="687A19D6" w:rsidR="00743857" w:rsidRPr="00364911" w:rsidRDefault="00EC4151" w:rsidP="002820D3">
      <w:pPr>
        <w:pStyle w:val="ListParagraph"/>
        <w:numPr>
          <w:ilvl w:val="0"/>
          <w:numId w:val="6"/>
        </w:numPr>
      </w:pPr>
      <w:r>
        <w:t>Bleeding in a patient with a</w:t>
      </w:r>
      <w:r w:rsidR="00743857" w:rsidRPr="00364911">
        <w:t xml:space="preserve"> high-tit</w:t>
      </w:r>
      <w:r w:rsidR="00DC3451">
        <w:t>re</w:t>
      </w:r>
      <w:r w:rsidR="00743857" w:rsidRPr="00364911">
        <w:t xml:space="preserve"> inhibitor must be treated with </w:t>
      </w:r>
      <w:r w:rsidR="00887604">
        <w:t>BPAs</w:t>
      </w:r>
      <w:r w:rsidR="00743857" w:rsidRPr="00364911">
        <w:t>.</w:t>
      </w:r>
    </w:p>
    <w:p w14:paraId="1BDD5D13" w14:textId="5C6B67BD" w:rsidR="00743857" w:rsidRDefault="00743857" w:rsidP="00743857">
      <w:r w:rsidRPr="00364911">
        <w:t xml:space="preserve">In general, </w:t>
      </w:r>
      <w:r w:rsidR="00887604">
        <w:t xml:space="preserve">BPAs </w:t>
      </w:r>
      <w:r w:rsidRPr="00364911">
        <w:t xml:space="preserve">can achieve </w:t>
      </w:r>
      <w:r w:rsidR="00364911" w:rsidRPr="00364911">
        <w:t>haemostasis</w:t>
      </w:r>
      <w:r w:rsidRPr="00364911">
        <w:t xml:space="preserve"> but they are considered less effective than </w:t>
      </w:r>
      <w:r w:rsidR="00DC3451">
        <w:t>F</w:t>
      </w:r>
      <w:r w:rsidRPr="00364911">
        <w:t>VIII replacement in patients without an inhibitor</w:t>
      </w:r>
      <w:r w:rsidR="00364911">
        <w:t xml:space="preserve"> </w:t>
      </w:r>
      <w:r w:rsidR="00364911">
        <w:fldChar w:fldCharType="begin"/>
      </w:r>
      <w:r w:rsidR="00DF30B8">
        <w:instrText xml:space="preserve"> ADDIN EN.CITE &lt;EndNote&gt;&lt;Cite&gt;&lt;Author&gt;Witmer&lt;/Author&gt;&lt;Year&gt;2013&lt;/Year&gt;&lt;RecNum&gt;4&lt;/RecNum&gt;&lt;DisplayText&gt;(Witmer and Young 2013)&lt;/DisplayText&gt;&lt;record&gt;&lt;rec-number&gt;4&lt;/rec-number&gt;&lt;foreign-keys&gt;&lt;key app="EN" db-id="rwz09pa0y9ee9se9epe5f5xde52pzetxev5x" timestamp="1508890326"&gt;4&lt;/key&gt;&lt;/foreign-keys&gt;&lt;ref-type name="Journal Article"&gt;17&lt;/ref-type&gt;&lt;contributors&gt;&lt;authors&gt;&lt;author&gt;Witmer, Char&lt;/author&gt;&lt;author&gt;Young, Guy&lt;/author&gt;&lt;/authors&gt;&lt;/contributors&gt;&lt;titles&gt;&lt;title&gt;Factor VIII inhibitors in hemophilia A: rationale and latest evidence&lt;/title&gt;&lt;secondary-title&gt;Therapeutic Advances in Hematology&lt;/secondary-title&gt;&lt;/titles&gt;&lt;periodical&gt;&lt;full-title&gt;Therapeutic Advances in Hematology&lt;/full-title&gt;&lt;/periodical&gt;&lt;pages&gt;59-72&lt;/pages&gt;&lt;volume&gt;4&lt;/volume&gt;&lt;number&gt;1&lt;/number&gt;&lt;dates&gt;&lt;year&gt;2013&lt;/year&gt;&lt;/dates&gt;&lt;pub-location&gt;Sage UK: London, England&lt;/pub-location&gt;&lt;publisher&gt;SAGE Publications&lt;/publisher&gt;&lt;isbn&gt;2040-6207&amp;#xD;2040-6215&lt;/isbn&gt;&lt;accession-num&gt;PMC3629762&lt;/accession-num&gt;&lt;urls&gt;&lt;related-urls&gt;&lt;url&gt;http://www.ncbi.nlm.nih.gov/pmc/articles/PMC3629762/&lt;/url&gt;&lt;/related-urls&gt;&lt;/urls&gt;&lt;electronic-resource-num&gt;10.1177/2040620712464509&lt;/electronic-resource-num&gt;&lt;remote-database-name&gt;PMC&lt;/remote-database-name&gt;&lt;/record&gt;&lt;/Cite&gt;&lt;/EndNote&gt;</w:instrText>
      </w:r>
      <w:r w:rsidR="00364911">
        <w:fldChar w:fldCharType="separate"/>
      </w:r>
      <w:r w:rsidR="00364911">
        <w:rPr>
          <w:noProof/>
        </w:rPr>
        <w:t>(Witmer and Young 2013)</w:t>
      </w:r>
      <w:r w:rsidR="00364911">
        <w:fldChar w:fldCharType="end"/>
      </w:r>
      <w:r w:rsidRPr="00364911">
        <w:t>.</w:t>
      </w:r>
      <w:r w:rsidR="00364911">
        <w:t xml:space="preserve"> </w:t>
      </w:r>
      <w:r w:rsidR="0032322C">
        <w:t>In some cases patients with a low-tit</w:t>
      </w:r>
      <w:r w:rsidR="00DC3451">
        <w:t>re</w:t>
      </w:r>
      <w:r w:rsidR="0032322C">
        <w:t xml:space="preserve"> inhibitor may be treated with </w:t>
      </w:r>
      <w:r w:rsidR="00887604">
        <w:t xml:space="preserve">BPAs </w:t>
      </w:r>
      <w:r w:rsidR="0032322C">
        <w:t xml:space="preserve">if the treating physician deems it appropriate, particularly if a patient continues to bleed despite increasing doses of </w:t>
      </w:r>
      <w:r w:rsidR="00DC3451">
        <w:t>F</w:t>
      </w:r>
      <w:r w:rsidR="00862E23">
        <w:t>VIII</w:t>
      </w:r>
      <w:r w:rsidR="0032322C">
        <w:t xml:space="preserve">. These patients who might currently receive </w:t>
      </w:r>
      <w:r w:rsidR="00887604">
        <w:t xml:space="preserve">BPAs </w:t>
      </w:r>
      <w:r w:rsidR="0032322C">
        <w:t>despite having a low-tit</w:t>
      </w:r>
      <w:r w:rsidR="00DC3451">
        <w:t>re</w:t>
      </w:r>
      <w:r w:rsidR="0032322C">
        <w:t xml:space="preserve"> inhibitor and therefore emicizumab might be a comparator to </w:t>
      </w:r>
      <w:r w:rsidR="00887604">
        <w:t xml:space="preserve">BPAs </w:t>
      </w:r>
      <w:r w:rsidR="0032322C">
        <w:t>in some low-titre inhibitor patients.</w:t>
      </w:r>
    </w:p>
    <w:p w14:paraId="181C2AA0" w14:textId="59F6D1FB" w:rsidR="00FB18D2" w:rsidRPr="0035049B" w:rsidRDefault="00FB18D2" w:rsidP="004A5756">
      <w:pPr>
        <w:pStyle w:val="Heading3"/>
        <w:rPr>
          <w:lang w:val="en"/>
        </w:rPr>
      </w:pPr>
      <w:r>
        <w:rPr>
          <w:lang w:val="en"/>
        </w:rPr>
        <w:t xml:space="preserve">Comparator(s) in population </w:t>
      </w:r>
      <w:r w:rsidR="00DC3451">
        <w:rPr>
          <w:lang w:val="en"/>
        </w:rPr>
        <w:t>two</w:t>
      </w:r>
    </w:p>
    <w:p w14:paraId="38782452" w14:textId="0EC316A5" w:rsidR="00FB18D2" w:rsidRDefault="00FB18D2" w:rsidP="00FB18D2">
      <w:r>
        <w:t xml:space="preserve">The main comparator in population </w:t>
      </w:r>
      <w:r w:rsidR="00DC3451">
        <w:t>two</w:t>
      </w:r>
      <w:r>
        <w:t xml:space="preserve"> is prophylaxis with </w:t>
      </w:r>
      <w:r w:rsidR="00DC3451">
        <w:t>F</w:t>
      </w:r>
      <w:r>
        <w:t>VIII which the national guidelines indicate is commonly provided as per one of the following protocols</w:t>
      </w:r>
      <w:r w:rsidR="00DD439E">
        <w:t xml:space="preserve"> </w:t>
      </w:r>
      <w:r w:rsidR="00DD439E">
        <w:fldChar w:fldCharType="begin"/>
      </w:r>
      <w:r w:rsidR="00DF30B8">
        <w:instrText xml:space="preserve"> ADDIN EN.CITE &lt;EndNote&gt;&lt;Cite&gt;&lt;Author&gt;National Blood Authority&lt;/Author&gt;&lt;Year&gt;2016&lt;/Year&gt;&lt;RecNum&gt;1&lt;/RecNum&gt;&lt;DisplayText&gt;(National Blood Authority 2016a)&lt;/DisplayText&gt;&lt;record&gt;&lt;rec-number&gt;1&lt;/rec-number&gt;&lt;foreign-keys&gt;&lt;key app="EN" db-id="rwz09pa0y9ee9se9epe5f5xde52pzetxev5x" timestamp="1508890326"&gt;1&lt;/key&gt;&lt;/foreign-keys&gt;&lt;ref-type name="Web Page"&gt;12&lt;/ref-type&gt;&lt;contributors&gt;&lt;authors&gt;&lt;author&gt;National Blood Authority,&lt;/author&gt;&lt;/authors&gt;&lt;/contributors&gt;&lt;titles&gt;&lt;title&gt;Guidelines for the management of haemophilia in Australia&lt;/title&gt;&lt;/titles&gt;&lt;volume&gt;2017&lt;/volume&gt;&lt;number&gt;29 September &lt;/number&gt;&lt;dates&gt;&lt;year&gt;2016&lt;/year&gt;&lt;pub-dates&gt;&lt;date&gt;2016&lt;/date&gt;&lt;/pub-dates&gt;&lt;/dates&gt;&lt;urls&gt;&lt;related-urls&gt;&lt;url&gt;https://www.blood.gov.au/system/files/HaemophiliaGuidelines-interactive-updated-260317v2.pdf&lt;/url&gt;&lt;/related-urls&gt;&lt;/urls&gt;&lt;/record&gt;&lt;/Cite&gt;&lt;/EndNote&gt;</w:instrText>
      </w:r>
      <w:r w:rsidR="00DD439E">
        <w:fldChar w:fldCharType="separate"/>
      </w:r>
      <w:r w:rsidR="00DD439E">
        <w:rPr>
          <w:noProof/>
        </w:rPr>
        <w:t>(National Blood Authority 2016a)</w:t>
      </w:r>
      <w:r w:rsidR="00DD439E">
        <w:fldChar w:fldCharType="end"/>
      </w:r>
      <w:r>
        <w:t>:</w:t>
      </w:r>
    </w:p>
    <w:p w14:paraId="0B841457" w14:textId="6D487C0C" w:rsidR="00413C74" w:rsidRDefault="00FB18D2" w:rsidP="004A5756">
      <w:pPr>
        <w:pStyle w:val="ListParagraph"/>
        <w:numPr>
          <w:ilvl w:val="0"/>
          <w:numId w:val="20"/>
        </w:numPr>
      </w:pPr>
      <w:r>
        <w:t>the Malmö protocol: 25–40 IU/kg per dose administered three times a week</w:t>
      </w:r>
      <w:r w:rsidR="00DC3451">
        <w:t>; or,</w:t>
      </w:r>
    </w:p>
    <w:p w14:paraId="496DE52D" w14:textId="10CBDCD6" w:rsidR="00413C74" w:rsidRDefault="00FB18D2" w:rsidP="004A5756">
      <w:pPr>
        <w:pStyle w:val="ListParagraph"/>
        <w:numPr>
          <w:ilvl w:val="0"/>
          <w:numId w:val="20"/>
        </w:numPr>
      </w:pPr>
      <w:r>
        <w:t>the Utrecht protocol: 15–30 IU/kg per dose administered three times a week</w:t>
      </w:r>
      <w:r w:rsidR="00DC3451">
        <w:t>.</w:t>
      </w:r>
    </w:p>
    <w:p w14:paraId="642AF24B" w14:textId="77E3B69C" w:rsidR="00413C74" w:rsidRDefault="00413C74">
      <w:r>
        <w:lastRenderedPageBreak/>
        <w:t>However, there is some uncertainty about the minimum therapeutically effective dose</w:t>
      </w:r>
      <w:r w:rsidR="00DC3451">
        <w:t>. I</w:t>
      </w:r>
      <w:r>
        <w:t xml:space="preserve">ndividualised protocols </w:t>
      </w:r>
      <w:r w:rsidR="00DC3451">
        <w:t xml:space="preserve">are considered that are </w:t>
      </w:r>
      <w:r>
        <w:t xml:space="preserve">based on disease severity and </w:t>
      </w:r>
      <w:r w:rsidR="00424031">
        <w:t>the pharmacokinetics FVIII replacements.</w:t>
      </w:r>
      <w:r>
        <w:t xml:space="preserve"> For very young children less frequent administration, escalated as appropriate might</w:t>
      </w:r>
      <w:r w:rsidR="00424031">
        <w:t xml:space="preserve"> be considered</w:t>
      </w:r>
      <w:r>
        <w:t>.</w:t>
      </w:r>
    </w:p>
    <w:p w14:paraId="2C0DBB30" w14:textId="43AD7214" w:rsidR="00F95C63" w:rsidRDefault="00413C74" w:rsidP="00454CF7">
      <w:r>
        <w:t>For the management of bleeding</w:t>
      </w:r>
      <w:r w:rsidR="00216014">
        <w:t xml:space="preserve"> or as surgical cover</w:t>
      </w:r>
      <w:r w:rsidR="00454CF7">
        <w:t xml:space="preserve"> in patients not receiving prophylaxis,</w:t>
      </w:r>
      <w:r>
        <w:t xml:space="preserve"> </w:t>
      </w:r>
      <w:r w:rsidR="00454CF7">
        <w:t xml:space="preserve">FVIII is given on-demand according to varied doses and durations depending on the type of haemorrhage and the target level of FVIII. </w:t>
      </w:r>
      <w:r>
        <w:t xml:space="preserve">The duration of on-demand treatment can be as short as 24 hours or as long as two weeks depending on the response of the patient and the need for secondary prophylaxis after bleeding. Table 7-1 of the guidelines </w:t>
      </w:r>
      <w:r w:rsidR="00454CF7">
        <w:t xml:space="preserve">for the management of haemophilia in Australia </w:t>
      </w:r>
      <w:r>
        <w:t>covers a range of scenarios</w:t>
      </w:r>
      <w:r w:rsidR="00DD439E">
        <w:t xml:space="preserve"> </w:t>
      </w:r>
      <w:r w:rsidR="00DD439E">
        <w:fldChar w:fldCharType="begin"/>
      </w:r>
      <w:r w:rsidR="00DF30B8">
        <w:instrText xml:space="preserve"> ADDIN EN.CITE &lt;EndNote&gt;&lt;Cite&gt;&lt;Author&gt;National Blood Authority&lt;/Author&gt;&lt;Year&gt;2016&lt;/Year&gt;&lt;RecNum&gt;1&lt;/RecNum&gt;&lt;DisplayText&gt;(National Blood Authority 2016a)&lt;/DisplayText&gt;&lt;record&gt;&lt;rec-number&gt;1&lt;/rec-number&gt;&lt;foreign-keys&gt;&lt;key app="EN" db-id="rwz09pa0y9ee9se9epe5f5xde52pzetxev5x" timestamp="1508890326"&gt;1&lt;/key&gt;&lt;/foreign-keys&gt;&lt;ref-type name="Web Page"&gt;12&lt;/ref-type&gt;&lt;contributors&gt;&lt;authors&gt;&lt;author&gt;National Blood Authority,&lt;/author&gt;&lt;/authors&gt;&lt;/contributors&gt;&lt;titles&gt;&lt;title&gt;Guidelines for the management of haemophilia in Australia&lt;/title&gt;&lt;/titles&gt;&lt;volume&gt;2017&lt;/volume&gt;&lt;number&gt;29 September &lt;/number&gt;&lt;dates&gt;&lt;year&gt;2016&lt;/year&gt;&lt;pub-dates&gt;&lt;date&gt;2016&lt;/date&gt;&lt;/pub-dates&gt;&lt;/dates&gt;&lt;urls&gt;&lt;related-urls&gt;&lt;url&gt;https://www.blood.gov.au/system/files/HaemophiliaGuidelines-interactive-updated-260317v2.pdf&lt;/url&gt;&lt;/related-urls&gt;&lt;/urls&gt;&lt;/record&gt;&lt;/Cite&gt;&lt;/EndNote&gt;</w:instrText>
      </w:r>
      <w:r w:rsidR="00DD439E">
        <w:fldChar w:fldCharType="separate"/>
      </w:r>
      <w:r w:rsidR="00DD439E">
        <w:rPr>
          <w:noProof/>
        </w:rPr>
        <w:t>(National Blood Authority 2016a)</w:t>
      </w:r>
      <w:r w:rsidR="00DD439E">
        <w:fldChar w:fldCharType="end"/>
      </w:r>
      <w:r>
        <w:t xml:space="preserve">. </w:t>
      </w:r>
      <w:r w:rsidR="00F83CED">
        <w:t>The table below outlines currently available products on th</w:t>
      </w:r>
      <w:r w:rsidR="00986F2C">
        <w:t xml:space="preserve">e </w:t>
      </w:r>
      <w:r w:rsidR="000E5F7E">
        <w:t>N</w:t>
      </w:r>
      <w:r w:rsidR="00986F2C">
        <w:t xml:space="preserve">ational </w:t>
      </w:r>
      <w:r w:rsidR="000E5F7E">
        <w:t>P</w:t>
      </w:r>
      <w:r w:rsidR="00986F2C">
        <w:t xml:space="preserve">roducts </w:t>
      </w:r>
      <w:r w:rsidR="000E5F7E">
        <w:t>L</w:t>
      </w:r>
      <w:r w:rsidR="00986F2C">
        <w:t>ist</w:t>
      </w:r>
      <w:r w:rsidR="004140FC">
        <w:t>.</w:t>
      </w:r>
    </w:p>
    <w:p w14:paraId="085D693E" w14:textId="0EF11DE1" w:rsidR="008659FA" w:rsidRPr="004A5756" w:rsidRDefault="008659FA" w:rsidP="008659FA">
      <w:pPr>
        <w:pStyle w:val="Caption"/>
      </w:pPr>
      <w:bookmarkStart w:id="9" w:name="_Ref494978984"/>
      <w:r w:rsidRPr="004A5756">
        <w:t xml:space="preserve">Table </w:t>
      </w:r>
      <w:r w:rsidRPr="004A5756">
        <w:fldChar w:fldCharType="begin"/>
      </w:r>
      <w:r w:rsidRPr="004A5756">
        <w:instrText xml:space="preserve"> SEQ Table \* ARABIC </w:instrText>
      </w:r>
      <w:r w:rsidRPr="004A5756">
        <w:fldChar w:fldCharType="separate"/>
      </w:r>
      <w:r w:rsidR="00A04E68">
        <w:rPr>
          <w:noProof/>
        </w:rPr>
        <w:t>6</w:t>
      </w:r>
      <w:r w:rsidRPr="004A5756">
        <w:fldChar w:fldCharType="end"/>
      </w:r>
      <w:bookmarkEnd w:id="9"/>
      <w:r w:rsidRPr="004A5756">
        <w:tab/>
        <w:t xml:space="preserve">Plasma and recombinant products supplied under contract by the </w:t>
      </w:r>
      <w:r w:rsidR="00463AAE" w:rsidRPr="004A5756">
        <w:t>National Blood Authority</w:t>
      </w:r>
      <w:r w:rsidRPr="004A5756">
        <w:t xml:space="preserve"> in 2015-16</w:t>
      </w:r>
      <w:r w:rsidR="00133F67" w:rsidRPr="004A5756">
        <w:t xml:space="preserve"> </w:t>
      </w:r>
      <w:r w:rsidR="004140FC" w:rsidRPr="004A5756">
        <w:fldChar w:fldCharType="begin"/>
      </w:r>
      <w:r w:rsidR="00DF30B8">
        <w:instrText xml:space="preserve"> ADDIN EN.CITE &lt;EndNote&gt;&lt;Cite ExcludeAuth="1"&gt;&lt;Author&gt;National Blood Authority&lt;/Author&gt;&lt;Year&gt;2016&lt;/Year&gt;&lt;RecNum&gt;18&lt;/RecNum&gt;&lt;DisplayText&gt;(2016b)&lt;/DisplayText&gt;&lt;record&gt;&lt;rec-number&gt;18&lt;/rec-number&gt;&lt;foreign-keys&gt;&lt;key app="EN" db-id="rwz09pa0y9ee9se9epe5f5xde52pzetxev5x" timestamp="1508890329"&gt;18&lt;/key&gt;&lt;/foreign-keys&gt;&lt;ref-type name="Web Page"&gt;12&lt;/ref-type&gt;&lt;contributors&gt;&lt;authors&gt;&lt;author&gt;National Blood Authority,&lt;/author&gt;&lt;/authors&gt;&lt;/contributors&gt;&lt;titles&gt;&lt;title&gt;National Blood Authority Annual Report 2015–16&lt;/title&gt;&lt;/titles&gt;&lt;volume&gt;2017&lt;/volume&gt;&lt;number&gt;29 September&lt;/number&gt;&lt;dates&gt;&lt;year&gt;2016&lt;/year&gt;&lt;pub-dates&gt;&lt;date&gt;Unknown&lt;/date&gt;&lt;/pub-dates&gt;&lt;/dates&gt;&lt;urls&gt;&lt;related-urls&gt;&lt;url&gt;https://www.blood.gov.au/pubs/1516report/sites/default/files/publication/nba-annual-report-2015-16.pdf&lt;/url&gt;&lt;/related-urls&gt;&lt;/urls&gt;&lt;/record&gt;&lt;/Cite&gt;&lt;/EndNote&gt;</w:instrText>
      </w:r>
      <w:r w:rsidR="004140FC" w:rsidRPr="004A5756">
        <w:fldChar w:fldCharType="separate"/>
      </w:r>
      <w:r w:rsidR="004140FC" w:rsidRPr="004A5756">
        <w:rPr>
          <w:noProof/>
        </w:rPr>
        <w:t>(2016b)</w:t>
      </w:r>
      <w:r w:rsidR="004140FC" w:rsidRPr="004A5756">
        <w:fldChar w:fldCharType="end"/>
      </w:r>
      <w:r w:rsidR="00F26CAC" w:rsidRPr="004A5756">
        <w:t xml:space="preserve"> </w:t>
      </w:r>
      <w:r w:rsidR="00133F67" w:rsidRPr="004A5756">
        <w:t>and guidelines for use as per the 2010 guidance for treatment of inhibitors in Haemophilia A and Haemophilia B from the Australian Haemophilia Centre Directors Organisation</w:t>
      </w:r>
      <w:r w:rsidR="004140FC" w:rsidRPr="004A5756">
        <w:t xml:space="preserve"> </w:t>
      </w:r>
      <w:r w:rsidR="004140FC" w:rsidRPr="004A5756">
        <w:fldChar w:fldCharType="begin"/>
      </w:r>
      <w:r w:rsidR="00DF30B8">
        <w:instrText xml:space="preserve"> ADDIN EN.CITE &lt;EndNote&gt;&lt;Cite ExcludeAuth="1"&gt;&lt;Author&gt;Australian Haemophilia Centre Directors’ Organisation&lt;/Author&gt;&lt;Year&gt;2010&lt;/Year&gt;&lt;RecNum&gt;11&lt;/RecNum&gt;&lt;DisplayText&gt;(2010)&lt;/DisplayText&gt;&lt;record&gt;&lt;rec-number&gt;11&lt;/rec-number&gt;&lt;foreign-keys&gt;&lt;key app="EN" db-id="rwz09pa0y9ee9se9epe5f5xde52pzetxev5x" timestamp="1508890328"&gt;11&lt;/key&gt;&lt;/foreign-keys&gt;&lt;ref-type name="Web Page"&gt;12&lt;/ref-type&gt;&lt;contributors&gt;&lt;authors&gt;&lt;author&gt;Australian Haemophilia Centre Directors’ Organisation,&lt;/author&gt;&lt;/authors&gt;&lt;/contributors&gt;&lt;titles&gt;&lt;title&gt;Guidelines for the treatment of inhibitors in Haemophilia A and Haemophilia B&lt;/title&gt;&lt;/titles&gt;&lt;volume&gt;2017&lt;/volume&gt;&lt;number&gt;04/10/2017&lt;/number&gt;&lt;dates&gt;&lt;year&gt;2010&lt;/year&gt;&lt;pub-dates&gt;&lt;date&gt;2010&lt;/date&gt;&lt;/pub-dates&gt;&lt;/dates&gt;&lt;urls&gt;&lt;related-urls&gt;&lt;url&gt;http://www.ahcdo.org.au/documents/item/16&lt;/url&gt;&lt;/related-urls&gt;&lt;/urls&gt;&lt;/record&gt;&lt;/Cite&gt;&lt;/EndNote&gt;</w:instrText>
      </w:r>
      <w:r w:rsidR="004140FC" w:rsidRPr="004A5756">
        <w:fldChar w:fldCharType="separate"/>
      </w:r>
      <w:r w:rsidR="004140FC" w:rsidRPr="004A5756">
        <w:rPr>
          <w:noProof/>
        </w:rPr>
        <w:t>(2010)</w:t>
      </w:r>
      <w:r w:rsidR="004140FC" w:rsidRPr="004A5756">
        <w:fldChar w:fldCharType="end"/>
      </w:r>
    </w:p>
    <w:tbl>
      <w:tblPr>
        <w:tblStyle w:val="TableGrid"/>
        <w:tblW w:w="4865" w:type="pct"/>
        <w:tblInd w:w="250" w:type="dxa"/>
        <w:tblBorders>
          <w:insideV w:val="none" w:sz="0" w:space="0" w:color="auto"/>
        </w:tblBorders>
        <w:tblLook w:val="04A0" w:firstRow="1" w:lastRow="0" w:firstColumn="1" w:lastColumn="0" w:noHBand="0" w:noVBand="1"/>
        <w:tblCaption w:val="Table 6 Plasma and recombinant products supplied under contract by the National Blood Authority in 2015-16 (2016b) and guidelines for use as per the 2010 guidance for treatment of inhibitors in Haemophilia A and Haemophilia B from the Australian Haemophilia Centre Directors Organisation (2010)"/>
      </w:tblPr>
      <w:tblGrid>
        <w:gridCol w:w="1813"/>
        <w:gridCol w:w="2723"/>
        <w:gridCol w:w="4456"/>
      </w:tblGrid>
      <w:tr w:rsidR="008659FA" w:rsidRPr="004A5756" w14:paraId="644ABA99" w14:textId="28BC5879" w:rsidTr="000024A7">
        <w:trPr>
          <w:tblHeader/>
        </w:trPr>
        <w:tc>
          <w:tcPr>
            <w:tcW w:w="1008" w:type="pct"/>
            <w:shd w:val="clear" w:color="auto" w:fill="D9D9D9" w:themeFill="background1" w:themeFillShade="D9"/>
          </w:tcPr>
          <w:p w14:paraId="654A5041" w14:textId="61587BEC" w:rsidR="008659FA" w:rsidRPr="004A5756" w:rsidRDefault="008659FA" w:rsidP="00081551">
            <w:pPr>
              <w:spacing w:after="60" w:line="276" w:lineRule="auto"/>
              <w:rPr>
                <w:rFonts w:ascii="Arial Narrow" w:hAnsi="Arial Narrow"/>
                <w:b/>
                <w:sz w:val="20"/>
                <w:szCs w:val="20"/>
              </w:rPr>
            </w:pPr>
            <w:r w:rsidRPr="004A5756">
              <w:rPr>
                <w:rFonts w:ascii="Arial Narrow" w:hAnsi="Arial Narrow"/>
                <w:b/>
                <w:sz w:val="20"/>
                <w:szCs w:val="20"/>
              </w:rPr>
              <w:t>Product</w:t>
            </w:r>
          </w:p>
        </w:tc>
        <w:tc>
          <w:tcPr>
            <w:tcW w:w="1514" w:type="pct"/>
            <w:shd w:val="clear" w:color="auto" w:fill="D9D9D9" w:themeFill="background1" w:themeFillShade="D9"/>
          </w:tcPr>
          <w:p w14:paraId="3B9A5509" w14:textId="77777777" w:rsidR="00F26CAC" w:rsidRPr="004A5756" w:rsidRDefault="00F26CAC" w:rsidP="00081551">
            <w:pPr>
              <w:spacing w:after="60" w:line="276" w:lineRule="auto"/>
              <w:rPr>
                <w:rFonts w:ascii="Arial Narrow" w:hAnsi="Arial Narrow"/>
                <w:b/>
                <w:sz w:val="20"/>
                <w:szCs w:val="20"/>
              </w:rPr>
            </w:pPr>
            <w:r w:rsidRPr="004A5756">
              <w:rPr>
                <w:rFonts w:ascii="Arial Narrow" w:hAnsi="Arial Narrow"/>
                <w:b/>
                <w:sz w:val="20"/>
                <w:szCs w:val="20"/>
              </w:rPr>
              <w:t>Suppliers</w:t>
            </w:r>
          </w:p>
          <w:p w14:paraId="488F0541" w14:textId="75E179B3" w:rsidR="00F26CAC" w:rsidRPr="004A5756" w:rsidRDefault="00F26CAC" w:rsidP="00081551">
            <w:pPr>
              <w:spacing w:after="60" w:line="276" w:lineRule="auto"/>
              <w:rPr>
                <w:rFonts w:ascii="Arial Narrow" w:hAnsi="Arial Narrow"/>
                <w:b/>
                <w:sz w:val="20"/>
                <w:szCs w:val="20"/>
              </w:rPr>
            </w:pPr>
            <w:r w:rsidRPr="004A5756">
              <w:rPr>
                <w:rFonts w:ascii="Arial Narrow" w:hAnsi="Arial Narrow"/>
                <w:b/>
                <w:sz w:val="20"/>
                <w:szCs w:val="20"/>
              </w:rPr>
              <w:t>D</w:t>
            </w:r>
            <w:r w:rsidR="008659FA" w:rsidRPr="004A5756">
              <w:rPr>
                <w:rFonts w:ascii="Arial Narrow" w:hAnsi="Arial Narrow"/>
                <w:b/>
                <w:sz w:val="20"/>
                <w:szCs w:val="20"/>
              </w:rPr>
              <w:t>osage form</w:t>
            </w:r>
          </w:p>
          <w:p w14:paraId="6EF5BC6E" w14:textId="7C2C2412" w:rsidR="008659FA" w:rsidRPr="004A5756" w:rsidRDefault="00F26CAC" w:rsidP="00081551">
            <w:pPr>
              <w:spacing w:after="60" w:line="276" w:lineRule="auto"/>
              <w:rPr>
                <w:rFonts w:ascii="Arial Narrow" w:hAnsi="Arial Narrow"/>
                <w:b/>
                <w:sz w:val="20"/>
                <w:szCs w:val="20"/>
              </w:rPr>
            </w:pPr>
            <w:r w:rsidRPr="004A5756">
              <w:rPr>
                <w:rFonts w:ascii="Arial Narrow" w:hAnsi="Arial Narrow"/>
                <w:b/>
                <w:sz w:val="20"/>
                <w:szCs w:val="20"/>
              </w:rPr>
              <w:t>C</w:t>
            </w:r>
            <w:r w:rsidR="008659FA" w:rsidRPr="004A5756">
              <w:rPr>
                <w:rFonts w:ascii="Arial Narrow" w:hAnsi="Arial Narrow"/>
                <w:b/>
                <w:sz w:val="20"/>
                <w:szCs w:val="20"/>
              </w:rPr>
              <w:t>ost</w:t>
            </w:r>
          </w:p>
        </w:tc>
        <w:tc>
          <w:tcPr>
            <w:tcW w:w="2478" w:type="pct"/>
            <w:shd w:val="clear" w:color="auto" w:fill="D9D9D9" w:themeFill="background1" w:themeFillShade="D9"/>
          </w:tcPr>
          <w:p w14:paraId="5C9AECAD" w14:textId="201B9C6C" w:rsidR="008659FA" w:rsidRPr="004A5756" w:rsidRDefault="00F26CAC" w:rsidP="00081551">
            <w:pPr>
              <w:spacing w:after="60" w:line="276" w:lineRule="auto"/>
              <w:rPr>
                <w:rFonts w:ascii="Arial Narrow" w:hAnsi="Arial Narrow"/>
                <w:b/>
                <w:sz w:val="20"/>
                <w:szCs w:val="20"/>
              </w:rPr>
            </w:pPr>
            <w:r w:rsidRPr="004A5756">
              <w:rPr>
                <w:rFonts w:ascii="Arial Narrow" w:hAnsi="Arial Narrow"/>
                <w:b/>
                <w:sz w:val="20"/>
                <w:szCs w:val="20"/>
              </w:rPr>
              <w:t>Details</w:t>
            </w:r>
          </w:p>
        </w:tc>
      </w:tr>
      <w:tr w:rsidR="008659FA" w:rsidRPr="004A5756" w14:paraId="0732606C" w14:textId="3E769711" w:rsidTr="00081551">
        <w:tc>
          <w:tcPr>
            <w:tcW w:w="1008" w:type="pct"/>
            <w:shd w:val="clear" w:color="auto" w:fill="F2F2F2" w:themeFill="background1" w:themeFillShade="F2"/>
          </w:tcPr>
          <w:p w14:paraId="4CCFDAEB" w14:textId="6EE31BF5" w:rsidR="008659FA" w:rsidRPr="004A5756" w:rsidRDefault="00133F67" w:rsidP="00081551">
            <w:pPr>
              <w:spacing w:after="60" w:line="276" w:lineRule="auto"/>
              <w:rPr>
                <w:rFonts w:ascii="Arial Narrow" w:hAnsi="Arial Narrow"/>
                <w:b/>
                <w:sz w:val="20"/>
                <w:szCs w:val="20"/>
              </w:rPr>
            </w:pPr>
            <w:r w:rsidRPr="004A5756">
              <w:rPr>
                <w:rFonts w:ascii="Arial Narrow" w:hAnsi="Arial Narrow"/>
                <w:b/>
                <w:sz w:val="20"/>
                <w:szCs w:val="20"/>
              </w:rPr>
              <w:t>Bypassing agents</w:t>
            </w:r>
          </w:p>
        </w:tc>
        <w:tc>
          <w:tcPr>
            <w:tcW w:w="1514" w:type="pct"/>
            <w:shd w:val="clear" w:color="auto" w:fill="F2F2F2" w:themeFill="background1" w:themeFillShade="F2"/>
          </w:tcPr>
          <w:p w14:paraId="5D0E4322" w14:textId="3CC4F3AF" w:rsidR="008659FA" w:rsidRPr="004A5756" w:rsidRDefault="008659FA" w:rsidP="00081551">
            <w:pPr>
              <w:spacing w:after="60" w:line="276" w:lineRule="auto"/>
              <w:rPr>
                <w:rFonts w:ascii="Arial Narrow" w:hAnsi="Arial Narrow"/>
                <w:sz w:val="20"/>
                <w:szCs w:val="20"/>
              </w:rPr>
            </w:pPr>
          </w:p>
        </w:tc>
        <w:tc>
          <w:tcPr>
            <w:tcW w:w="2478" w:type="pct"/>
            <w:shd w:val="clear" w:color="auto" w:fill="F2F2F2" w:themeFill="background1" w:themeFillShade="F2"/>
          </w:tcPr>
          <w:p w14:paraId="668E486E" w14:textId="446DA296" w:rsidR="008659FA" w:rsidRPr="004A5756" w:rsidRDefault="008659FA" w:rsidP="00081551">
            <w:pPr>
              <w:spacing w:after="60" w:line="276" w:lineRule="auto"/>
              <w:rPr>
                <w:rFonts w:ascii="Arial Narrow" w:hAnsi="Arial Narrow"/>
                <w:sz w:val="20"/>
                <w:szCs w:val="20"/>
              </w:rPr>
            </w:pPr>
          </w:p>
        </w:tc>
      </w:tr>
      <w:tr w:rsidR="008659FA" w:rsidRPr="004A5756" w14:paraId="55AD3FB8" w14:textId="7B7D9B52" w:rsidTr="000A2091">
        <w:trPr>
          <w:trHeight w:val="1429"/>
        </w:trPr>
        <w:tc>
          <w:tcPr>
            <w:tcW w:w="1008" w:type="pct"/>
          </w:tcPr>
          <w:p w14:paraId="21E57C57" w14:textId="3FDDBBD2" w:rsidR="008659FA" w:rsidRPr="004A5756" w:rsidRDefault="008659FA" w:rsidP="00081551">
            <w:pPr>
              <w:spacing w:after="60" w:line="276" w:lineRule="auto"/>
              <w:rPr>
                <w:rFonts w:ascii="Arial Narrow" w:hAnsi="Arial Narrow"/>
                <w:sz w:val="20"/>
                <w:szCs w:val="20"/>
              </w:rPr>
            </w:pPr>
            <w:r w:rsidRPr="004A5756">
              <w:rPr>
                <w:rFonts w:ascii="Arial Narrow" w:hAnsi="Arial Narrow"/>
                <w:sz w:val="20"/>
                <w:szCs w:val="20"/>
              </w:rPr>
              <w:t>FEIBA® activated prothrombin complex concentrate</w:t>
            </w:r>
          </w:p>
        </w:tc>
        <w:tc>
          <w:tcPr>
            <w:tcW w:w="1514" w:type="pct"/>
          </w:tcPr>
          <w:p w14:paraId="26F40A2E" w14:textId="5C2031B1" w:rsidR="008659FA" w:rsidRPr="004A5756" w:rsidRDefault="008659FA" w:rsidP="00081551">
            <w:pPr>
              <w:spacing w:after="60" w:line="276" w:lineRule="auto"/>
              <w:rPr>
                <w:rFonts w:ascii="Arial Narrow" w:hAnsi="Arial Narrow"/>
                <w:sz w:val="20"/>
                <w:szCs w:val="20"/>
              </w:rPr>
            </w:pPr>
            <w:r w:rsidRPr="004A5756">
              <w:rPr>
                <w:rFonts w:ascii="Arial Narrow" w:hAnsi="Arial Narrow"/>
                <w:sz w:val="20"/>
                <w:szCs w:val="20"/>
              </w:rPr>
              <w:t>Baxalta Australia</w:t>
            </w:r>
            <w:r w:rsidR="000024A7">
              <w:rPr>
                <w:rFonts w:ascii="Arial Narrow" w:hAnsi="Arial Narrow"/>
                <w:sz w:val="20"/>
                <w:szCs w:val="20"/>
              </w:rPr>
              <w:t xml:space="preserve"> </w:t>
            </w:r>
            <w:r w:rsidRPr="004A5756">
              <w:rPr>
                <w:rFonts w:ascii="Arial Narrow" w:hAnsi="Arial Narrow"/>
                <w:sz w:val="20"/>
                <w:szCs w:val="20"/>
              </w:rPr>
              <w:t>Pty Ltd</w:t>
            </w:r>
          </w:p>
          <w:p w14:paraId="7B373D55" w14:textId="77777777" w:rsidR="008659FA" w:rsidRPr="004A5756" w:rsidRDefault="008659FA" w:rsidP="00081551">
            <w:pPr>
              <w:spacing w:after="60" w:line="276" w:lineRule="auto"/>
              <w:rPr>
                <w:rFonts w:ascii="Arial Narrow" w:hAnsi="Arial Narrow"/>
                <w:sz w:val="20"/>
                <w:szCs w:val="20"/>
              </w:rPr>
            </w:pPr>
            <w:r w:rsidRPr="004A5756">
              <w:rPr>
                <w:rFonts w:ascii="Arial Narrow" w:hAnsi="Arial Narrow"/>
                <w:sz w:val="20"/>
                <w:szCs w:val="20"/>
              </w:rPr>
              <w:t>500 IU/BF 500 IU/NF 1000 IU/ NF 2500IU</w:t>
            </w:r>
          </w:p>
          <w:p w14:paraId="7BDFD9A3" w14:textId="1C290FB4" w:rsidR="008659FA" w:rsidRPr="004A5756" w:rsidRDefault="008659FA" w:rsidP="00081551">
            <w:pPr>
              <w:spacing w:after="60" w:line="276" w:lineRule="auto"/>
              <w:rPr>
                <w:rFonts w:ascii="Arial Narrow" w:hAnsi="Arial Narrow"/>
                <w:sz w:val="20"/>
                <w:szCs w:val="20"/>
              </w:rPr>
            </w:pPr>
            <w:r w:rsidRPr="004A5756">
              <w:rPr>
                <w:rFonts w:ascii="Arial Narrow" w:hAnsi="Arial Narrow"/>
                <w:sz w:val="20"/>
                <w:szCs w:val="20"/>
              </w:rPr>
              <w:t>$2.40 per IU</w:t>
            </w:r>
          </w:p>
        </w:tc>
        <w:tc>
          <w:tcPr>
            <w:tcW w:w="2478" w:type="pct"/>
          </w:tcPr>
          <w:p w14:paraId="46FD957F" w14:textId="6606D1F8" w:rsidR="000024A7" w:rsidRDefault="00133F67" w:rsidP="00081551">
            <w:pPr>
              <w:spacing w:after="60" w:line="276" w:lineRule="auto"/>
              <w:rPr>
                <w:rFonts w:ascii="Arial Narrow" w:hAnsi="Arial Narrow"/>
                <w:sz w:val="20"/>
                <w:szCs w:val="20"/>
              </w:rPr>
            </w:pPr>
            <w:r w:rsidRPr="004A5756">
              <w:rPr>
                <w:rFonts w:ascii="Arial Narrow" w:hAnsi="Arial Narrow"/>
                <w:sz w:val="20"/>
                <w:szCs w:val="20"/>
                <w:u w:val="single"/>
              </w:rPr>
              <w:t>B</w:t>
            </w:r>
            <w:r w:rsidR="00762B8B" w:rsidRPr="004A5756">
              <w:rPr>
                <w:rFonts w:ascii="Arial Narrow" w:hAnsi="Arial Narrow"/>
                <w:sz w:val="20"/>
                <w:szCs w:val="20"/>
                <w:u w:val="single"/>
              </w:rPr>
              <w:t xml:space="preserve">leeding </w:t>
            </w:r>
            <w:r w:rsidRPr="004A5756">
              <w:rPr>
                <w:rFonts w:ascii="Arial Narrow" w:hAnsi="Arial Narrow"/>
                <w:sz w:val="20"/>
                <w:szCs w:val="20"/>
                <w:u w:val="single"/>
              </w:rPr>
              <w:t>management</w:t>
            </w:r>
            <w:r w:rsidRPr="004A5756">
              <w:rPr>
                <w:rFonts w:ascii="Arial Narrow" w:hAnsi="Arial Narrow"/>
                <w:sz w:val="20"/>
                <w:szCs w:val="20"/>
              </w:rPr>
              <w:t>:</w:t>
            </w:r>
            <w:r w:rsidR="00762B8B" w:rsidRPr="004A5756">
              <w:rPr>
                <w:rFonts w:ascii="Arial Narrow" w:hAnsi="Arial Narrow"/>
                <w:sz w:val="20"/>
                <w:szCs w:val="20"/>
              </w:rPr>
              <w:t xml:space="preserve"> is 60-100</w:t>
            </w:r>
            <w:r w:rsidR="000024A7">
              <w:rPr>
                <w:rFonts w:ascii="Arial Narrow" w:hAnsi="Arial Narrow"/>
                <w:sz w:val="20"/>
                <w:szCs w:val="20"/>
              </w:rPr>
              <w:t xml:space="preserve"> </w:t>
            </w:r>
            <w:r w:rsidR="00762B8B" w:rsidRPr="004A5756">
              <w:rPr>
                <w:rFonts w:ascii="Arial Narrow" w:hAnsi="Arial Narrow"/>
                <w:sz w:val="20"/>
                <w:szCs w:val="20"/>
              </w:rPr>
              <w:t>units/kg twice per day.</w:t>
            </w:r>
          </w:p>
          <w:p w14:paraId="5C856D10" w14:textId="095CFD23" w:rsidR="00762B8B" w:rsidRPr="004A5756" w:rsidRDefault="00762B8B" w:rsidP="00081551">
            <w:pPr>
              <w:spacing w:after="60" w:line="276" w:lineRule="auto"/>
              <w:rPr>
                <w:rFonts w:ascii="Arial Narrow" w:hAnsi="Arial Narrow"/>
                <w:sz w:val="20"/>
                <w:szCs w:val="20"/>
              </w:rPr>
            </w:pPr>
            <w:r w:rsidRPr="004A5756">
              <w:rPr>
                <w:rFonts w:ascii="Arial Narrow" w:hAnsi="Arial Narrow"/>
                <w:sz w:val="20"/>
                <w:szCs w:val="20"/>
              </w:rPr>
              <w:t>The maximum daily dose of FEIBA is 200 units/kg/day.</w:t>
            </w:r>
          </w:p>
          <w:p w14:paraId="1CBC8031" w14:textId="668347F3" w:rsidR="00762B8B" w:rsidRPr="004A5756" w:rsidRDefault="00133F67" w:rsidP="00081551">
            <w:pPr>
              <w:spacing w:after="60" w:line="276" w:lineRule="auto"/>
              <w:rPr>
                <w:rFonts w:ascii="Arial Narrow" w:hAnsi="Arial Narrow"/>
                <w:sz w:val="20"/>
                <w:szCs w:val="20"/>
              </w:rPr>
            </w:pPr>
            <w:r w:rsidRPr="004A5756">
              <w:rPr>
                <w:rFonts w:ascii="Arial Narrow" w:hAnsi="Arial Narrow"/>
                <w:sz w:val="20"/>
                <w:szCs w:val="20"/>
                <w:u w:val="single"/>
              </w:rPr>
              <w:t>Prophylaxis:</w:t>
            </w:r>
            <w:r w:rsidRPr="004A5756">
              <w:rPr>
                <w:rFonts w:ascii="Arial Narrow" w:hAnsi="Arial Narrow"/>
                <w:sz w:val="20"/>
                <w:szCs w:val="20"/>
              </w:rPr>
              <w:t xml:space="preserve"> </w:t>
            </w:r>
            <w:r w:rsidR="00762B8B" w:rsidRPr="004A5756">
              <w:rPr>
                <w:rFonts w:ascii="Arial Narrow" w:hAnsi="Arial Narrow"/>
                <w:sz w:val="20"/>
                <w:szCs w:val="20"/>
              </w:rPr>
              <w:t>75-100 units/kg three times a week.</w:t>
            </w:r>
          </w:p>
        </w:tc>
      </w:tr>
      <w:tr w:rsidR="008659FA" w:rsidRPr="004A5756" w14:paraId="138274CE" w14:textId="068EA4C2" w:rsidTr="00081551">
        <w:tc>
          <w:tcPr>
            <w:tcW w:w="1008" w:type="pct"/>
          </w:tcPr>
          <w:p w14:paraId="27D7ADB2" w14:textId="1138CFAE" w:rsidR="008659FA" w:rsidRPr="004A5756" w:rsidRDefault="008659FA" w:rsidP="00081551">
            <w:pPr>
              <w:spacing w:after="60" w:line="276" w:lineRule="auto"/>
              <w:rPr>
                <w:rFonts w:ascii="Arial Narrow" w:hAnsi="Arial Narrow"/>
                <w:sz w:val="20"/>
                <w:szCs w:val="20"/>
              </w:rPr>
            </w:pPr>
            <w:r w:rsidRPr="004A5756">
              <w:rPr>
                <w:rFonts w:ascii="Arial Narrow" w:hAnsi="Arial Narrow"/>
                <w:sz w:val="20"/>
                <w:szCs w:val="20"/>
              </w:rPr>
              <w:t>NovoSeven® (recombinant activated human FVIIa, eptacog alfa)</w:t>
            </w:r>
          </w:p>
        </w:tc>
        <w:tc>
          <w:tcPr>
            <w:tcW w:w="1514" w:type="pct"/>
          </w:tcPr>
          <w:p w14:paraId="5B4EBE54" w14:textId="77777777" w:rsidR="008659FA" w:rsidRPr="004A5756" w:rsidRDefault="008659FA" w:rsidP="00081551">
            <w:pPr>
              <w:spacing w:after="60" w:line="276" w:lineRule="auto"/>
              <w:rPr>
                <w:rFonts w:ascii="Arial Narrow" w:hAnsi="Arial Narrow"/>
                <w:sz w:val="20"/>
                <w:szCs w:val="20"/>
              </w:rPr>
            </w:pPr>
            <w:r w:rsidRPr="004A5756">
              <w:rPr>
                <w:rFonts w:ascii="Arial Narrow" w:hAnsi="Arial Narrow"/>
                <w:sz w:val="20"/>
                <w:szCs w:val="20"/>
              </w:rPr>
              <w:t>Novo Nordisk Pharmaceuticals Pty Ltd</w:t>
            </w:r>
          </w:p>
          <w:p w14:paraId="76E8808B" w14:textId="77777777" w:rsidR="008659FA" w:rsidRPr="004A5756" w:rsidRDefault="008659FA" w:rsidP="00081551">
            <w:pPr>
              <w:spacing w:after="60" w:line="276" w:lineRule="auto"/>
              <w:rPr>
                <w:rFonts w:ascii="Arial Narrow" w:hAnsi="Arial Narrow"/>
                <w:sz w:val="20"/>
                <w:szCs w:val="20"/>
              </w:rPr>
            </w:pPr>
            <w:r w:rsidRPr="004A5756">
              <w:rPr>
                <w:rFonts w:ascii="Arial Narrow" w:hAnsi="Arial Narrow"/>
                <w:sz w:val="20"/>
                <w:szCs w:val="20"/>
              </w:rPr>
              <w:t>1mg/2mg/5mg and 8mg</w:t>
            </w:r>
          </w:p>
          <w:p w14:paraId="680E9BF8" w14:textId="05C31990" w:rsidR="008659FA" w:rsidRPr="004A5756" w:rsidRDefault="008659FA" w:rsidP="00933D6F">
            <w:pPr>
              <w:spacing w:after="60" w:line="276" w:lineRule="auto"/>
              <w:rPr>
                <w:rFonts w:ascii="Arial Narrow" w:hAnsi="Arial Narrow"/>
                <w:sz w:val="20"/>
                <w:szCs w:val="20"/>
              </w:rPr>
            </w:pPr>
            <w:r w:rsidRPr="004A5756">
              <w:rPr>
                <w:rFonts w:ascii="Arial Narrow" w:hAnsi="Arial Narrow"/>
                <w:sz w:val="20"/>
                <w:szCs w:val="20"/>
              </w:rPr>
              <w:t>$1,</w:t>
            </w:r>
            <w:r w:rsidR="00933D6F">
              <w:rPr>
                <w:rFonts w:ascii="Arial Narrow" w:hAnsi="Arial Narrow"/>
                <w:sz w:val="20"/>
                <w:szCs w:val="20"/>
              </w:rPr>
              <w:t>316</w:t>
            </w:r>
            <w:r w:rsidRPr="004A5756">
              <w:rPr>
                <w:rFonts w:ascii="Arial Narrow" w:hAnsi="Arial Narrow"/>
                <w:sz w:val="20"/>
                <w:szCs w:val="20"/>
              </w:rPr>
              <w:t>.</w:t>
            </w:r>
            <w:r w:rsidR="00933D6F">
              <w:rPr>
                <w:rFonts w:ascii="Arial Narrow" w:hAnsi="Arial Narrow"/>
                <w:sz w:val="20"/>
                <w:szCs w:val="20"/>
              </w:rPr>
              <w:t>65</w:t>
            </w:r>
            <w:r w:rsidRPr="004A5756">
              <w:rPr>
                <w:rFonts w:ascii="Arial Narrow" w:hAnsi="Arial Narrow"/>
                <w:sz w:val="20"/>
                <w:szCs w:val="20"/>
              </w:rPr>
              <w:t xml:space="preserve"> per mg</w:t>
            </w:r>
          </w:p>
        </w:tc>
        <w:tc>
          <w:tcPr>
            <w:tcW w:w="2478" w:type="pct"/>
          </w:tcPr>
          <w:p w14:paraId="5ED9E15C" w14:textId="149207F4" w:rsidR="008659FA" w:rsidRPr="004A5756" w:rsidRDefault="00133F67" w:rsidP="00081551">
            <w:pPr>
              <w:spacing w:after="60" w:line="276" w:lineRule="auto"/>
              <w:rPr>
                <w:rFonts w:ascii="Arial Narrow" w:hAnsi="Arial Narrow"/>
                <w:sz w:val="20"/>
                <w:szCs w:val="20"/>
              </w:rPr>
            </w:pPr>
            <w:r w:rsidRPr="004A5756">
              <w:rPr>
                <w:rFonts w:ascii="Arial Narrow" w:hAnsi="Arial Narrow"/>
                <w:sz w:val="20"/>
                <w:szCs w:val="20"/>
                <w:u w:val="single"/>
              </w:rPr>
              <w:t>Bleeding management</w:t>
            </w:r>
            <w:r w:rsidRPr="004A5756">
              <w:rPr>
                <w:rFonts w:ascii="Arial Narrow" w:hAnsi="Arial Narrow"/>
                <w:sz w:val="20"/>
                <w:szCs w:val="20"/>
              </w:rPr>
              <w:t xml:space="preserve">: </w:t>
            </w:r>
            <w:r w:rsidR="00762B8B" w:rsidRPr="004A5756">
              <w:rPr>
                <w:rFonts w:ascii="Arial Narrow" w:hAnsi="Arial Narrow"/>
                <w:sz w:val="20"/>
                <w:szCs w:val="20"/>
              </w:rPr>
              <w:t>90 μg/kg. Doses may need to be repeated every 2– 3 hours until bleeding settles and in children may need to be higher.</w:t>
            </w:r>
          </w:p>
          <w:p w14:paraId="2953487F" w14:textId="1B434EFF" w:rsidR="00762B8B" w:rsidRPr="004A5756" w:rsidRDefault="00133F67" w:rsidP="00081551">
            <w:pPr>
              <w:spacing w:after="60" w:line="276" w:lineRule="auto"/>
              <w:rPr>
                <w:rFonts w:ascii="Arial Narrow" w:hAnsi="Arial Narrow"/>
                <w:sz w:val="20"/>
                <w:szCs w:val="20"/>
              </w:rPr>
            </w:pPr>
            <w:r w:rsidRPr="004A5756">
              <w:rPr>
                <w:rFonts w:ascii="Arial Narrow" w:hAnsi="Arial Narrow"/>
                <w:sz w:val="20"/>
                <w:szCs w:val="20"/>
                <w:u w:val="single"/>
              </w:rPr>
              <w:t>Prophylaxis</w:t>
            </w:r>
            <w:r w:rsidRPr="004A5756">
              <w:rPr>
                <w:rFonts w:ascii="Arial Narrow" w:hAnsi="Arial Narrow"/>
                <w:sz w:val="20"/>
                <w:szCs w:val="20"/>
              </w:rPr>
              <w:t>:</w:t>
            </w:r>
            <w:r w:rsidR="00762B8B" w:rsidRPr="004A5756">
              <w:rPr>
                <w:rFonts w:ascii="Arial Narrow" w:hAnsi="Arial Narrow"/>
                <w:sz w:val="20"/>
                <w:szCs w:val="20"/>
              </w:rPr>
              <w:t xml:space="preserve"> 90μg/kg daily for up to 3 months. </w:t>
            </w:r>
          </w:p>
        </w:tc>
      </w:tr>
      <w:tr w:rsidR="005E5B42" w:rsidRPr="004A5756" w14:paraId="55E65097" w14:textId="77777777" w:rsidTr="005E5B42">
        <w:tc>
          <w:tcPr>
            <w:tcW w:w="1008" w:type="pct"/>
            <w:shd w:val="clear" w:color="auto" w:fill="D9D9D9" w:themeFill="background1" w:themeFillShade="D9"/>
          </w:tcPr>
          <w:p w14:paraId="57D574C0" w14:textId="77777777" w:rsidR="005E5B42" w:rsidRPr="005E5B42" w:rsidRDefault="005E5B42" w:rsidP="005E5B42">
            <w:pPr>
              <w:spacing w:after="60"/>
              <w:rPr>
                <w:rFonts w:ascii="Arial Narrow" w:hAnsi="Arial Narrow"/>
                <w:b/>
                <w:sz w:val="20"/>
                <w:szCs w:val="20"/>
              </w:rPr>
            </w:pPr>
            <w:r w:rsidRPr="005E5B42">
              <w:rPr>
                <w:rFonts w:ascii="Arial Narrow" w:hAnsi="Arial Narrow"/>
                <w:b/>
                <w:sz w:val="20"/>
                <w:szCs w:val="20"/>
              </w:rPr>
              <w:t xml:space="preserve">Recombinant or </w:t>
            </w:r>
          </w:p>
          <w:p w14:paraId="26976A61" w14:textId="32ECD679" w:rsidR="005E5B42" w:rsidRPr="004A5756" w:rsidRDefault="005E5B42" w:rsidP="005E5B42">
            <w:pPr>
              <w:spacing w:after="60"/>
              <w:rPr>
                <w:rFonts w:ascii="Arial Narrow" w:hAnsi="Arial Narrow"/>
                <w:sz w:val="20"/>
                <w:szCs w:val="20"/>
              </w:rPr>
            </w:pPr>
            <w:r w:rsidRPr="005E5B42">
              <w:rPr>
                <w:rFonts w:ascii="Arial Narrow" w:hAnsi="Arial Narrow"/>
                <w:b/>
                <w:sz w:val="20"/>
                <w:szCs w:val="20"/>
              </w:rPr>
              <w:t>plasma derived factor VIII</w:t>
            </w:r>
          </w:p>
        </w:tc>
        <w:tc>
          <w:tcPr>
            <w:tcW w:w="1514" w:type="pct"/>
            <w:shd w:val="clear" w:color="auto" w:fill="D9D9D9" w:themeFill="background1" w:themeFillShade="D9"/>
          </w:tcPr>
          <w:p w14:paraId="19D8C4DC" w14:textId="77777777" w:rsidR="005E5B42" w:rsidRPr="004A5756" w:rsidRDefault="005E5B42" w:rsidP="00081551">
            <w:pPr>
              <w:spacing w:after="60"/>
              <w:rPr>
                <w:rFonts w:ascii="Arial Narrow" w:hAnsi="Arial Narrow"/>
                <w:sz w:val="20"/>
                <w:szCs w:val="20"/>
              </w:rPr>
            </w:pPr>
          </w:p>
        </w:tc>
        <w:tc>
          <w:tcPr>
            <w:tcW w:w="2478" w:type="pct"/>
            <w:shd w:val="clear" w:color="auto" w:fill="D9D9D9" w:themeFill="background1" w:themeFillShade="D9"/>
          </w:tcPr>
          <w:p w14:paraId="2C04F98D" w14:textId="77777777" w:rsidR="005E5B42" w:rsidRPr="004A5756" w:rsidRDefault="005E5B42" w:rsidP="00081551">
            <w:pPr>
              <w:spacing w:after="60"/>
              <w:rPr>
                <w:rFonts w:ascii="Arial Narrow" w:hAnsi="Arial Narrow"/>
                <w:sz w:val="20"/>
                <w:szCs w:val="20"/>
                <w:u w:val="single"/>
              </w:rPr>
            </w:pPr>
          </w:p>
        </w:tc>
      </w:tr>
      <w:tr w:rsidR="008659FA" w:rsidRPr="004A5756" w14:paraId="6A3E2DEB" w14:textId="56BB9E1F" w:rsidTr="00081551">
        <w:tc>
          <w:tcPr>
            <w:tcW w:w="1008" w:type="pct"/>
          </w:tcPr>
          <w:p w14:paraId="0EC7B20B" w14:textId="1A2B9505" w:rsidR="008659FA" w:rsidRPr="004A5756" w:rsidRDefault="008659FA" w:rsidP="00081551">
            <w:pPr>
              <w:spacing w:after="60" w:line="276" w:lineRule="auto"/>
              <w:rPr>
                <w:rFonts w:ascii="Arial Narrow" w:hAnsi="Arial Narrow"/>
                <w:sz w:val="20"/>
                <w:szCs w:val="20"/>
              </w:rPr>
            </w:pPr>
            <w:r w:rsidRPr="004A5756">
              <w:rPr>
                <w:rFonts w:ascii="Arial Narrow" w:hAnsi="Arial Narrow"/>
                <w:sz w:val="20"/>
                <w:szCs w:val="20"/>
              </w:rPr>
              <w:t xml:space="preserve">Advate® </w:t>
            </w:r>
          </w:p>
        </w:tc>
        <w:tc>
          <w:tcPr>
            <w:tcW w:w="1514" w:type="pct"/>
          </w:tcPr>
          <w:p w14:paraId="277F63D0" w14:textId="77777777" w:rsidR="008659FA" w:rsidRPr="004A5756" w:rsidRDefault="008659FA" w:rsidP="00081551">
            <w:pPr>
              <w:spacing w:after="60" w:line="276" w:lineRule="auto"/>
              <w:rPr>
                <w:rFonts w:ascii="Arial Narrow" w:hAnsi="Arial Narrow"/>
                <w:sz w:val="20"/>
                <w:szCs w:val="20"/>
              </w:rPr>
            </w:pPr>
            <w:r w:rsidRPr="004A5756">
              <w:rPr>
                <w:rFonts w:ascii="Arial Narrow" w:hAnsi="Arial Narrow"/>
                <w:sz w:val="20"/>
                <w:szCs w:val="20"/>
              </w:rPr>
              <w:t>Baxalta Australia Pty Ltd</w:t>
            </w:r>
          </w:p>
          <w:p w14:paraId="1B221D03" w14:textId="77777777" w:rsidR="0090627E" w:rsidRPr="004A5756" w:rsidRDefault="0090627E" w:rsidP="00081551">
            <w:pPr>
              <w:spacing w:after="60" w:line="276" w:lineRule="auto"/>
              <w:rPr>
                <w:rFonts w:ascii="Arial Narrow" w:hAnsi="Arial Narrow"/>
                <w:sz w:val="20"/>
                <w:szCs w:val="20"/>
              </w:rPr>
            </w:pPr>
            <w:r w:rsidRPr="004A5756">
              <w:rPr>
                <w:rFonts w:ascii="Arial Narrow" w:hAnsi="Arial Narrow"/>
                <w:sz w:val="20"/>
                <w:szCs w:val="20"/>
              </w:rPr>
              <w:t>250IU/ 500 IU/ 1000 IU/ 1500 IU/ 2000 IU/3000 IU</w:t>
            </w:r>
          </w:p>
          <w:p w14:paraId="1E06141C" w14:textId="782B4FA8" w:rsidR="0090627E" w:rsidRPr="004A5756" w:rsidRDefault="0090627E" w:rsidP="00081551">
            <w:pPr>
              <w:spacing w:after="60" w:line="276" w:lineRule="auto"/>
              <w:rPr>
                <w:rFonts w:ascii="Arial Narrow" w:hAnsi="Arial Narrow"/>
                <w:sz w:val="20"/>
                <w:szCs w:val="20"/>
              </w:rPr>
            </w:pPr>
            <w:r w:rsidRPr="004A5756">
              <w:rPr>
                <w:rFonts w:ascii="Arial Narrow" w:hAnsi="Arial Narrow"/>
                <w:sz w:val="20"/>
                <w:szCs w:val="20"/>
              </w:rPr>
              <w:t>$0.30 per IU</w:t>
            </w:r>
          </w:p>
        </w:tc>
        <w:tc>
          <w:tcPr>
            <w:tcW w:w="2478" w:type="pct"/>
          </w:tcPr>
          <w:p w14:paraId="6C73C17F" w14:textId="5313EF58" w:rsidR="00762B8B" w:rsidRPr="004A5756" w:rsidRDefault="00762B8B" w:rsidP="00081551">
            <w:pPr>
              <w:spacing w:after="60" w:line="276" w:lineRule="auto"/>
              <w:rPr>
                <w:rFonts w:ascii="Arial Narrow" w:hAnsi="Arial Narrow"/>
                <w:sz w:val="20"/>
                <w:szCs w:val="20"/>
              </w:rPr>
            </w:pPr>
            <w:r w:rsidRPr="004A5756">
              <w:rPr>
                <w:rFonts w:ascii="Arial Narrow" w:hAnsi="Arial Narrow"/>
                <w:sz w:val="20"/>
                <w:szCs w:val="20"/>
                <w:u w:val="single"/>
              </w:rPr>
              <w:t>Bleeding management</w:t>
            </w:r>
            <w:r w:rsidRPr="004A5756">
              <w:rPr>
                <w:rFonts w:ascii="Arial Narrow" w:hAnsi="Arial Narrow"/>
                <w:sz w:val="20"/>
                <w:szCs w:val="20"/>
              </w:rPr>
              <w:t xml:space="preserve"> (low-titre inhibitor): 50-100 IU/kg repeated every 8-12 hours.</w:t>
            </w:r>
          </w:p>
          <w:p w14:paraId="76ADE5EC" w14:textId="08B4651C" w:rsidR="008659FA" w:rsidRPr="004A5756" w:rsidRDefault="00762B8B" w:rsidP="00081551">
            <w:pPr>
              <w:spacing w:after="60" w:line="276" w:lineRule="auto"/>
              <w:rPr>
                <w:rFonts w:ascii="Arial Narrow" w:hAnsi="Arial Narrow"/>
                <w:sz w:val="20"/>
                <w:szCs w:val="20"/>
              </w:rPr>
            </w:pPr>
            <w:r w:rsidRPr="004A5756">
              <w:rPr>
                <w:rFonts w:ascii="Arial Narrow" w:hAnsi="Arial Narrow"/>
                <w:sz w:val="20"/>
                <w:szCs w:val="20"/>
                <w:u w:val="single"/>
              </w:rPr>
              <w:t>Tolerisation</w:t>
            </w:r>
            <w:r w:rsidRPr="004A5756">
              <w:rPr>
                <w:rFonts w:ascii="Arial Narrow" w:hAnsi="Arial Narrow"/>
                <w:sz w:val="20"/>
                <w:szCs w:val="20"/>
              </w:rPr>
              <w:t>: A typical regimen is 100 IU/kg/day, followed by reassessment</w:t>
            </w:r>
            <w:r w:rsidR="00FB18D2" w:rsidRPr="004A5756">
              <w:rPr>
                <w:rFonts w:ascii="Arial Narrow" w:hAnsi="Arial Narrow"/>
                <w:sz w:val="20"/>
                <w:szCs w:val="20"/>
              </w:rPr>
              <w:t xml:space="preserve"> </w:t>
            </w:r>
            <w:r w:rsidRPr="004A5756">
              <w:rPr>
                <w:rFonts w:ascii="Arial Narrow" w:hAnsi="Arial Narrow"/>
                <w:sz w:val="20"/>
                <w:szCs w:val="20"/>
              </w:rPr>
              <w:t>every 3 months, with escalating treatment in difficult cases.</w:t>
            </w:r>
          </w:p>
        </w:tc>
      </w:tr>
      <w:tr w:rsidR="008659FA" w:rsidRPr="004A5756" w14:paraId="6BA7C8C3" w14:textId="77777777" w:rsidTr="00081551">
        <w:tc>
          <w:tcPr>
            <w:tcW w:w="1008" w:type="pct"/>
          </w:tcPr>
          <w:p w14:paraId="6FDAD89E" w14:textId="2890B8D8" w:rsidR="008659FA" w:rsidRPr="004A5756" w:rsidRDefault="0090627E" w:rsidP="00081551">
            <w:pPr>
              <w:spacing w:after="60" w:line="276" w:lineRule="auto"/>
              <w:rPr>
                <w:rFonts w:ascii="Arial Narrow" w:hAnsi="Arial Narrow"/>
                <w:sz w:val="20"/>
                <w:szCs w:val="20"/>
              </w:rPr>
            </w:pPr>
            <w:r w:rsidRPr="004A5756">
              <w:rPr>
                <w:rFonts w:ascii="Arial Narrow" w:hAnsi="Arial Narrow"/>
                <w:sz w:val="20"/>
                <w:szCs w:val="20"/>
              </w:rPr>
              <w:t>Xyntha®</w:t>
            </w:r>
          </w:p>
        </w:tc>
        <w:tc>
          <w:tcPr>
            <w:tcW w:w="1514" w:type="pct"/>
          </w:tcPr>
          <w:p w14:paraId="06D983B3" w14:textId="2EB2005F" w:rsidR="008659FA" w:rsidRPr="004A5756" w:rsidRDefault="0090627E" w:rsidP="00081551">
            <w:pPr>
              <w:spacing w:after="60" w:line="276" w:lineRule="auto"/>
              <w:rPr>
                <w:rFonts w:ascii="Arial Narrow" w:hAnsi="Arial Narrow"/>
                <w:sz w:val="20"/>
                <w:szCs w:val="20"/>
              </w:rPr>
            </w:pPr>
            <w:r w:rsidRPr="004A5756">
              <w:rPr>
                <w:rFonts w:ascii="Arial Narrow" w:hAnsi="Arial Narrow"/>
                <w:sz w:val="20"/>
                <w:szCs w:val="20"/>
              </w:rPr>
              <w:t>Pfizer Australia</w:t>
            </w:r>
            <w:r w:rsidR="000024A7">
              <w:t xml:space="preserve"> </w:t>
            </w:r>
            <w:r w:rsidR="000024A7" w:rsidRPr="000024A7">
              <w:rPr>
                <w:rFonts w:ascii="Arial Narrow" w:hAnsi="Arial Narrow"/>
                <w:sz w:val="20"/>
                <w:szCs w:val="20"/>
              </w:rPr>
              <w:t>Pty Ltd</w:t>
            </w:r>
          </w:p>
          <w:p w14:paraId="6ED836DD" w14:textId="77777777" w:rsidR="0090627E" w:rsidRPr="004A5756" w:rsidRDefault="0090627E" w:rsidP="00081551">
            <w:pPr>
              <w:spacing w:after="60" w:line="276" w:lineRule="auto"/>
              <w:rPr>
                <w:rFonts w:ascii="Arial Narrow" w:hAnsi="Arial Narrow"/>
                <w:sz w:val="20"/>
                <w:szCs w:val="20"/>
              </w:rPr>
            </w:pPr>
            <w:r w:rsidRPr="004A5756">
              <w:rPr>
                <w:rFonts w:ascii="Arial Narrow" w:hAnsi="Arial Narrow"/>
                <w:sz w:val="20"/>
                <w:szCs w:val="20"/>
              </w:rPr>
              <w:t>250IU/ 500 IU/ 1000 IU/ 2000 IU/3000 IU</w:t>
            </w:r>
          </w:p>
          <w:p w14:paraId="39B5181E" w14:textId="28B84B68" w:rsidR="0090627E" w:rsidRPr="004A5756" w:rsidRDefault="0090627E" w:rsidP="00933D6F">
            <w:pPr>
              <w:spacing w:after="60" w:line="276" w:lineRule="auto"/>
              <w:rPr>
                <w:rFonts w:ascii="Arial Narrow" w:hAnsi="Arial Narrow"/>
                <w:sz w:val="20"/>
                <w:szCs w:val="20"/>
              </w:rPr>
            </w:pPr>
            <w:r w:rsidRPr="004A5756">
              <w:rPr>
                <w:rFonts w:ascii="Arial Narrow" w:hAnsi="Arial Narrow"/>
                <w:sz w:val="20"/>
                <w:szCs w:val="20"/>
              </w:rPr>
              <w:t>$0.</w:t>
            </w:r>
            <w:r w:rsidR="00933D6F">
              <w:rPr>
                <w:rFonts w:ascii="Arial Narrow" w:hAnsi="Arial Narrow"/>
                <w:sz w:val="20"/>
                <w:szCs w:val="20"/>
              </w:rPr>
              <w:t>36</w:t>
            </w:r>
            <w:r w:rsidR="00933D6F" w:rsidRPr="004A5756">
              <w:rPr>
                <w:rFonts w:ascii="Arial Narrow" w:hAnsi="Arial Narrow"/>
                <w:sz w:val="20"/>
                <w:szCs w:val="20"/>
              </w:rPr>
              <w:t xml:space="preserve"> </w:t>
            </w:r>
            <w:r w:rsidRPr="004A5756">
              <w:rPr>
                <w:rFonts w:ascii="Arial Narrow" w:hAnsi="Arial Narrow"/>
                <w:sz w:val="20"/>
                <w:szCs w:val="20"/>
              </w:rPr>
              <w:t>per IU</w:t>
            </w:r>
          </w:p>
        </w:tc>
        <w:tc>
          <w:tcPr>
            <w:tcW w:w="2478" w:type="pct"/>
          </w:tcPr>
          <w:p w14:paraId="736B04E5" w14:textId="15E7B6E6" w:rsidR="008659FA" w:rsidRPr="004A5756" w:rsidRDefault="00762B8B" w:rsidP="00081551">
            <w:pPr>
              <w:spacing w:after="60" w:line="276" w:lineRule="auto"/>
              <w:rPr>
                <w:rFonts w:ascii="Arial Narrow" w:hAnsi="Arial Narrow"/>
                <w:sz w:val="20"/>
                <w:szCs w:val="20"/>
              </w:rPr>
            </w:pPr>
            <w:r w:rsidRPr="004A5756">
              <w:rPr>
                <w:rFonts w:ascii="Arial Narrow" w:hAnsi="Arial Narrow"/>
                <w:sz w:val="20"/>
                <w:szCs w:val="20"/>
              </w:rPr>
              <w:t>As above</w:t>
            </w:r>
          </w:p>
        </w:tc>
      </w:tr>
      <w:tr w:rsidR="008659FA" w:rsidRPr="004A5756" w14:paraId="4E453223" w14:textId="77777777" w:rsidTr="00081551">
        <w:tc>
          <w:tcPr>
            <w:tcW w:w="1008" w:type="pct"/>
          </w:tcPr>
          <w:p w14:paraId="74645EA6" w14:textId="36F58FED" w:rsidR="008659FA" w:rsidRPr="004A5756" w:rsidRDefault="0090627E" w:rsidP="00081551">
            <w:pPr>
              <w:spacing w:after="60" w:line="276" w:lineRule="auto"/>
              <w:rPr>
                <w:rFonts w:ascii="Arial Narrow" w:hAnsi="Arial Narrow"/>
                <w:sz w:val="20"/>
                <w:szCs w:val="20"/>
              </w:rPr>
            </w:pPr>
            <w:r w:rsidRPr="004A5756">
              <w:rPr>
                <w:rFonts w:ascii="Arial Narrow" w:hAnsi="Arial Narrow"/>
                <w:sz w:val="20"/>
                <w:szCs w:val="20"/>
              </w:rPr>
              <w:t>Kogenate FS</w:t>
            </w:r>
          </w:p>
        </w:tc>
        <w:tc>
          <w:tcPr>
            <w:tcW w:w="1514" w:type="pct"/>
          </w:tcPr>
          <w:p w14:paraId="7F18F688" w14:textId="77777777" w:rsidR="008659FA" w:rsidRPr="004A5756" w:rsidRDefault="0090627E" w:rsidP="00081551">
            <w:pPr>
              <w:spacing w:after="60" w:line="276" w:lineRule="auto"/>
              <w:rPr>
                <w:rFonts w:ascii="Arial Narrow" w:hAnsi="Arial Narrow"/>
                <w:sz w:val="20"/>
                <w:szCs w:val="20"/>
              </w:rPr>
            </w:pPr>
            <w:r w:rsidRPr="004A5756">
              <w:rPr>
                <w:rFonts w:ascii="Arial Narrow" w:hAnsi="Arial Narrow"/>
                <w:sz w:val="20"/>
                <w:szCs w:val="20"/>
              </w:rPr>
              <w:t>Bayer Australia Limited</w:t>
            </w:r>
          </w:p>
          <w:p w14:paraId="7A806F11" w14:textId="77777777" w:rsidR="0090627E" w:rsidRPr="004A5756" w:rsidRDefault="0090627E" w:rsidP="00081551">
            <w:pPr>
              <w:spacing w:after="60" w:line="276" w:lineRule="auto"/>
              <w:rPr>
                <w:rFonts w:ascii="Arial Narrow" w:hAnsi="Arial Narrow"/>
                <w:sz w:val="20"/>
                <w:szCs w:val="20"/>
              </w:rPr>
            </w:pPr>
            <w:r w:rsidRPr="004A5756">
              <w:rPr>
                <w:rFonts w:ascii="Arial Narrow" w:hAnsi="Arial Narrow"/>
                <w:sz w:val="20"/>
                <w:szCs w:val="20"/>
              </w:rPr>
              <w:t>250IU/ 500 IU/ 1000 IU/ 2000 IU/3000 IU</w:t>
            </w:r>
          </w:p>
          <w:p w14:paraId="498FF280" w14:textId="38952D0D" w:rsidR="0090627E" w:rsidRPr="004A5756" w:rsidRDefault="0090627E" w:rsidP="00081551">
            <w:pPr>
              <w:spacing w:after="60" w:line="276" w:lineRule="auto"/>
              <w:rPr>
                <w:rFonts w:ascii="Arial Narrow" w:hAnsi="Arial Narrow"/>
                <w:sz w:val="20"/>
                <w:szCs w:val="20"/>
              </w:rPr>
            </w:pPr>
            <w:r w:rsidRPr="004A5756">
              <w:rPr>
                <w:rFonts w:ascii="Arial Narrow" w:hAnsi="Arial Narrow"/>
                <w:sz w:val="20"/>
                <w:szCs w:val="20"/>
              </w:rPr>
              <w:t>$0.59per IU</w:t>
            </w:r>
          </w:p>
        </w:tc>
        <w:tc>
          <w:tcPr>
            <w:tcW w:w="2478" w:type="pct"/>
          </w:tcPr>
          <w:p w14:paraId="3256FD6E" w14:textId="2D4BE250" w:rsidR="008659FA" w:rsidRPr="004A5756" w:rsidRDefault="00762B8B" w:rsidP="00081551">
            <w:pPr>
              <w:spacing w:after="60" w:line="276" w:lineRule="auto"/>
              <w:rPr>
                <w:rFonts w:ascii="Arial Narrow" w:hAnsi="Arial Narrow"/>
                <w:sz w:val="20"/>
                <w:szCs w:val="20"/>
              </w:rPr>
            </w:pPr>
            <w:r w:rsidRPr="004A5756">
              <w:rPr>
                <w:rFonts w:ascii="Arial Narrow" w:hAnsi="Arial Narrow"/>
                <w:sz w:val="20"/>
                <w:szCs w:val="20"/>
              </w:rPr>
              <w:t>As above</w:t>
            </w:r>
          </w:p>
        </w:tc>
      </w:tr>
      <w:tr w:rsidR="008659FA" w:rsidRPr="004A5756" w14:paraId="51BD9766" w14:textId="085A86B3" w:rsidTr="00081551">
        <w:trPr>
          <w:trHeight w:val="854"/>
        </w:trPr>
        <w:tc>
          <w:tcPr>
            <w:tcW w:w="1008" w:type="pct"/>
          </w:tcPr>
          <w:p w14:paraId="6E746F9A" w14:textId="2577E1DC" w:rsidR="008659FA" w:rsidRPr="004A5756" w:rsidRDefault="0090627E" w:rsidP="00081551">
            <w:pPr>
              <w:spacing w:after="60" w:line="276" w:lineRule="auto"/>
              <w:rPr>
                <w:rFonts w:ascii="Arial Narrow" w:hAnsi="Arial Narrow"/>
                <w:sz w:val="20"/>
                <w:szCs w:val="20"/>
              </w:rPr>
            </w:pPr>
            <w:r w:rsidRPr="004A5756">
              <w:rPr>
                <w:rFonts w:ascii="Arial Narrow" w:hAnsi="Arial Narrow"/>
                <w:sz w:val="20"/>
                <w:szCs w:val="20"/>
              </w:rPr>
              <w:t>Biostate® (plasma derived)</w:t>
            </w:r>
          </w:p>
        </w:tc>
        <w:tc>
          <w:tcPr>
            <w:tcW w:w="1514" w:type="pct"/>
          </w:tcPr>
          <w:p w14:paraId="464C351A" w14:textId="77777777" w:rsidR="008659FA" w:rsidRPr="004A5756" w:rsidRDefault="0090627E" w:rsidP="00081551">
            <w:pPr>
              <w:spacing w:after="60" w:line="276" w:lineRule="auto"/>
              <w:rPr>
                <w:rFonts w:ascii="Arial Narrow" w:hAnsi="Arial Narrow"/>
                <w:sz w:val="20"/>
                <w:szCs w:val="20"/>
              </w:rPr>
            </w:pPr>
            <w:r w:rsidRPr="004A5756">
              <w:rPr>
                <w:rFonts w:ascii="Arial Narrow" w:hAnsi="Arial Narrow"/>
                <w:sz w:val="20"/>
                <w:szCs w:val="20"/>
              </w:rPr>
              <w:t>CSL Behring (Australia) Pty Ltd</w:t>
            </w:r>
          </w:p>
          <w:p w14:paraId="19DE0A8B" w14:textId="77777777" w:rsidR="0090627E" w:rsidRPr="004A5756" w:rsidRDefault="0090627E" w:rsidP="00081551">
            <w:pPr>
              <w:spacing w:after="60" w:line="276" w:lineRule="auto"/>
              <w:rPr>
                <w:rFonts w:ascii="Arial Narrow" w:hAnsi="Arial Narrow"/>
                <w:sz w:val="20"/>
                <w:szCs w:val="20"/>
              </w:rPr>
            </w:pPr>
            <w:r w:rsidRPr="004A5756">
              <w:rPr>
                <w:rFonts w:ascii="Arial Narrow" w:hAnsi="Arial Narrow"/>
                <w:sz w:val="20"/>
                <w:szCs w:val="20"/>
              </w:rPr>
              <w:t>250IU/ 500 IU/ 1000 IU</w:t>
            </w:r>
          </w:p>
          <w:p w14:paraId="03EA61FB" w14:textId="4131A10F" w:rsidR="0090627E" w:rsidRPr="004A5756" w:rsidRDefault="0090627E" w:rsidP="00933D6F">
            <w:pPr>
              <w:spacing w:after="60" w:line="276" w:lineRule="auto"/>
              <w:rPr>
                <w:rFonts w:ascii="Arial Narrow" w:hAnsi="Arial Narrow"/>
                <w:sz w:val="20"/>
                <w:szCs w:val="20"/>
              </w:rPr>
            </w:pPr>
            <w:r w:rsidRPr="004A5756">
              <w:rPr>
                <w:rFonts w:ascii="Arial Narrow" w:hAnsi="Arial Narrow"/>
                <w:sz w:val="20"/>
                <w:szCs w:val="20"/>
              </w:rPr>
              <w:lastRenderedPageBreak/>
              <w:t>$0.</w:t>
            </w:r>
            <w:r w:rsidR="00933D6F" w:rsidRPr="004A5756">
              <w:rPr>
                <w:rFonts w:ascii="Arial Narrow" w:hAnsi="Arial Narrow"/>
                <w:sz w:val="20"/>
                <w:szCs w:val="20"/>
              </w:rPr>
              <w:t>8</w:t>
            </w:r>
            <w:r w:rsidR="00933D6F">
              <w:rPr>
                <w:rFonts w:ascii="Arial Narrow" w:hAnsi="Arial Narrow"/>
                <w:sz w:val="20"/>
                <w:szCs w:val="20"/>
              </w:rPr>
              <w:t>7</w:t>
            </w:r>
            <w:r w:rsidR="00933D6F" w:rsidRPr="004A5756">
              <w:rPr>
                <w:rFonts w:ascii="Arial Narrow" w:hAnsi="Arial Narrow"/>
                <w:sz w:val="20"/>
                <w:szCs w:val="20"/>
              </w:rPr>
              <w:t xml:space="preserve"> </w:t>
            </w:r>
            <w:r w:rsidRPr="004A5756">
              <w:rPr>
                <w:rFonts w:ascii="Arial Narrow" w:hAnsi="Arial Narrow"/>
                <w:sz w:val="20"/>
                <w:szCs w:val="20"/>
              </w:rPr>
              <w:t>per IU</w:t>
            </w:r>
          </w:p>
        </w:tc>
        <w:tc>
          <w:tcPr>
            <w:tcW w:w="2478" w:type="pct"/>
          </w:tcPr>
          <w:p w14:paraId="13EE2D2A" w14:textId="5335EEBA" w:rsidR="008659FA" w:rsidRPr="004A5756" w:rsidRDefault="00762B8B" w:rsidP="00081551">
            <w:pPr>
              <w:spacing w:after="60" w:line="276" w:lineRule="auto"/>
              <w:rPr>
                <w:rFonts w:ascii="Arial Narrow" w:hAnsi="Arial Narrow"/>
                <w:sz w:val="20"/>
                <w:szCs w:val="20"/>
              </w:rPr>
            </w:pPr>
            <w:r w:rsidRPr="004A5756">
              <w:rPr>
                <w:rFonts w:ascii="Arial Narrow" w:hAnsi="Arial Narrow"/>
                <w:sz w:val="20"/>
                <w:szCs w:val="20"/>
              </w:rPr>
              <w:lastRenderedPageBreak/>
              <w:t>As above</w:t>
            </w:r>
          </w:p>
        </w:tc>
      </w:tr>
    </w:tbl>
    <w:p w14:paraId="08AF39E2" w14:textId="58C0F5E7" w:rsidR="008706D6" w:rsidRDefault="008706D6" w:rsidP="00723EDB">
      <w:pPr>
        <w:rPr>
          <w:color w:val="FF0000"/>
        </w:rPr>
      </w:pPr>
    </w:p>
    <w:p w14:paraId="08AF39E3" w14:textId="77777777" w:rsidR="00896845" w:rsidRDefault="002B3338" w:rsidP="002B3338">
      <w:pPr>
        <w:rPr>
          <w:i/>
        </w:rPr>
      </w:pPr>
      <w:r>
        <w:rPr>
          <w:i/>
          <w:u w:val="single"/>
        </w:rPr>
        <w:t>Rationale</w:t>
      </w:r>
    </w:p>
    <w:p w14:paraId="00A251F1" w14:textId="10C84702" w:rsidR="00586AC6" w:rsidRPr="0035049B" w:rsidRDefault="00586AC6" w:rsidP="00586AC6">
      <w:pPr>
        <w:rPr>
          <w:i/>
        </w:rPr>
      </w:pPr>
      <w:r w:rsidRPr="00081551">
        <w:rPr>
          <w:i/>
        </w:rPr>
        <w:t xml:space="preserve">Additional potential comparator for population </w:t>
      </w:r>
      <w:r w:rsidR="008D3DF4">
        <w:rPr>
          <w:i/>
        </w:rPr>
        <w:t>one</w:t>
      </w:r>
      <w:r>
        <w:rPr>
          <w:i/>
        </w:rPr>
        <w:t>:</w:t>
      </w:r>
      <w:r w:rsidRPr="00586AC6">
        <w:rPr>
          <w:i/>
        </w:rPr>
        <w:t xml:space="preserve"> </w:t>
      </w:r>
      <w:r w:rsidRPr="0035049B">
        <w:rPr>
          <w:i/>
        </w:rPr>
        <w:t xml:space="preserve">Eradication of inhibitory antibodies to restore normal </w:t>
      </w:r>
      <w:r w:rsidR="008D3DF4">
        <w:rPr>
          <w:i/>
        </w:rPr>
        <w:t xml:space="preserve">FVIII </w:t>
      </w:r>
      <w:r w:rsidRPr="0035049B">
        <w:rPr>
          <w:i/>
        </w:rPr>
        <w:t>pharmacokinetics</w:t>
      </w:r>
      <w:r w:rsidR="00216014">
        <w:rPr>
          <w:i/>
        </w:rPr>
        <w:t xml:space="preserve"> (or</w:t>
      </w:r>
      <w:r w:rsidR="00216014" w:rsidRPr="00216014">
        <w:rPr>
          <w:i/>
        </w:rPr>
        <w:t xml:space="preserve"> </w:t>
      </w:r>
      <w:r w:rsidR="00216014">
        <w:rPr>
          <w:i/>
        </w:rPr>
        <w:t>Immune Tolerance Induction [ITI])</w:t>
      </w:r>
      <w:r w:rsidR="00EC4151">
        <w:rPr>
          <w:i/>
        </w:rPr>
        <w:t>.</w:t>
      </w:r>
      <w:r w:rsidR="0000365E">
        <w:rPr>
          <w:i/>
        </w:rPr>
        <w:t xml:space="preserve"> PASC agreed that I</w:t>
      </w:r>
      <w:r w:rsidR="00216014">
        <w:rPr>
          <w:i/>
        </w:rPr>
        <w:t xml:space="preserve">TI </w:t>
      </w:r>
      <w:r w:rsidR="0000365E">
        <w:rPr>
          <w:i/>
        </w:rPr>
        <w:t xml:space="preserve">is not an appropriate comparator but that the potential impact of emicizumab availability on utilisation of ITI could be explored in the economic evaluation. </w:t>
      </w:r>
    </w:p>
    <w:p w14:paraId="68387BA5" w14:textId="32B7818E" w:rsidR="001F231E" w:rsidRDefault="001F231E" w:rsidP="001F231E">
      <w:pPr>
        <w:sectPr w:rsidR="001F231E" w:rsidSect="007754FB">
          <w:headerReference w:type="even" r:id="rId11"/>
          <w:headerReference w:type="default" r:id="rId12"/>
          <w:footerReference w:type="even" r:id="rId13"/>
          <w:footerReference w:type="default" r:id="rId14"/>
          <w:headerReference w:type="first" r:id="rId15"/>
          <w:footerReference w:type="first" r:id="rId16"/>
          <w:pgSz w:w="11906" w:h="16838"/>
          <w:pgMar w:top="1134" w:right="1440" w:bottom="1440" w:left="1440" w:header="709" w:footer="567" w:gutter="0"/>
          <w:cols w:space="708"/>
          <w:docGrid w:linePitch="360"/>
        </w:sectPr>
      </w:pPr>
    </w:p>
    <w:p w14:paraId="05C92AD7" w14:textId="323971BD" w:rsidR="00EE7C36" w:rsidRPr="0059514F" w:rsidRDefault="00EE7C36" w:rsidP="00EE7C36">
      <w:pPr>
        <w:pStyle w:val="Caption"/>
      </w:pPr>
      <w:bookmarkStart w:id="10" w:name="_Ref494884022"/>
      <w:r w:rsidRPr="0059514F">
        <w:lastRenderedPageBreak/>
        <w:t xml:space="preserve">Table </w:t>
      </w:r>
      <w:r w:rsidRPr="0059514F">
        <w:fldChar w:fldCharType="begin"/>
      </w:r>
      <w:r w:rsidRPr="0059514F">
        <w:instrText xml:space="preserve"> SEQ Table \* ARABIC </w:instrText>
      </w:r>
      <w:r w:rsidRPr="0059514F">
        <w:fldChar w:fldCharType="separate"/>
      </w:r>
      <w:r w:rsidR="00A04E68">
        <w:rPr>
          <w:noProof/>
        </w:rPr>
        <w:t>7</w:t>
      </w:r>
      <w:r w:rsidRPr="0059514F">
        <w:fldChar w:fldCharType="end"/>
      </w:r>
      <w:bookmarkEnd w:id="10"/>
      <w:r w:rsidRPr="0059514F">
        <w:tab/>
        <w:t>Published and ongoing clinical trials of emicizumab</w:t>
      </w:r>
    </w:p>
    <w:tbl>
      <w:tblPr>
        <w:tblStyle w:val="TableGrid3"/>
        <w:tblW w:w="5000" w:type="pct"/>
        <w:tblBorders>
          <w:insideV w:val="none" w:sz="0" w:space="0" w:color="auto"/>
        </w:tblBorders>
        <w:tblLook w:val="04A0" w:firstRow="1" w:lastRow="0" w:firstColumn="1" w:lastColumn="0" w:noHBand="0" w:noVBand="1"/>
        <w:tblCaption w:val="Table 7 Published and ongoing clinical trials of emicizumab"/>
      </w:tblPr>
      <w:tblGrid>
        <w:gridCol w:w="1950"/>
        <w:gridCol w:w="2835"/>
        <w:gridCol w:w="3688"/>
        <w:gridCol w:w="3260"/>
        <w:gridCol w:w="2441"/>
      </w:tblGrid>
      <w:tr w:rsidR="00EE7C36" w:rsidRPr="0059514F" w14:paraId="214EE87E" w14:textId="77777777" w:rsidTr="00EE7C36">
        <w:trPr>
          <w:cantSplit/>
          <w:tblHeader/>
        </w:trPr>
        <w:tc>
          <w:tcPr>
            <w:tcW w:w="688" w:type="pct"/>
            <w:shd w:val="clear" w:color="auto" w:fill="D9D9D9" w:themeFill="background1" w:themeFillShade="D9"/>
          </w:tcPr>
          <w:p w14:paraId="26C8C650" w14:textId="77777777" w:rsidR="00EE7C36" w:rsidRPr="0059514F" w:rsidRDefault="00EE7C36" w:rsidP="00EE7C36">
            <w:pPr>
              <w:spacing w:after="60"/>
              <w:rPr>
                <w:rFonts w:ascii="Arial Narrow" w:eastAsiaTheme="minorHAnsi" w:hAnsi="Arial Narrow" w:cstheme="minorBidi"/>
                <w:b/>
                <w:sz w:val="20"/>
                <w:szCs w:val="20"/>
              </w:rPr>
            </w:pPr>
            <w:r w:rsidRPr="0059514F">
              <w:rPr>
                <w:rFonts w:ascii="Arial Narrow" w:eastAsiaTheme="minorHAnsi" w:hAnsi="Arial Narrow" w:cstheme="minorBidi"/>
                <w:b/>
                <w:sz w:val="20"/>
                <w:szCs w:val="20"/>
              </w:rPr>
              <w:t>Trial ID</w:t>
            </w:r>
          </w:p>
          <w:p w14:paraId="7F6CC0DA" w14:textId="77777777" w:rsidR="00EE7C36" w:rsidRPr="0059514F" w:rsidRDefault="00EE7C36" w:rsidP="00EE7C36">
            <w:pPr>
              <w:spacing w:after="60"/>
              <w:rPr>
                <w:rFonts w:ascii="Arial Narrow" w:eastAsiaTheme="minorHAnsi" w:hAnsi="Arial Narrow" w:cstheme="minorBidi"/>
                <w:b/>
                <w:sz w:val="20"/>
                <w:szCs w:val="20"/>
              </w:rPr>
            </w:pPr>
            <w:r w:rsidRPr="0059514F">
              <w:rPr>
                <w:rFonts w:ascii="Arial Narrow" w:eastAsiaTheme="minorHAnsi" w:hAnsi="Arial Narrow" w:cstheme="minorBidi"/>
                <w:b/>
                <w:sz w:val="20"/>
                <w:szCs w:val="20"/>
              </w:rPr>
              <w:t>Year or expected completion</w:t>
            </w:r>
          </w:p>
          <w:p w14:paraId="0A2F6A94" w14:textId="77777777" w:rsidR="00EE7C36" w:rsidRPr="0059514F" w:rsidRDefault="00EE7C36" w:rsidP="00EE7C36">
            <w:pPr>
              <w:spacing w:after="60"/>
              <w:rPr>
                <w:rFonts w:ascii="Arial Narrow" w:eastAsiaTheme="minorHAnsi" w:hAnsi="Arial Narrow" w:cstheme="minorBidi"/>
                <w:b/>
                <w:sz w:val="20"/>
                <w:szCs w:val="20"/>
              </w:rPr>
            </w:pPr>
            <w:r w:rsidRPr="0059514F">
              <w:rPr>
                <w:rFonts w:ascii="Arial Narrow" w:eastAsiaTheme="minorHAnsi" w:hAnsi="Arial Narrow" w:cstheme="minorBidi"/>
                <w:b/>
                <w:sz w:val="20"/>
                <w:szCs w:val="20"/>
              </w:rPr>
              <w:t>Level of evidence</w:t>
            </w:r>
          </w:p>
        </w:tc>
        <w:tc>
          <w:tcPr>
            <w:tcW w:w="1000" w:type="pct"/>
            <w:shd w:val="clear" w:color="auto" w:fill="D9D9D9" w:themeFill="background1" w:themeFillShade="D9"/>
          </w:tcPr>
          <w:p w14:paraId="58185B26" w14:textId="77777777" w:rsidR="00EE7C36" w:rsidRPr="0059514F" w:rsidRDefault="00EE7C36" w:rsidP="00EE7C36">
            <w:pPr>
              <w:spacing w:after="60"/>
              <w:rPr>
                <w:rFonts w:ascii="Arial Narrow" w:eastAsiaTheme="minorHAnsi" w:hAnsi="Arial Narrow" w:cstheme="minorBidi"/>
                <w:b/>
                <w:sz w:val="20"/>
                <w:szCs w:val="20"/>
              </w:rPr>
            </w:pPr>
            <w:r w:rsidRPr="0059514F">
              <w:rPr>
                <w:rFonts w:ascii="Arial Narrow" w:eastAsiaTheme="minorHAnsi" w:hAnsi="Arial Narrow" w:cstheme="minorBidi"/>
                <w:b/>
                <w:sz w:val="20"/>
                <w:szCs w:val="20"/>
              </w:rPr>
              <w:t>Patients</w:t>
            </w:r>
          </w:p>
        </w:tc>
        <w:tc>
          <w:tcPr>
            <w:tcW w:w="1301" w:type="pct"/>
            <w:shd w:val="clear" w:color="auto" w:fill="D9D9D9" w:themeFill="background1" w:themeFillShade="D9"/>
          </w:tcPr>
          <w:p w14:paraId="396DA12A" w14:textId="77777777" w:rsidR="00EE7C36" w:rsidRPr="0059514F" w:rsidRDefault="00EE7C36" w:rsidP="00EE7C36">
            <w:pPr>
              <w:spacing w:after="60"/>
              <w:rPr>
                <w:rFonts w:ascii="Arial Narrow" w:eastAsiaTheme="minorHAnsi" w:hAnsi="Arial Narrow" w:cstheme="minorBidi"/>
                <w:b/>
                <w:sz w:val="20"/>
                <w:szCs w:val="20"/>
              </w:rPr>
            </w:pPr>
            <w:r w:rsidRPr="0059514F">
              <w:rPr>
                <w:rFonts w:ascii="Arial Narrow" w:eastAsiaTheme="minorHAnsi" w:hAnsi="Arial Narrow" w:cstheme="minorBidi"/>
                <w:b/>
                <w:sz w:val="20"/>
                <w:szCs w:val="20"/>
              </w:rPr>
              <w:t>Intervention(s) and comparator(s)</w:t>
            </w:r>
          </w:p>
          <w:p w14:paraId="3DCC925D" w14:textId="77777777" w:rsidR="00EE7C36" w:rsidRPr="0059514F" w:rsidRDefault="00EE7C36" w:rsidP="00EE7C36">
            <w:pPr>
              <w:spacing w:after="60"/>
              <w:rPr>
                <w:rFonts w:ascii="Arial Narrow" w:eastAsiaTheme="minorHAnsi" w:hAnsi="Arial Narrow" w:cstheme="minorBidi"/>
                <w:b/>
                <w:sz w:val="20"/>
                <w:szCs w:val="20"/>
              </w:rPr>
            </w:pPr>
            <w:r w:rsidRPr="0059514F">
              <w:rPr>
                <w:rFonts w:ascii="Arial Narrow" w:eastAsiaTheme="minorHAnsi" w:hAnsi="Arial Narrow" w:cstheme="minorBidi"/>
                <w:b/>
                <w:sz w:val="20"/>
                <w:szCs w:val="20"/>
              </w:rPr>
              <w:t>N</w:t>
            </w:r>
          </w:p>
          <w:p w14:paraId="6C17C5E9" w14:textId="77777777" w:rsidR="00EE7C36" w:rsidRPr="0059514F" w:rsidRDefault="00EE7C36" w:rsidP="00EE7C36">
            <w:pPr>
              <w:spacing w:after="60"/>
              <w:rPr>
                <w:rFonts w:ascii="Arial Narrow" w:eastAsiaTheme="minorHAnsi" w:hAnsi="Arial Narrow" w:cstheme="minorBidi"/>
                <w:b/>
                <w:sz w:val="20"/>
                <w:szCs w:val="20"/>
              </w:rPr>
            </w:pPr>
          </w:p>
        </w:tc>
        <w:tc>
          <w:tcPr>
            <w:tcW w:w="1150" w:type="pct"/>
            <w:shd w:val="clear" w:color="auto" w:fill="D9D9D9" w:themeFill="background1" w:themeFillShade="D9"/>
          </w:tcPr>
          <w:p w14:paraId="67106A76" w14:textId="77777777" w:rsidR="00EE7C36" w:rsidRPr="0059514F" w:rsidRDefault="00EE7C36" w:rsidP="00EE7C36">
            <w:pPr>
              <w:spacing w:after="60"/>
              <w:rPr>
                <w:rFonts w:ascii="Arial Narrow" w:eastAsiaTheme="minorHAnsi" w:hAnsi="Arial Narrow" w:cstheme="minorBidi"/>
                <w:b/>
                <w:sz w:val="20"/>
                <w:szCs w:val="20"/>
              </w:rPr>
            </w:pPr>
            <w:r w:rsidRPr="0059514F">
              <w:rPr>
                <w:rFonts w:ascii="Arial Narrow" w:eastAsiaTheme="minorHAnsi" w:hAnsi="Arial Narrow" w:cstheme="minorBidi"/>
                <w:b/>
                <w:sz w:val="20"/>
                <w:szCs w:val="20"/>
              </w:rPr>
              <w:t>Outcome(s)</w:t>
            </w:r>
          </w:p>
        </w:tc>
        <w:tc>
          <w:tcPr>
            <w:tcW w:w="861" w:type="pct"/>
            <w:shd w:val="clear" w:color="auto" w:fill="D9D9D9" w:themeFill="background1" w:themeFillShade="D9"/>
          </w:tcPr>
          <w:p w14:paraId="7BD12394" w14:textId="77777777" w:rsidR="00EE7C36" w:rsidRPr="0059514F" w:rsidRDefault="00EE7C36" w:rsidP="00EE7C36">
            <w:pPr>
              <w:spacing w:after="60"/>
              <w:rPr>
                <w:rFonts w:ascii="Arial Narrow" w:eastAsiaTheme="minorHAnsi" w:hAnsi="Arial Narrow" w:cstheme="minorBidi"/>
                <w:b/>
                <w:i/>
                <w:sz w:val="20"/>
                <w:szCs w:val="20"/>
              </w:rPr>
            </w:pPr>
            <w:r w:rsidRPr="0059514F">
              <w:rPr>
                <w:rFonts w:ascii="Arial Narrow" w:eastAsiaTheme="minorHAnsi" w:hAnsi="Arial Narrow" w:cstheme="minorBidi"/>
                <w:b/>
                <w:sz w:val="20"/>
                <w:szCs w:val="20"/>
              </w:rPr>
              <w:t xml:space="preserve">Impact on bleeding </w:t>
            </w:r>
          </w:p>
        </w:tc>
      </w:tr>
      <w:tr w:rsidR="00EE7C36" w:rsidRPr="0059514F" w14:paraId="34382BBA" w14:textId="77777777" w:rsidTr="00EE7C36">
        <w:trPr>
          <w:cantSplit/>
        </w:trPr>
        <w:tc>
          <w:tcPr>
            <w:tcW w:w="688" w:type="pct"/>
            <w:shd w:val="clear" w:color="auto" w:fill="F2F2F2" w:themeFill="background1" w:themeFillShade="F2"/>
          </w:tcPr>
          <w:p w14:paraId="6B39E9AF" w14:textId="77777777" w:rsidR="00EE7C36" w:rsidRPr="0059514F" w:rsidRDefault="00EE7C36" w:rsidP="00EE7C36">
            <w:pPr>
              <w:spacing w:after="60"/>
              <w:rPr>
                <w:rFonts w:ascii="Arial Narrow" w:eastAsiaTheme="minorHAnsi" w:hAnsi="Arial Narrow" w:cstheme="minorBidi"/>
                <w:b/>
                <w:sz w:val="20"/>
                <w:szCs w:val="20"/>
              </w:rPr>
            </w:pPr>
            <w:r w:rsidRPr="0059514F">
              <w:rPr>
                <w:rFonts w:ascii="Arial Narrow" w:eastAsiaTheme="minorHAnsi" w:hAnsi="Arial Narrow" w:cstheme="minorBidi"/>
                <w:b/>
                <w:sz w:val="20"/>
                <w:szCs w:val="20"/>
              </w:rPr>
              <w:t>Published trials</w:t>
            </w:r>
          </w:p>
        </w:tc>
        <w:tc>
          <w:tcPr>
            <w:tcW w:w="1000" w:type="pct"/>
            <w:shd w:val="clear" w:color="auto" w:fill="F2F2F2" w:themeFill="background1" w:themeFillShade="F2"/>
          </w:tcPr>
          <w:p w14:paraId="27C6DC75" w14:textId="77777777" w:rsidR="00EE7C36" w:rsidRPr="0059514F" w:rsidRDefault="00EE7C36" w:rsidP="00EE7C36">
            <w:pPr>
              <w:spacing w:after="60"/>
              <w:rPr>
                <w:rFonts w:ascii="Arial Narrow" w:eastAsiaTheme="minorHAnsi" w:hAnsi="Arial Narrow" w:cstheme="minorBidi"/>
                <w:b/>
                <w:sz w:val="20"/>
                <w:szCs w:val="20"/>
              </w:rPr>
            </w:pPr>
          </w:p>
        </w:tc>
        <w:tc>
          <w:tcPr>
            <w:tcW w:w="1301" w:type="pct"/>
            <w:shd w:val="clear" w:color="auto" w:fill="F2F2F2" w:themeFill="background1" w:themeFillShade="F2"/>
          </w:tcPr>
          <w:p w14:paraId="13042DFA" w14:textId="77777777" w:rsidR="00EE7C36" w:rsidRPr="0059514F" w:rsidRDefault="00EE7C36" w:rsidP="00EE7C36">
            <w:pPr>
              <w:spacing w:after="60"/>
              <w:rPr>
                <w:rFonts w:ascii="Arial Narrow" w:eastAsiaTheme="minorHAnsi" w:hAnsi="Arial Narrow" w:cstheme="minorBidi"/>
                <w:b/>
                <w:i/>
                <w:sz w:val="20"/>
                <w:szCs w:val="20"/>
              </w:rPr>
            </w:pPr>
          </w:p>
        </w:tc>
        <w:tc>
          <w:tcPr>
            <w:tcW w:w="1150" w:type="pct"/>
            <w:shd w:val="clear" w:color="auto" w:fill="F2F2F2" w:themeFill="background1" w:themeFillShade="F2"/>
          </w:tcPr>
          <w:p w14:paraId="22648F83" w14:textId="77777777" w:rsidR="00EE7C36" w:rsidRPr="0059514F" w:rsidRDefault="00EE7C36" w:rsidP="00EE7C36">
            <w:pPr>
              <w:spacing w:after="60"/>
              <w:rPr>
                <w:rFonts w:ascii="Arial Narrow" w:eastAsiaTheme="minorHAnsi" w:hAnsi="Arial Narrow" w:cstheme="minorBidi"/>
                <w:b/>
                <w:i/>
                <w:sz w:val="20"/>
                <w:szCs w:val="20"/>
              </w:rPr>
            </w:pPr>
          </w:p>
        </w:tc>
        <w:tc>
          <w:tcPr>
            <w:tcW w:w="861" w:type="pct"/>
            <w:shd w:val="clear" w:color="auto" w:fill="F2F2F2" w:themeFill="background1" w:themeFillShade="F2"/>
          </w:tcPr>
          <w:p w14:paraId="06E25734" w14:textId="77777777" w:rsidR="00EE7C36" w:rsidRPr="0059514F" w:rsidRDefault="00EE7C36" w:rsidP="00EE7C36">
            <w:pPr>
              <w:spacing w:after="60"/>
              <w:rPr>
                <w:rFonts w:ascii="Arial Narrow" w:eastAsiaTheme="minorHAnsi" w:hAnsi="Arial Narrow" w:cstheme="minorBidi"/>
                <w:b/>
                <w:sz w:val="20"/>
                <w:szCs w:val="20"/>
              </w:rPr>
            </w:pPr>
          </w:p>
        </w:tc>
      </w:tr>
      <w:tr w:rsidR="00EE7C36" w:rsidRPr="0059514F" w14:paraId="3BFA06DB" w14:textId="77777777" w:rsidTr="00EE7C36">
        <w:trPr>
          <w:cantSplit/>
          <w:trHeight w:val="3615"/>
        </w:trPr>
        <w:tc>
          <w:tcPr>
            <w:tcW w:w="688" w:type="pct"/>
          </w:tcPr>
          <w:p w14:paraId="69F23D22" w14:textId="236F182E"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Oldenburg et al</w:t>
            </w:r>
            <w:r w:rsidR="004140FC" w:rsidRPr="0059514F">
              <w:rPr>
                <w:rFonts w:ascii="Arial Narrow" w:eastAsiaTheme="minorHAnsi" w:hAnsi="Arial Narrow" w:cstheme="minorBidi"/>
                <w:sz w:val="20"/>
                <w:szCs w:val="20"/>
              </w:rPr>
              <w:fldChar w:fldCharType="begin">
                <w:fldData xml:space="preserve">PEVuZE5vdGU+PENpdGU+PEF1dGhvcj5PbGRlbmJ1cmc8L0F1dGhvcj48WWVhcj4yMDE3PC9ZZWFy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bmFsIG9mIG1lZGljaW5lPC9hYmJyLTE+PC9hbHQtcGVyaW9kaWNhbD48cGFnZXM+ODA5LTgxODwv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</w:fldData>
              </w:fldChar>
            </w:r>
            <w:r w:rsidR="00DF30B8" w:rsidRPr="0059514F">
              <w:rPr>
                <w:rFonts w:ascii="Arial Narrow" w:eastAsiaTheme="minorHAnsi" w:hAnsi="Arial Narrow" w:cstheme="minorBidi"/>
                <w:sz w:val="20"/>
                <w:szCs w:val="20"/>
              </w:rPr>
              <w:instrText xml:space="preserve"> ADDIN EN.CITE </w:instrText>
            </w:r>
            <w:r w:rsidR="00DF30B8" w:rsidRPr="0059514F">
              <w:rPr>
                <w:rFonts w:ascii="Arial Narrow" w:eastAsiaTheme="minorHAnsi" w:hAnsi="Arial Narrow" w:cstheme="minorBidi"/>
                <w:sz w:val="20"/>
                <w:szCs w:val="20"/>
              </w:rPr>
              <w:fldChar w:fldCharType="begin">
                <w:fldData xml:space="preserve">PEVuZE5vdGU+PENpdGU+PEF1dGhvcj5PbGRlbmJ1cmc8L0F1dGhvcj48WWVhcj4yMDE3PC9ZZWFy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bmFsIG9mIG1lZGljaW5lPC9hYmJyLTE+PC9hbHQtcGVyaW9kaWNhbD48cGFnZXM+ODA5LTgxODwv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</w:fldData>
              </w:fldChar>
            </w:r>
            <w:r w:rsidR="00DF30B8" w:rsidRPr="0059514F">
              <w:rPr>
                <w:rFonts w:ascii="Arial Narrow" w:eastAsiaTheme="minorHAnsi" w:hAnsi="Arial Narrow" w:cstheme="minorBidi"/>
                <w:sz w:val="20"/>
                <w:szCs w:val="20"/>
              </w:rPr>
              <w:instrText xml:space="preserve"> ADDIN EN.CITE.DATA </w:instrText>
            </w:r>
            <w:r w:rsidR="00DF30B8" w:rsidRPr="0059514F">
              <w:rPr>
                <w:rFonts w:ascii="Arial Narrow" w:eastAsiaTheme="minorHAnsi" w:hAnsi="Arial Narrow" w:cstheme="minorBidi"/>
                <w:sz w:val="20"/>
                <w:szCs w:val="20"/>
              </w:rPr>
            </w:r>
            <w:r w:rsidR="00DF30B8" w:rsidRPr="0059514F">
              <w:rPr>
                <w:rFonts w:ascii="Arial Narrow" w:eastAsiaTheme="minorHAnsi" w:hAnsi="Arial Narrow" w:cstheme="minorBidi"/>
                <w:sz w:val="20"/>
                <w:szCs w:val="20"/>
              </w:rPr>
              <w:fldChar w:fldCharType="end"/>
            </w:r>
            <w:r w:rsidR="004140FC" w:rsidRPr="0059514F">
              <w:rPr>
                <w:rFonts w:ascii="Arial Narrow" w:eastAsiaTheme="minorHAnsi" w:hAnsi="Arial Narrow" w:cstheme="minorBidi"/>
                <w:sz w:val="20"/>
                <w:szCs w:val="20"/>
              </w:rPr>
            </w:r>
            <w:r w:rsidR="004140FC" w:rsidRPr="0059514F">
              <w:rPr>
                <w:rFonts w:ascii="Arial Narrow" w:eastAsiaTheme="minorHAnsi" w:hAnsi="Arial Narrow" w:cstheme="minorBidi"/>
                <w:sz w:val="20"/>
                <w:szCs w:val="20"/>
              </w:rPr>
              <w:fldChar w:fldCharType="separate"/>
            </w:r>
            <w:r w:rsidR="004140FC" w:rsidRPr="0059514F">
              <w:rPr>
                <w:rFonts w:ascii="Arial Narrow" w:eastAsiaTheme="minorHAnsi" w:hAnsi="Arial Narrow" w:cstheme="minorBidi"/>
                <w:noProof/>
                <w:sz w:val="20"/>
                <w:szCs w:val="20"/>
              </w:rPr>
              <w:t>(Oldenburg et al 2017)</w:t>
            </w:r>
            <w:r w:rsidR="004140FC" w:rsidRPr="0059514F">
              <w:rPr>
                <w:rFonts w:ascii="Arial Narrow" w:eastAsiaTheme="minorHAnsi" w:hAnsi="Arial Narrow" w:cstheme="minorBidi"/>
                <w:sz w:val="20"/>
                <w:szCs w:val="20"/>
              </w:rPr>
              <w:fldChar w:fldCharType="end"/>
            </w:r>
            <w:r w:rsidRPr="0059514F">
              <w:rPr>
                <w:rFonts w:ascii="Arial Narrow" w:eastAsiaTheme="minorHAnsi" w:hAnsi="Arial Narrow" w:cstheme="minorBidi"/>
                <w:sz w:val="20"/>
                <w:szCs w:val="20"/>
              </w:rPr>
              <w:t>/ HAVEN 1</w:t>
            </w:r>
          </w:p>
          <w:p w14:paraId="0D2034E5"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2017</w:t>
            </w:r>
          </w:p>
          <w:p w14:paraId="2799EC1E" w14:textId="5F34905A"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Open</w:t>
            </w:r>
            <w:r w:rsidR="003E173E" w:rsidRPr="0059514F">
              <w:rPr>
                <w:rFonts w:ascii="Arial Narrow" w:eastAsiaTheme="minorHAnsi" w:hAnsi="Arial Narrow" w:cstheme="minorBidi"/>
                <w:sz w:val="20"/>
                <w:szCs w:val="20"/>
              </w:rPr>
              <w:t>-</w:t>
            </w:r>
            <w:r w:rsidRPr="0059514F">
              <w:rPr>
                <w:rFonts w:ascii="Arial Narrow" w:eastAsiaTheme="minorHAnsi" w:hAnsi="Arial Narrow" w:cstheme="minorBidi"/>
                <w:sz w:val="20"/>
                <w:szCs w:val="20"/>
              </w:rPr>
              <w:t xml:space="preserve">label RCT </w:t>
            </w:r>
          </w:p>
        </w:tc>
        <w:tc>
          <w:tcPr>
            <w:tcW w:w="1000" w:type="pct"/>
          </w:tcPr>
          <w:p w14:paraId="055EC248" w14:textId="71B60C3B"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 xml:space="preserve">&gt;12 years of age, congenital </w:t>
            </w:r>
            <w:r w:rsidR="000E5F7E" w:rsidRPr="0059514F">
              <w:rPr>
                <w:rFonts w:ascii="Arial Narrow" w:eastAsiaTheme="minorHAnsi" w:hAnsi="Arial Narrow" w:cstheme="minorBidi"/>
                <w:sz w:val="20"/>
                <w:szCs w:val="20"/>
              </w:rPr>
              <w:t>h</w:t>
            </w:r>
            <w:r w:rsidR="00DF1C05" w:rsidRPr="0059514F">
              <w:rPr>
                <w:rFonts w:ascii="Arial Narrow" w:eastAsiaTheme="minorHAnsi" w:hAnsi="Arial Narrow" w:cstheme="minorBidi"/>
                <w:sz w:val="20"/>
                <w:szCs w:val="20"/>
              </w:rPr>
              <w:t>aemophilia</w:t>
            </w:r>
            <w:r w:rsidRPr="0059514F">
              <w:rPr>
                <w:rFonts w:ascii="Arial Narrow" w:eastAsiaTheme="minorHAnsi" w:hAnsi="Arial Narrow" w:cstheme="minorBidi"/>
                <w:sz w:val="20"/>
                <w:szCs w:val="20"/>
              </w:rPr>
              <w:t xml:space="preserve"> A, </w:t>
            </w:r>
            <w:r w:rsidRPr="0059514F">
              <w:rPr>
                <w:rFonts w:ascii="Arial Narrow" w:eastAsiaTheme="minorHAnsi" w:hAnsi="Arial Narrow" w:cstheme="minorBidi"/>
                <w:b/>
                <w:sz w:val="20"/>
                <w:szCs w:val="20"/>
              </w:rPr>
              <w:t>history of high tit</w:t>
            </w:r>
            <w:r w:rsidR="003E173E" w:rsidRPr="0059514F">
              <w:rPr>
                <w:rFonts w:ascii="Arial Narrow" w:eastAsiaTheme="minorHAnsi" w:hAnsi="Arial Narrow" w:cstheme="minorBidi"/>
                <w:b/>
                <w:sz w:val="20"/>
                <w:szCs w:val="20"/>
              </w:rPr>
              <w:t>re</w:t>
            </w:r>
            <w:r w:rsidRPr="0059514F">
              <w:rPr>
                <w:rFonts w:ascii="Arial Narrow" w:eastAsiaTheme="minorHAnsi" w:hAnsi="Arial Narrow" w:cstheme="minorBidi"/>
                <w:b/>
                <w:sz w:val="20"/>
                <w:szCs w:val="20"/>
              </w:rPr>
              <w:t xml:space="preserve"> factor VIII inhibitor (≥5 Bethesda units/mL).</w:t>
            </w:r>
            <w:r w:rsidRPr="0059514F">
              <w:rPr>
                <w:rFonts w:ascii="Arial Narrow" w:eastAsiaTheme="minorHAnsi" w:hAnsi="Arial Narrow" w:cstheme="minorBidi"/>
                <w:sz w:val="20"/>
                <w:szCs w:val="20"/>
              </w:rPr>
              <w:t xml:space="preserve"> Receiving episodic or prophylactic treatment with BPAs</w:t>
            </w:r>
          </w:p>
          <w:p w14:paraId="4DAE1AE5" w14:textId="13F4042B"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i/>
                <w:sz w:val="20"/>
                <w:szCs w:val="20"/>
              </w:rPr>
              <w:t>Group A and B</w:t>
            </w:r>
            <w:r w:rsidRPr="0059514F">
              <w:rPr>
                <w:rFonts w:ascii="Arial Narrow" w:eastAsiaTheme="minorHAnsi" w:hAnsi="Arial Narrow" w:cstheme="minorBidi"/>
                <w:sz w:val="20"/>
                <w:szCs w:val="20"/>
              </w:rPr>
              <w:t xml:space="preserve">: patients with a history of </w:t>
            </w:r>
            <w:r w:rsidRPr="0059514F">
              <w:rPr>
                <w:rFonts w:ascii="Arial Narrow" w:eastAsiaTheme="minorHAnsi" w:hAnsi="Arial Narrow" w:cstheme="minorBidi"/>
                <w:b/>
                <w:sz w:val="20"/>
                <w:szCs w:val="20"/>
              </w:rPr>
              <w:t>episodic</w:t>
            </w:r>
            <w:r w:rsidRPr="0059514F">
              <w:rPr>
                <w:rFonts w:ascii="Arial Narrow" w:eastAsiaTheme="minorHAnsi" w:hAnsi="Arial Narrow" w:cstheme="minorBidi"/>
                <w:sz w:val="20"/>
                <w:szCs w:val="20"/>
              </w:rPr>
              <w:t xml:space="preserve"> treatment with BPAs (randomised assignment). </w:t>
            </w:r>
            <w:r w:rsidRPr="0059514F">
              <w:rPr>
                <w:rFonts w:ascii="Arial Narrow" w:eastAsiaTheme="minorHAnsi" w:hAnsi="Arial Narrow" w:cstheme="minorBidi"/>
                <w:i/>
                <w:sz w:val="20"/>
                <w:szCs w:val="20"/>
              </w:rPr>
              <w:t>Group C</w:t>
            </w:r>
            <w:r w:rsidRPr="0059514F">
              <w:rPr>
                <w:rFonts w:ascii="Arial Narrow" w:eastAsiaTheme="minorHAnsi" w:hAnsi="Arial Narrow" w:cstheme="minorBidi"/>
                <w:sz w:val="20"/>
                <w:szCs w:val="20"/>
              </w:rPr>
              <w:t xml:space="preserve">: patients with a history of prophylaxis with BPAs. </w:t>
            </w:r>
            <w:r w:rsidRPr="0059514F">
              <w:rPr>
                <w:rFonts w:ascii="Arial Narrow" w:eastAsiaTheme="minorHAnsi" w:hAnsi="Arial Narrow" w:cstheme="minorBidi"/>
                <w:i/>
                <w:sz w:val="20"/>
                <w:szCs w:val="20"/>
              </w:rPr>
              <w:t>Group D:</w:t>
            </w:r>
            <w:r w:rsidRPr="0059514F">
              <w:rPr>
                <w:rFonts w:ascii="Arial Narrow" w:eastAsiaTheme="minorHAnsi" w:hAnsi="Arial Narrow" w:cstheme="minorBidi"/>
                <w:sz w:val="20"/>
                <w:szCs w:val="20"/>
              </w:rPr>
              <w:t xml:space="preserve"> patients who could not enrol in the HAVEN 1 trial</w:t>
            </w:r>
          </w:p>
        </w:tc>
        <w:tc>
          <w:tcPr>
            <w:tcW w:w="1301" w:type="pct"/>
          </w:tcPr>
          <w:p w14:paraId="6A82360A" w14:textId="60A26F0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i/>
                <w:sz w:val="20"/>
                <w:szCs w:val="20"/>
              </w:rPr>
              <w:t>Group A</w:t>
            </w:r>
            <w:r w:rsidRPr="0059514F">
              <w:rPr>
                <w:rFonts w:ascii="Arial Narrow" w:eastAsiaTheme="minorHAnsi" w:hAnsi="Arial Narrow" w:cstheme="minorBidi"/>
                <w:sz w:val="20"/>
                <w:szCs w:val="20"/>
              </w:rPr>
              <w:t>: emicizumab 3 mg/kg/week subcutaneously for 4 weeks (loading dose) followed by 1.5 mg/kg/week for 24 weeks in total* (N=35)</w:t>
            </w:r>
          </w:p>
          <w:p w14:paraId="1F2991AA" w14:textId="57411FAA"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i/>
                <w:sz w:val="20"/>
                <w:szCs w:val="20"/>
              </w:rPr>
              <w:t>Group B</w:t>
            </w:r>
            <w:r w:rsidRPr="0059514F">
              <w:rPr>
                <w:rFonts w:ascii="Arial Narrow" w:eastAsiaTheme="minorHAnsi" w:hAnsi="Arial Narrow" w:cstheme="minorBidi"/>
                <w:sz w:val="20"/>
                <w:szCs w:val="20"/>
              </w:rPr>
              <w:t>: No prophylaxis with emicizumab (N=18)</w:t>
            </w:r>
          </w:p>
          <w:p w14:paraId="78E4C661" w14:textId="1F462F3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i/>
                <w:sz w:val="20"/>
                <w:szCs w:val="20"/>
              </w:rPr>
              <w:t>Group C:</w:t>
            </w:r>
            <w:r w:rsidRPr="0059514F">
              <w:rPr>
                <w:rFonts w:ascii="Arial Narrow" w:eastAsiaTheme="minorHAnsi" w:hAnsi="Arial Narrow" w:cstheme="minorBidi"/>
                <w:sz w:val="20"/>
                <w:szCs w:val="20"/>
              </w:rPr>
              <w:t xml:space="preserve"> as</w:t>
            </w:r>
            <w:r w:rsidR="00BB53F1" w:rsidRPr="0059514F">
              <w:rPr>
                <w:rFonts w:ascii="Arial Narrow" w:eastAsiaTheme="minorHAnsi" w:hAnsi="Arial Narrow" w:cstheme="minorBidi"/>
                <w:sz w:val="20"/>
                <w:szCs w:val="20"/>
              </w:rPr>
              <w:t xml:space="preserve"> per group A</w:t>
            </w:r>
            <w:r w:rsidRPr="0059514F">
              <w:rPr>
                <w:rFonts w:ascii="Arial Narrow" w:eastAsiaTheme="minorHAnsi" w:hAnsi="Arial Narrow" w:cstheme="minorBidi"/>
                <w:sz w:val="20"/>
                <w:szCs w:val="20"/>
              </w:rPr>
              <w:t xml:space="preserve"> (N=49)</w:t>
            </w:r>
          </w:p>
          <w:p w14:paraId="7E4C859A" w14:textId="008C88CE" w:rsidR="00EE7C36" w:rsidRPr="0059514F" w:rsidRDefault="00EE7C36" w:rsidP="00BB53F1">
            <w:pPr>
              <w:spacing w:after="60"/>
              <w:rPr>
                <w:rFonts w:ascii="Arial Narrow" w:eastAsiaTheme="minorHAnsi" w:hAnsi="Arial Narrow" w:cstheme="minorBidi"/>
                <w:sz w:val="20"/>
                <w:szCs w:val="20"/>
              </w:rPr>
            </w:pPr>
            <w:r w:rsidRPr="0059514F">
              <w:rPr>
                <w:rFonts w:ascii="Arial Narrow" w:eastAsiaTheme="minorHAnsi" w:hAnsi="Arial Narrow" w:cstheme="minorBidi"/>
                <w:i/>
                <w:sz w:val="20"/>
                <w:szCs w:val="20"/>
              </w:rPr>
              <w:t>Group D:</w:t>
            </w:r>
            <w:r w:rsidRPr="0059514F">
              <w:rPr>
                <w:rFonts w:ascii="Arial Narrow" w:eastAsiaTheme="minorHAnsi" w:hAnsi="Arial Narrow" w:cstheme="minorBidi"/>
                <w:sz w:val="20"/>
                <w:szCs w:val="20"/>
              </w:rPr>
              <w:t xml:space="preserve"> as </w:t>
            </w:r>
            <w:r w:rsidR="00BB53F1" w:rsidRPr="0059514F">
              <w:rPr>
                <w:rFonts w:ascii="Arial Narrow" w:eastAsiaTheme="minorHAnsi" w:hAnsi="Arial Narrow" w:cstheme="minorBidi"/>
                <w:sz w:val="20"/>
                <w:szCs w:val="20"/>
              </w:rPr>
              <w:t xml:space="preserve">per group A </w:t>
            </w:r>
            <w:r w:rsidRPr="0059514F">
              <w:rPr>
                <w:rFonts w:ascii="Arial Narrow" w:eastAsiaTheme="minorHAnsi" w:hAnsi="Arial Narrow" w:cstheme="minorBidi"/>
                <w:sz w:val="20"/>
                <w:szCs w:val="20"/>
              </w:rPr>
              <w:t>(N=7)</w:t>
            </w:r>
          </w:p>
        </w:tc>
        <w:tc>
          <w:tcPr>
            <w:tcW w:w="1150" w:type="pct"/>
          </w:tcPr>
          <w:p w14:paraId="58AE69DE"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Primary effectiveness</w:t>
            </w:r>
          </w:p>
          <w:p w14:paraId="36204C54" w14:textId="3CA0BF8C"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 xml:space="preserve">Rate of treated bleeding events (bleeding rate) over ≥ 24 weeks in Group A </w:t>
            </w:r>
            <w:r w:rsidR="00DF1C05" w:rsidRPr="0059514F">
              <w:rPr>
                <w:rFonts w:ascii="Arial Narrow" w:eastAsiaTheme="minorHAnsi" w:hAnsi="Arial Narrow" w:cstheme="minorBidi"/>
                <w:sz w:val="20"/>
                <w:szCs w:val="20"/>
              </w:rPr>
              <w:t>vs.</w:t>
            </w:r>
            <w:r w:rsidRPr="0059514F">
              <w:rPr>
                <w:rFonts w:ascii="Arial Narrow" w:eastAsiaTheme="minorHAnsi" w:hAnsi="Arial Narrow" w:cstheme="minorBidi"/>
                <w:sz w:val="20"/>
                <w:szCs w:val="20"/>
              </w:rPr>
              <w:t xml:space="preserve"> Group B</w:t>
            </w:r>
          </w:p>
          <w:p w14:paraId="101D14D3"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Secondary effectiveness</w:t>
            </w:r>
          </w:p>
          <w:p w14:paraId="46B4A21E" w14:textId="71294784"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 xml:space="preserve">Bleeding related </w:t>
            </w:r>
            <w:r w:rsidR="00DF1C05" w:rsidRPr="0059514F">
              <w:rPr>
                <w:rFonts w:ascii="Arial Narrow" w:eastAsiaTheme="minorHAnsi" w:hAnsi="Arial Narrow" w:cstheme="minorBidi"/>
                <w:sz w:val="20"/>
                <w:szCs w:val="20"/>
              </w:rPr>
              <w:t>endpoints</w:t>
            </w:r>
            <w:r w:rsidRPr="0059514F">
              <w:rPr>
                <w:rFonts w:ascii="Arial Narrow" w:eastAsiaTheme="minorHAnsi" w:hAnsi="Arial Narrow" w:cstheme="minorBidi"/>
                <w:sz w:val="20"/>
                <w:szCs w:val="20"/>
              </w:rPr>
              <w:t>, health</w:t>
            </w:r>
            <w:r w:rsidR="003E173E" w:rsidRPr="0059514F">
              <w:rPr>
                <w:rFonts w:ascii="Arial Narrow" w:eastAsiaTheme="minorHAnsi" w:hAnsi="Arial Narrow" w:cstheme="minorBidi"/>
                <w:sz w:val="20"/>
                <w:szCs w:val="20"/>
              </w:rPr>
              <w:t>-</w:t>
            </w:r>
            <w:r w:rsidRPr="0059514F">
              <w:rPr>
                <w:rFonts w:ascii="Arial Narrow" w:eastAsiaTheme="minorHAnsi" w:hAnsi="Arial Narrow" w:cstheme="minorBidi"/>
                <w:sz w:val="20"/>
                <w:szCs w:val="20"/>
              </w:rPr>
              <w:t>related quality of life</w:t>
            </w:r>
          </w:p>
          <w:p w14:paraId="1ABC2CF8"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Safety</w:t>
            </w:r>
          </w:p>
          <w:p w14:paraId="1C22FE97" w14:textId="469C160A"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adverse events, injection- site reactions, serious adverse events, thromboembolic events, abnormal laboratory values and antidrug antibodies</w:t>
            </w:r>
          </w:p>
        </w:tc>
        <w:tc>
          <w:tcPr>
            <w:tcW w:w="861" w:type="pct"/>
          </w:tcPr>
          <w:p w14:paraId="058D9A2F" w14:textId="2A5A58B4" w:rsidR="00EE7C36" w:rsidRPr="0059514F" w:rsidRDefault="00882D4A"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Annualised b</w:t>
            </w:r>
            <w:r w:rsidR="00EE7C36" w:rsidRPr="0059514F">
              <w:rPr>
                <w:rFonts w:ascii="Arial Narrow" w:eastAsiaTheme="minorHAnsi" w:hAnsi="Arial Narrow" w:cstheme="minorBidi"/>
                <w:sz w:val="20"/>
                <w:szCs w:val="20"/>
              </w:rPr>
              <w:t xml:space="preserve">leeding rate: 2.9 (95% 1.7 to 5.0, Group A) </w:t>
            </w:r>
            <w:r w:rsidR="00DF1C05" w:rsidRPr="0059514F">
              <w:rPr>
                <w:rFonts w:ascii="Arial Narrow" w:eastAsiaTheme="minorHAnsi" w:hAnsi="Arial Narrow" w:cstheme="minorBidi"/>
                <w:sz w:val="20"/>
                <w:szCs w:val="20"/>
              </w:rPr>
              <w:t>vs.</w:t>
            </w:r>
            <w:r w:rsidR="00EE7C36" w:rsidRPr="0059514F">
              <w:rPr>
                <w:rFonts w:ascii="Arial Narrow" w:eastAsiaTheme="minorHAnsi" w:hAnsi="Arial Narrow" w:cstheme="minorBidi"/>
                <w:sz w:val="20"/>
                <w:szCs w:val="20"/>
              </w:rPr>
              <w:t xml:space="preserve"> 23.3 (95%CI 12.3 to 43.9, Group B), </w:t>
            </w:r>
            <w:r w:rsidR="00EE7C36" w:rsidRPr="0059514F">
              <w:rPr>
                <w:rFonts w:ascii="Arial Narrow" w:eastAsiaTheme="minorHAnsi" w:hAnsi="Arial Narrow" w:cstheme="minorBidi"/>
                <w:i/>
                <w:sz w:val="20"/>
                <w:szCs w:val="20"/>
              </w:rPr>
              <w:t>p&lt;0.001</w:t>
            </w:r>
          </w:p>
          <w:p w14:paraId="2ED1A6D5" w14:textId="77777777" w:rsidR="00EE7C36" w:rsidRPr="0059514F" w:rsidRDefault="00EE7C36" w:rsidP="00EE7C36">
            <w:pPr>
              <w:spacing w:after="60"/>
              <w:rPr>
                <w:rFonts w:ascii="Arial Narrow" w:eastAsiaTheme="minorHAnsi" w:hAnsi="Arial Narrow" w:cstheme="minorBidi"/>
                <w:i/>
                <w:sz w:val="20"/>
                <w:szCs w:val="20"/>
              </w:rPr>
            </w:pPr>
          </w:p>
        </w:tc>
      </w:tr>
      <w:tr w:rsidR="00EE7C36" w:rsidRPr="0059514F" w14:paraId="7FD6F244" w14:textId="77777777" w:rsidTr="00EE7C36">
        <w:trPr>
          <w:cantSplit/>
          <w:trHeight w:val="274"/>
        </w:trPr>
        <w:tc>
          <w:tcPr>
            <w:tcW w:w="688" w:type="pct"/>
          </w:tcPr>
          <w:p w14:paraId="01E5D25C" w14:textId="4F56879D"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Shima et a</w:t>
            </w:r>
            <w:r w:rsidR="004140FC" w:rsidRPr="0059514F">
              <w:rPr>
                <w:rFonts w:ascii="Arial Narrow" w:eastAsiaTheme="minorHAnsi" w:hAnsi="Arial Narrow" w:cstheme="minorBidi"/>
                <w:sz w:val="20"/>
                <w:szCs w:val="20"/>
              </w:rPr>
              <w:fldChar w:fldCharType="begin">
                <w:fldData xml:space="preserve">PEVuZE5vdGU+PENpdGU+PEF1dGhvcj5TaGltYTwvQXV0aG9yPjxZZWFyPjIwMTY8L1llYXI+PFJl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am91cm5hbCBvZiBtZWRpY2luZTwvYWJici0xPjwvYWx0LXBlcmlvZGljYWw+PHBhZ2VzPjIwNDQt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</w:fldData>
              </w:fldChar>
            </w:r>
            <w:r w:rsidR="00DF30B8" w:rsidRPr="0059514F">
              <w:rPr>
                <w:rFonts w:ascii="Arial Narrow" w:eastAsiaTheme="minorHAnsi" w:hAnsi="Arial Narrow" w:cstheme="minorBidi"/>
                <w:sz w:val="20"/>
                <w:szCs w:val="20"/>
              </w:rPr>
              <w:instrText xml:space="preserve"> ADDIN EN.CITE </w:instrText>
            </w:r>
            <w:r w:rsidR="00DF30B8" w:rsidRPr="0059514F">
              <w:rPr>
                <w:rFonts w:ascii="Arial Narrow" w:eastAsiaTheme="minorHAnsi" w:hAnsi="Arial Narrow" w:cstheme="minorBidi"/>
                <w:sz w:val="20"/>
                <w:szCs w:val="20"/>
              </w:rPr>
              <w:fldChar w:fldCharType="begin">
                <w:fldData xml:space="preserve">PEVuZE5vdGU+PENpdGU+PEF1dGhvcj5TaGltYTwvQXV0aG9yPjxZZWFyPjIwMTY8L1llYXI+PFJl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am91cm5hbCBvZiBtZWRpY2luZTwvYWJici0xPjwvYWx0LXBlcmlvZGljYWw+PHBhZ2VzPjIwNDQt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</w:fldData>
              </w:fldChar>
            </w:r>
            <w:r w:rsidR="00DF30B8" w:rsidRPr="0059514F">
              <w:rPr>
                <w:rFonts w:ascii="Arial Narrow" w:eastAsiaTheme="minorHAnsi" w:hAnsi="Arial Narrow" w:cstheme="minorBidi"/>
                <w:sz w:val="20"/>
                <w:szCs w:val="20"/>
              </w:rPr>
              <w:instrText xml:space="preserve"> ADDIN EN.CITE.DATA </w:instrText>
            </w:r>
            <w:r w:rsidR="00DF30B8" w:rsidRPr="0059514F">
              <w:rPr>
                <w:rFonts w:ascii="Arial Narrow" w:eastAsiaTheme="minorHAnsi" w:hAnsi="Arial Narrow" w:cstheme="minorBidi"/>
                <w:sz w:val="20"/>
                <w:szCs w:val="20"/>
              </w:rPr>
            </w:r>
            <w:r w:rsidR="00DF30B8" w:rsidRPr="0059514F">
              <w:rPr>
                <w:rFonts w:ascii="Arial Narrow" w:eastAsiaTheme="minorHAnsi" w:hAnsi="Arial Narrow" w:cstheme="minorBidi"/>
                <w:sz w:val="20"/>
                <w:szCs w:val="20"/>
              </w:rPr>
              <w:fldChar w:fldCharType="end"/>
            </w:r>
            <w:r w:rsidR="004140FC" w:rsidRPr="0059514F">
              <w:rPr>
                <w:rFonts w:ascii="Arial Narrow" w:eastAsiaTheme="minorHAnsi" w:hAnsi="Arial Narrow" w:cstheme="minorBidi"/>
                <w:sz w:val="20"/>
                <w:szCs w:val="20"/>
              </w:rPr>
            </w:r>
            <w:r w:rsidR="004140FC" w:rsidRPr="0059514F">
              <w:rPr>
                <w:rFonts w:ascii="Arial Narrow" w:eastAsiaTheme="minorHAnsi" w:hAnsi="Arial Narrow" w:cstheme="minorBidi"/>
                <w:sz w:val="20"/>
                <w:szCs w:val="20"/>
              </w:rPr>
              <w:fldChar w:fldCharType="separate"/>
            </w:r>
            <w:r w:rsidR="004140FC" w:rsidRPr="0059514F">
              <w:rPr>
                <w:rFonts w:ascii="Arial Narrow" w:eastAsiaTheme="minorHAnsi" w:hAnsi="Arial Narrow" w:cstheme="minorBidi"/>
                <w:noProof/>
                <w:sz w:val="20"/>
                <w:szCs w:val="20"/>
              </w:rPr>
              <w:t>(Shima et al 2016)</w:t>
            </w:r>
            <w:r w:rsidR="004140FC" w:rsidRPr="0059514F">
              <w:rPr>
                <w:rFonts w:ascii="Arial Narrow" w:eastAsiaTheme="minorHAnsi" w:hAnsi="Arial Narrow" w:cstheme="minorBidi"/>
                <w:sz w:val="20"/>
                <w:szCs w:val="20"/>
              </w:rPr>
              <w:fldChar w:fldCharType="end"/>
            </w:r>
            <w:r w:rsidRPr="0059514F">
              <w:rPr>
                <w:rFonts w:ascii="Arial Narrow" w:eastAsiaTheme="minorHAnsi" w:hAnsi="Arial Narrow" w:cstheme="minorBidi"/>
                <w:sz w:val="20"/>
                <w:szCs w:val="20"/>
              </w:rPr>
              <w:t>l /121934</w:t>
            </w:r>
          </w:p>
          <w:p w14:paraId="68C3BBE2"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2016</w:t>
            </w:r>
          </w:p>
          <w:p w14:paraId="380BAA3E" w14:textId="5ABE40E4"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Open</w:t>
            </w:r>
            <w:r w:rsidR="000E715D">
              <w:rPr>
                <w:rFonts w:ascii="Arial Narrow" w:eastAsiaTheme="minorHAnsi" w:hAnsi="Arial Narrow" w:cstheme="minorBidi"/>
                <w:sz w:val="20"/>
                <w:szCs w:val="20"/>
              </w:rPr>
              <w:t>-</w:t>
            </w:r>
            <w:r w:rsidR="003E173E" w:rsidRPr="0059514F">
              <w:rPr>
                <w:rFonts w:ascii="Arial Narrow" w:eastAsiaTheme="minorHAnsi" w:hAnsi="Arial Narrow" w:cstheme="minorBidi"/>
                <w:sz w:val="20"/>
                <w:szCs w:val="20"/>
              </w:rPr>
              <w:t>label</w:t>
            </w:r>
            <w:r w:rsidRPr="0059514F">
              <w:rPr>
                <w:rFonts w:ascii="Arial Narrow" w:eastAsiaTheme="minorHAnsi" w:hAnsi="Arial Narrow" w:cstheme="minorBidi"/>
                <w:sz w:val="20"/>
                <w:szCs w:val="20"/>
              </w:rPr>
              <w:t>, dose escalation study</w:t>
            </w:r>
          </w:p>
          <w:p w14:paraId="328ECE89"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Note: conference abstracts report on a 9.5 months extension of this study</w:t>
            </w:r>
          </w:p>
        </w:tc>
        <w:tc>
          <w:tcPr>
            <w:tcW w:w="1000" w:type="pct"/>
          </w:tcPr>
          <w:p w14:paraId="2B963896" w14:textId="46870775"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 xml:space="preserve">&gt; 12 years of age with severe haemophilia A </w:t>
            </w:r>
            <w:r w:rsidRPr="0059514F">
              <w:rPr>
                <w:rFonts w:ascii="Arial Narrow" w:eastAsiaTheme="minorHAnsi" w:hAnsi="Arial Narrow" w:cstheme="minorBidi"/>
                <w:b/>
                <w:sz w:val="20"/>
                <w:szCs w:val="20"/>
              </w:rPr>
              <w:t>with or without factor VIII inhibitors</w:t>
            </w:r>
            <w:r w:rsidRPr="0059514F">
              <w:rPr>
                <w:rFonts w:ascii="Arial Narrow" w:eastAsiaTheme="minorHAnsi" w:hAnsi="Arial Narrow" w:cstheme="minorBidi"/>
                <w:sz w:val="20"/>
                <w:szCs w:val="20"/>
              </w:rPr>
              <w:t>, patients without inhibitors had previously received regular factor VIII prophylaxis whil</w:t>
            </w:r>
            <w:r w:rsidR="003E173E" w:rsidRPr="0059514F">
              <w:rPr>
                <w:rFonts w:ascii="Arial Narrow" w:eastAsiaTheme="minorHAnsi" w:hAnsi="Arial Narrow" w:cstheme="minorBidi"/>
                <w:sz w:val="20"/>
                <w:szCs w:val="20"/>
              </w:rPr>
              <w:t>e</w:t>
            </w:r>
            <w:r w:rsidRPr="0059514F">
              <w:rPr>
                <w:rFonts w:ascii="Arial Narrow" w:eastAsiaTheme="minorHAnsi" w:hAnsi="Arial Narrow" w:cstheme="minorBidi"/>
                <w:sz w:val="20"/>
                <w:szCs w:val="20"/>
              </w:rPr>
              <w:t xml:space="preserve"> those with inhibitors had previously received episodic or regular BPAs and had ≥ 6 bleeds in the last 6 months</w:t>
            </w:r>
          </w:p>
        </w:tc>
        <w:tc>
          <w:tcPr>
            <w:tcW w:w="1301" w:type="pct"/>
          </w:tcPr>
          <w:p w14:paraId="18CBC2F1" w14:textId="19F7435D"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Cohort 1: emicizumab 1 mg/kg/week subcutaneously for 1 week (loading dose) followed by 0.3 mg/kg/week for 12 weeks in total (N=6)</w:t>
            </w:r>
          </w:p>
          <w:p w14:paraId="5E0268DA" w14:textId="2DEA3B7F"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Cohort 2: emicizumab 3 mg/kg/week subcutaneously for 1 week (loading dose) followed by 1 mg/kg/week for 12 weeks in total (N=6)</w:t>
            </w:r>
          </w:p>
          <w:p w14:paraId="01AD1224" w14:textId="77777777" w:rsidR="00EE7C36"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Cohort 3: emicizumab 3 mg/kg/week subcutaneously for 1 week (loading dose) followed by 3 mg/kg/week for 12 weeks in total (N=6)</w:t>
            </w:r>
          </w:p>
          <w:p w14:paraId="679DA2DA" w14:textId="77777777" w:rsidR="00D32C3E" w:rsidRDefault="00D32C3E" w:rsidP="00EE7C36">
            <w:pPr>
              <w:spacing w:after="60"/>
              <w:rPr>
                <w:rFonts w:ascii="Arial Narrow" w:eastAsiaTheme="minorHAnsi" w:hAnsi="Arial Narrow" w:cstheme="minorBidi"/>
                <w:sz w:val="20"/>
                <w:szCs w:val="20"/>
              </w:rPr>
            </w:pPr>
          </w:p>
          <w:p w14:paraId="4E5C5DE6" w14:textId="1C695F16" w:rsidR="00D32C3E" w:rsidRPr="0059514F" w:rsidRDefault="00D32C3E" w:rsidP="00EE7C36">
            <w:pPr>
              <w:spacing w:after="60"/>
              <w:rPr>
                <w:rFonts w:ascii="Arial Narrow" w:eastAsiaTheme="minorHAnsi" w:hAnsi="Arial Narrow" w:cstheme="minorBidi"/>
                <w:sz w:val="20"/>
                <w:szCs w:val="20"/>
              </w:rPr>
            </w:pPr>
          </w:p>
        </w:tc>
        <w:tc>
          <w:tcPr>
            <w:tcW w:w="1150" w:type="pct"/>
          </w:tcPr>
          <w:p w14:paraId="488B1CCB"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Effectiveness outcomes</w:t>
            </w:r>
          </w:p>
          <w:p w14:paraId="4FF3ED84" w14:textId="1B36FF16"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Emicizumab plasma concentrations and plasma anti-emicizumab antibodies</w:t>
            </w:r>
          </w:p>
          <w:p w14:paraId="5BEBB10D"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Safety outcomes</w:t>
            </w:r>
          </w:p>
          <w:p w14:paraId="5F854F79" w14:textId="34631D8C"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included adverse events, laboratory test results, vital signs, and 12-lead electrocardiograms</w:t>
            </w:r>
          </w:p>
          <w:p w14:paraId="1846BF48"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Exploratory outcomes</w:t>
            </w:r>
          </w:p>
          <w:p w14:paraId="6D24FD54" w14:textId="45F30F43"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Annuali</w:t>
            </w:r>
            <w:r w:rsidR="003E173E" w:rsidRPr="0059514F">
              <w:rPr>
                <w:rFonts w:ascii="Arial Narrow" w:eastAsiaTheme="minorHAnsi" w:hAnsi="Arial Narrow" w:cstheme="minorBidi"/>
                <w:sz w:val="20"/>
                <w:szCs w:val="20"/>
              </w:rPr>
              <w:t>s</w:t>
            </w:r>
            <w:r w:rsidRPr="0059514F">
              <w:rPr>
                <w:rFonts w:ascii="Arial Narrow" w:eastAsiaTheme="minorHAnsi" w:hAnsi="Arial Narrow" w:cstheme="minorBidi"/>
                <w:sz w:val="20"/>
                <w:szCs w:val="20"/>
              </w:rPr>
              <w:t>ed bleeding rate</w:t>
            </w:r>
          </w:p>
        </w:tc>
        <w:tc>
          <w:tcPr>
            <w:tcW w:w="861" w:type="pct"/>
          </w:tcPr>
          <w:p w14:paraId="3F1766FE" w14:textId="73732B0C"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Median annuali</w:t>
            </w:r>
            <w:r w:rsidR="003E173E" w:rsidRPr="0059514F">
              <w:rPr>
                <w:rFonts w:ascii="Arial Narrow" w:eastAsiaTheme="minorHAnsi" w:hAnsi="Arial Narrow" w:cstheme="minorBidi"/>
                <w:sz w:val="20"/>
                <w:szCs w:val="20"/>
              </w:rPr>
              <w:t>s</w:t>
            </w:r>
            <w:r w:rsidRPr="0059514F">
              <w:rPr>
                <w:rFonts w:ascii="Arial Narrow" w:eastAsiaTheme="minorHAnsi" w:hAnsi="Arial Narrow" w:cstheme="minorBidi"/>
                <w:sz w:val="20"/>
                <w:szCs w:val="20"/>
              </w:rPr>
              <w:t xml:space="preserve">ed bleeding rates decreased from 32.5 (range, 8.1 to 77.1) to 4.4 (range, 0.0 to 59.5) in cohort 1, from 18.3 (range, 10.1 to 38.6) to 0.0 (range, 0.0 to 4.3) in cohort 2, and from 15.2 (range, 0.0 to 32.5) to 0.0 (range, 0.0 to 4.2) in cohort </w:t>
            </w:r>
            <w:r w:rsidR="000E5F7E" w:rsidRPr="0059514F">
              <w:rPr>
                <w:rFonts w:ascii="Arial Narrow" w:eastAsiaTheme="minorHAnsi" w:hAnsi="Arial Narrow" w:cstheme="minorBidi"/>
                <w:sz w:val="20"/>
                <w:szCs w:val="20"/>
              </w:rPr>
              <w:t>3</w:t>
            </w:r>
          </w:p>
        </w:tc>
      </w:tr>
      <w:tr w:rsidR="00EE7C36" w:rsidRPr="0059514F" w14:paraId="45BA0120" w14:textId="77777777" w:rsidTr="00EE7C36">
        <w:trPr>
          <w:cantSplit/>
        </w:trPr>
        <w:tc>
          <w:tcPr>
            <w:tcW w:w="688" w:type="pct"/>
            <w:shd w:val="clear" w:color="auto" w:fill="F2F2F2" w:themeFill="background1" w:themeFillShade="F2"/>
          </w:tcPr>
          <w:p w14:paraId="74190C4B" w14:textId="77777777" w:rsidR="00EE7C36" w:rsidRPr="0059514F" w:rsidRDefault="00EE7C36" w:rsidP="00EE7C36">
            <w:pPr>
              <w:spacing w:after="60"/>
              <w:rPr>
                <w:rFonts w:ascii="Arial Narrow" w:eastAsiaTheme="minorHAnsi" w:hAnsi="Arial Narrow" w:cstheme="minorBidi"/>
                <w:b/>
                <w:sz w:val="20"/>
                <w:szCs w:val="20"/>
              </w:rPr>
            </w:pPr>
            <w:r w:rsidRPr="0059514F">
              <w:rPr>
                <w:rFonts w:ascii="Arial Narrow" w:eastAsiaTheme="minorHAnsi" w:hAnsi="Arial Narrow" w:cstheme="minorBidi"/>
                <w:b/>
                <w:sz w:val="20"/>
                <w:szCs w:val="20"/>
              </w:rPr>
              <w:lastRenderedPageBreak/>
              <w:t>Unpublished trials</w:t>
            </w:r>
          </w:p>
        </w:tc>
        <w:tc>
          <w:tcPr>
            <w:tcW w:w="1000" w:type="pct"/>
            <w:shd w:val="clear" w:color="auto" w:fill="F2F2F2" w:themeFill="background1" w:themeFillShade="F2"/>
          </w:tcPr>
          <w:p w14:paraId="7FF9812B" w14:textId="77777777" w:rsidR="00EE7C36" w:rsidRPr="0059514F" w:rsidRDefault="00EE7C36" w:rsidP="00EE7C36">
            <w:pPr>
              <w:spacing w:after="60"/>
              <w:rPr>
                <w:rFonts w:ascii="Arial Narrow" w:eastAsiaTheme="minorHAnsi" w:hAnsi="Arial Narrow" w:cstheme="minorBidi"/>
                <w:b/>
                <w:sz w:val="20"/>
                <w:szCs w:val="20"/>
              </w:rPr>
            </w:pPr>
          </w:p>
        </w:tc>
        <w:tc>
          <w:tcPr>
            <w:tcW w:w="1301" w:type="pct"/>
            <w:shd w:val="clear" w:color="auto" w:fill="F2F2F2" w:themeFill="background1" w:themeFillShade="F2"/>
          </w:tcPr>
          <w:p w14:paraId="21DD4C6E" w14:textId="77777777" w:rsidR="00EE7C36" w:rsidRPr="0059514F" w:rsidRDefault="00EE7C36" w:rsidP="00EE7C36">
            <w:pPr>
              <w:spacing w:after="60"/>
              <w:rPr>
                <w:rFonts w:ascii="Arial Narrow" w:eastAsiaTheme="minorHAnsi" w:hAnsi="Arial Narrow" w:cstheme="minorBidi"/>
                <w:b/>
                <w:sz w:val="20"/>
                <w:szCs w:val="20"/>
              </w:rPr>
            </w:pPr>
          </w:p>
        </w:tc>
        <w:tc>
          <w:tcPr>
            <w:tcW w:w="1150" w:type="pct"/>
            <w:shd w:val="clear" w:color="auto" w:fill="F2F2F2" w:themeFill="background1" w:themeFillShade="F2"/>
          </w:tcPr>
          <w:p w14:paraId="41C9CA8A" w14:textId="77777777" w:rsidR="00EE7C36" w:rsidRPr="0059514F" w:rsidRDefault="00EE7C36" w:rsidP="00EE7C36">
            <w:pPr>
              <w:spacing w:after="60"/>
              <w:rPr>
                <w:rFonts w:ascii="Arial Narrow" w:eastAsiaTheme="minorHAnsi" w:hAnsi="Arial Narrow" w:cstheme="minorBidi"/>
                <w:b/>
                <w:sz w:val="20"/>
                <w:szCs w:val="20"/>
              </w:rPr>
            </w:pPr>
          </w:p>
        </w:tc>
        <w:tc>
          <w:tcPr>
            <w:tcW w:w="861" w:type="pct"/>
            <w:shd w:val="clear" w:color="auto" w:fill="F2F2F2" w:themeFill="background1" w:themeFillShade="F2"/>
          </w:tcPr>
          <w:p w14:paraId="756BDAE9" w14:textId="77777777" w:rsidR="00EE7C36" w:rsidRPr="0059514F" w:rsidRDefault="00EE7C36" w:rsidP="00EE7C36">
            <w:pPr>
              <w:spacing w:after="60"/>
              <w:rPr>
                <w:rFonts w:ascii="Arial Narrow" w:eastAsiaTheme="minorHAnsi" w:hAnsi="Arial Narrow" w:cstheme="minorBidi"/>
                <w:b/>
                <w:sz w:val="20"/>
                <w:szCs w:val="20"/>
              </w:rPr>
            </w:pPr>
          </w:p>
        </w:tc>
      </w:tr>
      <w:tr w:rsidR="00EE7C36" w:rsidRPr="0059514F" w14:paraId="644A078E" w14:textId="77777777" w:rsidTr="00EE7C36">
        <w:trPr>
          <w:cantSplit/>
        </w:trPr>
        <w:tc>
          <w:tcPr>
            <w:tcW w:w="688" w:type="pct"/>
          </w:tcPr>
          <w:p w14:paraId="0BC9F26F"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HAVEN 3</w:t>
            </w:r>
          </w:p>
          <w:p w14:paraId="5D663C94" w14:textId="70E472DB" w:rsidR="00EE7C36" w:rsidRPr="0059514F" w:rsidRDefault="00D77E49" w:rsidP="00EE7C36">
            <w:pPr>
              <w:spacing w:after="60"/>
              <w:rPr>
                <w:rFonts w:ascii="Arial Narrow" w:eastAsiaTheme="minorHAnsi" w:hAnsi="Arial Narrow" w:cstheme="minorBidi"/>
                <w:sz w:val="20"/>
                <w:szCs w:val="20"/>
              </w:rPr>
            </w:pPr>
            <w:r>
              <w:rPr>
                <w:rFonts w:ascii="Arial Narrow" w:eastAsiaTheme="minorHAnsi" w:hAnsi="Arial Narrow" w:cstheme="minorBidi"/>
                <w:sz w:val="20"/>
                <w:szCs w:val="20"/>
                <w:highlight w:val="lightGray"/>
              </w:rPr>
              <w:t>REDACTED</w:t>
            </w:r>
          </w:p>
          <w:p w14:paraId="362ED2B5" w14:textId="70CCA805"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Open</w:t>
            </w:r>
            <w:r w:rsidR="003E173E" w:rsidRPr="0059514F">
              <w:rPr>
                <w:rFonts w:ascii="Arial Narrow" w:eastAsiaTheme="minorHAnsi" w:hAnsi="Arial Narrow" w:cstheme="minorBidi"/>
                <w:sz w:val="20"/>
                <w:szCs w:val="20"/>
              </w:rPr>
              <w:t>-</w:t>
            </w:r>
            <w:r w:rsidRPr="0059514F">
              <w:rPr>
                <w:rFonts w:ascii="Arial Narrow" w:eastAsiaTheme="minorHAnsi" w:hAnsi="Arial Narrow" w:cstheme="minorBidi"/>
                <w:sz w:val="20"/>
                <w:szCs w:val="20"/>
              </w:rPr>
              <w:t>label RCT</w:t>
            </w:r>
          </w:p>
        </w:tc>
        <w:tc>
          <w:tcPr>
            <w:tcW w:w="1000" w:type="pct"/>
          </w:tcPr>
          <w:p w14:paraId="3D563488" w14:textId="0319900D"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 xml:space="preserve">&gt;12 years of age, severe congenital </w:t>
            </w:r>
            <w:r w:rsidR="000E5F7E" w:rsidRPr="0059514F">
              <w:rPr>
                <w:rFonts w:ascii="Arial Narrow" w:eastAsiaTheme="minorHAnsi" w:hAnsi="Arial Narrow" w:cstheme="minorBidi"/>
                <w:sz w:val="20"/>
                <w:szCs w:val="20"/>
              </w:rPr>
              <w:t>h</w:t>
            </w:r>
            <w:r w:rsidR="00DF1C05" w:rsidRPr="0059514F">
              <w:rPr>
                <w:rFonts w:ascii="Arial Narrow" w:eastAsiaTheme="minorHAnsi" w:hAnsi="Arial Narrow" w:cstheme="minorBidi"/>
                <w:sz w:val="20"/>
                <w:szCs w:val="20"/>
              </w:rPr>
              <w:t>aemophilia</w:t>
            </w:r>
            <w:r w:rsidRPr="0059514F">
              <w:rPr>
                <w:rFonts w:ascii="Arial Narrow" w:eastAsiaTheme="minorHAnsi" w:hAnsi="Arial Narrow" w:cstheme="minorBidi"/>
                <w:sz w:val="20"/>
                <w:szCs w:val="20"/>
              </w:rPr>
              <w:t xml:space="preserve"> A without inhibitors to factor VIII who have previously received episodic treatment with factor VIII or prophylaxis with factor VIII (cohort 4 only)</w:t>
            </w:r>
          </w:p>
        </w:tc>
        <w:tc>
          <w:tcPr>
            <w:tcW w:w="1301" w:type="pct"/>
          </w:tcPr>
          <w:p w14:paraId="2F2A29E3"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Cohort 1: emicizumab 3 mg/kg/ week subcutaneously for 4 weeks, followed by 1.5 mg/kg/week up to maximum up to 2 years.</w:t>
            </w:r>
          </w:p>
          <w:p w14:paraId="7F95B331" w14:textId="2241B65C"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Cohort 2: emicizumab 3 mg/kg/ week subcutaneously for 4 weeks, followed by 3 mg/kg/</w:t>
            </w:r>
            <w:r w:rsidR="001F231E" w:rsidRPr="0059514F">
              <w:rPr>
                <w:rFonts w:ascii="Arial Narrow" w:eastAsiaTheme="minorHAnsi" w:hAnsi="Arial Narrow" w:cstheme="minorBidi"/>
                <w:sz w:val="20"/>
                <w:szCs w:val="20"/>
              </w:rPr>
              <w:t xml:space="preserve">every 2 </w:t>
            </w:r>
            <w:r w:rsidRPr="0059514F">
              <w:rPr>
                <w:rFonts w:ascii="Arial Narrow" w:eastAsiaTheme="minorHAnsi" w:hAnsi="Arial Narrow" w:cstheme="minorBidi"/>
                <w:sz w:val="20"/>
                <w:szCs w:val="20"/>
              </w:rPr>
              <w:t>week</w:t>
            </w:r>
            <w:r w:rsidR="001F231E" w:rsidRPr="0059514F">
              <w:rPr>
                <w:rFonts w:ascii="Arial Narrow" w:eastAsiaTheme="minorHAnsi" w:hAnsi="Arial Narrow" w:cstheme="minorBidi"/>
                <w:sz w:val="20"/>
                <w:szCs w:val="20"/>
              </w:rPr>
              <w:t>s</w:t>
            </w:r>
            <w:r w:rsidRPr="0059514F">
              <w:rPr>
                <w:rFonts w:ascii="Arial Narrow" w:eastAsiaTheme="minorHAnsi" w:hAnsi="Arial Narrow" w:cstheme="minorBidi"/>
                <w:sz w:val="20"/>
                <w:szCs w:val="20"/>
              </w:rPr>
              <w:t xml:space="preserve"> up to maximum up to 2 years.</w:t>
            </w:r>
          </w:p>
          <w:p w14:paraId="2D0854D0" w14:textId="13509B7F"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 xml:space="preserve">Cohort 3: episodic </w:t>
            </w:r>
            <w:r w:rsidR="00862E23" w:rsidRPr="0059514F">
              <w:rPr>
                <w:rFonts w:ascii="Arial Narrow" w:eastAsiaTheme="minorHAnsi" w:hAnsi="Arial Narrow" w:cstheme="minorBidi"/>
                <w:sz w:val="20"/>
                <w:szCs w:val="20"/>
              </w:rPr>
              <w:t>factor VIII</w:t>
            </w:r>
            <w:r w:rsidRPr="0059514F">
              <w:rPr>
                <w:rFonts w:ascii="Arial Narrow" w:eastAsiaTheme="minorHAnsi" w:hAnsi="Arial Narrow" w:cstheme="minorBidi"/>
                <w:sz w:val="20"/>
                <w:szCs w:val="20"/>
              </w:rPr>
              <w:t xml:space="preserve"> treatment with the opportunity to switch to emicizumab prophylaxis after 24 weeks on-study.</w:t>
            </w:r>
          </w:p>
          <w:p w14:paraId="30E48067" w14:textId="645139CC" w:rsidR="00EE7C36" w:rsidRPr="0059514F" w:rsidRDefault="00EE7C36" w:rsidP="000E5F7E">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Cohort 4: emicizumab 3 mg/kg/ week subcutaneously for 4 weeks, followed by 1.5 mg/kg/week up to maximum up to 2 years</w:t>
            </w:r>
          </w:p>
        </w:tc>
        <w:tc>
          <w:tcPr>
            <w:tcW w:w="1150" w:type="pct"/>
          </w:tcPr>
          <w:p w14:paraId="491EACEF"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Primary effectiveness</w:t>
            </w:r>
          </w:p>
          <w:p w14:paraId="38DD2B89"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Number of bleeds over time</w:t>
            </w:r>
          </w:p>
          <w:p w14:paraId="17DBF107"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Secondary effectiveness</w:t>
            </w:r>
          </w:p>
          <w:p w14:paraId="6BBA4D3E" w14:textId="1C3D9CC9"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 xml:space="preserve">Bleeding related </w:t>
            </w:r>
            <w:r w:rsidR="00DF1C05" w:rsidRPr="0059514F">
              <w:rPr>
                <w:rFonts w:ascii="Arial Narrow" w:eastAsiaTheme="minorHAnsi" w:hAnsi="Arial Narrow" w:cstheme="minorBidi"/>
                <w:sz w:val="20"/>
                <w:szCs w:val="20"/>
              </w:rPr>
              <w:t>endpoints</w:t>
            </w:r>
            <w:r w:rsidRPr="0059514F">
              <w:rPr>
                <w:rFonts w:ascii="Arial Narrow" w:eastAsiaTheme="minorHAnsi" w:hAnsi="Arial Narrow" w:cstheme="minorBidi"/>
                <w:sz w:val="20"/>
                <w:szCs w:val="20"/>
              </w:rPr>
              <w:t>, health</w:t>
            </w:r>
            <w:r w:rsidR="003E173E" w:rsidRPr="0059514F">
              <w:rPr>
                <w:rFonts w:ascii="Arial Narrow" w:eastAsiaTheme="minorHAnsi" w:hAnsi="Arial Narrow" w:cstheme="minorBidi"/>
                <w:sz w:val="20"/>
                <w:szCs w:val="20"/>
              </w:rPr>
              <w:t>-</w:t>
            </w:r>
            <w:r w:rsidRPr="0059514F">
              <w:rPr>
                <w:rFonts w:ascii="Arial Narrow" w:eastAsiaTheme="minorHAnsi" w:hAnsi="Arial Narrow" w:cstheme="minorBidi"/>
                <w:sz w:val="20"/>
                <w:szCs w:val="20"/>
              </w:rPr>
              <w:t>related quality of life</w:t>
            </w:r>
          </w:p>
          <w:p w14:paraId="65322A19"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Safety</w:t>
            </w:r>
          </w:p>
          <w:p w14:paraId="5085F48C"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adverse events, antidrug antibodies, inhibitor development</w:t>
            </w:r>
          </w:p>
          <w:p w14:paraId="3E03752D" w14:textId="77777777" w:rsidR="00EE7C36" w:rsidRPr="0059514F" w:rsidRDefault="00EE7C36" w:rsidP="00EE7C36">
            <w:pPr>
              <w:spacing w:after="60"/>
              <w:rPr>
                <w:rFonts w:ascii="Arial Narrow" w:eastAsiaTheme="minorHAnsi" w:hAnsi="Arial Narrow" w:cstheme="minorBidi"/>
                <w:sz w:val="20"/>
                <w:szCs w:val="20"/>
              </w:rPr>
            </w:pPr>
          </w:p>
        </w:tc>
        <w:tc>
          <w:tcPr>
            <w:tcW w:w="861" w:type="pct"/>
          </w:tcPr>
          <w:p w14:paraId="25B322C8"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NA</w:t>
            </w:r>
          </w:p>
        </w:tc>
      </w:tr>
      <w:tr w:rsidR="00EE7C36" w:rsidRPr="0059514F" w14:paraId="5E8D7F2F" w14:textId="77777777" w:rsidTr="00EE7C36">
        <w:trPr>
          <w:cantSplit/>
        </w:trPr>
        <w:tc>
          <w:tcPr>
            <w:tcW w:w="688" w:type="pct"/>
          </w:tcPr>
          <w:p w14:paraId="0710B592" w14:textId="6709C6E2"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HAVEN 2</w:t>
            </w:r>
          </w:p>
          <w:p w14:paraId="7CE50F96" w14:textId="21E9532D" w:rsidR="00975BE6" w:rsidRPr="0059514F" w:rsidRDefault="00975BE6" w:rsidP="00975BE6">
            <w:pPr>
              <w:spacing w:after="60"/>
              <w:rPr>
                <w:rFonts w:ascii="Arial Narrow" w:eastAsiaTheme="minorHAnsi" w:hAnsi="Arial Narrow" w:cstheme="minorBidi"/>
                <w:sz w:val="20"/>
                <w:szCs w:val="20"/>
              </w:rPr>
            </w:pPr>
            <w:r w:rsidRPr="00975BE6">
              <w:rPr>
                <w:rFonts w:ascii="Arial Narrow" w:eastAsiaTheme="minorHAnsi" w:hAnsi="Arial Narrow" w:cstheme="minorBidi"/>
                <w:sz w:val="20"/>
                <w:szCs w:val="20"/>
                <w:highlight w:val="lightGray"/>
              </w:rPr>
              <w:t>REDAC</w:t>
            </w:r>
            <w:r w:rsidR="00D77E49">
              <w:rPr>
                <w:rFonts w:ascii="Arial Narrow" w:eastAsiaTheme="minorHAnsi" w:hAnsi="Arial Narrow" w:cstheme="minorBidi"/>
                <w:sz w:val="20"/>
                <w:szCs w:val="20"/>
                <w:highlight w:val="lightGray"/>
              </w:rPr>
              <w:t>TED</w:t>
            </w:r>
          </w:p>
          <w:p w14:paraId="0519DE1F" w14:textId="41222FD7" w:rsidR="00EE7C36" w:rsidRPr="0059514F" w:rsidRDefault="00EE7C36" w:rsidP="001F231E">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Open</w:t>
            </w:r>
            <w:r w:rsidR="003E173E" w:rsidRPr="0059514F">
              <w:rPr>
                <w:rFonts w:ascii="Arial Narrow" w:eastAsiaTheme="minorHAnsi" w:hAnsi="Arial Narrow" w:cstheme="minorBidi"/>
                <w:sz w:val="20"/>
                <w:szCs w:val="20"/>
              </w:rPr>
              <w:t>-</w:t>
            </w:r>
            <w:r w:rsidRPr="0059514F">
              <w:rPr>
                <w:rFonts w:ascii="Arial Narrow" w:eastAsiaTheme="minorHAnsi" w:hAnsi="Arial Narrow" w:cstheme="minorBidi"/>
                <w:sz w:val="20"/>
                <w:szCs w:val="20"/>
              </w:rPr>
              <w:t>label, single arm study</w:t>
            </w:r>
          </w:p>
        </w:tc>
        <w:tc>
          <w:tcPr>
            <w:tcW w:w="1000" w:type="pct"/>
          </w:tcPr>
          <w:p w14:paraId="4C6AFA77" w14:textId="14908FB3" w:rsidR="00EE7C36" w:rsidRPr="0059514F" w:rsidRDefault="001B4A74" w:rsidP="001B4A74">
            <w:pPr>
              <w:spacing w:after="60"/>
              <w:rPr>
                <w:rFonts w:ascii="Arial Narrow" w:eastAsiaTheme="minorHAnsi" w:hAnsi="Arial Narrow" w:cstheme="minorBidi"/>
                <w:sz w:val="20"/>
                <w:szCs w:val="20"/>
              </w:rPr>
            </w:pPr>
            <w:r>
              <w:rPr>
                <w:rFonts w:ascii="Arial Narrow" w:eastAsiaTheme="minorHAnsi" w:hAnsi="Arial Narrow" w:cstheme="minorBidi"/>
                <w:sz w:val="20"/>
                <w:szCs w:val="20"/>
              </w:rPr>
              <w:t>C</w:t>
            </w:r>
            <w:r w:rsidR="00EE7C36" w:rsidRPr="0059514F">
              <w:rPr>
                <w:rFonts w:ascii="Arial Narrow" w:eastAsiaTheme="minorHAnsi" w:hAnsi="Arial Narrow" w:cstheme="minorBidi"/>
                <w:sz w:val="20"/>
                <w:szCs w:val="20"/>
              </w:rPr>
              <w:t xml:space="preserve">hildren (less than ≤12 years of age) and adolescents (12 to 17 years of age) with </w:t>
            </w:r>
            <w:r w:rsidR="00DF1C05" w:rsidRPr="0059514F">
              <w:rPr>
                <w:rFonts w:ascii="Arial Narrow" w:eastAsiaTheme="minorHAnsi" w:hAnsi="Arial Narrow" w:cstheme="minorBidi"/>
                <w:sz w:val="20"/>
                <w:szCs w:val="20"/>
              </w:rPr>
              <w:t>haemophilia</w:t>
            </w:r>
            <w:r w:rsidR="00EE7C36" w:rsidRPr="0059514F">
              <w:rPr>
                <w:rFonts w:ascii="Arial Narrow" w:eastAsiaTheme="minorHAnsi" w:hAnsi="Arial Narrow" w:cstheme="minorBidi"/>
                <w:sz w:val="20"/>
                <w:szCs w:val="20"/>
              </w:rPr>
              <w:t xml:space="preserve"> A and </w:t>
            </w:r>
            <w:r w:rsidR="00862E23" w:rsidRPr="0059514F">
              <w:rPr>
                <w:rFonts w:ascii="Arial Narrow" w:eastAsiaTheme="minorHAnsi" w:hAnsi="Arial Narrow" w:cstheme="minorBidi"/>
                <w:sz w:val="20"/>
                <w:szCs w:val="20"/>
              </w:rPr>
              <w:t>factor VIII</w:t>
            </w:r>
            <w:r w:rsidR="00EE7C36" w:rsidRPr="0059514F">
              <w:rPr>
                <w:rFonts w:ascii="Arial Narrow" w:eastAsiaTheme="minorHAnsi" w:hAnsi="Arial Narrow" w:cstheme="minorBidi"/>
                <w:sz w:val="20"/>
                <w:szCs w:val="20"/>
              </w:rPr>
              <w:t xml:space="preserve"> inhibitors who are currently receiving treatment with BPAs</w:t>
            </w:r>
          </w:p>
        </w:tc>
        <w:tc>
          <w:tcPr>
            <w:tcW w:w="1301" w:type="pct"/>
          </w:tcPr>
          <w:p w14:paraId="3F1791B4" w14:textId="1B233123" w:rsidR="00EE7C36" w:rsidRPr="0059514F" w:rsidRDefault="00EE7C36" w:rsidP="000E5F7E">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emicizumab 3 mg/kg/ week subcutaneously for 4 weeks, followed by 1.5 mg/kg/week up to maximum up to 52 years. From 12 weeks onwards, the dose can be increased from 1.5 to 2.25 mg/kg/week or from 2.25 to 3.0 mg/kg/week if the participant has developed ≥2 bleeds in 12 weeks from Week 5 or 9, respectively</w:t>
            </w:r>
          </w:p>
        </w:tc>
        <w:tc>
          <w:tcPr>
            <w:tcW w:w="1150" w:type="pct"/>
          </w:tcPr>
          <w:p w14:paraId="063D8481"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Primary effectiveness</w:t>
            </w:r>
          </w:p>
          <w:p w14:paraId="011101BD"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Number of bleeds over time</w:t>
            </w:r>
          </w:p>
          <w:p w14:paraId="047C5DF8"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Secondary effectiveness</w:t>
            </w:r>
          </w:p>
          <w:p w14:paraId="322DB050" w14:textId="633FEA78"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 xml:space="preserve">Bleeding related </w:t>
            </w:r>
            <w:r w:rsidR="00DF1C05" w:rsidRPr="0059514F">
              <w:rPr>
                <w:rFonts w:ascii="Arial Narrow" w:eastAsiaTheme="minorHAnsi" w:hAnsi="Arial Narrow" w:cstheme="minorBidi"/>
                <w:sz w:val="20"/>
                <w:szCs w:val="20"/>
              </w:rPr>
              <w:t>endpoints</w:t>
            </w:r>
            <w:r w:rsidRPr="0059514F">
              <w:rPr>
                <w:rFonts w:ascii="Arial Narrow" w:eastAsiaTheme="minorHAnsi" w:hAnsi="Arial Narrow" w:cstheme="minorBidi"/>
                <w:sz w:val="20"/>
                <w:szCs w:val="20"/>
              </w:rPr>
              <w:t>, health</w:t>
            </w:r>
            <w:r w:rsidR="003E173E" w:rsidRPr="0059514F">
              <w:rPr>
                <w:rFonts w:ascii="Arial Narrow" w:eastAsiaTheme="minorHAnsi" w:hAnsi="Arial Narrow" w:cstheme="minorBidi"/>
                <w:sz w:val="20"/>
                <w:szCs w:val="20"/>
              </w:rPr>
              <w:t>-</w:t>
            </w:r>
            <w:r w:rsidRPr="0059514F">
              <w:rPr>
                <w:rFonts w:ascii="Arial Narrow" w:eastAsiaTheme="minorHAnsi" w:hAnsi="Arial Narrow" w:cstheme="minorBidi"/>
                <w:sz w:val="20"/>
                <w:szCs w:val="20"/>
              </w:rPr>
              <w:t>related quality of life</w:t>
            </w:r>
          </w:p>
          <w:p w14:paraId="1DD1BB67"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Safety</w:t>
            </w:r>
          </w:p>
          <w:p w14:paraId="120F2172"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Not specified</w:t>
            </w:r>
          </w:p>
          <w:p w14:paraId="6982C507" w14:textId="77777777" w:rsidR="00EE7C36" w:rsidRPr="0059514F" w:rsidRDefault="00EE7C36" w:rsidP="00EE7C36">
            <w:pPr>
              <w:spacing w:after="60"/>
              <w:rPr>
                <w:rFonts w:ascii="Arial Narrow" w:eastAsiaTheme="minorHAnsi" w:hAnsi="Arial Narrow" w:cstheme="minorBidi"/>
                <w:sz w:val="20"/>
                <w:szCs w:val="20"/>
              </w:rPr>
            </w:pPr>
          </w:p>
        </w:tc>
        <w:tc>
          <w:tcPr>
            <w:tcW w:w="861" w:type="pct"/>
          </w:tcPr>
          <w:p w14:paraId="58CD7EFC"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NA</w:t>
            </w:r>
          </w:p>
        </w:tc>
      </w:tr>
      <w:tr w:rsidR="00EE7C36" w:rsidRPr="0059514F" w14:paraId="7EA990A1" w14:textId="77777777" w:rsidTr="00EE7C36">
        <w:trPr>
          <w:cantSplit/>
        </w:trPr>
        <w:tc>
          <w:tcPr>
            <w:tcW w:w="688" w:type="pct"/>
          </w:tcPr>
          <w:p w14:paraId="75550EA7"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HAVEN 4</w:t>
            </w:r>
          </w:p>
          <w:p w14:paraId="5B20220A" w14:textId="27A61859" w:rsidR="00EE7C36" w:rsidRPr="0059514F" w:rsidRDefault="00975BE6" w:rsidP="00EE7C36">
            <w:pPr>
              <w:spacing w:after="60"/>
              <w:rPr>
                <w:rFonts w:ascii="Arial Narrow" w:eastAsiaTheme="minorHAnsi" w:hAnsi="Arial Narrow" w:cstheme="minorBidi"/>
                <w:sz w:val="20"/>
                <w:szCs w:val="20"/>
              </w:rPr>
            </w:pPr>
            <w:r w:rsidRPr="00975BE6">
              <w:rPr>
                <w:rFonts w:ascii="Arial Narrow" w:eastAsiaTheme="minorHAnsi" w:hAnsi="Arial Narrow" w:cstheme="minorBidi"/>
                <w:sz w:val="20"/>
                <w:szCs w:val="20"/>
                <w:highlight w:val="lightGray"/>
              </w:rPr>
              <w:t>REDAC</w:t>
            </w:r>
            <w:r w:rsidR="00D77E49">
              <w:rPr>
                <w:rFonts w:ascii="Arial Narrow" w:eastAsiaTheme="minorHAnsi" w:hAnsi="Arial Narrow" w:cstheme="minorBidi"/>
                <w:sz w:val="20"/>
                <w:szCs w:val="20"/>
                <w:highlight w:val="lightGray"/>
              </w:rPr>
              <w:t>TED</w:t>
            </w:r>
          </w:p>
          <w:p w14:paraId="7AC6BFC2"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Open-label, two-stage study</w:t>
            </w:r>
          </w:p>
        </w:tc>
        <w:tc>
          <w:tcPr>
            <w:tcW w:w="1000" w:type="pct"/>
          </w:tcPr>
          <w:p w14:paraId="35B7656C"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 xml:space="preserve">Severe haemophilia A with or without inhibitors against factor VIII </w:t>
            </w:r>
          </w:p>
        </w:tc>
        <w:tc>
          <w:tcPr>
            <w:tcW w:w="1301" w:type="pct"/>
          </w:tcPr>
          <w:p w14:paraId="57BAA1F2" w14:textId="39D1462A"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Expansion arm: emicizumab 3 mg/kg/ week subcutaneously for 4 weeks, followed by 6 mg/kg/</w:t>
            </w:r>
            <w:r w:rsidR="001F231E" w:rsidRPr="0059514F">
              <w:rPr>
                <w:rFonts w:ascii="Arial Narrow" w:eastAsiaTheme="minorHAnsi" w:hAnsi="Arial Narrow" w:cstheme="minorBidi"/>
                <w:sz w:val="20"/>
                <w:szCs w:val="20"/>
              </w:rPr>
              <w:t xml:space="preserve">every 4 </w:t>
            </w:r>
            <w:r w:rsidRPr="0059514F">
              <w:rPr>
                <w:rFonts w:ascii="Arial Narrow" w:eastAsiaTheme="minorHAnsi" w:hAnsi="Arial Narrow" w:cstheme="minorBidi"/>
                <w:sz w:val="20"/>
                <w:szCs w:val="20"/>
              </w:rPr>
              <w:t>week</w:t>
            </w:r>
            <w:r w:rsidR="001F231E" w:rsidRPr="0059514F">
              <w:rPr>
                <w:rFonts w:ascii="Arial Narrow" w:eastAsiaTheme="minorHAnsi" w:hAnsi="Arial Narrow" w:cstheme="minorBidi"/>
                <w:sz w:val="20"/>
                <w:szCs w:val="20"/>
              </w:rPr>
              <w:t>s</w:t>
            </w:r>
            <w:r w:rsidRPr="0059514F">
              <w:rPr>
                <w:rFonts w:ascii="Arial Narrow" w:eastAsiaTheme="minorHAnsi" w:hAnsi="Arial Narrow" w:cstheme="minorBidi"/>
                <w:sz w:val="20"/>
                <w:szCs w:val="20"/>
              </w:rPr>
              <w:t xml:space="preserve"> for at least 24 weeks</w:t>
            </w:r>
          </w:p>
          <w:p w14:paraId="2DE3A638"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Run in arm: emicizumab at a dose of 6 mg/kg every 4 weeks for a minimum of 24 weeks</w:t>
            </w:r>
          </w:p>
        </w:tc>
        <w:tc>
          <w:tcPr>
            <w:tcW w:w="1150" w:type="pct"/>
          </w:tcPr>
          <w:p w14:paraId="116C7C00"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Primary effectiveness</w:t>
            </w:r>
          </w:p>
          <w:p w14:paraId="09DDD4AF"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Number of bleeds over time</w:t>
            </w:r>
          </w:p>
          <w:p w14:paraId="1E34F865"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Secondary effectiveness</w:t>
            </w:r>
          </w:p>
          <w:p w14:paraId="712A04B8" w14:textId="3D63B48A"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pharmacokinetics, health</w:t>
            </w:r>
            <w:r w:rsidR="003E173E" w:rsidRPr="0059514F">
              <w:rPr>
                <w:rFonts w:ascii="Arial Narrow" w:eastAsiaTheme="minorHAnsi" w:hAnsi="Arial Narrow" w:cstheme="minorBidi"/>
                <w:sz w:val="20"/>
                <w:szCs w:val="20"/>
              </w:rPr>
              <w:t>-</w:t>
            </w:r>
            <w:r w:rsidRPr="0059514F">
              <w:rPr>
                <w:rFonts w:ascii="Arial Narrow" w:eastAsiaTheme="minorHAnsi" w:hAnsi="Arial Narrow" w:cstheme="minorBidi"/>
                <w:sz w:val="20"/>
                <w:szCs w:val="20"/>
              </w:rPr>
              <w:t>related quality of life</w:t>
            </w:r>
          </w:p>
          <w:p w14:paraId="7403F25D"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Safety</w:t>
            </w:r>
          </w:p>
          <w:p w14:paraId="5675CCCD"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sz w:val="20"/>
                <w:szCs w:val="20"/>
              </w:rPr>
              <w:t>adverse events, antidrug antibodies</w:t>
            </w:r>
          </w:p>
        </w:tc>
        <w:tc>
          <w:tcPr>
            <w:tcW w:w="861" w:type="pct"/>
          </w:tcPr>
          <w:p w14:paraId="003EA76C"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NA</w:t>
            </w:r>
          </w:p>
        </w:tc>
      </w:tr>
      <w:tr w:rsidR="00EE7C36" w:rsidRPr="0059514F" w14:paraId="3DF022D5" w14:textId="77777777" w:rsidTr="00EE7C36">
        <w:trPr>
          <w:cantSplit/>
        </w:trPr>
        <w:tc>
          <w:tcPr>
            <w:tcW w:w="688" w:type="pct"/>
          </w:tcPr>
          <w:p w14:paraId="4A1E6BBF"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lastRenderedPageBreak/>
              <w:t>STASEY</w:t>
            </w:r>
          </w:p>
          <w:p w14:paraId="0C185ED3" w14:textId="19C3366A" w:rsidR="00EE7C36" w:rsidRPr="0059514F" w:rsidRDefault="00975BE6" w:rsidP="00EE7C36">
            <w:pPr>
              <w:spacing w:after="60"/>
              <w:rPr>
                <w:rFonts w:ascii="Arial Narrow" w:eastAsiaTheme="minorHAnsi" w:hAnsi="Arial Narrow" w:cstheme="minorBidi"/>
                <w:sz w:val="20"/>
                <w:szCs w:val="20"/>
              </w:rPr>
            </w:pPr>
            <w:r w:rsidRPr="00975BE6">
              <w:rPr>
                <w:rFonts w:ascii="Arial Narrow" w:eastAsiaTheme="minorHAnsi" w:hAnsi="Arial Narrow" w:cstheme="minorBidi"/>
                <w:sz w:val="20"/>
                <w:szCs w:val="20"/>
                <w:highlight w:val="lightGray"/>
              </w:rPr>
              <w:t>REDACT</w:t>
            </w:r>
          </w:p>
          <w:p w14:paraId="1DFA6F5D"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single arm, open-label safety and tolerability study</w:t>
            </w:r>
          </w:p>
        </w:tc>
        <w:tc>
          <w:tcPr>
            <w:tcW w:w="1000" w:type="pct"/>
          </w:tcPr>
          <w:p w14:paraId="2B8F0ACB"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&gt;12 years of age, congenital haemophilia A with persistent inhibitors against factor VIII and documented on-demand or prophylaxis with BPA within the last 6 months</w:t>
            </w:r>
          </w:p>
        </w:tc>
        <w:tc>
          <w:tcPr>
            <w:tcW w:w="1301" w:type="pct"/>
          </w:tcPr>
          <w:p w14:paraId="299DD694"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emicizumab 3 mg/kg/ week subcutaneously for 4 weeks, followed by 1.5 mg/kg/week up for two years in total</w:t>
            </w:r>
          </w:p>
        </w:tc>
        <w:tc>
          <w:tcPr>
            <w:tcW w:w="1150" w:type="pct"/>
          </w:tcPr>
          <w:p w14:paraId="273DB486"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Primary</w:t>
            </w:r>
          </w:p>
          <w:p w14:paraId="05433A78" w14:textId="7D1FAF9A"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Incidence and severity of adverse events</w:t>
            </w:r>
          </w:p>
          <w:p w14:paraId="7F26D380" w14:textId="77777777" w:rsidR="00EE7C36" w:rsidRPr="0059514F" w:rsidRDefault="00EE7C36" w:rsidP="00EE7C36">
            <w:pPr>
              <w:spacing w:after="60"/>
              <w:rPr>
                <w:rFonts w:ascii="Arial Narrow" w:eastAsiaTheme="minorHAnsi" w:hAnsi="Arial Narrow" w:cstheme="minorBidi"/>
                <w:i/>
                <w:sz w:val="20"/>
                <w:szCs w:val="20"/>
              </w:rPr>
            </w:pPr>
            <w:r w:rsidRPr="0059514F">
              <w:rPr>
                <w:rFonts w:ascii="Arial Narrow" w:eastAsiaTheme="minorHAnsi" w:hAnsi="Arial Narrow" w:cstheme="minorBidi"/>
                <w:i/>
                <w:sz w:val="20"/>
                <w:szCs w:val="20"/>
              </w:rPr>
              <w:t>Secondary</w:t>
            </w:r>
          </w:p>
          <w:p w14:paraId="0F8CC166" w14:textId="0D067094"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Bleeding related outcomes, pharmacokinetics, health</w:t>
            </w:r>
            <w:r w:rsidR="003E173E" w:rsidRPr="0059514F">
              <w:rPr>
                <w:rFonts w:ascii="Arial Narrow" w:eastAsiaTheme="minorHAnsi" w:hAnsi="Arial Narrow" w:cstheme="minorBidi"/>
                <w:sz w:val="20"/>
                <w:szCs w:val="20"/>
              </w:rPr>
              <w:t>-</w:t>
            </w:r>
            <w:r w:rsidRPr="0059514F">
              <w:rPr>
                <w:rFonts w:ascii="Arial Narrow" w:eastAsiaTheme="minorHAnsi" w:hAnsi="Arial Narrow" w:cstheme="minorBidi"/>
                <w:sz w:val="20"/>
                <w:szCs w:val="20"/>
              </w:rPr>
              <w:t>related quality of life, antidrug antibodies</w:t>
            </w:r>
          </w:p>
        </w:tc>
        <w:tc>
          <w:tcPr>
            <w:tcW w:w="861" w:type="pct"/>
          </w:tcPr>
          <w:p w14:paraId="25E42F1D"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NA</w:t>
            </w:r>
          </w:p>
        </w:tc>
      </w:tr>
      <w:tr w:rsidR="00EE7C36" w:rsidRPr="0059514F" w14:paraId="7BC594FF" w14:textId="77777777" w:rsidTr="00EE7C36">
        <w:trPr>
          <w:cantSplit/>
        </w:trPr>
        <w:tc>
          <w:tcPr>
            <w:tcW w:w="688" w:type="pct"/>
          </w:tcPr>
          <w:p w14:paraId="4075212B" w14:textId="43A0AF8A"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NCT03154437</w:t>
            </w:r>
          </w:p>
          <w:p w14:paraId="688635A7"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NR</w:t>
            </w:r>
          </w:p>
          <w:p w14:paraId="7FC528FF"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Open-label, expanded access program</w:t>
            </w:r>
          </w:p>
        </w:tc>
        <w:tc>
          <w:tcPr>
            <w:tcW w:w="1000" w:type="pct"/>
          </w:tcPr>
          <w:p w14:paraId="49C2BCF7" w14:textId="602EA7DA" w:rsidR="00EE7C36" w:rsidRPr="0059514F" w:rsidRDefault="00EE7C36" w:rsidP="00882D4A">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 xml:space="preserve">Congenital </w:t>
            </w:r>
            <w:r w:rsidR="00DF1C05" w:rsidRPr="0059514F">
              <w:rPr>
                <w:rFonts w:ascii="Arial Narrow" w:eastAsiaTheme="minorHAnsi" w:hAnsi="Arial Narrow" w:cstheme="minorBidi"/>
                <w:sz w:val="20"/>
                <w:szCs w:val="20"/>
              </w:rPr>
              <w:t>haemophilia</w:t>
            </w:r>
            <w:r w:rsidRPr="0059514F">
              <w:rPr>
                <w:rFonts w:ascii="Arial Narrow" w:eastAsiaTheme="minorHAnsi" w:hAnsi="Arial Narrow" w:cstheme="minorBidi"/>
                <w:sz w:val="20"/>
                <w:szCs w:val="20"/>
              </w:rPr>
              <w:t xml:space="preserve"> A of any severity and documented history of high-</w:t>
            </w:r>
            <w:r w:rsidR="00BB53F1" w:rsidRPr="0059514F">
              <w:rPr>
                <w:rFonts w:ascii="Arial Narrow" w:eastAsiaTheme="minorHAnsi" w:hAnsi="Arial Narrow" w:cstheme="minorBidi"/>
                <w:sz w:val="20"/>
                <w:szCs w:val="20"/>
              </w:rPr>
              <w:t>titre</w:t>
            </w:r>
            <w:r w:rsidRPr="0059514F">
              <w:rPr>
                <w:rFonts w:ascii="Arial Narrow" w:eastAsiaTheme="minorHAnsi" w:hAnsi="Arial Narrow" w:cstheme="minorBidi"/>
                <w:sz w:val="20"/>
                <w:szCs w:val="20"/>
              </w:rPr>
              <w:t xml:space="preserve"> inhibitor, history of treatment with </w:t>
            </w:r>
            <w:r w:rsidR="00882D4A" w:rsidRPr="0059514F">
              <w:rPr>
                <w:rFonts w:ascii="Arial Narrow" w:eastAsiaTheme="minorHAnsi" w:hAnsi="Arial Narrow" w:cstheme="minorBidi"/>
                <w:sz w:val="20"/>
                <w:szCs w:val="20"/>
              </w:rPr>
              <w:t xml:space="preserve">on-demand </w:t>
            </w:r>
            <w:r w:rsidRPr="0059514F">
              <w:rPr>
                <w:rFonts w:ascii="Arial Narrow" w:eastAsiaTheme="minorHAnsi" w:hAnsi="Arial Narrow" w:cstheme="minorBidi"/>
                <w:sz w:val="20"/>
                <w:szCs w:val="20"/>
              </w:rPr>
              <w:t xml:space="preserve">or prophylactic </w:t>
            </w:r>
            <w:r w:rsidR="00887604">
              <w:rPr>
                <w:rFonts w:ascii="Arial Narrow" w:eastAsiaTheme="minorHAnsi" w:hAnsi="Arial Narrow" w:cstheme="minorBidi"/>
                <w:sz w:val="20"/>
                <w:szCs w:val="20"/>
              </w:rPr>
              <w:t xml:space="preserve">BPAs </w:t>
            </w:r>
            <w:r w:rsidRPr="0059514F">
              <w:rPr>
                <w:rFonts w:ascii="Arial Narrow" w:eastAsiaTheme="minorHAnsi" w:hAnsi="Arial Narrow" w:cstheme="minorBidi"/>
                <w:sz w:val="20"/>
                <w:szCs w:val="20"/>
              </w:rPr>
              <w:t>for at least the last 24 weeks</w:t>
            </w:r>
          </w:p>
        </w:tc>
        <w:tc>
          <w:tcPr>
            <w:tcW w:w="1301" w:type="pct"/>
          </w:tcPr>
          <w:p w14:paraId="4ED83303"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emicizumab 3 mg/kg/ week subcutaneously for 4 weeks, followed by 1.5 mg/kg/week up until unacceptable toxicity or other reason for discontinuation</w:t>
            </w:r>
          </w:p>
        </w:tc>
        <w:tc>
          <w:tcPr>
            <w:tcW w:w="1150" w:type="pct"/>
          </w:tcPr>
          <w:p w14:paraId="5729C76A"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NR</w:t>
            </w:r>
          </w:p>
        </w:tc>
        <w:tc>
          <w:tcPr>
            <w:tcW w:w="861" w:type="pct"/>
          </w:tcPr>
          <w:p w14:paraId="78D418BA" w14:textId="77777777" w:rsidR="00EE7C36" w:rsidRPr="0059514F" w:rsidRDefault="00EE7C36" w:rsidP="00EE7C36">
            <w:pPr>
              <w:spacing w:after="60"/>
              <w:rPr>
                <w:rFonts w:ascii="Arial Narrow" w:eastAsiaTheme="minorHAnsi" w:hAnsi="Arial Narrow" w:cstheme="minorBidi"/>
                <w:sz w:val="20"/>
                <w:szCs w:val="20"/>
              </w:rPr>
            </w:pPr>
            <w:r w:rsidRPr="0059514F">
              <w:rPr>
                <w:rFonts w:ascii="Arial Narrow" w:eastAsiaTheme="minorHAnsi" w:hAnsi="Arial Narrow" w:cstheme="minorBidi"/>
                <w:sz w:val="20"/>
                <w:szCs w:val="20"/>
              </w:rPr>
              <w:t>NA</w:t>
            </w:r>
          </w:p>
        </w:tc>
      </w:tr>
    </w:tbl>
    <w:p w14:paraId="6706F4CF" w14:textId="22ADA986" w:rsidR="00202B92" w:rsidRPr="0059514F" w:rsidRDefault="00202B92" w:rsidP="00202B92">
      <w:pPr>
        <w:rPr>
          <w:rFonts w:ascii="Arial Narrow" w:hAnsi="Arial Narrow"/>
          <w:sz w:val="18"/>
          <w:szCs w:val="18"/>
        </w:rPr>
      </w:pPr>
      <w:r w:rsidRPr="0059514F">
        <w:rPr>
          <w:rFonts w:ascii="Arial Narrow" w:hAnsi="Arial Narrow"/>
          <w:sz w:val="18"/>
          <w:szCs w:val="18"/>
        </w:rPr>
        <w:t>* After at least 24 weeks of emicizumab prophylaxis, participants could continue taking maintenance therapy with 1.5 mg per kilogram weekly or, if they had had at least two spontaneous and clinically significant treated bleeding events in the past 24 weeks of emicizumab administration, both occurring after the end of the loading</w:t>
      </w:r>
      <w:r w:rsidR="003E173E" w:rsidRPr="0059514F">
        <w:rPr>
          <w:rFonts w:ascii="Arial Narrow" w:hAnsi="Arial Narrow"/>
          <w:sz w:val="18"/>
          <w:szCs w:val="18"/>
        </w:rPr>
        <w:t xml:space="preserve"> </w:t>
      </w:r>
      <w:r w:rsidRPr="0059514F">
        <w:rPr>
          <w:rFonts w:ascii="Arial Narrow" w:hAnsi="Arial Narrow"/>
          <w:sz w:val="18"/>
          <w:szCs w:val="18"/>
        </w:rPr>
        <w:t>dose period (termed “suboptimal control of bleeding”), start taking an increased dose of 3.0 mg per kilogram weekly.</w:t>
      </w:r>
    </w:p>
    <w:p w14:paraId="722F9735" w14:textId="42E926E9" w:rsidR="00EE7C36" w:rsidRPr="0059514F" w:rsidRDefault="00202B92" w:rsidP="00202B92">
      <w:pPr>
        <w:rPr>
          <w:rFonts w:ascii="Arial Narrow" w:hAnsi="Arial Narrow"/>
          <w:i/>
          <w:sz w:val="18"/>
          <w:szCs w:val="18"/>
        </w:rPr>
        <w:sectPr w:rsidR="00EE7C36" w:rsidRPr="0059514F" w:rsidSect="00EE7C36">
          <w:pgSz w:w="16838" w:h="11906" w:orient="landscape"/>
          <w:pgMar w:top="1440" w:right="1440" w:bottom="1440" w:left="1440" w:header="708" w:footer="708" w:gutter="0"/>
          <w:cols w:space="708"/>
          <w:docGrid w:linePitch="360"/>
        </w:sectPr>
      </w:pPr>
      <w:r w:rsidRPr="0059514F">
        <w:rPr>
          <w:rFonts w:ascii="Arial Narrow" w:hAnsi="Arial Narrow"/>
          <w:sz w:val="18"/>
          <w:szCs w:val="18"/>
        </w:rPr>
        <w:t xml:space="preserve">BPA = </w:t>
      </w:r>
      <w:r w:rsidR="00887604">
        <w:rPr>
          <w:rFonts w:ascii="Arial Narrow" w:hAnsi="Arial Narrow"/>
          <w:sz w:val="18"/>
          <w:szCs w:val="18"/>
        </w:rPr>
        <w:t>bypassing</w:t>
      </w:r>
      <w:r w:rsidRPr="0059514F">
        <w:rPr>
          <w:rFonts w:ascii="Arial Narrow" w:hAnsi="Arial Narrow"/>
          <w:sz w:val="18"/>
          <w:szCs w:val="18"/>
        </w:rPr>
        <w:t xml:space="preserve"> agent; NA = not applicable; NR = not reported</w:t>
      </w:r>
      <w:r w:rsidR="00DF1C05" w:rsidRPr="0059514F">
        <w:rPr>
          <w:rFonts w:ascii="Arial Narrow" w:hAnsi="Arial Narrow"/>
          <w:sz w:val="18"/>
          <w:szCs w:val="18"/>
        </w:rPr>
        <w:t>; RCT</w:t>
      </w:r>
      <w:r w:rsidRPr="0059514F">
        <w:rPr>
          <w:rFonts w:ascii="Arial Narrow" w:hAnsi="Arial Narrow"/>
          <w:sz w:val="18"/>
          <w:szCs w:val="18"/>
        </w:rPr>
        <w:t xml:space="preserve"> = randomised controlled trial</w:t>
      </w:r>
    </w:p>
    <w:p w14:paraId="08AF39E6" w14:textId="77777777" w:rsidR="00896845" w:rsidRPr="00E364F7" w:rsidRDefault="00896845" w:rsidP="00B339C0">
      <w:pPr>
        <w:pStyle w:val="Heading2"/>
      </w:pPr>
      <w:r w:rsidRPr="000C2612">
        <w:lastRenderedPageBreak/>
        <w:t>Outcomes</w:t>
      </w:r>
    </w:p>
    <w:p w14:paraId="40AFD499" w14:textId="7E0978E3" w:rsidR="00E21687" w:rsidRDefault="00E21687">
      <w:r>
        <w:t>The applicant has stated the following clinical claim “</w:t>
      </w:r>
      <w:r w:rsidRPr="00DA6B8C">
        <w:rPr>
          <w:i/>
        </w:rPr>
        <w:t xml:space="preserve">weekly subcutaneous emicizumab is associated with superior health outcomes for HMA patients with </w:t>
      </w:r>
      <w:r w:rsidR="00862E23">
        <w:rPr>
          <w:i/>
        </w:rPr>
        <w:t>factor VIII</w:t>
      </w:r>
      <w:r w:rsidRPr="00DA6B8C">
        <w:rPr>
          <w:i/>
        </w:rPr>
        <w:t xml:space="preserve"> inhibitors through improved efficacy (reduction in bleeds), improved convenience and acceptable safety over currently available treatments</w:t>
      </w:r>
      <w:r w:rsidR="001A7041" w:rsidRPr="00DA6B8C">
        <w:rPr>
          <w:i/>
        </w:rPr>
        <w:t>.</w:t>
      </w:r>
      <w:r w:rsidR="00133E5F">
        <w:t>”</w:t>
      </w:r>
      <w:r w:rsidR="001A7041">
        <w:t xml:space="preserve"> I</w:t>
      </w:r>
      <w:r>
        <w:t>n supporting this claim the applicant specifies the following relevant outcomes:</w:t>
      </w:r>
    </w:p>
    <w:p w14:paraId="71DEACB8" w14:textId="353661AC" w:rsidR="00E21687" w:rsidRPr="001D0A79" w:rsidRDefault="00E21687" w:rsidP="009F3150">
      <w:pPr>
        <w:pStyle w:val="Heading3"/>
      </w:pPr>
      <w:r w:rsidRPr="001D0A79">
        <w:t>Safety</w:t>
      </w:r>
    </w:p>
    <w:p w14:paraId="7EE039F4" w14:textId="15025268" w:rsidR="00E21687" w:rsidRDefault="00E21687" w:rsidP="00B339C0">
      <w:pPr>
        <w:pStyle w:val="ListParagraph"/>
        <w:numPr>
          <w:ilvl w:val="0"/>
          <w:numId w:val="8"/>
        </w:numPr>
      </w:pPr>
      <w:r w:rsidRPr="00E21687">
        <w:t>Incidence and severity of adverse events</w:t>
      </w:r>
    </w:p>
    <w:p w14:paraId="37D6598E" w14:textId="4A022B66" w:rsidR="00E21687" w:rsidRPr="001D0A79" w:rsidRDefault="00E21687" w:rsidP="009F3150">
      <w:pPr>
        <w:pStyle w:val="Heading3"/>
      </w:pPr>
      <w:r w:rsidRPr="001D0A79">
        <w:t>Primary effectiveness</w:t>
      </w:r>
    </w:p>
    <w:p w14:paraId="4550DB84" w14:textId="443DB2B9" w:rsidR="00E21687" w:rsidRDefault="00E21687" w:rsidP="00B339C0">
      <w:pPr>
        <w:pStyle w:val="ListParagraph"/>
        <w:numPr>
          <w:ilvl w:val="0"/>
          <w:numId w:val="8"/>
        </w:numPr>
      </w:pPr>
      <w:r w:rsidRPr="00E21687">
        <w:t>Reduction in number of bleeds over time (bleed rate)</w:t>
      </w:r>
    </w:p>
    <w:p w14:paraId="0061CA6E" w14:textId="77777777" w:rsidR="00E21687" w:rsidRPr="001D0A79" w:rsidRDefault="00E21687" w:rsidP="009F3150">
      <w:pPr>
        <w:pStyle w:val="Heading3"/>
      </w:pPr>
      <w:r w:rsidRPr="001D0A79">
        <w:t>Secondary endpoints</w:t>
      </w:r>
    </w:p>
    <w:p w14:paraId="778048AE" w14:textId="77777777" w:rsidR="00E21687" w:rsidRDefault="00E21687" w:rsidP="00B339C0">
      <w:pPr>
        <w:pStyle w:val="ListParagraph"/>
        <w:numPr>
          <w:ilvl w:val="0"/>
          <w:numId w:val="8"/>
        </w:numPr>
      </w:pPr>
      <w:r w:rsidRPr="00E21687">
        <w:t>Reduction of number of bleeds over time compared with the patien</w:t>
      </w:r>
      <w:r>
        <w:t>t’s historical bleed rate</w:t>
      </w:r>
    </w:p>
    <w:p w14:paraId="786E33D6" w14:textId="38C3D1DA" w:rsidR="00E21687" w:rsidRDefault="001D0A79" w:rsidP="00B339C0">
      <w:pPr>
        <w:pStyle w:val="ListParagraph"/>
        <w:numPr>
          <w:ilvl w:val="0"/>
          <w:numId w:val="8"/>
        </w:numPr>
      </w:pPr>
      <w:r>
        <w:t>R</w:t>
      </w:r>
      <w:r w:rsidR="00E21687" w:rsidRPr="00E21687">
        <w:t>eduction in n</w:t>
      </w:r>
      <w:r w:rsidR="00E21687">
        <w:t>umber of joint bleeds over time</w:t>
      </w:r>
    </w:p>
    <w:p w14:paraId="1C7FA8C8" w14:textId="4FEE4318" w:rsidR="00E21687" w:rsidRDefault="001D0A79" w:rsidP="00B339C0">
      <w:pPr>
        <w:pStyle w:val="ListParagraph"/>
        <w:numPr>
          <w:ilvl w:val="0"/>
          <w:numId w:val="8"/>
        </w:numPr>
      </w:pPr>
      <w:r>
        <w:t>R</w:t>
      </w:r>
      <w:r w:rsidR="00E21687" w:rsidRPr="00E21687">
        <w:t>eduction in number of target joint bleeds over time</w:t>
      </w:r>
    </w:p>
    <w:p w14:paraId="73B3F721" w14:textId="067B2012" w:rsidR="00E21687" w:rsidRDefault="001D0A79" w:rsidP="00B339C0">
      <w:pPr>
        <w:pStyle w:val="ListParagraph"/>
        <w:numPr>
          <w:ilvl w:val="0"/>
          <w:numId w:val="8"/>
        </w:numPr>
      </w:pPr>
      <w:r>
        <w:t>H</w:t>
      </w:r>
      <w:r w:rsidR="00E21687" w:rsidRPr="00E21687">
        <w:t>ealth-related quality of life</w:t>
      </w:r>
    </w:p>
    <w:p w14:paraId="647BEBC3" w14:textId="3C8A0B56" w:rsidR="00E65FF7" w:rsidRDefault="00E65FF7" w:rsidP="00AA452E">
      <w:r>
        <w:t xml:space="preserve">These outcomes are considered equally relevant to </w:t>
      </w:r>
      <w:r w:rsidRPr="00081551">
        <w:rPr>
          <w:b/>
        </w:rPr>
        <w:t xml:space="preserve">population </w:t>
      </w:r>
      <w:r w:rsidR="005B4506">
        <w:rPr>
          <w:b/>
        </w:rPr>
        <w:t>two</w:t>
      </w:r>
      <w:r w:rsidR="005B4506">
        <w:t>;</w:t>
      </w:r>
      <w:r>
        <w:t xml:space="preserve"> however, no formal application </w:t>
      </w:r>
      <w:r w:rsidR="005B4506">
        <w:t>for</w:t>
      </w:r>
      <w:r>
        <w:t xml:space="preserve"> this population has yet been received and PASC may wish to revisit this issue if</w:t>
      </w:r>
      <w:r w:rsidR="005B4506">
        <w:t>,</w:t>
      </w:r>
      <w:r>
        <w:t xml:space="preserve"> and when</w:t>
      </w:r>
      <w:r w:rsidR="005B4506">
        <w:t>,</w:t>
      </w:r>
      <w:r>
        <w:t xml:space="preserve"> such a submission is received.</w:t>
      </w:r>
    </w:p>
    <w:p w14:paraId="42147CCB" w14:textId="19DA579E" w:rsidR="001A7041" w:rsidRDefault="001D0A79" w:rsidP="00AA452E">
      <w:r w:rsidRPr="00316EB5">
        <w:t xml:space="preserve">Prophylaxis is the </w:t>
      </w:r>
      <w:r w:rsidR="005B4506">
        <w:t xml:space="preserve">routine </w:t>
      </w:r>
      <w:r w:rsidRPr="00316EB5">
        <w:t xml:space="preserve">use of </w:t>
      </w:r>
      <w:r w:rsidR="005B4506">
        <w:t xml:space="preserve">a replacement FVIII or </w:t>
      </w:r>
      <w:r w:rsidR="00887604">
        <w:t>BPA</w:t>
      </w:r>
      <w:r w:rsidR="005B4506">
        <w:t xml:space="preserve"> </w:t>
      </w:r>
      <w:r w:rsidRPr="00316EB5">
        <w:t>to prevent or reduce bleeding episodes</w:t>
      </w:r>
      <w:r>
        <w:t>. If this is achieved then patients could also expect a protective effect on joint health or a slower progression of joint damage, improved ability to participate in social activities and the workforce and thereby improved overall phys</w:t>
      </w:r>
      <w:r w:rsidR="005B4506">
        <w:t xml:space="preserve">ical and psychological health. </w:t>
      </w:r>
      <w:r>
        <w:t xml:space="preserve">The outcomes suggested by the applicant speak to these </w:t>
      </w:r>
      <w:r w:rsidR="00133E5F">
        <w:t>potential benefits</w:t>
      </w:r>
      <w:r>
        <w:t>.</w:t>
      </w:r>
    </w:p>
    <w:p w14:paraId="0A2A196E" w14:textId="013E960D" w:rsidR="006A6ADA" w:rsidRDefault="0032322C" w:rsidP="00F26CAC">
      <w:r>
        <w:t xml:space="preserve">The applicant has clarified that clinician input </w:t>
      </w:r>
      <w:r w:rsidR="00CF1D7B">
        <w:t>suggests</w:t>
      </w:r>
      <w:r>
        <w:t xml:space="preserve"> that </w:t>
      </w:r>
      <w:r w:rsidRPr="0032322C">
        <w:t>a 20-25</w:t>
      </w:r>
      <w:r w:rsidR="00CF1D7B">
        <w:t xml:space="preserve"> per cent</w:t>
      </w:r>
      <w:r w:rsidRPr="0032322C">
        <w:t xml:space="preserve"> reduction in bleed rates between prophylactic regimens would be considered clinically meaningful. Additionally, the absence of bleeding</w:t>
      </w:r>
      <w:r w:rsidR="006A6ADA">
        <w:t xml:space="preserve"> at the patient level would be considered particularly meaningful</w:t>
      </w:r>
      <w:r w:rsidRPr="0032322C">
        <w:t>.</w:t>
      </w:r>
      <w:r w:rsidR="006A6ADA">
        <w:t xml:space="preserve"> In the absence of published literature </w:t>
      </w:r>
      <w:r w:rsidR="00CF1D7B">
        <w:t xml:space="preserve">defining </w:t>
      </w:r>
      <w:r w:rsidR="00CF1D7B" w:rsidRPr="001D0A79">
        <w:t>criteria</w:t>
      </w:r>
      <w:r w:rsidR="001D0A79" w:rsidRPr="001D0A79">
        <w:t xml:space="preserve"> for superiority </w:t>
      </w:r>
      <w:r w:rsidR="001D0A79">
        <w:t xml:space="preserve">in terms of effectiveness or a </w:t>
      </w:r>
      <w:r w:rsidR="00F26CAC">
        <w:t>m</w:t>
      </w:r>
      <w:r w:rsidR="00AA452E" w:rsidRPr="00AA452E">
        <w:t xml:space="preserve">inimally </w:t>
      </w:r>
      <w:r w:rsidR="00F26CAC">
        <w:t>c</w:t>
      </w:r>
      <w:r w:rsidR="00AA452E" w:rsidRPr="00AA452E">
        <w:t xml:space="preserve">linically </w:t>
      </w:r>
      <w:r w:rsidR="00F26CAC">
        <w:t>i</w:t>
      </w:r>
      <w:r w:rsidR="00AA452E" w:rsidRPr="00AA452E">
        <w:t xml:space="preserve">mportant </w:t>
      </w:r>
      <w:r w:rsidR="00F26CAC">
        <w:t>d</w:t>
      </w:r>
      <w:r w:rsidR="00AA452E" w:rsidRPr="00AA452E">
        <w:t>ifference</w:t>
      </w:r>
      <w:r w:rsidR="00133E5F">
        <w:rPr>
          <w:rStyle w:val="FootnoteReference"/>
        </w:rPr>
        <w:footnoteReference w:id="10"/>
      </w:r>
      <w:r w:rsidR="00133E5F">
        <w:t xml:space="preserve"> for relevant </w:t>
      </w:r>
      <w:r w:rsidR="00F26CAC">
        <w:t>outcomes</w:t>
      </w:r>
      <w:r w:rsidR="006A6ADA">
        <w:t xml:space="preserve"> these are suggested as indicators of significant patient-relevant benefit.</w:t>
      </w:r>
      <w:r w:rsidR="00933D6F">
        <w:t xml:space="preserve"> PASC agreed that both outcomes are clinically meaningful and could be accepted as a minimally clinically important </w:t>
      </w:r>
      <w:r w:rsidR="000B1C03">
        <w:t>difference.</w:t>
      </w:r>
    </w:p>
    <w:p w14:paraId="30E43CF5" w14:textId="6908B813" w:rsidR="00133E5F" w:rsidRDefault="00C16867" w:rsidP="00F26CAC">
      <w:r>
        <w:t xml:space="preserve">Criteria for </w:t>
      </w:r>
      <w:r w:rsidR="00133E5F">
        <w:t xml:space="preserve">concluding </w:t>
      </w:r>
      <w:r>
        <w:t xml:space="preserve">superiority relative to each appropriate comparator should be specified </w:t>
      </w:r>
      <w:r w:rsidR="006A6ADA">
        <w:t xml:space="preserve">at the assessment phase </w:t>
      </w:r>
      <w:r>
        <w:t>in order to support the clinical claim associated with emicizumab.</w:t>
      </w:r>
      <w:r w:rsidR="00F26CAC">
        <w:t xml:space="preserve"> In the absence of a pre-specified superiority criteria (e.g. </w:t>
      </w:r>
      <w:r w:rsidR="006A6ADA">
        <w:t>20</w:t>
      </w:r>
      <w:r w:rsidR="00F26CAC">
        <w:t>% or more reduction in the bleeding rate compared to x) superiority should be tested with a point estimate and 95% confidence intervals relative to the null hypothesis that t</w:t>
      </w:r>
      <w:r w:rsidR="00F26CAC" w:rsidRPr="00F26CAC">
        <w:rPr>
          <w:i/>
        </w:rPr>
        <w:t>here is no difference between the compared alternatives</w:t>
      </w:r>
      <w:r w:rsidR="00F26CAC">
        <w:t>. To conclude superiority the 95% confidence interval should exclude the possibility that there is no difference between the compared strategies.</w:t>
      </w:r>
    </w:p>
    <w:p w14:paraId="4E43C771" w14:textId="19471EAF" w:rsidR="0090717B" w:rsidRPr="0090717B" w:rsidRDefault="0090717B" w:rsidP="009F3150">
      <w:pPr>
        <w:pStyle w:val="Heading3"/>
      </w:pPr>
      <w:r w:rsidRPr="0090717B">
        <w:lastRenderedPageBreak/>
        <w:t>Other relevant considerations</w:t>
      </w:r>
    </w:p>
    <w:p w14:paraId="2F6444CA" w14:textId="0E8A8F3E" w:rsidR="00E3626D" w:rsidRDefault="00E3626D" w:rsidP="001A7041">
      <w:r>
        <w:t>Reduction</w:t>
      </w:r>
      <w:r w:rsidR="002F4AFD" w:rsidRPr="002F4AFD">
        <w:t xml:space="preserve"> in number of bleeds over time can be measured using a range of definitions, the most common being absolute number of bleeding, annuali</w:t>
      </w:r>
      <w:r w:rsidR="003E173E">
        <w:t>s</w:t>
      </w:r>
      <w:r w:rsidR="002F4AFD" w:rsidRPr="002F4AFD">
        <w:t xml:space="preserve">ed bleeding rate and bleeds per month (Chai-Adisaksopha et al 2015). In particular, the annualised bleeding rate is often the primary outcome in clinical studies involving prophylaxis regimens and has been used previously to establish the superiority of prophylaxis in comparison with on-demand therapy. </w:t>
      </w:r>
      <w:r w:rsidR="00C16867">
        <w:t>Lessinger et al</w:t>
      </w:r>
      <w:r w:rsidR="001A7041">
        <w:t xml:space="preserve"> </w:t>
      </w:r>
      <w:r w:rsidR="00133E5F">
        <w:fldChar w:fldCharType="begin">
          <w:fldData xml:space="preserve">PEVuZE5vdGU+PENpdGUgRXhjbHVkZUF1dGg9IjEiPjxBdXRob3I+TGVpc3NpbmdlcjwvQXV0aG9y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ci0xPjwvYWx0LXBlcmlvZGljYWw+PHBhZ2VzPjE2ODQtOTI8L3BhZ2VzPjx2b2x1bWU+MzY1PC92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</w:fldData>
        </w:fldChar>
      </w:r>
      <w:r w:rsidR="00DF30B8">
        <w:instrText xml:space="preserve"> ADDIN EN.CITE </w:instrText>
      </w:r>
      <w:r w:rsidR="00DF30B8">
        <w:fldChar w:fldCharType="begin">
          <w:fldData xml:space="preserve">PEVuZE5vdGU+PENpdGUgRXhjbHVkZUF1dGg9IjEiPjxBdXRob3I+TGVpc3NpbmdlcjwvQXV0aG9y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ci0xPjwvYWx0LXBlcmlvZGljYWw+PHBhZ2VzPjE2ODQtOTI8L3BhZ2VzPjx2b2x1bWU+MzY1PC92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</w:fldData>
        </w:fldChar>
      </w:r>
      <w:r w:rsidR="00DF30B8">
        <w:instrText xml:space="preserve"> ADDIN EN.CITE.DATA </w:instrText>
      </w:r>
      <w:r w:rsidR="00DF30B8">
        <w:fldChar w:fldCharType="end"/>
      </w:r>
      <w:r w:rsidR="00133E5F">
        <w:fldChar w:fldCharType="separate"/>
      </w:r>
      <w:r w:rsidR="002F4AFD">
        <w:rPr>
          <w:noProof/>
        </w:rPr>
        <w:t>(2011)</w:t>
      </w:r>
      <w:r w:rsidR="00133E5F">
        <w:fldChar w:fldCharType="end"/>
      </w:r>
      <w:r w:rsidR="00C16867">
        <w:t xml:space="preserve"> defined prophylaxis success as ≥ 50% reduction in bleeding events from the on‐demand period to the prophylaxis period, i.e., a Prophylaxis Effect Ratio ≥ 50% although what proportion of patients would need to experience this for superiority to be determined was not defined.</w:t>
      </w:r>
    </w:p>
    <w:p w14:paraId="191F4291" w14:textId="74A5E4EF" w:rsidR="001A7041" w:rsidRDefault="00C16867" w:rsidP="001A7041">
      <w:r>
        <w:t>Relative to prophylaxis with BPAs</w:t>
      </w:r>
      <w:r w:rsidR="002F4AFD">
        <w:t xml:space="preserve"> </w:t>
      </w:r>
      <w:r>
        <w:t xml:space="preserve">it is expected that </w:t>
      </w:r>
      <w:r w:rsidR="001A7041">
        <w:t>the difference in bleeding with BPAs and emicizumab would be smaller than when compared to on-demand therapy and therefore it may be sufficient to detect a statistically significan</w:t>
      </w:r>
      <w:r w:rsidR="002F4AFD">
        <w:t xml:space="preserve">t difference in bleeding rates to conclude superiority. Clinical input on the appropriate criteria for determining superiority </w:t>
      </w:r>
      <w:r w:rsidR="006A6ADA">
        <w:t xml:space="preserve">at the assessment phase is </w:t>
      </w:r>
      <w:r w:rsidR="00DF1C05">
        <w:t>advisable</w:t>
      </w:r>
      <w:r w:rsidR="002F4AFD">
        <w:t>.</w:t>
      </w:r>
    </w:p>
    <w:p w14:paraId="0977C854" w14:textId="38015A49" w:rsidR="001A7041" w:rsidRDefault="002F4AFD" w:rsidP="00082656">
      <w:r>
        <w:t>B</w:t>
      </w:r>
      <w:r w:rsidR="001A7041">
        <w:t xml:space="preserve">leeding rates typically account only for frequency of bleeding and do not necessarily provide information about the functional limitations that may result from bleeding </w:t>
      </w:r>
      <w:r w:rsidR="001A7041">
        <w:fldChar w:fldCharType="begin">
          <w:fldData xml:space="preserve">PEVuZE5vdGU+PENpdGU+PEF1dGhvcj5SZWNodDwvQXV0aG9yPjxZZWFyPjIwMTY8L1llYXI+PFJl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</w:fldData>
        </w:fldChar>
      </w:r>
      <w:r w:rsidR="00DF30B8" w:rsidRPr="003E173E">
        <w:instrText xml:space="preserve"> ADDIN EN.CITE </w:instrText>
      </w:r>
      <w:r w:rsidR="00DF30B8" w:rsidRPr="003E173E">
        <w:fldChar w:fldCharType="begin">
          <w:fldData xml:space="preserve">PEVuZE5vdGU+PENpdGU+PEF1dGhvcj5SZWNodDwvQXV0aG9yPjxZZWFyPjIwMTY8L1llYXI+PFJl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</w:fldData>
        </w:fldChar>
      </w:r>
      <w:r w:rsidR="00DF30B8" w:rsidRPr="003E173E">
        <w:instrText xml:space="preserve"> ADDIN EN.CITE.DATA </w:instrText>
      </w:r>
      <w:r w:rsidR="00DF30B8" w:rsidRPr="003E173E">
        <w:fldChar w:fldCharType="end"/>
      </w:r>
      <w:r w:rsidR="001A7041">
        <w:fldChar w:fldCharType="separate"/>
      </w:r>
      <w:r w:rsidR="001A7041">
        <w:rPr>
          <w:noProof/>
        </w:rPr>
        <w:t>(Recht et al 2016)</w:t>
      </w:r>
      <w:r w:rsidR="001A7041">
        <w:fldChar w:fldCharType="end"/>
      </w:r>
      <w:r w:rsidR="001A7041">
        <w:t>.</w:t>
      </w:r>
      <w:r>
        <w:t xml:space="preserve"> </w:t>
      </w:r>
      <w:r w:rsidR="001D0A79">
        <w:t>Additional patient-relevant outcomes that may be of interest include</w:t>
      </w:r>
      <w:r w:rsidR="00082656">
        <w:t>:</w:t>
      </w:r>
    </w:p>
    <w:p w14:paraId="4AAF3071" w14:textId="61231DA4" w:rsidR="001D0A79" w:rsidRDefault="001D0A79" w:rsidP="00B339C0">
      <w:pPr>
        <w:pStyle w:val="ListParagraph"/>
        <w:numPr>
          <w:ilvl w:val="0"/>
          <w:numId w:val="7"/>
        </w:numPr>
      </w:pPr>
      <w:r>
        <w:t xml:space="preserve">Overall number of bleeds per month/year </w:t>
      </w:r>
      <w:r w:rsidR="00DF1C05">
        <w:t>etc.</w:t>
      </w:r>
    </w:p>
    <w:p w14:paraId="3DE24794" w14:textId="25C72905" w:rsidR="001D0A79" w:rsidRDefault="001D0A79" w:rsidP="00B339C0">
      <w:pPr>
        <w:pStyle w:val="ListParagraph"/>
        <w:numPr>
          <w:ilvl w:val="0"/>
          <w:numId w:val="7"/>
        </w:numPr>
      </w:pPr>
      <w:r>
        <w:t>Number of treated bleeds per month/year etc</w:t>
      </w:r>
      <w:r w:rsidR="00A54C6F">
        <w:t>.</w:t>
      </w:r>
    </w:p>
    <w:p w14:paraId="2CE0BB27" w14:textId="7D12030B" w:rsidR="001D0A79" w:rsidRDefault="00784E52" w:rsidP="00B339C0">
      <w:pPr>
        <w:pStyle w:val="ListParagraph"/>
        <w:numPr>
          <w:ilvl w:val="0"/>
          <w:numId w:val="7"/>
        </w:numPr>
      </w:pPr>
      <w:r>
        <w:t>Joint bleeding/</w:t>
      </w:r>
      <w:r w:rsidR="001D0A79">
        <w:t>h</w:t>
      </w:r>
      <w:r>
        <w:t>ae</w:t>
      </w:r>
      <w:r w:rsidR="001D0A79">
        <w:t>marthrosis rate per month/year etc</w:t>
      </w:r>
      <w:r w:rsidR="00A54C6F">
        <w:t>.</w:t>
      </w:r>
    </w:p>
    <w:p w14:paraId="3B711BB9" w14:textId="415E63B0" w:rsidR="00A54C6F" w:rsidRDefault="00A54C6F" w:rsidP="00B339C0">
      <w:pPr>
        <w:pStyle w:val="ListParagraph"/>
        <w:numPr>
          <w:ilvl w:val="0"/>
          <w:numId w:val="7"/>
        </w:numPr>
      </w:pPr>
      <w:r>
        <w:t>Number of patients with zero treated bleeds</w:t>
      </w:r>
    </w:p>
    <w:p w14:paraId="0463FFA3" w14:textId="5D2326E2" w:rsidR="00AA452E" w:rsidRDefault="00AA452E" w:rsidP="00B339C0">
      <w:pPr>
        <w:pStyle w:val="ListParagraph"/>
        <w:numPr>
          <w:ilvl w:val="0"/>
          <w:numId w:val="7"/>
        </w:numPr>
      </w:pPr>
      <w:r w:rsidRPr="00AA452E">
        <w:t>Joint health outcomes</w:t>
      </w:r>
    </w:p>
    <w:p w14:paraId="363026AD" w14:textId="2897A50A" w:rsidR="00AA452E" w:rsidRDefault="00AA452E" w:rsidP="00B339C0">
      <w:pPr>
        <w:pStyle w:val="ListParagraph"/>
        <w:numPr>
          <w:ilvl w:val="0"/>
          <w:numId w:val="7"/>
        </w:numPr>
      </w:pPr>
      <w:r w:rsidRPr="00AA452E">
        <w:t xml:space="preserve">Chronic pain associated with </w:t>
      </w:r>
      <w:r w:rsidR="001A7041" w:rsidRPr="00AA452E">
        <w:t>haemophilia</w:t>
      </w:r>
    </w:p>
    <w:p w14:paraId="44789E76" w14:textId="1B4C937F" w:rsidR="001D0A79" w:rsidRDefault="001D0A79" w:rsidP="00B339C0">
      <w:pPr>
        <w:pStyle w:val="ListParagraph"/>
        <w:numPr>
          <w:ilvl w:val="0"/>
          <w:numId w:val="7"/>
        </w:numPr>
      </w:pPr>
      <w:r>
        <w:t>Development of new target joints</w:t>
      </w:r>
    </w:p>
    <w:p w14:paraId="6263DFCB" w14:textId="40738F8E" w:rsidR="001D0A79" w:rsidRDefault="001D0A79" w:rsidP="00B339C0">
      <w:pPr>
        <w:pStyle w:val="ListParagraph"/>
        <w:numPr>
          <w:ilvl w:val="0"/>
          <w:numId w:val="7"/>
        </w:numPr>
      </w:pPr>
      <w:r>
        <w:t>Outcome of treated bleeds</w:t>
      </w:r>
    </w:p>
    <w:p w14:paraId="46D549BF" w14:textId="21C341C6" w:rsidR="001D0A79" w:rsidRDefault="001D0A79" w:rsidP="00B339C0">
      <w:pPr>
        <w:pStyle w:val="ListParagraph"/>
        <w:numPr>
          <w:ilvl w:val="0"/>
          <w:numId w:val="7"/>
        </w:numPr>
      </w:pPr>
      <w:r>
        <w:t>Number of missed days of work/activity/school</w:t>
      </w:r>
    </w:p>
    <w:p w14:paraId="7F7AF4C8" w14:textId="5ABF167B" w:rsidR="001D0A79" w:rsidRDefault="001D0A79" w:rsidP="00B339C0">
      <w:pPr>
        <w:pStyle w:val="ListParagraph"/>
        <w:numPr>
          <w:ilvl w:val="0"/>
          <w:numId w:val="7"/>
        </w:numPr>
      </w:pPr>
      <w:r>
        <w:t>Hospitalisations for bleeding events or adverse events associated with prophylaxis</w:t>
      </w:r>
    </w:p>
    <w:p w14:paraId="2B0D990A" w14:textId="6FCE4672" w:rsidR="001D0A79" w:rsidRDefault="001D0A79" w:rsidP="00B339C0">
      <w:pPr>
        <w:pStyle w:val="ListParagraph"/>
        <w:numPr>
          <w:ilvl w:val="0"/>
          <w:numId w:val="7"/>
        </w:numPr>
      </w:pPr>
      <w:r>
        <w:t>Frequency of prophylaxis required/ medication burden</w:t>
      </w:r>
    </w:p>
    <w:p w14:paraId="43B4DC30" w14:textId="5771747B" w:rsidR="001D0A79" w:rsidRDefault="001D0A79" w:rsidP="00B339C0">
      <w:pPr>
        <w:pStyle w:val="ListParagraph"/>
        <w:numPr>
          <w:ilvl w:val="0"/>
          <w:numId w:val="7"/>
        </w:numPr>
      </w:pPr>
      <w:r>
        <w:t>Adherence or barriers to adherence</w:t>
      </w:r>
    </w:p>
    <w:p w14:paraId="411D318E" w14:textId="368E7045" w:rsidR="001D0A79" w:rsidRDefault="001D0A79" w:rsidP="00B339C0">
      <w:pPr>
        <w:pStyle w:val="ListParagraph"/>
        <w:numPr>
          <w:ilvl w:val="0"/>
          <w:numId w:val="7"/>
        </w:numPr>
      </w:pPr>
      <w:r>
        <w:t>Mortality</w:t>
      </w:r>
    </w:p>
    <w:p w14:paraId="437CF4B8" w14:textId="63C32D8D" w:rsidR="00E21687" w:rsidRDefault="001D0A79">
      <w:r>
        <w:t>With respect to health</w:t>
      </w:r>
      <w:r w:rsidR="003E173E">
        <w:t>-</w:t>
      </w:r>
      <w:r>
        <w:t xml:space="preserve">related quality of life there are a number of generic measures that may be </w:t>
      </w:r>
      <w:r w:rsidR="001A7041" w:rsidRPr="002F4AFD">
        <w:t>applicable;</w:t>
      </w:r>
      <w:r w:rsidRPr="002F4AFD">
        <w:t xml:space="preserve"> however, there are specific validated scales for haemophilia </w:t>
      </w:r>
      <w:r w:rsidR="001A7041" w:rsidRPr="002F4AFD">
        <w:t>such as the</w:t>
      </w:r>
      <w:r w:rsidRPr="002F4AFD">
        <w:t xml:space="preserve"> Haem-A-</w:t>
      </w:r>
      <w:r w:rsidR="001A7041" w:rsidRPr="002F4AFD">
        <w:t>QoL</w:t>
      </w:r>
      <w:r w:rsidR="001A7041">
        <w:t xml:space="preserve"> </w:t>
      </w:r>
      <w:r w:rsidR="00133E5F">
        <w:fldChar w:fldCharType="begin">
          <w:fldData xml:space="preserve">PEVuZE5vdGU+PENpdGU+PEF1dGhvcj5XeXJ3aWNoPC9BdXRob3I+PFllYXI+MjAxNTwvWWVhcj48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</w:fldData>
        </w:fldChar>
      </w:r>
      <w:r w:rsidR="00DF30B8" w:rsidRPr="003E173E">
        <w:instrText xml:space="preserve"> ADDIN EN.CITE </w:instrText>
      </w:r>
      <w:r w:rsidR="00DF30B8" w:rsidRPr="003E173E">
        <w:fldChar w:fldCharType="begin">
          <w:fldData xml:space="preserve">PEVuZE5vdGU+PENpdGU+PEF1dGhvcj5XeXJ3aWNoPC9BdXRob3I+PFllYXI+MjAxNTwvWWVhcj48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</w:fldData>
        </w:fldChar>
      </w:r>
      <w:r w:rsidR="00DF30B8" w:rsidRPr="003E173E">
        <w:instrText xml:space="preserve"> ADDIN EN.CITE.DATA </w:instrText>
      </w:r>
      <w:r w:rsidR="00DF30B8" w:rsidRPr="003E173E">
        <w:fldChar w:fldCharType="end"/>
      </w:r>
      <w:r w:rsidR="00133E5F">
        <w:fldChar w:fldCharType="separate"/>
      </w:r>
      <w:r w:rsidR="00133E5F">
        <w:rPr>
          <w:noProof/>
        </w:rPr>
        <w:t>(Wyrwich et al 2015)</w:t>
      </w:r>
      <w:r w:rsidR="00133E5F">
        <w:fldChar w:fldCharType="end"/>
      </w:r>
      <w:r w:rsidR="001A7041">
        <w:t xml:space="preserve"> which may be relevant at the assessment phase</w:t>
      </w:r>
      <w:r>
        <w:t>.</w:t>
      </w:r>
    </w:p>
    <w:p w14:paraId="08AF39EA" w14:textId="77777777" w:rsidR="003E0382" w:rsidRPr="002A66BD" w:rsidRDefault="002A66BD" w:rsidP="00A10238">
      <w:pPr>
        <w:pStyle w:val="Heading3"/>
      </w:pPr>
      <w:r w:rsidRPr="002A66BD">
        <w:t>Health</w:t>
      </w:r>
      <w:r w:rsidR="00752491">
        <w:t>care</w:t>
      </w:r>
      <w:r w:rsidRPr="002A66BD">
        <w:t xml:space="preserve"> system</w:t>
      </w:r>
    </w:p>
    <w:p w14:paraId="434A9660" w14:textId="0B502346" w:rsidR="00DF7242" w:rsidRDefault="001059E7" w:rsidP="00DB6934">
      <w:r w:rsidRPr="001059E7">
        <w:t xml:space="preserve">Patients with </w:t>
      </w:r>
      <w:r w:rsidR="00A10238">
        <w:t>HMA</w:t>
      </w:r>
      <w:r w:rsidRPr="001059E7">
        <w:t xml:space="preserve"> and inhibitors are a challenge to </w:t>
      </w:r>
      <w:r w:rsidR="00A10238">
        <w:t>manage</w:t>
      </w:r>
      <w:r w:rsidRPr="001059E7">
        <w:t xml:space="preserve">, requiring high costs over their lifetimes for effective management. </w:t>
      </w:r>
      <w:r w:rsidR="00DF7242" w:rsidRPr="00DF7242">
        <w:t xml:space="preserve">The cost of prophylaxis in </w:t>
      </w:r>
      <w:r w:rsidR="00A10238">
        <w:t>HMA</w:t>
      </w:r>
      <w:r w:rsidR="00DF7242" w:rsidRPr="00DF7242">
        <w:t xml:space="preserve"> is high due to the requirement for life</w:t>
      </w:r>
      <w:r w:rsidR="003E173E">
        <w:t>long</w:t>
      </w:r>
      <w:r w:rsidR="00DF7242" w:rsidRPr="00DF7242">
        <w:t xml:space="preserve"> </w:t>
      </w:r>
      <w:r w:rsidR="00051B22">
        <w:t>therapy</w:t>
      </w:r>
      <w:r w:rsidR="00DF7242" w:rsidRPr="00DF7242">
        <w:t xml:space="preserve"> and spending on factor replacement </w:t>
      </w:r>
      <w:r w:rsidR="00051B22">
        <w:t xml:space="preserve">has been </w:t>
      </w:r>
      <w:r w:rsidR="00DF7242" w:rsidRPr="00DF7242">
        <w:t>reported</w:t>
      </w:r>
      <w:r w:rsidR="00051B22">
        <w:t xml:space="preserve"> to</w:t>
      </w:r>
      <w:r w:rsidR="00DF7242" w:rsidRPr="00DF7242">
        <w:t xml:space="preserve"> comprises 80</w:t>
      </w:r>
      <w:r w:rsidR="00051B22">
        <w:t xml:space="preserve"> per cent</w:t>
      </w:r>
      <w:r w:rsidR="00DF7242" w:rsidRPr="00DF7242">
        <w:t xml:space="preserve"> of the total direct expenditures for patients with haemophilia </w:t>
      </w:r>
      <w:r w:rsidR="00DF7242">
        <w:t>(</w:t>
      </w:r>
      <w:r w:rsidR="00DF7242" w:rsidRPr="00DF7242">
        <w:t>A and B</w:t>
      </w:r>
      <w:r w:rsidR="00DF7242">
        <w:t>) in the US</w:t>
      </w:r>
      <w:r w:rsidR="00691D26">
        <w:t xml:space="preserve"> </w:t>
      </w:r>
      <w:r w:rsidR="004B5317">
        <w:fldChar w:fldCharType="begin"/>
      </w:r>
      <w:r w:rsidR="00DF30B8">
        <w:instrText xml:space="preserve"> ADDIN EN.CITE &lt;EndNote&gt;&lt;Cite&gt;&lt;Author&gt;Chen&lt;/Author&gt;&lt;Year&gt;2016&lt;/Year&gt;&lt;RecNum&gt;22&lt;/RecNum&gt;&lt;DisplayText&gt;(Chen 2016)&lt;/DisplayText&gt;&lt;record&gt;&lt;rec-number&gt;22&lt;/rec-number&gt;&lt;foreign-keys&gt;&lt;key app="EN" db-id="rwz09pa0y9ee9se9epe5f5xde52pzetxev5x" timestamp="1508890330"&gt;22&lt;/key&gt;&lt;/foreign-keys&gt;&lt;ref-type name="Journal Article"&gt;17&lt;/ref-type&gt;&lt;contributors&gt;&lt;authors&gt;&lt;author&gt;Chen, S. L.&lt;/author&gt;&lt;/authors&gt;&lt;/contributors&gt;&lt;auth-address&gt;sheh-li.chen@unchealth.unc.edu.&lt;/auth-address&gt;&lt;titles&gt;&lt;title&gt;Economic costs of hemophilia and the impact of prophylactic treatment on patient management&lt;/title&gt;&lt;secondary-title&gt;Am J Manag Care&lt;/secondary-title&gt;&lt;alt-title&gt;The American journal of managed care&lt;/alt-title&gt;&lt;/titles&gt;&lt;periodical&gt;&lt;full-title&gt;Am J Manag Care&lt;/full-title&gt;&lt;abbr-1&gt;The American journal of managed care&lt;/abbr-1&gt;&lt;/periodical&gt;&lt;alt-periodical&gt;&lt;full-title&gt;Am J Manag Care&lt;/full-title&gt;&lt;abbr-1&gt;The American journal of managed care&lt;/abbr-1&gt;&lt;/alt-periodical&gt;&lt;pages&gt;s126-33&lt;/pages&gt;&lt;volume&gt;22&lt;/volume&gt;&lt;number&gt;5 Suppl&lt;/number&gt;&lt;edition&gt;2016/06/09&lt;/edition&gt;&lt;dates&gt;&lt;year&gt;2016&lt;/year&gt;&lt;pub-dates&gt;&lt;date&gt;Apr&lt;/date&gt;&lt;/pub-dates&gt;&lt;/dates&gt;&lt;isbn&gt;1088-0224&lt;/isbn&gt;&lt;accession-num&gt;27266809&lt;/accession-num&gt;&lt;urls&gt;&lt;/urls&gt;&lt;remote-database-provider&gt;NLM&lt;/remote-database-provider&gt;&lt;language&gt;eng&lt;/language&gt;&lt;/record&gt;&lt;/Cite&gt;&lt;/EndNote&gt;</w:instrText>
      </w:r>
      <w:r w:rsidR="004B5317">
        <w:fldChar w:fldCharType="separate"/>
      </w:r>
      <w:r w:rsidR="004B5317">
        <w:rPr>
          <w:noProof/>
        </w:rPr>
        <w:t>(Chen 2016)</w:t>
      </w:r>
      <w:r w:rsidR="004B5317">
        <w:fldChar w:fldCharType="end"/>
      </w:r>
      <w:r w:rsidR="00DF7242">
        <w:t>. Costs rise substantially in:</w:t>
      </w:r>
    </w:p>
    <w:p w14:paraId="2DA21EE3" w14:textId="160696BF" w:rsidR="00DF7242" w:rsidRDefault="00051B22" w:rsidP="00B339C0">
      <w:pPr>
        <w:pStyle w:val="ListParagraph"/>
        <w:numPr>
          <w:ilvl w:val="0"/>
          <w:numId w:val="10"/>
        </w:numPr>
      </w:pPr>
      <w:r>
        <w:lastRenderedPageBreak/>
        <w:t xml:space="preserve">Patients </w:t>
      </w:r>
      <w:r w:rsidR="00DF7242" w:rsidRPr="00DF7242">
        <w:t>with complicatio</w:t>
      </w:r>
      <w:r w:rsidR="00DF7242">
        <w:t xml:space="preserve">ns, such as HIV seropositivity and </w:t>
      </w:r>
      <w:r w:rsidR="00DF7242" w:rsidRPr="00DF7242">
        <w:t>arthropathy</w:t>
      </w:r>
      <w:r w:rsidR="00DF7242">
        <w:t>. It has been reported that c</w:t>
      </w:r>
      <w:r w:rsidR="00DF7242" w:rsidRPr="00DF7242">
        <w:t>o</w:t>
      </w:r>
      <w:r w:rsidR="00DF7242">
        <w:t>-i</w:t>
      </w:r>
      <w:r w:rsidR="00DF7242" w:rsidRPr="00DF7242">
        <w:t>nfection results in a 59% increase in total annual medical costs</w:t>
      </w:r>
      <w:r w:rsidR="00DF7242">
        <w:t xml:space="preserve"> for haemophilia patients</w:t>
      </w:r>
      <w:r>
        <w:t xml:space="preserve"> </w:t>
      </w:r>
      <w:r>
        <w:fldChar w:fldCharType="begin"/>
      </w:r>
      <w:r>
        <w:instrText xml:space="preserve"> ADDIN EN.CITE &lt;EndNote&gt;&lt;Cite&gt;&lt;Author&gt;Chen&lt;/Author&gt;&lt;Year&gt;2016&lt;/Year&gt;&lt;RecNum&gt;22&lt;/RecNum&gt;&lt;DisplayText&gt;(Chen 2016)&lt;/DisplayText&gt;&lt;record&gt;&lt;rec-number&gt;22&lt;/rec-number&gt;&lt;foreign-keys&gt;&lt;key app="EN" db-id="rwz09pa0y9ee9se9epe5f5xde52pzetxev5x" timestamp="1508890330"&gt;22&lt;/key&gt;&lt;/foreign-keys&gt;&lt;ref-type name="Journal Article"&gt;17&lt;/ref-type&gt;&lt;contributors&gt;&lt;authors&gt;&lt;author&gt;Chen, S. L.&lt;/author&gt;&lt;/authors&gt;&lt;/contributors&gt;&lt;auth-address&gt;sheh-li.chen@unchealth.unc.edu.&lt;/auth-address&gt;&lt;titles&gt;&lt;title&gt;Economic costs of hemophilia and the impact of prophylactic treatment on patient management&lt;/title&gt;&lt;secondary-title&gt;Am J Manag Care&lt;/secondary-title&gt;&lt;alt-title&gt;The American journal of managed care&lt;/alt-title&gt;&lt;/titles&gt;&lt;periodical&gt;&lt;full-title&gt;Am J Manag Care&lt;/full-title&gt;&lt;abbr-1&gt;The American journal of managed care&lt;/abbr-1&gt;&lt;/periodical&gt;&lt;alt-periodical&gt;&lt;full-title&gt;Am J Manag Care&lt;/full-title&gt;&lt;abbr-1&gt;The American journal of managed care&lt;/abbr-1&gt;&lt;/alt-periodical&gt;&lt;pages&gt;s126-33&lt;/pages&gt;&lt;volume&gt;22&lt;/volume&gt;&lt;number&gt;5 Suppl&lt;/number&gt;&lt;edition&gt;2016/06/09&lt;/edition&gt;&lt;dates&gt;&lt;year&gt;2016&lt;/year&gt;&lt;pub-dates&gt;&lt;date&gt;Apr&lt;/date&gt;&lt;/pub-dates&gt;&lt;/dates&gt;&lt;isbn&gt;1088-0224&lt;/isbn&gt;&lt;accession-num&gt;27266809&lt;/accession-num&gt;&lt;urls&gt;&lt;/urls&gt;&lt;remote-database-provider&gt;NLM&lt;/remote-database-provider&gt;&lt;language&gt;eng&lt;/language&gt;&lt;/record&gt;&lt;/Cite&gt;&lt;/EndNote&gt;</w:instrText>
      </w:r>
      <w:r>
        <w:fldChar w:fldCharType="separate"/>
      </w:r>
      <w:r>
        <w:rPr>
          <w:noProof/>
        </w:rPr>
        <w:t>(Chen 2016)</w:t>
      </w:r>
      <w:r>
        <w:fldChar w:fldCharType="end"/>
      </w:r>
      <w:r>
        <w:t>.</w:t>
      </w:r>
    </w:p>
    <w:p w14:paraId="7CCFFFF0" w14:textId="51B75FD3" w:rsidR="00DF7242" w:rsidRDefault="00DF7242" w:rsidP="00B339C0">
      <w:pPr>
        <w:pStyle w:val="ListParagraph"/>
        <w:numPr>
          <w:ilvl w:val="0"/>
          <w:numId w:val="10"/>
        </w:numPr>
      </w:pPr>
      <w:r>
        <w:t xml:space="preserve">Patients with inhibitors, these patients are up to twice as likely to </w:t>
      </w:r>
      <w:r w:rsidRPr="00DF7242">
        <w:t>be hospitali</w:t>
      </w:r>
      <w:r w:rsidR="0090717B">
        <w:t>s</w:t>
      </w:r>
      <w:r w:rsidRPr="00DF7242">
        <w:t xml:space="preserve">ed for a bleeding complication, and treatment costs associated with inhibitors can be </w:t>
      </w:r>
      <w:r>
        <w:t>many</w:t>
      </w:r>
      <w:r w:rsidRPr="00DF7242">
        <w:t xml:space="preserve"> times greater than for those without inhibitors</w:t>
      </w:r>
      <w:r w:rsidR="00691D26">
        <w:t xml:space="preserve"> </w:t>
      </w:r>
      <w:r w:rsidR="004B5317">
        <w:fldChar w:fldCharType="begin">
          <w:fldData xml:space="preserve">PEVuZE5vdGU+PENpdGU+PEF1dGhvcj5DaGVuPC9BdXRob3I+PFllYXI+MjAxNjwvWWVhcj48UmVj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</w:fldData>
        </w:fldChar>
      </w:r>
      <w:r w:rsidR="00DF30B8" w:rsidRPr="003E173E">
        <w:instrText xml:space="preserve"> ADDIN EN.CITE </w:instrText>
      </w:r>
      <w:r w:rsidR="00DF30B8" w:rsidRPr="003E173E">
        <w:fldChar w:fldCharType="begin">
          <w:fldData xml:space="preserve">PEVuZE5vdGU+PENpdGU+PEF1dGhvcj5DaGVuPC9BdXRob3I+PFllYXI+MjAxNjwvWWVhcj48UmVj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</w:fldData>
        </w:fldChar>
      </w:r>
      <w:r w:rsidR="00DF30B8" w:rsidRPr="003E173E">
        <w:instrText xml:space="preserve"> ADDIN EN.CITE.DATA </w:instrText>
      </w:r>
      <w:r w:rsidR="00DF30B8" w:rsidRPr="003E173E">
        <w:fldChar w:fldCharType="end"/>
      </w:r>
      <w:r w:rsidR="004B5317">
        <w:fldChar w:fldCharType="separate"/>
      </w:r>
      <w:r w:rsidR="004B5317">
        <w:rPr>
          <w:noProof/>
        </w:rPr>
        <w:t>(Chen 2016; Rocha et al 2015)</w:t>
      </w:r>
      <w:r w:rsidR="004B5317">
        <w:fldChar w:fldCharType="end"/>
      </w:r>
      <w:r>
        <w:t>.</w:t>
      </w:r>
    </w:p>
    <w:p w14:paraId="6F25A11A" w14:textId="35A2950F" w:rsidR="00DB6934" w:rsidRDefault="001059E7" w:rsidP="00DF7242">
      <w:r w:rsidRPr="001059E7">
        <w:t>The drug acquisition costs of various treatment options must be considered</w:t>
      </w:r>
      <w:r w:rsidR="00DB6934">
        <w:t xml:space="preserve"> in the context of patient quality of life</w:t>
      </w:r>
      <w:r w:rsidRPr="001059E7">
        <w:t xml:space="preserve"> and management of the entire bleeding episodes.</w:t>
      </w:r>
      <w:r w:rsidR="00DF7242">
        <w:t xml:space="preserve"> Although prophylaxis is expensive</w:t>
      </w:r>
      <w:r w:rsidR="006E00CB">
        <w:t>, when effective</w:t>
      </w:r>
      <w:r w:rsidR="00051B22">
        <w:t>,</w:t>
      </w:r>
      <w:r w:rsidR="006E00CB">
        <w:t xml:space="preserve"> the cost of prophylaxis </w:t>
      </w:r>
      <w:r w:rsidR="00051B22">
        <w:t>may be</w:t>
      </w:r>
      <w:r w:rsidR="006E00CB">
        <w:t xml:space="preserve"> offset by savings in treating bleeding episodes and in the cost of treating complications of them. </w:t>
      </w:r>
      <w:r w:rsidR="004B5317">
        <w:t>Relevant healthcare resource considerations include:</w:t>
      </w:r>
    </w:p>
    <w:p w14:paraId="11A25769" w14:textId="77777777" w:rsidR="00DB6934" w:rsidRPr="00C85894" w:rsidRDefault="00DB6934" w:rsidP="00051B22">
      <w:pPr>
        <w:pStyle w:val="Heading4"/>
      </w:pPr>
      <w:r w:rsidRPr="00C85894">
        <w:t>Drug acquisition and provision</w:t>
      </w:r>
    </w:p>
    <w:p w14:paraId="1C001F74" w14:textId="5C354F45" w:rsidR="00DB6934" w:rsidRPr="00216D68" w:rsidRDefault="00DB6934" w:rsidP="00B339C0">
      <w:pPr>
        <w:pStyle w:val="ListParagraph"/>
        <w:numPr>
          <w:ilvl w:val="0"/>
          <w:numId w:val="9"/>
        </w:numPr>
      </w:pPr>
      <w:r>
        <w:t>The cost of emicizumab is unknown</w:t>
      </w:r>
      <w:r w:rsidR="00051B22">
        <w:t>;</w:t>
      </w:r>
      <w:r>
        <w:t xml:space="preserve"> however, at the assessment phase the c</w:t>
      </w:r>
      <w:r w:rsidRPr="00216D68">
        <w:t>ost of emicizumab per administration (supplied as a kit)</w:t>
      </w:r>
      <w:r>
        <w:t xml:space="preserve"> will be relevant</w:t>
      </w:r>
      <w:r w:rsidR="00051B22">
        <w:t>. Other potential costs include:</w:t>
      </w:r>
    </w:p>
    <w:p w14:paraId="4BC3637B" w14:textId="02E4072F" w:rsidR="00DB6934" w:rsidRDefault="00051B22" w:rsidP="00B339C0">
      <w:pPr>
        <w:pStyle w:val="ListParagraph"/>
        <w:numPr>
          <w:ilvl w:val="1"/>
          <w:numId w:val="9"/>
        </w:numPr>
      </w:pPr>
      <w:r>
        <w:t>t</w:t>
      </w:r>
      <w:r w:rsidR="00DB6934">
        <w:t>raining costs for patients or caregivers to be able to administer routine prophylaxis</w:t>
      </w:r>
      <w:r>
        <w:t>,</w:t>
      </w:r>
    </w:p>
    <w:p w14:paraId="21CC4452" w14:textId="51A04786" w:rsidR="00DB6934" w:rsidRDefault="00051B22" w:rsidP="00B339C0">
      <w:pPr>
        <w:pStyle w:val="ListParagraph"/>
        <w:numPr>
          <w:ilvl w:val="1"/>
          <w:numId w:val="9"/>
        </w:numPr>
      </w:pPr>
      <w:r>
        <w:t>a</w:t>
      </w:r>
      <w:r w:rsidR="00DB6934">
        <w:t>ssistance with administration from a healthcare provider</w:t>
      </w:r>
      <w:r>
        <w:t xml:space="preserve">, </w:t>
      </w:r>
      <w:r w:rsidR="00DB6934">
        <w:t>if required</w:t>
      </w:r>
      <w:r>
        <w:t>; and,</w:t>
      </w:r>
    </w:p>
    <w:p w14:paraId="3465C113" w14:textId="3E630CD7" w:rsidR="00DB6934" w:rsidRDefault="00051B22" w:rsidP="00B339C0">
      <w:pPr>
        <w:pStyle w:val="ListParagraph"/>
        <w:numPr>
          <w:ilvl w:val="1"/>
          <w:numId w:val="9"/>
        </w:numPr>
      </w:pPr>
      <w:r>
        <w:t>c</w:t>
      </w:r>
      <w:r w:rsidR="00DB6934">
        <w:t>osts associated with monitoring for safety</w:t>
      </w:r>
      <w:r w:rsidR="00A54C6F">
        <w:t xml:space="preserve"> issues, although the applicant has indicated that no additional medical services for this purpose will be required.</w:t>
      </w:r>
    </w:p>
    <w:p w14:paraId="3EACD416" w14:textId="77777777" w:rsidR="00DB6934" w:rsidRPr="004B5317" w:rsidRDefault="00DB6934" w:rsidP="00051B22">
      <w:pPr>
        <w:pStyle w:val="Heading4"/>
      </w:pPr>
      <w:r w:rsidRPr="004B5317">
        <w:t>Resources provided in association with routine prophylaxis with emicizumab</w:t>
      </w:r>
    </w:p>
    <w:p w14:paraId="07513633" w14:textId="503799E9" w:rsidR="00DB6934" w:rsidRDefault="00DB6934" w:rsidP="0083678F">
      <w:pPr>
        <w:pStyle w:val="ListParagraph"/>
        <w:numPr>
          <w:ilvl w:val="0"/>
          <w:numId w:val="9"/>
        </w:numPr>
      </w:pPr>
      <w:r>
        <w:t xml:space="preserve">Management of breakthrough bleeding will be an additional cost associated with emicizumab prophylaxis. </w:t>
      </w:r>
      <w:r w:rsidR="00BF477A">
        <w:t>It is</w:t>
      </w:r>
      <w:r>
        <w:t xml:space="preserve"> anticipated </w:t>
      </w:r>
      <w:r w:rsidR="00BF477A">
        <w:t>that</w:t>
      </w:r>
      <w:r>
        <w:t xml:space="preserve"> </w:t>
      </w:r>
      <w:r w:rsidR="00887604">
        <w:t xml:space="preserve">BPAs </w:t>
      </w:r>
      <w:r w:rsidR="00BF477A">
        <w:t xml:space="preserve">will </w:t>
      </w:r>
      <w:r w:rsidR="007B51B0">
        <w:t>be used</w:t>
      </w:r>
      <w:r>
        <w:t xml:space="preserve"> to treat bleeds and the costs will depend on choice of BPA, severity of the bleed and the frequency of breakthrough bleeding on emicizumab.</w:t>
      </w:r>
    </w:p>
    <w:p w14:paraId="5198ECB6" w14:textId="752392F3" w:rsidR="00DB6934" w:rsidRDefault="00DB6934" w:rsidP="0083678F">
      <w:pPr>
        <w:pStyle w:val="ListParagraph"/>
        <w:numPr>
          <w:ilvl w:val="0"/>
          <w:numId w:val="9"/>
        </w:numPr>
      </w:pPr>
      <w:r>
        <w:t xml:space="preserve">Ambulance transport/emergency </w:t>
      </w:r>
      <w:r w:rsidR="00691D26">
        <w:t>d</w:t>
      </w:r>
      <w:r>
        <w:t>epartment visit/hospitalisation costs associated with breakthrough bleeding.</w:t>
      </w:r>
    </w:p>
    <w:p w14:paraId="06C2EBF9" w14:textId="02C4F81D" w:rsidR="004B5317" w:rsidRDefault="004B5317" w:rsidP="00051B22">
      <w:pPr>
        <w:pStyle w:val="Heading4"/>
      </w:pPr>
      <w:r>
        <w:t>Resources provided to deliver the comparator(s)</w:t>
      </w:r>
    </w:p>
    <w:p w14:paraId="49B45243" w14:textId="4876A445" w:rsidR="00E65FF7" w:rsidRPr="00E65FF7" w:rsidRDefault="00E65FF7" w:rsidP="0083678F">
      <w:pPr>
        <w:pStyle w:val="ListParagraph"/>
        <w:numPr>
          <w:ilvl w:val="0"/>
          <w:numId w:val="11"/>
        </w:numPr>
      </w:pPr>
      <w:r w:rsidRPr="00081551">
        <w:rPr>
          <w:b/>
        </w:rPr>
        <w:t xml:space="preserve">For population </w:t>
      </w:r>
      <w:r w:rsidR="00051B22">
        <w:rPr>
          <w:b/>
        </w:rPr>
        <w:t>two</w:t>
      </w:r>
      <w:r w:rsidRPr="00081551">
        <w:rPr>
          <w:b/>
        </w:rPr>
        <w:t xml:space="preserve"> only</w:t>
      </w:r>
      <w:r w:rsidRPr="00081551">
        <w:t xml:space="preserve">: the cost and burden of </w:t>
      </w:r>
      <w:r w:rsidR="00BF477A">
        <w:t>F</w:t>
      </w:r>
      <w:r w:rsidRPr="00081551">
        <w:t>VIII prophylaxis or on-demand treatment</w:t>
      </w:r>
    </w:p>
    <w:p w14:paraId="2B775321" w14:textId="3532BC87" w:rsidR="004B5317" w:rsidRPr="004B5317" w:rsidRDefault="00BF477A" w:rsidP="0083678F">
      <w:pPr>
        <w:pStyle w:val="ListParagraph"/>
        <w:numPr>
          <w:ilvl w:val="0"/>
          <w:numId w:val="11"/>
        </w:numPr>
        <w:rPr>
          <w:i/>
        </w:rPr>
      </w:pPr>
      <w:r>
        <w:t>ITI</w:t>
      </w:r>
      <w:r w:rsidR="004B5317" w:rsidRPr="004B5317">
        <w:t xml:space="preserve"> typically involves administering infusions of large doses of clotting factor concentrates to a patient on a daily basis for many weeks or months.</w:t>
      </w:r>
    </w:p>
    <w:p w14:paraId="3B1B5C6C" w14:textId="376B8FC0" w:rsidR="004B5317" w:rsidRPr="00BA565F" w:rsidRDefault="004E451C" w:rsidP="0083678F">
      <w:pPr>
        <w:pStyle w:val="ListParagraph"/>
        <w:numPr>
          <w:ilvl w:val="0"/>
          <w:numId w:val="11"/>
        </w:numPr>
      </w:pPr>
      <w:r w:rsidRPr="00BA565F">
        <w:t xml:space="preserve">Prophylaxis with BPAs requires daily (or close to daily) administration of BPAs which is a costly </w:t>
      </w:r>
      <w:r w:rsidR="00BF477A">
        <w:t>management</w:t>
      </w:r>
      <w:r w:rsidRPr="00BA565F">
        <w:t xml:space="preserve"> strategy as patients require life</w:t>
      </w:r>
      <w:r w:rsidR="003E173E">
        <w:t>long</w:t>
      </w:r>
      <w:r w:rsidRPr="00BA565F">
        <w:t xml:space="preserve"> prophylaxis.</w:t>
      </w:r>
    </w:p>
    <w:p w14:paraId="368DC76F" w14:textId="34768BB1" w:rsidR="004E451C" w:rsidRPr="00BA565F" w:rsidRDefault="004E451C" w:rsidP="0083678F">
      <w:pPr>
        <w:pStyle w:val="ListParagraph"/>
        <w:numPr>
          <w:ilvl w:val="0"/>
          <w:numId w:val="11"/>
        </w:numPr>
      </w:pPr>
      <w:r w:rsidRPr="00BA565F">
        <w:t xml:space="preserve">Similar to above, all patients will incur costs associated with episodic bleeding that might necessitate </w:t>
      </w:r>
      <w:r w:rsidR="00BF477A">
        <w:t xml:space="preserve">on-demand </w:t>
      </w:r>
      <w:r w:rsidRPr="00BA565F">
        <w:t xml:space="preserve">treatment with </w:t>
      </w:r>
      <w:r w:rsidR="00BF477A">
        <w:t>F</w:t>
      </w:r>
      <w:r w:rsidRPr="00BA565F">
        <w:t>VIII or BPAs and potentially a hospitalisation.</w:t>
      </w:r>
    </w:p>
    <w:p w14:paraId="5E588C30" w14:textId="483C069D" w:rsidR="004E451C" w:rsidRPr="00BA565F" w:rsidRDefault="004E451C" w:rsidP="0083678F">
      <w:pPr>
        <w:pStyle w:val="ListParagraph"/>
        <w:numPr>
          <w:ilvl w:val="0"/>
          <w:numId w:val="11"/>
        </w:numPr>
      </w:pPr>
      <w:r w:rsidRPr="00BA565F">
        <w:t xml:space="preserve">The </w:t>
      </w:r>
      <w:r w:rsidR="00691D26" w:rsidRPr="00BA565F">
        <w:t xml:space="preserve">cost of various items on the </w:t>
      </w:r>
      <w:r w:rsidR="000E5F7E">
        <w:t>N</w:t>
      </w:r>
      <w:r w:rsidR="00691D26" w:rsidRPr="00BA565F">
        <w:t xml:space="preserve">ational </w:t>
      </w:r>
      <w:r w:rsidR="000E5F7E">
        <w:t>P</w:t>
      </w:r>
      <w:r w:rsidR="00691D26" w:rsidRPr="00BA565F">
        <w:t xml:space="preserve">roducts </w:t>
      </w:r>
      <w:r w:rsidR="000E5F7E">
        <w:t>L</w:t>
      </w:r>
      <w:r w:rsidR="00691D26" w:rsidRPr="00BA565F">
        <w:t>ist is</w:t>
      </w:r>
      <w:r w:rsidRPr="00BA565F">
        <w:t xml:space="preserve"> available in </w:t>
      </w:r>
      <w:r w:rsidRPr="00BA565F">
        <w:fldChar w:fldCharType="begin"/>
      </w:r>
      <w:r w:rsidRPr="00BA565F">
        <w:instrText xml:space="preserve"> REF _Ref494978984 \h </w:instrText>
      </w:r>
      <w:r w:rsidR="00BA565F">
        <w:instrText xml:space="preserve"> \* MERGEFORMAT </w:instrText>
      </w:r>
      <w:r w:rsidRPr="00BA565F">
        <w:fldChar w:fldCharType="separate"/>
      </w:r>
      <w:r w:rsidR="00A04E68" w:rsidRPr="004A5756">
        <w:t xml:space="preserve">Table </w:t>
      </w:r>
      <w:r w:rsidR="00A04E68">
        <w:t>6</w:t>
      </w:r>
      <w:r w:rsidRPr="00BA565F">
        <w:fldChar w:fldCharType="end"/>
      </w:r>
      <w:r w:rsidRPr="00BA565F">
        <w:t>.</w:t>
      </w:r>
    </w:p>
    <w:p w14:paraId="78EEC057" w14:textId="1BBCF54D" w:rsidR="001059E7" w:rsidRPr="004E451C" w:rsidRDefault="004B5317" w:rsidP="00BF477A">
      <w:pPr>
        <w:pStyle w:val="Heading4"/>
      </w:pPr>
      <w:r w:rsidRPr="004E451C">
        <w:t>Potential cost offsets</w:t>
      </w:r>
    </w:p>
    <w:p w14:paraId="4EEC169C" w14:textId="00987302" w:rsidR="004E451C" w:rsidRDefault="004E451C" w:rsidP="0083678F">
      <w:pPr>
        <w:pStyle w:val="ListParagraph"/>
        <w:numPr>
          <w:ilvl w:val="0"/>
          <w:numId w:val="11"/>
        </w:numPr>
      </w:pPr>
      <w:r>
        <w:t>The annual probability of a severe haemophilic with inhibitors</w:t>
      </w:r>
      <w:r w:rsidR="00BA565F">
        <w:t xml:space="preserve"> not on prophylaxis</w:t>
      </w:r>
      <w:r>
        <w:t xml:space="preserve"> developing a bleed was estimated by Earnshaw </w:t>
      </w:r>
      <w:r w:rsidR="00691D26">
        <w:t xml:space="preserve">et al 2015 </w:t>
      </w:r>
      <w:r w:rsidR="00BF477A">
        <w:t>(</w:t>
      </w:r>
      <w:r>
        <w:t>derived f</w:t>
      </w:r>
      <w:r w:rsidR="00BA565F">
        <w:t>rom</w:t>
      </w:r>
      <w:r w:rsidR="00691D26">
        <w:t xml:space="preserve"> Lessinger </w:t>
      </w:r>
      <w:r w:rsidR="00691D26">
        <w:fldChar w:fldCharType="begin">
          <w:fldData xml:space="preserve">PEVuZE5vdGU+PENpdGUgRXhjbHVkZUF1dGg9IjEiPjxBdXRob3I+TGVpc3NpbmdlcjwvQXV0aG9y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ci0xPjwvYWx0LXBlcmlvZGljYWw+PHBhZ2VzPjE2ODQtOTI8L3BhZ2VzPjx2b2x1bWU+MzY1PC92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</w:fldData>
        </w:fldChar>
      </w:r>
      <w:r w:rsidR="00DF30B8" w:rsidRPr="00BF477A">
        <w:instrText xml:space="preserve"> ADDIN EN.CITE </w:instrText>
      </w:r>
      <w:r w:rsidR="00DF30B8" w:rsidRPr="00BF477A">
        <w:fldChar w:fldCharType="begin">
          <w:fldData xml:space="preserve">PEVuZE5vdGU+PENpdGUgRXhjbHVkZUF1dGg9IjEiPjxBdXRob3I+TGVpc3NpbmdlcjwvQXV0aG9y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ci0xPjwvYWx0LXBlcmlvZGljYWw+PHBhZ2VzPjE2ODQtOTI8L3BhZ2VzPjx2b2x1bWU+MzY1PC92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</w:fldData>
        </w:fldChar>
      </w:r>
      <w:r w:rsidR="00DF30B8" w:rsidRPr="00BF477A">
        <w:instrText xml:space="preserve"> ADDIN EN.CITE.DATA </w:instrText>
      </w:r>
      <w:r w:rsidR="00DF30B8" w:rsidRPr="00BF477A">
        <w:fldChar w:fldCharType="end"/>
      </w:r>
      <w:r w:rsidR="00691D26">
        <w:fldChar w:fldCharType="separate"/>
      </w:r>
      <w:r w:rsidR="00BF477A">
        <w:rPr>
          <w:noProof/>
        </w:rPr>
        <w:t>[</w:t>
      </w:r>
      <w:r w:rsidR="00691D26">
        <w:rPr>
          <w:noProof/>
        </w:rPr>
        <w:t>2011</w:t>
      </w:r>
      <w:r w:rsidR="00BF477A">
        <w:rPr>
          <w:noProof/>
        </w:rPr>
        <w:t>]</w:t>
      </w:r>
      <w:r w:rsidR="00691D26">
        <w:rPr>
          <w:noProof/>
        </w:rPr>
        <w:t>)</w:t>
      </w:r>
      <w:r w:rsidR="00691D26">
        <w:fldChar w:fldCharType="end"/>
      </w:r>
      <w:r w:rsidR="00BA565F">
        <w:t xml:space="preserve"> as minor bleed: 23.6</w:t>
      </w:r>
      <w:r>
        <w:t xml:space="preserve"> per annum, </w:t>
      </w:r>
      <w:r w:rsidR="00BA565F">
        <w:t>and a</w:t>
      </w:r>
      <w:r>
        <w:t xml:space="preserve"> major bleed: </w:t>
      </w:r>
      <w:r w:rsidR="00BA565F">
        <w:t>2.6 per annum. Treatment for these bleeds will include additional doses of BPAs in inhibitor patients</w:t>
      </w:r>
      <w:r w:rsidR="00E65FF7">
        <w:t xml:space="preserve"> (</w:t>
      </w:r>
      <w:r w:rsidR="00E65FF7" w:rsidRPr="00081551">
        <w:rPr>
          <w:b/>
        </w:rPr>
        <w:t xml:space="preserve">or </w:t>
      </w:r>
      <w:r w:rsidR="00BF477A">
        <w:rPr>
          <w:b/>
        </w:rPr>
        <w:t>F</w:t>
      </w:r>
      <w:r w:rsidR="00E65FF7" w:rsidRPr="00081551">
        <w:rPr>
          <w:b/>
        </w:rPr>
        <w:t>VIII in population 2</w:t>
      </w:r>
      <w:r w:rsidR="00E65FF7">
        <w:t>)</w:t>
      </w:r>
      <w:r w:rsidR="00BA565F">
        <w:t xml:space="preserve"> and typically require between 1 and 4 infusions of </w:t>
      </w:r>
      <w:r w:rsidR="00691D26" w:rsidRPr="00691D26">
        <w:t>activated prothrombin complex concentrat</w:t>
      </w:r>
      <w:r w:rsidR="00691D26">
        <w:t xml:space="preserve">e </w:t>
      </w:r>
      <w:r w:rsidR="00BA565F">
        <w:t>to stop bleeding.</w:t>
      </w:r>
    </w:p>
    <w:p w14:paraId="32620D11" w14:textId="4AFFF245" w:rsidR="004E451C" w:rsidRDefault="00BA565F" w:rsidP="0083678F">
      <w:pPr>
        <w:pStyle w:val="ListParagraph"/>
        <w:numPr>
          <w:ilvl w:val="0"/>
          <w:numId w:val="11"/>
        </w:numPr>
      </w:pPr>
      <w:r>
        <w:lastRenderedPageBreak/>
        <w:t>Furthermore, Earnshaw estimated that 53% of bleeds occur in target joints</w:t>
      </w:r>
      <w:r w:rsidR="00691D26">
        <w:t>,</w:t>
      </w:r>
      <w:r>
        <w:t xml:space="preserve"> and</w:t>
      </w:r>
      <w:r w:rsidR="00691D26">
        <w:t>,</w:t>
      </w:r>
      <w:r>
        <w:t xml:space="preserve"> it</w:t>
      </w:r>
      <w:r w:rsidR="004E451C">
        <w:t xml:space="preserve"> has been estimated that </w:t>
      </w:r>
      <w:r w:rsidR="004E451C" w:rsidRPr="004E451C">
        <w:t xml:space="preserve">severe </w:t>
      </w:r>
      <w:r w:rsidR="00BF477A">
        <w:t>HMA</w:t>
      </w:r>
      <w:r w:rsidR="004E451C" w:rsidRPr="004E451C">
        <w:t xml:space="preserve"> patients who </w:t>
      </w:r>
      <w:r w:rsidR="004E451C">
        <w:t>do not receive</w:t>
      </w:r>
      <w:r w:rsidR="004E451C" w:rsidRPr="004E451C">
        <w:t xml:space="preserve"> prophylaxis </w:t>
      </w:r>
      <w:r w:rsidR="004E451C">
        <w:t xml:space="preserve">are at risk of requiring two </w:t>
      </w:r>
      <w:r w:rsidR="004E451C" w:rsidRPr="004E451C">
        <w:t xml:space="preserve">orthopaedic procedures </w:t>
      </w:r>
      <w:r>
        <w:t xml:space="preserve">over </w:t>
      </w:r>
      <w:r w:rsidRPr="004E451C">
        <w:t>50</w:t>
      </w:r>
      <w:r w:rsidR="004E451C" w:rsidRPr="004E451C">
        <w:t xml:space="preserve">-year </w:t>
      </w:r>
      <w:r w:rsidR="004E451C">
        <w:t xml:space="preserve">time horizon. The costs associated with such procedures can be high </w:t>
      </w:r>
      <w:r w:rsidR="007259F2">
        <w:fldChar w:fldCharType="begin"/>
      </w:r>
      <w:r w:rsidR="00DF30B8">
        <w:instrText xml:space="preserve"> ADDIN EN.CITE &lt;EndNote&gt;&lt;Cite&gt;&lt;Author&gt;Smith&lt;/Author&gt;&lt;Year&gt;1996&lt;/Year&gt;&lt;RecNum&gt;25&lt;/RecNum&gt;&lt;DisplayText&gt;(Smith et al 1996)&lt;/DisplayText&gt;&lt;record&gt;&lt;rec-number&gt;25&lt;/rec-number&gt;&lt;foreign-keys&gt;&lt;key app="EN" db-id="rwz09pa0y9ee9se9epe5f5xde52pzetxev5x" timestamp="1508890330"&gt;25&lt;/key&gt;&lt;/foreign-keys&gt;&lt;ref-type name="Journal Article"&gt;17&lt;/ref-type&gt;&lt;contributors&gt;&lt;authors&gt;&lt;author&gt;Smith, P. S.&lt;/author&gt;&lt;author&gt;Teutsch, S. M.&lt;/author&gt;&lt;author&gt;Shaffer, P. A.&lt;/author&gt;&lt;author&gt;Rolka, H.&lt;/author&gt;&lt;author&gt;Evatt, B.&lt;/author&gt;&lt;/authors&gt;&lt;/contributors&gt;&lt;auth-address&gt;Department of Pediatrics, Brown University, Providence 02903, USA.&lt;/auth-address&gt;&lt;titles&gt;&lt;title&gt;Episodic versus prophylactic infusions for hemophilia A: a cost-effectiveness analysis&lt;/title&gt;&lt;secondary-title&gt;J Pediatr&lt;/secondary-title&gt;&lt;alt-title&gt;The Journal of pediatrics&lt;/alt-title&gt;&lt;/titles&gt;&lt;periodical&gt;&lt;full-title&gt;J Pediatr&lt;/full-title&gt;&lt;abbr-1&gt;The Journal of pediatrics&lt;/abbr-1&gt;&lt;/periodical&gt;&lt;alt-periodical&gt;&lt;full-title&gt;J Pediatr&lt;/full-title&gt;&lt;abbr-1&gt;The Journal of pediatrics&lt;/abbr-1&gt;&lt;/alt-periodical&gt;&lt;pages&gt;424-31&lt;/pages&gt;&lt;volume&gt;129&lt;/volume&gt;&lt;number&gt;3&lt;/number&gt;&lt;edition&gt;1996/09/01&lt;/edition&gt;&lt;keywords&gt;&lt;keyword&gt;Adolescent&lt;/keyword&gt;&lt;keyword&gt;Child&lt;/keyword&gt;&lt;keyword&gt;Child, Preschool&lt;/keyword&gt;&lt;keyword&gt;Cost-Benefit Analysis&lt;/keyword&gt;&lt;keyword&gt;Factor VIII/*administration &amp;amp; dosage/economics&lt;/keyword&gt;&lt;keyword&gt;Hemophilia A/complications/*economics/*therapy&lt;/keyword&gt;&lt;keyword&gt;Hemorrhage/economics/etiology/*prevention &amp;amp; control&lt;/keyword&gt;&lt;keyword&gt;Humans&lt;/keyword&gt;&lt;keyword&gt;Infant&lt;/keyword&gt;&lt;keyword&gt;Male&lt;/keyword&gt;&lt;keyword&gt;Models, Economic&lt;/keyword&gt;&lt;keyword&gt;United States&lt;/keyword&gt;&lt;/keywords&gt;&lt;dates&gt;&lt;year&gt;1996&lt;/year&gt;&lt;pub-dates&gt;&lt;date&gt;Sep&lt;/date&gt;&lt;/pub-dates&gt;&lt;/dates&gt;&lt;isbn&gt;0022-3476 (Print)&amp;#xD;0022-3476&lt;/isbn&gt;&lt;accession-num&gt;8804333&lt;/accession-num&gt;&lt;urls&gt;&lt;/urls&gt;&lt;remote-database-provider&gt;NLM&lt;/remote-database-provider&gt;&lt;language&gt;eng&lt;/language&gt;&lt;/record&gt;&lt;/Cite&gt;&lt;/EndNote&gt;</w:instrText>
      </w:r>
      <w:r w:rsidR="007259F2">
        <w:fldChar w:fldCharType="separate"/>
      </w:r>
      <w:r w:rsidR="007259F2">
        <w:rPr>
          <w:noProof/>
        </w:rPr>
        <w:t>(Smith et al 1996)</w:t>
      </w:r>
      <w:r w:rsidR="007259F2">
        <w:fldChar w:fldCharType="end"/>
      </w:r>
      <w:r w:rsidR="004E451C">
        <w:t>.</w:t>
      </w:r>
    </w:p>
    <w:p w14:paraId="4C5D67AF" w14:textId="38E555AF" w:rsidR="004E451C" w:rsidRDefault="004E451C" w:rsidP="0083678F">
      <w:pPr>
        <w:pStyle w:val="ListParagraph"/>
        <w:numPr>
          <w:ilvl w:val="0"/>
          <w:numId w:val="11"/>
        </w:numPr>
      </w:pPr>
      <w:r>
        <w:t xml:space="preserve"> </w:t>
      </w:r>
      <w:r w:rsidR="00691D26">
        <w:t>If such bleeding events are prevented with prophylaxis the subsequent costs associated with their management can be avoided.</w:t>
      </w:r>
    </w:p>
    <w:p w14:paraId="1EBE214E" w14:textId="5114FBC1" w:rsidR="00BA565F" w:rsidRPr="00882D4A" w:rsidRDefault="004B5317" w:rsidP="002B3338">
      <w:r w:rsidRPr="001F231E">
        <w:rPr>
          <w:i/>
        </w:rPr>
        <w:t xml:space="preserve">Indirect costs also contribute to the economic burden associated with haemophilia and include lost productivity, unpaid labour by caregivers, and haemophilia related disability </w:t>
      </w:r>
      <w:r w:rsidRPr="001F231E">
        <w:rPr>
          <w:i/>
        </w:rPr>
        <w:fldChar w:fldCharType="begin"/>
      </w:r>
      <w:r w:rsidR="00DF30B8" w:rsidRPr="001F231E">
        <w:rPr>
          <w:i/>
        </w:rPr>
        <w:instrText xml:space="preserve"> ADDIN EN.CITE &lt;EndNote&gt;&lt;Cite&gt;&lt;Author&gt;Dalton&lt;/Author&gt;&lt;Year&gt;2015&lt;/Year&gt;&lt;RecNum&gt;26&lt;/RecNum&gt;&lt;DisplayText&gt;(Dalton 2015)&lt;/DisplayText&gt;&lt;record&gt;&lt;rec-number&gt;26&lt;/rec-number&gt;&lt;foreign-keys&gt;&lt;key app="EN" db-id="rwz09pa0y9ee9se9epe5f5xde52pzetxev5x" timestamp="1508890330"&gt;26&lt;/key&gt;&lt;/foreign-keys&gt;&lt;ref-type name="Journal Article"&gt;17&lt;/ref-type&gt;&lt;contributors&gt;&lt;authors&gt;&lt;author&gt;Dalton, D. R.&lt;/author&gt;&lt;/authors&gt;&lt;/contributors&gt;&lt;auth-address&gt;dan_dalton@med.unc.edu.&lt;/auth-address&gt;&lt;titles&gt;&lt;title&gt;Hemophilia in the managed care setting&lt;/title&gt;&lt;secondary-title&gt;Am J Manag Care&lt;/secondary-title&gt;&lt;alt-title&gt;The American journal of managed care&lt;/alt-title&gt;&lt;/titles&gt;&lt;periodical&gt;&lt;full-title&gt;Am J Manag Care&lt;/full-title&gt;&lt;abbr-1&gt;The American journal of managed care&lt;/abbr-1&gt;&lt;/periodical&gt;&lt;alt-periodical&gt;&lt;full-title&gt;Am J Manag Care&lt;/full-title&gt;&lt;abbr-1&gt;The American journal of managed care&lt;/abbr-1&gt;&lt;/alt-periodical&gt;&lt;pages&gt;S123-30&lt;/pages&gt;&lt;volume&gt;21&lt;/volume&gt;&lt;number&gt;6 Suppl&lt;/number&gt;&lt;edition&gt;2015/07/15&lt;/edition&gt;&lt;keywords&gt;&lt;keyword&gt;Antibodies/blood&lt;/keyword&gt;&lt;keyword&gt;Blood Coagulation Factors/economics/therapeutic use&lt;/keyword&gt;&lt;keyword&gt;Cost of Illness&lt;/keyword&gt;&lt;keyword&gt;Hemophilia A/complications/*economics/*therapy&lt;/keyword&gt;&lt;keyword&gt;Hemophilia B/complications/*economics/*therapy&lt;/keyword&gt;&lt;keyword&gt;Humans&lt;/keyword&gt;&lt;keyword&gt;Insurance Coverage&lt;/keyword&gt;&lt;keyword&gt;*Managed Care Programs&lt;/keyword&gt;&lt;keyword&gt;Patient Care Team&lt;/keyword&gt;&lt;keyword&gt;Pharmaceutical Services&lt;/keyword&gt;&lt;/keywords&gt;&lt;dates&gt;&lt;year&gt;2015&lt;/year&gt;&lt;pub-dates&gt;&lt;date&gt;Mar&lt;/date&gt;&lt;/pub-dates&gt;&lt;/dates&gt;&lt;isbn&gt;1088-0224&lt;/isbn&gt;&lt;accession-num&gt;26168207&lt;/accession-num&gt;&lt;urls&gt;&lt;/urls&gt;&lt;remote-database-provider&gt;NLM&lt;/remote-database-provider&gt;&lt;language&gt;eng&lt;/language&gt;&lt;/record&gt;&lt;/Cite&gt;&lt;/EndNote&gt;</w:instrText>
      </w:r>
      <w:r w:rsidRPr="001F231E">
        <w:rPr>
          <w:i/>
        </w:rPr>
        <w:fldChar w:fldCharType="separate"/>
      </w:r>
      <w:r w:rsidRPr="001F231E">
        <w:rPr>
          <w:i/>
          <w:noProof/>
        </w:rPr>
        <w:t>(Dalton 2015)</w:t>
      </w:r>
      <w:r w:rsidRPr="001F231E">
        <w:rPr>
          <w:i/>
        </w:rPr>
        <w:fldChar w:fldCharType="end"/>
      </w:r>
      <w:r w:rsidRPr="001F231E">
        <w:rPr>
          <w:i/>
        </w:rPr>
        <w:t xml:space="preserve">. </w:t>
      </w:r>
      <w:r w:rsidR="0012274B" w:rsidRPr="001F231E">
        <w:rPr>
          <w:i/>
        </w:rPr>
        <w:t>When considering costs associated with various comparators the frequency of administration, associated costs and burden on patients and caregivers could be considered.</w:t>
      </w:r>
    </w:p>
    <w:p w14:paraId="08AF39EC" w14:textId="77777777" w:rsidR="002B3338" w:rsidRDefault="002B3338" w:rsidP="002B3338">
      <w:pPr>
        <w:rPr>
          <w:i/>
        </w:rPr>
      </w:pPr>
      <w:r>
        <w:rPr>
          <w:i/>
          <w:u w:val="single"/>
        </w:rPr>
        <w:t>Rationale</w:t>
      </w:r>
    </w:p>
    <w:p w14:paraId="35B6971C" w14:textId="1D60670A" w:rsidR="003A6525" w:rsidRDefault="005552D0" w:rsidP="005552D0">
      <w:r>
        <w:t>No additional comments</w:t>
      </w:r>
    </w:p>
    <w:p w14:paraId="165D9FE9" w14:textId="77777777" w:rsidR="003A6525" w:rsidRDefault="003A6525">
      <w:r>
        <w:br w:type="page"/>
      </w:r>
    </w:p>
    <w:p w14:paraId="08AF39EE" w14:textId="5D614DC5" w:rsidR="00896845" w:rsidRDefault="00896845" w:rsidP="0083678F">
      <w:pPr>
        <w:pStyle w:val="Heading2"/>
      </w:pPr>
      <w:r w:rsidRPr="00896845">
        <w:lastRenderedPageBreak/>
        <w:t>Current</w:t>
      </w:r>
      <w:r>
        <w:t xml:space="preserve"> clinical</w:t>
      </w:r>
      <w:r w:rsidRPr="00896845">
        <w:t xml:space="preserve"> management</w:t>
      </w:r>
      <w:r>
        <w:t xml:space="preserve"> algorithm</w:t>
      </w:r>
      <w:r w:rsidR="002B3338">
        <w:t xml:space="preserve"> for </w:t>
      </w:r>
      <w:r w:rsidR="003A6525">
        <w:t xml:space="preserve">patients with </w:t>
      </w:r>
      <w:r w:rsidR="003A6525" w:rsidRPr="003A6525">
        <w:t xml:space="preserve">congenital </w:t>
      </w:r>
      <w:r w:rsidR="003A6525">
        <w:t>h</w:t>
      </w:r>
      <w:r w:rsidR="003A6525" w:rsidRPr="003A6525">
        <w:t>aemophilia</w:t>
      </w:r>
    </w:p>
    <w:p w14:paraId="08AF39EF" w14:textId="2D0B0B82" w:rsidR="00E364F7" w:rsidRPr="00120EC3" w:rsidRDefault="00120EC3" w:rsidP="00E364F7">
      <w:r w:rsidRPr="00120EC3">
        <w:t>The applicant has provided the following clinical management algorithm</w:t>
      </w:r>
      <w:r>
        <w:t>.</w:t>
      </w:r>
    </w:p>
    <w:p w14:paraId="31A97F57" w14:textId="004910D4" w:rsidR="003A6525" w:rsidRDefault="003A6525" w:rsidP="00120EC3">
      <w:pPr>
        <w:pStyle w:val="Caption"/>
      </w:pPr>
      <w:r>
        <w:rPr>
          <w:noProof/>
          <w:lang w:val="en-AU" w:eastAsia="en-AU"/>
        </w:rPr>
        <w:drawing>
          <wp:inline distT="0" distB="0" distL="0" distR="0" wp14:anchorId="6DB2E99E" wp14:editId="293A2FCE">
            <wp:extent cx="5550545" cy="6595354"/>
            <wp:effectExtent l="0" t="0" r="0" b="0"/>
            <wp:docPr id="3" name="Picture 3" title="Figure 3 Current clinical management pathway for patients with congenital haemophilia (HMA) as provided by the appl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4445" cy="6599988"/>
                    </a:xfrm>
                    <a:prstGeom prst="rect">
                      <a:avLst/>
                    </a:prstGeom>
                    <a:noFill/>
                  </pic:spPr>
                </pic:pic>
              </a:graphicData>
            </a:graphic>
          </wp:inline>
        </w:drawing>
      </w:r>
    </w:p>
    <w:p w14:paraId="3B2D8497" w14:textId="23B90299" w:rsidR="00120EC3" w:rsidRDefault="00120EC3" w:rsidP="00120EC3">
      <w:pPr>
        <w:pStyle w:val="Caption"/>
      </w:pPr>
      <w:r>
        <w:t xml:space="preserve">Figure </w:t>
      </w:r>
      <w:r w:rsidR="00204041">
        <w:t>3</w:t>
      </w:r>
      <w:r w:rsidR="00BC6721">
        <w:t xml:space="preserve">  </w:t>
      </w:r>
      <w:r>
        <w:t xml:space="preserve">Current clinical management pathway </w:t>
      </w:r>
      <w:r w:rsidR="003A6525">
        <w:t xml:space="preserve">for patients with </w:t>
      </w:r>
      <w:r w:rsidR="003A6525" w:rsidRPr="003A6525">
        <w:t xml:space="preserve">congenital </w:t>
      </w:r>
      <w:r w:rsidR="003A6525">
        <w:t>haemophilia (HMA)</w:t>
      </w:r>
      <w:r w:rsidR="003A6525" w:rsidRPr="003A6525">
        <w:t xml:space="preserve"> </w:t>
      </w:r>
      <w:r w:rsidR="003A6525">
        <w:t xml:space="preserve">as </w:t>
      </w:r>
      <w:r>
        <w:t>provided by the applicant</w:t>
      </w:r>
    </w:p>
    <w:p w14:paraId="7305ACBC" w14:textId="77ADFDAA" w:rsidR="00127BB1" w:rsidRDefault="00127BB1" w:rsidP="00F95C63">
      <w:r>
        <w:br w:type="page"/>
      </w:r>
    </w:p>
    <w:p w14:paraId="08AF39F0" w14:textId="6C172396" w:rsidR="00896845" w:rsidRDefault="00896845" w:rsidP="00792ED5">
      <w:pPr>
        <w:pStyle w:val="Heading2"/>
      </w:pPr>
      <w:r w:rsidRPr="00896845">
        <w:lastRenderedPageBreak/>
        <w:t xml:space="preserve">Proposed </w:t>
      </w:r>
      <w:r>
        <w:t>clinical</w:t>
      </w:r>
      <w:r w:rsidRPr="00896845">
        <w:t xml:space="preserve"> management</w:t>
      </w:r>
      <w:r>
        <w:t xml:space="preserve"> algorithm</w:t>
      </w:r>
      <w:r w:rsidR="002B3338">
        <w:t xml:space="preserve"> for identified </w:t>
      </w:r>
      <w:r w:rsidR="00B03CF1">
        <w:t xml:space="preserve">for </w:t>
      </w:r>
      <w:r w:rsidR="002B3338">
        <w:t>population</w:t>
      </w:r>
      <w:r w:rsidR="00B03CF1">
        <w:t>s</w:t>
      </w:r>
      <w:r w:rsidR="00F95C63">
        <w:t xml:space="preserve"> </w:t>
      </w:r>
      <w:r w:rsidR="00B03CF1">
        <w:t>one and two</w:t>
      </w:r>
    </w:p>
    <w:p w14:paraId="5B7297AC" w14:textId="1BC53F63" w:rsidR="00120EC3" w:rsidRPr="00120EC3" w:rsidRDefault="00120EC3" w:rsidP="00120EC3">
      <w:r w:rsidRPr="00120EC3">
        <w:t>The applicant has provided the following clinical management algorithm</w:t>
      </w:r>
      <w:r>
        <w:t>.</w:t>
      </w:r>
    </w:p>
    <w:p w14:paraId="4EBD0FAD" w14:textId="57821F09" w:rsidR="00B03CF1" w:rsidRDefault="00B03CF1" w:rsidP="00120EC3">
      <w:pPr>
        <w:pStyle w:val="Caption"/>
      </w:pPr>
      <w:r>
        <w:rPr>
          <w:noProof/>
          <w:lang w:val="en-AU" w:eastAsia="en-AU"/>
        </w:rPr>
        <w:drawing>
          <wp:inline distT="0" distB="0" distL="0" distR="0" wp14:anchorId="1CE49689" wp14:editId="19A21B83">
            <wp:extent cx="5535038" cy="6709282"/>
            <wp:effectExtent l="0" t="0" r="0" b="0"/>
            <wp:docPr id="4" name="Picture 4" title="Figure 4 Proposed clinical management pathway for patients with congenital haemophilia (HMA) as provided by the appl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8927" cy="6713996"/>
                    </a:xfrm>
                    <a:prstGeom prst="rect">
                      <a:avLst/>
                    </a:prstGeom>
                    <a:noFill/>
                  </pic:spPr>
                </pic:pic>
              </a:graphicData>
            </a:graphic>
          </wp:inline>
        </w:drawing>
      </w:r>
    </w:p>
    <w:p w14:paraId="490137BC" w14:textId="77777777" w:rsidR="00B03CF1" w:rsidRPr="00B03CF1" w:rsidRDefault="00B03CF1" w:rsidP="0069402E">
      <w:pPr>
        <w:spacing w:after="0"/>
        <w:rPr>
          <w:lang w:val="en-GB" w:eastAsia="ja-JP"/>
        </w:rPr>
      </w:pPr>
    </w:p>
    <w:p w14:paraId="1823C7FF" w14:textId="0BA56C25" w:rsidR="00120EC3" w:rsidRDefault="00120EC3" w:rsidP="00120EC3">
      <w:pPr>
        <w:pStyle w:val="Caption"/>
      </w:pPr>
      <w:r>
        <w:t xml:space="preserve">Figure </w:t>
      </w:r>
      <w:r w:rsidR="00204041">
        <w:t>4</w:t>
      </w:r>
      <w:r w:rsidR="00BC6721">
        <w:t xml:space="preserve"> </w:t>
      </w:r>
      <w:r>
        <w:tab/>
      </w:r>
      <w:r w:rsidRPr="00120EC3">
        <w:t xml:space="preserve">Proposed </w:t>
      </w:r>
      <w:r>
        <w:t>c</w:t>
      </w:r>
      <w:r w:rsidRPr="00120EC3">
        <w:t xml:space="preserve">linical </w:t>
      </w:r>
      <w:r>
        <w:t>m</w:t>
      </w:r>
      <w:r w:rsidRPr="00120EC3">
        <w:t xml:space="preserve">anagement </w:t>
      </w:r>
      <w:r>
        <w:t>p</w:t>
      </w:r>
      <w:r w:rsidRPr="00120EC3">
        <w:t>athway</w:t>
      </w:r>
      <w:r>
        <w:t xml:space="preserve"> </w:t>
      </w:r>
      <w:r w:rsidR="00B03CF1" w:rsidRPr="00B03CF1">
        <w:t>for patients with congenital haemophilia (HMA) as provided by the applicant</w:t>
      </w:r>
      <w:r w:rsidR="00B03CF1">
        <w:t>.</w:t>
      </w:r>
    </w:p>
    <w:p w14:paraId="45EB3FA1" w14:textId="24C7DD29" w:rsidR="00120EC3" w:rsidRDefault="00120EC3" w:rsidP="00120EC3"/>
    <w:p w14:paraId="39F76106" w14:textId="77777777" w:rsidR="0069402E" w:rsidRDefault="0069402E" w:rsidP="00120EC3"/>
    <w:p w14:paraId="08AF39F2" w14:textId="7339DE14" w:rsidR="00E968F6" w:rsidRDefault="003E0382" w:rsidP="00B03CF1">
      <w:pPr>
        <w:pStyle w:val="Heading2"/>
      </w:pPr>
      <w:r>
        <w:lastRenderedPageBreak/>
        <w:t xml:space="preserve">Proposed </w:t>
      </w:r>
      <w:r w:rsidR="002B226C">
        <w:t xml:space="preserve">economic </w:t>
      </w:r>
      <w:r w:rsidR="009E5295">
        <w:t>evaluation</w:t>
      </w:r>
    </w:p>
    <w:p w14:paraId="47CDD08D" w14:textId="791D858A" w:rsidR="0000123E" w:rsidRDefault="00216D68" w:rsidP="0000123E">
      <w:r>
        <w:t>The applicant has specified that the comparative claim is one of superior effect</w:t>
      </w:r>
      <w:r w:rsidR="00A54C6F">
        <w:t xml:space="preserve">iveness and non-inferior safety as follows </w:t>
      </w:r>
      <w:r w:rsidR="00A54C6F" w:rsidRPr="00792ED5">
        <w:rPr>
          <w:i/>
        </w:rPr>
        <w:t xml:space="preserve">“weekly subcutaneous emicizumab is associated with superior health outcomes for HMA patients with </w:t>
      </w:r>
      <w:r w:rsidR="00862E23" w:rsidRPr="00792ED5">
        <w:rPr>
          <w:i/>
        </w:rPr>
        <w:t>factor VIII</w:t>
      </w:r>
      <w:r w:rsidR="00A54C6F" w:rsidRPr="00792ED5">
        <w:rPr>
          <w:i/>
        </w:rPr>
        <w:t xml:space="preserve"> inhibitors through improved efficacy (reduction in bleeds), improved convenience and acceptable safety over currently available treatments</w:t>
      </w:r>
      <w:r w:rsidR="00A54C6F" w:rsidRPr="00A54C6F">
        <w:t>.”</w:t>
      </w:r>
    </w:p>
    <w:p w14:paraId="2144FD49" w14:textId="295F5860" w:rsidR="00A54C6F" w:rsidRDefault="0000123E" w:rsidP="006A4D75">
      <w:r>
        <w:t xml:space="preserve">Given that the applicant is claiming </w:t>
      </w:r>
      <w:r w:rsidRPr="0000123E">
        <w:t>superiority</w:t>
      </w:r>
      <w:r>
        <w:t xml:space="preserve"> relative to currently available treatments then </w:t>
      </w:r>
      <w:r w:rsidR="006A4D75" w:rsidRPr="0000123E">
        <w:t xml:space="preserve">a </w:t>
      </w:r>
      <w:r w:rsidR="006A4D75">
        <w:t>cost</w:t>
      </w:r>
      <w:r>
        <w:t>-effectiveness</w:t>
      </w:r>
      <w:r w:rsidR="006A4D75">
        <w:t xml:space="preserve"> </w:t>
      </w:r>
      <w:r>
        <w:t>analysis or cost-utility analysis is appropriate to determine whether the increase in health</w:t>
      </w:r>
      <w:r w:rsidR="006A4D75">
        <w:t xml:space="preserve"> </w:t>
      </w:r>
      <w:r>
        <w:t xml:space="preserve">outcomes (and any cost offsets) justifies the </w:t>
      </w:r>
      <w:r w:rsidR="006A4D75">
        <w:t xml:space="preserve">increased expense (presumed). Based on the plentiful literature on </w:t>
      </w:r>
      <w:r w:rsidR="00792ED5">
        <w:t>HMA</w:t>
      </w:r>
      <w:r w:rsidR="006A4D75">
        <w:t xml:space="preserve"> it should be feasible to present a cost-utility analysis quantifying the QALY gains associated with the proposed listing of emicizumab.</w:t>
      </w:r>
      <w:r w:rsidR="00933D6F">
        <w:t xml:space="preserve"> PASC agreed that a cost-utility analysis would be </w:t>
      </w:r>
      <w:r w:rsidR="00450819">
        <w:t>preferred with multiple health states to be integrated</w:t>
      </w:r>
      <w:r w:rsidR="00933D6F">
        <w:t xml:space="preserve">. </w:t>
      </w:r>
    </w:p>
    <w:p w14:paraId="0E4040FD" w14:textId="1271B00C" w:rsidR="006A4D75" w:rsidRDefault="006A6ADA" w:rsidP="00216D68">
      <w:r>
        <w:t>Where n</w:t>
      </w:r>
      <w:r w:rsidR="00216D68">
        <w:t xml:space="preserve">o </w:t>
      </w:r>
      <w:r>
        <w:t xml:space="preserve">direct </w:t>
      </w:r>
      <w:r w:rsidR="00216D68">
        <w:t xml:space="preserve">clinical evidence comparing emicizumab to </w:t>
      </w:r>
      <w:r>
        <w:t>a relevant comparator</w:t>
      </w:r>
      <w:r w:rsidR="00216D68">
        <w:t xml:space="preserve"> is available a comparison of effectiveness and safety will </w:t>
      </w:r>
      <w:r>
        <w:t xml:space="preserve">therefore be </w:t>
      </w:r>
      <w:r w:rsidR="00216D68" w:rsidRPr="00216D68">
        <w:rPr>
          <w:i/>
        </w:rPr>
        <w:t>indirect</w:t>
      </w:r>
      <w:r w:rsidR="00216D68">
        <w:t>.</w:t>
      </w:r>
      <w:r w:rsidR="00A54C6F">
        <w:t xml:space="preserve"> A</w:t>
      </w:r>
      <w:r>
        <w:t xml:space="preserve"> list of ongoing and published studies has been tabulated which provides some indication of possible comparisons.</w:t>
      </w:r>
    </w:p>
    <w:p w14:paraId="09358899" w14:textId="47BB32F7" w:rsidR="00C65B14" w:rsidRDefault="00933D6F" w:rsidP="00933D6F">
      <w:r>
        <w:t xml:space="preserve">PASC specified that the analysis would need to include multiple health states and should incorporate </w:t>
      </w:r>
      <w:r w:rsidR="006A4D75" w:rsidRPr="006A4D75">
        <w:t xml:space="preserve">different </w:t>
      </w:r>
      <w:r w:rsidR="00792ED5">
        <w:t>management</w:t>
      </w:r>
      <w:r w:rsidR="006A4D75" w:rsidRPr="006A4D75">
        <w:t xml:space="preserve"> regimen</w:t>
      </w:r>
      <w:r w:rsidR="006A4D75">
        <w:t>s</w:t>
      </w:r>
      <w:r w:rsidR="006A4D75" w:rsidRPr="006A4D75">
        <w:t xml:space="preserve"> for </w:t>
      </w:r>
      <w:r w:rsidR="00792ED5">
        <w:t>HMA</w:t>
      </w:r>
      <w:r w:rsidR="006A4D75">
        <w:t xml:space="preserve"> to capture the expected clinical outcomes and costs of each over a</w:t>
      </w:r>
      <w:r>
        <w:t xml:space="preserve">n appropriate time. </w:t>
      </w:r>
      <w:r w:rsidR="0035378C">
        <w:t xml:space="preserve"> </w:t>
      </w:r>
    </w:p>
    <w:p w14:paraId="0FF7B721" w14:textId="77777777" w:rsidR="005C77B3" w:rsidRDefault="0035378C" w:rsidP="00933D6F">
      <w:r>
        <w:t>PASC noted the potential for entry of emicizumab into the</w:t>
      </w:r>
      <w:r w:rsidRPr="0035378C">
        <w:t xml:space="preserve"> algorithm at multiple points</w:t>
      </w:r>
      <w:r w:rsidR="00C65B14">
        <w:t xml:space="preserve"> and this had implications to whether partial or whole of disease modelling be adopted. Given that two populations, each with separate comparators, have been identified by PASC then two partial disease models may be more informative to MSAC in evaluating the cost effectiveness of emicizumab for these populations. </w:t>
      </w:r>
    </w:p>
    <w:p w14:paraId="3E831E1B" w14:textId="0299B2AD" w:rsidR="00E65FF7" w:rsidRDefault="00933D6F" w:rsidP="00933D6F">
      <w:r>
        <w:t>I</w:t>
      </w:r>
      <w:r w:rsidR="006A4D75">
        <w:t xml:space="preserve">t is likely </w:t>
      </w:r>
      <w:r>
        <w:t xml:space="preserve">necessary </w:t>
      </w:r>
      <w:r w:rsidR="006A4D75">
        <w:t>to distinguish</w:t>
      </w:r>
      <w:r w:rsidR="006F1382">
        <w:t xml:space="preserve"> several health states including</w:t>
      </w:r>
      <w:r w:rsidR="006A4D75">
        <w:t xml:space="preserve"> high and low</w:t>
      </w:r>
      <w:r w:rsidR="003E173E">
        <w:t>-</w:t>
      </w:r>
      <w:r w:rsidR="006F1382">
        <w:t>titre inhibitor</w:t>
      </w:r>
      <w:r w:rsidR="006A4D75">
        <w:t xml:space="preserve"> patients</w:t>
      </w:r>
      <w:r w:rsidR="006F1382">
        <w:t xml:space="preserve"> and those who have failed or relapsed after </w:t>
      </w:r>
      <w:r w:rsidR="00792ED5">
        <w:t>ITI</w:t>
      </w:r>
      <w:r w:rsidR="006A4D75">
        <w:t xml:space="preserve"> as this signal</w:t>
      </w:r>
      <w:r w:rsidR="006F1382">
        <w:t>s</w:t>
      </w:r>
      <w:r w:rsidR="006A4D75">
        <w:t xml:space="preserve"> differences in management approaches and expected complications. </w:t>
      </w:r>
      <w:r w:rsidR="008F222A" w:rsidRPr="008F222A">
        <w:t>Table 8 provides an overview of relevant features of a range of prophylactic strategies</w:t>
      </w:r>
      <w:r w:rsidR="008F222A">
        <w:t xml:space="preserve"> </w:t>
      </w:r>
      <w:r>
        <w:t xml:space="preserve">for patients with HMA. </w:t>
      </w:r>
      <w:r w:rsidR="00E65FF7">
        <w:br w:type="page"/>
      </w:r>
    </w:p>
    <w:p w14:paraId="71FF35E7" w14:textId="551B3129" w:rsidR="008F222A" w:rsidRPr="00792ED5" w:rsidRDefault="008F222A" w:rsidP="008F222A">
      <w:pPr>
        <w:pStyle w:val="Caption"/>
      </w:pPr>
      <w:bookmarkStart w:id="11" w:name="_Ref495659039"/>
      <w:r w:rsidRPr="00792ED5">
        <w:lastRenderedPageBreak/>
        <w:t xml:space="preserve">Table </w:t>
      </w:r>
      <w:r w:rsidRPr="00792ED5">
        <w:fldChar w:fldCharType="begin"/>
      </w:r>
      <w:r w:rsidRPr="00792ED5">
        <w:instrText xml:space="preserve"> SEQ Table \* ARABIC </w:instrText>
      </w:r>
      <w:r w:rsidRPr="00792ED5">
        <w:fldChar w:fldCharType="separate"/>
      </w:r>
      <w:r w:rsidR="00A04E68">
        <w:rPr>
          <w:noProof/>
        </w:rPr>
        <w:t>8</w:t>
      </w:r>
      <w:r w:rsidRPr="00792ED5">
        <w:fldChar w:fldCharType="end"/>
      </w:r>
      <w:bookmarkEnd w:id="11"/>
      <w:r w:rsidRPr="00792ED5">
        <w:tab/>
        <w:t xml:space="preserve">Overview of different treatment strategies to facilitate collection of appropriate administration and utilisation costs associated with potential comparators </w:t>
      </w:r>
      <w:r w:rsidR="00DD439E" w:rsidRPr="00792ED5">
        <w:fldChar w:fldCharType="begin">
          <w:fldData xml:space="preserve">PEVuZE5vdGU+PENpdGU+PEF1dGhvcj5BdXN0cmFsaWFuIEhhZW1vcGhpbGlhIENlbnRyZSBEaXJl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cGFnZXM+ODA5LTgxODwvcGFnZXM+PHZvbHVtZT4zNzc8L3ZvbHVtZT48bnVtYmVyPjk8L251bWJl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</w:fldData>
        </w:fldChar>
      </w:r>
      <w:r w:rsidR="00DF30B8" w:rsidRPr="004A2A19">
        <w:instrText xml:space="preserve"> ADDIN EN.CITE </w:instrText>
      </w:r>
      <w:r w:rsidR="00DF30B8" w:rsidRPr="0005482E">
        <w:fldChar w:fldCharType="begin">
          <w:fldData xml:space="preserve">PEVuZE5vdGU+PENpdGU+PEF1dGhvcj5BdXN0cmFsaWFuIEhhZW1vcGhpbGlhIENlbnRyZSBEaXJl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cGFnZXM+ODA5LTgxODwvcGFnZXM+PHZvbHVtZT4zNzc8L3ZvbHVtZT48bnVtYmVyPjk8L251bWJl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</w:fldData>
        </w:fldChar>
      </w:r>
      <w:r w:rsidR="00DF30B8" w:rsidRPr="004A2A19">
        <w:instrText xml:space="preserve"> ADDIN EN.CITE.DATA </w:instrText>
      </w:r>
      <w:r w:rsidR="00DF30B8" w:rsidRPr="0005482E">
        <w:fldChar w:fldCharType="end"/>
      </w:r>
      <w:r w:rsidR="00DD439E" w:rsidRPr="00792ED5">
        <w:fldChar w:fldCharType="separate"/>
      </w:r>
      <w:r w:rsidR="00DD439E" w:rsidRPr="00792ED5">
        <w:rPr>
          <w:noProof/>
        </w:rPr>
        <w:t>(Australian Haemophilia Centre Directors’ Organisation 2010; National Blood Authority 2016a; Oldenburg et al 2017; Sborov and Rodgers 2013; Witmer and Young 2013)</w:t>
      </w:r>
      <w:r w:rsidR="00DD439E" w:rsidRPr="00792ED5">
        <w:fldChar w:fldCharType="end"/>
      </w:r>
    </w:p>
    <w:tbl>
      <w:tblPr>
        <w:tblStyle w:val="TableGrid"/>
        <w:tblW w:w="5000" w:type="pct"/>
        <w:tblBorders>
          <w:insideV w:val="none" w:sz="0" w:space="0" w:color="auto"/>
        </w:tblBorders>
        <w:tblLook w:val="04A0" w:firstRow="1" w:lastRow="0" w:firstColumn="1" w:lastColumn="0" w:noHBand="0" w:noVBand="1"/>
        <w:tblCaption w:val="Table 8 Overview of different treatment strategies to facilitate collection of appropriate administration and utilisation costs associated with potential comparators (Australian Haemophilia Centre Directors’ Organisation 2010; National Blood Authority 2016a; Oldenburg et al 2017; Sborov and Rodgers 2013; Witmer and Young 2013)"/>
      </w:tblPr>
      <w:tblGrid>
        <w:gridCol w:w="1951"/>
        <w:gridCol w:w="3969"/>
        <w:gridCol w:w="3322"/>
      </w:tblGrid>
      <w:tr w:rsidR="008F222A" w:rsidRPr="0083678F" w14:paraId="1233DCFE" w14:textId="77777777" w:rsidTr="000A2091">
        <w:trPr>
          <w:tblHeader/>
        </w:trPr>
        <w:tc>
          <w:tcPr>
            <w:tcW w:w="1056" w:type="pct"/>
            <w:shd w:val="clear" w:color="auto" w:fill="D9D9D9" w:themeFill="background1" w:themeFillShade="D9"/>
          </w:tcPr>
          <w:p w14:paraId="66C3E14B" w14:textId="77777777" w:rsidR="008F222A" w:rsidRPr="0083678F" w:rsidRDefault="008F222A">
            <w:pPr>
              <w:spacing w:after="60" w:line="276" w:lineRule="auto"/>
              <w:rPr>
                <w:rFonts w:ascii="Arial Narrow" w:hAnsi="Arial Narrow"/>
                <w:sz w:val="20"/>
                <w:szCs w:val="20"/>
              </w:rPr>
            </w:pPr>
          </w:p>
        </w:tc>
        <w:tc>
          <w:tcPr>
            <w:tcW w:w="2147" w:type="pct"/>
            <w:shd w:val="clear" w:color="auto" w:fill="D9D9D9" w:themeFill="background1" w:themeFillShade="D9"/>
          </w:tcPr>
          <w:p w14:paraId="03A6D630" w14:textId="77777777" w:rsidR="008F222A" w:rsidRPr="0083678F" w:rsidRDefault="008F222A">
            <w:pPr>
              <w:spacing w:after="60" w:line="276" w:lineRule="auto"/>
              <w:ind w:left="720"/>
              <w:rPr>
                <w:rFonts w:ascii="Arial Narrow" w:hAnsi="Arial Narrow"/>
                <w:b/>
                <w:sz w:val="20"/>
                <w:szCs w:val="20"/>
              </w:rPr>
            </w:pPr>
            <w:r w:rsidRPr="0083678F">
              <w:rPr>
                <w:rFonts w:ascii="Arial Narrow" w:hAnsi="Arial Narrow"/>
                <w:b/>
                <w:sz w:val="20"/>
                <w:szCs w:val="20"/>
              </w:rPr>
              <w:t>Regimen and dosing</w:t>
            </w:r>
          </w:p>
          <w:p w14:paraId="32739E0B" w14:textId="77777777" w:rsidR="008F222A" w:rsidRPr="0083678F" w:rsidRDefault="008F222A">
            <w:pPr>
              <w:spacing w:after="60" w:line="276" w:lineRule="auto"/>
              <w:ind w:left="720"/>
              <w:rPr>
                <w:rFonts w:ascii="Arial Narrow" w:hAnsi="Arial Narrow"/>
                <w:b/>
                <w:sz w:val="20"/>
                <w:szCs w:val="20"/>
              </w:rPr>
            </w:pPr>
            <w:r w:rsidRPr="0083678F">
              <w:rPr>
                <w:rFonts w:ascii="Arial Narrow" w:hAnsi="Arial Narrow"/>
                <w:b/>
                <w:sz w:val="20"/>
                <w:szCs w:val="20"/>
              </w:rPr>
              <w:t>Duration of treatment</w:t>
            </w:r>
          </w:p>
          <w:p w14:paraId="1882E517" w14:textId="77777777" w:rsidR="008F222A" w:rsidRPr="0083678F" w:rsidRDefault="008F222A">
            <w:pPr>
              <w:spacing w:after="60" w:line="276" w:lineRule="auto"/>
              <w:ind w:left="720"/>
              <w:rPr>
                <w:rFonts w:ascii="Arial Narrow" w:hAnsi="Arial Narrow"/>
                <w:b/>
                <w:sz w:val="20"/>
                <w:szCs w:val="20"/>
              </w:rPr>
            </w:pPr>
            <w:r w:rsidRPr="0083678F">
              <w:rPr>
                <w:rFonts w:ascii="Arial Narrow" w:hAnsi="Arial Narrow"/>
                <w:b/>
                <w:sz w:val="20"/>
                <w:szCs w:val="20"/>
              </w:rPr>
              <w:t xml:space="preserve">Time required </w:t>
            </w:r>
          </w:p>
        </w:tc>
        <w:tc>
          <w:tcPr>
            <w:tcW w:w="1797" w:type="pct"/>
            <w:shd w:val="clear" w:color="auto" w:fill="D9D9D9" w:themeFill="background1" w:themeFillShade="D9"/>
          </w:tcPr>
          <w:p w14:paraId="709B55B4" w14:textId="77777777" w:rsidR="008F222A" w:rsidRPr="0083678F" w:rsidRDefault="008F222A">
            <w:pPr>
              <w:spacing w:after="60" w:line="276" w:lineRule="auto"/>
              <w:rPr>
                <w:rFonts w:ascii="Arial Narrow" w:hAnsi="Arial Narrow"/>
                <w:b/>
                <w:sz w:val="20"/>
                <w:szCs w:val="20"/>
              </w:rPr>
            </w:pPr>
            <w:r w:rsidRPr="0083678F">
              <w:rPr>
                <w:rFonts w:ascii="Arial Narrow" w:hAnsi="Arial Narrow"/>
                <w:b/>
                <w:sz w:val="20"/>
                <w:szCs w:val="20"/>
              </w:rPr>
              <w:t>Management of bleeding episodes</w:t>
            </w:r>
          </w:p>
        </w:tc>
      </w:tr>
      <w:tr w:rsidR="008F222A" w:rsidRPr="0083678F" w14:paraId="59B06191" w14:textId="77777777" w:rsidTr="00081551">
        <w:tc>
          <w:tcPr>
            <w:tcW w:w="1056" w:type="pct"/>
          </w:tcPr>
          <w:p w14:paraId="6AB1C6D3" w14:textId="0B6B34E5" w:rsidR="008F222A" w:rsidRPr="0083678F" w:rsidRDefault="008F222A" w:rsidP="00792ED5">
            <w:pPr>
              <w:spacing w:after="60" w:line="276" w:lineRule="auto"/>
              <w:rPr>
                <w:rFonts w:ascii="Arial Narrow" w:hAnsi="Arial Narrow"/>
                <w:sz w:val="20"/>
                <w:szCs w:val="20"/>
              </w:rPr>
            </w:pPr>
            <w:r w:rsidRPr="0083678F">
              <w:rPr>
                <w:rFonts w:ascii="Arial Narrow" w:hAnsi="Arial Narrow"/>
                <w:sz w:val="20"/>
                <w:szCs w:val="20"/>
              </w:rPr>
              <w:t xml:space="preserve">Increased dose of </w:t>
            </w:r>
            <w:r w:rsidR="00792ED5">
              <w:rPr>
                <w:rFonts w:ascii="Arial Narrow" w:hAnsi="Arial Narrow"/>
                <w:sz w:val="20"/>
                <w:szCs w:val="20"/>
              </w:rPr>
              <w:t>F</w:t>
            </w:r>
            <w:r w:rsidRPr="0083678F">
              <w:rPr>
                <w:rFonts w:ascii="Arial Narrow" w:hAnsi="Arial Narrow"/>
                <w:sz w:val="20"/>
                <w:szCs w:val="20"/>
              </w:rPr>
              <w:t>VIII (low</w:t>
            </w:r>
            <w:r w:rsidR="003E173E">
              <w:rPr>
                <w:rFonts w:ascii="Arial Narrow" w:hAnsi="Arial Narrow"/>
                <w:sz w:val="20"/>
                <w:szCs w:val="20"/>
              </w:rPr>
              <w:t>-</w:t>
            </w:r>
            <w:r w:rsidRPr="0083678F">
              <w:rPr>
                <w:rFonts w:ascii="Arial Narrow" w:hAnsi="Arial Narrow"/>
                <w:sz w:val="20"/>
                <w:szCs w:val="20"/>
              </w:rPr>
              <w:t>titre inhibitor only</w:t>
            </w:r>
            <w:r w:rsidR="00E65FF7" w:rsidRPr="0083678F">
              <w:rPr>
                <w:rFonts w:ascii="Arial Narrow" w:hAnsi="Arial Narrow"/>
                <w:sz w:val="20"/>
                <w:szCs w:val="20"/>
              </w:rPr>
              <w:t xml:space="preserve"> – not currently specified as a comparator</w:t>
            </w:r>
            <w:r w:rsidRPr="0083678F">
              <w:rPr>
                <w:rFonts w:ascii="Arial Narrow" w:hAnsi="Arial Narrow"/>
                <w:sz w:val="20"/>
                <w:szCs w:val="20"/>
              </w:rPr>
              <w:t>) prophylaxis</w:t>
            </w:r>
          </w:p>
        </w:tc>
        <w:tc>
          <w:tcPr>
            <w:tcW w:w="2147" w:type="pct"/>
          </w:tcPr>
          <w:p w14:paraId="41258297" w14:textId="0FEC2611" w:rsidR="008F222A" w:rsidRPr="0083678F" w:rsidRDefault="008F222A" w:rsidP="0083678F">
            <w:pPr>
              <w:pStyle w:val="ListParagraph"/>
              <w:numPr>
                <w:ilvl w:val="0"/>
                <w:numId w:val="13"/>
              </w:numPr>
              <w:spacing w:after="60" w:line="276" w:lineRule="auto"/>
              <w:rPr>
                <w:rFonts w:ascii="Arial Narrow" w:hAnsi="Arial Narrow"/>
                <w:sz w:val="20"/>
                <w:szCs w:val="20"/>
              </w:rPr>
            </w:pPr>
            <w:r w:rsidRPr="0083678F">
              <w:rPr>
                <w:rFonts w:ascii="Arial Narrow" w:hAnsi="Arial Narrow"/>
                <w:sz w:val="20"/>
                <w:szCs w:val="20"/>
              </w:rPr>
              <w:t xml:space="preserve">Administration of </w:t>
            </w:r>
            <w:r w:rsidR="00792ED5">
              <w:rPr>
                <w:rFonts w:ascii="Arial Narrow" w:hAnsi="Arial Narrow"/>
                <w:sz w:val="20"/>
                <w:szCs w:val="20"/>
              </w:rPr>
              <w:t>F</w:t>
            </w:r>
            <w:r w:rsidR="00862E23" w:rsidRPr="0083678F">
              <w:rPr>
                <w:rFonts w:ascii="Arial Narrow" w:hAnsi="Arial Narrow"/>
                <w:sz w:val="20"/>
                <w:szCs w:val="20"/>
              </w:rPr>
              <w:t>VIII</w:t>
            </w:r>
            <w:r w:rsidRPr="0083678F">
              <w:rPr>
                <w:rFonts w:ascii="Arial Narrow" w:hAnsi="Arial Narrow"/>
                <w:sz w:val="20"/>
                <w:szCs w:val="20"/>
              </w:rPr>
              <w:t xml:space="preserve"> ≥ 3 times per week</w:t>
            </w:r>
          </w:p>
          <w:p w14:paraId="570FB0F2" w14:textId="642E759E" w:rsidR="008F222A" w:rsidRPr="0083678F" w:rsidRDefault="008F222A" w:rsidP="0083678F">
            <w:pPr>
              <w:pStyle w:val="ListParagraph"/>
              <w:numPr>
                <w:ilvl w:val="0"/>
                <w:numId w:val="13"/>
              </w:numPr>
              <w:spacing w:after="60" w:line="276" w:lineRule="auto"/>
              <w:rPr>
                <w:rFonts w:ascii="Arial Narrow" w:hAnsi="Arial Narrow"/>
                <w:sz w:val="20"/>
                <w:szCs w:val="20"/>
              </w:rPr>
            </w:pPr>
            <w:r w:rsidRPr="0083678F">
              <w:rPr>
                <w:rFonts w:ascii="Arial Narrow" w:hAnsi="Arial Narrow"/>
                <w:sz w:val="20"/>
                <w:szCs w:val="20"/>
              </w:rPr>
              <w:t>Dose to maintain trough levels of 2% or higher</w:t>
            </w:r>
          </w:p>
          <w:p w14:paraId="100428CE" w14:textId="77777777" w:rsidR="008F222A" w:rsidRPr="0083678F" w:rsidRDefault="008F222A" w:rsidP="0083678F">
            <w:pPr>
              <w:pStyle w:val="ListParagraph"/>
              <w:numPr>
                <w:ilvl w:val="0"/>
                <w:numId w:val="13"/>
              </w:numPr>
              <w:spacing w:after="60" w:line="276" w:lineRule="auto"/>
              <w:rPr>
                <w:rFonts w:ascii="Arial Narrow" w:hAnsi="Arial Narrow"/>
                <w:sz w:val="20"/>
                <w:szCs w:val="20"/>
              </w:rPr>
            </w:pPr>
            <w:r w:rsidRPr="0083678F">
              <w:rPr>
                <w:rFonts w:ascii="Arial Narrow" w:hAnsi="Arial Narrow"/>
                <w:sz w:val="20"/>
                <w:szCs w:val="20"/>
              </w:rPr>
              <w:t>Lifelong treatment</w:t>
            </w:r>
          </w:p>
          <w:p w14:paraId="0A9E281A" w14:textId="77777777" w:rsidR="008F222A" w:rsidRPr="0083678F" w:rsidRDefault="008F222A" w:rsidP="0083678F">
            <w:pPr>
              <w:pStyle w:val="ListParagraph"/>
              <w:numPr>
                <w:ilvl w:val="0"/>
                <w:numId w:val="13"/>
              </w:numPr>
              <w:spacing w:after="60" w:line="276" w:lineRule="auto"/>
              <w:rPr>
                <w:rFonts w:ascii="Arial Narrow" w:hAnsi="Arial Narrow"/>
                <w:sz w:val="20"/>
                <w:szCs w:val="20"/>
              </w:rPr>
            </w:pPr>
            <w:r w:rsidRPr="0083678F">
              <w:rPr>
                <w:rFonts w:ascii="Arial Narrow" w:hAnsi="Arial Narrow"/>
                <w:sz w:val="20"/>
                <w:szCs w:val="20"/>
              </w:rPr>
              <w:t>Infusion (15-20 minutes)</w:t>
            </w:r>
          </w:p>
        </w:tc>
        <w:tc>
          <w:tcPr>
            <w:tcW w:w="1797" w:type="pct"/>
          </w:tcPr>
          <w:p w14:paraId="707528F0" w14:textId="24476425" w:rsidR="008F222A" w:rsidRPr="0083678F" w:rsidRDefault="008F222A" w:rsidP="000E5F7E">
            <w:pPr>
              <w:spacing w:after="60" w:line="276" w:lineRule="auto"/>
              <w:rPr>
                <w:rFonts w:ascii="Arial Narrow" w:hAnsi="Arial Narrow"/>
                <w:sz w:val="20"/>
                <w:szCs w:val="20"/>
              </w:rPr>
            </w:pPr>
            <w:r w:rsidRPr="0083678F">
              <w:rPr>
                <w:rFonts w:ascii="Arial Narrow" w:hAnsi="Arial Narrow"/>
                <w:sz w:val="20"/>
                <w:szCs w:val="20"/>
              </w:rPr>
              <w:t>Dose calculations are directed toward</w:t>
            </w:r>
            <w:r w:rsidR="003E173E">
              <w:rPr>
                <w:rFonts w:ascii="Arial Narrow" w:hAnsi="Arial Narrow"/>
                <w:sz w:val="20"/>
                <w:szCs w:val="20"/>
              </w:rPr>
              <w:t>s</w:t>
            </w:r>
            <w:r w:rsidRPr="0083678F">
              <w:rPr>
                <w:rFonts w:ascii="Arial Narrow" w:hAnsi="Arial Narrow"/>
                <w:sz w:val="20"/>
                <w:szCs w:val="20"/>
              </w:rPr>
              <w:t xml:space="preserve"> achieving an </w:t>
            </w:r>
            <w:r w:rsidR="00792ED5">
              <w:rPr>
                <w:rFonts w:ascii="Arial Narrow" w:hAnsi="Arial Narrow"/>
                <w:sz w:val="20"/>
                <w:szCs w:val="20"/>
              </w:rPr>
              <w:t>F</w:t>
            </w:r>
            <w:r w:rsidR="00862E23" w:rsidRPr="0083678F">
              <w:rPr>
                <w:rFonts w:ascii="Arial Narrow" w:hAnsi="Arial Narrow"/>
                <w:sz w:val="20"/>
                <w:szCs w:val="20"/>
              </w:rPr>
              <w:t>VIII</w:t>
            </w:r>
            <w:r w:rsidRPr="0083678F">
              <w:rPr>
                <w:rFonts w:ascii="Arial Narrow" w:hAnsi="Arial Narrow"/>
                <w:sz w:val="20"/>
                <w:szCs w:val="20"/>
              </w:rPr>
              <w:t xml:space="preserve"> activity level of 30-40% for most mild haemorrhages, of at least 50% for severe bleeds (e.g., from trauma) or prophylaxis of major dental surgery or major surgery, and 80-100% in life-threatening haemorrhage. BPAs might be required</w:t>
            </w:r>
          </w:p>
        </w:tc>
      </w:tr>
      <w:tr w:rsidR="008F222A" w:rsidRPr="0083678F" w14:paraId="2B70655F" w14:textId="77777777" w:rsidTr="00081551">
        <w:tc>
          <w:tcPr>
            <w:tcW w:w="1056" w:type="pct"/>
          </w:tcPr>
          <w:p w14:paraId="5E9BE48C" w14:textId="77777777" w:rsidR="008F222A" w:rsidRPr="0083678F" w:rsidRDefault="008F222A">
            <w:pPr>
              <w:spacing w:after="60" w:line="276" w:lineRule="auto"/>
              <w:rPr>
                <w:rFonts w:ascii="Arial Narrow" w:hAnsi="Arial Narrow"/>
                <w:sz w:val="20"/>
                <w:szCs w:val="20"/>
              </w:rPr>
            </w:pPr>
            <w:r w:rsidRPr="0083678F">
              <w:rPr>
                <w:rFonts w:ascii="Arial Narrow" w:hAnsi="Arial Narrow"/>
                <w:sz w:val="20"/>
                <w:szCs w:val="20"/>
              </w:rPr>
              <w:t xml:space="preserve">Immune tolerisation </w:t>
            </w:r>
          </w:p>
        </w:tc>
        <w:tc>
          <w:tcPr>
            <w:tcW w:w="2147" w:type="pct"/>
          </w:tcPr>
          <w:p w14:paraId="1D9BA5C7" w14:textId="515E6C53" w:rsidR="008F222A" w:rsidRPr="0083678F" w:rsidRDefault="008F222A" w:rsidP="0083678F">
            <w:pPr>
              <w:pStyle w:val="ListParagraph"/>
              <w:numPr>
                <w:ilvl w:val="0"/>
                <w:numId w:val="14"/>
              </w:numPr>
              <w:spacing w:after="60" w:line="276" w:lineRule="auto"/>
              <w:rPr>
                <w:rFonts w:ascii="Arial Narrow" w:hAnsi="Arial Narrow"/>
                <w:sz w:val="20"/>
                <w:szCs w:val="20"/>
              </w:rPr>
            </w:pPr>
            <w:r w:rsidRPr="0083678F">
              <w:rPr>
                <w:rFonts w:ascii="Arial Narrow" w:hAnsi="Arial Narrow"/>
                <w:sz w:val="20"/>
                <w:szCs w:val="20"/>
              </w:rPr>
              <w:t xml:space="preserve">Ongoing, frequent, uninterrupted exposure to </w:t>
            </w:r>
            <w:r w:rsidR="00792ED5">
              <w:rPr>
                <w:rFonts w:ascii="Arial Narrow" w:hAnsi="Arial Narrow"/>
                <w:sz w:val="20"/>
                <w:szCs w:val="20"/>
              </w:rPr>
              <w:t>F</w:t>
            </w:r>
            <w:r w:rsidR="00862E23" w:rsidRPr="0083678F">
              <w:rPr>
                <w:rFonts w:ascii="Arial Narrow" w:hAnsi="Arial Narrow"/>
                <w:sz w:val="20"/>
                <w:szCs w:val="20"/>
              </w:rPr>
              <w:t>VIII</w:t>
            </w:r>
            <w:r w:rsidRPr="0083678F">
              <w:rPr>
                <w:rFonts w:ascii="Arial Narrow" w:hAnsi="Arial Narrow"/>
                <w:sz w:val="20"/>
                <w:szCs w:val="20"/>
              </w:rPr>
              <w:t xml:space="preserve"> with concentrate or recombinant products. Doses up to 200 IU/kg/day</w:t>
            </w:r>
          </w:p>
          <w:p w14:paraId="773391BD" w14:textId="77777777" w:rsidR="008F222A" w:rsidRPr="0083678F" w:rsidRDefault="008F222A" w:rsidP="0083678F">
            <w:pPr>
              <w:pStyle w:val="ListParagraph"/>
              <w:numPr>
                <w:ilvl w:val="0"/>
                <w:numId w:val="14"/>
              </w:numPr>
              <w:spacing w:after="60" w:line="276" w:lineRule="auto"/>
              <w:rPr>
                <w:rFonts w:ascii="Arial Narrow" w:hAnsi="Arial Narrow"/>
                <w:sz w:val="20"/>
                <w:szCs w:val="20"/>
              </w:rPr>
            </w:pPr>
            <w:r w:rsidRPr="0083678F">
              <w:rPr>
                <w:rFonts w:ascii="Arial Narrow" w:hAnsi="Arial Narrow"/>
                <w:sz w:val="20"/>
                <w:szCs w:val="20"/>
              </w:rPr>
              <w:t xml:space="preserve">Takes </w:t>
            </w:r>
            <w:r w:rsidRPr="0083678F">
              <w:rPr>
                <w:rFonts w:ascii="Arial Narrow" w:hAnsi="Arial Narrow"/>
                <w:sz w:val="20"/>
                <w:szCs w:val="20"/>
                <w:u w:val="single"/>
              </w:rPr>
              <w:t>months to years</w:t>
            </w:r>
          </w:p>
          <w:p w14:paraId="106B06AF" w14:textId="5A624994" w:rsidR="008F222A" w:rsidRPr="0083678F" w:rsidRDefault="008F222A" w:rsidP="0083678F">
            <w:pPr>
              <w:pStyle w:val="ListParagraph"/>
              <w:numPr>
                <w:ilvl w:val="0"/>
                <w:numId w:val="14"/>
              </w:numPr>
              <w:spacing w:after="60" w:line="276" w:lineRule="auto"/>
              <w:rPr>
                <w:rFonts w:ascii="Arial Narrow" w:hAnsi="Arial Narrow"/>
                <w:sz w:val="20"/>
                <w:szCs w:val="20"/>
              </w:rPr>
            </w:pPr>
            <w:r w:rsidRPr="0083678F">
              <w:rPr>
                <w:rFonts w:ascii="Arial Narrow" w:hAnsi="Arial Narrow"/>
                <w:sz w:val="20"/>
                <w:szCs w:val="20"/>
              </w:rPr>
              <w:t xml:space="preserve">After successful </w:t>
            </w:r>
            <w:r w:rsidR="00862E23" w:rsidRPr="0083678F">
              <w:rPr>
                <w:rFonts w:ascii="Arial Narrow" w:hAnsi="Arial Narrow"/>
                <w:sz w:val="20"/>
                <w:szCs w:val="20"/>
              </w:rPr>
              <w:t>immune tolerisation induction</w:t>
            </w:r>
            <w:r w:rsidR="00792ED5">
              <w:rPr>
                <w:rFonts w:ascii="Arial Narrow" w:hAnsi="Arial Narrow"/>
                <w:sz w:val="20"/>
                <w:szCs w:val="20"/>
                <w:vertAlign w:val="superscript"/>
              </w:rPr>
              <w:t>1</w:t>
            </w:r>
            <w:r w:rsidRPr="0083678F">
              <w:rPr>
                <w:rFonts w:ascii="Arial Narrow" w:hAnsi="Arial Narrow"/>
                <w:sz w:val="20"/>
                <w:szCs w:val="20"/>
              </w:rPr>
              <w:t xml:space="preserve"> scheduled </w:t>
            </w:r>
            <w:r w:rsidR="00792ED5">
              <w:rPr>
                <w:rFonts w:ascii="Arial Narrow" w:hAnsi="Arial Narrow"/>
                <w:sz w:val="20"/>
                <w:szCs w:val="20"/>
              </w:rPr>
              <w:t>F</w:t>
            </w:r>
            <w:r w:rsidRPr="0083678F">
              <w:rPr>
                <w:rFonts w:ascii="Arial Narrow" w:hAnsi="Arial Narrow"/>
                <w:sz w:val="20"/>
                <w:szCs w:val="20"/>
              </w:rPr>
              <w:t>VIII prophylaxis 2 or 3 times per week is recommended</w:t>
            </w:r>
          </w:p>
          <w:p w14:paraId="74EC272F" w14:textId="77777777" w:rsidR="008F222A" w:rsidRPr="0083678F" w:rsidRDefault="008F222A" w:rsidP="0083678F">
            <w:pPr>
              <w:pStyle w:val="ListParagraph"/>
              <w:numPr>
                <w:ilvl w:val="0"/>
                <w:numId w:val="14"/>
              </w:numPr>
              <w:spacing w:after="60" w:line="276" w:lineRule="auto"/>
              <w:rPr>
                <w:rFonts w:ascii="Arial Narrow" w:hAnsi="Arial Narrow"/>
                <w:sz w:val="20"/>
                <w:szCs w:val="20"/>
              </w:rPr>
            </w:pPr>
            <w:r w:rsidRPr="0083678F">
              <w:rPr>
                <w:rFonts w:ascii="Arial Narrow" w:hAnsi="Arial Narrow"/>
                <w:sz w:val="20"/>
                <w:szCs w:val="20"/>
              </w:rPr>
              <w:t>Infusion (15-20 minutes). This frequently necessitates a central venous access device</w:t>
            </w:r>
          </w:p>
        </w:tc>
        <w:tc>
          <w:tcPr>
            <w:tcW w:w="1797" w:type="pct"/>
          </w:tcPr>
          <w:p w14:paraId="22A83E72" w14:textId="3E1116FC" w:rsidR="008F222A" w:rsidRPr="0083678F" w:rsidRDefault="008F222A" w:rsidP="00792ED5">
            <w:pPr>
              <w:spacing w:after="60" w:line="276" w:lineRule="auto"/>
              <w:rPr>
                <w:rFonts w:ascii="Arial Narrow" w:hAnsi="Arial Narrow"/>
                <w:sz w:val="20"/>
                <w:szCs w:val="20"/>
              </w:rPr>
            </w:pPr>
            <w:r w:rsidRPr="0083678F">
              <w:rPr>
                <w:rFonts w:ascii="Arial Narrow" w:hAnsi="Arial Narrow"/>
                <w:sz w:val="20"/>
                <w:szCs w:val="20"/>
              </w:rPr>
              <w:t xml:space="preserve">Larger than normal doses of </w:t>
            </w:r>
            <w:r w:rsidR="00792ED5">
              <w:rPr>
                <w:rFonts w:ascii="Arial Narrow" w:hAnsi="Arial Narrow"/>
                <w:sz w:val="20"/>
                <w:szCs w:val="20"/>
              </w:rPr>
              <w:t>F</w:t>
            </w:r>
            <w:r w:rsidR="00862E23" w:rsidRPr="0083678F">
              <w:rPr>
                <w:rFonts w:ascii="Arial Narrow" w:hAnsi="Arial Narrow"/>
                <w:sz w:val="20"/>
                <w:szCs w:val="20"/>
              </w:rPr>
              <w:t>VIII</w:t>
            </w:r>
            <w:r w:rsidRPr="0083678F">
              <w:rPr>
                <w:rFonts w:ascii="Arial Narrow" w:hAnsi="Arial Narrow"/>
                <w:sz w:val="20"/>
                <w:szCs w:val="20"/>
              </w:rPr>
              <w:t xml:space="preserve"> in low responders. Otherwise </w:t>
            </w:r>
            <w:r w:rsidR="00887604">
              <w:rPr>
                <w:rFonts w:ascii="Arial Narrow" w:hAnsi="Arial Narrow"/>
                <w:sz w:val="20"/>
                <w:szCs w:val="20"/>
              </w:rPr>
              <w:t xml:space="preserve">BPAs </w:t>
            </w:r>
            <w:r w:rsidRPr="0083678F">
              <w:rPr>
                <w:rFonts w:ascii="Arial Narrow" w:hAnsi="Arial Narrow"/>
                <w:sz w:val="20"/>
                <w:szCs w:val="20"/>
              </w:rPr>
              <w:t xml:space="preserve">can be used. </w:t>
            </w:r>
            <w:r w:rsidR="00887604">
              <w:rPr>
                <w:rFonts w:ascii="Arial Narrow" w:hAnsi="Arial Narrow"/>
                <w:sz w:val="20"/>
                <w:szCs w:val="20"/>
              </w:rPr>
              <w:t xml:space="preserve">BPAs </w:t>
            </w:r>
            <w:r w:rsidRPr="0083678F">
              <w:rPr>
                <w:rFonts w:ascii="Arial Narrow" w:hAnsi="Arial Narrow"/>
                <w:sz w:val="20"/>
                <w:szCs w:val="20"/>
              </w:rPr>
              <w:t>may be added in patients at high risk of bleeding and is continued until the inhibitor titre falls below 1 BU</w:t>
            </w:r>
          </w:p>
        </w:tc>
      </w:tr>
      <w:tr w:rsidR="008F222A" w:rsidRPr="0083678F" w14:paraId="01058E37" w14:textId="77777777" w:rsidTr="00081551">
        <w:tc>
          <w:tcPr>
            <w:tcW w:w="1056" w:type="pct"/>
          </w:tcPr>
          <w:p w14:paraId="11EDABB5" w14:textId="30AB923F" w:rsidR="008F222A" w:rsidRPr="0083678F" w:rsidRDefault="008F222A">
            <w:pPr>
              <w:spacing w:after="60" w:line="276" w:lineRule="auto"/>
              <w:rPr>
                <w:rFonts w:ascii="Arial Narrow" w:hAnsi="Arial Narrow"/>
                <w:sz w:val="20"/>
                <w:szCs w:val="20"/>
              </w:rPr>
            </w:pPr>
            <w:r w:rsidRPr="0083678F">
              <w:rPr>
                <w:rFonts w:ascii="Arial Narrow" w:hAnsi="Arial Narrow"/>
                <w:sz w:val="20"/>
                <w:szCs w:val="20"/>
              </w:rPr>
              <w:t xml:space="preserve">Prophylaxis with </w:t>
            </w:r>
            <w:r w:rsidR="00887604">
              <w:rPr>
                <w:rFonts w:ascii="Arial Narrow" w:hAnsi="Arial Narrow"/>
                <w:sz w:val="20"/>
                <w:szCs w:val="20"/>
              </w:rPr>
              <w:t>bypassing</w:t>
            </w:r>
            <w:r w:rsidRPr="0083678F">
              <w:rPr>
                <w:rFonts w:ascii="Arial Narrow" w:hAnsi="Arial Narrow"/>
                <w:sz w:val="20"/>
                <w:szCs w:val="20"/>
              </w:rPr>
              <w:t xml:space="preserve"> agents</w:t>
            </w:r>
          </w:p>
        </w:tc>
        <w:tc>
          <w:tcPr>
            <w:tcW w:w="2147" w:type="pct"/>
          </w:tcPr>
          <w:p w14:paraId="65E0E916" w14:textId="7F2763CB" w:rsidR="008F222A" w:rsidRPr="0083678F" w:rsidRDefault="00792ED5" w:rsidP="0083678F">
            <w:pPr>
              <w:pStyle w:val="ListParagraph"/>
              <w:numPr>
                <w:ilvl w:val="0"/>
                <w:numId w:val="15"/>
              </w:numPr>
              <w:spacing w:after="60" w:line="276" w:lineRule="auto"/>
              <w:rPr>
                <w:rFonts w:ascii="Arial Narrow" w:hAnsi="Arial Narrow"/>
                <w:sz w:val="20"/>
                <w:szCs w:val="20"/>
              </w:rPr>
            </w:pPr>
            <w:r>
              <w:rPr>
                <w:rFonts w:ascii="Arial Narrow" w:hAnsi="Arial Narrow"/>
                <w:sz w:val="20"/>
                <w:szCs w:val="20"/>
              </w:rPr>
              <w:t>F</w:t>
            </w:r>
            <w:r w:rsidRPr="00792ED5">
              <w:rPr>
                <w:rFonts w:ascii="Arial Narrow" w:hAnsi="Arial Narrow"/>
                <w:sz w:val="20"/>
                <w:szCs w:val="20"/>
              </w:rPr>
              <w:t xml:space="preserve">actor eight inhibitor </w:t>
            </w:r>
            <w:r w:rsidR="00887604">
              <w:rPr>
                <w:rFonts w:ascii="Arial Narrow" w:hAnsi="Arial Narrow"/>
                <w:sz w:val="20"/>
                <w:szCs w:val="20"/>
              </w:rPr>
              <w:t>bypassing</w:t>
            </w:r>
            <w:r w:rsidRPr="00792ED5">
              <w:rPr>
                <w:rFonts w:ascii="Arial Narrow" w:hAnsi="Arial Narrow"/>
                <w:sz w:val="20"/>
                <w:szCs w:val="20"/>
              </w:rPr>
              <w:t xml:space="preserve"> activity</w:t>
            </w:r>
            <w:r w:rsidR="008F222A" w:rsidRPr="0083678F">
              <w:rPr>
                <w:rFonts w:ascii="Arial Narrow" w:hAnsi="Arial Narrow"/>
                <w:sz w:val="20"/>
                <w:szCs w:val="20"/>
              </w:rPr>
              <w:t xml:space="preserve"> prophylaxis: 75-100 units/kg three times a week </w:t>
            </w:r>
            <w:r w:rsidR="000E5F7E">
              <w:rPr>
                <w:rFonts w:ascii="Arial Narrow" w:hAnsi="Arial Narrow"/>
                <w:sz w:val="20"/>
                <w:szCs w:val="20"/>
              </w:rPr>
              <w:t>or</w:t>
            </w:r>
          </w:p>
          <w:p w14:paraId="005AE2E3" w14:textId="77777777" w:rsidR="008F222A" w:rsidRPr="0083678F" w:rsidRDefault="008F222A" w:rsidP="0083678F">
            <w:pPr>
              <w:pStyle w:val="ListParagraph"/>
              <w:numPr>
                <w:ilvl w:val="0"/>
                <w:numId w:val="15"/>
              </w:numPr>
              <w:spacing w:after="60" w:line="276" w:lineRule="auto"/>
              <w:rPr>
                <w:rFonts w:ascii="Arial Narrow" w:hAnsi="Arial Narrow"/>
                <w:sz w:val="20"/>
                <w:szCs w:val="20"/>
              </w:rPr>
            </w:pPr>
            <w:r w:rsidRPr="0083678F">
              <w:rPr>
                <w:rFonts w:ascii="Arial Narrow" w:hAnsi="Arial Narrow"/>
                <w:sz w:val="20"/>
                <w:szCs w:val="20"/>
              </w:rPr>
              <w:t>NovoSeven prophylaxis: 90μg/kg daily</w:t>
            </w:r>
          </w:p>
          <w:p w14:paraId="39BED58A" w14:textId="65631CD7" w:rsidR="008F222A" w:rsidRPr="0083678F" w:rsidRDefault="008F222A" w:rsidP="0083678F">
            <w:pPr>
              <w:pStyle w:val="ListParagraph"/>
              <w:numPr>
                <w:ilvl w:val="0"/>
                <w:numId w:val="15"/>
              </w:numPr>
              <w:spacing w:after="60" w:line="276" w:lineRule="auto"/>
              <w:rPr>
                <w:rFonts w:ascii="Arial Narrow" w:hAnsi="Arial Narrow"/>
                <w:sz w:val="20"/>
                <w:szCs w:val="20"/>
              </w:rPr>
            </w:pPr>
            <w:r w:rsidRPr="0083678F">
              <w:rPr>
                <w:rFonts w:ascii="Arial Narrow" w:hAnsi="Arial Narrow"/>
                <w:sz w:val="20"/>
                <w:szCs w:val="20"/>
              </w:rPr>
              <w:t>For lifelong treatment</w:t>
            </w:r>
          </w:p>
          <w:p w14:paraId="6912D604" w14:textId="77777777" w:rsidR="008F222A" w:rsidRPr="0083678F" w:rsidRDefault="008F222A" w:rsidP="0083678F">
            <w:pPr>
              <w:pStyle w:val="ListParagraph"/>
              <w:numPr>
                <w:ilvl w:val="0"/>
                <w:numId w:val="15"/>
              </w:numPr>
              <w:spacing w:after="60" w:line="276" w:lineRule="auto"/>
              <w:rPr>
                <w:rFonts w:ascii="Arial Narrow" w:hAnsi="Arial Narrow"/>
                <w:sz w:val="20"/>
                <w:szCs w:val="20"/>
              </w:rPr>
            </w:pPr>
            <w:r w:rsidRPr="0083678F">
              <w:rPr>
                <w:rFonts w:ascii="Arial Narrow" w:hAnsi="Arial Narrow"/>
                <w:sz w:val="20"/>
                <w:szCs w:val="20"/>
              </w:rPr>
              <w:t>Infusion (approx. 30 minutes)</w:t>
            </w:r>
          </w:p>
        </w:tc>
        <w:tc>
          <w:tcPr>
            <w:tcW w:w="1797" w:type="pct"/>
          </w:tcPr>
          <w:p w14:paraId="12A9393D" w14:textId="3E84D28E" w:rsidR="008F222A" w:rsidRPr="0083678F" w:rsidRDefault="00887604" w:rsidP="00792ED5">
            <w:pPr>
              <w:spacing w:after="60" w:line="276" w:lineRule="auto"/>
              <w:rPr>
                <w:rFonts w:ascii="Arial Narrow" w:hAnsi="Arial Narrow"/>
                <w:sz w:val="20"/>
                <w:szCs w:val="20"/>
              </w:rPr>
            </w:pPr>
            <w:r>
              <w:rPr>
                <w:rFonts w:ascii="Arial Narrow" w:hAnsi="Arial Narrow"/>
                <w:sz w:val="20"/>
                <w:szCs w:val="20"/>
              </w:rPr>
              <w:t xml:space="preserve">BPAs </w:t>
            </w:r>
            <w:r w:rsidR="008F222A" w:rsidRPr="0083678F">
              <w:rPr>
                <w:rFonts w:ascii="Arial Narrow" w:hAnsi="Arial Narrow"/>
                <w:sz w:val="20"/>
                <w:szCs w:val="20"/>
              </w:rPr>
              <w:t>at bleeding management dosing</w:t>
            </w:r>
          </w:p>
        </w:tc>
      </w:tr>
      <w:tr w:rsidR="008F222A" w:rsidRPr="0083678F" w14:paraId="3509A237" w14:textId="77777777" w:rsidTr="00081551">
        <w:tc>
          <w:tcPr>
            <w:tcW w:w="1056" w:type="pct"/>
          </w:tcPr>
          <w:p w14:paraId="4D2D782C" w14:textId="52380477" w:rsidR="008F222A" w:rsidRPr="0083678F" w:rsidRDefault="008F222A">
            <w:pPr>
              <w:spacing w:after="60" w:line="276" w:lineRule="auto"/>
              <w:rPr>
                <w:rFonts w:ascii="Arial Narrow" w:hAnsi="Arial Narrow"/>
                <w:sz w:val="20"/>
                <w:szCs w:val="20"/>
              </w:rPr>
            </w:pPr>
            <w:r w:rsidRPr="0083678F">
              <w:rPr>
                <w:rFonts w:ascii="Arial Narrow" w:hAnsi="Arial Narrow"/>
                <w:sz w:val="20"/>
                <w:szCs w:val="20"/>
              </w:rPr>
              <w:t>Prophylaxis with emicizumab</w:t>
            </w:r>
          </w:p>
        </w:tc>
        <w:tc>
          <w:tcPr>
            <w:tcW w:w="2147" w:type="pct"/>
          </w:tcPr>
          <w:p w14:paraId="6467FF8F" w14:textId="64980A98" w:rsidR="008F222A" w:rsidRPr="0083678F" w:rsidRDefault="008F222A" w:rsidP="0083678F">
            <w:pPr>
              <w:pStyle w:val="ListParagraph"/>
              <w:numPr>
                <w:ilvl w:val="0"/>
                <w:numId w:val="16"/>
              </w:numPr>
              <w:spacing w:after="60" w:line="276" w:lineRule="auto"/>
              <w:rPr>
                <w:rFonts w:ascii="Arial Narrow" w:hAnsi="Arial Narrow"/>
                <w:sz w:val="20"/>
                <w:szCs w:val="20"/>
              </w:rPr>
            </w:pPr>
            <w:r w:rsidRPr="0083678F">
              <w:rPr>
                <w:rFonts w:ascii="Arial Narrow" w:hAnsi="Arial Narrow"/>
                <w:sz w:val="20"/>
                <w:szCs w:val="20"/>
              </w:rPr>
              <w:t>Loading dose consisted of 3.0 mg per kilogram of body weight weekly for 4 weeks followed by 1.5 mg/kg weekly thereafter</w:t>
            </w:r>
          </w:p>
          <w:p w14:paraId="04C3F283" w14:textId="77777777" w:rsidR="008F222A" w:rsidRPr="0083678F" w:rsidRDefault="008F222A" w:rsidP="0083678F">
            <w:pPr>
              <w:pStyle w:val="ListParagraph"/>
              <w:numPr>
                <w:ilvl w:val="0"/>
                <w:numId w:val="16"/>
              </w:numPr>
              <w:spacing w:after="60" w:line="276" w:lineRule="auto"/>
              <w:rPr>
                <w:rFonts w:ascii="Arial Narrow" w:hAnsi="Arial Narrow"/>
                <w:sz w:val="20"/>
                <w:szCs w:val="20"/>
              </w:rPr>
            </w:pPr>
            <w:r w:rsidRPr="0083678F">
              <w:rPr>
                <w:rFonts w:ascii="Arial Narrow" w:hAnsi="Arial Narrow"/>
                <w:sz w:val="20"/>
                <w:szCs w:val="20"/>
              </w:rPr>
              <w:t>Subcutaneous injection, minimal time</w:t>
            </w:r>
          </w:p>
        </w:tc>
        <w:tc>
          <w:tcPr>
            <w:tcW w:w="1797" w:type="pct"/>
          </w:tcPr>
          <w:p w14:paraId="6C3B2BBB" w14:textId="44E06967" w:rsidR="008F222A" w:rsidRPr="0083678F" w:rsidRDefault="00887604">
            <w:pPr>
              <w:spacing w:after="60" w:line="276" w:lineRule="auto"/>
              <w:rPr>
                <w:rFonts w:ascii="Arial Narrow" w:hAnsi="Arial Narrow"/>
                <w:sz w:val="20"/>
                <w:szCs w:val="20"/>
              </w:rPr>
            </w:pPr>
            <w:r>
              <w:rPr>
                <w:rFonts w:ascii="Arial Narrow" w:hAnsi="Arial Narrow"/>
                <w:sz w:val="20"/>
                <w:szCs w:val="20"/>
              </w:rPr>
              <w:t xml:space="preserve">BPAs </w:t>
            </w:r>
            <w:r w:rsidR="008F222A" w:rsidRPr="0083678F">
              <w:rPr>
                <w:rFonts w:ascii="Arial Narrow" w:hAnsi="Arial Narrow"/>
                <w:sz w:val="20"/>
                <w:szCs w:val="20"/>
              </w:rPr>
              <w:t>at bleeding management dosing</w:t>
            </w:r>
          </w:p>
        </w:tc>
      </w:tr>
    </w:tbl>
    <w:p w14:paraId="4DA0E66E" w14:textId="5D73BDA2" w:rsidR="008F222A" w:rsidRPr="00792ED5" w:rsidRDefault="00792ED5" w:rsidP="00792ED5">
      <w:pPr>
        <w:pStyle w:val="ListParagraph"/>
        <w:spacing w:after="0"/>
        <w:ind w:left="142" w:hanging="142"/>
        <w:rPr>
          <w:rFonts w:ascii="Arial Narrow" w:hAnsi="Arial Narrow"/>
          <w:sz w:val="18"/>
          <w:szCs w:val="18"/>
        </w:rPr>
      </w:pPr>
      <w:r>
        <w:rPr>
          <w:rFonts w:ascii="Arial Narrow" w:hAnsi="Arial Narrow"/>
          <w:sz w:val="18"/>
          <w:szCs w:val="18"/>
          <w:vertAlign w:val="superscript"/>
        </w:rPr>
        <w:t xml:space="preserve">1 </w:t>
      </w:r>
      <w:r>
        <w:rPr>
          <w:rFonts w:ascii="Arial Narrow" w:hAnsi="Arial Narrow"/>
          <w:sz w:val="18"/>
          <w:szCs w:val="18"/>
          <w:vertAlign w:val="superscript"/>
        </w:rPr>
        <w:tab/>
      </w:r>
      <w:r w:rsidR="008F222A" w:rsidRPr="00792ED5">
        <w:rPr>
          <w:rFonts w:ascii="Arial Narrow" w:hAnsi="Arial Narrow"/>
          <w:sz w:val="18"/>
          <w:szCs w:val="18"/>
        </w:rPr>
        <w:t xml:space="preserve">Success is defined as: 1.The inhibitor </w:t>
      </w:r>
      <w:r w:rsidR="0036244E" w:rsidRPr="00792ED5">
        <w:rPr>
          <w:rFonts w:ascii="Arial Narrow" w:hAnsi="Arial Narrow"/>
          <w:sz w:val="18"/>
          <w:szCs w:val="18"/>
        </w:rPr>
        <w:t>titre</w:t>
      </w:r>
      <w:r w:rsidR="008F222A" w:rsidRPr="00792ED5">
        <w:rPr>
          <w:rFonts w:ascii="Arial Narrow" w:hAnsi="Arial Narrow"/>
          <w:sz w:val="18"/>
          <w:szCs w:val="18"/>
        </w:rPr>
        <w:t xml:space="preserve"> can no longer be measured.2.Factor recovery is greater than 66% of normal.3.The half-life of </w:t>
      </w:r>
      <w:r>
        <w:rPr>
          <w:rFonts w:ascii="Arial Narrow" w:hAnsi="Arial Narrow"/>
          <w:sz w:val="18"/>
          <w:szCs w:val="18"/>
        </w:rPr>
        <w:t>F</w:t>
      </w:r>
      <w:r w:rsidR="008F222A" w:rsidRPr="00792ED5">
        <w:rPr>
          <w:rFonts w:ascii="Arial Narrow" w:hAnsi="Arial Narrow"/>
          <w:sz w:val="18"/>
          <w:szCs w:val="18"/>
        </w:rPr>
        <w:t>VIII is greater than 6 hours.</w:t>
      </w:r>
      <w:r w:rsidR="00887604">
        <w:rPr>
          <w:rFonts w:ascii="Arial Narrow" w:hAnsi="Arial Narrow"/>
          <w:sz w:val="18"/>
          <w:szCs w:val="18"/>
        </w:rPr>
        <w:t xml:space="preserve"> </w:t>
      </w:r>
      <w:r w:rsidR="00887604" w:rsidRPr="00887604">
        <w:rPr>
          <w:rFonts w:ascii="Arial Narrow" w:hAnsi="Arial Narrow"/>
          <w:sz w:val="18"/>
          <w:szCs w:val="18"/>
        </w:rPr>
        <w:t>BPA = bypassing agent</w:t>
      </w:r>
    </w:p>
    <w:p w14:paraId="08AF39F5" w14:textId="77777777" w:rsidR="00752491" w:rsidRDefault="00752491" w:rsidP="0083678F">
      <w:pPr>
        <w:pStyle w:val="Heading2"/>
      </w:pPr>
      <w:r>
        <w:t>Proposed item descriptor</w:t>
      </w:r>
    </w:p>
    <w:p w14:paraId="08AF39FE" w14:textId="26565A45" w:rsidR="00E839A5" w:rsidRDefault="006F1382" w:rsidP="007E7E23">
      <w:r w:rsidRPr="006F1382">
        <w:t xml:space="preserve">Emicizumab is proposed for reimbursement on the National Products List managed by the </w:t>
      </w:r>
      <w:r w:rsidR="00463AAE">
        <w:t>National Blood Authority</w:t>
      </w:r>
      <w:r w:rsidRPr="006F1382">
        <w:t>. New blood and blood-related products reviewed by the Jurisdictional Blood Committee may be referred to MSAC for evidence based evaluation of the safety, clinical effectiveness or cost</w:t>
      </w:r>
      <w:r w:rsidR="003E173E">
        <w:t>-</w:t>
      </w:r>
      <w:r w:rsidRPr="006F1382">
        <w:t xml:space="preserve">effectiveness. No </w:t>
      </w:r>
      <w:r>
        <w:t xml:space="preserve">MBS item descriptor is </w:t>
      </w:r>
      <w:r w:rsidR="0036244E">
        <w:t>required for</w:t>
      </w:r>
      <w:r>
        <w:t xml:space="preserve"> this application. </w:t>
      </w:r>
      <w:r w:rsidR="00E839A5">
        <w:br w:type="page"/>
      </w:r>
    </w:p>
    <w:p w14:paraId="391DD789" w14:textId="77777777" w:rsidR="00127BB1" w:rsidRDefault="00127BB1" w:rsidP="007E7E23">
      <w:pPr>
        <w:sectPr w:rsidR="00127BB1">
          <w:pgSz w:w="11906" w:h="16838"/>
          <w:pgMar w:top="1440" w:right="1440" w:bottom="1440" w:left="1440" w:header="708" w:footer="708" w:gutter="0"/>
          <w:cols w:space="708"/>
          <w:docGrid w:linePitch="360"/>
        </w:sectPr>
      </w:pPr>
    </w:p>
    <w:p w14:paraId="70D0EC01" w14:textId="19FADE39" w:rsidR="006F1382" w:rsidRPr="0090717B" w:rsidRDefault="006F1382" w:rsidP="0069402E">
      <w:pPr>
        <w:pStyle w:val="Heading1"/>
        <w:spacing w:before="120"/>
      </w:pPr>
      <w:r w:rsidRPr="0090717B">
        <w:lastRenderedPageBreak/>
        <w:t>References</w:t>
      </w:r>
    </w:p>
    <w:p w14:paraId="53C92A91" w14:textId="7C000661" w:rsidR="00DF30B8" w:rsidRPr="00DF30B8" w:rsidRDefault="00DF30B8" w:rsidP="00DF30B8">
      <w:pPr>
        <w:pStyle w:val="EndNoteBibliography"/>
        <w:spacing w:after="0"/>
        <w:ind w:left="720" w:hanging="720"/>
      </w:pPr>
      <w:r w:rsidRPr="00DF30B8">
        <w:t xml:space="preserve">Antunes, SV, Tangada, S, Stasyshyn, O, Mamonov, V, Phillips, J, Guzman-Becerra, N, Grigorian, A, Ewenstein, B &amp; Wong, WY 2014, 'Randomized comparison of prophylaxis and on-demand regimens with FEIBA NF in the treatment of haemophilia A and B with inhibitors', </w:t>
      </w:r>
      <w:r w:rsidRPr="00DF30B8">
        <w:rPr>
          <w:i/>
        </w:rPr>
        <w:t>Haemophilia</w:t>
      </w:r>
      <w:r w:rsidRPr="00DF30B8">
        <w:t>, vol.20(1), pp. 65-72.</w:t>
      </w:r>
    </w:p>
    <w:p w14:paraId="3CC46A4E" w14:textId="7D8B6F0D" w:rsidR="00DF30B8" w:rsidRPr="00DF30B8" w:rsidRDefault="00DF30B8" w:rsidP="00DF30B8">
      <w:pPr>
        <w:pStyle w:val="EndNoteBibliography"/>
        <w:spacing w:after="0"/>
        <w:ind w:left="720" w:hanging="720"/>
      </w:pPr>
      <w:r w:rsidRPr="00DF30B8">
        <w:t xml:space="preserve">Australian Bleeding Disorders Registry 2016, </w:t>
      </w:r>
      <w:r w:rsidRPr="00DF30B8">
        <w:rPr>
          <w:i/>
        </w:rPr>
        <w:t>Australian Bleeding Disorders Registry (ABDR) Annual Report 2015-16</w:t>
      </w:r>
      <w:r w:rsidRPr="00DF30B8">
        <w:t>, viewed 29 September 2017, &lt;</w:t>
      </w:r>
      <w:r w:rsidRPr="00127848">
        <w:t>http://www.blood.gov.au/data-analysis-reporting</w:t>
      </w:r>
      <w:r w:rsidRPr="00DF30B8">
        <w:t>&gt;.</w:t>
      </w:r>
    </w:p>
    <w:p w14:paraId="669B3378" w14:textId="26109EB8" w:rsidR="00DF30B8" w:rsidRPr="00DF30B8" w:rsidRDefault="00DF30B8" w:rsidP="00DF30B8">
      <w:pPr>
        <w:pStyle w:val="EndNoteBibliography"/>
        <w:spacing w:after="0"/>
        <w:ind w:left="720" w:hanging="720"/>
      </w:pPr>
      <w:r w:rsidRPr="00DF30B8">
        <w:t xml:space="preserve">Australian Haemophilia Centre Directors’ Organisation 2010, </w:t>
      </w:r>
      <w:r w:rsidRPr="00DF30B8">
        <w:rPr>
          <w:i/>
        </w:rPr>
        <w:t>Guidelines for the treatment of inhibitors in Haemophilia A and Haemophilia B</w:t>
      </w:r>
      <w:r w:rsidRPr="00DF30B8">
        <w:t>, viewed 04/10/2017 2017, &lt;</w:t>
      </w:r>
      <w:r w:rsidRPr="00127848">
        <w:t>http://www.ahcdo.org.au/documents/item/16</w:t>
      </w:r>
      <w:r w:rsidRPr="00DF30B8">
        <w:t>&gt;.</w:t>
      </w:r>
    </w:p>
    <w:p w14:paraId="5FDD1550" w14:textId="77777777" w:rsidR="00DF30B8" w:rsidRPr="00DF30B8" w:rsidRDefault="00DF30B8" w:rsidP="00DF30B8">
      <w:pPr>
        <w:pStyle w:val="EndNoteBibliography"/>
        <w:spacing w:after="0"/>
        <w:ind w:left="720" w:hanging="720"/>
      </w:pPr>
      <w:r w:rsidRPr="00DF30B8">
        <w:t xml:space="preserve">Chai-Adisaksopha, C, Nevitt, SJ, Simpson, ML, Janbain, M &amp; Konkle, BA 2017, 'Bypassing agent prophylaxis in people with hemophilia A or B with inhibitors', </w:t>
      </w:r>
      <w:r w:rsidRPr="00DF30B8">
        <w:rPr>
          <w:i/>
        </w:rPr>
        <w:t>Cochrane Database Syst Rev</w:t>
      </w:r>
      <w:r w:rsidRPr="00DF30B8">
        <w:t>, vol.9pp. Cd011441.</w:t>
      </w:r>
    </w:p>
    <w:p w14:paraId="4C65629C" w14:textId="77777777" w:rsidR="00DF30B8" w:rsidRPr="00DF30B8" w:rsidRDefault="00DF30B8" w:rsidP="00DF30B8">
      <w:pPr>
        <w:pStyle w:val="EndNoteBibliography"/>
        <w:spacing w:after="0"/>
        <w:ind w:left="720" w:hanging="720"/>
      </w:pPr>
      <w:r w:rsidRPr="00DF30B8">
        <w:t xml:space="preserve">Chen, SL 2016, 'Economic costs of hemophilia and the impact of prophylactic treatment on patient management', </w:t>
      </w:r>
      <w:r w:rsidRPr="00DF30B8">
        <w:rPr>
          <w:i/>
        </w:rPr>
        <w:t>Am J Manag Care</w:t>
      </w:r>
      <w:r w:rsidRPr="00DF30B8">
        <w:t>, vol.22(5 Suppl), pp. s126-33.</w:t>
      </w:r>
    </w:p>
    <w:p w14:paraId="4B63710E" w14:textId="77777777" w:rsidR="00DF30B8" w:rsidRPr="00DF30B8" w:rsidRDefault="00DF30B8" w:rsidP="00DF30B8">
      <w:pPr>
        <w:pStyle w:val="EndNoteBibliography"/>
        <w:spacing w:after="0"/>
        <w:ind w:left="720" w:hanging="720"/>
      </w:pPr>
      <w:r w:rsidRPr="00DF30B8">
        <w:t xml:space="preserve">Dalton, DR 2015, 'Hemophilia in the managed care setting', </w:t>
      </w:r>
      <w:r w:rsidRPr="00DF30B8">
        <w:rPr>
          <w:i/>
        </w:rPr>
        <w:t>Am J Manag Care</w:t>
      </w:r>
      <w:r w:rsidRPr="00DF30B8">
        <w:t>, vol.21(6 Suppl), pp. S123-30.</w:t>
      </w:r>
    </w:p>
    <w:p w14:paraId="3E4EE45C" w14:textId="573E92D8" w:rsidR="00DF30B8" w:rsidRPr="00DF30B8" w:rsidRDefault="00DF30B8" w:rsidP="00DF30B8">
      <w:pPr>
        <w:pStyle w:val="EndNoteBibliography"/>
        <w:spacing w:after="0"/>
        <w:ind w:left="720" w:hanging="720"/>
      </w:pPr>
      <w:r w:rsidRPr="00DF30B8">
        <w:t xml:space="preserve">Earnshaw, SR, Graham, CN, McDade, CL, Spears, JB &amp; Kessler, CM 2015, 'Factor VIII alloantibody inhibitors: cost analysis of immune tolerance induction vs. prophylaxis and on-demand with </w:t>
      </w:r>
      <w:r w:rsidR="00887604">
        <w:t>bypassing</w:t>
      </w:r>
      <w:r w:rsidRPr="00DF30B8">
        <w:t xml:space="preserve"> treatment', </w:t>
      </w:r>
      <w:r w:rsidRPr="00DF30B8">
        <w:rPr>
          <w:i/>
        </w:rPr>
        <w:t>Haemophilia</w:t>
      </w:r>
      <w:r w:rsidRPr="00DF30B8">
        <w:t>, vol.21(3), pp. 310-9.</w:t>
      </w:r>
    </w:p>
    <w:p w14:paraId="39DA7589" w14:textId="77777777" w:rsidR="00DF30B8" w:rsidRPr="00DF30B8" w:rsidRDefault="00DF30B8" w:rsidP="00DF30B8">
      <w:pPr>
        <w:pStyle w:val="EndNoteBibliography"/>
        <w:spacing w:after="0"/>
        <w:ind w:left="720" w:hanging="720"/>
      </w:pPr>
      <w:r w:rsidRPr="00DF30B8">
        <w:t xml:space="preserve">Kempton, CL &amp; White, GC, 2nd 2009, 'How we treat a hemophilia A patient with a factor VIII inhibitor', </w:t>
      </w:r>
      <w:r w:rsidRPr="00DF30B8">
        <w:rPr>
          <w:i/>
        </w:rPr>
        <w:t>Blood</w:t>
      </w:r>
      <w:r w:rsidRPr="00DF30B8">
        <w:t>, vol.113(1), pp. 11-7.</w:t>
      </w:r>
    </w:p>
    <w:p w14:paraId="6B85A159" w14:textId="77777777" w:rsidR="00DF30B8" w:rsidRPr="00DF30B8" w:rsidRDefault="00DF30B8" w:rsidP="00DF30B8">
      <w:pPr>
        <w:pStyle w:val="EndNoteBibliography"/>
        <w:spacing w:after="0"/>
        <w:ind w:left="720" w:hanging="720"/>
      </w:pPr>
      <w:r w:rsidRPr="00DF30B8">
        <w:t xml:space="preserve">Klamroth, R 2017, 'A new era of treatment for patients with haemophilia A?', </w:t>
      </w:r>
      <w:r w:rsidRPr="00DF30B8">
        <w:rPr>
          <w:i/>
        </w:rPr>
        <w:t>Hamostaseologie</w:t>
      </w:r>
      <w:r w:rsidRPr="00DF30B8">
        <w:t>, vol.37(3), pp. 216-18.</w:t>
      </w:r>
    </w:p>
    <w:p w14:paraId="0CEC966D" w14:textId="77777777" w:rsidR="00DF30B8" w:rsidRPr="00DF30B8" w:rsidRDefault="00DF30B8" w:rsidP="00DF30B8">
      <w:pPr>
        <w:pStyle w:val="EndNoteBibliography"/>
        <w:spacing w:after="0"/>
        <w:ind w:left="720" w:hanging="720"/>
      </w:pPr>
      <w:r w:rsidRPr="00DF30B8">
        <w:t xml:space="preserve">Leissinger, C, Gringeri, A, Antmen, B, Berntorp, E, Biasoli, C, Carpenter, S, Cortesi, P, Jo, H, Kavakli, K, Lassila, R, Morfini, M, Negrier, C, Rocino, A, Schramm, W, Serban, M, Uscatescu, MV, Windyga, J, Zulfikar, B &amp; Mantovani, L 2011, 'Anti-inhibitor coagulant complex prophylaxis in hemophilia with inhibitors', </w:t>
      </w:r>
      <w:r w:rsidRPr="00DF30B8">
        <w:rPr>
          <w:i/>
        </w:rPr>
        <w:t>N Engl J Med</w:t>
      </w:r>
      <w:r w:rsidRPr="00DF30B8">
        <w:t>, vol.365(18), pp. 1684-92.</w:t>
      </w:r>
    </w:p>
    <w:p w14:paraId="1854D0EC" w14:textId="333A343B" w:rsidR="00DF30B8" w:rsidRPr="00DF30B8" w:rsidRDefault="00DF30B8" w:rsidP="00DF30B8">
      <w:pPr>
        <w:pStyle w:val="EndNoteBibliography"/>
        <w:spacing w:after="0"/>
        <w:ind w:left="720" w:hanging="720"/>
      </w:pPr>
      <w:r w:rsidRPr="00DF30B8">
        <w:t xml:space="preserve">National Blood Authority 2016a, </w:t>
      </w:r>
      <w:r w:rsidRPr="00DF30B8">
        <w:rPr>
          <w:i/>
        </w:rPr>
        <w:t>Guidelines for the management of haemophilia in Australia</w:t>
      </w:r>
      <w:r w:rsidRPr="00DF30B8">
        <w:t>, viewed 29 September 2017, &lt;</w:t>
      </w:r>
      <w:r w:rsidRPr="00127848">
        <w:t>https://www.blood.gov.au/system/files/HaemophiliaGuidelines-interactive-updated-260317v2.pdf</w:t>
      </w:r>
      <w:r w:rsidRPr="00DF30B8">
        <w:t>&gt;.</w:t>
      </w:r>
    </w:p>
    <w:p w14:paraId="1C9D0504" w14:textId="17E73369" w:rsidR="00DF30B8" w:rsidRPr="00DF30B8" w:rsidRDefault="00DF30B8" w:rsidP="00DF30B8">
      <w:pPr>
        <w:pStyle w:val="EndNoteBibliography"/>
        <w:spacing w:after="0"/>
        <w:ind w:left="720" w:hanging="720"/>
      </w:pPr>
      <w:r w:rsidRPr="00DF30B8">
        <w:t xml:space="preserve">National Blood Authority 2016b, </w:t>
      </w:r>
      <w:r w:rsidRPr="00DF30B8">
        <w:rPr>
          <w:i/>
        </w:rPr>
        <w:t>National Blood Authority Annual Report 2015–16</w:t>
      </w:r>
      <w:r w:rsidRPr="00DF30B8">
        <w:t>, viewed 29 September 2017, &lt;</w:t>
      </w:r>
      <w:r w:rsidRPr="00127848">
        <w:t>https://www.blood.gov.au/pubs/1516report/sites/default/files/publication/nba-annual-report-2015-16.pdf</w:t>
      </w:r>
      <w:r w:rsidRPr="00DF30B8">
        <w:t>&gt;.</w:t>
      </w:r>
    </w:p>
    <w:p w14:paraId="387EC60A" w14:textId="77777777" w:rsidR="00DF30B8" w:rsidRPr="00DF30B8" w:rsidRDefault="00DF30B8" w:rsidP="00DF30B8">
      <w:pPr>
        <w:pStyle w:val="EndNoteBibliography"/>
        <w:spacing w:after="0"/>
        <w:ind w:left="720" w:hanging="720"/>
      </w:pPr>
      <w:r w:rsidRPr="00DF30B8">
        <w:t xml:space="preserve">Oldenburg, J, Mahlangu, JN, Kim, B, Schmitt, C, Callaghan, MU, Young, G, Santagostino, E, Kruse-Jarres, R, Negrier, C, Kessler, C, Valente, N, Asikanius, E, Levy, GG, Windyga, J &amp; Shima, M 2017, 'Emicizumab Prophylaxis in Hemophilia A with Inhibitors', </w:t>
      </w:r>
      <w:r w:rsidRPr="00DF30B8">
        <w:rPr>
          <w:i/>
        </w:rPr>
        <w:t>N Engl J Med</w:t>
      </w:r>
      <w:r w:rsidRPr="00DF30B8">
        <w:t>, vol.377(9), pp. 809-18.</w:t>
      </w:r>
    </w:p>
    <w:p w14:paraId="276BC941" w14:textId="77777777" w:rsidR="00DF30B8" w:rsidRPr="00DF30B8" w:rsidRDefault="00DF30B8" w:rsidP="00DF30B8">
      <w:pPr>
        <w:pStyle w:val="EndNoteBibliography"/>
        <w:spacing w:after="0"/>
        <w:ind w:left="720" w:hanging="720"/>
      </w:pPr>
      <w:r w:rsidRPr="00DF30B8">
        <w:t xml:space="preserve">Rasekh, HR, Imani, A, Karimi, M &amp; Golestani, M 2011, 'Cost-utility analysis of immune tolerance induction therapy versus on-demand treatment with recombinant factor VII for hemophilia A with high titer inhibitors in Iran', </w:t>
      </w:r>
      <w:r w:rsidRPr="00DF30B8">
        <w:rPr>
          <w:i/>
        </w:rPr>
        <w:t>ClinicoEconomics and Outcomes Research: CEOR</w:t>
      </w:r>
      <w:r w:rsidRPr="00DF30B8">
        <w:t>, vol.3pp. 207-12.</w:t>
      </w:r>
    </w:p>
    <w:p w14:paraId="0C528948" w14:textId="77777777" w:rsidR="00DF30B8" w:rsidRPr="00DF30B8" w:rsidRDefault="00DF30B8" w:rsidP="00DF30B8">
      <w:pPr>
        <w:pStyle w:val="EndNoteBibliography"/>
        <w:spacing w:after="0"/>
        <w:ind w:left="720" w:hanging="720"/>
      </w:pPr>
      <w:r w:rsidRPr="00DF30B8">
        <w:t xml:space="preserve">Recht, M, Konkle, BA, Jackson, S, Neufeld, EJ, Rockwood, K &amp; Pipe, S 2016, 'Recognizing the need for personalization of haemophilia patient-reported outcomes in the prophylaxis era', </w:t>
      </w:r>
      <w:r w:rsidRPr="00DF30B8">
        <w:rPr>
          <w:i/>
        </w:rPr>
        <w:t>Haemophilia</w:t>
      </w:r>
      <w:r w:rsidRPr="00DF30B8">
        <w:t>, vol.22(6), pp. 825-32.</w:t>
      </w:r>
    </w:p>
    <w:p w14:paraId="43127930" w14:textId="77777777" w:rsidR="00DF30B8" w:rsidRPr="00DF30B8" w:rsidRDefault="00DF30B8" w:rsidP="00DF30B8">
      <w:pPr>
        <w:pStyle w:val="EndNoteBibliography"/>
        <w:spacing w:after="0"/>
        <w:ind w:left="720" w:hanging="720"/>
      </w:pPr>
      <w:r w:rsidRPr="00DF30B8">
        <w:t xml:space="preserve">Rocha, P, Carvalho, M, Lopes, M &amp; Araújo, F 2015, 'Costs and utilization of treatment in patients with hemophilia', </w:t>
      </w:r>
      <w:r w:rsidRPr="00DF30B8">
        <w:rPr>
          <w:i/>
        </w:rPr>
        <w:t>BMC Health Services Research</w:t>
      </w:r>
      <w:r w:rsidRPr="00DF30B8">
        <w:t>, vol.15pp. 484.</w:t>
      </w:r>
    </w:p>
    <w:p w14:paraId="61C182C6" w14:textId="77777777" w:rsidR="005E4451" w:rsidRDefault="005E4451" w:rsidP="00DF30B8">
      <w:pPr>
        <w:pStyle w:val="EndNoteBibliography"/>
        <w:spacing w:after="0"/>
        <w:ind w:left="720" w:hanging="720"/>
      </w:pPr>
    </w:p>
    <w:p w14:paraId="09F6E28D" w14:textId="77777777" w:rsidR="003A5DFA" w:rsidRDefault="003A5DFA" w:rsidP="00DF30B8">
      <w:pPr>
        <w:pStyle w:val="EndNoteBibliography"/>
        <w:spacing w:after="0"/>
        <w:ind w:left="720" w:hanging="720"/>
        <w:rPr>
          <w:lang w:val="en-AU"/>
        </w:rPr>
      </w:pPr>
    </w:p>
    <w:p w14:paraId="72C0EC9F" w14:textId="30BD1E10" w:rsidR="005E4451" w:rsidRDefault="005E4451" w:rsidP="00DF30B8">
      <w:pPr>
        <w:pStyle w:val="EndNoteBibliography"/>
        <w:spacing w:after="0"/>
        <w:ind w:left="720" w:hanging="720"/>
      </w:pPr>
      <w:r w:rsidRPr="005E4451">
        <w:rPr>
          <w:lang w:val="en-AU"/>
        </w:rPr>
        <w:lastRenderedPageBreak/>
        <w:t xml:space="preserve">Royal College of Pathologists of Australia 2015, </w:t>
      </w:r>
      <w:r w:rsidRPr="005E4451">
        <w:rPr>
          <w:i/>
          <w:lang w:val="en-AU"/>
        </w:rPr>
        <w:t>RCPA manual: Haemophilia</w:t>
      </w:r>
      <w:r w:rsidRPr="005E4451">
        <w:rPr>
          <w:lang w:val="en-AU"/>
        </w:rPr>
        <w:t>, viewed 29 September</w:t>
      </w:r>
    </w:p>
    <w:p w14:paraId="340D7D91" w14:textId="77777777" w:rsidR="005E4451" w:rsidRPr="00DF30B8" w:rsidRDefault="005E4451" w:rsidP="005E4451">
      <w:pPr>
        <w:pStyle w:val="EndNoteBibliography"/>
        <w:spacing w:after="0"/>
        <w:ind w:left="720"/>
      </w:pPr>
      <w:r w:rsidRPr="00DF30B8">
        <w:t>2017 2017, &lt;</w:t>
      </w:r>
      <w:r w:rsidRPr="00127848">
        <w:t>http://www.rcpa.edu.au/Library/Practising-Pathology/RCPA-Manual/Items/Clinical-Problems/H/Haemophilia</w:t>
      </w:r>
      <w:r w:rsidRPr="00DF30B8">
        <w:t>&gt;.</w:t>
      </w:r>
    </w:p>
    <w:p w14:paraId="7C53926E" w14:textId="77777777" w:rsidR="00DF30B8" w:rsidRPr="00DF30B8" w:rsidRDefault="00DF30B8" w:rsidP="00DF30B8">
      <w:pPr>
        <w:pStyle w:val="EndNoteBibliography"/>
        <w:spacing w:after="0"/>
        <w:ind w:left="720" w:hanging="720"/>
      </w:pPr>
      <w:r w:rsidRPr="00DF30B8">
        <w:t xml:space="preserve">Sborov, DW &amp; Rodgers, GM 2013, 'How I manage patients with acquired haemophilia A', </w:t>
      </w:r>
      <w:r w:rsidRPr="00DF30B8">
        <w:rPr>
          <w:i/>
        </w:rPr>
        <w:t>Br J Haematol</w:t>
      </w:r>
      <w:r w:rsidRPr="00DF30B8">
        <w:t>, vol.161(2), pp. 157-65.</w:t>
      </w:r>
    </w:p>
    <w:p w14:paraId="1AD786E2" w14:textId="77777777" w:rsidR="00DF30B8" w:rsidRPr="00DF30B8" w:rsidRDefault="00DF30B8" w:rsidP="00DF30B8">
      <w:pPr>
        <w:pStyle w:val="EndNoteBibliography"/>
        <w:spacing w:after="0"/>
        <w:ind w:left="720" w:hanging="720"/>
      </w:pPr>
      <w:r w:rsidRPr="00DF30B8">
        <w:t xml:space="preserve">Shima, M, Hanabusa, H, Taki, M, Matsushita, T, Sato, T, Fukutake, K, Fukazawa, N, Yoneyama, K, Yoshida, H &amp; Nogami, K 2016, 'Factor VIII-Mimetic Function of Humanized Bispecific Antibody in Hemophilia A', </w:t>
      </w:r>
      <w:r w:rsidRPr="00DF30B8">
        <w:rPr>
          <w:i/>
        </w:rPr>
        <w:t>N Engl J Med</w:t>
      </w:r>
      <w:r w:rsidRPr="00DF30B8">
        <w:t>, vol.374(21), pp. 2044-53.</w:t>
      </w:r>
    </w:p>
    <w:p w14:paraId="732FA4D2" w14:textId="77777777" w:rsidR="00DF30B8" w:rsidRPr="00DF30B8" w:rsidRDefault="00DF30B8" w:rsidP="00DF30B8">
      <w:pPr>
        <w:pStyle w:val="EndNoteBibliography"/>
        <w:spacing w:after="0"/>
        <w:ind w:left="720" w:hanging="720"/>
      </w:pPr>
      <w:r w:rsidRPr="00DF30B8">
        <w:t xml:space="preserve">Smith, PS, Teutsch, SM, Shaffer, PA, Rolka, H &amp; Evatt, B 1996, 'Episodic versus prophylactic infusions for hemophilia A: a cost-effectiveness analysis', </w:t>
      </w:r>
      <w:r w:rsidRPr="00DF30B8">
        <w:rPr>
          <w:i/>
        </w:rPr>
        <w:t>J Pediatr</w:t>
      </w:r>
      <w:r w:rsidRPr="00DF30B8">
        <w:t>, vol.129(3), pp. 424-31.</w:t>
      </w:r>
    </w:p>
    <w:p w14:paraId="7AF09880" w14:textId="77777777" w:rsidR="00DF30B8" w:rsidRPr="00DF30B8" w:rsidRDefault="00DF30B8" w:rsidP="00DF30B8">
      <w:pPr>
        <w:pStyle w:val="EndNoteBibliography"/>
        <w:spacing w:after="0"/>
        <w:ind w:left="720" w:hanging="720"/>
      </w:pPr>
      <w:r w:rsidRPr="00DF30B8">
        <w:t xml:space="preserve">Stasyshyn, O, Antunes, S, Mamonov, V, Ye, X, Epstein, J, Xiong, Y &amp; Tangada, S 2014, 'Prophylaxis with anti-inhibitor coagulant complex improves health-related quality of life in haemophilia patients with inhibitors: results from FEIBA NF Prophylaxis Study', </w:t>
      </w:r>
      <w:r w:rsidRPr="00DF30B8">
        <w:rPr>
          <w:i/>
        </w:rPr>
        <w:t>Haemophilia</w:t>
      </w:r>
      <w:r w:rsidRPr="00DF30B8">
        <w:t>, vol.20(5), pp. 644-50.</w:t>
      </w:r>
    </w:p>
    <w:p w14:paraId="36707DEF" w14:textId="77777777" w:rsidR="00DF30B8" w:rsidRPr="00DF30B8" w:rsidRDefault="00DF30B8" w:rsidP="00DF30B8">
      <w:pPr>
        <w:pStyle w:val="EndNoteBibliography"/>
        <w:spacing w:after="0"/>
        <w:ind w:left="720" w:hanging="720"/>
      </w:pPr>
      <w:r w:rsidRPr="00DF30B8">
        <w:t xml:space="preserve">van den Berg, HM, Hashemi, SM, Fischer, K, Petrini, P, Ljung, R, Rafowicz, A, Carcao, M, Auerswald, G, Kurnik, K, Kenet, G &amp; Santagostino, E 2016, 'Increased inhibitor incidence in severe haemophilia A since 1990 attributable to more low titre inhibitors', </w:t>
      </w:r>
      <w:r w:rsidRPr="00DF30B8">
        <w:rPr>
          <w:i/>
        </w:rPr>
        <w:t>Thromb Haemost</w:t>
      </w:r>
      <w:r w:rsidRPr="00DF30B8">
        <w:t>, vol.115(4), pp. 729-37.</w:t>
      </w:r>
    </w:p>
    <w:p w14:paraId="60AA1FFF" w14:textId="77777777" w:rsidR="00DF30B8" w:rsidRPr="00DF30B8" w:rsidRDefault="00DF30B8" w:rsidP="00DF30B8">
      <w:pPr>
        <w:pStyle w:val="EndNoteBibliography"/>
        <w:spacing w:after="0"/>
        <w:ind w:left="720" w:hanging="720"/>
      </w:pPr>
      <w:r w:rsidRPr="00DF30B8">
        <w:t xml:space="preserve">Walsh, CE, Soucie, JM &amp; Miller, CH 2015, 'Impact of inhibitors on hemophilia A mortality in the United States', </w:t>
      </w:r>
      <w:r w:rsidRPr="00DF30B8">
        <w:rPr>
          <w:i/>
        </w:rPr>
        <w:t>Am J Hematol</w:t>
      </w:r>
      <w:r w:rsidRPr="00DF30B8">
        <w:t>, vol.90(5), pp. 400-5.</w:t>
      </w:r>
    </w:p>
    <w:p w14:paraId="314D57D0" w14:textId="77777777" w:rsidR="00DF30B8" w:rsidRPr="00DF30B8" w:rsidRDefault="00DF30B8" w:rsidP="00DF30B8">
      <w:pPr>
        <w:pStyle w:val="EndNoteBibliography"/>
        <w:spacing w:after="0"/>
        <w:ind w:left="720" w:hanging="720"/>
      </w:pPr>
      <w:r w:rsidRPr="00DF30B8">
        <w:t xml:space="preserve">Witmer, C &amp; Young, G 2013, 'Factor VIII inhibitors in hemophilia A: rationale and latest evidence', </w:t>
      </w:r>
      <w:r w:rsidRPr="00DF30B8">
        <w:rPr>
          <w:i/>
        </w:rPr>
        <w:t>Therapeutic Advances in Hematology</w:t>
      </w:r>
      <w:r w:rsidRPr="00DF30B8">
        <w:t>, vol.4(1), pp. 59-72.</w:t>
      </w:r>
    </w:p>
    <w:p w14:paraId="600AB063" w14:textId="77777777" w:rsidR="00DF30B8" w:rsidRPr="00DF30B8" w:rsidRDefault="00DF30B8" w:rsidP="00DF30B8">
      <w:pPr>
        <w:pStyle w:val="EndNoteBibliography"/>
        <w:spacing w:after="0"/>
        <w:ind w:left="720" w:hanging="720"/>
      </w:pPr>
      <w:r w:rsidRPr="00DF30B8">
        <w:t xml:space="preserve">Wyrwich, KW, Krishnan, S, Poon, JL, Auguste, P, von Maltzahn, R, Yu, R &amp; von Mackensen, S 2015, 'Interpreting important health-related quality of life change using the Haem-A-QoL', </w:t>
      </w:r>
      <w:r w:rsidRPr="00DF30B8">
        <w:rPr>
          <w:i/>
        </w:rPr>
        <w:t>Haemophilia</w:t>
      </w:r>
      <w:r w:rsidRPr="00DF30B8">
        <w:t>, vol.21(5), pp. 578-84.</w:t>
      </w:r>
    </w:p>
    <w:p w14:paraId="541AE4DC" w14:textId="77777777" w:rsidR="00DF30B8" w:rsidRPr="00DF30B8" w:rsidRDefault="00DF30B8" w:rsidP="00DF30B8">
      <w:pPr>
        <w:pStyle w:val="EndNoteBibliography"/>
        <w:ind w:left="720" w:hanging="720"/>
      </w:pPr>
      <w:r w:rsidRPr="00DF30B8">
        <w:t xml:space="preserve">Young, G, Auerswald, G, Jimenez-Yuste, V, Konkle, BA, Lambert, T, Morfini, M, Santagostino, E &amp; Blanchette, V 2011, 'When should prophylaxis therapy in inhibitor patients be considered?', </w:t>
      </w:r>
      <w:r w:rsidRPr="00DF30B8">
        <w:rPr>
          <w:i/>
        </w:rPr>
        <w:t>Haemophilia</w:t>
      </w:r>
      <w:r w:rsidRPr="00DF30B8">
        <w:t>, vol.17(5), pp. e849-57.</w:t>
      </w:r>
    </w:p>
    <w:p w14:paraId="08AF3A00" w14:textId="69304626" w:rsidR="00DE7839" w:rsidRPr="00E364F7" w:rsidRDefault="00DE7839" w:rsidP="00E364F7"/>
    <w:sectPr w:rsidR="00DE7839" w:rsidRPr="00E364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5AE700" w14:textId="77777777" w:rsidR="00E94A09" w:rsidRDefault="00E94A09" w:rsidP="003D699E">
      <w:pPr>
        <w:spacing w:after="0" w:line="240" w:lineRule="auto"/>
      </w:pPr>
      <w:r>
        <w:separator/>
      </w:r>
    </w:p>
  </w:endnote>
  <w:endnote w:type="continuationSeparator" w:id="0">
    <w:p w14:paraId="75D2316A" w14:textId="77777777" w:rsidR="00E94A09" w:rsidRDefault="00E94A09" w:rsidP="003D699E">
      <w:pPr>
        <w:spacing w:after="0" w:line="240" w:lineRule="auto"/>
      </w:pPr>
      <w:r>
        <w:continuationSeparator/>
      </w:r>
    </w:p>
  </w:endnote>
  <w:endnote w:type="continuationNotice" w:id="1">
    <w:p w14:paraId="7E398158" w14:textId="77777777" w:rsidR="00E94A09" w:rsidRDefault="00E94A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E990D" w14:textId="77777777" w:rsidR="002B137B" w:rsidRDefault="002B13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393777276"/>
      <w:docPartObj>
        <w:docPartGallery w:val="Page Numbers (Bottom of Page)"/>
        <w:docPartUnique/>
      </w:docPartObj>
    </w:sdtPr>
    <w:sdtEndPr>
      <w:rPr>
        <w:color w:val="808080" w:themeColor="background1" w:themeShade="80"/>
        <w:spacing w:val="60"/>
      </w:rPr>
    </w:sdtEndPr>
    <w:sdtContent>
      <w:p w14:paraId="08AF3A08" w14:textId="3CB5A2D7" w:rsidR="00975BE6" w:rsidRDefault="00975BE6" w:rsidP="003D699E">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B03CF1">
          <w:rPr>
            <w:sz w:val="18"/>
            <w:szCs w:val="18"/>
          </w:rPr>
          <w:instrText xml:space="preserve"> PAGE   \* MERGEFORMAT </w:instrText>
        </w:r>
        <w:r w:rsidRPr="00CF2DFA">
          <w:rPr>
            <w:sz w:val="18"/>
            <w:szCs w:val="18"/>
          </w:rPr>
          <w:fldChar w:fldCharType="separate"/>
        </w:r>
        <w:r w:rsidR="005E5B42" w:rsidRPr="005E5B42">
          <w:rPr>
            <w:b/>
            <w:bCs/>
            <w:noProof/>
            <w:sz w:val="18"/>
            <w:szCs w:val="18"/>
          </w:rPr>
          <w:t>2</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PICO Confirmation – Ratified 6 March 2018</w:t>
        </w:r>
      </w:p>
      <w:p w14:paraId="08AF3A0B" w14:textId="358BABB4" w:rsidR="00975BE6" w:rsidRPr="004A2A19" w:rsidRDefault="00975BE6" w:rsidP="004A2A19">
        <w:pPr>
          <w:pStyle w:val="Footer"/>
          <w:pBdr>
            <w:top w:val="single" w:sz="4" w:space="1" w:color="D9D9D9" w:themeColor="background1" w:themeShade="D9"/>
          </w:pBdr>
          <w:rPr>
            <w:b/>
            <w:bCs/>
            <w:sz w:val="18"/>
            <w:szCs w:val="18"/>
          </w:rPr>
        </w:pPr>
        <w:r>
          <w:rPr>
            <w:color w:val="808080" w:themeColor="background1" w:themeShade="80"/>
            <w:spacing w:val="60"/>
            <w:sz w:val="18"/>
            <w:szCs w:val="18"/>
          </w:rPr>
          <w:t xml:space="preserve">Application 1510: </w:t>
        </w:r>
        <w:r w:rsidRPr="00BA4743">
          <w:rPr>
            <w:color w:val="808080" w:themeColor="background1" w:themeShade="80"/>
            <w:spacing w:val="60"/>
            <w:sz w:val="18"/>
            <w:szCs w:val="18"/>
          </w:rPr>
          <w:t xml:space="preserve">Emicizumab for routine prophylaxis </w:t>
        </w:r>
        <w:r>
          <w:rPr>
            <w:color w:val="808080" w:themeColor="background1" w:themeShade="80"/>
            <w:spacing w:val="60"/>
            <w:sz w:val="18"/>
            <w:szCs w:val="18"/>
          </w:rPr>
          <w:t xml:space="preserve">in patients with </w:t>
        </w:r>
        <w:r w:rsidRPr="00BA4743">
          <w:rPr>
            <w:color w:val="808080" w:themeColor="background1" w:themeShade="80"/>
            <w:spacing w:val="60"/>
            <w:sz w:val="18"/>
            <w:szCs w:val="18"/>
          </w:rPr>
          <w:t xml:space="preserve">congenital </w:t>
        </w:r>
        <w:r>
          <w:rPr>
            <w:color w:val="808080" w:themeColor="background1" w:themeShade="80"/>
            <w:spacing w:val="60"/>
            <w:sz w:val="18"/>
            <w:szCs w:val="18"/>
          </w:rPr>
          <w:t>Haemophilia A.</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247B2" w14:textId="77777777" w:rsidR="002B137B" w:rsidRDefault="002B13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0954E" w14:textId="77777777" w:rsidR="00E94A09" w:rsidRDefault="00E94A09" w:rsidP="003D699E">
      <w:pPr>
        <w:spacing w:after="0" w:line="240" w:lineRule="auto"/>
      </w:pPr>
      <w:r>
        <w:separator/>
      </w:r>
    </w:p>
  </w:footnote>
  <w:footnote w:type="continuationSeparator" w:id="0">
    <w:p w14:paraId="6465EF77" w14:textId="77777777" w:rsidR="00E94A09" w:rsidRDefault="00E94A09" w:rsidP="003D699E">
      <w:pPr>
        <w:spacing w:after="0" w:line="240" w:lineRule="auto"/>
      </w:pPr>
      <w:r>
        <w:continuationSeparator/>
      </w:r>
    </w:p>
  </w:footnote>
  <w:footnote w:type="continuationNotice" w:id="1">
    <w:p w14:paraId="6B7F4921" w14:textId="77777777" w:rsidR="00E94A09" w:rsidRDefault="00E94A09">
      <w:pPr>
        <w:spacing w:after="0" w:line="240" w:lineRule="auto"/>
      </w:pPr>
    </w:p>
  </w:footnote>
  <w:footnote w:id="2">
    <w:p w14:paraId="22E2740E" w14:textId="125BBD34" w:rsidR="00975BE6" w:rsidRDefault="00975BE6">
      <w:pPr>
        <w:pStyle w:val="FootnoteText"/>
      </w:pPr>
      <w:r>
        <w:rPr>
          <w:rStyle w:val="FootnoteReference"/>
        </w:rPr>
        <w:footnoteRef/>
      </w:r>
      <w:r>
        <w:t xml:space="preserve"> </w:t>
      </w:r>
      <w:r w:rsidRPr="005F197E">
        <w:rPr>
          <w:sz w:val="18"/>
          <w:szCs w:val="18"/>
        </w:rPr>
        <w:t>FVIII replacements should include all forms</w:t>
      </w:r>
      <w:r>
        <w:rPr>
          <w:sz w:val="18"/>
          <w:szCs w:val="18"/>
        </w:rPr>
        <w:t xml:space="preserve"> approved for clinical use</w:t>
      </w:r>
      <w:r w:rsidRPr="005F197E">
        <w:rPr>
          <w:sz w:val="18"/>
          <w:szCs w:val="18"/>
        </w:rPr>
        <w:t>: plasma-derived, recombinant and fusion products</w:t>
      </w:r>
    </w:p>
  </w:footnote>
  <w:footnote w:id="3">
    <w:p w14:paraId="6028D018" w14:textId="4C723EB2" w:rsidR="00975BE6" w:rsidRPr="002B7CEB" w:rsidRDefault="00975BE6" w:rsidP="00F727BB">
      <w:pPr>
        <w:pStyle w:val="FootnoteText"/>
        <w:ind w:left="142" w:hanging="142"/>
        <w:rPr>
          <w:sz w:val="18"/>
          <w:szCs w:val="18"/>
        </w:rPr>
      </w:pPr>
      <w:r w:rsidRPr="002B7CEB">
        <w:rPr>
          <w:rStyle w:val="FootnoteReference"/>
          <w:sz w:val="18"/>
          <w:szCs w:val="18"/>
        </w:rPr>
        <w:footnoteRef/>
      </w:r>
      <w:r w:rsidRPr="002B7CEB">
        <w:rPr>
          <w:sz w:val="18"/>
          <w:szCs w:val="18"/>
        </w:rPr>
        <w:t xml:space="preserve"> </w:t>
      </w:r>
      <w:r>
        <w:rPr>
          <w:sz w:val="18"/>
          <w:szCs w:val="18"/>
        </w:rPr>
        <w:tab/>
      </w:r>
      <w:r w:rsidRPr="002B7CEB">
        <w:rPr>
          <w:sz w:val="18"/>
          <w:szCs w:val="18"/>
        </w:rPr>
        <w:t>When a bleed occurs, FVIII brings together the clotting factors IXa and X, which is a critical step in the formation of a blood clot to help stop bleeding. In FVIII</w:t>
      </w:r>
      <w:r w:rsidRPr="002B7CEB" w:rsidDel="00B851A8">
        <w:rPr>
          <w:sz w:val="18"/>
          <w:szCs w:val="18"/>
        </w:rPr>
        <w:t xml:space="preserve"> </w:t>
      </w:r>
      <w:r w:rsidRPr="002B7CEB">
        <w:rPr>
          <w:sz w:val="18"/>
          <w:szCs w:val="18"/>
        </w:rPr>
        <w:t>deficiency this process in impaired causing prolonged bleeding or even spontaneous bleeds.</w:t>
      </w:r>
    </w:p>
  </w:footnote>
  <w:footnote w:id="4">
    <w:p w14:paraId="6CFFA381" w14:textId="55DC16D8" w:rsidR="00975BE6" w:rsidRPr="002B7CEB" w:rsidRDefault="00975BE6" w:rsidP="00F727BB">
      <w:pPr>
        <w:pStyle w:val="FootnoteText"/>
        <w:ind w:left="142" w:hanging="142"/>
        <w:rPr>
          <w:sz w:val="18"/>
          <w:szCs w:val="18"/>
        </w:rPr>
      </w:pPr>
      <w:r w:rsidRPr="002B7CEB">
        <w:rPr>
          <w:rStyle w:val="FootnoteReference"/>
          <w:sz w:val="18"/>
          <w:szCs w:val="18"/>
        </w:rPr>
        <w:footnoteRef/>
      </w:r>
      <w:r w:rsidRPr="002B7CEB">
        <w:rPr>
          <w:sz w:val="18"/>
          <w:szCs w:val="18"/>
        </w:rPr>
        <w:t xml:space="preserve"> </w:t>
      </w:r>
      <w:r>
        <w:rPr>
          <w:sz w:val="18"/>
          <w:szCs w:val="18"/>
        </w:rPr>
        <w:tab/>
      </w:r>
      <w:r w:rsidRPr="002B7CEB">
        <w:rPr>
          <w:sz w:val="18"/>
          <w:szCs w:val="18"/>
        </w:rPr>
        <w:t>Acquired Haemophilia A is rare, occurring in patients without a personal or family history of bleeding disorders. The Applicant has clarified that the population with acquired disease would not be considered for emicizumab owing to different bleeding profiles in this population and a paucity of clinical evidence to support the use of emicizumab in this group.</w:t>
      </w:r>
    </w:p>
  </w:footnote>
  <w:footnote w:id="5">
    <w:p w14:paraId="5F673266" w14:textId="138D7E0B" w:rsidR="00975BE6" w:rsidRDefault="00975BE6" w:rsidP="00F727BB">
      <w:pPr>
        <w:pStyle w:val="FootnoteText"/>
        <w:ind w:left="142" w:hanging="142"/>
      </w:pPr>
      <w:r w:rsidRPr="002B7CEB">
        <w:rPr>
          <w:rStyle w:val="FootnoteReference"/>
          <w:sz w:val="18"/>
          <w:szCs w:val="18"/>
        </w:rPr>
        <w:footnoteRef/>
      </w:r>
      <w:r w:rsidRPr="002B7CEB">
        <w:rPr>
          <w:sz w:val="18"/>
          <w:szCs w:val="18"/>
        </w:rPr>
        <w:t xml:space="preserve"> </w:t>
      </w:r>
      <w:r>
        <w:rPr>
          <w:sz w:val="18"/>
          <w:szCs w:val="18"/>
        </w:rPr>
        <w:tab/>
      </w:r>
      <w:r w:rsidRPr="002B7CEB">
        <w:rPr>
          <w:sz w:val="18"/>
          <w:szCs w:val="18"/>
        </w:rPr>
        <w:t>Considered to be the total of symptomatic carriers</w:t>
      </w:r>
      <w:r w:rsidR="00EC3D5F">
        <w:rPr>
          <w:sz w:val="18"/>
          <w:szCs w:val="18"/>
        </w:rPr>
        <w:t>,</w:t>
      </w:r>
      <w:r w:rsidRPr="002B7CEB">
        <w:rPr>
          <w:sz w:val="18"/>
          <w:szCs w:val="18"/>
        </w:rPr>
        <w:t xml:space="preserve"> in addition to acquired or inherited haemophilia A, Table 2 for subtotals.</w:t>
      </w:r>
    </w:p>
  </w:footnote>
  <w:footnote w:id="6">
    <w:p w14:paraId="2D35F2F2" w14:textId="66B5A60F" w:rsidR="00975BE6" w:rsidRPr="000E1AD5" w:rsidRDefault="00975BE6">
      <w:pPr>
        <w:pStyle w:val="FootnoteText"/>
        <w:rPr>
          <w:sz w:val="18"/>
          <w:szCs w:val="18"/>
        </w:rPr>
      </w:pPr>
      <w:r w:rsidRPr="000E1AD5">
        <w:rPr>
          <w:sz w:val="18"/>
          <w:szCs w:val="18"/>
          <w:vertAlign w:val="superscript"/>
        </w:rPr>
        <w:footnoteRef/>
      </w:r>
      <w:r w:rsidRPr="000E1AD5">
        <w:rPr>
          <w:sz w:val="18"/>
          <w:szCs w:val="18"/>
          <w:vertAlign w:val="superscript"/>
        </w:rPr>
        <w:t xml:space="preserve"> </w:t>
      </w:r>
      <w:r w:rsidRPr="000E1AD5">
        <w:rPr>
          <w:sz w:val="18"/>
          <w:szCs w:val="18"/>
        </w:rPr>
        <w:t xml:space="preserve">The risk of developing an inhibitor is approximately 13% in patients with non-severe haemophilia A and increases to 30% in patients with severe haemophilia - </w:t>
      </w:r>
      <w:r w:rsidRPr="000E1AD5">
        <w:rPr>
          <w:sz w:val="18"/>
          <w:szCs w:val="18"/>
        </w:rPr>
        <w:fldChar w:fldCharType="begin">
          <w:fldData xml:space="preserve">PEVuZE5vdGU+PENpdGU+PEF1dGhvcj52YW4gZGVuIEJlcmc8L0F1dGhvcj48WWVhcj4yMDE2PC9Z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</w:fldData>
        </w:fldChar>
      </w:r>
      <w:r w:rsidRPr="000E1AD5">
        <w:rPr>
          <w:sz w:val="18"/>
          <w:szCs w:val="18"/>
        </w:rPr>
        <w:instrText xml:space="preserve"> ADDIN EN.CITE </w:instrText>
      </w:r>
      <w:r w:rsidRPr="000E1AD5">
        <w:rPr>
          <w:sz w:val="18"/>
          <w:szCs w:val="18"/>
        </w:rPr>
        <w:fldChar w:fldCharType="begin">
          <w:fldData xml:space="preserve">PEVuZE5vdGU+PENpdGU+PEF1dGhvcj52YW4gZGVuIEJlcmc8L0F1dGhvcj48WWVhcj4yMDE2PC9Z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</w:fldData>
        </w:fldChar>
      </w:r>
      <w:r w:rsidRPr="000E1AD5">
        <w:rPr>
          <w:sz w:val="18"/>
          <w:szCs w:val="18"/>
        </w:rPr>
        <w:instrText xml:space="preserve"> ADDIN EN.CITE.DATA </w:instrText>
      </w:r>
      <w:r w:rsidRPr="000E1AD5">
        <w:rPr>
          <w:sz w:val="18"/>
          <w:szCs w:val="18"/>
        </w:rPr>
      </w:r>
      <w:r w:rsidRPr="000E1AD5">
        <w:rPr>
          <w:sz w:val="18"/>
          <w:szCs w:val="18"/>
        </w:rPr>
        <w:fldChar w:fldCharType="end"/>
      </w:r>
      <w:r w:rsidRPr="000E1AD5">
        <w:rPr>
          <w:sz w:val="18"/>
          <w:szCs w:val="18"/>
        </w:rPr>
      </w:r>
      <w:r w:rsidRPr="000E1AD5">
        <w:rPr>
          <w:sz w:val="18"/>
          <w:szCs w:val="18"/>
        </w:rPr>
        <w:fldChar w:fldCharType="separate"/>
      </w:r>
      <w:r w:rsidRPr="000E1AD5">
        <w:rPr>
          <w:noProof/>
          <w:sz w:val="18"/>
          <w:szCs w:val="18"/>
        </w:rPr>
        <w:t>van den Berg, HM, Hashemi, SM, Fischer, K, Petrini, P, Ljung, R, Rafowicz, A, Carcao, M, Auerswald, G, Kurnik, K, Kenet, G &amp; Santagostino, E 2016, 'Increased inhibitor incidence in severe haemophilia A since 1990 attributable to more low titre inhibitors', Thromb Haemost, vol.115(4), pp. 729-37.</w:t>
      </w:r>
      <w:r w:rsidRPr="000E1AD5">
        <w:rPr>
          <w:sz w:val="18"/>
          <w:szCs w:val="18"/>
        </w:rPr>
        <w:fldChar w:fldCharType="end"/>
      </w:r>
      <w:r w:rsidRPr="000E1AD5">
        <w:rPr>
          <w:sz w:val="18"/>
          <w:szCs w:val="18"/>
        </w:rPr>
        <w:t xml:space="preserve">A </w:t>
      </w:r>
      <w:r w:rsidRPr="000E1AD5">
        <w:rPr>
          <w:sz w:val="18"/>
          <w:szCs w:val="18"/>
        </w:rPr>
        <w:fldChar w:fldCharType="begin">
          <w:fldData xml:space="preserve">PEVuZE5vdGU+PENpdGU+PEF1dGhvcj52YW4gZGVuIEJlcmc8L0F1dGhvcj48WWVhcj4yMDE2PC9Z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</w:fldData>
        </w:fldChar>
      </w:r>
      <w:r w:rsidRPr="000E1AD5">
        <w:rPr>
          <w:sz w:val="18"/>
          <w:szCs w:val="18"/>
        </w:rPr>
        <w:instrText xml:space="preserve"> ADDIN EN.CITE </w:instrText>
      </w:r>
      <w:r w:rsidRPr="000E1AD5">
        <w:rPr>
          <w:sz w:val="18"/>
          <w:szCs w:val="18"/>
        </w:rPr>
        <w:fldChar w:fldCharType="begin">
          <w:fldData xml:space="preserve">PEVuZE5vdGU+PENpdGU+PEF1dGhvcj52YW4gZGVuIEJlcmc8L0F1dGhvcj48WWVhcj4yMDE2PC9Z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</w:fldData>
        </w:fldChar>
      </w:r>
      <w:r w:rsidRPr="000E1AD5">
        <w:rPr>
          <w:sz w:val="18"/>
          <w:szCs w:val="18"/>
        </w:rPr>
        <w:instrText xml:space="preserve"> ADDIN EN.CITE.DATA </w:instrText>
      </w:r>
      <w:r w:rsidRPr="000E1AD5">
        <w:rPr>
          <w:sz w:val="18"/>
          <w:szCs w:val="18"/>
        </w:rPr>
      </w:r>
      <w:r w:rsidRPr="000E1AD5">
        <w:rPr>
          <w:sz w:val="18"/>
          <w:szCs w:val="18"/>
        </w:rPr>
        <w:fldChar w:fldCharType="end"/>
      </w:r>
      <w:r w:rsidRPr="000E1AD5">
        <w:rPr>
          <w:sz w:val="18"/>
          <w:szCs w:val="18"/>
        </w:rPr>
      </w:r>
      <w:r w:rsidRPr="000E1AD5">
        <w:rPr>
          <w:sz w:val="18"/>
          <w:szCs w:val="18"/>
        </w:rPr>
        <w:fldChar w:fldCharType="separate"/>
      </w:r>
      <w:r w:rsidRPr="000E1AD5">
        <w:rPr>
          <w:noProof/>
          <w:sz w:val="18"/>
          <w:szCs w:val="18"/>
        </w:rPr>
        <w:t>ibid.</w:t>
      </w:r>
      <w:r w:rsidRPr="000E1AD5">
        <w:rPr>
          <w:sz w:val="18"/>
          <w:szCs w:val="18"/>
        </w:rPr>
        <w:fldChar w:fldCharType="end"/>
      </w:r>
    </w:p>
  </w:footnote>
  <w:footnote w:id="7">
    <w:p w14:paraId="1C340C84" w14:textId="515A1409" w:rsidR="00975BE6" w:rsidRPr="0035725E" w:rsidRDefault="00975BE6" w:rsidP="0035725E">
      <w:pPr>
        <w:pStyle w:val="FootnoteText"/>
        <w:rPr>
          <w:sz w:val="16"/>
          <w:szCs w:val="16"/>
        </w:rPr>
      </w:pPr>
      <w:r w:rsidRPr="0035725E">
        <w:rPr>
          <w:rStyle w:val="FootnoteReference"/>
          <w:sz w:val="16"/>
          <w:szCs w:val="16"/>
        </w:rPr>
        <w:footnoteRef/>
      </w:r>
      <w:r w:rsidRPr="0035725E">
        <w:rPr>
          <w:sz w:val="16"/>
          <w:szCs w:val="16"/>
        </w:rPr>
        <w:t xml:space="preserve"> Based on the number of patients in whom recent tests were available and who had persistent inhibitors which is a subset of the total number of patients with repeat positive tests.</w:t>
      </w:r>
    </w:p>
  </w:footnote>
  <w:footnote w:id="8">
    <w:p w14:paraId="750F7ABA" w14:textId="43C52435" w:rsidR="00975BE6" w:rsidRDefault="00975BE6" w:rsidP="005C77B3">
      <w:pPr>
        <w:pStyle w:val="FootnoteText"/>
        <w:tabs>
          <w:tab w:val="left" w:pos="3544"/>
        </w:tabs>
      </w:pPr>
      <w:r>
        <w:rPr>
          <w:rStyle w:val="FootnoteReference"/>
        </w:rPr>
        <w:footnoteRef/>
      </w:r>
      <w:r>
        <w:t xml:space="preserve"> This has been interpreted by the HTA group to mean patients who </w:t>
      </w:r>
      <w:r w:rsidRPr="00A33735">
        <w:t xml:space="preserve">are currently or who have previously received prophylactic or on-demand </w:t>
      </w:r>
      <w:r>
        <w:t>bypassing</w:t>
      </w:r>
      <w:r w:rsidRPr="00A33735">
        <w:t>ing agents</w:t>
      </w:r>
      <w:r>
        <w:t>.</w:t>
      </w:r>
    </w:p>
  </w:footnote>
  <w:footnote w:id="9">
    <w:p w14:paraId="0D23B330" w14:textId="38404E14" w:rsidR="00975BE6" w:rsidRPr="00217B40" w:rsidRDefault="00975BE6" w:rsidP="00217B40">
      <w:pPr>
        <w:pStyle w:val="CommentText"/>
        <w:rPr>
          <w:i/>
          <w:sz w:val="16"/>
          <w:szCs w:val="16"/>
        </w:rPr>
      </w:pPr>
      <w:r>
        <w:rPr>
          <w:rStyle w:val="FootnoteReference"/>
        </w:rPr>
        <w:footnoteRef/>
      </w:r>
      <w:r>
        <w:t xml:space="preserve"> </w:t>
      </w:r>
      <w:r>
        <w:rPr>
          <w:sz w:val="16"/>
          <w:szCs w:val="16"/>
        </w:rPr>
        <w:t>The Applicant</w:t>
      </w:r>
      <w:r w:rsidRPr="00217B40">
        <w:rPr>
          <w:sz w:val="16"/>
          <w:szCs w:val="16"/>
        </w:rPr>
        <w:t xml:space="preserve"> understands that these guidelines are considered out of date and require revision. Advice received</w:t>
      </w:r>
      <w:r>
        <w:rPr>
          <w:sz w:val="16"/>
          <w:szCs w:val="16"/>
        </w:rPr>
        <w:t xml:space="preserve"> by the applicant</w:t>
      </w:r>
      <w:r w:rsidRPr="00217B40">
        <w:rPr>
          <w:sz w:val="16"/>
          <w:szCs w:val="16"/>
        </w:rPr>
        <w:t xml:space="preserve"> is that, in the absence of updated Australia</w:t>
      </w:r>
      <w:r>
        <w:rPr>
          <w:sz w:val="16"/>
          <w:szCs w:val="16"/>
        </w:rPr>
        <w:t>n</w:t>
      </w:r>
      <w:r w:rsidRPr="00217B40">
        <w:rPr>
          <w:sz w:val="16"/>
          <w:szCs w:val="16"/>
        </w:rPr>
        <w:t xml:space="preserve"> Guidelines, </w:t>
      </w:r>
      <w:r>
        <w:rPr>
          <w:sz w:val="16"/>
          <w:szCs w:val="16"/>
        </w:rPr>
        <w:t xml:space="preserve">the </w:t>
      </w:r>
      <w:r w:rsidRPr="00217B40">
        <w:rPr>
          <w:sz w:val="16"/>
          <w:szCs w:val="16"/>
        </w:rPr>
        <w:t>AHCDO’s Tolerisation Committee refer to the UKHCDO Guidelines:</w:t>
      </w:r>
      <w:r>
        <w:rPr>
          <w:sz w:val="16"/>
          <w:szCs w:val="16"/>
        </w:rPr>
        <w:t xml:space="preserve"> </w:t>
      </w:r>
      <w:r w:rsidRPr="00217B40">
        <w:rPr>
          <w:i/>
          <w:sz w:val="16"/>
          <w:szCs w:val="16"/>
        </w:rPr>
        <w:t>Collins PW, Chalmers E, Hart DP, Liesner R, Rangara</w:t>
      </w:r>
      <w:r>
        <w:rPr>
          <w:i/>
          <w:sz w:val="16"/>
          <w:szCs w:val="16"/>
        </w:rPr>
        <w:t xml:space="preserve">jan S, Talks K, et al. (2013). </w:t>
      </w:r>
      <w:r w:rsidRPr="00217B40">
        <w:rPr>
          <w:i/>
          <w:sz w:val="16"/>
          <w:szCs w:val="16"/>
        </w:rPr>
        <w:t>Diagnosis and treatment of factor VIII and IX inhibitors in congenital haemophilia: 4th edition, British Journal of Haematology 160(2): 153-170.</w:t>
      </w:r>
    </w:p>
    <w:p w14:paraId="4BF53B69" w14:textId="6A1A4EB4" w:rsidR="00975BE6" w:rsidRDefault="00975BE6">
      <w:pPr>
        <w:pStyle w:val="FootnoteText"/>
      </w:pPr>
    </w:p>
  </w:footnote>
  <w:footnote w:id="10">
    <w:p w14:paraId="53A88B1B" w14:textId="3760B366" w:rsidR="00975BE6" w:rsidRPr="009A6076" w:rsidRDefault="00975BE6" w:rsidP="009A6076">
      <w:pPr>
        <w:pStyle w:val="FootnoteText"/>
        <w:ind w:left="142" w:hanging="142"/>
        <w:rPr>
          <w:sz w:val="18"/>
          <w:szCs w:val="18"/>
        </w:rPr>
      </w:pPr>
      <w:r w:rsidRPr="009A6076">
        <w:rPr>
          <w:rStyle w:val="FootnoteReference"/>
          <w:sz w:val="18"/>
          <w:szCs w:val="18"/>
        </w:rPr>
        <w:footnoteRef/>
      </w:r>
      <w:r w:rsidRPr="009A6076">
        <w:rPr>
          <w:sz w:val="18"/>
          <w:szCs w:val="18"/>
        </w:rPr>
        <w:t xml:space="preserve"> </w:t>
      </w:r>
      <w:r>
        <w:rPr>
          <w:sz w:val="18"/>
          <w:szCs w:val="18"/>
        </w:rPr>
        <w:tab/>
      </w:r>
      <w:r w:rsidRPr="009A6076">
        <w:rPr>
          <w:sz w:val="18"/>
          <w:szCs w:val="18"/>
        </w:rPr>
        <w:t>which can be defined as ‘the smallest difference in score in the domain of interest which patients perceive as beneficial and which would mandate, in the absence of troublesome side effects and excessive cost, a change in the patient’s management’(Jaeschke et al 1989).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F3A07" w14:textId="77777777" w:rsidR="00975BE6" w:rsidRDefault="005E5B42">
    <w:pPr>
      <w:pStyle w:val="Header"/>
    </w:pPr>
    <w:r>
      <w:rPr>
        <w:noProof/>
      </w:rPr>
      <w:pict w14:anchorId="08AF3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87.3pt;height:48.9pt;rotation:315;z-index:-251658752;mso-position-horizontal:center;mso-position-horizontal-relative:margin;mso-position-vertical:center;mso-position-vertical-relative:margin" o:allowincell="f" fillcolor="silver" stroked="f">
          <v:fill opacity=".5"/>
          <v:textpath style="font-family:&quot;Arial&quot;;font-size:1pt" string="DRAFT FOR CONSULAT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108E0" w14:textId="77777777" w:rsidR="002B137B" w:rsidRDefault="002B13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17DD1" w14:textId="77777777" w:rsidR="002B137B" w:rsidRDefault="002B13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3DC3"/>
    <w:multiLevelType w:val="hybridMultilevel"/>
    <w:tmpl w:val="179CFFAA"/>
    <w:lvl w:ilvl="0" w:tplc="0C09000F">
      <w:start w:val="1"/>
      <w:numFmt w:val="decimal"/>
      <w:lvlText w:val="%1."/>
      <w:lvlJc w:val="left"/>
      <w:pPr>
        <w:ind w:left="928"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8A54418"/>
    <w:multiLevelType w:val="hybridMultilevel"/>
    <w:tmpl w:val="118A4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1663541"/>
    <w:multiLevelType w:val="hybridMultilevel"/>
    <w:tmpl w:val="179CFF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17D0A9A"/>
    <w:multiLevelType w:val="hybridMultilevel"/>
    <w:tmpl w:val="EA405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E9210F5"/>
    <w:multiLevelType w:val="hybridMultilevel"/>
    <w:tmpl w:val="6F14C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8CF3D12"/>
    <w:multiLevelType w:val="hybridMultilevel"/>
    <w:tmpl w:val="30B87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8EB6DD9"/>
    <w:multiLevelType w:val="hybridMultilevel"/>
    <w:tmpl w:val="BD9473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E250975"/>
    <w:multiLevelType w:val="multilevel"/>
    <w:tmpl w:val="ED266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37806990"/>
    <w:multiLevelType w:val="hybridMultilevel"/>
    <w:tmpl w:val="21D41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AFA5649"/>
    <w:multiLevelType w:val="hybridMultilevel"/>
    <w:tmpl w:val="5E2EA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BB25064"/>
    <w:multiLevelType w:val="hybridMultilevel"/>
    <w:tmpl w:val="84D2C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D732233"/>
    <w:multiLevelType w:val="hybridMultilevel"/>
    <w:tmpl w:val="4A782B2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0943DE8"/>
    <w:multiLevelType w:val="hybridMultilevel"/>
    <w:tmpl w:val="629C7E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3FD1628"/>
    <w:multiLevelType w:val="hybridMultilevel"/>
    <w:tmpl w:val="5DDC4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AB659DF"/>
    <w:multiLevelType w:val="hybridMultilevel"/>
    <w:tmpl w:val="F4A4F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E78047D"/>
    <w:multiLevelType w:val="hybridMultilevel"/>
    <w:tmpl w:val="CE56602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nsid w:val="4EBD0091"/>
    <w:multiLevelType w:val="hybridMultilevel"/>
    <w:tmpl w:val="BD004D5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7">
    <w:nsid w:val="50A92BD7"/>
    <w:multiLevelType w:val="hybridMultilevel"/>
    <w:tmpl w:val="39EA2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0B56A44"/>
    <w:multiLevelType w:val="hybridMultilevel"/>
    <w:tmpl w:val="04800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12412A3"/>
    <w:multiLevelType w:val="hybridMultilevel"/>
    <w:tmpl w:val="67721E1E"/>
    <w:lvl w:ilvl="0" w:tplc="ACA4A87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17E2806"/>
    <w:multiLevelType w:val="hybridMultilevel"/>
    <w:tmpl w:val="40C42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63A35E8"/>
    <w:multiLevelType w:val="hybridMultilevel"/>
    <w:tmpl w:val="A10CE9F2"/>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22">
    <w:nsid w:val="5CCB1000"/>
    <w:multiLevelType w:val="hybridMultilevel"/>
    <w:tmpl w:val="EEF01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5E1695"/>
    <w:multiLevelType w:val="hybridMultilevel"/>
    <w:tmpl w:val="B52E586A"/>
    <w:lvl w:ilvl="0" w:tplc="ACA4A87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684281C"/>
    <w:multiLevelType w:val="hybridMultilevel"/>
    <w:tmpl w:val="54469B84"/>
    <w:lvl w:ilvl="0" w:tplc="DB1678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BC82513"/>
    <w:multiLevelType w:val="hybridMultilevel"/>
    <w:tmpl w:val="0FBC2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CEB4CFF"/>
    <w:multiLevelType w:val="hybridMultilevel"/>
    <w:tmpl w:val="1B9CB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3BF3346"/>
    <w:multiLevelType w:val="hybridMultilevel"/>
    <w:tmpl w:val="699E5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936BE3"/>
    <w:multiLevelType w:val="hybridMultilevel"/>
    <w:tmpl w:val="4F7A6E7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9453177"/>
    <w:multiLevelType w:val="hybridMultilevel"/>
    <w:tmpl w:val="BAB8B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C494391"/>
    <w:multiLevelType w:val="hybridMultilevel"/>
    <w:tmpl w:val="C866A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6"/>
  </w:num>
  <w:num w:numId="4">
    <w:abstractNumId w:val="27"/>
  </w:num>
  <w:num w:numId="5">
    <w:abstractNumId w:val="4"/>
  </w:num>
  <w:num w:numId="6">
    <w:abstractNumId w:val="20"/>
  </w:num>
  <w:num w:numId="7">
    <w:abstractNumId w:val="30"/>
  </w:num>
  <w:num w:numId="8">
    <w:abstractNumId w:val="9"/>
  </w:num>
  <w:num w:numId="9">
    <w:abstractNumId w:val="8"/>
  </w:num>
  <w:num w:numId="10">
    <w:abstractNumId w:val="16"/>
  </w:num>
  <w:num w:numId="11">
    <w:abstractNumId w:val="25"/>
  </w:num>
  <w:num w:numId="12">
    <w:abstractNumId w:val="15"/>
  </w:num>
  <w:num w:numId="13">
    <w:abstractNumId w:val="3"/>
  </w:num>
  <w:num w:numId="14">
    <w:abstractNumId w:val="18"/>
  </w:num>
  <w:num w:numId="15">
    <w:abstractNumId w:val="1"/>
  </w:num>
  <w:num w:numId="16">
    <w:abstractNumId w:val="13"/>
  </w:num>
  <w:num w:numId="17">
    <w:abstractNumId w:val="28"/>
  </w:num>
  <w:num w:numId="18">
    <w:abstractNumId w:val="5"/>
  </w:num>
  <w:num w:numId="19">
    <w:abstractNumId w:val="2"/>
  </w:num>
  <w:num w:numId="20">
    <w:abstractNumId w:val="11"/>
  </w:num>
  <w:num w:numId="21">
    <w:abstractNumId w:val="0"/>
  </w:num>
  <w:num w:numId="22">
    <w:abstractNumId w:val="29"/>
  </w:num>
  <w:num w:numId="23">
    <w:abstractNumId w:val="6"/>
  </w:num>
  <w:num w:numId="24">
    <w:abstractNumId w:val="12"/>
  </w:num>
  <w:num w:numId="25">
    <w:abstractNumId w:val="7"/>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4"/>
  </w:num>
  <w:num w:numId="39">
    <w:abstractNumId w:val="10"/>
  </w:num>
  <w:num w:numId="40">
    <w:abstractNumId w:val="22"/>
  </w:num>
  <w:num w:numId="41">
    <w:abstractNumId w:val="23"/>
  </w:num>
  <w:num w:numId="42">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R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z09pa0y9ee9se9epe5f5xde52pzetxev5x&quot;&gt;PICO Emicizumab&lt;record-ids&gt;&lt;item&gt;1&lt;/item&gt;&lt;item&gt;2&lt;/item&gt;&lt;item&gt;3&lt;/item&gt;&lt;item&gt;4&lt;/item&gt;&lt;item&gt;5&lt;/item&gt;&lt;item&gt;6&lt;/item&gt;&lt;item&gt;7&lt;/item&gt;&lt;item&gt;8&lt;/item&gt;&lt;item&gt;9&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record-ids&gt;&lt;/item&gt;&lt;/Libraries&gt;"/>
  </w:docVars>
  <w:rsids>
    <w:rsidRoot w:val="0044715D"/>
    <w:rsid w:val="0000123E"/>
    <w:rsid w:val="00002118"/>
    <w:rsid w:val="000024A7"/>
    <w:rsid w:val="0000365E"/>
    <w:rsid w:val="00004548"/>
    <w:rsid w:val="00014375"/>
    <w:rsid w:val="00023949"/>
    <w:rsid w:val="00023FF0"/>
    <w:rsid w:val="0002546A"/>
    <w:rsid w:val="00030752"/>
    <w:rsid w:val="00032E0A"/>
    <w:rsid w:val="00032F32"/>
    <w:rsid w:val="00035E5B"/>
    <w:rsid w:val="00041862"/>
    <w:rsid w:val="00051B22"/>
    <w:rsid w:val="00052844"/>
    <w:rsid w:val="0005482E"/>
    <w:rsid w:val="00060518"/>
    <w:rsid w:val="00062FE6"/>
    <w:rsid w:val="00063AC8"/>
    <w:rsid w:val="00063B86"/>
    <w:rsid w:val="0007144C"/>
    <w:rsid w:val="00073E60"/>
    <w:rsid w:val="00081551"/>
    <w:rsid w:val="00082656"/>
    <w:rsid w:val="00084B07"/>
    <w:rsid w:val="00091A6E"/>
    <w:rsid w:val="000A0FBA"/>
    <w:rsid w:val="000A2091"/>
    <w:rsid w:val="000A5609"/>
    <w:rsid w:val="000B1C03"/>
    <w:rsid w:val="000B414F"/>
    <w:rsid w:val="000B519A"/>
    <w:rsid w:val="000C11AD"/>
    <w:rsid w:val="000C2612"/>
    <w:rsid w:val="000E1AD5"/>
    <w:rsid w:val="000E5F7E"/>
    <w:rsid w:val="000E715D"/>
    <w:rsid w:val="000E7E5C"/>
    <w:rsid w:val="000F2F49"/>
    <w:rsid w:val="00100E5D"/>
    <w:rsid w:val="00101206"/>
    <w:rsid w:val="001037F8"/>
    <w:rsid w:val="001059E7"/>
    <w:rsid w:val="00113D5F"/>
    <w:rsid w:val="0011483B"/>
    <w:rsid w:val="00117123"/>
    <w:rsid w:val="00120EC3"/>
    <w:rsid w:val="0012274B"/>
    <w:rsid w:val="00127848"/>
    <w:rsid w:val="00127BB1"/>
    <w:rsid w:val="0013286B"/>
    <w:rsid w:val="00133E5F"/>
    <w:rsid w:val="00133F67"/>
    <w:rsid w:val="0013493B"/>
    <w:rsid w:val="00142DF6"/>
    <w:rsid w:val="00145293"/>
    <w:rsid w:val="001455EC"/>
    <w:rsid w:val="001677B9"/>
    <w:rsid w:val="00175DAC"/>
    <w:rsid w:val="001778AC"/>
    <w:rsid w:val="001853E4"/>
    <w:rsid w:val="00185A78"/>
    <w:rsid w:val="00191E53"/>
    <w:rsid w:val="00196C25"/>
    <w:rsid w:val="00197879"/>
    <w:rsid w:val="001A314E"/>
    <w:rsid w:val="001A7041"/>
    <w:rsid w:val="001A792F"/>
    <w:rsid w:val="001B4A74"/>
    <w:rsid w:val="001D0A79"/>
    <w:rsid w:val="001D132F"/>
    <w:rsid w:val="001E20AE"/>
    <w:rsid w:val="001E417C"/>
    <w:rsid w:val="001E54CB"/>
    <w:rsid w:val="001F231E"/>
    <w:rsid w:val="001F2CD0"/>
    <w:rsid w:val="001F2D89"/>
    <w:rsid w:val="001F4A61"/>
    <w:rsid w:val="00202B92"/>
    <w:rsid w:val="00204041"/>
    <w:rsid w:val="002102D6"/>
    <w:rsid w:val="00211049"/>
    <w:rsid w:val="002136E3"/>
    <w:rsid w:val="00216014"/>
    <w:rsid w:val="00216D68"/>
    <w:rsid w:val="00217B40"/>
    <w:rsid w:val="00254C17"/>
    <w:rsid w:val="00256A6C"/>
    <w:rsid w:val="0027464A"/>
    <w:rsid w:val="00276417"/>
    <w:rsid w:val="00276CAC"/>
    <w:rsid w:val="002777DE"/>
    <w:rsid w:val="00277A72"/>
    <w:rsid w:val="00280180"/>
    <w:rsid w:val="002820D3"/>
    <w:rsid w:val="00282B7B"/>
    <w:rsid w:val="00292DE9"/>
    <w:rsid w:val="002A0136"/>
    <w:rsid w:val="002A03CE"/>
    <w:rsid w:val="002A22F9"/>
    <w:rsid w:val="002A4909"/>
    <w:rsid w:val="002A6496"/>
    <w:rsid w:val="002A66BD"/>
    <w:rsid w:val="002B137B"/>
    <w:rsid w:val="002B226C"/>
    <w:rsid w:val="002B27E1"/>
    <w:rsid w:val="002B3338"/>
    <w:rsid w:val="002B7CEB"/>
    <w:rsid w:val="002D3C68"/>
    <w:rsid w:val="002D758D"/>
    <w:rsid w:val="002E12B6"/>
    <w:rsid w:val="002F4AFD"/>
    <w:rsid w:val="002F4EB0"/>
    <w:rsid w:val="00303C94"/>
    <w:rsid w:val="003124DE"/>
    <w:rsid w:val="00316EB5"/>
    <w:rsid w:val="0032322C"/>
    <w:rsid w:val="00327905"/>
    <w:rsid w:val="00333516"/>
    <w:rsid w:val="00335702"/>
    <w:rsid w:val="00337019"/>
    <w:rsid w:val="00346087"/>
    <w:rsid w:val="0035137C"/>
    <w:rsid w:val="0035378C"/>
    <w:rsid w:val="00355FC7"/>
    <w:rsid w:val="00356B4F"/>
    <w:rsid w:val="0035725E"/>
    <w:rsid w:val="0036244E"/>
    <w:rsid w:val="00362776"/>
    <w:rsid w:val="00364911"/>
    <w:rsid w:val="00367C0F"/>
    <w:rsid w:val="00374DD8"/>
    <w:rsid w:val="00381922"/>
    <w:rsid w:val="00382875"/>
    <w:rsid w:val="003858C7"/>
    <w:rsid w:val="00390CD4"/>
    <w:rsid w:val="003A5DFA"/>
    <w:rsid w:val="003A6525"/>
    <w:rsid w:val="003C1D19"/>
    <w:rsid w:val="003C2563"/>
    <w:rsid w:val="003D33F3"/>
    <w:rsid w:val="003D3980"/>
    <w:rsid w:val="003D590E"/>
    <w:rsid w:val="003D699E"/>
    <w:rsid w:val="003D6D70"/>
    <w:rsid w:val="003E0382"/>
    <w:rsid w:val="003E173E"/>
    <w:rsid w:val="00411511"/>
    <w:rsid w:val="00413C74"/>
    <w:rsid w:val="004140FC"/>
    <w:rsid w:val="00424031"/>
    <w:rsid w:val="0042483F"/>
    <w:rsid w:val="00431A19"/>
    <w:rsid w:val="00440228"/>
    <w:rsid w:val="0044715D"/>
    <w:rsid w:val="004478F3"/>
    <w:rsid w:val="00450819"/>
    <w:rsid w:val="00450DB5"/>
    <w:rsid w:val="004546B5"/>
    <w:rsid w:val="00454CF7"/>
    <w:rsid w:val="00462205"/>
    <w:rsid w:val="00463AAE"/>
    <w:rsid w:val="00467BE3"/>
    <w:rsid w:val="00470121"/>
    <w:rsid w:val="004744DE"/>
    <w:rsid w:val="004A187C"/>
    <w:rsid w:val="004A221B"/>
    <w:rsid w:val="004A2A19"/>
    <w:rsid w:val="004A5756"/>
    <w:rsid w:val="004B4518"/>
    <w:rsid w:val="004B5317"/>
    <w:rsid w:val="004C07FF"/>
    <w:rsid w:val="004C13F8"/>
    <w:rsid w:val="004C1FA9"/>
    <w:rsid w:val="004C5C11"/>
    <w:rsid w:val="004C68FA"/>
    <w:rsid w:val="004D1D41"/>
    <w:rsid w:val="004D7D74"/>
    <w:rsid w:val="004E451C"/>
    <w:rsid w:val="004E5EA7"/>
    <w:rsid w:val="004E6A8E"/>
    <w:rsid w:val="004F1733"/>
    <w:rsid w:val="004F2A80"/>
    <w:rsid w:val="004F47A0"/>
    <w:rsid w:val="004F649B"/>
    <w:rsid w:val="005009BE"/>
    <w:rsid w:val="005038BB"/>
    <w:rsid w:val="005102C0"/>
    <w:rsid w:val="00522A86"/>
    <w:rsid w:val="0053125D"/>
    <w:rsid w:val="005328AC"/>
    <w:rsid w:val="005334BE"/>
    <w:rsid w:val="005361AD"/>
    <w:rsid w:val="00543A25"/>
    <w:rsid w:val="005552D0"/>
    <w:rsid w:val="005640CC"/>
    <w:rsid w:val="0056436F"/>
    <w:rsid w:val="00566B37"/>
    <w:rsid w:val="00572340"/>
    <w:rsid w:val="005730B1"/>
    <w:rsid w:val="00574FA7"/>
    <w:rsid w:val="005828EC"/>
    <w:rsid w:val="00585892"/>
    <w:rsid w:val="005865B6"/>
    <w:rsid w:val="00586AC6"/>
    <w:rsid w:val="0059185D"/>
    <w:rsid w:val="0059514F"/>
    <w:rsid w:val="005A59E9"/>
    <w:rsid w:val="005B2674"/>
    <w:rsid w:val="005B4506"/>
    <w:rsid w:val="005C0EEE"/>
    <w:rsid w:val="005C132B"/>
    <w:rsid w:val="005C6C85"/>
    <w:rsid w:val="005C77B3"/>
    <w:rsid w:val="005C7B58"/>
    <w:rsid w:val="005E0152"/>
    <w:rsid w:val="005E4451"/>
    <w:rsid w:val="005E5B42"/>
    <w:rsid w:val="005E5FFE"/>
    <w:rsid w:val="005F197E"/>
    <w:rsid w:val="005F4D2F"/>
    <w:rsid w:val="005F7290"/>
    <w:rsid w:val="00603A1F"/>
    <w:rsid w:val="00605932"/>
    <w:rsid w:val="00614A93"/>
    <w:rsid w:val="00617962"/>
    <w:rsid w:val="00627B5C"/>
    <w:rsid w:val="00640DDB"/>
    <w:rsid w:val="00644920"/>
    <w:rsid w:val="00646DA5"/>
    <w:rsid w:val="00651502"/>
    <w:rsid w:val="00651BCA"/>
    <w:rsid w:val="00655327"/>
    <w:rsid w:val="00662A6B"/>
    <w:rsid w:val="006773A9"/>
    <w:rsid w:val="006779E0"/>
    <w:rsid w:val="006839DC"/>
    <w:rsid w:val="00686461"/>
    <w:rsid w:val="00686C15"/>
    <w:rsid w:val="00691D26"/>
    <w:rsid w:val="0069402E"/>
    <w:rsid w:val="00696249"/>
    <w:rsid w:val="006A4D75"/>
    <w:rsid w:val="006A6ADA"/>
    <w:rsid w:val="006A6D83"/>
    <w:rsid w:val="006B47DE"/>
    <w:rsid w:val="006B6204"/>
    <w:rsid w:val="006D1643"/>
    <w:rsid w:val="006D4F46"/>
    <w:rsid w:val="006D571E"/>
    <w:rsid w:val="006E00CB"/>
    <w:rsid w:val="006E3BD6"/>
    <w:rsid w:val="006E564D"/>
    <w:rsid w:val="006E6119"/>
    <w:rsid w:val="006E6918"/>
    <w:rsid w:val="006F1382"/>
    <w:rsid w:val="006F13CC"/>
    <w:rsid w:val="00701B16"/>
    <w:rsid w:val="00706D65"/>
    <w:rsid w:val="00715C1A"/>
    <w:rsid w:val="00723EDB"/>
    <w:rsid w:val="00725614"/>
    <w:rsid w:val="007259F2"/>
    <w:rsid w:val="00734F81"/>
    <w:rsid w:val="0073757B"/>
    <w:rsid w:val="00740A5B"/>
    <w:rsid w:val="00741829"/>
    <w:rsid w:val="00742D8E"/>
    <w:rsid w:val="00743857"/>
    <w:rsid w:val="00751006"/>
    <w:rsid w:val="00751729"/>
    <w:rsid w:val="00752491"/>
    <w:rsid w:val="007575C5"/>
    <w:rsid w:val="00762B8B"/>
    <w:rsid w:val="00763498"/>
    <w:rsid w:val="007743B0"/>
    <w:rsid w:val="007754FB"/>
    <w:rsid w:val="00780AFE"/>
    <w:rsid w:val="00784E52"/>
    <w:rsid w:val="00792ED5"/>
    <w:rsid w:val="007942FD"/>
    <w:rsid w:val="007A1531"/>
    <w:rsid w:val="007A77E8"/>
    <w:rsid w:val="007B0663"/>
    <w:rsid w:val="007B2D09"/>
    <w:rsid w:val="007B3125"/>
    <w:rsid w:val="007B3BF0"/>
    <w:rsid w:val="007B51B0"/>
    <w:rsid w:val="007C2E8E"/>
    <w:rsid w:val="007C396B"/>
    <w:rsid w:val="007D411A"/>
    <w:rsid w:val="007E0759"/>
    <w:rsid w:val="007E2E2D"/>
    <w:rsid w:val="007E7E23"/>
    <w:rsid w:val="007F1172"/>
    <w:rsid w:val="007F3CEB"/>
    <w:rsid w:val="007F4E20"/>
    <w:rsid w:val="007F6206"/>
    <w:rsid w:val="008011BA"/>
    <w:rsid w:val="0080144A"/>
    <w:rsid w:val="00804BD2"/>
    <w:rsid w:val="00816749"/>
    <w:rsid w:val="00817B5A"/>
    <w:rsid w:val="00831CA9"/>
    <w:rsid w:val="0083678F"/>
    <w:rsid w:val="008425D2"/>
    <w:rsid w:val="00845CBC"/>
    <w:rsid w:val="00846740"/>
    <w:rsid w:val="0086227A"/>
    <w:rsid w:val="00862E23"/>
    <w:rsid w:val="008659FA"/>
    <w:rsid w:val="00866951"/>
    <w:rsid w:val="00870120"/>
    <w:rsid w:val="00870245"/>
    <w:rsid w:val="008706D6"/>
    <w:rsid w:val="00874BA7"/>
    <w:rsid w:val="008757BF"/>
    <w:rsid w:val="00882D4A"/>
    <w:rsid w:val="00885647"/>
    <w:rsid w:val="00886F21"/>
    <w:rsid w:val="00887604"/>
    <w:rsid w:val="00891CB9"/>
    <w:rsid w:val="008967B1"/>
    <w:rsid w:val="00896845"/>
    <w:rsid w:val="008A4A18"/>
    <w:rsid w:val="008A5933"/>
    <w:rsid w:val="008A5D19"/>
    <w:rsid w:val="008A7087"/>
    <w:rsid w:val="008B148E"/>
    <w:rsid w:val="008B6D97"/>
    <w:rsid w:val="008C3E5E"/>
    <w:rsid w:val="008C58F4"/>
    <w:rsid w:val="008C6CB0"/>
    <w:rsid w:val="008D3DF4"/>
    <w:rsid w:val="008D5D4A"/>
    <w:rsid w:val="008D734F"/>
    <w:rsid w:val="008E3B02"/>
    <w:rsid w:val="008E75CA"/>
    <w:rsid w:val="008F222A"/>
    <w:rsid w:val="008F229C"/>
    <w:rsid w:val="0090627E"/>
    <w:rsid w:val="0090717B"/>
    <w:rsid w:val="00912D3C"/>
    <w:rsid w:val="00915AAE"/>
    <w:rsid w:val="009314CA"/>
    <w:rsid w:val="00933D6F"/>
    <w:rsid w:val="00947ED5"/>
    <w:rsid w:val="00950D7D"/>
    <w:rsid w:val="00953ED7"/>
    <w:rsid w:val="00954A05"/>
    <w:rsid w:val="00955040"/>
    <w:rsid w:val="0096428C"/>
    <w:rsid w:val="009731EB"/>
    <w:rsid w:val="00974955"/>
    <w:rsid w:val="00975BE6"/>
    <w:rsid w:val="009763FC"/>
    <w:rsid w:val="009805A2"/>
    <w:rsid w:val="00986F2C"/>
    <w:rsid w:val="0099160D"/>
    <w:rsid w:val="009A3D98"/>
    <w:rsid w:val="009A6076"/>
    <w:rsid w:val="009B7EF0"/>
    <w:rsid w:val="009D6FE6"/>
    <w:rsid w:val="009E0307"/>
    <w:rsid w:val="009E18CD"/>
    <w:rsid w:val="009E3C65"/>
    <w:rsid w:val="009E5295"/>
    <w:rsid w:val="009E6E57"/>
    <w:rsid w:val="009F3150"/>
    <w:rsid w:val="00A000DE"/>
    <w:rsid w:val="00A04E68"/>
    <w:rsid w:val="00A0762E"/>
    <w:rsid w:val="00A07EDD"/>
    <w:rsid w:val="00A10238"/>
    <w:rsid w:val="00A10914"/>
    <w:rsid w:val="00A1394F"/>
    <w:rsid w:val="00A16966"/>
    <w:rsid w:val="00A26DE3"/>
    <w:rsid w:val="00A27C6E"/>
    <w:rsid w:val="00A33735"/>
    <w:rsid w:val="00A365A3"/>
    <w:rsid w:val="00A42401"/>
    <w:rsid w:val="00A510F1"/>
    <w:rsid w:val="00A54C6F"/>
    <w:rsid w:val="00A601AC"/>
    <w:rsid w:val="00A62D56"/>
    <w:rsid w:val="00A645BD"/>
    <w:rsid w:val="00A664CF"/>
    <w:rsid w:val="00A70109"/>
    <w:rsid w:val="00A70F4D"/>
    <w:rsid w:val="00A76BA4"/>
    <w:rsid w:val="00A84A56"/>
    <w:rsid w:val="00A931C1"/>
    <w:rsid w:val="00AA452E"/>
    <w:rsid w:val="00AB1F47"/>
    <w:rsid w:val="00AB7032"/>
    <w:rsid w:val="00AB795B"/>
    <w:rsid w:val="00AC661D"/>
    <w:rsid w:val="00AD0FA1"/>
    <w:rsid w:val="00AD62E3"/>
    <w:rsid w:val="00AE16AE"/>
    <w:rsid w:val="00AE5417"/>
    <w:rsid w:val="00AF21F1"/>
    <w:rsid w:val="00AF31E5"/>
    <w:rsid w:val="00B03CF1"/>
    <w:rsid w:val="00B13BEA"/>
    <w:rsid w:val="00B33103"/>
    <w:rsid w:val="00B339C0"/>
    <w:rsid w:val="00B37D56"/>
    <w:rsid w:val="00B45971"/>
    <w:rsid w:val="00B46A0A"/>
    <w:rsid w:val="00B529E9"/>
    <w:rsid w:val="00B55520"/>
    <w:rsid w:val="00B60640"/>
    <w:rsid w:val="00B66101"/>
    <w:rsid w:val="00B66B1C"/>
    <w:rsid w:val="00B74B4D"/>
    <w:rsid w:val="00B83C0D"/>
    <w:rsid w:val="00B851A8"/>
    <w:rsid w:val="00B85D39"/>
    <w:rsid w:val="00BA4743"/>
    <w:rsid w:val="00BA565F"/>
    <w:rsid w:val="00BA63AA"/>
    <w:rsid w:val="00BB53F1"/>
    <w:rsid w:val="00BB746E"/>
    <w:rsid w:val="00BC6721"/>
    <w:rsid w:val="00BE2CC7"/>
    <w:rsid w:val="00BE7F6E"/>
    <w:rsid w:val="00BF14B2"/>
    <w:rsid w:val="00BF39E1"/>
    <w:rsid w:val="00BF4383"/>
    <w:rsid w:val="00BF477A"/>
    <w:rsid w:val="00BF4DA6"/>
    <w:rsid w:val="00BF6808"/>
    <w:rsid w:val="00C01B2A"/>
    <w:rsid w:val="00C13CCF"/>
    <w:rsid w:val="00C16701"/>
    <w:rsid w:val="00C16867"/>
    <w:rsid w:val="00C2729A"/>
    <w:rsid w:val="00C276F6"/>
    <w:rsid w:val="00C40ACC"/>
    <w:rsid w:val="00C504CD"/>
    <w:rsid w:val="00C522F2"/>
    <w:rsid w:val="00C53878"/>
    <w:rsid w:val="00C6008F"/>
    <w:rsid w:val="00C6056D"/>
    <w:rsid w:val="00C61965"/>
    <w:rsid w:val="00C63A94"/>
    <w:rsid w:val="00C64F8D"/>
    <w:rsid w:val="00C65B14"/>
    <w:rsid w:val="00C760A7"/>
    <w:rsid w:val="00C844D3"/>
    <w:rsid w:val="00C852E8"/>
    <w:rsid w:val="00C85894"/>
    <w:rsid w:val="00C9630A"/>
    <w:rsid w:val="00CB0CE2"/>
    <w:rsid w:val="00CB4AD2"/>
    <w:rsid w:val="00CB61B8"/>
    <w:rsid w:val="00CC175B"/>
    <w:rsid w:val="00CC3B43"/>
    <w:rsid w:val="00CC60B0"/>
    <w:rsid w:val="00CE5430"/>
    <w:rsid w:val="00CF0DA0"/>
    <w:rsid w:val="00CF1B88"/>
    <w:rsid w:val="00CF1D7B"/>
    <w:rsid w:val="00CF6B71"/>
    <w:rsid w:val="00D26848"/>
    <w:rsid w:val="00D30EBE"/>
    <w:rsid w:val="00D32C3E"/>
    <w:rsid w:val="00D34782"/>
    <w:rsid w:val="00D4492D"/>
    <w:rsid w:val="00D46C89"/>
    <w:rsid w:val="00D5006D"/>
    <w:rsid w:val="00D55310"/>
    <w:rsid w:val="00D6119C"/>
    <w:rsid w:val="00D64A29"/>
    <w:rsid w:val="00D6560B"/>
    <w:rsid w:val="00D73C1B"/>
    <w:rsid w:val="00D77E49"/>
    <w:rsid w:val="00D80CD0"/>
    <w:rsid w:val="00D85AA7"/>
    <w:rsid w:val="00D96516"/>
    <w:rsid w:val="00D97078"/>
    <w:rsid w:val="00DA15E8"/>
    <w:rsid w:val="00DA6B8C"/>
    <w:rsid w:val="00DA794C"/>
    <w:rsid w:val="00DB21A1"/>
    <w:rsid w:val="00DB2FE2"/>
    <w:rsid w:val="00DB3CD9"/>
    <w:rsid w:val="00DB556B"/>
    <w:rsid w:val="00DB6934"/>
    <w:rsid w:val="00DC27BF"/>
    <w:rsid w:val="00DC3451"/>
    <w:rsid w:val="00DC3912"/>
    <w:rsid w:val="00DC6838"/>
    <w:rsid w:val="00DD3B9E"/>
    <w:rsid w:val="00DD439E"/>
    <w:rsid w:val="00DD6684"/>
    <w:rsid w:val="00DE017B"/>
    <w:rsid w:val="00DE03C7"/>
    <w:rsid w:val="00DE3D6C"/>
    <w:rsid w:val="00DE4B34"/>
    <w:rsid w:val="00DE7839"/>
    <w:rsid w:val="00DF1C05"/>
    <w:rsid w:val="00DF30B8"/>
    <w:rsid w:val="00DF7242"/>
    <w:rsid w:val="00E072FA"/>
    <w:rsid w:val="00E21687"/>
    <w:rsid w:val="00E31E48"/>
    <w:rsid w:val="00E35E99"/>
    <w:rsid w:val="00E3626D"/>
    <w:rsid w:val="00E364F7"/>
    <w:rsid w:val="00E41A27"/>
    <w:rsid w:val="00E443D5"/>
    <w:rsid w:val="00E46B27"/>
    <w:rsid w:val="00E46C0B"/>
    <w:rsid w:val="00E639BC"/>
    <w:rsid w:val="00E6475C"/>
    <w:rsid w:val="00E65FF7"/>
    <w:rsid w:val="00E661A5"/>
    <w:rsid w:val="00E72244"/>
    <w:rsid w:val="00E77F5A"/>
    <w:rsid w:val="00E839A5"/>
    <w:rsid w:val="00E83EA4"/>
    <w:rsid w:val="00E94A09"/>
    <w:rsid w:val="00E968F6"/>
    <w:rsid w:val="00EA4F20"/>
    <w:rsid w:val="00EB4DE8"/>
    <w:rsid w:val="00EB61BD"/>
    <w:rsid w:val="00EC095D"/>
    <w:rsid w:val="00EC3D5F"/>
    <w:rsid w:val="00EC4151"/>
    <w:rsid w:val="00ED2B29"/>
    <w:rsid w:val="00ED7E95"/>
    <w:rsid w:val="00EE6DBE"/>
    <w:rsid w:val="00EE7A1F"/>
    <w:rsid w:val="00EE7C36"/>
    <w:rsid w:val="00EF07FB"/>
    <w:rsid w:val="00EF6479"/>
    <w:rsid w:val="00EF7FC6"/>
    <w:rsid w:val="00F0186F"/>
    <w:rsid w:val="00F12E59"/>
    <w:rsid w:val="00F205F2"/>
    <w:rsid w:val="00F26CAC"/>
    <w:rsid w:val="00F333BD"/>
    <w:rsid w:val="00F41D84"/>
    <w:rsid w:val="00F42F23"/>
    <w:rsid w:val="00F432E6"/>
    <w:rsid w:val="00F4622B"/>
    <w:rsid w:val="00F46D95"/>
    <w:rsid w:val="00F61DA4"/>
    <w:rsid w:val="00F64ADE"/>
    <w:rsid w:val="00F64E40"/>
    <w:rsid w:val="00F652CB"/>
    <w:rsid w:val="00F66C65"/>
    <w:rsid w:val="00F727BB"/>
    <w:rsid w:val="00F74008"/>
    <w:rsid w:val="00F77842"/>
    <w:rsid w:val="00F83CED"/>
    <w:rsid w:val="00F90E2D"/>
    <w:rsid w:val="00F945C0"/>
    <w:rsid w:val="00F95C63"/>
    <w:rsid w:val="00FA3F82"/>
    <w:rsid w:val="00FA522E"/>
    <w:rsid w:val="00FB0B15"/>
    <w:rsid w:val="00FB18D2"/>
    <w:rsid w:val="00FC17DD"/>
    <w:rsid w:val="00FC3F20"/>
    <w:rsid w:val="00FC3F3E"/>
    <w:rsid w:val="00FC752E"/>
    <w:rsid w:val="00FE190F"/>
    <w:rsid w:val="00FE687B"/>
    <w:rsid w:val="00FF2BB7"/>
    <w:rsid w:val="00FF53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8AF3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BE6"/>
    <w:rPr>
      <w:rFonts w:ascii="Calibri" w:eastAsia="Calibri" w:hAnsi="Calibri" w:cs="Times New Roman"/>
      <w:sz w:val="22"/>
    </w:rPr>
  </w:style>
  <w:style w:type="paragraph" w:styleId="Heading1">
    <w:name w:val="heading 1"/>
    <w:basedOn w:val="Normal"/>
    <w:next w:val="Normal"/>
    <w:link w:val="Heading1Char"/>
    <w:uiPriority w:val="9"/>
    <w:qFormat/>
    <w:rsid w:val="001F4A61"/>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qFormat/>
    <w:rsid w:val="001F4A61"/>
    <w:pPr>
      <w:keepNext/>
      <w:keepLines/>
      <w:spacing w:before="120" w:after="120"/>
      <w:outlineLvl w:val="1"/>
    </w:pPr>
    <w:rPr>
      <w:rFonts w:eastAsia="MS Gothic"/>
      <w:b/>
      <w:bCs/>
      <w:i/>
      <w:color w:val="4F81BD" w:themeColor="accent1"/>
      <w:sz w:val="24"/>
      <w:szCs w:val="26"/>
      <w:u w:val="single"/>
    </w:rPr>
  </w:style>
  <w:style w:type="paragraph" w:styleId="Heading3">
    <w:name w:val="heading 3"/>
    <w:basedOn w:val="Normal"/>
    <w:next w:val="Normal"/>
    <w:link w:val="Heading3Char"/>
    <w:uiPriority w:val="9"/>
    <w:unhideWhenUsed/>
    <w:qFormat/>
    <w:rsid w:val="00B37D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D2B2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D2B2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F4A61"/>
    <w:rPr>
      <w:rFonts w:ascii="Calibri" w:eastAsia="MS Gothic" w:hAnsi="Calibri" w:cs="Times New Roman"/>
      <w:b/>
      <w:bCs/>
      <w:i/>
      <w:color w:val="4F81BD" w:themeColor="accent1"/>
      <w:szCs w:val="26"/>
      <w:u w:val="single"/>
    </w:rPr>
  </w:style>
  <w:style w:type="paragraph" w:styleId="ListParagraph">
    <w:name w:val="List Paragraph"/>
    <w:basedOn w:val="Normal"/>
    <w:uiPriority w:val="34"/>
    <w:qFormat/>
    <w:rsid w:val="0044715D"/>
    <w:pPr>
      <w:ind w:left="720"/>
      <w:contextualSpacing/>
    </w:p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44715D"/>
    <w:pPr>
      <w:keepNext/>
      <w:spacing w:after="40" w:line="240" w:lineRule="auto"/>
      <w:ind w:left="709" w:hanging="709"/>
    </w:pPr>
    <w:rPr>
      <w:rFonts w:ascii="Arial Narrow" w:eastAsia="Times New Roman" w:hAnsi="Arial Narrow" w:cs="Tahoma"/>
      <w:b/>
      <w:sz w:val="20"/>
      <w:szCs w:val="20"/>
      <w:lang w:val="en-GB" w:eastAsia="ja-JP"/>
    </w:rPr>
  </w:style>
  <w:style w:type="character" w:styleId="Hyperlink">
    <w:name w:val="Hyperlink"/>
    <w:basedOn w:val="DefaultParagraphFont"/>
    <w:uiPriority w:val="99"/>
    <w:rsid w:val="0044715D"/>
    <w:rPr>
      <w:rFonts w:cs="Times New Roman"/>
      <w:color w:val="0000FF"/>
      <w:u w:val="single"/>
    </w:rPr>
  </w:style>
  <w:style w:type="paragraph" w:styleId="BalloonText">
    <w:name w:val="Balloon Text"/>
    <w:basedOn w:val="Normal"/>
    <w:link w:val="BalloonTextChar"/>
    <w:uiPriority w:val="99"/>
    <w:semiHidden/>
    <w:unhideWhenUsed/>
    <w:rsid w:val="0044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5D"/>
    <w:rPr>
      <w:rFonts w:ascii="Tahoma" w:eastAsia="Calibri" w:hAnsi="Tahoma" w:cs="Tahoma"/>
      <w:sz w:val="16"/>
      <w:szCs w:val="16"/>
    </w:rPr>
  </w:style>
  <w:style w:type="paragraph" w:customStyle="1" w:styleId="Heading10">
    <w:name w:val="Heading1"/>
    <w:rsid w:val="0044715D"/>
    <w:pPr>
      <w:spacing w:line="240" w:lineRule="auto"/>
    </w:pPr>
    <w:rPr>
      <w:rFonts w:ascii="Calibri" w:eastAsia="Calibri" w:hAnsi="Calibri" w:cs="Calibri"/>
      <w:b/>
      <w:bCs/>
      <w:color w:val="000000"/>
      <w:sz w:val="36"/>
      <w:szCs w:val="36"/>
      <w:u w:color="000000"/>
      <w:lang w:val="en-US" w:eastAsia="en-AU"/>
    </w:rPr>
  </w:style>
  <w:style w:type="character" w:styleId="CommentReference">
    <w:name w:val="annotation reference"/>
    <w:basedOn w:val="DefaultParagraphFont"/>
    <w:uiPriority w:val="99"/>
    <w:semiHidden/>
    <w:unhideWhenUsed/>
    <w:rsid w:val="00E46C0B"/>
    <w:rPr>
      <w:sz w:val="16"/>
      <w:szCs w:val="16"/>
    </w:rPr>
  </w:style>
  <w:style w:type="paragraph" w:styleId="CommentText">
    <w:name w:val="annotation text"/>
    <w:basedOn w:val="Normal"/>
    <w:link w:val="CommentTextChar"/>
    <w:uiPriority w:val="99"/>
    <w:unhideWhenUsed/>
    <w:rsid w:val="00E46C0B"/>
    <w:pPr>
      <w:spacing w:line="240" w:lineRule="auto"/>
    </w:pPr>
    <w:rPr>
      <w:sz w:val="20"/>
      <w:szCs w:val="20"/>
    </w:rPr>
  </w:style>
  <w:style w:type="character" w:customStyle="1" w:styleId="CommentTextChar">
    <w:name w:val="Comment Text Char"/>
    <w:basedOn w:val="DefaultParagraphFont"/>
    <w:link w:val="CommentText"/>
    <w:uiPriority w:val="99"/>
    <w:rsid w:val="00E46C0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6C0B"/>
    <w:rPr>
      <w:b/>
      <w:bCs/>
    </w:rPr>
  </w:style>
  <w:style w:type="character" w:customStyle="1" w:styleId="CommentSubjectChar">
    <w:name w:val="Comment Subject Char"/>
    <w:basedOn w:val="CommentTextChar"/>
    <w:link w:val="CommentSubject"/>
    <w:uiPriority w:val="99"/>
    <w:semiHidden/>
    <w:rsid w:val="00E46C0B"/>
    <w:rPr>
      <w:rFonts w:ascii="Calibri" w:eastAsia="Calibri" w:hAnsi="Calibri" w:cs="Times New Roman"/>
      <w:b/>
      <w:bCs/>
      <w:sz w:val="20"/>
      <w:szCs w:val="20"/>
    </w:rPr>
  </w:style>
  <w:style w:type="paragraph" w:styleId="Header">
    <w:name w:val="header"/>
    <w:basedOn w:val="Normal"/>
    <w:link w:val="HeaderChar"/>
    <w:uiPriority w:val="99"/>
    <w:unhideWhenUsed/>
    <w:rsid w:val="003D6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99E"/>
    <w:rPr>
      <w:rFonts w:ascii="Calibri" w:eastAsia="Calibri" w:hAnsi="Calibri" w:cs="Times New Roman"/>
      <w:sz w:val="22"/>
    </w:rPr>
  </w:style>
  <w:style w:type="paragraph" w:styleId="Footer">
    <w:name w:val="footer"/>
    <w:basedOn w:val="Normal"/>
    <w:link w:val="FooterChar"/>
    <w:uiPriority w:val="99"/>
    <w:unhideWhenUsed/>
    <w:rsid w:val="003D6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99E"/>
    <w:rPr>
      <w:rFonts w:ascii="Calibri" w:eastAsia="Calibri" w:hAnsi="Calibri" w:cs="Times New Roman"/>
      <w:sz w:val="22"/>
    </w:rPr>
  </w:style>
  <w:style w:type="paragraph" w:styleId="Subtitle">
    <w:name w:val="Subtitle"/>
    <w:basedOn w:val="Normal"/>
    <w:next w:val="Normal"/>
    <w:link w:val="SubtitleChar"/>
    <w:uiPriority w:val="11"/>
    <w:qFormat/>
    <w:rsid w:val="00FA522E"/>
    <w:pPr>
      <w:numPr>
        <w:ilvl w:val="1"/>
      </w:numPr>
      <w:spacing w:after="360" w:line="240" w:lineRule="auto"/>
    </w:pPr>
    <w:rPr>
      <w:rFonts w:eastAsiaTheme="majorEastAsia" w:cstheme="majorBidi"/>
      <w:b/>
      <w:bCs/>
      <w:sz w:val="36"/>
      <w:szCs w:val="36"/>
      <w:lang w:bidi="hi-IN"/>
    </w:rPr>
  </w:style>
  <w:style w:type="character" w:customStyle="1" w:styleId="SubtitleChar">
    <w:name w:val="Subtitle Char"/>
    <w:basedOn w:val="DefaultParagraphFont"/>
    <w:link w:val="Subtitle"/>
    <w:uiPriority w:val="11"/>
    <w:rsid w:val="00FA522E"/>
    <w:rPr>
      <w:rFonts w:ascii="Calibri" w:eastAsiaTheme="majorEastAsia" w:hAnsi="Calibri" w:cstheme="majorBidi"/>
      <w:b/>
      <w:bCs/>
      <w:sz w:val="36"/>
      <w:szCs w:val="36"/>
      <w:lang w:bidi="hi-IN"/>
    </w:rPr>
  </w:style>
  <w:style w:type="character" w:styleId="FollowedHyperlink">
    <w:name w:val="FollowedHyperlink"/>
    <w:basedOn w:val="DefaultParagraphFont"/>
    <w:uiPriority w:val="99"/>
    <w:semiHidden/>
    <w:unhideWhenUsed/>
    <w:rsid w:val="005E5FFE"/>
    <w:rPr>
      <w:color w:val="800080" w:themeColor="followedHyperlink"/>
      <w:u w:val="single"/>
    </w:rPr>
  </w:style>
  <w:style w:type="table" w:styleId="TableGrid">
    <w:name w:val="Table Grid"/>
    <w:basedOn w:val="TableNormal"/>
    <w:uiPriority w:val="59"/>
    <w:rsid w:val="008C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4A61"/>
    <w:rPr>
      <w:rFonts w:asciiTheme="majorHAnsi" w:eastAsiaTheme="majorEastAsia" w:hAnsiTheme="majorHAnsi" w:cstheme="majorBidi"/>
      <w:b/>
      <w:bCs/>
      <w:color w:val="365F91" w:themeColor="accent1" w:themeShade="BF"/>
      <w:sz w:val="32"/>
      <w:szCs w:val="28"/>
    </w:rPr>
  </w:style>
  <w:style w:type="table" w:customStyle="1" w:styleId="TableGrid1">
    <w:name w:val="Table Grid1"/>
    <w:basedOn w:val="TableNormal"/>
    <w:next w:val="TableGrid"/>
    <w:uiPriority w:val="59"/>
    <w:rsid w:val="00C63A94"/>
    <w:pPr>
      <w:spacing w:after="240" w:line="240" w:lineRule="auto"/>
      <w:ind w:left="720"/>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basedOn w:val="Normal"/>
    <w:rsid w:val="00EE7A1F"/>
    <w:pPr>
      <w:spacing w:after="240" w:line="240" w:lineRule="auto"/>
      <w:ind w:left="720"/>
      <w:jc w:val="right"/>
    </w:pPr>
    <w:rPr>
      <w:rFonts w:ascii="Arial" w:eastAsia="Times New Roman" w:hAnsi="Arial"/>
      <w:b/>
      <w:color w:val="000000"/>
      <w:sz w:val="40"/>
      <w:szCs w:val="20"/>
      <w:lang w:eastAsia="en-AU"/>
    </w:rPr>
  </w:style>
  <w:style w:type="paragraph" w:styleId="FootnoteText">
    <w:name w:val="footnote text"/>
    <w:basedOn w:val="Normal"/>
    <w:link w:val="FootnoteTextChar"/>
    <w:uiPriority w:val="99"/>
    <w:semiHidden/>
    <w:unhideWhenUsed/>
    <w:rsid w:val="00E639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39B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639BC"/>
    <w:rPr>
      <w:vertAlign w:val="superscript"/>
    </w:rPr>
  </w:style>
  <w:style w:type="paragraph" w:customStyle="1" w:styleId="EndNoteBibliographyTitle">
    <w:name w:val="EndNote Bibliography Title"/>
    <w:basedOn w:val="Normal"/>
    <w:link w:val="EndNoteBibliographyTitleChar"/>
    <w:rsid w:val="00062FE6"/>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062FE6"/>
    <w:rPr>
      <w:rFonts w:ascii="Calibri" w:eastAsia="Calibri" w:hAnsi="Calibri" w:cs="Times New Roman"/>
      <w:noProof/>
      <w:sz w:val="22"/>
      <w:lang w:val="en-US"/>
    </w:rPr>
  </w:style>
  <w:style w:type="paragraph" w:customStyle="1" w:styleId="EndNoteBibliography">
    <w:name w:val="EndNote Bibliography"/>
    <w:basedOn w:val="Normal"/>
    <w:link w:val="EndNoteBibliographyChar"/>
    <w:rsid w:val="00062FE6"/>
    <w:pPr>
      <w:spacing w:line="240" w:lineRule="auto"/>
    </w:pPr>
    <w:rPr>
      <w:noProof/>
      <w:lang w:val="en-US"/>
    </w:rPr>
  </w:style>
  <w:style w:type="character" w:customStyle="1" w:styleId="EndNoteBibliographyChar">
    <w:name w:val="EndNote Bibliography Char"/>
    <w:basedOn w:val="DefaultParagraphFont"/>
    <w:link w:val="EndNoteBibliography"/>
    <w:rsid w:val="00062FE6"/>
    <w:rPr>
      <w:rFonts w:ascii="Calibri" w:eastAsia="Calibri" w:hAnsi="Calibri" w:cs="Times New Roman"/>
      <w:noProof/>
      <w:sz w:val="22"/>
      <w:lang w:val="en-US"/>
    </w:rPr>
  </w:style>
  <w:style w:type="table" w:customStyle="1" w:styleId="TableGrid2">
    <w:name w:val="Table Grid2"/>
    <w:basedOn w:val="TableNormal"/>
    <w:next w:val="TableGrid"/>
    <w:uiPriority w:val="59"/>
    <w:rsid w:val="00BE7F6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4F8D"/>
    <w:rPr>
      <w:rFonts w:ascii="Times New Roman" w:hAnsi="Times New Roman"/>
      <w:sz w:val="24"/>
      <w:szCs w:val="24"/>
    </w:rPr>
  </w:style>
  <w:style w:type="table" w:customStyle="1" w:styleId="TableGrid3">
    <w:name w:val="Table Grid3"/>
    <w:basedOn w:val="TableNormal"/>
    <w:next w:val="TableGrid"/>
    <w:uiPriority w:val="59"/>
    <w:rsid w:val="00EE7C3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2168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216D68"/>
    <w:pPr>
      <w:tabs>
        <w:tab w:val="left" w:pos="2835"/>
      </w:tabs>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style>
  <w:style w:type="character" w:customStyle="1" w:styleId="Heading3Char">
    <w:name w:val="Heading 3 Char"/>
    <w:basedOn w:val="DefaultParagraphFont"/>
    <w:link w:val="Heading3"/>
    <w:uiPriority w:val="9"/>
    <w:rsid w:val="00B37D56"/>
    <w:rPr>
      <w:rFonts w:asciiTheme="majorHAnsi" w:eastAsiaTheme="majorEastAsia" w:hAnsiTheme="majorHAnsi" w:cstheme="majorBidi"/>
      <w:b/>
      <w:bCs/>
      <w:color w:val="4F81BD" w:themeColor="accent1"/>
      <w:sz w:val="22"/>
    </w:rPr>
  </w:style>
  <w:style w:type="paragraph" w:styleId="Revision">
    <w:name w:val="Revision"/>
    <w:hidden/>
    <w:uiPriority w:val="99"/>
    <w:semiHidden/>
    <w:rsid w:val="00AF21F1"/>
    <w:pPr>
      <w:spacing w:after="0" w:line="240" w:lineRule="auto"/>
    </w:pPr>
    <w:rPr>
      <w:rFonts w:ascii="Calibri" w:eastAsia="Calibri" w:hAnsi="Calibri" w:cs="Times New Roman"/>
      <w:sz w:val="22"/>
    </w:rPr>
  </w:style>
  <w:style w:type="character" w:customStyle="1" w:styleId="Heading4Char">
    <w:name w:val="Heading 4 Char"/>
    <w:basedOn w:val="DefaultParagraphFont"/>
    <w:link w:val="Heading4"/>
    <w:uiPriority w:val="9"/>
    <w:rsid w:val="00ED2B29"/>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ED2B29"/>
    <w:rPr>
      <w:rFonts w:asciiTheme="majorHAnsi" w:eastAsiaTheme="majorEastAsia" w:hAnsiTheme="majorHAnsi" w:cstheme="majorBidi"/>
      <w:color w:val="243F60" w:themeColor="accent1" w:themeShade="7F"/>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BE6"/>
    <w:rPr>
      <w:rFonts w:ascii="Calibri" w:eastAsia="Calibri" w:hAnsi="Calibri" w:cs="Times New Roman"/>
      <w:sz w:val="22"/>
    </w:rPr>
  </w:style>
  <w:style w:type="paragraph" w:styleId="Heading1">
    <w:name w:val="heading 1"/>
    <w:basedOn w:val="Normal"/>
    <w:next w:val="Normal"/>
    <w:link w:val="Heading1Char"/>
    <w:uiPriority w:val="9"/>
    <w:qFormat/>
    <w:rsid w:val="001F4A61"/>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qFormat/>
    <w:rsid w:val="001F4A61"/>
    <w:pPr>
      <w:keepNext/>
      <w:keepLines/>
      <w:spacing w:before="120" w:after="120"/>
      <w:outlineLvl w:val="1"/>
    </w:pPr>
    <w:rPr>
      <w:rFonts w:eastAsia="MS Gothic"/>
      <w:b/>
      <w:bCs/>
      <w:i/>
      <w:color w:val="4F81BD" w:themeColor="accent1"/>
      <w:sz w:val="24"/>
      <w:szCs w:val="26"/>
      <w:u w:val="single"/>
    </w:rPr>
  </w:style>
  <w:style w:type="paragraph" w:styleId="Heading3">
    <w:name w:val="heading 3"/>
    <w:basedOn w:val="Normal"/>
    <w:next w:val="Normal"/>
    <w:link w:val="Heading3Char"/>
    <w:uiPriority w:val="9"/>
    <w:unhideWhenUsed/>
    <w:qFormat/>
    <w:rsid w:val="00B37D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D2B2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D2B2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F4A61"/>
    <w:rPr>
      <w:rFonts w:ascii="Calibri" w:eastAsia="MS Gothic" w:hAnsi="Calibri" w:cs="Times New Roman"/>
      <w:b/>
      <w:bCs/>
      <w:i/>
      <w:color w:val="4F81BD" w:themeColor="accent1"/>
      <w:szCs w:val="26"/>
      <w:u w:val="single"/>
    </w:rPr>
  </w:style>
  <w:style w:type="paragraph" w:styleId="ListParagraph">
    <w:name w:val="List Paragraph"/>
    <w:basedOn w:val="Normal"/>
    <w:uiPriority w:val="34"/>
    <w:qFormat/>
    <w:rsid w:val="0044715D"/>
    <w:pPr>
      <w:ind w:left="720"/>
      <w:contextualSpacing/>
    </w:p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44715D"/>
    <w:pPr>
      <w:keepNext/>
      <w:spacing w:after="40" w:line="240" w:lineRule="auto"/>
      <w:ind w:left="709" w:hanging="709"/>
    </w:pPr>
    <w:rPr>
      <w:rFonts w:ascii="Arial Narrow" w:eastAsia="Times New Roman" w:hAnsi="Arial Narrow" w:cs="Tahoma"/>
      <w:b/>
      <w:sz w:val="20"/>
      <w:szCs w:val="20"/>
      <w:lang w:val="en-GB" w:eastAsia="ja-JP"/>
    </w:rPr>
  </w:style>
  <w:style w:type="character" w:styleId="Hyperlink">
    <w:name w:val="Hyperlink"/>
    <w:basedOn w:val="DefaultParagraphFont"/>
    <w:uiPriority w:val="99"/>
    <w:rsid w:val="0044715D"/>
    <w:rPr>
      <w:rFonts w:cs="Times New Roman"/>
      <w:color w:val="0000FF"/>
      <w:u w:val="single"/>
    </w:rPr>
  </w:style>
  <w:style w:type="paragraph" w:styleId="BalloonText">
    <w:name w:val="Balloon Text"/>
    <w:basedOn w:val="Normal"/>
    <w:link w:val="BalloonTextChar"/>
    <w:uiPriority w:val="99"/>
    <w:semiHidden/>
    <w:unhideWhenUsed/>
    <w:rsid w:val="0044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5D"/>
    <w:rPr>
      <w:rFonts w:ascii="Tahoma" w:eastAsia="Calibri" w:hAnsi="Tahoma" w:cs="Tahoma"/>
      <w:sz w:val="16"/>
      <w:szCs w:val="16"/>
    </w:rPr>
  </w:style>
  <w:style w:type="paragraph" w:customStyle="1" w:styleId="Heading10">
    <w:name w:val="Heading1"/>
    <w:rsid w:val="0044715D"/>
    <w:pPr>
      <w:spacing w:line="240" w:lineRule="auto"/>
    </w:pPr>
    <w:rPr>
      <w:rFonts w:ascii="Calibri" w:eastAsia="Calibri" w:hAnsi="Calibri" w:cs="Calibri"/>
      <w:b/>
      <w:bCs/>
      <w:color w:val="000000"/>
      <w:sz w:val="36"/>
      <w:szCs w:val="36"/>
      <w:u w:color="000000"/>
      <w:lang w:val="en-US" w:eastAsia="en-AU"/>
    </w:rPr>
  </w:style>
  <w:style w:type="character" w:styleId="CommentReference">
    <w:name w:val="annotation reference"/>
    <w:basedOn w:val="DefaultParagraphFont"/>
    <w:uiPriority w:val="99"/>
    <w:semiHidden/>
    <w:unhideWhenUsed/>
    <w:rsid w:val="00E46C0B"/>
    <w:rPr>
      <w:sz w:val="16"/>
      <w:szCs w:val="16"/>
    </w:rPr>
  </w:style>
  <w:style w:type="paragraph" w:styleId="CommentText">
    <w:name w:val="annotation text"/>
    <w:basedOn w:val="Normal"/>
    <w:link w:val="CommentTextChar"/>
    <w:uiPriority w:val="99"/>
    <w:unhideWhenUsed/>
    <w:rsid w:val="00E46C0B"/>
    <w:pPr>
      <w:spacing w:line="240" w:lineRule="auto"/>
    </w:pPr>
    <w:rPr>
      <w:sz w:val="20"/>
      <w:szCs w:val="20"/>
    </w:rPr>
  </w:style>
  <w:style w:type="character" w:customStyle="1" w:styleId="CommentTextChar">
    <w:name w:val="Comment Text Char"/>
    <w:basedOn w:val="DefaultParagraphFont"/>
    <w:link w:val="CommentText"/>
    <w:uiPriority w:val="99"/>
    <w:rsid w:val="00E46C0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6C0B"/>
    <w:rPr>
      <w:b/>
      <w:bCs/>
    </w:rPr>
  </w:style>
  <w:style w:type="character" w:customStyle="1" w:styleId="CommentSubjectChar">
    <w:name w:val="Comment Subject Char"/>
    <w:basedOn w:val="CommentTextChar"/>
    <w:link w:val="CommentSubject"/>
    <w:uiPriority w:val="99"/>
    <w:semiHidden/>
    <w:rsid w:val="00E46C0B"/>
    <w:rPr>
      <w:rFonts w:ascii="Calibri" w:eastAsia="Calibri" w:hAnsi="Calibri" w:cs="Times New Roman"/>
      <w:b/>
      <w:bCs/>
      <w:sz w:val="20"/>
      <w:szCs w:val="20"/>
    </w:rPr>
  </w:style>
  <w:style w:type="paragraph" w:styleId="Header">
    <w:name w:val="header"/>
    <w:basedOn w:val="Normal"/>
    <w:link w:val="HeaderChar"/>
    <w:uiPriority w:val="99"/>
    <w:unhideWhenUsed/>
    <w:rsid w:val="003D6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99E"/>
    <w:rPr>
      <w:rFonts w:ascii="Calibri" w:eastAsia="Calibri" w:hAnsi="Calibri" w:cs="Times New Roman"/>
      <w:sz w:val="22"/>
    </w:rPr>
  </w:style>
  <w:style w:type="paragraph" w:styleId="Footer">
    <w:name w:val="footer"/>
    <w:basedOn w:val="Normal"/>
    <w:link w:val="FooterChar"/>
    <w:uiPriority w:val="99"/>
    <w:unhideWhenUsed/>
    <w:rsid w:val="003D6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99E"/>
    <w:rPr>
      <w:rFonts w:ascii="Calibri" w:eastAsia="Calibri" w:hAnsi="Calibri" w:cs="Times New Roman"/>
      <w:sz w:val="22"/>
    </w:rPr>
  </w:style>
  <w:style w:type="paragraph" w:styleId="Subtitle">
    <w:name w:val="Subtitle"/>
    <w:basedOn w:val="Normal"/>
    <w:next w:val="Normal"/>
    <w:link w:val="SubtitleChar"/>
    <w:uiPriority w:val="11"/>
    <w:qFormat/>
    <w:rsid w:val="00FA522E"/>
    <w:pPr>
      <w:numPr>
        <w:ilvl w:val="1"/>
      </w:numPr>
      <w:spacing w:after="360" w:line="240" w:lineRule="auto"/>
    </w:pPr>
    <w:rPr>
      <w:rFonts w:eastAsiaTheme="majorEastAsia" w:cstheme="majorBidi"/>
      <w:b/>
      <w:bCs/>
      <w:sz w:val="36"/>
      <w:szCs w:val="36"/>
      <w:lang w:bidi="hi-IN"/>
    </w:rPr>
  </w:style>
  <w:style w:type="character" w:customStyle="1" w:styleId="SubtitleChar">
    <w:name w:val="Subtitle Char"/>
    <w:basedOn w:val="DefaultParagraphFont"/>
    <w:link w:val="Subtitle"/>
    <w:uiPriority w:val="11"/>
    <w:rsid w:val="00FA522E"/>
    <w:rPr>
      <w:rFonts w:ascii="Calibri" w:eastAsiaTheme="majorEastAsia" w:hAnsi="Calibri" w:cstheme="majorBidi"/>
      <w:b/>
      <w:bCs/>
      <w:sz w:val="36"/>
      <w:szCs w:val="36"/>
      <w:lang w:bidi="hi-IN"/>
    </w:rPr>
  </w:style>
  <w:style w:type="character" w:styleId="FollowedHyperlink">
    <w:name w:val="FollowedHyperlink"/>
    <w:basedOn w:val="DefaultParagraphFont"/>
    <w:uiPriority w:val="99"/>
    <w:semiHidden/>
    <w:unhideWhenUsed/>
    <w:rsid w:val="005E5FFE"/>
    <w:rPr>
      <w:color w:val="800080" w:themeColor="followedHyperlink"/>
      <w:u w:val="single"/>
    </w:rPr>
  </w:style>
  <w:style w:type="table" w:styleId="TableGrid">
    <w:name w:val="Table Grid"/>
    <w:basedOn w:val="TableNormal"/>
    <w:uiPriority w:val="59"/>
    <w:rsid w:val="008C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4A61"/>
    <w:rPr>
      <w:rFonts w:asciiTheme="majorHAnsi" w:eastAsiaTheme="majorEastAsia" w:hAnsiTheme="majorHAnsi" w:cstheme="majorBidi"/>
      <w:b/>
      <w:bCs/>
      <w:color w:val="365F91" w:themeColor="accent1" w:themeShade="BF"/>
      <w:sz w:val="32"/>
      <w:szCs w:val="28"/>
    </w:rPr>
  </w:style>
  <w:style w:type="table" w:customStyle="1" w:styleId="TableGrid1">
    <w:name w:val="Table Grid1"/>
    <w:basedOn w:val="TableNormal"/>
    <w:next w:val="TableGrid"/>
    <w:uiPriority w:val="59"/>
    <w:rsid w:val="00C63A94"/>
    <w:pPr>
      <w:spacing w:after="240" w:line="240" w:lineRule="auto"/>
      <w:ind w:left="720"/>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basedOn w:val="Normal"/>
    <w:rsid w:val="00EE7A1F"/>
    <w:pPr>
      <w:spacing w:after="240" w:line="240" w:lineRule="auto"/>
      <w:ind w:left="720"/>
      <w:jc w:val="right"/>
    </w:pPr>
    <w:rPr>
      <w:rFonts w:ascii="Arial" w:eastAsia="Times New Roman" w:hAnsi="Arial"/>
      <w:b/>
      <w:color w:val="000000"/>
      <w:sz w:val="40"/>
      <w:szCs w:val="20"/>
      <w:lang w:eastAsia="en-AU"/>
    </w:rPr>
  </w:style>
  <w:style w:type="paragraph" w:styleId="FootnoteText">
    <w:name w:val="footnote text"/>
    <w:basedOn w:val="Normal"/>
    <w:link w:val="FootnoteTextChar"/>
    <w:uiPriority w:val="99"/>
    <w:semiHidden/>
    <w:unhideWhenUsed/>
    <w:rsid w:val="00E639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39B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E639BC"/>
    <w:rPr>
      <w:vertAlign w:val="superscript"/>
    </w:rPr>
  </w:style>
  <w:style w:type="paragraph" w:customStyle="1" w:styleId="EndNoteBibliographyTitle">
    <w:name w:val="EndNote Bibliography Title"/>
    <w:basedOn w:val="Normal"/>
    <w:link w:val="EndNoteBibliographyTitleChar"/>
    <w:rsid w:val="00062FE6"/>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062FE6"/>
    <w:rPr>
      <w:rFonts w:ascii="Calibri" w:eastAsia="Calibri" w:hAnsi="Calibri" w:cs="Times New Roman"/>
      <w:noProof/>
      <w:sz w:val="22"/>
      <w:lang w:val="en-US"/>
    </w:rPr>
  </w:style>
  <w:style w:type="paragraph" w:customStyle="1" w:styleId="EndNoteBibliography">
    <w:name w:val="EndNote Bibliography"/>
    <w:basedOn w:val="Normal"/>
    <w:link w:val="EndNoteBibliographyChar"/>
    <w:rsid w:val="00062FE6"/>
    <w:pPr>
      <w:spacing w:line="240" w:lineRule="auto"/>
    </w:pPr>
    <w:rPr>
      <w:noProof/>
      <w:lang w:val="en-US"/>
    </w:rPr>
  </w:style>
  <w:style w:type="character" w:customStyle="1" w:styleId="EndNoteBibliographyChar">
    <w:name w:val="EndNote Bibliography Char"/>
    <w:basedOn w:val="DefaultParagraphFont"/>
    <w:link w:val="EndNoteBibliography"/>
    <w:rsid w:val="00062FE6"/>
    <w:rPr>
      <w:rFonts w:ascii="Calibri" w:eastAsia="Calibri" w:hAnsi="Calibri" w:cs="Times New Roman"/>
      <w:noProof/>
      <w:sz w:val="22"/>
      <w:lang w:val="en-US"/>
    </w:rPr>
  </w:style>
  <w:style w:type="table" w:customStyle="1" w:styleId="TableGrid2">
    <w:name w:val="Table Grid2"/>
    <w:basedOn w:val="TableNormal"/>
    <w:next w:val="TableGrid"/>
    <w:uiPriority w:val="59"/>
    <w:rsid w:val="00BE7F6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4F8D"/>
    <w:rPr>
      <w:rFonts w:ascii="Times New Roman" w:hAnsi="Times New Roman"/>
      <w:sz w:val="24"/>
      <w:szCs w:val="24"/>
    </w:rPr>
  </w:style>
  <w:style w:type="table" w:customStyle="1" w:styleId="TableGrid3">
    <w:name w:val="Table Grid3"/>
    <w:basedOn w:val="TableNormal"/>
    <w:next w:val="TableGrid"/>
    <w:uiPriority w:val="59"/>
    <w:rsid w:val="00EE7C3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2168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216D68"/>
    <w:pPr>
      <w:tabs>
        <w:tab w:val="left" w:pos="2835"/>
      </w:tabs>
      <w:spacing w:after="0" w:line="240" w:lineRule="auto"/>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style>
  <w:style w:type="character" w:customStyle="1" w:styleId="Heading3Char">
    <w:name w:val="Heading 3 Char"/>
    <w:basedOn w:val="DefaultParagraphFont"/>
    <w:link w:val="Heading3"/>
    <w:uiPriority w:val="9"/>
    <w:rsid w:val="00B37D56"/>
    <w:rPr>
      <w:rFonts w:asciiTheme="majorHAnsi" w:eastAsiaTheme="majorEastAsia" w:hAnsiTheme="majorHAnsi" w:cstheme="majorBidi"/>
      <w:b/>
      <w:bCs/>
      <w:color w:val="4F81BD" w:themeColor="accent1"/>
      <w:sz w:val="22"/>
    </w:rPr>
  </w:style>
  <w:style w:type="paragraph" w:styleId="Revision">
    <w:name w:val="Revision"/>
    <w:hidden/>
    <w:uiPriority w:val="99"/>
    <w:semiHidden/>
    <w:rsid w:val="00AF21F1"/>
    <w:pPr>
      <w:spacing w:after="0" w:line="240" w:lineRule="auto"/>
    </w:pPr>
    <w:rPr>
      <w:rFonts w:ascii="Calibri" w:eastAsia="Calibri" w:hAnsi="Calibri" w:cs="Times New Roman"/>
      <w:sz w:val="22"/>
    </w:rPr>
  </w:style>
  <w:style w:type="character" w:customStyle="1" w:styleId="Heading4Char">
    <w:name w:val="Heading 4 Char"/>
    <w:basedOn w:val="DefaultParagraphFont"/>
    <w:link w:val="Heading4"/>
    <w:uiPriority w:val="9"/>
    <w:rsid w:val="00ED2B29"/>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ED2B29"/>
    <w:rPr>
      <w:rFonts w:asciiTheme="majorHAnsi" w:eastAsiaTheme="majorEastAsia" w:hAnsiTheme="majorHAnsi" w:cstheme="majorBidi"/>
      <w:color w:val="243F60"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64577">
      <w:bodyDiv w:val="1"/>
      <w:marLeft w:val="0"/>
      <w:marRight w:val="0"/>
      <w:marTop w:val="0"/>
      <w:marBottom w:val="0"/>
      <w:divBdr>
        <w:top w:val="none" w:sz="0" w:space="0" w:color="auto"/>
        <w:left w:val="none" w:sz="0" w:space="0" w:color="auto"/>
        <w:bottom w:val="none" w:sz="0" w:space="0" w:color="auto"/>
        <w:right w:val="none" w:sz="0" w:space="0" w:color="auto"/>
      </w:divBdr>
    </w:div>
    <w:div w:id="337461278">
      <w:bodyDiv w:val="1"/>
      <w:marLeft w:val="0"/>
      <w:marRight w:val="0"/>
      <w:marTop w:val="0"/>
      <w:marBottom w:val="0"/>
      <w:divBdr>
        <w:top w:val="none" w:sz="0" w:space="0" w:color="auto"/>
        <w:left w:val="none" w:sz="0" w:space="0" w:color="auto"/>
        <w:bottom w:val="none" w:sz="0" w:space="0" w:color="auto"/>
        <w:right w:val="none" w:sz="0" w:space="0" w:color="auto"/>
      </w:divBdr>
    </w:div>
    <w:div w:id="547834975">
      <w:bodyDiv w:val="1"/>
      <w:marLeft w:val="0"/>
      <w:marRight w:val="0"/>
      <w:marTop w:val="0"/>
      <w:marBottom w:val="0"/>
      <w:divBdr>
        <w:top w:val="none" w:sz="0" w:space="0" w:color="auto"/>
        <w:left w:val="none" w:sz="0" w:space="0" w:color="auto"/>
        <w:bottom w:val="none" w:sz="0" w:space="0" w:color="auto"/>
        <w:right w:val="none" w:sz="0" w:space="0" w:color="auto"/>
      </w:divBdr>
    </w:div>
    <w:div w:id="628361943">
      <w:bodyDiv w:val="1"/>
      <w:marLeft w:val="0"/>
      <w:marRight w:val="0"/>
      <w:marTop w:val="0"/>
      <w:marBottom w:val="0"/>
      <w:divBdr>
        <w:top w:val="none" w:sz="0" w:space="0" w:color="auto"/>
        <w:left w:val="none" w:sz="0" w:space="0" w:color="auto"/>
        <w:bottom w:val="none" w:sz="0" w:space="0" w:color="auto"/>
        <w:right w:val="none" w:sz="0" w:space="0" w:color="auto"/>
      </w:divBdr>
    </w:div>
    <w:div w:id="1289362834">
      <w:bodyDiv w:val="1"/>
      <w:marLeft w:val="0"/>
      <w:marRight w:val="0"/>
      <w:marTop w:val="0"/>
      <w:marBottom w:val="0"/>
      <w:divBdr>
        <w:top w:val="none" w:sz="0" w:space="0" w:color="auto"/>
        <w:left w:val="none" w:sz="0" w:space="0" w:color="auto"/>
        <w:bottom w:val="none" w:sz="0" w:space="0" w:color="auto"/>
        <w:right w:val="none" w:sz="0" w:space="0" w:color="auto"/>
      </w:divBdr>
    </w:div>
    <w:div w:id="1417097267">
      <w:bodyDiv w:val="1"/>
      <w:marLeft w:val="0"/>
      <w:marRight w:val="0"/>
      <w:marTop w:val="0"/>
      <w:marBottom w:val="0"/>
      <w:divBdr>
        <w:top w:val="none" w:sz="0" w:space="0" w:color="auto"/>
        <w:left w:val="none" w:sz="0" w:space="0" w:color="auto"/>
        <w:bottom w:val="none" w:sz="0" w:space="0" w:color="auto"/>
        <w:right w:val="none" w:sz="0" w:space="0" w:color="auto"/>
      </w:divBdr>
    </w:div>
    <w:div w:id="174129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494FA-1EB6-40F1-BB85-4B88B3B13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14813</Words>
  <Characters>84437</Characters>
  <Application>Microsoft Office Word</Application>
  <DocSecurity>4</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2018-04-30T00:04:00Z</dcterms:created>
  <dcterms:modified xsi:type="dcterms:W3CDTF">2018-04-30T00:04:00Z</dcterms:modified>
</cp:coreProperties>
</file>