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01B53" w14:textId="77777777" w:rsidR="00A37C79" w:rsidRPr="00707064" w:rsidRDefault="00A37C79" w:rsidP="00A37C79">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5F00DBF" wp14:editId="754C448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FF50CC8" w14:textId="77777777" w:rsidR="00A37C79" w:rsidRPr="00F715D1" w:rsidRDefault="00A37C79" w:rsidP="00A37C79">
      <w:pPr>
        <w:pStyle w:val="Title"/>
        <w:tabs>
          <w:tab w:val="left" w:pos="1926"/>
          <w:tab w:val="center" w:pos="4513"/>
        </w:tabs>
        <w:jc w:val="left"/>
      </w:pPr>
      <w:r>
        <w:tab/>
      </w:r>
      <w:r>
        <w:tab/>
      </w:r>
      <w:r w:rsidRPr="00F715D1">
        <w:t>Public Summary Document</w:t>
      </w:r>
    </w:p>
    <w:p w14:paraId="66F80F06" w14:textId="77777777" w:rsidR="00A37C79" w:rsidRPr="00F715D1" w:rsidRDefault="00A37C79" w:rsidP="00A37C79">
      <w:pPr>
        <w:pStyle w:val="Subtitle"/>
      </w:pPr>
      <w:r w:rsidRPr="00F715D1">
        <w:t xml:space="preserve">Application No. </w:t>
      </w:r>
      <w:r w:rsidR="007B7CAA">
        <w:t>1512</w:t>
      </w:r>
      <w:r w:rsidRPr="00F715D1">
        <w:t xml:space="preserve"> – </w:t>
      </w:r>
      <w:proofErr w:type="spellStart"/>
      <w:r w:rsidR="007B7CAA">
        <w:t>Apolipoprotein</w:t>
      </w:r>
      <w:proofErr w:type="spellEnd"/>
      <w:r w:rsidR="007B7CAA">
        <w:t xml:space="preserve"> B testing for high risk cardiovascular disease risk assessment</w:t>
      </w:r>
    </w:p>
    <w:p w14:paraId="55654620" w14:textId="77777777" w:rsidR="00A37C79" w:rsidRPr="00F715D1" w:rsidRDefault="00A37C79" w:rsidP="000A2160">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7B7CAA">
        <w:rPr>
          <w:rFonts w:ascii="Arial" w:hAnsi="Arial" w:cs="Arial"/>
          <w:b/>
          <w:szCs w:val="24"/>
        </w:rPr>
        <w:t>The Royal College of Pathologists of Australasia (RCPA)</w:t>
      </w:r>
    </w:p>
    <w:p w14:paraId="29401783" w14:textId="77777777" w:rsidR="00A37C79" w:rsidRPr="00F715D1" w:rsidRDefault="00A37C79" w:rsidP="00A37C79">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1AD2C6EC" w14:textId="77777777" w:rsidR="00A37C79" w:rsidRPr="00B03EAB" w:rsidRDefault="00A37C79" w:rsidP="00A37C7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23260668" w14:textId="77777777" w:rsidR="00A37C79" w:rsidRPr="00F715D1" w:rsidRDefault="00A37C79" w:rsidP="00A37C79">
      <w:pPr>
        <w:pStyle w:val="Heading1"/>
      </w:pPr>
      <w:r w:rsidRPr="00F715D1">
        <w:t xml:space="preserve">Purpose of application </w:t>
      </w:r>
    </w:p>
    <w:p w14:paraId="04D07FE1" w14:textId="4C96E353" w:rsidR="00A22937" w:rsidRPr="00537F2F" w:rsidRDefault="00A22937" w:rsidP="00A22937">
      <w:pPr>
        <w:rPr>
          <w:szCs w:val="24"/>
        </w:rPr>
      </w:pPr>
      <w:r w:rsidRPr="00537F2F">
        <w:rPr>
          <w:szCs w:val="24"/>
        </w:rPr>
        <w:t>An application</w:t>
      </w:r>
      <w:r w:rsidR="007D3A40">
        <w:rPr>
          <w:szCs w:val="24"/>
        </w:rPr>
        <w:t xml:space="preserve"> </w:t>
      </w:r>
      <w:r w:rsidRPr="00537F2F">
        <w:rPr>
          <w:szCs w:val="24"/>
        </w:rPr>
        <w:t xml:space="preserve">requesting </w:t>
      </w:r>
      <w:r w:rsidR="007D3A40">
        <w:rPr>
          <w:szCs w:val="24"/>
        </w:rPr>
        <w:t>Medicare Benefits Schedule</w:t>
      </w:r>
      <w:r w:rsidRPr="00537F2F">
        <w:rPr>
          <w:szCs w:val="24"/>
        </w:rPr>
        <w:t xml:space="preserve"> </w:t>
      </w:r>
      <w:r w:rsidR="007D3A40">
        <w:rPr>
          <w:szCs w:val="24"/>
        </w:rPr>
        <w:t>(</w:t>
      </w:r>
      <w:r w:rsidRPr="00537F2F">
        <w:rPr>
          <w:szCs w:val="24"/>
        </w:rPr>
        <w:t>MBS</w:t>
      </w:r>
      <w:r w:rsidR="007D3A40">
        <w:rPr>
          <w:szCs w:val="24"/>
        </w:rPr>
        <w:t>)</w:t>
      </w:r>
      <w:r w:rsidRPr="00537F2F">
        <w:rPr>
          <w:szCs w:val="24"/>
        </w:rPr>
        <w:t xml:space="preserve"> listing of </w:t>
      </w:r>
      <w:proofErr w:type="spellStart"/>
      <w:r w:rsidRPr="00537F2F">
        <w:rPr>
          <w:iCs/>
        </w:rPr>
        <w:t>Apolipoprotein</w:t>
      </w:r>
      <w:proofErr w:type="spellEnd"/>
      <w:r w:rsidRPr="00537F2F">
        <w:rPr>
          <w:iCs/>
        </w:rPr>
        <w:t xml:space="preserve"> B</w:t>
      </w:r>
      <w:r>
        <w:rPr>
          <w:iCs/>
        </w:rPr>
        <w:t xml:space="preserve"> (apoB)</w:t>
      </w:r>
      <w:r w:rsidRPr="00537F2F">
        <w:rPr>
          <w:iCs/>
        </w:rPr>
        <w:t xml:space="preserve"> testing for high risk cardiovascular disease</w:t>
      </w:r>
      <w:r>
        <w:rPr>
          <w:iCs/>
        </w:rPr>
        <w:t xml:space="preserve"> (CVD)</w:t>
      </w:r>
      <w:r w:rsidRPr="00537F2F">
        <w:rPr>
          <w:iCs/>
        </w:rPr>
        <w:t xml:space="preserve"> risk assessment</w:t>
      </w:r>
      <w:r w:rsidRPr="00537F2F" w:rsidDel="008D35E9">
        <w:rPr>
          <w:szCs w:val="24"/>
        </w:rPr>
        <w:t xml:space="preserve"> </w:t>
      </w:r>
      <w:r w:rsidRPr="00537F2F">
        <w:rPr>
          <w:szCs w:val="24"/>
        </w:rPr>
        <w:t>was received</w:t>
      </w:r>
      <w:r>
        <w:rPr>
          <w:szCs w:val="24"/>
        </w:rPr>
        <w:t xml:space="preserve"> from the RCPA</w:t>
      </w:r>
      <w:r w:rsidRPr="00537F2F">
        <w:rPr>
          <w:szCs w:val="24"/>
        </w:rPr>
        <w:t xml:space="preserve"> by the Department of Health</w:t>
      </w:r>
      <w:r>
        <w:rPr>
          <w:szCs w:val="24"/>
        </w:rPr>
        <w:t>.</w:t>
      </w:r>
    </w:p>
    <w:p w14:paraId="4DC681C7" w14:textId="77777777" w:rsidR="00A37C79" w:rsidRPr="00F715D1" w:rsidRDefault="00A37C79" w:rsidP="00A37C79">
      <w:pPr>
        <w:pStyle w:val="Heading1"/>
      </w:pPr>
      <w:r w:rsidRPr="00F715D1">
        <w:t>MSAC’s advice to the Minister</w:t>
      </w:r>
    </w:p>
    <w:p w14:paraId="536D7B1F" w14:textId="65D96544" w:rsidR="00F467A0" w:rsidRPr="00817AC5" w:rsidRDefault="00F467A0" w:rsidP="00C0441B">
      <w:pPr>
        <w:rPr>
          <w:b/>
          <w:bCs/>
          <w:iCs/>
        </w:rPr>
      </w:pPr>
      <w:r w:rsidRPr="00817AC5">
        <w:t xml:space="preserve">After considering the strength of the available evidence in relation to comparative safety, clinical effectiveness and cost-effectiveness, MSAC did not support the public funding of </w:t>
      </w:r>
      <w:proofErr w:type="spellStart"/>
      <w:r w:rsidRPr="00817AC5">
        <w:t>apolipoprotein</w:t>
      </w:r>
      <w:proofErr w:type="spellEnd"/>
      <w:r w:rsidRPr="00817AC5">
        <w:t xml:space="preserve"> B (apoB) testing for high-risk cardiovascular disease risk assessment on the basis that there was insufficient evidence for comparative effectiveness, safety and cost-effectiveness in the proposed populations. In addition, MSAC noted that the population who could benefit from apoB testing is potentially large, creating a </w:t>
      </w:r>
      <w:r w:rsidR="00805A32">
        <w:t xml:space="preserve">potential </w:t>
      </w:r>
      <w:r w:rsidRPr="00817AC5">
        <w:t>leakage issue</w:t>
      </w:r>
      <w:r w:rsidR="00805A32">
        <w:t xml:space="preserve"> if there is utilisation outside the intent of the proposed MBS item</w:t>
      </w:r>
      <w:r w:rsidRPr="00817AC5">
        <w:t>.</w:t>
      </w:r>
    </w:p>
    <w:p w14:paraId="2A192736" w14:textId="77777777" w:rsidR="00F467A0" w:rsidRPr="00817AC5" w:rsidRDefault="00F467A0" w:rsidP="00817AC5">
      <w:pPr>
        <w:pStyle w:val="BoxHeading"/>
        <w:spacing w:after="120"/>
        <w:rPr>
          <w:rFonts w:ascii="Times New Roman" w:hAnsi="Times New Roman" w:cs="Times New Roman"/>
        </w:rPr>
      </w:pPr>
      <w:r w:rsidRPr="00817AC5">
        <w:rPr>
          <w:rFonts w:ascii="Times New Roman" w:hAnsi="Times New Roman" w:cs="Times New Roman"/>
        </w:rPr>
        <w:t>Consumer summary</w:t>
      </w:r>
    </w:p>
    <w:p w14:paraId="2201F904" w14:textId="2648CDEE" w:rsidR="00F467A0" w:rsidRDefault="00F467A0" w:rsidP="00F467A0">
      <w:pPr>
        <w:pStyle w:val="BoxText"/>
      </w:pPr>
      <w:r w:rsidRPr="006D3D4D">
        <w:t>The Royal College of Pathologists of Australasia</w:t>
      </w:r>
      <w:r>
        <w:t xml:space="preserve"> </w:t>
      </w:r>
      <w:r w:rsidRPr="006D3D4D">
        <w:t>applied for public funding through the Medicare Benefits Schedule (MBS) for</w:t>
      </w:r>
      <w:r>
        <w:t xml:space="preserve"> </w:t>
      </w:r>
      <w:proofErr w:type="spellStart"/>
      <w:r>
        <w:t>apolipoprotein</w:t>
      </w:r>
      <w:proofErr w:type="spellEnd"/>
      <w:r>
        <w:t> </w:t>
      </w:r>
      <w:r w:rsidRPr="006D3D4D">
        <w:t>B (apoB) testing</w:t>
      </w:r>
      <w:r>
        <w:t xml:space="preserve">. ApoB testing </w:t>
      </w:r>
      <w:r w:rsidR="00A9495A">
        <w:t xml:space="preserve">is intended </w:t>
      </w:r>
      <w:r>
        <w:t>to</w:t>
      </w:r>
      <w:r w:rsidR="00A9495A">
        <w:t xml:space="preserve"> help a doctor and patient </w:t>
      </w:r>
      <w:r>
        <w:t>work out a person’s risk of cardiov</w:t>
      </w:r>
      <w:bookmarkStart w:id="1" w:name="Editing"/>
      <w:bookmarkEnd w:id="1"/>
      <w:r>
        <w:t>ascular disease (CVD</w:t>
      </w:r>
      <w:r w:rsidR="00A9495A">
        <w:t xml:space="preserve">) – </w:t>
      </w:r>
      <w:r w:rsidRPr="006A7A64">
        <w:t>disease of the heart or blood vessels</w:t>
      </w:r>
      <w:r>
        <w:t xml:space="preserve">. It is important to know if someone is at high risk of CVD so that they can get the </w:t>
      </w:r>
      <w:r w:rsidR="000E49CA">
        <w:t xml:space="preserve">most appropriate </w:t>
      </w:r>
      <w:r>
        <w:t>treatment. T</w:t>
      </w:r>
      <w:r w:rsidR="00A9495A">
        <w:t>reatment</w:t>
      </w:r>
      <w:r>
        <w:t xml:space="preserve"> might include medicines to lower </w:t>
      </w:r>
      <w:r w:rsidR="00A9495A">
        <w:t xml:space="preserve">a person’s </w:t>
      </w:r>
      <w:r>
        <w:t>cholesterol levels (called lipid-lowering therapy</w:t>
      </w:r>
      <w:r w:rsidR="00597128">
        <w:t>)</w:t>
      </w:r>
      <w:r>
        <w:t xml:space="preserve"> </w:t>
      </w:r>
      <w:r w:rsidR="00FD1C39">
        <w:t>such as</w:t>
      </w:r>
      <w:r w:rsidR="00597128">
        <w:t xml:space="preserve"> statins</w:t>
      </w:r>
      <w:r>
        <w:t>. It is also important to know which people do not need these medicines.</w:t>
      </w:r>
    </w:p>
    <w:p w14:paraId="40BAE359" w14:textId="58D08A89" w:rsidR="00F467A0" w:rsidRDefault="00F467A0" w:rsidP="00F467A0">
      <w:pPr>
        <w:pStyle w:val="BoxText"/>
      </w:pPr>
      <w:r>
        <w:t xml:space="preserve">At the moment, doctors use several tests and calculations to work out a person’s risk of getting CVD. These </w:t>
      </w:r>
      <w:r w:rsidR="00F90481">
        <w:t>include</w:t>
      </w:r>
      <w:r>
        <w:t xml:space="preserve"> lipid tests, </w:t>
      </w:r>
      <w:r w:rsidR="00F90481">
        <w:t>which</w:t>
      </w:r>
      <w:r>
        <w:t xml:space="preserve"> </w:t>
      </w:r>
      <w:r w:rsidR="005A4B52">
        <w:t xml:space="preserve">give information about a person’s level of </w:t>
      </w:r>
      <w:r>
        <w:t>triglycerides</w:t>
      </w:r>
      <w:r w:rsidR="005A4B52">
        <w:t xml:space="preserve"> and</w:t>
      </w:r>
      <w:r>
        <w:t xml:space="preserve"> cholesterol</w:t>
      </w:r>
      <w:r w:rsidR="005A4B52">
        <w:t xml:space="preserve"> (types of fat)</w:t>
      </w:r>
      <w:r w:rsidR="00A9495A">
        <w:t>;</w:t>
      </w:r>
      <w:r>
        <w:t xml:space="preserve"> HDL cholesterol</w:t>
      </w:r>
      <w:r w:rsidR="005A4B52">
        <w:t xml:space="preserve"> (sometimes called the ‘good cholesterol</w:t>
      </w:r>
      <w:r w:rsidR="000E49CA">
        <w:t>’</w:t>
      </w:r>
      <w:r w:rsidR="005A4B52">
        <w:t>)</w:t>
      </w:r>
      <w:r w:rsidR="00A9495A">
        <w:t xml:space="preserve">; </w:t>
      </w:r>
      <w:r>
        <w:t>LDL cholesterol</w:t>
      </w:r>
      <w:r w:rsidR="005A4B52">
        <w:t xml:space="preserve"> (sometimes called the ‘bad cholesterol’)</w:t>
      </w:r>
      <w:r w:rsidR="00A9495A">
        <w:t>;</w:t>
      </w:r>
      <w:r>
        <w:t xml:space="preserve"> and non-HDL cholesterol (</w:t>
      </w:r>
      <w:r w:rsidRPr="00483C1E">
        <w:t>total cholesterol minus HDL cholesterol</w:t>
      </w:r>
      <w:r>
        <w:t>).</w:t>
      </w:r>
    </w:p>
    <w:p w14:paraId="5CB09F74" w14:textId="304DA193" w:rsidR="00976F2B" w:rsidRDefault="00F467A0" w:rsidP="00817AC5">
      <w:pPr>
        <w:pStyle w:val="BoxText"/>
        <w:pBdr>
          <w:bottom w:val="single" w:sz="4" w:space="6" w:color="auto"/>
        </w:pBdr>
      </w:pPr>
      <w:r>
        <w:lastRenderedPageBreak/>
        <w:t xml:space="preserve">The application was </w:t>
      </w:r>
      <w:r w:rsidR="00A9495A">
        <w:t xml:space="preserve">for funding </w:t>
      </w:r>
      <w:r>
        <w:t>to use apoB testing in people with abnormal lipid test results who were not already using lipid-lowering medicines.</w:t>
      </w:r>
    </w:p>
    <w:p w14:paraId="7EE201F9" w14:textId="2B49163A" w:rsidR="00F467A0" w:rsidRDefault="00F467A0" w:rsidP="00817AC5">
      <w:pPr>
        <w:pStyle w:val="BoxText"/>
        <w:pBdr>
          <w:bottom w:val="single" w:sz="4" w:space="6" w:color="auto"/>
        </w:pBdr>
      </w:pPr>
      <w:r>
        <w:t xml:space="preserve">Some studies show that apoB might be more accurate than other lipid tests to predict the risk of CVD in some people. However, MSAC </w:t>
      </w:r>
      <w:r w:rsidR="000E49CA">
        <w:t xml:space="preserve">considered that </w:t>
      </w:r>
      <w:r>
        <w:t>there was not enough evidence to know exactly which people would benefit from having apoB testing, or whether a person’s treatment would change based on their apoB level</w:t>
      </w:r>
      <w:r w:rsidR="00976F2B">
        <w:t>, and therefore whether it would be of health and financial benefit to consumers.</w:t>
      </w:r>
    </w:p>
    <w:p w14:paraId="3F72AFAF" w14:textId="2DE66672" w:rsidR="00F467A0" w:rsidRDefault="00F467A0" w:rsidP="00817AC5">
      <w:pPr>
        <w:pStyle w:val="BoxText"/>
        <w:pBdr>
          <w:bottom w:val="single" w:sz="4" w:space="6" w:color="auto"/>
        </w:pBdr>
      </w:pPr>
      <w:r>
        <w:t xml:space="preserve">ApoB testing is </w:t>
      </w:r>
      <w:r w:rsidR="000E49CA">
        <w:t xml:space="preserve">performed </w:t>
      </w:r>
      <w:r>
        <w:t>on a blood sample so it is just as safe as other</w:t>
      </w:r>
      <w:r w:rsidRPr="004F7F86">
        <w:t xml:space="preserve"> </w:t>
      </w:r>
      <w:r>
        <w:t>lipid tests. However, there was no information about the safety of changing people’s treatment after an apoB test.</w:t>
      </w:r>
    </w:p>
    <w:p w14:paraId="2DCA9ABA" w14:textId="7AF4DFCE" w:rsidR="00F467A0" w:rsidRDefault="00F467A0" w:rsidP="00817AC5">
      <w:pPr>
        <w:pStyle w:val="BoxText"/>
        <w:pBdr>
          <w:bottom w:val="single" w:sz="4" w:space="6" w:color="auto"/>
        </w:pBdr>
      </w:pPr>
      <w:r>
        <w:t xml:space="preserve">MSAC was also concerned that the financial impact might be more than the applicant estimated because more people </w:t>
      </w:r>
      <w:r w:rsidR="00A9495A">
        <w:t xml:space="preserve">than the applicant predicted </w:t>
      </w:r>
      <w:r>
        <w:t>might have the test.</w:t>
      </w:r>
    </w:p>
    <w:p w14:paraId="509E965B" w14:textId="77777777" w:rsidR="00F467A0" w:rsidRPr="00C925B2" w:rsidRDefault="00F467A0" w:rsidP="00817AC5">
      <w:pPr>
        <w:pStyle w:val="BoxText"/>
        <w:pBdr>
          <w:bottom w:val="single" w:sz="4" w:space="6" w:color="auto"/>
        </w:pBdr>
        <w:spacing w:after="120"/>
        <w:rPr>
          <w:b/>
        </w:rPr>
      </w:pPr>
      <w:r w:rsidRPr="00C925B2">
        <w:rPr>
          <w:b/>
        </w:rPr>
        <w:t xml:space="preserve">MSAC’s </w:t>
      </w:r>
      <w:r w:rsidR="00817AC5">
        <w:rPr>
          <w:b/>
        </w:rPr>
        <w:t>advice</w:t>
      </w:r>
      <w:r w:rsidRPr="00C925B2">
        <w:rPr>
          <w:b/>
        </w:rPr>
        <w:t xml:space="preserve"> to the Commonwealth Minister</w:t>
      </w:r>
      <w:r w:rsidR="00817AC5">
        <w:rPr>
          <w:b/>
        </w:rPr>
        <w:t xml:space="preserve"> for Health</w:t>
      </w:r>
    </w:p>
    <w:p w14:paraId="6EFAF128" w14:textId="2E0F6E43" w:rsidR="00817AC5" w:rsidRPr="0048077C" w:rsidRDefault="00F467A0" w:rsidP="00817AC5">
      <w:pPr>
        <w:pStyle w:val="BoxText"/>
        <w:pBdr>
          <w:bottom w:val="single" w:sz="4" w:space="6" w:color="auto"/>
        </w:pBdr>
        <w:spacing w:after="120"/>
      </w:pPr>
      <w:r>
        <w:t xml:space="preserve">MSAC did not support public funding for apoB testing to assess CVD risk because there was not enough evidence to show that it would help </w:t>
      </w:r>
      <w:r w:rsidR="000E49CA">
        <w:t>to distinguish</w:t>
      </w:r>
      <w:r>
        <w:t xml:space="preserve"> </w:t>
      </w:r>
      <w:r w:rsidR="000E49CA">
        <w:t xml:space="preserve">between </w:t>
      </w:r>
      <w:r>
        <w:t xml:space="preserve">people </w:t>
      </w:r>
      <w:r w:rsidR="000E49CA">
        <w:t xml:space="preserve">who </w:t>
      </w:r>
      <w:r>
        <w:t xml:space="preserve">needed </w:t>
      </w:r>
      <w:r w:rsidR="000E49CA">
        <w:t xml:space="preserve">lipid-lowering medications </w:t>
      </w:r>
      <w:r>
        <w:t xml:space="preserve">and </w:t>
      </w:r>
      <w:r w:rsidR="000E49CA">
        <w:t xml:space="preserve">those who </w:t>
      </w:r>
      <w:r>
        <w:t>didn’t</w:t>
      </w:r>
      <w:r w:rsidR="000E49CA">
        <w:t>,</w:t>
      </w:r>
      <w:r w:rsidR="00976F2B">
        <w:t xml:space="preserve"> and whether there would be any benefit for consumers.</w:t>
      </w:r>
      <w:r>
        <w:t xml:space="preserve"> The cost-effectiveness of apoB testing was also uncertain.</w:t>
      </w:r>
    </w:p>
    <w:p w14:paraId="2C026C0A" w14:textId="77777777" w:rsidR="00A37C79" w:rsidRPr="00F715D1" w:rsidRDefault="00A37C79" w:rsidP="00A37C79">
      <w:pPr>
        <w:pStyle w:val="Heading1"/>
      </w:pPr>
      <w:r w:rsidRPr="00F715D1">
        <w:t xml:space="preserve">Summary of consideration and rationale for MSAC’s advice </w:t>
      </w:r>
    </w:p>
    <w:p w14:paraId="7BE917BB" w14:textId="2405F6A6" w:rsidR="00F467A0" w:rsidRDefault="00F467A0" w:rsidP="00CD47CF">
      <w:pPr>
        <w:spacing w:after="240"/>
      </w:pPr>
      <w:r>
        <w:t xml:space="preserve">This application sought public funding of apoB testing to </w:t>
      </w:r>
      <w:r w:rsidRPr="00CD0480">
        <w:t>assess</w:t>
      </w:r>
      <w:r>
        <w:t xml:space="preserve"> </w:t>
      </w:r>
      <w:r w:rsidRPr="00CD0480">
        <w:t xml:space="preserve">CVD risk in </w:t>
      </w:r>
      <w:r>
        <w:t xml:space="preserve">two populations of </w:t>
      </w:r>
      <w:r w:rsidRPr="00CD0480">
        <w:t xml:space="preserve">patients </w:t>
      </w:r>
      <w:r>
        <w:t>with dyslipidaemia</w:t>
      </w:r>
      <w:r w:rsidRPr="009C1C36">
        <w:t xml:space="preserve"> </w:t>
      </w:r>
      <w:r w:rsidRPr="00CD0480">
        <w:t>who are currently not receiving lipid-lowering therapy</w:t>
      </w:r>
      <w:r w:rsidR="000C4F23">
        <w:t xml:space="preserve">. </w:t>
      </w:r>
      <w:r>
        <w:t xml:space="preserve">Correctly identified high-risk patients would receive appropriate pharmacotherapy, while pharmacotherapy could be avoided in patients correctly identified as being at only moderate </w:t>
      </w:r>
      <w:r w:rsidR="00036013">
        <w:t xml:space="preserve">or low </w:t>
      </w:r>
      <w:r>
        <w:t>risk.</w:t>
      </w:r>
    </w:p>
    <w:p w14:paraId="58F8FD75" w14:textId="174EEB50" w:rsidR="00246026" w:rsidRDefault="00F467A0" w:rsidP="00CD47CF">
      <w:pPr>
        <w:spacing w:after="240"/>
      </w:pPr>
      <w:r>
        <w:t xml:space="preserve">MSAC noted that, in broader populations (that include patients already on lipid-lowering therapy), apoB provides a more direct measure of circulating </w:t>
      </w:r>
      <w:proofErr w:type="spellStart"/>
      <w:r>
        <w:t>atherogenic</w:t>
      </w:r>
      <w:proofErr w:type="spellEnd"/>
      <w:r>
        <w:t xml:space="preserve"> lipoproteins than </w:t>
      </w:r>
      <w:r w:rsidRPr="00661DF1">
        <w:t>low-density lipoprotein cholesterol</w:t>
      </w:r>
      <w:r w:rsidRPr="004C6034">
        <w:t xml:space="preserve"> </w:t>
      </w:r>
      <w:r w:rsidRPr="00661DF1">
        <w:t>(LDL-C)</w:t>
      </w:r>
      <w:r>
        <w:t>. MSAC also noted that some studies (though not all) showed that apoB may be a slightly better predictor of risk than non-</w:t>
      </w:r>
      <w:r w:rsidRPr="00C90FBE">
        <w:t>high-density lipoprotein cholesterol</w:t>
      </w:r>
      <w:r w:rsidRPr="004C6034">
        <w:t xml:space="preserve"> </w:t>
      </w:r>
      <w:r>
        <w:t>(non-HDL-C). However, MSAC considered that the proposed populations in this application are too restrictive and misaligned with populations typically recruited for clinical studies, resulting in limited evidence to support the clinical claims put forward in the application.</w:t>
      </w:r>
    </w:p>
    <w:p w14:paraId="1662E9EB" w14:textId="36EAD89D" w:rsidR="00F467A0" w:rsidRDefault="00246026" w:rsidP="00CD47CF">
      <w:pPr>
        <w:spacing w:after="240"/>
      </w:pPr>
      <w:r>
        <w:t xml:space="preserve">MSAC noted the proposed </w:t>
      </w:r>
      <w:r w:rsidRPr="00246026">
        <w:t>fee of $15 is higher than similar MBS items such as MBS item 66500 (quantitation of total cholesterol; $9.70) and MBS item 66536 (quantitation of HDL cholesterol; $11.05). As well as having a higher fee than existing items, the proposed item will be requested in addition to existing lipid profile evaluation items (MBS items 66500, 66503, and 66536) and represents an increased cost to the MBS.</w:t>
      </w:r>
    </w:p>
    <w:p w14:paraId="07DCF692" w14:textId="6AC20100" w:rsidR="00F467A0" w:rsidRPr="007D27AF" w:rsidRDefault="00F467A0" w:rsidP="00F467A0">
      <w:r>
        <w:t xml:space="preserve">MSAC noted that, although </w:t>
      </w:r>
      <w:r w:rsidRPr="00DF076B">
        <w:t xml:space="preserve">there are no additional safety issues associated with the use of apoB testing compared </w:t>
      </w:r>
      <w:r w:rsidR="00387C5D">
        <w:t>with</w:t>
      </w:r>
      <w:r w:rsidRPr="00DF076B">
        <w:t xml:space="preserve"> current lipid testing</w:t>
      </w:r>
      <w:r w:rsidR="00387C5D">
        <w:t xml:space="preserve"> </w:t>
      </w:r>
      <w:r w:rsidR="0080530E">
        <w:t>(</w:t>
      </w:r>
      <w:r w:rsidR="00387C5D">
        <w:t>including non-HDL-C testing</w:t>
      </w:r>
      <w:r w:rsidR="0080530E">
        <w:t xml:space="preserve">), </w:t>
      </w:r>
      <w:r>
        <w:t>the c</w:t>
      </w:r>
      <w:r w:rsidRPr="00C263F6">
        <w:t xml:space="preserve">linical safety of resultant changes in treatment </w:t>
      </w:r>
      <w:r>
        <w:t xml:space="preserve">(e.g. beginning or ceasing lipid-lowering therapy) has not been </w:t>
      </w:r>
      <w:r w:rsidRPr="00C263F6">
        <w:t>considered</w:t>
      </w:r>
      <w:r>
        <w:t>.</w:t>
      </w:r>
      <w:r w:rsidR="00387C5D">
        <w:t xml:space="preserve"> MSAC considered that change in management from additional apoB testing would be most likely in patients at moderate </w:t>
      </w:r>
      <w:r w:rsidR="00777769">
        <w:t xml:space="preserve">absolute CV risk. However, </w:t>
      </w:r>
      <w:r>
        <w:t>MSAC noted that there are no guidelines to inform changes in treatment based on apoB levels.</w:t>
      </w:r>
    </w:p>
    <w:p w14:paraId="6FD7CE3A" w14:textId="7BFE94FA" w:rsidR="00F467A0" w:rsidRDefault="00F467A0" w:rsidP="00CD47CF">
      <w:pPr>
        <w:spacing w:after="240"/>
      </w:pPr>
      <w:r>
        <w:lastRenderedPageBreak/>
        <w:t xml:space="preserve">MSAC considered that the clinical validity of apoB </w:t>
      </w:r>
      <w:r w:rsidRPr="00817AC5">
        <w:rPr>
          <w:i/>
        </w:rPr>
        <w:t>vs</w:t>
      </w:r>
      <w:r w:rsidR="00387C5D">
        <w:t>.</w:t>
      </w:r>
      <w:r>
        <w:t xml:space="preserve"> non-HDL-C in the requested populations is uncertain. No direct evidence was identified for population 1, and linked evidence showing the p</w:t>
      </w:r>
      <w:r w:rsidRPr="00991886">
        <w:t xml:space="preserve">rognostic value of apoB </w:t>
      </w:r>
      <w:r>
        <w:t xml:space="preserve">to be </w:t>
      </w:r>
      <w:r w:rsidR="00387C5D">
        <w:t xml:space="preserve">similar </w:t>
      </w:r>
      <w:r>
        <w:t>to non-</w:t>
      </w:r>
      <w:r w:rsidRPr="00991886">
        <w:t>HDL</w:t>
      </w:r>
      <w:r>
        <w:t>-</w:t>
      </w:r>
      <w:r w:rsidRPr="00991886">
        <w:t>C</w:t>
      </w:r>
      <w:r>
        <w:t xml:space="preserve"> was of low quality. MSAC noted that the included studies were in patients already receiving lipid-lowering therapies</w:t>
      </w:r>
      <w:r w:rsidRPr="00A77E2D">
        <w:t xml:space="preserve"> </w:t>
      </w:r>
      <w:r>
        <w:t>and were not directly assessing the prognostic value of apoB (information about apoB was extracted from studies on triglycerides). MSAC also noted that the baseline apoB levels in the included studies were lower than the levels considered ‘abnormal’ in Australian practice.</w:t>
      </w:r>
    </w:p>
    <w:p w14:paraId="7E9A679F" w14:textId="29D9DF25" w:rsidR="00F467A0" w:rsidRDefault="00F467A0" w:rsidP="00CD47CF">
      <w:pPr>
        <w:spacing w:after="240"/>
      </w:pPr>
      <w:r>
        <w:t xml:space="preserve">MSAC considered that the clinical utility of apoB </w:t>
      </w:r>
      <w:r w:rsidRPr="00817AC5">
        <w:rPr>
          <w:i/>
        </w:rPr>
        <w:t>vs</w:t>
      </w:r>
      <w:r w:rsidR="00777769" w:rsidRPr="00817AC5">
        <w:rPr>
          <w:i/>
        </w:rPr>
        <w:t>.</w:t>
      </w:r>
      <w:r>
        <w:t xml:space="preserve"> non-HDL-C is uncertain. No evidence of clinical utility, therapeutic efficacy or therapeutic effectiveness was identified for population 1. </w:t>
      </w:r>
      <w:r w:rsidRPr="006A1099">
        <w:t>MSAC noted that no studies of clinical validity or clinical utility were identified for population 2.</w:t>
      </w:r>
    </w:p>
    <w:p w14:paraId="2F2164EC" w14:textId="00B9071A" w:rsidR="008C050C" w:rsidRDefault="00F467A0" w:rsidP="00CD47CF">
      <w:pPr>
        <w:spacing w:after="240"/>
      </w:pPr>
      <w:r w:rsidRPr="002759D7">
        <w:t xml:space="preserve">MSAC </w:t>
      </w:r>
      <w:r>
        <w:t xml:space="preserve">therefore </w:t>
      </w:r>
      <w:r w:rsidRPr="002759D7">
        <w:t>considered that the application presented insufficient evidence for clinical effectiveness of apoB</w:t>
      </w:r>
      <w:r>
        <w:t xml:space="preserve"> testing. However, MSAC considered the literature search included in the application to be too restrictive</w:t>
      </w:r>
      <w:r w:rsidR="0014284A">
        <w:t>, in particular the decision to only include studies from 2008 onwards</w:t>
      </w:r>
      <w:r>
        <w:t xml:space="preserve">. MSAC </w:t>
      </w:r>
      <w:r w:rsidR="00D0756B">
        <w:t xml:space="preserve">also </w:t>
      </w:r>
      <w:r>
        <w:t>noted that</w:t>
      </w:r>
      <w:r w:rsidR="0014284A">
        <w:t xml:space="preserve"> b</w:t>
      </w:r>
      <w:r w:rsidR="00246026">
        <w:t xml:space="preserve">roadening the literature search, including </w:t>
      </w:r>
      <w:r w:rsidR="00D0756B">
        <w:t>broader</w:t>
      </w:r>
      <w:r w:rsidR="0014284A">
        <w:t xml:space="preserve"> </w:t>
      </w:r>
      <w:r w:rsidR="00D0756B">
        <w:t xml:space="preserve">patient </w:t>
      </w:r>
      <w:r w:rsidR="0014284A">
        <w:t>populations</w:t>
      </w:r>
      <w:r w:rsidR="00246026">
        <w:t>,</w:t>
      </w:r>
      <w:r w:rsidR="0014284A">
        <w:t xml:space="preserve"> could have </w:t>
      </w:r>
      <w:r w:rsidR="00DA6B80">
        <w:t>provided linked evidence from</w:t>
      </w:r>
      <w:r>
        <w:t xml:space="preserve"> larg</w:t>
      </w:r>
      <w:r w:rsidR="0014284A">
        <w:t xml:space="preserve">e </w:t>
      </w:r>
      <w:r>
        <w:t xml:space="preserve">prospective </w:t>
      </w:r>
      <w:r w:rsidR="00CE6B15">
        <w:t xml:space="preserve">cohort </w:t>
      </w:r>
      <w:r>
        <w:t xml:space="preserve">studies </w:t>
      </w:r>
      <w:r w:rsidR="0014284A">
        <w:t>providing</w:t>
      </w:r>
      <w:r>
        <w:t xml:space="preserve"> evidence of comparative diagnostic performance (e.g. the Framingham Offspring Cohort study [1972], the Women’s Health Study [2005]</w:t>
      </w:r>
      <w:r w:rsidR="00805A32">
        <w:t>,</w:t>
      </w:r>
      <w:r>
        <w:t xml:space="preserve"> and the meta-analysis by </w:t>
      </w:r>
      <w:proofErr w:type="spellStart"/>
      <w:r>
        <w:t>Thanassoulis</w:t>
      </w:r>
      <w:proofErr w:type="spellEnd"/>
      <w:r>
        <w:t xml:space="preserve"> et al. [</w:t>
      </w:r>
      <w:r w:rsidRPr="004C18A3">
        <w:t>2014</w:t>
      </w:r>
      <w:r>
        <w:t>]</w:t>
      </w:r>
      <w:r w:rsidR="00DA6B80">
        <w:t xml:space="preserve">, which </w:t>
      </w:r>
      <w:r w:rsidR="00DA6B80" w:rsidRPr="002963AF">
        <w:rPr>
          <w:color w:val="000000"/>
        </w:rPr>
        <w:t>demonstrated that relative risk reduction from statin therapy was more closely related to reductions in apoB than to reductions in either LDL</w:t>
      </w:r>
      <w:r w:rsidR="00DA6B80" w:rsidRPr="002963AF">
        <w:rPr>
          <w:rFonts w:ascii="Cambria Math" w:hAnsi="Cambria Math" w:cs="Cambria Math"/>
          <w:color w:val="000000"/>
        </w:rPr>
        <w:t>‐</w:t>
      </w:r>
      <w:r w:rsidR="00DA6B80" w:rsidRPr="002963AF">
        <w:rPr>
          <w:color w:val="000000"/>
        </w:rPr>
        <w:t>C or non</w:t>
      </w:r>
      <w:r w:rsidR="00DA6B80" w:rsidRPr="002963AF">
        <w:rPr>
          <w:rFonts w:ascii="Cambria Math" w:hAnsi="Cambria Math" w:cs="Cambria Math"/>
          <w:color w:val="000000"/>
        </w:rPr>
        <w:t>‐</w:t>
      </w:r>
      <w:r w:rsidR="00DA6B80" w:rsidRPr="002963AF">
        <w:rPr>
          <w:color w:val="000000"/>
        </w:rPr>
        <w:t>HDL</w:t>
      </w:r>
      <w:r w:rsidR="00DA6B80" w:rsidRPr="002963AF">
        <w:rPr>
          <w:rFonts w:ascii="Cambria Math" w:hAnsi="Cambria Math" w:cs="Cambria Math"/>
          <w:color w:val="000000"/>
        </w:rPr>
        <w:t>‐</w:t>
      </w:r>
      <w:r w:rsidR="00DA6B80" w:rsidRPr="002963AF">
        <w:rPr>
          <w:color w:val="000000"/>
        </w:rPr>
        <w:t>C</w:t>
      </w:r>
      <w:r w:rsidR="00DA6B80">
        <w:t xml:space="preserve">. </w:t>
      </w:r>
      <w:r w:rsidR="00777769">
        <w:t xml:space="preserve">However, </w:t>
      </w:r>
      <w:r>
        <w:t>MSAC noted, that these studies do not provide any further</w:t>
      </w:r>
      <w:r w:rsidR="00DA6B80">
        <w:t xml:space="preserve"> </w:t>
      </w:r>
      <w:r>
        <w:t>evidence of clinical validity or clinical utility</w:t>
      </w:r>
      <w:r w:rsidR="00D0756B">
        <w:t xml:space="preserve"> in the proposed populations</w:t>
      </w:r>
      <w:r>
        <w:t>.</w:t>
      </w:r>
    </w:p>
    <w:p w14:paraId="662EF154" w14:textId="6295FF94" w:rsidR="00F467A0" w:rsidRDefault="008C050C" w:rsidP="00CD47CF">
      <w:pPr>
        <w:spacing w:after="240"/>
      </w:pPr>
      <w:r>
        <w:t xml:space="preserve">MSAC noted data presented in the applicant’s pre-MSAC response from Welsh et al. (2019), a </w:t>
      </w:r>
      <w:r w:rsidRPr="00B7388E">
        <w:t>UK Biobank</w:t>
      </w:r>
      <w:r>
        <w:t xml:space="preserve"> study of </w:t>
      </w:r>
      <w:r w:rsidRPr="00D23B27">
        <w:t>502,639 participants (aged 37–73</w:t>
      </w:r>
      <w:r>
        <w:t xml:space="preserve"> years)</w:t>
      </w:r>
      <w:r w:rsidRPr="00D23B27">
        <w:t xml:space="preserve"> who were recruited throughout the Unite</w:t>
      </w:r>
      <w:r>
        <w:t xml:space="preserve">d Kingdom and followed up for </w:t>
      </w:r>
      <w:r w:rsidR="00303B94">
        <w:t>six</w:t>
      </w:r>
      <w:r>
        <w:t> </w:t>
      </w:r>
      <w:r w:rsidRPr="00D23B27">
        <w:t>years</w:t>
      </w:r>
      <w:r>
        <w:t xml:space="preserve">. This study concluded that, </w:t>
      </w:r>
      <w:r w:rsidRPr="00B26412">
        <w:rPr>
          <w:lang w:val="en-US"/>
        </w:rPr>
        <w:t>in the general population</w:t>
      </w:r>
      <w:r>
        <w:rPr>
          <w:lang w:val="en-US"/>
        </w:rPr>
        <w:t>,</w:t>
      </w:r>
      <w:r>
        <w:t xml:space="preserve"> there was </w:t>
      </w:r>
      <w:r w:rsidRPr="00B26412">
        <w:rPr>
          <w:lang w:val="en-US"/>
        </w:rPr>
        <w:t>no meaningful improvement from the addition of apoB. However,</w:t>
      </w:r>
      <w:r>
        <w:rPr>
          <w:lang w:val="en-US"/>
        </w:rPr>
        <w:t xml:space="preserve"> a</w:t>
      </w:r>
      <w:proofErr w:type="spellStart"/>
      <w:r w:rsidRPr="00D23B27">
        <w:t>mong</w:t>
      </w:r>
      <w:proofErr w:type="spellEnd"/>
      <w:r w:rsidRPr="00D23B27">
        <w:t xml:space="preserve"> the subset of participants who were discordant with respect to apoB and LDL-C (n=63,520), only apoB was significantly associated with increased CVD risk</w:t>
      </w:r>
      <w:r>
        <w:t xml:space="preserve"> (noting that this was a </w:t>
      </w:r>
      <w:r w:rsidRPr="00C0441B">
        <w:rPr>
          <w:i/>
        </w:rPr>
        <w:t>post hoc</w:t>
      </w:r>
      <w:r>
        <w:t xml:space="preserve"> analysis). MSAC noted that apoB testing has potential value in this group of patients, but a new clinical management algorithm is needed to identify these patients.</w:t>
      </w:r>
    </w:p>
    <w:p w14:paraId="6E66BF35" w14:textId="34515CB9" w:rsidR="00777769" w:rsidRDefault="00F467A0" w:rsidP="00CD47CF">
      <w:pPr>
        <w:spacing w:after="240"/>
      </w:pPr>
      <w:r>
        <w:t>MSAC considered that</w:t>
      </w:r>
      <w:r w:rsidR="00777769">
        <w:t xml:space="preserve"> the economic evaluation presented was not informative</w:t>
      </w:r>
      <w:r>
        <w:t>, because of the limited clinical data available and lack of evidence regarding changes to management.</w:t>
      </w:r>
    </w:p>
    <w:p w14:paraId="4188955E" w14:textId="1C924F1E" w:rsidR="00F467A0" w:rsidRDefault="00777769" w:rsidP="00F467A0">
      <w:r>
        <w:t>MSAC noted that the estimated financial impact was driven by</w:t>
      </w:r>
      <w:r w:rsidR="00390B61">
        <w:t xml:space="preserve"> an assumption that following routine lipid testing, approximately </w:t>
      </w:r>
      <w:r w:rsidRPr="00DB4B0D">
        <w:t xml:space="preserve">10% of patients with mild to moderately elevated triglyceride concentrations would progress to apoB testing for </w:t>
      </w:r>
      <w:r>
        <w:t xml:space="preserve">a </w:t>
      </w:r>
      <w:r w:rsidRPr="00DB4B0D">
        <w:t xml:space="preserve">more precise </w:t>
      </w:r>
      <w:r>
        <w:t>CVD</w:t>
      </w:r>
      <w:r w:rsidRPr="00DB4B0D">
        <w:t xml:space="preserve"> risk assessment</w:t>
      </w:r>
      <w:r w:rsidR="00390B61">
        <w:t>, following routine lipid testing.</w:t>
      </w:r>
      <w:r w:rsidR="00577F86">
        <w:t xml:space="preserve"> </w:t>
      </w:r>
      <w:r w:rsidR="008C050C">
        <w:t>However, MSAC noted that, b</w:t>
      </w:r>
      <w:r w:rsidR="008C050C" w:rsidRPr="00A93758">
        <w:t xml:space="preserve">ased on the study by Welsh </w:t>
      </w:r>
      <w:r w:rsidR="008C050C" w:rsidRPr="00303B94">
        <w:rPr>
          <w:i/>
        </w:rPr>
        <w:t>et al.</w:t>
      </w:r>
      <w:r w:rsidR="00303B94">
        <w:t xml:space="preserve"> (2019) </w:t>
      </w:r>
      <w:r w:rsidR="008C050C" w:rsidRPr="00A93758">
        <w:t>and others, th</w:t>
      </w:r>
      <w:r w:rsidR="008C050C">
        <w:t>e proportion of patients progressing to apoB testing is</w:t>
      </w:r>
      <w:r w:rsidR="008C050C" w:rsidRPr="00A93758">
        <w:t xml:space="preserve"> more likely to be 15</w:t>
      </w:r>
      <w:r w:rsidR="008C050C">
        <w:t>–</w:t>
      </w:r>
      <w:r w:rsidR="008C050C" w:rsidRPr="00A93758">
        <w:t>20</w:t>
      </w:r>
      <w:r w:rsidR="008C050C">
        <w:t xml:space="preserve">%. In addition, MSAC noted that an editorial discussing the Welsh et al. Biobank study stated that, because participants in the Biobank </w:t>
      </w:r>
      <w:r w:rsidR="005D7AC0">
        <w:t>we</w:t>
      </w:r>
      <w:r w:rsidR="008C050C">
        <w:t xml:space="preserve">re volunteers and probably healthier than the general population, the proportion of patients with discordant results may be as high as 20–25%. Overall, MSAC considered that the financial estimates were uncertain, because the population who could potentially benefit is quite large, </w:t>
      </w:r>
      <w:r w:rsidR="009D4C02">
        <w:t>with</w:t>
      </w:r>
      <w:r w:rsidR="008C050C">
        <w:t xml:space="preserve"> a high risk of </w:t>
      </w:r>
      <w:r w:rsidR="00303B94">
        <w:t>utilisation beyond the intent of the proposed MBS item</w:t>
      </w:r>
      <w:r w:rsidR="008C050C">
        <w:t>.</w:t>
      </w:r>
    </w:p>
    <w:p w14:paraId="19FBF7BC" w14:textId="60E4D23D" w:rsidR="00F467A0" w:rsidRPr="00DC72AA" w:rsidRDefault="00F467A0" w:rsidP="00CD47CF">
      <w:pPr>
        <w:spacing w:after="240"/>
      </w:pPr>
      <w:r>
        <w:lastRenderedPageBreak/>
        <w:t xml:space="preserve">MSAC also considered the restriction to once per lifetime testing to be inappropriate. MSAC noted that the </w:t>
      </w:r>
      <w:r w:rsidR="00303B94">
        <w:t>a</w:t>
      </w:r>
      <w:r>
        <w:t>pplicant maintains that identifying</w:t>
      </w:r>
      <w:r w:rsidRPr="00420315">
        <w:t xml:space="preserve"> previously low-risk</w:t>
      </w:r>
      <w:r>
        <w:t xml:space="preserve"> untreated</w:t>
      </w:r>
      <w:r w:rsidRPr="00420315">
        <w:t xml:space="preserve"> patients would require once in a lifetime apoB testing</w:t>
      </w:r>
      <w:r>
        <w:t>. However, MSAC considered that r</w:t>
      </w:r>
      <w:r w:rsidRPr="00F2702E">
        <w:t>epeat testing over time may be required to reassess risk</w:t>
      </w:r>
      <w:r>
        <w:t>,</w:t>
      </w:r>
      <w:r w:rsidRPr="00F2702E">
        <w:t xml:space="preserve"> whether or not </w:t>
      </w:r>
      <w:r>
        <w:t xml:space="preserve">the patient is being treated with </w:t>
      </w:r>
      <w:r w:rsidRPr="00DC72AA">
        <w:t>lipid-lowering therapy.</w:t>
      </w:r>
    </w:p>
    <w:p w14:paraId="3F4D6F9A" w14:textId="23907B56" w:rsidR="00F467A0" w:rsidRDefault="00F467A0" w:rsidP="00CD47CF">
      <w:pPr>
        <w:spacing w:after="240"/>
      </w:pPr>
      <w:r>
        <w:t xml:space="preserve">MSAC acknowledged the </w:t>
      </w:r>
      <w:r w:rsidR="00303B94">
        <w:t>a</w:t>
      </w:r>
      <w:r>
        <w:t xml:space="preserve">pplicant’s advice in their pre-MSAC response that </w:t>
      </w:r>
      <w:r w:rsidR="00303B94">
        <w:t xml:space="preserve">the </w:t>
      </w:r>
      <w:r w:rsidRPr="00B26412">
        <w:t>European Society of Cardiology and European Atherosclerosis Society guidelines</w:t>
      </w:r>
      <w:r>
        <w:t xml:space="preserve"> state that</w:t>
      </w:r>
      <w:r w:rsidRPr="00B26412">
        <w:t xml:space="preserve"> </w:t>
      </w:r>
      <w:r>
        <w:t>a</w:t>
      </w:r>
      <w:r w:rsidRPr="00B26412">
        <w:t xml:space="preserve">poB analysis is recommended for risk assessment, particularly in people with high </w:t>
      </w:r>
      <w:r>
        <w:t>triglycerides;</w:t>
      </w:r>
      <w:r w:rsidRPr="00B26412">
        <w:t xml:space="preserve"> </w:t>
      </w:r>
      <w:r>
        <w:t>diabetes me</w:t>
      </w:r>
      <w:r w:rsidR="004E42B1">
        <w:t>l</w:t>
      </w:r>
      <w:r>
        <w:t>lit</w:t>
      </w:r>
      <w:r w:rsidR="004E42B1">
        <w:t>u</w:t>
      </w:r>
      <w:r>
        <w:t>s type </w:t>
      </w:r>
      <w:r w:rsidRPr="00B26412">
        <w:t>2</w:t>
      </w:r>
      <w:r>
        <w:t>, obesity or metabolic syndrome;</w:t>
      </w:r>
      <w:r w:rsidRPr="00B26412">
        <w:t xml:space="preserve"> or very low LDL-C.</w:t>
      </w:r>
    </w:p>
    <w:p w14:paraId="7C19B135" w14:textId="06F1244A" w:rsidR="008C050C" w:rsidRDefault="00F467A0" w:rsidP="00CD47CF">
      <w:pPr>
        <w:spacing w:after="240"/>
      </w:pPr>
      <w:r>
        <w:t xml:space="preserve">However, </w:t>
      </w:r>
      <w:r w:rsidRPr="00DC72AA">
        <w:t xml:space="preserve">MSAC </w:t>
      </w:r>
      <w:r>
        <w:t>also considered</w:t>
      </w:r>
      <w:r w:rsidRPr="00DC72AA">
        <w:t xml:space="preserve"> that while apoB may be a better predictor</w:t>
      </w:r>
      <w:r>
        <w:t xml:space="preserve"> of CVD risk</w:t>
      </w:r>
      <w:r w:rsidRPr="00DC72AA">
        <w:t>, it would be difficult and costly to re-engineer current models of risk prediction and care to change from LDL-C (or non-HDL-C) to apoB.</w:t>
      </w:r>
    </w:p>
    <w:p w14:paraId="00B02822" w14:textId="77777777" w:rsidR="00F467A0" w:rsidRDefault="00F467A0" w:rsidP="00F467A0">
      <w:pPr>
        <w:pStyle w:val="NormalBeforeBullet"/>
      </w:pPr>
      <w:r>
        <w:t>MSAC concluded that any future application should:</w:t>
      </w:r>
    </w:p>
    <w:p w14:paraId="010046CB" w14:textId="77777777" w:rsidR="00F467A0" w:rsidRPr="00B7388E" w:rsidRDefault="00F467A0" w:rsidP="00F467A0">
      <w:pPr>
        <w:pStyle w:val="Bullet"/>
      </w:pPr>
      <w:r>
        <w:t>identify markers/characteristics (e.g. </w:t>
      </w:r>
      <w:r w:rsidRPr="00B7388E">
        <w:t xml:space="preserve">triglycerides, obesity, diabetes) to define patients where </w:t>
      </w:r>
      <w:r>
        <w:t>a</w:t>
      </w:r>
      <w:r w:rsidRPr="00B7388E">
        <w:t>poB testing provides independent risk prediction beyond total and HDL cholesterol (e.g.</w:t>
      </w:r>
      <w:r>
        <w:t> </w:t>
      </w:r>
      <w:r w:rsidRPr="00B7388E">
        <w:t>from</w:t>
      </w:r>
      <w:r>
        <w:t xml:space="preserve"> the</w:t>
      </w:r>
      <w:r w:rsidRPr="00B7388E">
        <w:t xml:space="preserve"> UK Biobank</w:t>
      </w:r>
      <w:r>
        <w:t xml:space="preserve"> study</w:t>
      </w:r>
      <w:r w:rsidRPr="00B7388E">
        <w:t>) and c</w:t>
      </w:r>
      <w:r>
        <w:t>onfirm these in an independent cohort</w:t>
      </w:r>
    </w:p>
    <w:p w14:paraId="02A89432" w14:textId="77777777" w:rsidR="00F467A0" w:rsidRPr="00B7388E" w:rsidRDefault="00F467A0" w:rsidP="00F467A0">
      <w:pPr>
        <w:pStyle w:val="Bullet"/>
      </w:pPr>
      <w:r w:rsidRPr="00B7388E">
        <w:t xml:space="preserve">limit </w:t>
      </w:r>
      <w:r>
        <w:t xml:space="preserve">the </w:t>
      </w:r>
      <w:r w:rsidRPr="00B7388E">
        <w:t>population to subjects at moderate absolute CV</w:t>
      </w:r>
      <w:r>
        <w:t>D</w:t>
      </w:r>
      <w:r w:rsidRPr="00B7388E">
        <w:t xml:space="preserve"> risk based on traditional risk factors</w:t>
      </w:r>
      <w:r>
        <w:t xml:space="preserve"> (the group in </w:t>
      </w:r>
      <w:r w:rsidRPr="002D0434">
        <w:t>which change in management is most likely)</w:t>
      </w:r>
    </w:p>
    <w:p w14:paraId="1849F4DA" w14:textId="085E8D94" w:rsidR="00F467A0" w:rsidRDefault="00F467A0" w:rsidP="00F467A0">
      <w:pPr>
        <w:pStyle w:val="Bullet"/>
      </w:pPr>
      <w:r>
        <w:t>include a better-defined clinical algorithm to identify the target population to benefit from apoB testing</w:t>
      </w:r>
    </w:p>
    <w:p w14:paraId="6843209D" w14:textId="3088AE09" w:rsidR="00F467A0" w:rsidRDefault="00F467A0" w:rsidP="00F467A0">
      <w:pPr>
        <w:pStyle w:val="Bullet"/>
      </w:pPr>
      <w:r>
        <w:t>identify new and higher-level evidence to determine and support the clinical validity and clinical utility of apoB testing</w:t>
      </w:r>
      <w:r w:rsidR="00303B94">
        <w:t>; and</w:t>
      </w:r>
    </w:p>
    <w:p w14:paraId="72470A76" w14:textId="77777777" w:rsidR="00F467A0" w:rsidRDefault="00F467A0" w:rsidP="00F467A0">
      <w:pPr>
        <w:pStyle w:val="BulletLast"/>
      </w:pPr>
      <w:proofErr w:type="gramStart"/>
      <w:r w:rsidRPr="00B7388E">
        <w:t>undertake</w:t>
      </w:r>
      <w:proofErr w:type="gramEnd"/>
      <w:r w:rsidRPr="00B7388E">
        <w:t xml:space="preserve"> an economic evaluation using a linked evidence approach</w:t>
      </w:r>
      <w:r>
        <w:t>.</w:t>
      </w:r>
    </w:p>
    <w:p w14:paraId="2A69527F" w14:textId="77777777" w:rsidR="00A37C79" w:rsidRPr="00F715D1" w:rsidRDefault="00A37C79" w:rsidP="00A37C79">
      <w:pPr>
        <w:pStyle w:val="Heading1"/>
      </w:pPr>
      <w:r w:rsidRPr="00F715D1">
        <w:t>Background</w:t>
      </w:r>
    </w:p>
    <w:p w14:paraId="690D19AB" w14:textId="303B685A" w:rsidR="00A22937" w:rsidRDefault="00A22937" w:rsidP="00CD47CF">
      <w:pPr>
        <w:spacing w:after="240"/>
      </w:pPr>
      <w:r w:rsidRPr="008D35E9">
        <w:t xml:space="preserve">MSAC has not previously considered apoB testing for the assessment of </w:t>
      </w:r>
      <w:r w:rsidRPr="004D4763">
        <w:t xml:space="preserve">high risk </w:t>
      </w:r>
      <w:r w:rsidRPr="00FA0DB6">
        <w:t>CVD</w:t>
      </w:r>
      <w:r w:rsidRPr="008D35E9">
        <w:t xml:space="preserve"> risk assessment</w:t>
      </w:r>
      <w:r>
        <w:rPr>
          <w:b/>
        </w:rPr>
        <w:t>.</w:t>
      </w:r>
    </w:p>
    <w:p w14:paraId="369EA896" w14:textId="77777777" w:rsidR="00A22937" w:rsidRPr="008D35E9" w:rsidRDefault="00A22937" w:rsidP="00A22937">
      <w:r w:rsidRPr="0065053D">
        <w:t>Currently apoB testing is not funded or reimbursed in the private or public setting in Australia for any clinical indication.</w:t>
      </w:r>
    </w:p>
    <w:p w14:paraId="7FB658CE" w14:textId="77777777" w:rsidR="00A37C79" w:rsidRPr="00F715D1" w:rsidRDefault="00A37C79" w:rsidP="00A37C79">
      <w:pPr>
        <w:pStyle w:val="Heading1"/>
      </w:pPr>
      <w:r w:rsidRPr="00F715D1">
        <w:t>Prerequisites to implementation of any funding advice</w:t>
      </w:r>
    </w:p>
    <w:p w14:paraId="0BAB5BD4" w14:textId="3E51E954" w:rsidR="00A22937" w:rsidRDefault="00A22937" w:rsidP="00CD47CF">
      <w:pPr>
        <w:spacing w:after="240"/>
      </w:pPr>
      <w:r w:rsidRPr="0065053D">
        <w:t xml:space="preserve">ApoB concentrations can be measured via immunoassay conducted by approved pathology practitioners in National Association of Testing Authorities </w:t>
      </w:r>
      <w:r w:rsidR="0004305F">
        <w:t>(NATA) accredited laboratories.</w:t>
      </w:r>
    </w:p>
    <w:p w14:paraId="273AC2A4" w14:textId="6E9EC4B1" w:rsidR="00FE5746" w:rsidRDefault="00A22937" w:rsidP="00CD47CF">
      <w:pPr>
        <w:spacing w:after="240"/>
      </w:pPr>
      <w:r w:rsidRPr="0065053D">
        <w:t xml:space="preserve">The </w:t>
      </w:r>
      <w:r w:rsidR="00303B94">
        <w:t>a</w:t>
      </w:r>
      <w:r w:rsidRPr="0065053D">
        <w:t>pplicant claims that apoB can be measured by automated, readily available commercial immunoassays currently used in clinical laboratories.</w:t>
      </w:r>
    </w:p>
    <w:p w14:paraId="1449E34D" w14:textId="77777777" w:rsidR="00FE5746" w:rsidRPr="0065053D" w:rsidRDefault="00FE5746" w:rsidP="00A22937">
      <w:r>
        <w:t>The National Pathology Accreditation Advisory Council (NPAAC) advised MSAC that the test is well established with an external quality assurance program</w:t>
      </w:r>
      <w:r w:rsidR="00763ABF">
        <w:t xml:space="preserve"> (EQA)</w:t>
      </w:r>
      <w:r>
        <w:t xml:space="preserve"> available.</w:t>
      </w:r>
    </w:p>
    <w:p w14:paraId="71A1ACA7" w14:textId="77777777" w:rsidR="007C01DA" w:rsidRDefault="00A37C79" w:rsidP="00A22937">
      <w:pPr>
        <w:pStyle w:val="Heading1"/>
      </w:pPr>
      <w:r w:rsidRPr="00F715D1">
        <w:lastRenderedPageBreak/>
        <w:t>Proposal for public funding</w:t>
      </w:r>
    </w:p>
    <w:p w14:paraId="04361DB1" w14:textId="4FE27B9A" w:rsidR="0004305F" w:rsidRPr="0065053D" w:rsidRDefault="00A22937" w:rsidP="00CD47CF">
      <w:pPr>
        <w:spacing w:after="240"/>
      </w:pPr>
      <w:r w:rsidRPr="0065053D">
        <w:t>The proposed MBS item descriptor</w:t>
      </w:r>
      <w:r w:rsidR="000C5592">
        <w:t>, updated at ESC,</w:t>
      </w:r>
      <w:r w:rsidRPr="0065053D">
        <w:t xml:space="preserve"> is presented in </w:t>
      </w:r>
      <w:r w:rsidRPr="0065053D">
        <w:fldChar w:fldCharType="begin"/>
      </w:r>
      <w:r w:rsidRPr="0065053D">
        <w:instrText xml:space="preserve"> REF _Ref5023149 \h </w:instrText>
      </w:r>
      <w:r w:rsidRPr="0065053D">
        <w:fldChar w:fldCharType="separate"/>
      </w:r>
      <w:r w:rsidRPr="0065053D">
        <w:t xml:space="preserve">Table </w:t>
      </w:r>
      <w:r>
        <w:rPr>
          <w:noProof/>
        </w:rPr>
        <w:t>1</w:t>
      </w:r>
      <w:r w:rsidRPr="0065053D">
        <w:fldChar w:fldCharType="end"/>
      </w:r>
      <w:r w:rsidRPr="0065053D">
        <w:t>. The fee includes the equipment and resources associated with conducting the apoB immunoassay.</w:t>
      </w:r>
    </w:p>
    <w:p w14:paraId="2B1DC480" w14:textId="773A0180" w:rsidR="00A22937" w:rsidRPr="00E26BB9" w:rsidRDefault="00A22937" w:rsidP="00E26BB9">
      <w:pPr>
        <w:rPr>
          <w:rFonts w:ascii="Arial Narrow" w:hAnsi="Arial Narrow"/>
          <w:b/>
          <w:sz w:val="20"/>
        </w:rPr>
      </w:pPr>
      <w:bookmarkStart w:id="2" w:name="_Ref5023149"/>
      <w:bookmarkStart w:id="3" w:name="_Ref5023143"/>
      <w:bookmarkStart w:id="4" w:name="_Toc6480028"/>
      <w:bookmarkStart w:id="5" w:name="_Toc10558716"/>
      <w:r w:rsidRPr="00E26BB9">
        <w:rPr>
          <w:rFonts w:ascii="Arial Narrow" w:hAnsi="Arial Narrow"/>
          <w:b/>
          <w:sz w:val="20"/>
        </w:rPr>
        <w:t xml:space="preserve">Table </w:t>
      </w:r>
      <w:r w:rsidRPr="00E26BB9">
        <w:rPr>
          <w:rFonts w:ascii="Arial Narrow" w:hAnsi="Arial Narrow"/>
          <w:b/>
          <w:sz w:val="20"/>
        </w:rPr>
        <w:fldChar w:fldCharType="begin"/>
      </w:r>
      <w:r w:rsidRPr="00E26BB9">
        <w:rPr>
          <w:rFonts w:ascii="Arial Narrow" w:hAnsi="Arial Narrow"/>
          <w:b/>
          <w:sz w:val="20"/>
        </w:rPr>
        <w:instrText xml:space="preserve"> SEQ Table \* ARABIC </w:instrText>
      </w:r>
      <w:r w:rsidRPr="00E26BB9">
        <w:rPr>
          <w:rFonts w:ascii="Arial Narrow" w:hAnsi="Arial Narrow"/>
          <w:b/>
          <w:sz w:val="20"/>
        </w:rPr>
        <w:fldChar w:fldCharType="separate"/>
      </w:r>
      <w:r w:rsidRPr="00E26BB9">
        <w:rPr>
          <w:rFonts w:ascii="Arial Narrow" w:hAnsi="Arial Narrow"/>
          <w:b/>
          <w:sz w:val="20"/>
        </w:rPr>
        <w:t>1</w:t>
      </w:r>
      <w:r w:rsidRPr="00E26BB9">
        <w:rPr>
          <w:rFonts w:ascii="Arial Narrow" w:hAnsi="Arial Narrow"/>
          <w:b/>
          <w:sz w:val="20"/>
        </w:rPr>
        <w:fldChar w:fldCharType="end"/>
      </w:r>
      <w:bookmarkEnd w:id="2"/>
      <w:r w:rsidRPr="00E26BB9">
        <w:rPr>
          <w:rFonts w:ascii="Arial Narrow" w:hAnsi="Arial Narrow"/>
          <w:b/>
          <w:sz w:val="20"/>
        </w:rPr>
        <w:tab/>
        <w:t>Proposed MBS item descriptor</w:t>
      </w:r>
      <w:bookmarkEnd w:id="3"/>
      <w:bookmarkEnd w:id="4"/>
      <w:bookmarkEnd w:id="5"/>
      <w:r w:rsidR="000C5592" w:rsidRPr="00E26BB9">
        <w:rPr>
          <w:rFonts w:ascii="Arial Narrow" w:hAnsi="Arial Narrow"/>
          <w:b/>
          <w:sz w:val="20"/>
        </w:rPr>
        <w:t>, updated with ESC proposed amendments</w:t>
      </w:r>
      <w:r w:rsidR="005A672C" w:rsidRPr="00E26BB9">
        <w:rPr>
          <w:rFonts w:ascii="Arial Narrow" w:hAnsi="Arial Narrow"/>
          <w:b/>
          <w:sz w:val="20"/>
        </w:rPr>
        <w:t xml:space="preserve"> (in red)</w:t>
      </w:r>
    </w:p>
    <w:tbl>
      <w:tblPr>
        <w:tblStyle w:val="TableGrid11"/>
        <w:tblW w:w="5000" w:type="pct"/>
        <w:tblLook w:val="04A0" w:firstRow="1" w:lastRow="0" w:firstColumn="1" w:lastColumn="0" w:noHBand="0" w:noVBand="1"/>
        <w:tblCaption w:val="Proposed MBS item descriptor"/>
        <w:tblDescription w:val="MBS descriptor"/>
      </w:tblPr>
      <w:tblGrid>
        <w:gridCol w:w="9019"/>
      </w:tblGrid>
      <w:tr w:rsidR="00A22937" w:rsidRPr="0065053D" w14:paraId="46CBE99B" w14:textId="77777777" w:rsidTr="007C01DA">
        <w:trPr>
          <w:cantSplit/>
          <w:tblHeader/>
        </w:trPr>
        <w:tc>
          <w:tcPr>
            <w:tcW w:w="9019" w:type="dxa"/>
          </w:tcPr>
          <w:p w14:paraId="30083AFE" w14:textId="77777777" w:rsidR="00A22937" w:rsidRPr="0065053D" w:rsidRDefault="00A22937" w:rsidP="00990F81">
            <w:pPr>
              <w:pStyle w:val="TableText"/>
            </w:pPr>
            <w:r w:rsidRPr="0065053D">
              <w:t>Category 6 – Pathology Services</w:t>
            </w:r>
          </w:p>
        </w:tc>
      </w:tr>
      <w:tr w:rsidR="00A22937" w:rsidRPr="0065053D" w14:paraId="204A5937" w14:textId="77777777" w:rsidTr="007C01DA">
        <w:trPr>
          <w:cantSplit/>
        </w:trPr>
        <w:tc>
          <w:tcPr>
            <w:tcW w:w="9019" w:type="dxa"/>
          </w:tcPr>
          <w:p w14:paraId="49D1BDA6" w14:textId="11718E02" w:rsidR="00A22937" w:rsidRPr="0065053D" w:rsidRDefault="00A22937" w:rsidP="00CD47CF">
            <w:pPr>
              <w:pStyle w:val="TableText"/>
              <w:spacing w:after="240"/>
            </w:pPr>
            <w:r w:rsidRPr="0065053D">
              <w:t>Item 6650X</w:t>
            </w:r>
          </w:p>
          <w:p w14:paraId="1BF6FAB3" w14:textId="05C5E255" w:rsidR="005A672C" w:rsidRDefault="005A672C" w:rsidP="005A672C">
            <w:pPr>
              <w:pStyle w:val="TableText"/>
            </w:pPr>
            <w:r w:rsidRPr="0065053D">
              <w:t>Quantitation of apoB in patients with</w:t>
            </w:r>
            <w:r>
              <w:t xml:space="preserve">: </w:t>
            </w:r>
          </w:p>
          <w:p w14:paraId="6CFC6B88" w14:textId="77777777" w:rsidR="005A672C" w:rsidRPr="0065053D" w:rsidRDefault="005A672C" w:rsidP="005A672C">
            <w:pPr>
              <w:pStyle w:val="TableText"/>
              <w:numPr>
                <w:ilvl w:val="0"/>
                <w:numId w:val="8"/>
              </w:numPr>
            </w:pPr>
            <w:r>
              <w:t>t</w:t>
            </w:r>
            <w:r w:rsidRPr="0065053D">
              <w:t xml:space="preserve">riglycerides ≥3 </w:t>
            </w:r>
            <w:proofErr w:type="spellStart"/>
            <w:r w:rsidRPr="0065053D">
              <w:t>mmol</w:t>
            </w:r>
            <w:proofErr w:type="spellEnd"/>
            <w:r w:rsidRPr="0065053D">
              <w:t xml:space="preserve">/L AND &lt;10 </w:t>
            </w:r>
            <w:proofErr w:type="spellStart"/>
            <w:r w:rsidRPr="0065053D">
              <w:t>mmol</w:t>
            </w:r>
            <w:proofErr w:type="spellEnd"/>
            <w:r w:rsidRPr="0065053D">
              <w:t>/L</w:t>
            </w:r>
            <w:r>
              <w:t>; OR</w:t>
            </w:r>
          </w:p>
          <w:p w14:paraId="2C695764" w14:textId="1899C388" w:rsidR="005A672C" w:rsidRPr="00CD47CF" w:rsidRDefault="005A672C" w:rsidP="00CD47CF">
            <w:pPr>
              <w:pStyle w:val="TableText"/>
              <w:numPr>
                <w:ilvl w:val="0"/>
                <w:numId w:val="8"/>
              </w:numPr>
              <w:spacing w:after="240"/>
              <w:ind w:left="714" w:hanging="357"/>
            </w:pPr>
            <w:proofErr w:type="gramStart"/>
            <w:r>
              <w:t>t</w:t>
            </w:r>
            <w:r w:rsidRPr="008A3D82">
              <w:t>otal</w:t>
            </w:r>
            <w:proofErr w:type="gramEnd"/>
            <w:r w:rsidRPr="008A3D82">
              <w:t xml:space="preserve"> cholesterol &gt;7.5 </w:t>
            </w:r>
            <w:proofErr w:type="spellStart"/>
            <w:r w:rsidRPr="008A3D82">
              <w:t>mmol</w:t>
            </w:r>
            <w:proofErr w:type="spellEnd"/>
            <w:r w:rsidRPr="008A3D82">
              <w:t xml:space="preserve">/L AND clinical evidence of </w:t>
            </w:r>
            <w:proofErr w:type="spellStart"/>
            <w:r w:rsidRPr="008A3D82">
              <w:t>cholestatic</w:t>
            </w:r>
            <w:proofErr w:type="spellEnd"/>
            <w:r w:rsidRPr="008A3D82">
              <w:t xml:space="preserve"> liver disease where there is the possibility of the presence of the abnormal lipoprotein X.</w:t>
            </w:r>
          </w:p>
          <w:p w14:paraId="3880129A" w14:textId="71C6CE84" w:rsidR="00A22937" w:rsidRPr="00CD47CF" w:rsidRDefault="005A672C" w:rsidP="00CD47CF">
            <w:pPr>
              <w:pStyle w:val="TableText"/>
              <w:spacing w:after="240"/>
              <w:rPr>
                <w:strike/>
                <w:color w:val="FF0000"/>
              </w:rPr>
            </w:pPr>
            <w:r w:rsidRPr="00824EBE">
              <w:rPr>
                <w:strike/>
                <w:color w:val="FF0000"/>
              </w:rPr>
              <w:t>One test per lifetime</w:t>
            </w:r>
          </w:p>
          <w:p w14:paraId="24565D69" w14:textId="77777777" w:rsidR="00A22937" w:rsidRPr="0065053D" w:rsidRDefault="00A22937" w:rsidP="00990F81">
            <w:pPr>
              <w:pStyle w:val="TableText"/>
            </w:pPr>
            <w:r w:rsidRPr="0065053D">
              <w:t>Fee: $15, Benefit 75% = $11.25 (in-hospital / admitted patient), 85% = $12.75 (out-of-hospital / outpatient)</w:t>
            </w:r>
          </w:p>
        </w:tc>
      </w:tr>
    </w:tbl>
    <w:p w14:paraId="372F5327" w14:textId="3E0AE554" w:rsidR="007C01DA" w:rsidRDefault="007C01DA" w:rsidP="00CD47CF">
      <w:pPr>
        <w:spacing w:before="240"/>
      </w:pPr>
      <w:r w:rsidRPr="00A14BA9">
        <w:t>This applicat</w:t>
      </w:r>
      <w:r>
        <w:t>ion seeks to lim</w:t>
      </w:r>
      <w:r w:rsidRPr="00A14BA9">
        <w:t xml:space="preserve">it the population to be tested for apoB to two </w:t>
      </w:r>
      <w:proofErr w:type="spellStart"/>
      <w:r w:rsidRPr="00A14BA9">
        <w:t>dyslipidaemic</w:t>
      </w:r>
      <w:proofErr w:type="spellEnd"/>
      <w:r w:rsidRPr="00A14BA9">
        <w:t xml:space="preserve"> groups:</w:t>
      </w:r>
    </w:p>
    <w:p w14:paraId="2D95D6E9" w14:textId="0BE0C3A0" w:rsidR="007C01DA" w:rsidRDefault="007C01DA" w:rsidP="007C01DA">
      <w:pPr>
        <w:pStyle w:val="ListParagraph"/>
        <w:numPr>
          <w:ilvl w:val="0"/>
          <w:numId w:val="6"/>
        </w:numPr>
        <w:ind w:left="714" w:hanging="357"/>
      </w:pPr>
      <w:r>
        <w:t>Population one: P</w:t>
      </w:r>
      <w:r w:rsidRPr="00A14BA9">
        <w:t xml:space="preserve">atients with “moderate hypercholesterolaemia” defined as having triglycerides greater than, or equal to 3 </w:t>
      </w:r>
      <w:proofErr w:type="spellStart"/>
      <w:r w:rsidRPr="00A14BA9">
        <w:t>mmol</w:t>
      </w:r>
      <w:proofErr w:type="spellEnd"/>
      <w:r w:rsidRPr="00A14BA9">
        <w:t xml:space="preserve">/L and less than 10 </w:t>
      </w:r>
      <w:proofErr w:type="spellStart"/>
      <w:r w:rsidRPr="00A14BA9">
        <w:t>mmol</w:t>
      </w:r>
      <w:proofErr w:type="spellEnd"/>
      <w:r w:rsidRPr="00A14BA9">
        <w:t>/L (i.e. 266 to 885 mg/</w:t>
      </w:r>
      <w:proofErr w:type="spellStart"/>
      <w:r w:rsidRPr="00A14BA9">
        <w:t>dL</w:t>
      </w:r>
      <w:proofErr w:type="spellEnd"/>
      <w:r w:rsidRPr="00A14BA9">
        <w:t>); or</w:t>
      </w:r>
    </w:p>
    <w:p w14:paraId="68627704" w14:textId="48BD9011" w:rsidR="007C01DA" w:rsidRPr="00FA0DB6" w:rsidRDefault="007C01DA" w:rsidP="007C01DA">
      <w:pPr>
        <w:pStyle w:val="ListParagraph"/>
        <w:numPr>
          <w:ilvl w:val="3"/>
          <w:numId w:val="5"/>
        </w:numPr>
        <w:ind w:left="714" w:hanging="357"/>
      </w:pPr>
      <w:r>
        <w:t xml:space="preserve">Population two: Patients with </w:t>
      </w:r>
      <w:r w:rsidRPr="00D41C0F">
        <w:t xml:space="preserve">hypercholesterolaemia and cholestasis defined as having total cholesterol of greater than 7.5 </w:t>
      </w:r>
      <w:proofErr w:type="spellStart"/>
      <w:r w:rsidRPr="00D41C0F">
        <w:t>mmol</w:t>
      </w:r>
      <w:proofErr w:type="spellEnd"/>
      <w:r w:rsidRPr="00D41C0F">
        <w:t>/L (i.e. more than 290 mg/</w:t>
      </w:r>
      <w:proofErr w:type="spellStart"/>
      <w:r w:rsidRPr="00D41C0F">
        <w:t>dL</w:t>
      </w:r>
      <w:proofErr w:type="spellEnd"/>
      <w:r w:rsidRPr="00D41C0F">
        <w:t xml:space="preserve">) and </w:t>
      </w:r>
      <w:proofErr w:type="spellStart"/>
      <w:r w:rsidRPr="00D41C0F">
        <w:t>cholestatic</w:t>
      </w:r>
      <w:proofErr w:type="spellEnd"/>
      <w:r w:rsidRPr="00D41C0F">
        <w:t xml:space="preserve"> liver disease where there is the possibility of the presence of the abnormal lipoprotein X</w:t>
      </w:r>
      <w:r>
        <w:t>.</w:t>
      </w:r>
    </w:p>
    <w:p w14:paraId="63F142F6" w14:textId="0666830A" w:rsidR="000F0EBC" w:rsidRPr="00E26BB9" w:rsidRDefault="007C01DA" w:rsidP="00E26BB9">
      <w:pPr>
        <w:spacing w:before="240" w:after="240"/>
      </w:pPr>
      <w:r w:rsidRPr="00E26BB9">
        <w:t xml:space="preserve">The Critique stated that the </w:t>
      </w:r>
      <w:r w:rsidR="009D7C7C" w:rsidRPr="00E26BB9">
        <w:t>contracted assessment (</w:t>
      </w:r>
      <w:r w:rsidRPr="00E26BB9">
        <w:t>CA</w:t>
      </w:r>
      <w:r w:rsidR="009D7C7C" w:rsidRPr="00E26BB9">
        <w:t>)</w:t>
      </w:r>
      <w:r w:rsidRPr="00E26BB9">
        <w:t xml:space="preserve"> provided little justification or explanation of clinical need for apoB testing in the requested populations. It was also unclear if the proposed populations consist of patients who are not receiving lipid-lowering therapy, or who are already on-treatment (or both).</w:t>
      </w:r>
    </w:p>
    <w:p w14:paraId="32A0027A" w14:textId="3B0B18A6" w:rsidR="000F0EBC" w:rsidRDefault="00303B94" w:rsidP="00CD47CF">
      <w:pPr>
        <w:pStyle w:val="Default"/>
        <w:spacing w:after="240"/>
        <w:rPr>
          <w:rFonts w:ascii="Calibri" w:eastAsiaTheme="minorHAnsi" w:hAnsi="Calibri" w:cs="Calibri"/>
          <w:sz w:val="23"/>
          <w:szCs w:val="23"/>
        </w:rPr>
      </w:pPr>
      <w:r>
        <w:t>In the pre-MSAC response, the a</w:t>
      </w:r>
      <w:r w:rsidR="000F0EBC">
        <w:t xml:space="preserve">pplicant clarified that </w:t>
      </w:r>
      <w:r w:rsidR="000F0EBC" w:rsidRPr="000F0EBC">
        <w:t>apoB testing is intended to assess CVD risk in patients who are currently not receiving lipid-lowering therapy.</w:t>
      </w:r>
      <w:r w:rsidR="000F0EBC">
        <w:t xml:space="preserve"> </w:t>
      </w:r>
      <w:r w:rsidR="000F0EBC" w:rsidRPr="000F0EBC">
        <w:t>The</w:t>
      </w:r>
      <w:r>
        <w:t xml:space="preserve"> a</w:t>
      </w:r>
      <w:r w:rsidR="000F0EBC">
        <w:t xml:space="preserve">pplicant highlighted </w:t>
      </w:r>
      <w:r w:rsidR="002F07AD">
        <w:t xml:space="preserve">that </w:t>
      </w:r>
      <w:r w:rsidR="000F0EBC">
        <w:t>the</w:t>
      </w:r>
      <w:r w:rsidR="000F0EBC" w:rsidRPr="000F0EBC">
        <w:t xml:space="preserve"> following recommendation for lipid analyses for CVD risk estimation from the European Society of Cardiology (ESC) and European Atherosclerosis Society (EAS) guidelines for the management of dyslipidaemias should </w:t>
      </w:r>
      <w:r w:rsidR="000F0EBC">
        <w:t>be noted:</w:t>
      </w:r>
    </w:p>
    <w:p w14:paraId="3F8BD51E" w14:textId="15B55325" w:rsidR="007C01DA" w:rsidRPr="005A672C" w:rsidRDefault="000F0EBC" w:rsidP="000F0EBC">
      <w:r w:rsidRPr="005A672C">
        <w:rPr>
          <w:rFonts w:eastAsiaTheme="minorHAnsi"/>
          <w:lang w:eastAsia="en-US"/>
        </w:rPr>
        <w:t>“ApoB should be considered as an alternative risk marker whenever available, especially in individuals with high TG: ApoB analysis is recommended for risk assessment, particula</w:t>
      </w:r>
      <w:r w:rsidR="00876609">
        <w:rPr>
          <w:rFonts w:eastAsiaTheme="minorHAnsi"/>
          <w:lang w:eastAsia="en-US"/>
        </w:rPr>
        <w:t>rly in people with high TG, DM2</w:t>
      </w:r>
      <w:r w:rsidRPr="005A672C">
        <w:rPr>
          <w:rFonts w:eastAsiaTheme="minorHAnsi"/>
          <w:lang w:eastAsia="en-US"/>
        </w:rPr>
        <w:t>, obesity or metabolic syndrome, or very low LDL-C. It can be used as an alternative to LDL-C, if available, as the primary measurement for screening, diagnosis, and management, and may be preferred over non-HDL-C in people with high TG, DM, obesity, or very low LDL-C.”(ESC &amp; EAS 2019; Mach et al. 2019).</w:t>
      </w:r>
    </w:p>
    <w:p w14:paraId="727BAEB8" w14:textId="77777777" w:rsidR="00A37C79" w:rsidRPr="00F715D1" w:rsidRDefault="00817AC5" w:rsidP="0004305F">
      <w:pPr>
        <w:pStyle w:val="Heading1"/>
        <w:keepNext w:val="0"/>
      </w:pPr>
      <w:r>
        <w:t>Summary of public c</w:t>
      </w:r>
      <w:r w:rsidR="00A37C79" w:rsidRPr="00F715D1">
        <w:t xml:space="preserve">onsultation </w:t>
      </w:r>
      <w:r>
        <w:t>feedback/c</w:t>
      </w:r>
      <w:r w:rsidR="00A37C79" w:rsidRPr="00F715D1">
        <w:t>onsumer Issues</w:t>
      </w:r>
    </w:p>
    <w:p w14:paraId="0DEACC59" w14:textId="77777777" w:rsidR="00A22937" w:rsidRPr="00E515CB" w:rsidRDefault="00A22937" w:rsidP="00A22937">
      <w:pPr>
        <w:tabs>
          <w:tab w:val="left" w:pos="720"/>
          <w:tab w:val="left" w:pos="1140"/>
        </w:tabs>
        <w:rPr>
          <w:szCs w:val="24"/>
        </w:rPr>
      </w:pPr>
      <w:r w:rsidRPr="00E515CB">
        <w:rPr>
          <w:szCs w:val="24"/>
        </w:rPr>
        <w:t>Three organisations and one specialist provided positive feedback i</w:t>
      </w:r>
      <w:r w:rsidR="0004305F">
        <w:rPr>
          <w:szCs w:val="24"/>
        </w:rPr>
        <w:t>n support of this application.</w:t>
      </w:r>
    </w:p>
    <w:p w14:paraId="03AE1D6B" w14:textId="77777777" w:rsidR="00A22937" w:rsidRDefault="00A37C79" w:rsidP="00A22937">
      <w:pPr>
        <w:pStyle w:val="Heading1"/>
      </w:pPr>
      <w:r w:rsidRPr="00F715D1">
        <w:lastRenderedPageBreak/>
        <w:t>Proposed intervention’s place in clinical management</w:t>
      </w:r>
    </w:p>
    <w:p w14:paraId="4D1CBBA5" w14:textId="5C7B7975" w:rsidR="007C01DA" w:rsidRDefault="007C01DA" w:rsidP="00CD47CF">
      <w:pPr>
        <w:spacing w:after="240"/>
      </w:pPr>
      <w:r>
        <w:t xml:space="preserve">The proposed test is an </w:t>
      </w:r>
      <w:r w:rsidRPr="00FA0DB6">
        <w:rPr>
          <w:i/>
        </w:rPr>
        <w:t>ex vivo</w:t>
      </w:r>
      <w:r>
        <w:t xml:space="preserve"> quantitation of apoB in serum or plasma (from blood).</w:t>
      </w:r>
    </w:p>
    <w:p w14:paraId="55B93C5E" w14:textId="4438C1D5" w:rsidR="0004305F" w:rsidRDefault="00A22937" w:rsidP="00A22937">
      <w:r w:rsidRPr="009D4557">
        <w:t>The clinical management algorithm pr</w:t>
      </w:r>
      <w:r>
        <w:t xml:space="preserve">oposed </w:t>
      </w:r>
      <w:r w:rsidRPr="009D4557">
        <w:t xml:space="preserve">in both the CA and the PICO Confirmation is presented in </w:t>
      </w:r>
      <w:r>
        <w:t xml:space="preserve">Figure 1. ApoB testing will occur in addition to routine lipid profiling including </w:t>
      </w:r>
      <w:r w:rsidRPr="0065053D">
        <w:t>non-</w:t>
      </w:r>
      <w:r>
        <w:t>h</w:t>
      </w:r>
      <w:r w:rsidRPr="0026293E">
        <w:t>igh-density lipoprotein cholesterol</w:t>
      </w:r>
      <w:r w:rsidRPr="0065053D">
        <w:t xml:space="preserve"> (non-HDL-C)</w:t>
      </w:r>
      <w:r>
        <w:t>.</w:t>
      </w:r>
    </w:p>
    <w:p w14:paraId="3E4DB41F" w14:textId="77777777" w:rsidR="00A22937" w:rsidRDefault="00A22937" w:rsidP="00A22937">
      <w:pPr>
        <w:sectPr w:rsidR="00A22937" w:rsidSect="00E60639">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09" w:footer="709" w:gutter="0"/>
          <w:cols w:space="720"/>
          <w:docGrid w:linePitch="326"/>
        </w:sectPr>
      </w:pPr>
    </w:p>
    <w:p w14:paraId="1C888100" w14:textId="7D1B209C" w:rsidR="00A22937" w:rsidRPr="00E26BB9" w:rsidRDefault="00A22937" w:rsidP="00E26BB9">
      <w:pPr>
        <w:rPr>
          <w:rFonts w:ascii="Arial Narrow" w:hAnsi="Arial Narrow"/>
          <w:b/>
          <w:sz w:val="20"/>
        </w:rPr>
      </w:pPr>
      <w:bookmarkStart w:id="6" w:name="_Ref4680878"/>
      <w:bookmarkStart w:id="7" w:name="_Toc10558746"/>
      <w:r w:rsidRPr="00E26BB9">
        <w:rPr>
          <w:rFonts w:ascii="Arial Narrow" w:hAnsi="Arial Narrow"/>
          <w:b/>
          <w:sz w:val="20"/>
        </w:rPr>
        <w:lastRenderedPageBreak/>
        <w:t xml:space="preserve">Figure </w:t>
      </w:r>
      <w:r w:rsidRPr="00E26BB9">
        <w:rPr>
          <w:rFonts w:ascii="Arial Narrow" w:hAnsi="Arial Narrow"/>
          <w:b/>
          <w:sz w:val="20"/>
        </w:rPr>
        <w:fldChar w:fldCharType="begin"/>
      </w:r>
      <w:r w:rsidRPr="00E26BB9">
        <w:rPr>
          <w:rFonts w:ascii="Arial Narrow" w:hAnsi="Arial Narrow"/>
          <w:b/>
          <w:sz w:val="20"/>
        </w:rPr>
        <w:instrText xml:space="preserve"> SEQ Figure \* ARABIC </w:instrText>
      </w:r>
      <w:r w:rsidRPr="00E26BB9">
        <w:rPr>
          <w:rFonts w:ascii="Arial Narrow" w:hAnsi="Arial Narrow"/>
          <w:b/>
          <w:sz w:val="20"/>
        </w:rPr>
        <w:fldChar w:fldCharType="separate"/>
      </w:r>
      <w:r w:rsidRPr="00E26BB9">
        <w:rPr>
          <w:rFonts w:ascii="Arial Narrow" w:hAnsi="Arial Narrow"/>
          <w:b/>
          <w:sz w:val="20"/>
        </w:rPr>
        <w:t>1</w:t>
      </w:r>
      <w:r w:rsidRPr="00E26BB9">
        <w:rPr>
          <w:rFonts w:ascii="Arial Narrow" w:hAnsi="Arial Narrow"/>
          <w:b/>
          <w:sz w:val="20"/>
        </w:rPr>
        <w:fldChar w:fldCharType="end"/>
      </w:r>
      <w:bookmarkEnd w:id="6"/>
      <w:r w:rsidRPr="00E26BB9">
        <w:rPr>
          <w:rFonts w:ascii="Arial Narrow" w:hAnsi="Arial Narrow"/>
          <w:b/>
          <w:sz w:val="20"/>
        </w:rPr>
        <w:tab/>
        <w:t>Current and proposed clinical management algorithms.</w:t>
      </w:r>
      <w:bookmarkEnd w:id="7"/>
    </w:p>
    <w:p w14:paraId="3BC9AA40" w14:textId="77777777" w:rsidR="00A22937" w:rsidRPr="0065053D" w:rsidRDefault="00A22937" w:rsidP="00A22937">
      <w:pPr>
        <w:jc w:val="center"/>
      </w:pPr>
      <w:r w:rsidRPr="0065053D">
        <w:rPr>
          <w:noProof/>
        </w:rPr>
        <w:drawing>
          <wp:inline distT="0" distB="0" distL="0" distR="0" wp14:anchorId="09ED0D31" wp14:editId="661FBBE2">
            <wp:extent cx="8887691" cy="3860735"/>
            <wp:effectExtent l="0" t="0" r="0" b="6985"/>
            <wp:docPr id="1" name="Picture 1" descr="This a picture of the clinical algorithm for clinical use of apoB testing."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43492" cy="3884975"/>
                    </a:xfrm>
                    <a:prstGeom prst="rect">
                      <a:avLst/>
                    </a:prstGeom>
                    <a:noFill/>
                  </pic:spPr>
                </pic:pic>
              </a:graphicData>
            </a:graphic>
          </wp:inline>
        </w:drawing>
      </w:r>
    </w:p>
    <w:p w14:paraId="42953D81" w14:textId="77777777" w:rsidR="00A22937" w:rsidRDefault="00A22937" w:rsidP="00A22937">
      <w:pPr>
        <w:pStyle w:val="Tablenotes1"/>
        <w:sectPr w:rsidR="00A22937" w:rsidSect="00FA0DB6">
          <w:pgSz w:w="16834" w:h="11909" w:orient="landscape" w:code="9"/>
          <w:pgMar w:top="1440" w:right="1440" w:bottom="1440" w:left="1440" w:header="709" w:footer="709" w:gutter="0"/>
          <w:cols w:space="720"/>
          <w:docGrid w:linePitch="326"/>
        </w:sectPr>
      </w:pPr>
      <w:r w:rsidRPr="0065053D">
        <w:t>*This includes testing for triglycerides, total cholesterol, HDL-C</w:t>
      </w:r>
      <w:r>
        <w:t>, and non-HDL-C via calculation</w:t>
      </w:r>
    </w:p>
    <w:p w14:paraId="7265590C" w14:textId="77777777" w:rsidR="00A37C79" w:rsidRPr="00F715D1" w:rsidRDefault="00A37C79" w:rsidP="00A22937">
      <w:pPr>
        <w:pStyle w:val="Heading1"/>
      </w:pPr>
      <w:r w:rsidRPr="00F715D1">
        <w:lastRenderedPageBreak/>
        <w:t xml:space="preserve">Comparator </w:t>
      </w:r>
    </w:p>
    <w:p w14:paraId="2D65BF3C" w14:textId="328B75F3" w:rsidR="00A22937" w:rsidRDefault="00A22937" w:rsidP="00CD47CF">
      <w:pPr>
        <w:spacing w:after="240"/>
      </w:pPr>
      <w:r w:rsidRPr="0065053D">
        <w:t xml:space="preserve">The </w:t>
      </w:r>
      <w:r>
        <w:t xml:space="preserve">CA stated that the </w:t>
      </w:r>
      <w:r w:rsidRPr="0065053D">
        <w:t>comparator for apoB testing is non-HDL-C testing, i.e. calculation of non-HDL-C serum concentrations by subtracting HDL-C from total cholesterol. Non-HDL-C concentrations are used as a measure of risk for development of cardiovascular disease, in addition to other lipid profile indicators.</w:t>
      </w:r>
      <w:r>
        <w:t xml:space="preserve"> The Critique stated it would be more accurate to say that the main comparator is standard care, consisting of no further lipid evaluation as apoB testing is performed in addition to routine lipid profile evaluation (</w:t>
      </w:r>
      <w:r w:rsidRPr="00EE712F">
        <w:t>including LDL-C, non-HDL-C and total cholesterol</w:t>
      </w:r>
      <w:r w:rsidR="0004305F">
        <w:t>).</w:t>
      </w:r>
    </w:p>
    <w:p w14:paraId="336635C4" w14:textId="77777777" w:rsidR="00A22937" w:rsidRPr="0065053D" w:rsidRDefault="00A22937" w:rsidP="00A22937">
      <w:r>
        <w:t xml:space="preserve">The relevant MBS item numbers were considered in the CA to be </w:t>
      </w:r>
      <w:r w:rsidRPr="00292C81">
        <w:t>66536 and 66503</w:t>
      </w:r>
      <w:r>
        <w:t>. MBS item 66500 was considered to not be relevant, as it only applies to a single test for one of 29 available blood markers</w:t>
      </w:r>
      <w:r w:rsidRPr="00292C81">
        <w:t>.</w:t>
      </w:r>
    </w:p>
    <w:p w14:paraId="7329794A" w14:textId="77777777" w:rsidR="00A37C79" w:rsidRPr="00F715D1" w:rsidRDefault="00A37C79" w:rsidP="00A37C79">
      <w:pPr>
        <w:pStyle w:val="Heading1"/>
      </w:pPr>
      <w:r w:rsidRPr="00F715D1">
        <w:t>Comparative safety</w:t>
      </w:r>
    </w:p>
    <w:p w14:paraId="56F45B9A" w14:textId="18114C1A" w:rsidR="00A22937" w:rsidRDefault="00A22937" w:rsidP="00CD47CF">
      <w:pPr>
        <w:spacing w:after="240"/>
      </w:pPr>
      <w:r>
        <w:t>T</w:t>
      </w:r>
      <w:r w:rsidRPr="0065053D">
        <w:t>hree studies</w:t>
      </w:r>
      <w:r>
        <w:t xml:space="preserve"> were</w:t>
      </w:r>
      <w:r w:rsidRPr="0065053D">
        <w:t xml:space="preserve"> identified from the systematic literature search. All three studies met the search criteria </w:t>
      </w:r>
      <w:r>
        <w:t>for apoB testing of Population 1</w:t>
      </w:r>
      <w:r w:rsidRPr="0065053D">
        <w:t xml:space="preserve">. No studies </w:t>
      </w:r>
      <w:r>
        <w:t>were identified for Population 2</w:t>
      </w:r>
      <w:r w:rsidRPr="0065053D">
        <w:t>.</w:t>
      </w:r>
    </w:p>
    <w:p w14:paraId="776B13C9" w14:textId="77777777" w:rsidR="00A22937" w:rsidRPr="0065053D" w:rsidRDefault="00A22937" w:rsidP="00A22937">
      <w:pPr>
        <w:pStyle w:val="Heading2"/>
      </w:pPr>
      <w:r w:rsidRPr="0065053D">
        <w:t>Test adverse events</w:t>
      </w:r>
    </w:p>
    <w:p w14:paraId="5ADD6833" w14:textId="4EA33644" w:rsidR="00A22937" w:rsidRPr="0065053D" w:rsidRDefault="00A22937" w:rsidP="00CD47CF">
      <w:pPr>
        <w:spacing w:after="240"/>
      </w:pPr>
      <w:r w:rsidRPr="0065053D">
        <w:t xml:space="preserve">ApoB testing is proposed for blood specimens already collected from </w:t>
      </w:r>
      <w:proofErr w:type="spellStart"/>
      <w:r w:rsidRPr="0065053D">
        <w:t>dyslipidaemic</w:t>
      </w:r>
      <w:proofErr w:type="spellEnd"/>
      <w:r w:rsidRPr="0065053D">
        <w:t xml:space="preserve"> patients. No additional venepuncture nor changes to blood collection protocols are required for the purpose of the proposed index test. Potential harms associated with apoB testing are therefore non-inferior to current lipid pathology practice. This applies to both proposed target Populations 1 and 2.</w:t>
      </w:r>
    </w:p>
    <w:p w14:paraId="7AF341A5" w14:textId="77777777" w:rsidR="00A22937" w:rsidRPr="0065053D" w:rsidRDefault="00A22937" w:rsidP="00A22937">
      <w:pPr>
        <w:pStyle w:val="Heading2"/>
      </w:pPr>
      <w:r w:rsidRPr="0065053D">
        <w:t>Adverse events from change in management</w:t>
      </w:r>
    </w:p>
    <w:p w14:paraId="2C9823A5" w14:textId="258CA523" w:rsidR="00A22937" w:rsidRDefault="00A22937" w:rsidP="00CD47CF">
      <w:pPr>
        <w:spacing w:after="240"/>
      </w:pPr>
      <w:r w:rsidRPr="0065053D">
        <w:t xml:space="preserve">Intermittent apoB testing for patient monitoring purposes is </w:t>
      </w:r>
      <w:r w:rsidR="00303B94">
        <w:t>out of scope of this CA as the a</w:t>
      </w:r>
      <w:r w:rsidRPr="0065053D">
        <w:t xml:space="preserve">pplicant recommended </w:t>
      </w:r>
      <w:proofErr w:type="gramStart"/>
      <w:r w:rsidRPr="0065053D">
        <w:t>a</w:t>
      </w:r>
      <w:proofErr w:type="gramEnd"/>
      <w:r w:rsidRPr="0065053D">
        <w:t xml:space="preserve"> once-in-a-lifetime test frequency. Potential harms associated with apoB testing for target Populations 1 and 2 are assumed to be non-inferior to current lipid pathology </w:t>
      </w:r>
      <w:r w:rsidR="0004305F">
        <w:t>practices, including non-HDL-C.</w:t>
      </w:r>
    </w:p>
    <w:p w14:paraId="639C2E88" w14:textId="77777777" w:rsidR="00A22937" w:rsidRPr="0065053D" w:rsidRDefault="00A22937" w:rsidP="00A22937">
      <w:r>
        <w:t xml:space="preserve">The Critique stated that MSAC may </w:t>
      </w:r>
      <w:r w:rsidRPr="00660A87">
        <w:t>wish to consider if apoB testing could be associated with risks to the patient follo</w:t>
      </w:r>
      <w:r>
        <w:t xml:space="preserve">wing a reallocation of therapy (e.g. </w:t>
      </w:r>
      <w:r w:rsidRPr="00660A87">
        <w:t>treatment inappropriately prescribed or withheld</w:t>
      </w:r>
      <w:r>
        <w:t>)</w:t>
      </w:r>
      <w:r w:rsidR="0004305F">
        <w:t>.</w:t>
      </w:r>
    </w:p>
    <w:p w14:paraId="79B1FD15" w14:textId="77777777" w:rsidR="00A37C79" w:rsidRPr="00F715D1" w:rsidRDefault="00A37C79" w:rsidP="00A37C79">
      <w:pPr>
        <w:pStyle w:val="Heading1"/>
      </w:pPr>
      <w:r w:rsidRPr="00F715D1">
        <w:t>Comparative effectiveness</w:t>
      </w:r>
    </w:p>
    <w:p w14:paraId="0A1CD511" w14:textId="3780C767" w:rsidR="00817AC5" w:rsidRDefault="00A22937" w:rsidP="00CD47CF">
      <w:r w:rsidRPr="0065053D">
        <w:t>No direct evidence was identified from the systematic literature search.</w:t>
      </w:r>
      <w:r>
        <w:t xml:space="preserve"> Evidence was only provided assessing prognostic value of apoB testing in population 1 (Table 2). </w:t>
      </w:r>
      <w:r w:rsidRPr="0065053D">
        <w:t>No clinical evidence was identified for Population 2.</w:t>
      </w:r>
      <w:r w:rsidR="00817AC5">
        <w:br w:type="page"/>
      </w:r>
    </w:p>
    <w:p w14:paraId="0F26A9DF" w14:textId="77777777" w:rsidR="00A22937" w:rsidRPr="00E26BB9" w:rsidRDefault="00A22937" w:rsidP="00E26BB9">
      <w:pPr>
        <w:rPr>
          <w:rFonts w:ascii="Arial Narrow" w:hAnsi="Arial Narrow"/>
          <w:b/>
          <w:sz w:val="20"/>
        </w:rPr>
      </w:pPr>
      <w:bookmarkStart w:id="8" w:name="_Ref9590679"/>
      <w:bookmarkStart w:id="9" w:name="_Toc10558718"/>
      <w:r w:rsidRPr="00E26BB9">
        <w:rPr>
          <w:rFonts w:ascii="Arial Narrow" w:hAnsi="Arial Narrow"/>
          <w:b/>
          <w:sz w:val="20"/>
        </w:rPr>
        <w:lastRenderedPageBreak/>
        <w:t xml:space="preserve">Table </w:t>
      </w:r>
      <w:bookmarkEnd w:id="8"/>
      <w:r w:rsidRPr="00E26BB9">
        <w:rPr>
          <w:rFonts w:ascii="Arial Narrow" w:hAnsi="Arial Narrow"/>
          <w:b/>
          <w:sz w:val="20"/>
        </w:rPr>
        <w:t>2</w:t>
      </w:r>
      <w:r w:rsidRPr="00E26BB9">
        <w:rPr>
          <w:rFonts w:ascii="Arial Narrow" w:hAnsi="Arial Narrow"/>
          <w:b/>
          <w:sz w:val="20"/>
        </w:rPr>
        <w:tab/>
        <w:t xml:space="preserve">Summary of findings for the linked evidence comparison of apoB testing, relative to non-HDL-C testing, in </w:t>
      </w:r>
      <w:proofErr w:type="spellStart"/>
      <w:r w:rsidRPr="00E26BB9">
        <w:rPr>
          <w:rFonts w:ascii="Arial Narrow" w:hAnsi="Arial Narrow"/>
          <w:b/>
          <w:sz w:val="20"/>
        </w:rPr>
        <w:t>dyslipidaemic</w:t>
      </w:r>
      <w:proofErr w:type="spellEnd"/>
      <w:r w:rsidRPr="00E26BB9">
        <w:rPr>
          <w:rFonts w:ascii="Arial Narrow" w:hAnsi="Arial Narrow"/>
          <w:b/>
          <w:sz w:val="20"/>
        </w:rPr>
        <w:t xml:space="preserve"> patients with assumed pre-test CVD probability (prevalence) of 16-74% in Population 1</w:t>
      </w:r>
      <w:bookmarkEnd w:id="9"/>
    </w:p>
    <w:tbl>
      <w:tblPr>
        <w:tblStyle w:val="TableGrid"/>
        <w:tblW w:w="5000" w:type="pct"/>
        <w:tblLayout w:type="fixed"/>
        <w:tblCellMar>
          <w:left w:w="57" w:type="dxa"/>
          <w:right w:w="57" w:type="dxa"/>
        </w:tblCellMar>
        <w:tblLook w:val="04A0" w:firstRow="1" w:lastRow="0" w:firstColumn="1" w:lastColumn="0" w:noHBand="0" w:noVBand="1"/>
        <w:tblDescription w:val="Summary of findings table"/>
      </w:tblPr>
      <w:tblGrid>
        <w:gridCol w:w="1196"/>
        <w:gridCol w:w="1253"/>
        <w:gridCol w:w="993"/>
        <w:gridCol w:w="1538"/>
        <w:gridCol w:w="1533"/>
        <w:gridCol w:w="2503"/>
      </w:tblGrid>
      <w:tr w:rsidR="00A22937" w:rsidRPr="0065053D" w14:paraId="26B6F9A6" w14:textId="77777777" w:rsidTr="00990F81">
        <w:trPr>
          <w:tblHeader/>
        </w:trPr>
        <w:tc>
          <w:tcPr>
            <w:tcW w:w="1196" w:type="dxa"/>
          </w:tcPr>
          <w:p w14:paraId="594F886E" w14:textId="77777777" w:rsidR="00A22937" w:rsidRPr="0065053D" w:rsidRDefault="00A22937" w:rsidP="00990F81">
            <w:pPr>
              <w:pStyle w:val="TableHeading"/>
              <w:ind w:left="0"/>
            </w:pPr>
            <w:r w:rsidRPr="0065053D">
              <w:t>Outcomes</w:t>
            </w:r>
          </w:p>
        </w:tc>
        <w:tc>
          <w:tcPr>
            <w:tcW w:w="1253" w:type="dxa"/>
          </w:tcPr>
          <w:p w14:paraId="5B31DB8C" w14:textId="77777777" w:rsidR="00A22937" w:rsidRPr="0065053D" w:rsidRDefault="00A22937" w:rsidP="00990F81">
            <w:pPr>
              <w:pStyle w:val="TableHeading"/>
              <w:ind w:left="0" w:firstLine="0"/>
            </w:pPr>
            <w:r w:rsidRPr="0065053D">
              <w:t xml:space="preserve">Participants </w:t>
            </w:r>
          </w:p>
        </w:tc>
        <w:tc>
          <w:tcPr>
            <w:tcW w:w="993" w:type="dxa"/>
          </w:tcPr>
          <w:p w14:paraId="22C05FCE" w14:textId="77777777" w:rsidR="00A22937" w:rsidRPr="0065053D" w:rsidRDefault="00A22937" w:rsidP="00990F81">
            <w:pPr>
              <w:pStyle w:val="TableHeading"/>
              <w:ind w:left="0" w:firstLine="0"/>
            </w:pPr>
            <w:r w:rsidRPr="0065053D">
              <w:t>Quality of evidence</w:t>
            </w:r>
            <w:r w:rsidRPr="0065053D">
              <w:rPr>
                <w:vertAlign w:val="superscript"/>
              </w:rPr>
              <w:t>a</w:t>
            </w:r>
          </w:p>
        </w:tc>
        <w:tc>
          <w:tcPr>
            <w:tcW w:w="1538" w:type="dxa"/>
          </w:tcPr>
          <w:p w14:paraId="4928226D" w14:textId="77777777" w:rsidR="00A22937" w:rsidRPr="0065053D" w:rsidRDefault="00A22937" w:rsidP="00990F81">
            <w:pPr>
              <w:pStyle w:val="TableHeading"/>
              <w:ind w:left="0" w:firstLine="0"/>
            </w:pPr>
            <w:r w:rsidRPr="0065053D">
              <w:t>Findings for index test</w:t>
            </w:r>
          </w:p>
        </w:tc>
        <w:tc>
          <w:tcPr>
            <w:tcW w:w="1533" w:type="dxa"/>
          </w:tcPr>
          <w:p w14:paraId="23BD791B" w14:textId="77777777" w:rsidR="00A22937" w:rsidRPr="0065053D" w:rsidRDefault="00A22937" w:rsidP="00990F81">
            <w:pPr>
              <w:pStyle w:val="TableHeading"/>
              <w:ind w:left="0" w:firstLine="0"/>
            </w:pPr>
            <w:r w:rsidRPr="0065053D">
              <w:t>Findings for comparator</w:t>
            </w:r>
          </w:p>
        </w:tc>
        <w:tc>
          <w:tcPr>
            <w:tcW w:w="2503" w:type="dxa"/>
          </w:tcPr>
          <w:p w14:paraId="36DBBB8E" w14:textId="77777777" w:rsidR="00A22937" w:rsidRPr="0065053D" w:rsidRDefault="00A22937" w:rsidP="00990F81">
            <w:pPr>
              <w:pStyle w:val="TableHeading"/>
              <w:ind w:left="0" w:firstLine="0"/>
            </w:pPr>
            <w:r w:rsidRPr="0065053D">
              <w:t>Importance</w:t>
            </w:r>
          </w:p>
        </w:tc>
      </w:tr>
      <w:tr w:rsidR="00A22937" w:rsidRPr="0065053D" w14:paraId="57CD7816" w14:textId="77777777" w:rsidTr="00990F81">
        <w:tc>
          <w:tcPr>
            <w:tcW w:w="1196" w:type="dxa"/>
            <w:vAlign w:val="center"/>
          </w:tcPr>
          <w:p w14:paraId="54941E95" w14:textId="77777777" w:rsidR="00A22937" w:rsidRPr="0065053D" w:rsidRDefault="00A22937" w:rsidP="00990F81">
            <w:pPr>
              <w:pStyle w:val="Tabletext0"/>
            </w:pPr>
            <w:bookmarkStart w:id="10" w:name="_Hlk9592169"/>
            <w:r w:rsidRPr="0065053D">
              <w:t>Accuracy</w:t>
            </w:r>
          </w:p>
        </w:tc>
        <w:tc>
          <w:tcPr>
            <w:tcW w:w="7820" w:type="dxa"/>
            <w:gridSpan w:val="5"/>
            <w:vAlign w:val="center"/>
          </w:tcPr>
          <w:p w14:paraId="51662CB2" w14:textId="77777777" w:rsidR="00A22937" w:rsidRPr="0065053D" w:rsidRDefault="00A22937" w:rsidP="00990F81">
            <w:pPr>
              <w:pStyle w:val="Tabletext0"/>
              <w:jc w:val="center"/>
            </w:pPr>
            <w:r w:rsidRPr="0065053D">
              <w:t>No evidence identified</w:t>
            </w:r>
          </w:p>
        </w:tc>
      </w:tr>
      <w:bookmarkEnd w:id="10"/>
      <w:tr w:rsidR="00A22937" w:rsidRPr="0065053D" w14:paraId="19AE56DA" w14:textId="77777777" w:rsidTr="00990F81">
        <w:trPr>
          <w:trHeight w:val="1357"/>
        </w:trPr>
        <w:tc>
          <w:tcPr>
            <w:tcW w:w="1196" w:type="dxa"/>
            <w:vAlign w:val="center"/>
          </w:tcPr>
          <w:p w14:paraId="0084D284" w14:textId="77777777" w:rsidR="00A22937" w:rsidRPr="0065053D" w:rsidRDefault="00A22937" w:rsidP="00990F81">
            <w:pPr>
              <w:pStyle w:val="Tabletext0"/>
            </w:pPr>
            <w:r w:rsidRPr="0065053D">
              <w:t>Prognostic value</w:t>
            </w:r>
          </w:p>
        </w:tc>
        <w:tc>
          <w:tcPr>
            <w:tcW w:w="1253" w:type="dxa"/>
            <w:vAlign w:val="center"/>
          </w:tcPr>
          <w:p w14:paraId="028CC25C" w14:textId="77777777" w:rsidR="00A22937" w:rsidRPr="0065053D" w:rsidRDefault="00A22937" w:rsidP="00990F81">
            <w:pPr>
              <w:pStyle w:val="Tabletext0"/>
              <w:spacing w:before="0" w:after="0"/>
            </w:pPr>
            <w:r w:rsidRPr="0065053D">
              <w:t>Patients receiving lipid-lowering drugs;</w:t>
            </w:r>
          </w:p>
          <w:p w14:paraId="6D0903EF" w14:textId="77777777" w:rsidR="00A22937" w:rsidRPr="0065053D" w:rsidRDefault="00A22937" w:rsidP="00990F81">
            <w:pPr>
              <w:pStyle w:val="Tabletext0"/>
              <w:spacing w:before="0" w:after="0"/>
            </w:pPr>
            <w:r w:rsidRPr="0065053D">
              <w:t>N = 8,647</w:t>
            </w:r>
          </w:p>
        </w:tc>
        <w:tc>
          <w:tcPr>
            <w:tcW w:w="993" w:type="dxa"/>
            <w:vAlign w:val="center"/>
          </w:tcPr>
          <w:p w14:paraId="0DE8DC3A" w14:textId="77777777" w:rsidR="00A22937" w:rsidRPr="0065053D" w:rsidRDefault="00A22937" w:rsidP="00990F81">
            <w:pPr>
              <w:pStyle w:val="Tabletext0"/>
            </w:pPr>
            <w:r w:rsidRPr="0065053D">
              <w:rPr>
                <w:rFonts w:ascii="Cambria Math" w:hAnsi="Cambria Math"/>
                <w:color w:val="00B050"/>
              </w:rPr>
              <w:t>⨁</w:t>
            </w:r>
            <w:r w:rsidRPr="0065053D">
              <w:rPr>
                <w:rFonts w:ascii="Cambria Math" w:hAnsi="Cambria Math" w:cs="Cambria Math"/>
                <w:color w:val="C00000"/>
              </w:rPr>
              <w:t>⨀⨀⨀</w:t>
            </w:r>
          </w:p>
        </w:tc>
        <w:tc>
          <w:tcPr>
            <w:tcW w:w="1538" w:type="dxa"/>
            <w:vAlign w:val="center"/>
          </w:tcPr>
          <w:p w14:paraId="395553B2" w14:textId="77777777" w:rsidR="00A22937" w:rsidRPr="0065053D" w:rsidRDefault="00A22937" w:rsidP="00990F81">
            <w:pPr>
              <w:pStyle w:val="Tabletext0"/>
            </w:pPr>
            <w:r w:rsidRPr="0065053D">
              <w:t>Having apoB concentrations between 82.3 to 83.5 mg/</w:t>
            </w:r>
            <w:proofErr w:type="spellStart"/>
            <w:r w:rsidRPr="0065053D">
              <w:t>dL</w:t>
            </w:r>
            <w:proofErr w:type="spellEnd"/>
            <w:r w:rsidRPr="0065053D">
              <w:t xml:space="preserve"> poses a high risk (17.2 - 22% likelihood) of CVD outcomes within 5 years</w:t>
            </w:r>
          </w:p>
        </w:tc>
        <w:tc>
          <w:tcPr>
            <w:tcW w:w="1533" w:type="dxa"/>
            <w:vAlign w:val="center"/>
          </w:tcPr>
          <w:p w14:paraId="1978971A" w14:textId="77777777" w:rsidR="00A22937" w:rsidRPr="0065053D" w:rsidRDefault="00A22937" w:rsidP="00990F81">
            <w:pPr>
              <w:pStyle w:val="Tabletext0"/>
            </w:pPr>
            <w:r w:rsidRPr="0065053D">
              <w:t>Having non</w:t>
            </w:r>
            <w:r w:rsidRPr="0065053D">
              <w:noBreakHyphen/>
              <w:t>HDL</w:t>
            </w:r>
            <w:r w:rsidRPr="0065053D">
              <w:noBreakHyphen/>
              <w:t>C concentrations between 118.2 to 119.6 mg/</w:t>
            </w:r>
            <w:proofErr w:type="spellStart"/>
            <w:r w:rsidRPr="0065053D">
              <w:t>dL</w:t>
            </w:r>
            <w:proofErr w:type="spellEnd"/>
            <w:r w:rsidRPr="0065053D">
              <w:t xml:space="preserve"> poses a high risk (17.2 - 22% likelihood) of CVD outcomes within 5 years</w:t>
            </w:r>
            <w:r w:rsidRPr="0065053D" w:rsidDel="001B3285">
              <w:t xml:space="preserve"> </w:t>
            </w:r>
          </w:p>
        </w:tc>
        <w:tc>
          <w:tcPr>
            <w:tcW w:w="2503" w:type="dxa"/>
            <w:vAlign w:val="center"/>
          </w:tcPr>
          <w:p w14:paraId="42498634" w14:textId="77777777" w:rsidR="00A22937" w:rsidRPr="0065053D" w:rsidRDefault="00A22937" w:rsidP="00990F81">
            <w:pPr>
              <w:pStyle w:val="Tabletext0"/>
            </w:pPr>
            <w:r w:rsidRPr="0065053D">
              <w:t>Prognostic value of apoB is identical to non</w:t>
            </w:r>
            <w:r w:rsidRPr="0065053D">
              <w:noBreakHyphen/>
              <w:t>HDL</w:t>
            </w:r>
            <w:r w:rsidRPr="0065053D">
              <w:noBreakHyphen/>
              <w:t>C. Poor quality data and lack of evidence linkages point to critical uncertainties with the clinical validity of apoB testing when compared against non-HDL-C testing.</w:t>
            </w:r>
          </w:p>
        </w:tc>
      </w:tr>
      <w:tr w:rsidR="00A22937" w:rsidRPr="0065053D" w14:paraId="30BD2C68" w14:textId="77777777" w:rsidTr="00990F81">
        <w:tc>
          <w:tcPr>
            <w:tcW w:w="1196" w:type="dxa"/>
            <w:vAlign w:val="center"/>
          </w:tcPr>
          <w:p w14:paraId="5046BA7E" w14:textId="77777777" w:rsidR="00A22937" w:rsidRPr="0065053D" w:rsidRDefault="00A22937" w:rsidP="00990F81">
            <w:pPr>
              <w:pStyle w:val="Tabletext0"/>
            </w:pPr>
            <w:r w:rsidRPr="0065053D">
              <w:t>Impact on clinical management</w:t>
            </w:r>
          </w:p>
        </w:tc>
        <w:tc>
          <w:tcPr>
            <w:tcW w:w="7820" w:type="dxa"/>
            <w:gridSpan w:val="5"/>
            <w:vAlign w:val="center"/>
          </w:tcPr>
          <w:p w14:paraId="446D50AF" w14:textId="77777777" w:rsidR="00A22937" w:rsidRPr="0065053D" w:rsidRDefault="00A22937" w:rsidP="00990F81">
            <w:pPr>
              <w:pStyle w:val="Tabletext0"/>
              <w:jc w:val="center"/>
            </w:pPr>
            <w:r w:rsidRPr="0065053D">
              <w:t>No evidence identified</w:t>
            </w:r>
          </w:p>
        </w:tc>
      </w:tr>
    </w:tbl>
    <w:p w14:paraId="6C923FFA" w14:textId="0E79E17C" w:rsidR="00A22937" w:rsidRPr="0065053D" w:rsidRDefault="00A22937" w:rsidP="00CD47CF">
      <w:pPr>
        <w:pStyle w:val="Tablenotes"/>
        <w:spacing w:after="240"/>
      </w:pPr>
      <w:proofErr w:type="gramStart"/>
      <w:r w:rsidRPr="0065053D">
        <w:rPr>
          <w:vertAlign w:val="superscript"/>
        </w:rPr>
        <w:t>a</w:t>
      </w:r>
      <w:proofErr w:type="gramEnd"/>
      <w:r w:rsidRPr="0065053D">
        <w:rPr>
          <w:vertAlign w:val="superscript"/>
        </w:rPr>
        <w:t xml:space="preserve"> </w:t>
      </w:r>
      <w:r w:rsidRPr="0065053D">
        <w:t>GRADE Working Group grades of evidence (</w:t>
      </w:r>
      <w:proofErr w:type="spellStart"/>
      <w:r w:rsidRPr="0065053D">
        <w:t>Guyatt</w:t>
      </w:r>
      <w:proofErr w:type="spellEnd"/>
      <w:r w:rsidRPr="0065053D">
        <w:t xml:space="preserve"> et al., 2013)</w:t>
      </w:r>
      <w:r w:rsidRPr="0065053D">
        <w:br/>
      </w:r>
      <w:r w:rsidRPr="0065053D">
        <w:rPr>
          <w:rFonts w:ascii="Cambria Math" w:hAnsi="Cambria Math"/>
          <w:color w:val="00B050"/>
        </w:rPr>
        <w:t xml:space="preserve">⨁⨁⨁⨁ </w:t>
      </w:r>
      <w:r w:rsidRPr="0065053D">
        <w:rPr>
          <w:b/>
          <w:bCs/>
        </w:rPr>
        <w:t>High quality:</w:t>
      </w:r>
      <w:r w:rsidRPr="0065053D">
        <w:t xml:space="preserve"> We are very confident that the true effect lies close to that of the estimate of effect. </w:t>
      </w:r>
      <w:r w:rsidRPr="0065053D">
        <w:br/>
      </w:r>
      <w:r w:rsidRPr="0065053D">
        <w:rPr>
          <w:rFonts w:ascii="Cambria Math" w:hAnsi="Cambria Math"/>
          <w:color w:val="00B050"/>
        </w:rPr>
        <w:t>⨁⨁⨁</w:t>
      </w:r>
      <w:r w:rsidRPr="0065053D">
        <w:rPr>
          <w:rFonts w:ascii="Cambria Math" w:hAnsi="Cambria Math" w:cs="Cambria Math"/>
          <w:color w:val="C00000"/>
        </w:rPr>
        <w:t xml:space="preserve">⨀ </w:t>
      </w:r>
      <w:r w:rsidRPr="0065053D">
        <w:rPr>
          <w:b/>
          <w:bCs/>
        </w:rPr>
        <w:t>Moderate quality:</w:t>
      </w:r>
      <w:r w:rsidRPr="0065053D">
        <w:t xml:space="preserve"> We are moderately confident in the effect estimate: The true effect is likely to be close to the estimate of the effect, but there is a possibility that it is substantially different. </w:t>
      </w:r>
      <w:r w:rsidRPr="0065053D">
        <w:br/>
      </w:r>
      <w:r w:rsidRPr="0065053D">
        <w:rPr>
          <w:rFonts w:ascii="Cambria Math" w:hAnsi="Cambria Math"/>
          <w:color w:val="00B050"/>
        </w:rPr>
        <w:t>⨁⨁</w:t>
      </w:r>
      <w:r w:rsidRPr="0065053D">
        <w:rPr>
          <w:rFonts w:ascii="Cambria Math" w:hAnsi="Cambria Math" w:cs="Cambria Math"/>
          <w:color w:val="C00000"/>
        </w:rPr>
        <w:t xml:space="preserve">⨀⨀ </w:t>
      </w:r>
      <w:r w:rsidRPr="0065053D">
        <w:rPr>
          <w:b/>
          <w:bCs/>
        </w:rPr>
        <w:t>Low quality:</w:t>
      </w:r>
      <w:r w:rsidRPr="0065053D">
        <w:t xml:space="preserve"> Our confidence in the effect estimate is limited: The true effect may be substantially different from the estimate of the effect.</w:t>
      </w:r>
      <w:r w:rsidRPr="0065053D">
        <w:br/>
      </w:r>
      <w:r w:rsidRPr="0065053D">
        <w:rPr>
          <w:rFonts w:ascii="Cambria Math" w:hAnsi="Cambria Math"/>
          <w:color w:val="00B050"/>
        </w:rPr>
        <w:t>⨁</w:t>
      </w:r>
      <w:r w:rsidRPr="0065053D">
        <w:rPr>
          <w:rFonts w:ascii="Cambria Math" w:hAnsi="Cambria Math" w:cs="Cambria Math"/>
          <w:color w:val="C00000"/>
        </w:rPr>
        <w:t xml:space="preserve">⨀⨀⨀ </w:t>
      </w:r>
      <w:r w:rsidRPr="0065053D">
        <w:rPr>
          <w:b/>
          <w:bCs/>
        </w:rPr>
        <w:t>Very low quality:</w:t>
      </w:r>
      <w:r w:rsidRPr="0065053D">
        <w:t xml:space="preserve"> We have very little confidence in the effect estimate: The true effect is likely to be substantially different from the estimate of effect.</w:t>
      </w:r>
    </w:p>
    <w:p w14:paraId="41AD5501" w14:textId="77777777" w:rsidR="00A37C79" w:rsidRDefault="00817AC5" w:rsidP="00817AC5">
      <w:pPr>
        <w:tabs>
          <w:tab w:val="left" w:pos="720"/>
          <w:tab w:val="left" w:pos="1140"/>
        </w:tabs>
        <w:spacing w:after="120"/>
        <w:rPr>
          <w:b/>
          <w:szCs w:val="24"/>
        </w:rPr>
      </w:pPr>
      <w:r>
        <w:rPr>
          <w:b/>
          <w:szCs w:val="24"/>
        </w:rPr>
        <w:t>Clinical c</w:t>
      </w:r>
      <w:r w:rsidR="00A37C79" w:rsidRPr="00F37B9C">
        <w:rPr>
          <w:b/>
          <w:szCs w:val="24"/>
        </w:rPr>
        <w:t>laim</w:t>
      </w:r>
    </w:p>
    <w:p w14:paraId="4E72F2E9" w14:textId="36FE7166" w:rsidR="00747C72" w:rsidRDefault="00A22937" w:rsidP="00CD47CF">
      <w:pPr>
        <w:spacing w:after="240"/>
      </w:pPr>
      <w:r w:rsidRPr="0065053D">
        <w:t xml:space="preserve">On the basis of the benefits and harms reported in the evidence base (summarised above), it is suggested that, relative to non-HDL-C testing, the proposed apoB testing service has assumed non-inferior safety and uncertain clinical effectiveness. </w:t>
      </w:r>
      <w:r>
        <w:t xml:space="preserve">However, the Critique stated that this was based on </w:t>
      </w:r>
      <w:r w:rsidRPr="00ED21D0">
        <w:t xml:space="preserve">incomplete review of the clinical literature. </w:t>
      </w:r>
      <w:r>
        <w:t>Specifically, t</w:t>
      </w:r>
      <w:r w:rsidRPr="00ED21D0">
        <w:t>he studies identified in the review were of poor quality, and the statistical methods were not appropriate for the assessment of prognostic accuracy</w:t>
      </w:r>
      <w:r>
        <w:t>.</w:t>
      </w:r>
    </w:p>
    <w:p w14:paraId="2ADDB022" w14:textId="68ACE694" w:rsidR="00A22937" w:rsidRPr="00A22937" w:rsidRDefault="00303B94" w:rsidP="00A22937">
      <w:r>
        <w:t>In the pre-MSAC response, the a</w:t>
      </w:r>
      <w:r w:rsidR="00747C72">
        <w:t>pplicant agreed with the Critique that the clinical claim was based on an incomplete</w:t>
      </w:r>
      <w:r>
        <w:t xml:space="preserve"> review of the literature. The a</w:t>
      </w:r>
      <w:r w:rsidR="00747C72">
        <w:t>pplicant highlighted a UK study by Welsh et al. 2019 (n=502,639) with six years follow-up, which indicated that for a subset of participants who were discordant with respect to apoB and LDL-C (n=63,520), only apoB was significantly assoc</w:t>
      </w:r>
      <w:r w:rsidR="007709D1">
        <w:t>ia</w:t>
      </w:r>
      <w:r w:rsidR="00747C72">
        <w:t>ted with increased CVD risk. Based on these results apoB is more suitable f</w:t>
      </w:r>
      <w:r w:rsidR="00641176">
        <w:t>o</w:t>
      </w:r>
      <w:r w:rsidR="00747C72">
        <w:t xml:space="preserve">r untreated risk assessment, which will probably occur more than once in a person’s lifetime, </w:t>
      </w:r>
      <w:r w:rsidR="00747C72" w:rsidRPr="00747C72">
        <w:t>whilst non-HDL-C measurements may suffice during routine patient management.</w:t>
      </w:r>
      <w:r>
        <w:rPr>
          <w:sz w:val="23"/>
          <w:szCs w:val="23"/>
        </w:rPr>
        <w:t xml:space="preserve"> The a</w:t>
      </w:r>
      <w:r w:rsidR="00747C72">
        <w:rPr>
          <w:sz w:val="23"/>
          <w:szCs w:val="23"/>
        </w:rPr>
        <w:t xml:space="preserve">pplicant stated this addressed the concerns </w:t>
      </w:r>
      <w:r w:rsidR="00747C72" w:rsidRPr="00747C72">
        <w:t>raised by ESC in terms of the financial impact of the item number and the potential for leakage.</w:t>
      </w:r>
    </w:p>
    <w:p w14:paraId="15BAD9E0" w14:textId="77777777" w:rsidR="00A37C79" w:rsidRPr="00F715D1" w:rsidRDefault="00A37C79" w:rsidP="00A37C79">
      <w:pPr>
        <w:pStyle w:val="Heading1"/>
      </w:pPr>
      <w:r w:rsidRPr="00F715D1">
        <w:t>Economic evaluation</w:t>
      </w:r>
    </w:p>
    <w:p w14:paraId="4595687C" w14:textId="38BA2BDB" w:rsidR="00817AC5" w:rsidRDefault="00A22937" w:rsidP="00CD47CF">
      <w:r w:rsidRPr="0065053D">
        <w:t xml:space="preserve">A cost-consequence analysis was conducted despite the issues with the clinical evidence. A summary of the key characteristics of the economic evaluation is given in </w:t>
      </w:r>
      <w:r>
        <w:t>Table 3</w:t>
      </w:r>
      <w:r w:rsidRPr="0065053D">
        <w:t>.</w:t>
      </w:r>
      <w:r w:rsidR="00817AC5">
        <w:br w:type="page"/>
      </w:r>
    </w:p>
    <w:p w14:paraId="0FD6280E" w14:textId="5D1309AA" w:rsidR="00A22937" w:rsidRPr="00E26BB9" w:rsidRDefault="00A22937" w:rsidP="00E26BB9">
      <w:pPr>
        <w:rPr>
          <w:rFonts w:ascii="Arial Narrow" w:hAnsi="Arial Narrow"/>
          <w:b/>
          <w:sz w:val="20"/>
        </w:rPr>
      </w:pPr>
      <w:bookmarkStart w:id="11" w:name="_Ref10456609"/>
      <w:bookmarkStart w:id="12" w:name="_Toc10558733"/>
      <w:r w:rsidRPr="00E26BB9">
        <w:rPr>
          <w:rFonts w:ascii="Arial Narrow" w:hAnsi="Arial Narrow"/>
          <w:b/>
          <w:sz w:val="20"/>
        </w:rPr>
        <w:lastRenderedPageBreak/>
        <w:t xml:space="preserve">Table </w:t>
      </w:r>
      <w:bookmarkEnd w:id="11"/>
      <w:r w:rsidR="001C7AB1">
        <w:rPr>
          <w:rFonts w:ascii="Arial Narrow" w:hAnsi="Arial Narrow"/>
          <w:b/>
          <w:sz w:val="20"/>
        </w:rPr>
        <w:t>3</w:t>
      </w:r>
      <w:r w:rsidRPr="00E26BB9">
        <w:rPr>
          <w:rFonts w:ascii="Arial Narrow" w:hAnsi="Arial Narrow"/>
          <w:b/>
          <w:sz w:val="20"/>
        </w:rPr>
        <w:tab/>
        <w:t>Summary of the economic evaluation</w:t>
      </w:r>
      <w:bookmarkEnd w:id="12"/>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073"/>
        <w:gridCol w:w="5835"/>
      </w:tblGrid>
      <w:tr w:rsidR="00A22937" w:rsidRPr="0065053D" w14:paraId="54509DE3" w14:textId="77777777" w:rsidTr="00E26BB9">
        <w:trPr>
          <w:trHeight w:val="20"/>
          <w:tblHeader/>
        </w:trPr>
        <w:tc>
          <w:tcPr>
            <w:tcW w:w="3073" w:type="dxa"/>
          </w:tcPr>
          <w:p w14:paraId="25CB4DBF" w14:textId="77777777" w:rsidR="00A22937" w:rsidRPr="0065053D" w:rsidRDefault="00A22937" w:rsidP="00990F81">
            <w:pPr>
              <w:pStyle w:val="Tabletext0"/>
              <w:rPr>
                <w:b/>
              </w:rPr>
            </w:pPr>
            <w:r w:rsidRPr="0065053D">
              <w:rPr>
                <w:b/>
              </w:rPr>
              <w:t>Perspective</w:t>
            </w:r>
          </w:p>
        </w:tc>
        <w:tc>
          <w:tcPr>
            <w:tcW w:w="5835" w:type="dxa"/>
          </w:tcPr>
          <w:p w14:paraId="037255C2" w14:textId="77777777" w:rsidR="00A22937" w:rsidRPr="0065053D" w:rsidRDefault="00A22937" w:rsidP="00990F81">
            <w:pPr>
              <w:pStyle w:val="Tabletext0"/>
            </w:pPr>
            <w:r w:rsidRPr="0065053D">
              <w:t>Direct health care costs</w:t>
            </w:r>
          </w:p>
        </w:tc>
      </w:tr>
      <w:tr w:rsidR="00A22937" w:rsidRPr="0065053D" w14:paraId="7A3935D4" w14:textId="77777777" w:rsidTr="00E26BB9">
        <w:trPr>
          <w:trHeight w:val="20"/>
        </w:trPr>
        <w:tc>
          <w:tcPr>
            <w:tcW w:w="3073" w:type="dxa"/>
          </w:tcPr>
          <w:p w14:paraId="33C5DFF6" w14:textId="77777777" w:rsidR="00A22937" w:rsidRPr="0065053D" w:rsidRDefault="00A22937" w:rsidP="00990F81">
            <w:pPr>
              <w:pStyle w:val="Tabletext0"/>
              <w:rPr>
                <w:b/>
              </w:rPr>
            </w:pPr>
            <w:r w:rsidRPr="0065053D">
              <w:rPr>
                <w:b/>
              </w:rPr>
              <w:t>Comparator</w:t>
            </w:r>
          </w:p>
        </w:tc>
        <w:tc>
          <w:tcPr>
            <w:tcW w:w="5835" w:type="dxa"/>
          </w:tcPr>
          <w:p w14:paraId="492DB9AE" w14:textId="77777777" w:rsidR="00A22937" w:rsidRPr="0065053D" w:rsidRDefault="00A22937" w:rsidP="00990F81">
            <w:pPr>
              <w:pStyle w:val="Tabletext0"/>
            </w:pPr>
            <w:r w:rsidRPr="0065053D">
              <w:t>Lipid profile evaluation using non-HDL cholesterol</w:t>
            </w:r>
          </w:p>
        </w:tc>
      </w:tr>
      <w:tr w:rsidR="00A22937" w:rsidRPr="0065053D" w14:paraId="6F548333" w14:textId="77777777" w:rsidTr="00E26BB9">
        <w:trPr>
          <w:trHeight w:val="20"/>
        </w:trPr>
        <w:tc>
          <w:tcPr>
            <w:tcW w:w="3073" w:type="dxa"/>
          </w:tcPr>
          <w:p w14:paraId="7FD2FC40" w14:textId="77777777" w:rsidR="00A22937" w:rsidRPr="0065053D" w:rsidRDefault="00A22937" w:rsidP="00990F81">
            <w:pPr>
              <w:pStyle w:val="Tabletext0"/>
              <w:rPr>
                <w:b/>
              </w:rPr>
            </w:pPr>
            <w:r w:rsidRPr="0065053D">
              <w:rPr>
                <w:b/>
              </w:rPr>
              <w:t>Type of economic evaluation</w:t>
            </w:r>
          </w:p>
        </w:tc>
        <w:tc>
          <w:tcPr>
            <w:tcW w:w="5835" w:type="dxa"/>
          </w:tcPr>
          <w:p w14:paraId="5C24155D" w14:textId="77777777" w:rsidR="00A22937" w:rsidRPr="0065053D" w:rsidRDefault="00A22937" w:rsidP="00990F81">
            <w:pPr>
              <w:pStyle w:val="Tabletext0"/>
            </w:pPr>
            <w:r w:rsidRPr="0065053D">
              <w:t>Cost-consequences</w:t>
            </w:r>
          </w:p>
        </w:tc>
      </w:tr>
      <w:tr w:rsidR="00A22937" w:rsidRPr="0065053D" w14:paraId="11CCD2FA" w14:textId="77777777" w:rsidTr="00E26BB9">
        <w:trPr>
          <w:trHeight w:val="20"/>
        </w:trPr>
        <w:tc>
          <w:tcPr>
            <w:tcW w:w="3073" w:type="dxa"/>
          </w:tcPr>
          <w:p w14:paraId="183A2361" w14:textId="77777777" w:rsidR="00A22937" w:rsidRPr="0065053D" w:rsidRDefault="00A22937" w:rsidP="00990F81">
            <w:pPr>
              <w:pStyle w:val="Tabletext0"/>
              <w:rPr>
                <w:b/>
              </w:rPr>
            </w:pPr>
            <w:r w:rsidRPr="0065053D">
              <w:rPr>
                <w:b/>
              </w:rPr>
              <w:t>Sources of evidence</w:t>
            </w:r>
          </w:p>
        </w:tc>
        <w:tc>
          <w:tcPr>
            <w:tcW w:w="5835" w:type="dxa"/>
          </w:tcPr>
          <w:p w14:paraId="096C10CA" w14:textId="77777777" w:rsidR="00A22937" w:rsidRPr="0065053D" w:rsidRDefault="00A22937" w:rsidP="00990F81">
            <w:pPr>
              <w:pStyle w:val="Tabletext0"/>
            </w:pPr>
            <w:r w:rsidRPr="0065053D">
              <w:t>Systematic review, proposed MBS item descriptor</w:t>
            </w:r>
          </w:p>
        </w:tc>
      </w:tr>
      <w:tr w:rsidR="00A22937" w:rsidRPr="0065053D" w14:paraId="46AB5345" w14:textId="77777777" w:rsidTr="00E26BB9">
        <w:trPr>
          <w:trHeight w:val="20"/>
        </w:trPr>
        <w:tc>
          <w:tcPr>
            <w:tcW w:w="3073" w:type="dxa"/>
            <w:hideMark/>
          </w:tcPr>
          <w:p w14:paraId="79C68022" w14:textId="77777777" w:rsidR="00A22937" w:rsidRPr="0065053D" w:rsidRDefault="00A22937" w:rsidP="00990F81">
            <w:pPr>
              <w:pStyle w:val="Tabletext0"/>
              <w:rPr>
                <w:b/>
              </w:rPr>
            </w:pPr>
            <w:r w:rsidRPr="0065053D">
              <w:rPr>
                <w:b/>
              </w:rPr>
              <w:t>Time horizon</w:t>
            </w:r>
          </w:p>
        </w:tc>
        <w:tc>
          <w:tcPr>
            <w:tcW w:w="5835" w:type="dxa"/>
            <w:hideMark/>
          </w:tcPr>
          <w:p w14:paraId="4F2E84D9" w14:textId="77777777" w:rsidR="00A22937" w:rsidRPr="0065053D" w:rsidRDefault="00A22937" w:rsidP="00990F81">
            <w:pPr>
              <w:pStyle w:val="Tabletext0"/>
              <w:rPr>
                <w:vanish/>
                <w:color w:val="C00000"/>
              </w:rPr>
            </w:pPr>
            <w:r w:rsidRPr="0065053D">
              <w:t>NA, the model duration is only until test results are available (i.e. &lt;1 year)</w:t>
            </w:r>
          </w:p>
        </w:tc>
      </w:tr>
      <w:tr w:rsidR="00A22937" w:rsidRPr="0065053D" w14:paraId="5E42BA95" w14:textId="77777777" w:rsidTr="00E26BB9">
        <w:trPr>
          <w:trHeight w:val="20"/>
        </w:trPr>
        <w:tc>
          <w:tcPr>
            <w:tcW w:w="3073" w:type="dxa"/>
            <w:hideMark/>
          </w:tcPr>
          <w:p w14:paraId="35A6611F" w14:textId="77777777" w:rsidR="00A22937" w:rsidRPr="0065053D" w:rsidRDefault="00A22937" w:rsidP="00990F81">
            <w:pPr>
              <w:pStyle w:val="Tabletext0"/>
              <w:rPr>
                <w:b/>
              </w:rPr>
            </w:pPr>
            <w:r w:rsidRPr="0065053D">
              <w:rPr>
                <w:b/>
              </w:rPr>
              <w:t>Outcomes</w:t>
            </w:r>
          </w:p>
        </w:tc>
        <w:tc>
          <w:tcPr>
            <w:tcW w:w="5835" w:type="dxa"/>
          </w:tcPr>
          <w:p w14:paraId="4AE8C10C" w14:textId="77777777" w:rsidR="00A22937" w:rsidRPr="0065053D" w:rsidRDefault="00A22937" w:rsidP="00990F81">
            <w:pPr>
              <w:pStyle w:val="Tabletext0"/>
            </w:pPr>
            <w:r w:rsidRPr="0065053D">
              <w:t>Number of patients with apoB results</w:t>
            </w:r>
          </w:p>
        </w:tc>
      </w:tr>
      <w:tr w:rsidR="00A22937" w:rsidRPr="0065053D" w14:paraId="21BBDC48" w14:textId="77777777" w:rsidTr="00E26BB9">
        <w:trPr>
          <w:trHeight w:val="20"/>
        </w:trPr>
        <w:tc>
          <w:tcPr>
            <w:tcW w:w="3073" w:type="dxa"/>
            <w:hideMark/>
          </w:tcPr>
          <w:p w14:paraId="40FCBC12" w14:textId="77777777" w:rsidR="00A22937" w:rsidRPr="0065053D" w:rsidRDefault="00A22937" w:rsidP="00990F81">
            <w:pPr>
              <w:pStyle w:val="Tabletext0"/>
              <w:rPr>
                <w:b/>
              </w:rPr>
            </w:pPr>
            <w:r w:rsidRPr="0065053D">
              <w:rPr>
                <w:b/>
              </w:rPr>
              <w:t>Methods used to generate results</w:t>
            </w:r>
          </w:p>
        </w:tc>
        <w:tc>
          <w:tcPr>
            <w:tcW w:w="5835" w:type="dxa"/>
          </w:tcPr>
          <w:p w14:paraId="3AC7E57E" w14:textId="77777777" w:rsidR="00A22937" w:rsidRPr="0065053D" w:rsidRDefault="00A22937" w:rsidP="00990F81">
            <w:pPr>
              <w:pStyle w:val="Tabletext0"/>
            </w:pPr>
            <w:r w:rsidRPr="0065053D">
              <w:t>Decision tree</w:t>
            </w:r>
          </w:p>
        </w:tc>
      </w:tr>
      <w:tr w:rsidR="00A22937" w:rsidRPr="0065053D" w14:paraId="621E3676" w14:textId="77777777" w:rsidTr="00E26BB9">
        <w:trPr>
          <w:trHeight w:val="20"/>
        </w:trPr>
        <w:tc>
          <w:tcPr>
            <w:tcW w:w="3073" w:type="dxa"/>
            <w:hideMark/>
          </w:tcPr>
          <w:p w14:paraId="3EFE70E7" w14:textId="77777777" w:rsidR="00A22937" w:rsidRPr="0065053D" w:rsidRDefault="00A22937" w:rsidP="00990F81">
            <w:pPr>
              <w:pStyle w:val="Tabletext0"/>
              <w:rPr>
                <w:b/>
              </w:rPr>
            </w:pPr>
            <w:r w:rsidRPr="0065053D">
              <w:rPr>
                <w:b/>
              </w:rPr>
              <w:t>Discount rate</w:t>
            </w:r>
          </w:p>
        </w:tc>
        <w:tc>
          <w:tcPr>
            <w:tcW w:w="5835" w:type="dxa"/>
          </w:tcPr>
          <w:p w14:paraId="423E10FB" w14:textId="77777777" w:rsidR="00A22937" w:rsidRPr="0065053D" w:rsidRDefault="00A22937" w:rsidP="00990F81">
            <w:pPr>
              <w:pStyle w:val="Tabletext0"/>
            </w:pPr>
            <w:r w:rsidRPr="0065053D">
              <w:t>None, time horizon is &lt;1 year</w:t>
            </w:r>
          </w:p>
        </w:tc>
      </w:tr>
      <w:tr w:rsidR="00A22937" w:rsidRPr="0065053D" w14:paraId="615211E7" w14:textId="77777777" w:rsidTr="00E26BB9">
        <w:trPr>
          <w:trHeight w:val="20"/>
        </w:trPr>
        <w:tc>
          <w:tcPr>
            <w:tcW w:w="3073" w:type="dxa"/>
            <w:hideMark/>
          </w:tcPr>
          <w:p w14:paraId="3C1C3F6F" w14:textId="77777777" w:rsidR="00A22937" w:rsidRPr="0065053D" w:rsidRDefault="00A22937" w:rsidP="00990F81">
            <w:pPr>
              <w:pStyle w:val="Tabletext0"/>
              <w:rPr>
                <w:b/>
              </w:rPr>
            </w:pPr>
            <w:r w:rsidRPr="0065053D">
              <w:rPr>
                <w:b/>
              </w:rPr>
              <w:t>Software packages used</w:t>
            </w:r>
          </w:p>
        </w:tc>
        <w:tc>
          <w:tcPr>
            <w:tcW w:w="5835" w:type="dxa"/>
          </w:tcPr>
          <w:p w14:paraId="22BA54C0" w14:textId="77777777" w:rsidR="00A22937" w:rsidRPr="0065053D" w:rsidRDefault="00A22937" w:rsidP="00990F81">
            <w:pPr>
              <w:pStyle w:val="Tabletext0"/>
            </w:pPr>
            <w:r w:rsidRPr="0065053D">
              <w:t>Microsoft Excel 2016</w:t>
            </w:r>
          </w:p>
        </w:tc>
      </w:tr>
    </w:tbl>
    <w:p w14:paraId="3B585B3D" w14:textId="4214A5D0" w:rsidR="00A22937" w:rsidRDefault="00A22937" w:rsidP="00CD47CF">
      <w:pPr>
        <w:spacing w:before="240"/>
      </w:pPr>
      <w:r w:rsidRPr="0065053D">
        <w:t xml:space="preserve">This analysis showed that the funding of apoB would result in a cost of $15 per apoB test result. </w:t>
      </w:r>
      <w:r>
        <w:t>The CA stated that t</w:t>
      </w:r>
      <w:r w:rsidRPr="0065053D">
        <w:t>he impact of a known apoB value on risk stratification and subsequent treatment and health-related quality of life is unknown</w:t>
      </w:r>
      <w:r>
        <w:t>. The Critique stated that n</w:t>
      </w:r>
      <w:r w:rsidRPr="00ED21D0">
        <w:t>otwithstanding limitations in the quality of the evidence identified in the CA, a cost-consequence model to determine the cost per additional apoB test performed is not a relevant or useful approach to estimating the value provided by apoB testing.</w:t>
      </w:r>
      <w:bookmarkStart w:id="13" w:name="_Toc10558687"/>
    </w:p>
    <w:bookmarkEnd w:id="13"/>
    <w:p w14:paraId="47B0F5B2" w14:textId="77777777" w:rsidR="00A37C79" w:rsidRPr="00F715D1" w:rsidRDefault="00A37C79" w:rsidP="00A37C79">
      <w:pPr>
        <w:pStyle w:val="Heading1"/>
      </w:pPr>
      <w:r w:rsidRPr="00F715D1">
        <w:t>Financial/budgetary impacts</w:t>
      </w:r>
    </w:p>
    <w:p w14:paraId="11E61DE1" w14:textId="2ACF8419" w:rsidR="00817AC5" w:rsidRDefault="00A22937" w:rsidP="00CD47CF">
      <w:r w:rsidRPr="0065053D">
        <w:t xml:space="preserve">The financial implications to the MBS (inclusive of safety net implications) resulting from the proposed listing of </w:t>
      </w:r>
      <w:r w:rsidR="00E97C59" w:rsidRPr="0065053D">
        <w:t>apoB</w:t>
      </w:r>
      <w:r w:rsidRPr="0065053D">
        <w:t xml:space="preserve"> testing for high-risk cardiovascular disease risk assessment are summarised in </w:t>
      </w:r>
      <w:r>
        <w:t>Table 4.</w:t>
      </w:r>
      <w:r w:rsidR="00FD2859">
        <w:t xml:space="preserve"> The financial estimates were based on the </w:t>
      </w:r>
      <w:r w:rsidR="00FD2859" w:rsidRPr="002963AF">
        <w:rPr>
          <w:color w:val="000000"/>
        </w:rPr>
        <w:t>assumption that 10%</w:t>
      </w:r>
      <w:r w:rsidR="00FD2859">
        <w:rPr>
          <w:color w:val="000000"/>
        </w:rPr>
        <w:t xml:space="preserve"> </w:t>
      </w:r>
      <w:r w:rsidR="00FD2859" w:rsidRPr="002963AF">
        <w:rPr>
          <w:color w:val="000000"/>
        </w:rPr>
        <w:t>of patients with mild to moderately elevated triglyceride concentrations would progress to apoB testing for more precise cardiovascular risk assessment.</w:t>
      </w:r>
      <w:r w:rsidR="007C01DA">
        <w:rPr>
          <w:color w:val="000000"/>
        </w:rPr>
        <w:t xml:space="preserve"> </w:t>
      </w:r>
      <w:r w:rsidR="007C01DA" w:rsidRPr="007C01DA">
        <w:t>This was based on the 5-10% estimate provided by the College in the application, which was based on the restrictive definition of the at-risk population, which were put in place to reduce/prevent leakage.</w:t>
      </w:r>
      <w:r w:rsidR="007C01DA">
        <w:rPr>
          <w:sz w:val="23"/>
          <w:szCs w:val="23"/>
        </w:rPr>
        <w:t xml:space="preserve"> </w:t>
      </w:r>
      <w:r>
        <w:t>The Critique also included financial estimates of apoB testing where it assumed 50% of patients would receive an additional general practitioner consultation (MBS item 23) for those who would receive apoB testing after HDL-C testing.</w:t>
      </w:r>
      <w:r w:rsidR="00817AC5">
        <w:br w:type="page"/>
      </w:r>
    </w:p>
    <w:p w14:paraId="44150DB1" w14:textId="77777777" w:rsidR="00A22937" w:rsidRPr="00E26BB9" w:rsidRDefault="00A22937" w:rsidP="00E26BB9">
      <w:pPr>
        <w:rPr>
          <w:rFonts w:ascii="Arial Narrow" w:hAnsi="Arial Narrow"/>
          <w:b/>
          <w:sz w:val="20"/>
        </w:rPr>
      </w:pPr>
      <w:bookmarkStart w:id="14" w:name="_Ref395200179"/>
      <w:bookmarkStart w:id="15" w:name="_Toc4060825"/>
      <w:bookmarkStart w:id="16" w:name="_Toc10558740"/>
      <w:r w:rsidRPr="00E26BB9">
        <w:rPr>
          <w:rFonts w:ascii="Arial Narrow" w:hAnsi="Arial Narrow"/>
          <w:b/>
          <w:sz w:val="20"/>
        </w:rPr>
        <w:lastRenderedPageBreak/>
        <w:t>Table 4</w:t>
      </w:r>
      <w:bookmarkEnd w:id="14"/>
      <w:r w:rsidRPr="00E26BB9">
        <w:rPr>
          <w:rFonts w:ascii="Arial Narrow" w:hAnsi="Arial Narrow"/>
          <w:b/>
          <w:sz w:val="20"/>
        </w:rPr>
        <w:tab/>
        <w:t>Total costs to the MBS associated with apoB testing for high-risk cardiovascular disease risk assessment</w:t>
      </w:r>
      <w:bookmarkEnd w:id="15"/>
      <w:bookmarkEnd w:id="16"/>
    </w:p>
    <w:tbl>
      <w:tblPr>
        <w:tblStyle w:val="TableGrid1"/>
        <w:tblW w:w="5000" w:type="pct"/>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810"/>
        <w:gridCol w:w="1243"/>
        <w:gridCol w:w="1242"/>
        <w:gridCol w:w="1242"/>
        <w:gridCol w:w="1242"/>
        <w:gridCol w:w="1237"/>
      </w:tblGrid>
      <w:tr w:rsidR="00A22937" w:rsidRPr="0065053D" w14:paraId="3DC71B26" w14:textId="77777777" w:rsidTr="00E26BB9">
        <w:trPr>
          <w:trHeight w:val="300"/>
          <w:tblHeader/>
        </w:trPr>
        <w:tc>
          <w:tcPr>
            <w:tcW w:w="1558" w:type="pct"/>
          </w:tcPr>
          <w:p w14:paraId="76BB07AE" w14:textId="77777777" w:rsidR="00A22937" w:rsidRPr="0065053D" w:rsidRDefault="00A22937" w:rsidP="00990F81">
            <w:pPr>
              <w:pStyle w:val="Tabletext0"/>
            </w:pPr>
          </w:p>
        </w:tc>
        <w:tc>
          <w:tcPr>
            <w:tcW w:w="689" w:type="pct"/>
          </w:tcPr>
          <w:p w14:paraId="002289E3" w14:textId="77777777" w:rsidR="00A22937" w:rsidRPr="0065053D" w:rsidRDefault="00A22937" w:rsidP="00990F81">
            <w:pPr>
              <w:pStyle w:val="Tabletext0"/>
              <w:jc w:val="center"/>
              <w:rPr>
                <w:b/>
              </w:rPr>
            </w:pPr>
            <w:r w:rsidRPr="0065053D">
              <w:rPr>
                <w:b/>
              </w:rPr>
              <w:t>2019</w:t>
            </w:r>
          </w:p>
        </w:tc>
        <w:tc>
          <w:tcPr>
            <w:tcW w:w="689" w:type="pct"/>
          </w:tcPr>
          <w:p w14:paraId="48107DB1" w14:textId="77777777" w:rsidR="00A22937" w:rsidRPr="0065053D" w:rsidRDefault="00A22937" w:rsidP="00990F81">
            <w:pPr>
              <w:pStyle w:val="Tabletext0"/>
              <w:jc w:val="center"/>
              <w:rPr>
                <w:b/>
              </w:rPr>
            </w:pPr>
            <w:r w:rsidRPr="0065053D">
              <w:rPr>
                <w:b/>
              </w:rPr>
              <w:t>2020</w:t>
            </w:r>
          </w:p>
        </w:tc>
        <w:tc>
          <w:tcPr>
            <w:tcW w:w="689" w:type="pct"/>
          </w:tcPr>
          <w:p w14:paraId="3BB2B9EE" w14:textId="77777777" w:rsidR="00A22937" w:rsidRPr="0065053D" w:rsidRDefault="00A22937" w:rsidP="00990F81">
            <w:pPr>
              <w:pStyle w:val="Tabletext0"/>
              <w:jc w:val="center"/>
              <w:rPr>
                <w:b/>
              </w:rPr>
            </w:pPr>
            <w:r w:rsidRPr="0065053D">
              <w:rPr>
                <w:b/>
              </w:rPr>
              <w:t>2021</w:t>
            </w:r>
          </w:p>
        </w:tc>
        <w:tc>
          <w:tcPr>
            <w:tcW w:w="689" w:type="pct"/>
          </w:tcPr>
          <w:p w14:paraId="5293C463" w14:textId="77777777" w:rsidR="00A22937" w:rsidRPr="0065053D" w:rsidRDefault="00A22937" w:rsidP="00990F81">
            <w:pPr>
              <w:pStyle w:val="Tabletext0"/>
              <w:jc w:val="center"/>
              <w:rPr>
                <w:b/>
              </w:rPr>
            </w:pPr>
            <w:r w:rsidRPr="0065053D">
              <w:rPr>
                <w:b/>
              </w:rPr>
              <w:t>2022</w:t>
            </w:r>
          </w:p>
        </w:tc>
        <w:tc>
          <w:tcPr>
            <w:tcW w:w="686" w:type="pct"/>
          </w:tcPr>
          <w:p w14:paraId="09E1FD82" w14:textId="77777777" w:rsidR="00A22937" w:rsidRPr="0065053D" w:rsidRDefault="00A22937" w:rsidP="00990F81">
            <w:pPr>
              <w:pStyle w:val="Tabletext0"/>
              <w:jc w:val="center"/>
              <w:rPr>
                <w:b/>
              </w:rPr>
            </w:pPr>
            <w:r w:rsidRPr="0065053D">
              <w:rPr>
                <w:b/>
              </w:rPr>
              <w:t>2023</w:t>
            </w:r>
          </w:p>
        </w:tc>
      </w:tr>
      <w:tr w:rsidR="00A22937" w:rsidRPr="0065053D" w14:paraId="0666BDA3" w14:textId="77777777" w:rsidTr="00E26BB9">
        <w:trPr>
          <w:trHeight w:val="20"/>
        </w:trPr>
        <w:tc>
          <w:tcPr>
            <w:tcW w:w="1558" w:type="pct"/>
          </w:tcPr>
          <w:p w14:paraId="1A69601E" w14:textId="77777777" w:rsidR="00A22937" w:rsidRPr="0065053D" w:rsidRDefault="00A22937" w:rsidP="00990F81">
            <w:pPr>
              <w:pStyle w:val="Tabletext0"/>
            </w:pPr>
            <w:r w:rsidRPr="0065053D">
              <w:rPr>
                <w:b/>
              </w:rPr>
              <w:t>Cost to MBS due to increase in apoB testing</w:t>
            </w:r>
          </w:p>
        </w:tc>
        <w:tc>
          <w:tcPr>
            <w:tcW w:w="689" w:type="pct"/>
          </w:tcPr>
          <w:p w14:paraId="5799142C" w14:textId="77777777" w:rsidR="00A22937" w:rsidRPr="0065053D" w:rsidRDefault="00A22937" w:rsidP="00990F81">
            <w:pPr>
              <w:pStyle w:val="Tabletext0"/>
              <w:jc w:val="center"/>
            </w:pPr>
          </w:p>
        </w:tc>
        <w:tc>
          <w:tcPr>
            <w:tcW w:w="689" w:type="pct"/>
          </w:tcPr>
          <w:p w14:paraId="26A7BB72" w14:textId="77777777" w:rsidR="00A22937" w:rsidRPr="0065053D" w:rsidRDefault="00A22937" w:rsidP="00990F81">
            <w:pPr>
              <w:pStyle w:val="Tabletext0"/>
              <w:jc w:val="center"/>
            </w:pPr>
          </w:p>
        </w:tc>
        <w:tc>
          <w:tcPr>
            <w:tcW w:w="689" w:type="pct"/>
          </w:tcPr>
          <w:p w14:paraId="0BCEC7A1" w14:textId="77777777" w:rsidR="00A22937" w:rsidRPr="0065053D" w:rsidRDefault="00A22937" w:rsidP="00990F81">
            <w:pPr>
              <w:pStyle w:val="Tabletext0"/>
              <w:jc w:val="center"/>
            </w:pPr>
          </w:p>
        </w:tc>
        <w:tc>
          <w:tcPr>
            <w:tcW w:w="689" w:type="pct"/>
          </w:tcPr>
          <w:p w14:paraId="16CD1C58" w14:textId="77777777" w:rsidR="00A22937" w:rsidRPr="0065053D" w:rsidRDefault="00A22937" w:rsidP="00990F81">
            <w:pPr>
              <w:pStyle w:val="Tabletext0"/>
              <w:jc w:val="center"/>
            </w:pPr>
          </w:p>
        </w:tc>
        <w:tc>
          <w:tcPr>
            <w:tcW w:w="686" w:type="pct"/>
          </w:tcPr>
          <w:p w14:paraId="55C51FED" w14:textId="77777777" w:rsidR="00A22937" w:rsidRPr="0065053D" w:rsidRDefault="00A22937" w:rsidP="00990F81">
            <w:pPr>
              <w:pStyle w:val="Tabletext0"/>
              <w:jc w:val="center"/>
            </w:pPr>
          </w:p>
        </w:tc>
      </w:tr>
      <w:tr w:rsidR="00A22937" w:rsidRPr="0065053D" w14:paraId="1D05FA6D" w14:textId="77777777" w:rsidTr="00E26BB9">
        <w:trPr>
          <w:trHeight w:val="20"/>
        </w:trPr>
        <w:tc>
          <w:tcPr>
            <w:tcW w:w="1558" w:type="pct"/>
          </w:tcPr>
          <w:p w14:paraId="2E85D754" w14:textId="77777777" w:rsidR="00A22937" w:rsidRPr="0065053D" w:rsidRDefault="00A22937" w:rsidP="00990F81">
            <w:pPr>
              <w:pStyle w:val="Tabletext0"/>
            </w:pPr>
            <w:r w:rsidRPr="0065053D">
              <w:t>Number of services (population 1)</w:t>
            </w:r>
          </w:p>
        </w:tc>
        <w:tc>
          <w:tcPr>
            <w:tcW w:w="689" w:type="pct"/>
          </w:tcPr>
          <w:p w14:paraId="5FA2856F" w14:textId="77777777" w:rsidR="00A22937" w:rsidRPr="0065053D" w:rsidRDefault="00A22937" w:rsidP="00990F81">
            <w:pPr>
              <w:pStyle w:val="Tabletext0"/>
              <w:jc w:val="center"/>
            </w:pPr>
            <w:r w:rsidRPr="0065053D">
              <w:t>83,797</w:t>
            </w:r>
          </w:p>
        </w:tc>
        <w:tc>
          <w:tcPr>
            <w:tcW w:w="689" w:type="pct"/>
          </w:tcPr>
          <w:p w14:paraId="78E5DDF2" w14:textId="77777777" w:rsidR="00A22937" w:rsidRPr="0065053D" w:rsidRDefault="00A22937" w:rsidP="00990F81">
            <w:pPr>
              <w:pStyle w:val="Tabletext0"/>
              <w:jc w:val="center"/>
            </w:pPr>
            <w:r w:rsidRPr="0065053D">
              <w:t>84,072</w:t>
            </w:r>
          </w:p>
        </w:tc>
        <w:tc>
          <w:tcPr>
            <w:tcW w:w="689" w:type="pct"/>
          </w:tcPr>
          <w:p w14:paraId="258078F6" w14:textId="77777777" w:rsidR="00A22937" w:rsidRPr="0065053D" w:rsidRDefault="00A22937" w:rsidP="00990F81">
            <w:pPr>
              <w:pStyle w:val="Tabletext0"/>
              <w:jc w:val="center"/>
            </w:pPr>
            <w:r w:rsidRPr="0065053D">
              <w:t>84,347</w:t>
            </w:r>
          </w:p>
        </w:tc>
        <w:tc>
          <w:tcPr>
            <w:tcW w:w="689" w:type="pct"/>
          </w:tcPr>
          <w:p w14:paraId="4CAD4C82" w14:textId="77777777" w:rsidR="00A22937" w:rsidRPr="0065053D" w:rsidRDefault="00A22937" w:rsidP="00990F81">
            <w:pPr>
              <w:pStyle w:val="Tabletext0"/>
              <w:jc w:val="center"/>
            </w:pPr>
            <w:r w:rsidRPr="0065053D">
              <w:t>84,622</w:t>
            </w:r>
          </w:p>
        </w:tc>
        <w:tc>
          <w:tcPr>
            <w:tcW w:w="686" w:type="pct"/>
          </w:tcPr>
          <w:p w14:paraId="2F5CFA95" w14:textId="77777777" w:rsidR="00A22937" w:rsidRPr="0065053D" w:rsidRDefault="00A22937" w:rsidP="00990F81">
            <w:pPr>
              <w:pStyle w:val="Tabletext0"/>
              <w:jc w:val="center"/>
            </w:pPr>
            <w:r w:rsidRPr="0065053D">
              <w:t>84,898</w:t>
            </w:r>
          </w:p>
        </w:tc>
      </w:tr>
      <w:tr w:rsidR="00A22937" w:rsidRPr="0065053D" w14:paraId="1D7C58D9" w14:textId="77777777" w:rsidTr="00E26BB9">
        <w:trPr>
          <w:trHeight w:val="20"/>
        </w:trPr>
        <w:tc>
          <w:tcPr>
            <w:tcW w:w="1558" w:type="pct"/>
          </w:tcPr>
          <w:p w14:paraId="0964E857" w14:textId="77777777" w:rsidR="00A22937" w:rsidRPr="0065053D" w:rsidRDefault="00A22937" w:rsidP="00990F81">
            <w:pPr>
              <w:pStyle w:val="Tabletext0"/>
            </w:pPr>
            <w:r w:rsidRPr="0065053D">
              <w:t>Sub-total cost (population 1)</w:t>
            </w:r>
          </w:p>
        </w:tc>
        <w:tc>
          <w:tcPr>
            <w:tcW w:w="689" w:type="pct"/>
          </w:tcPr>
          <w:p w14:paraId="7F3202AE" w14:textId="77777777" w:rsidR="00A22937" w:rsidRPr="0065053D" w:rsidRDefault="00A22937" w:rsidP="00990F81">
            <w:pPr>
              <w:pStyle w:val="Tabletext0"/>
              <w:jc w:val="center"/>
            </w:pPr>
            <w:r w:rsidRPr="0065053D">
              <w:t xml:space="preserve">$1,068,414 </w:t>
            </w:r>
          </w:p>
        </w:tc>
        <w:tc>
          <w:tcPr>
            <w:tcW w:w="689" w:type="pct"/>
          </w:tcPr>
          <w:p w14:paraId="3C9DCC71" w14:textId="77777777" w:rsidR="00A22937" w:rsidRPr="0065053D" w:rsidRDefault="00A22937" w:rsidP="00990F81">
            <w:pPr>
              <w:pStyle w:val="Tabletext0"/>
              <w:jc w:val="center"/>
            </w:pPr>
            <w:r w:rsidRPr="0065053D">
              <w:t xml:space="preserve">$1,071,921 </w:t>
            </w:r>
          </w:p>
        </w:tc>
        <w:tc>
          <w:tcPr>
            <w:tcW w:w="689" w:type="pct"/>
          </w:tcPr>
          <w:p w14:paraId="0CB8CF04" w14:textId="77777777" w:rsidR="00A22937" w:rsidRPr="0065053D" w:rsidRDefault="00A22937" w:rsidP="00990F81">
            <w:pPr>
              <w:pStyle w:val="Tabletext0"/>
              <w:jc w:val="center"/>
            </w:pPr>
            <w:r w:rsidRPr="0065053D">
              <w:t xml:space="preserve">$1,075,428 </w:t>
            </w:r>
          </w:p>
        </w:tc>
        <w:tc>
          <w:tcPr>
            <w:tcW w:w="689" w:type="pct"/>
          </w:tcPr>
          <w:p w14:paraId="28EA7644" w14:textId="77777777" w:rsidR="00A22937" w:rsidRPr="0065053D" w:rsidRDefault="00A22937" w:rsidP="00990F81">
            <w:pPr>
              <w:pStyle w:val="Tabletext0"/>
              <w:jc w:val="center"/>
            </w:pPr>
            <w:r w:rsidRPr="0065053D">
              <w:t xml:space="preserve">$1,078,936 </w:t>
            </w:r>
          </w:p>
        </w:tc>
        <w:tc>
          <w:tcPr>
            <w:tcW w:w="686" w:type="pct"/>
          </w:tcPr>
          <w:p w14:paraId="45C7CFD1" w14:textId="77777777" w:rsidR="00A22937" w:rsidRPr="0065053D" w:rsidRDefault="00A22937" w:rsidP="00990F81">
            <w:pPr>
              <w:pStyle w:val="Tabletext0"/>
              <w:jc w:val="center"/>
            </w:pPr>
            <w:r w:rsidRPr="0065053D">
              <w:t xml:space="preserve">$1,082,447 </w:t>
            </w:r>
          </w:p>
        </w:tc>
      </w:tr>
      <w:tr w:rsidR="00A22937" w:rsidRPr="0065053D" w14:paraId="428C128F" w14:textId="77777777" w:rsidTr="00E26BB9">
        <w:trPr>
          <w:trHeight w:val="20"/>
        </w:trPr>
        <w:tc>
          <w:tcPr>
            <w:tcW w:w="1558" w:type="pct"/>
          </w:tcPr>
          <w:p w14:paraId="46694117" w14:textId="77777777" w:rsidR="00A22937" w:rsidRPr="0065053D" w:rsidRDefault="00A22937" w:rsidP="00990F81">
            <w:pPr>
              <w:pStyle w:val="Tabletext0"/>
            </w:pPr>
            <w:r w:rsidRPr="0065053D">
              <w:t>Number of services (population 2)</w:t>
            </w:r>
          </w:p>
        </w:tc>
        <w:tc>
          <w:tcPr>
            <w:tcW w:w="689" w:type="pct"/>
          </w:tcPr>
          <w:p w14:paraId="4EF2FB67" w14:textId="77777777" w:rsidR="00A22937" w:rsidRPr="0065053D" w:rsidRDefault="00A22937" w:rsidP="00990F81">
            <w:pPr>
              <w:pStyle w:val="Tabletext0"/>
              <w:jc w:val="center"/>
            </w:pPr>
            <w:r w:rsidRPr="0065053D">
              <w:t>738</w:t>
            </w:r>
          </w:p>
        </w:tc>
        <w:tc>
          <w:tcPr>
            <w:tcW w:w="689" w:type="pct"/>
          </w:tcPr>
          <w:p w14:paraId="5AA37569" w14:textId="77777777" w:rsidR="00A22937" w:rsidRPr="0065053D" w:rsidRDefault="00A22937" w:rsidP="00990F81">
            <w:pPr>
              <w:pStyle w:val="Tabletext0"/>
              <w:jc w:val="center"/>
            </w:pPr>
            <w:r w:rsidRPr="0065053D">
              <w:t>750</w:t>
            </w:r>
          </w:p>
        </w:tc>
        <w:tc>
          <w:tcPr>
            <w:tcW w:w="689" w:type="pct"/>
          </w:tcPr>
          <w:p w14:paraId="4BDC1290" w14:textId="77777777" w:rsidR="00A22937" w:rsidRPr="0065053D" w:rsidRDefault="00A22937" w:rsidP="00990F81">
            <w:pPr>
              <w:pStyle w:val="Tabletext0"/>
              <w:jc w:val="center"/>
            </w:pPr>
            <w:r w:rsidRPr="0065053D">
              <w:t>763</w:t>
            </w:r>
          </w:p>
        </w:tc>
        <w:tc>
          <w:tcPr>
            <w:tcW w:w="689" w:type="pct"/>
          </w:tcPr>
          <w:p w14:paraId="54C0FAD9" w14:textId="77777777" w:rsidR="00A22937" w:rsidRPr="0065053D" w:rsidRDefault="00A22937" w:rsidP="00990F81">
            <w:pPr>
              <w:pStyle w:val="Tabletext0"/>
              <w:jc w:val="center"/>
            </w:pPr>
            <w:r w:rsidRPr="0065053D">
              <w:t>775</w:t>
            </w:r>
          </w:p>
        </w:tc>
        <w:tc>
          <w:tcPr>
            <w:tcW w:w="686" w:type="pct"/>
          </w:tcPr>
          <w:p w14:paraId="0A643D30" w14:textId="77777777" w:rsidR="00A22937" w:rsidRPr="0065053D" w:rsidRDefault="00A22937" w:rsidP="00990F81">
            <w:pPr>
              <w:pStyle w:val="Tabletext0"/>
              <w:jc w:val="center"/>
            </w:pPr>
            <w:r w:rsidRPr="0065053D">
              <w:t>787</w:t>
            </w:r>
          </w:p>
        </w:tc>
      </w:tr>
      <w:tr w:rsidR="00A22937" w:rsidRPr="0065053D" w14:paraId="248468D6" w14:textId="77777777" w:rsidTr="00E26BB9">
        <w:trPr>
          <w:trHeight w:val="20"/>
        </w:trPr>
        <w:tc>
          <w:tcPr>
            <w:tcW w:w="1558" w:type="pct"/>
          </w:tcPr>
          <w:p w14:paraId="12B0D3AA" w14:textId="77777777" w:rsidR="00A22937" w:rsidRPr="0065053D" w:rsidRDefault="00A22937" w:rsidP="00990F81">
            <w:pPr>
              <w:pStyle w:val="Tabletext0"/>
            </w:pPr>
            <w:r w:rsidRPr="0065053D">
              <w:t>Sub-total cost (population 2)</w:t>
            </w:r>
          </w:p>
        </w:tc>
        <w:tc>
          <w:tcPr>
            <w:tcW w:w="689" w:type="pct"/>
          </w:tcPr>
          <w:p w14:paraId="24B4E0D3" w14:textId="77777777" w:rsidR="00A22937" w:rsidRPr="0065053D" w:rsidRDefault="00A22937" w:rsidP="00990F81">
            <w:pPr>
              <w:pStyle w:val="Tabletext0"/>
              <w:jc w:val="center"/>
            </w:pPr>
            <w:r w:rsidRPr="0065053D">
              <w:t xml:space="preserve">$9,408 </w:t>
            </w:r>
          </w:p>
        </w:tc>
        <w:tc>
          <w:tcPr>
            <w:tcW w:w="689" w:type="pct"/>
          </w:tcPr>
          <w:p w14:paraId="4A21BDBE" w14:textId="77777777" w:rsidR="00A22937" w:rsidRPr="0065053D" w:rsidRDefault="00A22937" w:rsidP="00990F81">
            <w:pPr>
              <w:pStyle w:val="Tabletext0"/>
              <w:jc w:val="center"/>
            </w:pPr>
            <w:r w:rsidRPr="0065053D">
              <w:t xml:space="preserve">$9,567 </w:t>
            </w:r>
          </w:p>
        </w:tc>
        <w:tc>
          <w:tcPr>
            <w:tcW w:w="689" w:type="pct"/>
          </w:tcPr>
          <w:p w14:paraId="0B78F99E" w14:textId="77777777" w:rsidR="00A22937" w:rsidRPr="0065053D" w:rsidRDefault="00A22937" w:rsidP="00990F81">
            <w:pPr>
              <w:pStyle w:val="Tabletext0"/>
              <w:jc w:val="center"/>
            </w:pPr>
            <w:r w:rsidRPr="0065053D">
              <w:t xml:space="preserve">$9,725 </w:t>
            </w:r>
          </w:p>
        </w:tc>
        <w:tc>
          <w:tcPr>
            <w:tcW w:w="689" w:type="pct"/>
          </w:tcPr>
          <w:p w14:paraId="3B0CE2D6" w14:textId="77777777" w:rsidR="00A22937" w:rsidRPr="0065053D" w:rsidRDefault="00A22937" w:rsidP="00990F81">
            <w:pPr>
              <w:pStyle w:val="Tabletext0"/>
              <w:jc w:val="center"/>
            </w:pPr>
            <w:r w:rsidRPr="0065053D">
              <w:t xml:space="preserve">$9,882 </w:t>
            </w:r>
          </w:p>
        </w:tc>
        <w:tc>
          <w:tcPr>
            <w:tcW w:w="686" w:type="pct"/>
          </w:tcPr>
          <w:p w14:paraId="78670DAC" w14:textId="77777777" w:rsidR="00A22937" w:rsidRPr="0065053D" w:rsidRDefault="00A22937" w:rsidP="00990F81">
            <w:pPr>
              <w:pStyle w:val="Tabletext0"/>
              <w:jc w:val="center"/>
            </w:pPr>
            <w:r w:rsidRPr="0065053D">
              <w:t>$10,038</w:t>
            </w:r>
          </w:p>
        </w:tc>
      </w:tr>
      <w:tr w:rsidR="00A22937" w:rsidRPr="0065053D" w14:paraId="4CB2719B" w14:textId="77777777" w:rsidTr="00E26BB9">
        <w:trPr>
          <w:trHeight w:val="20"/>
        </w:trPr>
        <w:tc>
          <w:tcPr>
            <w:tcW w:w="1558" w:type="pct"/>
          </w:tcPr>
          <w:p w14:paraId="06B69C35" w14:textId="77777777" w:rsidR="00A22937" w:rsidRPr="00FD2859" w:rsidRDefault="00A22937" w:rsidP="00990F81">
            <w:pPr>
              <w:pStyle w:val="Tabletext0"/>
              <w:rPr>
                <w:highlight w:val="cyan"/>
                <w:vertAlign w:val="superscript"/>
              </w:rPr>
            </w:pPr>
            <w:r w:rsidRPr="0065053D">
              <w:t>Number of services (overall)</w:t>
            </w:r>
            <w:r w:rsidR="00FD2859" w:rsidRPr="00FD2859">
              <w:rPr>
                <w:i/>
                <w:vertAlign w:val="superscript"/>
              </w:rPr>
              <w:t>a</w:t>
            </w:r>
          </w:p>
        </w:tc>
        <w:tc>
          <w:tcPr>
            <w:tcW w:w="689" w:type="pct"/>
          </w:tcPr>
          <w:p w14:paraId="26935527" w14:textId="77777777" w:rsidR="00A22937" w:rsidRPr="0065053D" w:rsidRDefault="00A22937" w:rsidP="00990F81">
            <w:pPr>
              <w:pStyle w:val="Tabletext0"/>
              <w:jc w:val="center"/>
            </w:pPr>
            <w:r w:rsidRPr="0065053D">
              <w:t>84,535</w:t>
            </w:r>
          </w:p>
        </w:tc>
        <w:tc>
          <w:tcPr>
            <w:tcW w:w="689" w:type="pct"/>
          </w:tcPr>
          <w:p w14:paraId="7D367FF9" w14:textId="77777777" w:rsidR="00A22937" w:rsidRPr="0065053D" w:rsidRDefault="00A22937" w:rsidP="00990F81">
            <w:pPr>
              <w:pStyle w:val="Tabletext0"/>
              <w:jc w:val="center"/>
            </w:pPr>
            <w:r w:rsidRPr="0065053D">
              <w:t>84,823</w:t>
            </w:r>
          </w:p>
        </w:tc>
        <w:tc>
          <w:tcPr>
            <w:tcW w:w="689" w:type="pct"/>
          </w:tcPr>
          <w:p w14:paraId="2ED86640" w14:textId="77777777" w:rsidR="00A22937" w:rsidRPr="0065053D" w:rsidRDefault="00A22937" w:rsidP="00990F81">
            <w:pPr>
              <w:pStyle w:val="Tabletext0"/>
              <w:jc w:val="center"/>
            </w:pPr>
            <w:r w:rsidRPr="0065053D">
              <w:t>85,110</w:t>
            </w:r>
          </w:p>
        </w:tc>
        <w:tc>
          <w:tcPr>
            <w:tcW w:w="689" w:type="pct"/>
          </w:tcPr>
          <w:p w14:paraId="3ED76337" w14:textId="77777777" w:rsidR="00A22937" w:rsidRPr="0065053D" w:rsidRDefault="00A22937" w:rsidP="00990F81">
            <w:pPr>
              <w:pStyle w:val="Tabletext0"/>
              <w:jc w:val="center"/>
            </w:pPr>
            <w:r w:rsidRPr="0065053D">
              <w:t>85,398</w:t>
            </w:r>
          </w:p>
        </w:tc>
        <w:tc>
          <w:tcPr>
            <w:tcW w:w="686" w:type="pct"/>
          </w:tcPr>
          <w:p w14:paraId="68061722" w14:textId="77777777" w:rsidR="00A22937" w:rsidRPr="0065053D" w:rsidRDefault="00A22937" w:rsidP="00990F81">
            <w:pPr>
              <w:pStyle w:val="Tabletext0"/>
              <w:jc w:val="center"/>
            </w:pPr>
            <w:r w:rsidRPr="0065053D">
              <w:t>85,685</w:t>
            </w:r>
          </w:p>
        </w:tc>
      </w:tr>
      <w:tr w:rsidR="00A22937" w:rsidRPr="0065053D" w14:paraId="2245C16D" w14:textId="77777777" w:rsidTr="00E26BB9">
        <w:trPr>
          <w:trHeight w:val="20"/>
        </w:trPr>
        <w:tc>
          <w:tcPr>
            <w:tcW w:w="1558" w:type="pct"/>
          </w:tcPr>
          <w:p w14:paraId="74BD239E" w14:textId="77777777" w:rsidR="00A22937" w:rsidRPr="0065053D" w:rsidRDefault="00A22937" w:rsidP="00990F81">
            <w:pPr>
              <w:pStyle w:val="Tabletext0"/>
              <w:rPr>
                <w:highlight w:val="cyan"/>
              </w:rPr>
            </w:pPr>
            <w:r w:rsidRPr="0065053D">
              <w:t>Sub-total cost (overall)</w:t>
            </w:r>
          </w:p>
        </w:tc>
        <w:tc>
          <w:tcPr>
            <w:tcW w:w="689" w:type="pct"/>
          </w:tcPr>
          <w:p w14:paraId="170C5C36" w14:textId="77777777" w:rsidR="00A22937" w:rsidRPr="0065053D" w:rsidRDefault="00A22937" w:rsidP="00990F81">
            <w:pPr>
              <w:pStyle w:val="Tabletext0"/>
              <w:jc w:val="center"/>
            </w:pPr>
            <w:r w:rsidRPr="0065053D">
              <w:t xml:space="preserve">$1,077,822 </w:t>
            </w:r>
          </w:p>
        </w:tc>
        <w:tc>
          <w:tcPr>
            <w:tcW w:w="689" w:type="pct"/>
          </w:tcPr>
          <w:p w14:paraId="503A482D" w14:textId="77777777" w:rsidR="00A22937" w:rsidRPr="0065053D" w:rsidRDefault="00A22937" w:rsidP="00990F81">
            <w:pPr>
              <w:pStyle w:val="Tabletext0"/>
              <w:jc w:val="center"/>
            </w:pPr>
            <w:r w:rsidRPr="0065053D">
              <w:t xml:space="preserve">$1,081,488 </w:t>
            </w:r>
          </w:p>
        </w:tc>
        <w:tc>
          <w:tcPr>
            <w:tcW w:w="689" w:type="pct"/>
          </w:tcPr>
          <w:p w14:paraId="66EFC7E7" w14:textId="77777777" w:rsidR="00A22937" w:rsidRPr="0065053D" w:rsidRDefault="00A22937" w:rsidP="00990F81">
            <w:pPr>
              <w:pStyle w:val="Tabletext0"/>
              <w:jc w:val="center"/>
            </w:pPr>
            <w:r w:rsidRPr="0065053D">
              <w:t xml:space="preserve">$1,085,153 </w:t>
            </w:r>
          </w:p>
        </w:tc>
        <w:tc>
          <w:tcPr>
            <w:tcW w:w="689" w:type="pct"/>
          </w:tcPr>
          <w:p w14:paraId="17D4D5CB" w14:textId="77777777" w:rsidR="00A22937" w:rsidRPr="0065053D" w:rsidRDefault="00A22937" w:rsidP="00990F81">
            <w:pPr>
              <w:pStyle w:val="Tabletext0"/>
              <w:jc w:val="center"/>
            </w:pPr>
            <w:r w:rsidRPr="0065053D">
              <w:t xml:space="preserve">$1,088,819 </w:t>
            </w:r>
          </w:p>
        </w:tc>
        <w:tc>
          <w:tcPr>
            <w:tcW w:w="686" w:type="pct"/>
          </w:tcPr>
          <w:p w14:paraId="5B1A7D4C" w14:textId="77777777" w:rsidR="00A22937" w:rsidRPr="0065053D" w:rsidRDefault="00A22937" w:rsidP="00990F81">
            <w:pPr>
              <w:pStyle w:val="Tabletext0"/>
              <w:jc w:val="center"/>
            </w:pPr>
            <w:r w:rsidRPr="0065053D">
              <w:t xml:space="preserve">$1,092,484 </w:t>
            </w:r>
          </w:p>
        </w:tc>
      </w:tr>
      <w:tr w:rsidR="00A22937" w:rsidRPr="0065053D" w14:paraId="5A8F7E28" w14:textId="77777777" w:rsidTr="00E26BB9">
        <w:trPr>
          <w:trHeight w:val="20"/>
        </w:trPr>
        <w:tc>
          <w:tcPr>
            <w:tcW w:w="1558" w:type="pct"/>
          </w:tcPr>
          <w:p w14:paraId="691A2CE4" w14:textId="77777777" w:rsidR="00A22937" w:rsidRPr="0065053D" w:rsidRDefault="00A22937" w:rsidP="00990F81">
            <w:pPr>
              <w:pStyle w:val="Tabletext0"/>
            </w:pPr>
            <w:r w:rsidRPr="0065053D">
              <w:rPr>
                <w:b/>
              </w:rPr>
              <w:t>Reduction in cost to MBS due to reductions in other services</w:t>
            </w:r>
          </w:p>
        </w:tc>
        <w:tc>
          <w:tcPr>
            <w:tcW w:w="689" w:type="pct"/>
          </w:tcPr>
          <w:p w14:paraId="2C390CCF" w14:textId="77777777" w:rsidR="00A22937" w:rsidRPr="0065053D" w:rsidRDefault="00A22937" w:rsidP="00990F81">
            <w:pPr>
              <w:pStyle w:val="Tabletext0"/>
              <w:jc w:val="center"/>
            </w:pPr>
          </w:p>
        </w:tc>
        <w:tc>
          <w:tcPr>
            <w:tcW w:w="689" w:type="pct"/>
          </w:tcPr>
          <w:p w14:paraId="23AD1CD8" w14:textId="77777777" w:rsidR="00A22937" w:rsidRPr="0065053D" w:rsidRDefault="00A22937" w:rsidP="00990F81">
            <w:pPr>
              <w:pStyle w:val="Tabletext0"/>
              <w:jc w:val="center"/>
            </w:pPr>
          </w:p>
        </w:tc>
        <w:tc>
          <w:tcPr>
            <w:tcW w:w="689" w:type="pct"/>
          </w:tcPr>
          <w:p w14:paraId="4338546C" w14:textId="77777777" w:rsidR="00A22937" w:rsidRPr="0065053D" w:rsidRDefault="00A22937" w:rsidP="00990F81">
            <w:pPr>
              <w:pStyle w:val="Tabletext0"/>
              <w:jc w:val="center"/>
            </w:pPr>
          </w:p>
        </w:tc>
        <w:tc>
          <w:tcPr>
            <w:tcW w:w="689" w:type="pct"/>
          </w:tcPr>
          <w:p w14:paraId="630B97C9" w14:textId="77777777" w:rsidR="00A22937" w:rsidRPr="0065053D" w:rsidRDefault="00A22937" w:rsidP="00990F81">
            <w:pPr>
              <w:pStyle w:val="Tabletext0"/>
              <w:jc w:val="center"/>
            </w:pPr>
          </w:p>
        </w:tc>
        <w:tc>
          <w:tcPr>
            <w:tcW w:w="686" w:type="pct"/>
          </w:tcPr>
          <w:p w14:paraId="4ECAF114" w14:textId="77777777" w:rsidR="00A22937" w:rsidRPr="0065053D" w:rsidRDefault="00A22937" w:rsidP="00990F81">
            <w:pPr>
              <w:pStyle w:val="Tabletext0"/>
              <w:jc w:val="center"/>
            </w:pPr>
          </w:p>
        </w:tc>
      </w:tr>
      <w:tr w:rsidR="00A22937" w:rsidRPr="0065053D" w14:paraId="075DB6F1" w14:textId="77777777" w:rsidTr="00E26BB9">
        <w:trPr>
          <w:trHeight w:val="20"/>
        </w:trPr>
        <w:tc>
          <w:tcPr>
            <w:tcW w:w="1558" w:type="pct"/>
          </w:tcPr>
          <w:p w14:paraId="4DE7A1F7" w14:textId="77777777" w:rsidR="00A22937" w:rsidRPr="0065053D" w:rsidRDefault="00A22937" w:rsidP="00990F81">
            <w:pPr>
              <w:pStyle w:val="Tabletext0"/>
            </w:pPr>
            <w:r w:rsidRPr="0065053D">
              <w:t>Sub-total cost</w:t>
            </w:r>
          </w:p>
        </w:tc>
        <w:tc>
          <w:tcPr>
            <w:tcW w:w="689" w:type="pct"/>
          </w:tcPr>
          <w:p w14:paraId="4A3D6DFA" w14:textId="77777777" w:rsidR="00A22937" w:rsidRPr="0065053D" w:rsidRDefault="00A22937" w:rsidP="00990F81">
            <w:pPr>
              <w:pStyle w:val="Tabletext0"/>
              <w:jc w:val="center"/>
            </w:pPr>
            <w:r w:rsidRPr="0065053D">
              <w:t>$0</w:t>
            </w:r>
          </w:p>
        </w:tc>
        <w:tc>
          <w:tcPr>
            <w:tcW w:w="689" w:type="pct"/>
          </w:tcPr>
          <w:p w14:paraId="31B0E337" w14:textId="77777777" w:rsidR="00A22937" w:rsidRPr="0065053D" w:rsidRDefault="00A22937" w:rsidP="00990F81">
            <w:pPr>
              <w:pStyle w:val="Tabletext0"/>
              <w:jc w:val="center"/>
            </w:pPr>
            <w:r w:rsidRPr="0065053D">
              <w:t>$0</w:t>
            </w:r>
          </w:p>
        </w:tc>
        <w:tc>
          <w:tcPr>
            <w:tcW w:w="689" w:type="pct"/>
          </w:tcPr>
          <w:p w14:paraId="6A099530" w14:textId="77777777" w:rsidR="00A22937" w:rsidRPr="0065053D" w:rsidRDefault="00A22937" w:rsidP="00990F81">
            <w:pPr>
              <w:pStyle w:val="Tabletext0"/>
              <w:jc w:val="center"/>
            </w:pPr>
            <w:r w:rsidRPr="0065053D">
              <w:t>$0</w:t>
            </w:r>
          </w:p>
        </w:tc>
        <w:tc>
          <w:tcPr>
            <w:tcW w:w="689" w:type="pct"/>
          </w:tcPr>
          <w:p w14:paraId="0CAD34F9" w14:textId="77777777" w:rsidR="00A22937" w:rsidRPr="0065053D" w:rsidRDefault="00A22937" w:rsidP="00990F81">
            <w:pPr>
              <w:pStyle w:val="Tabletext0"/>
              <w:jc w:val="center"/>
            </w:pPr>
            <w:r w:rsidRPr="0065053D">
              <w:t>$0</w:t>
            </w:r>
          </w:p>
        </w:tc>
        <w:tc>
          <w:tcPr>
            <w:tcW w:w="686" w:type="pct"/>
          </w:tcPr>
          <w:p w14:paraId="6BD5E276" w14:textId="77777777" w:rsidR="00A22937" w:rsidRPr="0065053D" w:rsidRDefault="00A22937" w:rsidP="00990F81">
            <w:pPr>
              <w:pStyle w:val="Tabletext0"/>
              <w:jc w:val="center"/>
            </w:pPr>
            <w:r w:rsidRPr="0065053D">
              <w:t>$0</w:t>
            </w:r>
          </w:p>
        </w:tc>
      </w:tr>
      <w:tr w:rsidR="00A22937" w:rsidRPr="0065053D" w14:paraId="5A439297" w14:textId="77777777" w:rsidTr="00E26BB9">
        <w:trPr>
          <w:trHeight w:val="20"/>
        </w:trPr>
        <w:tc>
          <w:tcPr>
            <w:tcW w:w="1558" w:type="pct"/>
          </w:tcPr>
          <w:p w14:paraId="313FE895" w14:textId="77777777" w:rsidR="00A22937" w:rsidRPr="0065053D" w:rsidRDefault="00A22937" w:rsidP="00990F81">
            <w:pPr>
              <w:pStyle w:val="Tabletext0"/>
              <w:rPr>
                <w:b/>
              </w:rPr>
            </w:pPr>
            <w:r w:rsidRPr="0065053D">
              <w:rPr>
                <w:b/>
              </w:rPr>
              <w:t>Total cost</w:t>
            </w:r>
            <w:r>
              <w:rPr>
                <w:b/>
              </w:rPr>
              <w:t xml:space="preserve"> (without GP consult)</w:t>
            </w:r>
          </w:p>
        </w:tc>
        <w:tc>
          <w:tcPr>
            <w:tcW w:w="689" w:type="pct"/>
          </w:tcPr>
          <w:p w14:paraId="7BCA7C55" w14:textId="77777777" w:rsidR="00A22937" w:rsidRPr="0065053D" w:rsidRDefault="00A22937" w:rsidP="00990F81">
            <w:pPr>
              <w:pStyle w:val="Tabletext0"/>
              <w:jc w:val="center"/>
            </w:pPr>
            <w:r w:rsidRPr="0065053D">
              <w:t xml:space="preserve">$1,077,822 </w:t>
            </w:r>
          </w:p>
        </w:tc>
        <w:tc>
          <w:tcPr>
            <w:tcW w:w="689" w:type="pct"/>
          </w:tcPr>
          <w:p w14:paraId="2210D1C6" w14:textId="77777777" w:rsidR="00A22937" w:rsidRPr="0065053D" w:rsidRDefault="00A22937" w:rsidP="00990F81">
            <w:pPr>
              <w:pStyle w:val="Tabletext0"/>
              <w:jc w:val="center"/>
            </w:pPr>
            <w:r w:rsidRPr="0065053D">
              <w:t xml:space="preserve">$1,081,488 </w:t>
            </w:r>
          </w:p>
        </w:tc>
        <w:tc>
          <w:tcPr>
            <w:tcW w:w="689" w:type="pct"/>
          </w:tcPr>
          <w:p w14:paraId="7A4C6D5F" w14:textId="77777777" w:rsidR="00A22937" w:rsidRPr="0065053D" w:rsidRDefault="00A22937" w:rsidP="00990F81">
            <w:pPr>
              <w:pStyle w:val="Tabletext0"/>
              <w:jc w:val="center"/>
            </w:pPr>
            <w:r w:rsidRPr="0065053D">
              <w:t xml:space="preserve">$1,085,153 </w:t>
            </w:r>
          </w:p>
        </w:tc>
        <w:tc>
          <w:tcPr>
            <w:tcW w:w="689" w:type="pct"/>
          </w:tcPr>
          <w:p w14:paraId="610CCA8C" w14:textId="77777777" w:rsidR="00A22937" w:rsidRPr="0065053D" w:rsidRDefault="00A22937" w:rsidP="00990F81">
            <w:pPr>
              <w:pStyle w:val="Tabletext0"/>
              <w:jc w:val="center"/>
            </w:pPr>
            <w:r w:rsidRPr="0065053D">
              <w:t xml:space="preserve">$1,088,819 </w:t>
            </w:r>
          </w:p>
        </w:tc>
        <w:tc>
          <w:tcPr>
            <w:tcW w:w="686" w:type="pct"/>
          </w:tcPr>
          <w:p w14:paraId="42C35292" w14:textId="77777777" w:rsidR="00A22937" w:rsidRPr="0065053D" w:rsidRDefault="00A22937" w:rsidP="00990F81">
            <w:pPr>
              <w:pStyle w:val="Tabletext0"/>
              <w:jc w:val="center"/>
            </w:pPr>
            <w:r w:rsidRPr="0065053D">
              <w:t xml:space="preserve">$1,092,484 </w:t>
            </w:r>
          </w:p>
        </w:tc>
      </w:tr>
      <w:tr w:rsidR="00A22937" w:rsidRPr="0065053D" w14:paraId="3C7C6FFE" w14:textId="77777777" w:rsidTr="00E26BB9">
        <w:trPr>
          <w:trHeight w:val="20"/>
        </w:trPr>
        <w:tc>
          <w:tcPr>
            <w:tcW w:w="1558" w:type="pct"/>
          </w:tcPr>
          <w:p w14:paraId="6D5B85BE" w14:textId="77777777" w:rsidR="00A22937" w:rsidRPr="007D2D91" w:rsidRDefault="00A22937" w:rsidP="00990F81">
            <w:pPr>
              <w:pStyle w:val="Tabletext0"/>
            </w:pPr>
            <w:r w:rsidRPr="007D2D91">
              <w:t>Critique’s values</w:t>
            </w:r>
          </w:p>
        </w:tc>
        <w:tc>
          <w:tcPr>
            <w:tcW w:w="689" w:type="pct"/>
          </w:tcPr>
          <w:p w14:paraId="6B26B086" w14:textId="77777777" w:rsidR="00A22937" w:rsidRPr="00445307" w:rsidRDefault="00A22937" w:rsidP="00990F81">
            <w:pPr>
              <w:pStyle w:val="Tabletext0"/>
              <w:jc w:val="center"/>
              <w:rPr>
                <w:b/>
                <w:bCs/>
              </w:rPr>
            </w:pPr>
          </w:p>
        </w:tc>
        <w:tc>
          <w:tcPr>
            <w:tcW w:w="689" w:type="pct"/>
          </w:tcPr>
          <w:p w14:paraId="464EF11A" w14:textId="77777777" w:rsidR="00A22937" w:rsidRPr="00445307" w:rsidRDefault="00A22937" w:rsidP="00990F81">
            <w:pPr>
              <w:pStyle w:val="Tabletext0"/>
              <w:jc w:val="center"/>
              <w:rPr>
                <w:b/>
                <w:bCs/>
              </w:rPr>
            </w:pPr>
          </w:p>
        </w:tc>
        <w:tc>
          <w:tcPr>
            <w:tcW w:w="689" w:type="pct"/>
          </w:tcPr>
          <w:p w14:paraId="5D8445FD" w14:textId="77777777" w:rsidR="00A22937" w:rsidRPr="00445307" w:rsidRDefault="00A22937" w:rsidP="00990F81">
            <w:pPr>
              <w:pStyle w:val="Tabletext0"/>
              <w:jc w:val="center"/>
              <w:rPr>
                <w:b/>
                <w:bCs/>
              </w:rPr>
            </w:pPr>
          </w:p>
        </w:tc>
        <w:tc>
          <w:tcPr>
            <w:tcW w:w="689" w:type="pct"/>
          </w:tcPr>
          <w:p w14:paraId="367DE90E" w14:textId="77777777" w:rsidR="00A22937" w:rsidRPr="00445307" w:rsidRDefault="00A22937" w:rsidP="00990F81">
            <w:pPr>
              <w:pStyle w:val="Tabletext0"/>
              <w:jc w:val="center"/>
              <w:rPr>
                <w:b/>
                <w:bCs/>
              </w:rPr>
            </w:pPr>
          </w:p>
        </w:tc>
        <w:tc>
          <w:tcPr>
            <w:tcW w:w="686" w:type="pct"/>
          </w:tcPr>
          <w:p w14:paraId="17629861" w14:textId="77777777" w:rsidR="00A22937" w:rsidRPr="00445307" w:rsidRDefault="00A22937" w:rsidP="00990F81">
            <w:pPr>
              <w:pStyle w:val="Tabletext0"/>
              <w:jc w:val="center"/>
              <w:rPr>
                <w:b/>
                <w:bCs/>
              </w:rPr>
            </w:pPr>
          </w:p>
        </w:tc>
      </w:tr>
      <w:tr w:rsidR="00A22937" w:rsidRPr="0065053D" w14:paraId="69CEAB43" w14:textId="77777777" w:rsidTr="00E26BB9">
        <w:trPr>
          <w:trHeight w:val="20"/>
        </w:trPr>
        <w:tc>
          <w:tcPr>
            <w:tcW w:w="1558" w:type="pct"/>
          </w:tcPr>
          <w:p w14:paraId="0CE14A4E" w14:textId="77777777" w:rsidR="00A22937" w:rsidRPr="007D2D91" w:rsidRDefault="00A22937" w:rsidP="00990F81">
            <w:pPr>
              <w:pStyle w:val="Tabletext0"/>
              <w:rPr>
                <w:b/>
                <w:vertAlign w:val="superscript"/>
              </w:rPr>
            </w:pPr>
            <w:r w:rsidRPr="007D2D91">
              <w:rPr>
                <w:b/>
              </w:rPr>
              <w:t>Total cost (with 50% GP consult)</w:t>
            </w:r>
            <w:r w:rsidR="00FD2859">
              <w:rPr>
                <w:b/>
                <w:i/>
                <w:vertAlign w:val="superscript"/>
              </w:rPr>
              <w:t>b</w:t>
            </w:r>
          </w:p>
        </w:tc>
        <w:tc>
          <w:tcPr>
            <w:tcW w:w="689" w:type="pct"/>
          </w:tcPr>
          <w:p w14:paraId="39EC3C72" w14:textId="77777777" w:rsidR="00A22937" w:rsidRPr="0065053D" w:rsidRDefault="00A22937" w:rsidP="00990F81">
            <w:pPr>
              <w:pStyle w:val="Tabletext0"/>
              <w:jc w:val="center"/>
            </w:pPr>
            <w:r w:rsidRPr="00445307">
              <w:rPr>
                <w:b/>
                <w:bCs/>
              </w:rPr>
              <w:t>$2,692,442</w:t>
            </w:r>
          </w:p>
        </w:tc>
        <w:tc>
          <w:tcPr>
            <w:tcW w:w="689" w:type="pct"/>
          </w:tcPr>
          <w:p w14:paraId="36D7BE67" w14:textId="77777777" w:rsidR="00A22937" w:rsidRPr="0065053D" w:rsidRDefault="00A22937" w:rsidP="00990F81">
            <w:pPr>
              <w:pStyle w:val="Tabletext0"/>
              <w:jc w:val="center"/>
            </w:pPr>
            <w:r w:rsidRPr="00445307">
              <w:rPr>
                <w:b/>
                <w:bCs/>
              </w:rPr>
              <w:t>$2,701,599</w:t>
            </w:r>
          </w:p>
        </w:tc>
        <w:tc>
          <w:tcPr>
            <w:tcW w:w="689" w:type="pct"/>
          </w:tcPr>
          <w:p w14:paraId="0DB038DB" w14:textId="77777777" w:rsidR="00A22937" w:rsidRPr="0065053D" w:rsidRDefault="00A22937" w:rsidP="00990F81">
            <w:pPr>
              <w:pStyle w:val="Tabletext0"/>
              <w:jc w:val="center"/>
            </w:pPr>
            <w:r w:rsidRPr="00445307">
              <w:rPr>
                <w:b/>
                <w:bCs/>
              </w:rPr>
              <w:t>$2,710,755</w:t>
            </w:r>
          </w:p>
        </w:tc>
        <w:tc>
          <w:tcPr>
            <w:tcW w:w="689" w:type="pct"/>
          </w:tcPr>
          <w:p w14:paraId="3C81EF51" w14:textId="77777777" w:rsidR="00A22937" w:rsidRPr="0065053D" w:rsidRDefault="00A22937" w:rsidP="00990F81">
            <w:pPr>
              <w:pStyle w:val="Tabletext0"/>
              <w:jc w:val="center"/>
            </w:pPr>
            <w:r w:rsidRPr="00445307">
              <w:rPr>
                <w:b/>
                <w:bCs/>
              </w:rPr>
              <w:t>$2,719,912</w:t>
            </w:r>
          </w:p>
        </w:tc>
        <w:tc>
          <w:tcPr>
            <w:tcW w:w="686" w:type="pct"/>
          </w:tcPr>
          <w:p w14:paraId="5FC6D462" w14:textId="77777777" w:rsidR="00A22937" w:rsidRPr="0065053D" w:rsidRDefault="00A22937" w:rsidP="00990F81">
            <w:pPr>
              <w:pStyle w:val="Tabletext0"/>
              <w:jc w:val="center"/>
            </w:pPr>
            <w:r w:rsidRPr="00445307">
              <w:rPr>
                <w:b/>
                <w:bCs/>
              </w:rPr>
              <w:t>$2,729,069</w:t>
            </w:r>
          </w:p>
        </w:tc>
      </w:tr>
      <w:tr w:rsidR="00A22937" w:rsidRPr="0065053D" w14:paraId="49667E12" w14:textId="77777777" w:rsidTr="00E26BB9">
        <w:trPr>
          <w:trHeight w:val="20"/>
        </w:trPr>
        <w:tc>
          <w:tcPr>
            <w:tcW w:w="1558" w:type="pct"/>
          </w:tcPr>
          <w:p w14:paraId="388D0640" w14:textId="77777777" w:rsidR="00A22937" w:rsidRPr="007D2D91" w:rsidRDefault="004C4411" w:rsidP="00990F81">
            <w:pPr>
              <w:pStyle w:val="Tabletext0"/>
            </w:pPr>
            <w:r>
              <w:t>CA R</w:t>
            </w:r>
            <w:r w:rsidR="00A22937" w:rsidRPr="007D2D91">
              <w:t>ejoinder’s values</w:t>
            </w:r>
          </w:p>
        </w:tc>
        <w:tc>
          <w:tcPr>
            <w:tcW w:w="689" w:type="pct"/>
          </w:tcPr>
          <w:p w14:paraId="1535A815" w14:textId="77777777" w:rsidR="00A22937" w:rsidRPr="00445307" w:rsidRDefault="00A22937" w:rsidP="00990F81">
            <w:pPr>
              <w:pStyle w:val="Tabletext0"/>
              <w:jc w:val="center"/>
              <w:rPr>
                <w:b/>
                <w:bCs/>
              </w:rPr>
            </w:pPr>
          </w:p>
        </w:tc>
        <w:tc>
          <w:tcPr>
            <w:tcW w:w="689" w:type="pct"/>
          </w:tcPr>
          <w:p w14:paraId="467DF782" w14:textId="77777777" w:rsidR="00A22937" w:rsidRPr="00445307" w:rsidRDefault="00A22937" w:rsidP="00990F81">
            <w:pPr>
              <w:pStyle w:val="Tabletext0"/>
              <w:jc w:val="center"/>
              <w:rPr>
                <w:b/>
                <w:bCs/>
              </w:rPr>
            </w:pPr>
          </w:p>
        </w:tc>
        <w:tc>
          <w:tcPr>
            <w:tcW w:w="689" w:type="pct"/>
          </w:tcPr>
          <w:p w14:paraId="698D13CF" w14:textId="77777777" w:rsidR="00A22937" w:rsidRPr="00445307" w:rsidRDefault="00A22937" w:rsidP="00990F81">
            <w:pPr>
              <w:pStyle w:val="Tabletext0"/>
              <w:jc w:val="center"/>
              <w:rPr>
                <w:b/>
                <w:bCs/>
              </w:rPr>
            </w:pPr>
          </w:p>
        </w:tc>
        <w:tc>
          <w:tcPr>
            <w:tcW w:w="689" w:type="pct"/>
          </w:tcPr>
          <w:p w14:paraId="643DE761" w14:textId="77777777" w:rsidR="00A22937" w:rsidRPr="00445307" w:rsidRDefault="00A22937" w:rsidP="00990F81">
            <w:pPr>
              <w:pStyle w:val="Tabletext0"/>
              <w:jc w:val="center"/>
              <w:rPr>
                <w:b/>
                <w:bCs/>
              </w:rPr>
            </w:pPr>
          </w:p>
        </w:tc>
        <w:tc>
          <w:tcPr>
            <w:tcW w:w="686" w:type="pct"/>
          </w:tcPr>
          <w:p w14:paraId="35E265C1" w14:textId="77777777" w:rsidR="00A22937" w:rsidRPr="00445307" w:rsidRDefault="00A22937" w:rsidP="00990F81">
            <w:pPr>
              <w:pStyle w:val="Tabletext0"/>
              <w:jc w:val="center"/>
              <w:rPr>
                <w:b/>
                <w:bCs/>
              </w:rPr>
            </w:pPr>
          </w:p>
        </w:tc>
      </w:tr>
      <w:tr w:rsidR="00A22937" w:rsidRPr="0065053D" w14:paraId="66E146FC" w14:textId="77777777" w:rsidTr="00E26BB9">
        <w:trPr>
          <w:trHeight w:val="20"/>
        </w:trPr>
        <w:tc>
          <w:tcPr>
            <w:tcW w:w="1558" w:type="pct"/>
          </w:tcPr>
          <w:p w14:paraId="7BFF5406" w14:textId="77777777" w:rsidR="00A22937" w:rsidRPr="007D2D91" w:rsidRDefault="00A22937" w:rsidP="00990F81">
            <w:pPr>
              <w:pStyle w:val="Tabletext0"/>
              <w:rPr>
                <w:b/>
                <w:vertAlign w:val="superscript"/>
              </w:rPr>
            </w:pPr>
            <w:r w:rsidRPr="007D2D91">
              <w:rPr>
                <w:b/>
              </w:rPr>
              <w:t>Total cost (with 100% GP consult)</w:t>
            </w:r>
            <w:r w:rsidR="00FD2859">
              <w:rPr>
                <w:b/>
                <w:i/>
                <w:vertAlign w:val="superscript"/>
              </w:rPr>
              <w:t>b</w:t>
            </w:r>
          </w:p>
        </w:tc>
        <w:tc>
          <w:tcPr>
            <w:tcW w:w="689" w:type="pct"/>
          </w:tcPr>
          <w:p w14:paraId="0D476212" w14:textId="77777777" w:rsidR="00A22937" w:rsidRPr="00445307" w:rsidRDefault="00A22937" w:rsidP="00990F81">
            <w:pPr>
              <w:pStyle w:val="Tabletext0"/>
              <w:jc w:val="center"/>
              <w:rPr>
                <w:b/>
                <w:bCs/>
              </w:rPr>
            </w:pPr>
            <w:r w:rsidRPr="00E7439B">
              <w:rPr>
                <w:b/>
              </w:rPr>
              <w:t>$4,307,059</w:t>
            </w:r>
          </w:p>
        </w:tc>
        <w:tc>
          <w:tcPr>
            <w:tcW w:w="689" w:type="pct"/>
          </w:tcPr>
          <w:p w14:paraId="0689F1A2" w14:textId="77777777" w:rsidR="00A22937" w:rsidRPr="00445307" w:rsidRDefault="00A22937" w:rsidP="00990F81">
            <w:pPr>
              <w:pStyle w:val="Tabletext0"/>
              <w:jc w:val="center"/>
              <w:rPr>
                <w:b/>
                <w:bCs/>
              </w:rPr>
            </w:pPr>
            <w:r>
              <w:rPr>
                <w:b/>
              </w:rPr>
              <w:t>$4,321,720</w:t>
            </w:r>
          </w:p>
        </w:tc>
        <w:tc>
          <w:tcPr>
            <w:tcW w:w="689" w:type="pct"/>
          </w:tcPr>
          <w:p w14:paraId="750783F4" w14:textId="77777777" w:rsidR="00A22937" w:rsidRPr="00445307" w:rsidRDefault="00A22937" w:rsidP="00990F81">
            <w:pPr>
              <w:pStyle w:val="Tabletext0"/>
              <w:jc w:val="center"/>
              <w:rPr>
                <w:b/>
                <w:bCs/>
              </w:rPr>
            </w:pPr>
            <w:r w:rsidRPr="00E7439B">
              <w:rPr>
                <w:b/>
              </w:rPr>
              <w:t>$4,336,355</w:t>
            </w:r>
          </w:p>
        </w:tc>
        <w:tc>
          <w:tcPr>
            <w:tcW w:w="689" w:type="pct"/>
          </w:tcPr>
          <w:p w14:paraId="3C5E1902" w14:textId="77777777" w:rsidR="00A22937" w:rsidRPr="00445307" w:rsidRDefault="00A22937" w:rsidP="00990F81">
            <w:pPr>
              <w:pStyle w:val="Tabletext0"/>
              <w:jc w:val="center"/>
              <w:rPr>
                <w:b/>
                <w:bCs/>
              </w:rPr>
            </w:pPr>
            <w:r w:rsidRPr="00E7439B">
              <w:rPr>
                <w:b/>
              </w:rPr>
              <w:t>$4,</w:t>
            </w:r>
            <w:r>
              <w:rPr>
                <w:b/>
              </w:rPr>
              <w:t>351,016</w:t>
            </w:r>
          </w:p>
        </w:tc>
        <w:tc>
          <w:tcPr>
            <w:tcW w:w="686" w:type="pct"/>
          </w:tcPr>
          <w:p w14:paraId="00F234D4" w14:textId="77777777" w:rsidR="00A22937" w:rsidRPr="00445307" w:rsidRDefault="00A22937" w:rsidP="00990F81">
            <w:pPr>
              <w:pStyle w:val="Tabletext0"/>
              <w:jc w:val="center"/>
              <w:rPr>
                <w:b/>
                <w:bCs/>
              </w:rPr>
            </w:pPr>
            <w:r w:rsidRPr="00E7439B">
              <w:rPr>
                <w:b/>
              </w:rPr>
              <w:t>$4,365,652</w:t>
            </w:r>
          </w:p>
        </w:tc>
      </w:tr>
    </w:tbl>
    <w:p w14:paraId="6B6D2490" w14:textId="77777777" w:rsidR="00FD2859" w:rsidRPr="00FD2859" w:rsidRDefault="00FD2859" w:rsidP="00A22937">
      <w:pPr>
        <w:pStyle w:val="Tablenotes1"/>
        <w:rPr>
          <w:vertAlign w:val="superscript"/>
        </w:rPr>
      </w:pPr>
      <w:bookmarkStart w:id="17" w:name="_Toc3906486"/>
      <w:bookmarkStart w:id="18" w:name="_Toc10558697"/>
      <w:proofErr w:type="gramStart"/>
      <w:r>
        <w:rPr>
          <w:i/>
          <w:vertAlign w:val="superscript"/>
        </w:rPr>
        <w:t>a</w:t>
      </w:r>
      <w:proofErr w:type="gramEnd"/>
      <w:r>
        <w:rPr>
          <w:i/>
          <w:vertAlign w:val="superscript"/>
        </w:rPr>
        <w:t xml:space="preserve"> </w:t>
      </w:r>
      <w:r w:rsidRPr="00FD2859">
        <w:rPr>
          <w:i/>
        </w:rPr>
        <w:t>Based on</w:t>
      </w:r>
      <w:r>
        <w:rPr>
          <w:vertAlign w:val="superscript"/>
        </w:rPr>
        <w:t xml:space="preserve"> </w:t>
      </w:r>
      <w:r w:rsidRPr="00FD2859">
        <w:rPr>
          <w:i/>
        </w:rPr>
        <w:t>assumption that 10% of patients would receive apoB testing</w:t>
      </w:r>
      <w:r>
        <w:rPr>
          <w:i/>
        </w:rPr>
        <w:t xml:space="preserve"> (Applicant stated 5-10%)</w:t>
      </w:r>
    </w:p>
    <w:p w14:paraId="552086A5" w14:textId="77777777" w:rsidR="00A22937" w:rsidRDefault="00FD2859" w:rsidP="00A22937">
      <w:pPr>
        <w:pStyle w:val="Tablenotes1"/>
        <w:rPr>
          <w:i/>
        </w:rPr>
      </w:pPr>
      <w:proofErr w:type="gramStart"/>
      <w:r>
        <w:rPr>
          <w:i/>
          <w:vertAlign w:val="superscript"/>
        </w:rPr>
        <w:t>b</w:t>
      </w:r>
      <w:proofErr w:type="gramEnd"/>
      <w:r w:rsidR="00A22937" w:rsidRPr="007D2D91">
        <w:rPr>
          <w:i/>
          <w:vertAlign w:val="superscript"/>
        </w:rPr>
        <w:t xml:space="preserve"> </w:t>
      </w:r>
      <w:r w:rsidR="00A22937">
        <w:rPr>
          <w:i/>
        </w:rPr>
        <w:t>Assumption</w:t>
      </w:r>
      <w:bookmarkEnd w:id="17"/>
      <w:bookmarkEnd w:id="18"/>
    </w:p>
    <w:p w14:paraId="5BDA5C27" w14:textId="602BEF92" w:rsidR="00747C72" w:rsidRPr="00B02E35" w:rsidRDefault="00303B94" w:rsidP="00747C72">
      <w:r>
        <w:t>In the pre-MSAC response, the a</w:t>
      </w:r>
      <w:r w:rsidR="00747C72">
        <w:t xml:space="preserve">pplicant </w:t>
      </w:r>
      <w:r w:rsidR="00FD2859">
        <w:t xml:space="preserve">stated that </w:t>
      </w:r>
      <w:r w:rsidR="007C01DA">
        <w:t>based on Welsh et al.</w:t>
      </w:r>
      <w:r w:rsidR="00046908">
        <w:t>,</w:t>
      </w:r>
      <w:r w:rsidR="007C01DA">
        <w:t xml:space="preserve"> the estimate is actually more likely to be 15-20% (ESC &amp; EAS 2019; Mach et al. 2019; Welsh et al. 2019)</w:t>
      </w:r>
      <w:r>
        <w:t xml:space="preserve">. </w:t>
      </w:r>
      <w:r w:rsidRPr="00303B94">
        <w:rPr>
          <w:i/>
        </w:rPr>
        <w:t>MSAC noted that i</w:t>
      </w:r>
      <w:r w:rsidR="007C01DA" w:rsidRPr="00303B94">
        <w:rPr>
          <w:i/>
        </w:rPr>
        <w:t>f</w:t>
      </w:r>
      <w:r w:rsidR="007C01DA" w:rsidRPr="007C01DA">
        <w:rPr>
          <w:i/>
        </w:rPr>
        <w:t xml:space="preserve"> the upper estimate (20%) </w:t>
      </w:r>
      <w:r>
        <w:rPr>
          <w:i/>
        </w:rPr>
        <w:t xml:space="preserve">is used this </w:t>
      </w:r>
      <w:r w:rsidR="007C01DA" w:rsidRPr="007C01DA">
        <w:rPr>
          <w:i/>
        </w:rPr>
        <w:t>would approximately double the financial impact of apoB testing to the MBS.</w:t>
      </w:r>
    </w:p>
    <w:p w14:paraId="630E39CE" w14:textId="77777777" w:rsidR="00A37C79" w:rsidRPr="00F715D1" w:rsidRDefault="00A37C79" w:rsidP="00A37C79">
      <w:pPr>
        <w:pStyle w:val="Heading1"/>
      </w:pPr>
      <w:r w:rsidRPr="00F715D1">
        <w:t>Key issues from ESC for MSAC</w:t>
      </w:r>
    </w:p>
    <w:tbl>
      <w:tblPr>
        <w:tblStyle w:val="TableGrid1"/>
        <w:tblW w:w="0" w:type="auto"/>
        <w:tblLook w:val="04A0" w:firstRow="1" w:lastRow="0" w:firstColumn="1" w:lastColumn="0" w:noHBand="0" w:noVBand="1"/>
        <w:tblCaption w:val="14. Key issues from ESC for MSAC"/>
      </w:tblPr>
      <w:tblGrid>
        <w:gridCol w:w="2660"/>
        <w:gridCol w:w="6356"/>
      </w:tblGrid>
      <w:tr w:rsidR="00A22937" w:rsidRPr="002963AF" w14:paraId="68239CDD" w14:textId="77777777" w:rsidTr="00A22937">
        <w:trPr>
          <w:tblHeader/>
        </w:trPr>
        <w:tc>
          <w:tcPr>
            <w:tcW w:w="2660" w:type="dxa"/>
          </w:tcPr>
          <w:p w14:paraId="33CC746B" w14:textId="77777777" w:rsidR="00A22937" w:rsidRPr="004C2685" w:rsidRDefault="00A22937" w:rsidP="004C2685">
            <w:pPr>
              <w:pStyle w:val="TableText"/>
              <w:rPr>
                <w:b/>
              </w:rPr>
            </w:pPr>
            <w:r w:rsidRPr="004C2685">
              <w:rPr>
                <w:b/>
              </w:rPr>
              <w:t>ESC key issue</w:t>
            </w:r>
          </w:p>
        </w:tc>
        <w:tc>
          <w:tcPr>
            <w:tcW w:w="6356" w:type="dxa"/>
          </w:tcPr>
          <w:p w14:paraId="459B0BE1" w14:textId="77777777" w:rsidR="00A22937" w:rsidRPr="004C2685" w:rsidRDefault="00A22937" w:rsidP="004C2685">
            <w:pPr>
              <w:pStyle w:val="TableText"/>
              <w:rPr>
                <w:b/>
              </w:rPr>
            </w:pPr>
            <w:r w:rsidRPr="004C2685">
              <w:rPr>
                <w:b/>
              </w:rPr>
              <w:t>ESC advice to MSAC</w:t>
            </w:r>
          </w:p>
        </w:tc>
      </w:tr>
      <w:tr w:rsidR="00A22937" w:rsidRPr="002963AF" w14:paraId="7012DC0A" w14:textId="77777777" w:rsidTr="00990F81">
        <w:tc>
          <w:tcPr>
            <w:tcW w:w="2660" w:type="dxa"/>
          </w:tcPr>
          <w:p w14:paraId="3945BA3B" w14:textId="77777777" w:rsidR="00A22937" w:rsidRPr="002963AF" w:rsidRDefault="00A22937" w:rsidP="004C2685">
            <w:pPr>
              <w:pStyle w:val="TableText"/>
            </w:pPr>
            <w:r w:rsidRPr="002963AF">
              <w:t>Population too restrictive</w:t>
            </w:r>
          </w:p>
        </w:tc>
        <w:tc>
          <w:tcPr>
            <w:tcW w:w="6356" w:type="dxa"/>
          </w:tcPr>
          <w:p w14:paraId="43062B25" w14:textId="77777777" w:rsidR="00A22937" w:rsidRPr="002963AF" w:rsidRDefault="00A22937" w:rsidP="004C2685">
            <w:pPr>
              <w:pStyle w:val="TableText"/>
            </w:pPr>
            <w:r w:rsidRPr="002963AF">
              <w:t xml:space="preserve">Population definition is too restrictive and misaligned with patient populations typically recruited for clinical studies. </w:t>
            </w:r>
          </w:p>
          <w:p w14:paraId="5EB20FBE" w14:textId="77777777" w:rsidR="00A22937" w:rsidRPr="002963AF" w:rsidRDefault="00A22937" w:rsidP="004C2685">
            <w:pPr>
              <w:pStyle w:val="TableText"/>
            </w:pPr>
            <w:r w:rsidRPr="002963AF">
              <w:t>Pre-ESC applicant response is contradictory. It acknowledged that evidence for utility of apoB testing exists in broader populations but requested that the PICO remains unchanged. Consider widening the population and extend the search to earlier published studies.</w:t>
            </w:r>
          </w:p>
        </w:tc>
      </w:tr>
      <w:tr w:rsidR="00A22937" w:rsidRPr="002963AF" w14:paraId="72893CAD" w14:textId="77777777" w:rsidTr="00990F81">
        <w:tc>
          <w:tcPr>
            <w:tcW w:w="2660" w:type="dxa"/>
          </w:tcPr>
          <w:p w14:paraId="1E905AAE" w14:textId="77777777" w:rsidR="00A22937" w:rsidRPr="002963AF" w:rsidRDefault="00A22937" w:rsidP="004C2685">
            <w:pPr>
              <w:pStyle w:val="TableText"/>
            </w:pPr>
            <w:r w:rsidRPr="002963AF">
              <w:t>Insufficient evidence for clinical effectiveness</w:t>
            </w:r>
          </w:p>
        </w:tc>
        <w:tc>
          <w:tcPr>
            <w:tcW w:w="6356" w:type="dxa"/>
          </w:tcPr>
          <w:p w14:paraId="22F3802E" w14:textId="77777777" w:rsidR="00A22937" w:rsidRPr="002963AF" w:rsidRDefault="00A22937" w:rsidP="004C2685">
            <w:pPr>
              <w:pStyle w:val="TableText"/>
            </w:pPr>
            <w:r w:rsidRPr="002963AF">
              <w:t>Insufficient</w:t>
            </w:r>
            <w:r w:rsidRPr="002963AF">
              <w:rPr>
                <w:lang w:val="en-US"/>
              </w:rPr>
              <w:t xml:space="preserve"> evidence to support the service in the proposed populations</w:t>
            </w:r>
            <w:r w:rsidRPr="002963AF">
              <w:t>.</w:t>
            </w:r>
          </w:p>
        </w:tc>
      </w:tr>
      <w:tr w:rsidR="00A22937" w:rsidRPr="002963AF" w14:paraId="237FA728" w14:textId="77777777" w:rsidTr="00990F81">
        <w:tc>
          <w:tcPr>
            <w:tcW w:w="2660" w:type="dxa"/>
          </w:tcPr>
          <w:p w14:paraId="15E99C21" w14:textId="77777777" w:rsidR="00A22937" w:rsidRPr="002963AF" w:rsidRDefault="00A22937" w:rsidP="004C2685">
            <w:pPr>
              <w:pStyle w:val="TableText"/>
            </w:pPr>
            <w:r w:rsidRPr="002963AF">
              <w:t>Clinical safety of resultant changes in treatment not considered</w:t>
            </w:r>
          </w:p>
        </w:tc>
        <w:tc>
          <w:tcPr>
            <w:tcW w:w="6356" w:type="dxa"/>
          </w:tcPr>
          <w:p w14:paraId="3E176B64" w14:textId="77777777" w:rsidR="00A22937" w:rsidRPr="002963AF" w:rsidRDefault="00A22937" w:rsidP="004C2685">
            <w:pPr>
              <w:pStyle w:val="TableText"/>
            </w:pPr>
            <w:r w:rsidRPr="002963AF">
              <w:t>Safety of testing is unlikely to be an issue, but the impact of changing risk profile with apoB assessment should be considered.</w:t>
            </w:r>
          </w:p>
        </w:tc>
      </w:tr>
      <w:tr w:rsidR="00A22937" w:rsidRPr="002963AF" w14:paraId="3AE7C7AC" w14:textId="77777777" w:rsidTr="00990F81">
        <w:tc>
          <w:tcPr>
            <w:tcW w:w="2660" w:type="dxa"/>
          </w:tcPr>
          <w:p w14:paraId="733C7C79" w14:textId="77777777" w:rsidR="00A22937" w:rsidRPr="002963AF" w:rsidRDefault="00A22937" w:rsidP="004C2685">
            <w:pPr>
              <w:pStyle w:val="TableText"/>
            </w:pPr>
            <w:r w:rsidRPr="002963AF">
              <w:t>Restriction to one-off testing inappropriate</w:t>
            </w:r>
          </w:p>
        </w:tc>
        <w:tc>
          <w:tcPr>
            <w:tcW w:w="6356" w:type="dxa"/>
          </w:tcPr>
          <w:p w14:paraId="72803114" w14:textId="77777777" w:rsidR="00A22937" w:rsidRPr="002963AF" w:rsidRDefault="00A22937" w:rsidP="004C2685">
            <w:pPr>
              <w:pStyle w:val="TableText"/>
            </w:pPr>
            <w:r w:rsidRPr="002963AF">
              <w:t>Restriction is not justified, and not clinically intuitive.</w:t>
            </w:r>
          </w:p>
        </w:tc>
      </w:tr>
      <w:tr w:rsidR="00A22937" w:rsidRPr="002963AF" w14:paraId="568C56DB" w14:textId="77777777" w:rsidTr="00990F81">
        <w:tc>
          <w:tcPr>
            <w:tcW w:w="2660" w:type="dxa"/>
          </w:tcPr>
          <w:p w14:paraId="68E3F19D" w14:textId="77777777" w:rsidR="00A22937" w:rsidRPr="002963AF" w:rsidRDefault="00A22937" w:rsidP="004C2685">
            <w:pPr>
              <w:pStyle w:val="TableText"/>
            </w:pPr>
            <w:r w:rsidRPr="002963AF">
              <w:t>Economic evaluation not informative</w:t>
            </w:r>
          </w:p>
        </w:tc>
        <w:tc>
          <w:tcPr>
            <w:tcW w:w="6356" w:type="dxa"/>
          </w:tcPr>
          <w:p w14:paraId="0BB915F7" w14:textId="77777777" w:rsidR="00A22937" w:rsidRPr="002963AF" w:rsidRDefault="00A22937" w:rsidP="004C2685">
            <w:pPr>
              <w:pStyle w:val="TableText"/>
            </w:pPr>
            <w:r w:rsidRPr="002963AF">
              <w:t xml:space="preserve">Economic evaluation not informative to MSAC decision-making without a measure of clinical benefit (change in treatment, risk stratification, quality of life). </w:t>
            </w:r>
          </w:p>
        </w:tc>
      </w:tr>
      <w:tr w:rsidR="00A22937" w:rsidRPr="002963AF" w14:paraId="2025B8FD" w14:textId="77777777" w:rsidTr="00990F81">
        <w:tc>
          <w:tcPr>
            <w:tcW w:w="2660" w:type="dxa"/>
          </w:tcPr>
          <w:p w14:paraId="60ECFD40" w14:textId="77777777" w:rsidR="00A22937" w:rsidRPr="002963AF" w:rsidRDefault="00A22937" w:rsidP="004C2685">
            <w:pPr>
              <w:pStyle w:val="TableText"/>
            </w:pPr>
            <w:r w:rsidRPr="002963AF">
              <w:t>Potential for leakage</w:t>
            </w:r>
          </w:p>
        </w:tc>
        <w:tc>
          <w:tcPr>
            <w:tcW w:w="6356" w:type="dxa"/>
          </w:tcPr>
          <w:p w14:paraId="7EBC7D74" w14:textId="77777777" w:rsidR="00A22937" w:rsidRPr="002963AF" w:rsidRDefault="00A22937" w:rsidP="004C2685">
            <w:pPr>
              <w:pStyle w:val="TableText"/>
            </w:pPr>
            <w:r w:rsidRPr="002963AF">
              <w:t>Broader population who would potentially benefit from apoB testing is quite large, creating potential for leakage.</w:t>
            </w:r>
          </w:p>
        </w:tc>
      </w:tr>
    </w:tbl>
    <w:p w14:paraId="5FEB957F" w14:textId="0205BFB1" w:rsidR="00817AC5" w:rsidRDefault="00817AC5">
      <w:pPr>
        <w:spacing w:after="160" w:line="259" w:lineRule="auto"/>
        <w:rPr>
          <w:b/>
          <w:color w:val="000000"/>
        </w:rPr>
      </w:pPr>
      <w:r>
        <w:rPr>
          <w:b/>
          <w:color w:val="000000"/>
        </w:rPr>
        <w:br w:type="page"/>
      </w:r>
    </w:p>
    <w:p w14:paraId="6BD3066C" w14:textId="77777777" w:rsidR="00817AC5" w:rsidRPr="00817AC5" w:rsidRDefault="00817AC5" w:rsidP="00817AC5">
      <w:pPr>
        <w:spacing w:after="120"/>
        <w:rPr>
          <w:b/>
          <w:color w:val="000000"/>
        </w:rPr>
      </w:pPr>
      <w:r w:rsidRPr="00817AC5">
        <w:rPr>
          <w:b/>
          <w:color w:val="000000"/>
        </w:rPr>
        <w:lastRenderedPageBreak/>
        <w:t>ESC Discussion</w:t>
      </w:r>
    </w:p>
    <w:p w14:paraId="19AA3C8C" w14:textId="77777777" w:rsidR="00A22937" w:rsidRPr="002963AF" w:rsidRDefault="00A22937" w:rsidP="00A22937">
      <w:pPr>
        <w:spacing w:after="240"/>
        <w:rPr>
          <w:color w:val="000000"/>
        </w:rPr>
      </w:pPr>
      <w:r w:rsidRPr="002963AF">
        <w:rPr>
          <w:color w:val="000000"/>
        </w:rPr>
        <w:t>ESC noted that after the PICO was ratified in November 2018, there was ongoing consultation between the applicant and the assessment group to refine the proposed populations. It was suggested to the applicant that broadening the population to include patients receiving statin therapies would improve the overall evidence base for apoB testing in a monitoring setting. However, the applicant chose to limit the application to once per lifetime apoB testing in two populations (see Section </w:t>
      </w:r>
      <w:r>
        <w:rPr>
          <w:color w:val="000000"/>
        </w:rPr>
        <w:t>2</w:t>
      </w:r>
      <w:r w:rsidRPr="002963AF">
        <w:rPr>
          <w:color w:val="000000"/>
        </w:rPr>
        <w:t>. Purpose of applicati</w:t>
      </w:r>
      <w:r w:rsidR="00763ABF">
        <w:rPr>
          <w:color w:val="000000"/>
        </w:rPr>
        <w:t>on).</w:t>
      </w:r>
    </w:p>
    <w:p w14:paraId="32E17C22" w14:textId="77777777" w:rsidR="00A22937" w:rsidRPr="002963AF" w:rsidRDefault="00A22937" w:rsidP="00A22937">
      <w:pPr>
        <w:spacing w:after="240"/>
        <w:rPr>
          <w:color w:val="000000"/>
        </w:rPr>
      </w:pPr>
      <w:r w:rsidRPr="002963AF">
        <w:rPr>
          <w:color w:val="000000"/>
        </w:rPr>
        <w:t xml:space="preserve">ESC considered that apoB has a role in identifying high-risk patients who are not currently being treated; this would include not only patients with </w:t>
      </w:r>
      <w:proofErr w:type="spellStart"/>
      <w:r w:rsidRPr="002963AF">
        <w:rPr>
          <w:color w:val="000000"/>
        </w:rPr>
        <w:t>cholestatic</w:t>
      </w:r>
      <w:proofErr w:type="spellEnd"/>
      <w:r w:rsidRPr="002963AF">
        <w:rPr>
          <w:color w:val="000000"/>
        </w:rPr>
        <w:t xml:space="preserve"> liver disease</w:t>
      </w:r>
      <w:r>
        <w:rPr>
          <w:color w:val="000000"/>
        </w:rPr>
        <w:t xml:space="preserve"> (for which there are many aetiologies)</w:t>
      </w:r>
      <w:r w:rsidRPr="002963AF">
        <w:rPr>
          <w:color w:val="000000"/>
        </w:rPr>
        <w:t xml:space="preserve"> but also those with fatty liver disease who often do not receive statins. However, the applicant did not clearly state that the proposed populations are undertreated, and did not provide any evidence as to how undertreated they are, or how they are treated and whether apoB testing would make a difference. ESC noted that overtreatment would also be a problem because of the side effect profile of statins.</w:t>
      </w:r>
    </w:p>
    <w:p w14:paraId="0F6403D0" w14:textId="77777777" w:rsidR="00A22937" w:rsidRPr="002963AF" w:rsidRDefault="00A22937" w:rsidP="00A22937">
      <w:pPr>
        <w:spacing w:after="240"/>
        <w:rPr>
          <w:color w:val="000000"/>
        </w:rPr>
      </w:pPr>
      <w:r w:rsidRPr="002963AF">
        <w:rPr>
          <w:color w:val="000000"/>
        </w:rPr>
        <w:t>ESC considered that, although the two chosen populations are appropriate because test results could influence clinical management, a broader population would need to be included to generate sufficient evi</w:t>
      </w:r>
      <w:r w:rsidR="00763ABF">
        <w:rPr>
          <w:color w:val="000000"/>
        </w:rPr>
        <w:t>dence for MSAC decision-making.</w:t>
      </w:r>
    </w:p>
    <w:p w14:paraId="0AF305C7" w14:textId="77777777" w:rsidR="00A22937" w:rsidRPr="002963AF" w:rsidRDefault="00A22937" w:rsidP="00A22937">
      <w:pPr>
        <w:spacing w:after="240"/>
        <w:rPr>
          <w:color w:val="000000"/>
        </w:rPr>
      </w:pPr>
      <w:r w:rsidRPr="002963AF">
        <w:rPr>
          <w:color w:val="000000"/>
        </w:rPr>
        <w:t xml:space="preserve">ESC noted the applicant’s clinical claim that apoB provides a more direct measure of circulating </w:t>
      </w:r>
      <w:proofErr w:type="spellStart"/>
      <w:r w:rsidRPr="002963AF">
        <w:rPr>
          <w:color w:val="000000"/>
        </w:rPr>
        <w:t>atherogenic</w:t>
      </w:r>
      <w:proofErr w:type="spellEnd"/>
      <w:r w:rsidRPr="002963AF">
        <w:rPr>
          <w:color w:val="000000"/>
        </w:rPr>
        <w:t xml:space="preserve"> lipoproteins and is therefore superior to LDL-C (low-density lipoprotein cholestero</w:t>
      </w:r>
      <w:r>
        <w:rPr>
          <w:color w:val="000000"/>
        </w:rPr>
        <w:t>l) and non-HDL-C as a marker of cardiovascular (</w:t>
      </w:r>
      <w:r w:rsidRPr="002963AF">
        <w:rPr>
          <w:color w:val="000000"/>
        </w:rPr>
        <w:t>CVD</w:t>
      </w:r>
      <w:r>
        <w:rPr>
          <w:color w:val="000000"/>
        </w:rPr>
        <w:t>)</w:t>
      </w:r>
      <w:r w:rsidRPr="002963AF">
        <w:rPr>
          <w:color w:val="000000"/>
        </w:rPr>
        <w:t xml:space="preserve"> risk. ESC noted that there are data to support apoB being a better marker of risk and </w:t>
      </w:r>
      <w:proofErr w:type="spellStart"/>
      <w:r w:rsidRPr="002963AF">
        <w:rPr>
          <w:color w:val="000000"/>
        </w:rPr>
        <w:t>atherogenic</w:t>
      </w:r>
      <w:proofErr w:type="spellEnd"/>
      <w:r w:rsidRPr="002963AF">
        <w:rPr>
          <w:color w:val="000000"/>
        </w:rPr>
        <w:t xml:space="preserve"> outcomes because of its 1:1 relationship with </w:t>
      </w:r>
      <w:proofErr w:type="spellStart"/>
      <w:r w:rsidRPr="002963AF">
        <w:rPr>
          <w:color w:val="000000"/>
        </w:rPr>
        <w:t>atherogenic</w:t>
      </w:r>
      <w:proofErr w:type="spellEnd"/>
      <w:r w:rsidRPr="002963AF">
        <w:rPr>
          <w:color w:val="000000"/>
        </w:rPr>
        <w:t xml:space="preserve"> lipoprotein par</w:t>
      </w:r>
      <w:r w:rsidR="00763ABF">
        <w:rPr>
          <w:color w:val="000000"/>
        </w:rPr>
        <w:t>ticles.</w:t>
      </w:r>
    </w:p>
    <w:p w14:paraId="28315426" w14:textId="77777777" w:rsidR="00A22937" w:rsidRPr="002963AF" w:rsidRDefault="00A22937" w:rsidP="00A22937">
      <w:pPr>
        <w:spacing w:after="240"/>
        <w:rPr>
          <w:color w:val="000000"/>
        </w:rPr>
      </w:pPr>
      <w:r w:rsidRPr="002963AF">
        <w:rPr>
          <w:color w:val="000000"/>
        </w:rPr>
        <w:t>ESC noted that LDL-C estimation is already MBS listed.</w:t>
      </w:r>
    </w:p>
    <w:p w14:paraId="0775F9C5" w14:textId="77777777" w:rsidR="00A22937" w:rsidRPr="002963AF" w:rsidRDefault="00A22937" w:rsidP="00A22937">
      <w:pPr>
        <w:spacing w:after="240"/>
        <w:rPr>
          <w:color w:val="000000"/>
          <w:lang w:val="en-US"/>
        </w:rPr>
      </w:pPr>
      <w:r w:rsidRPr="002963AF">
        <w:rPr>
          <w:color w:val="000000"/>
        </w:rPr>
        <w:t xml:space="preserve">In relation to population 1, ESC noted that </w:t>
      </w:r>
      <w:r w:rsidRPr="002963AF">
        <w:rPr>
          <w:color w:val="000000"/>
          <w:lang w:val="en-US"/>
        </w:rPr>
        <w:t xml:space="preserve">cut-offs for triglyceride in the diagnosis of </w:t>
      </w:r>
      <w:proofErr w:type="spellStart"/>
      <w:r w:rsidRPr="002963AF">
        <w:rPr>
          <w:color w:val="000000"/>
          <w:lang w:val="en-US"/>
        </w:rPr>
        <w:t>hypertriglyceridaemia</w:t>
      </w:r>
      <w:proofErr w:type="spellEnd"/>
      <w:r w:rsidRPr="002963AF">
        <w:rPr>
          <w:color w:val="000000"/>
          <w:lang w:val="en-US"/>
        </w:rPr>
        <w:t xml:space="preserve"> are inconsistent between laboratories. However, ESC considered that this would not have much impact on this application.</w:t>
      </w:r>
    </w:p>
    <w:p w14:paraId="53FBA460" w14:textId="77777777" w:rsidR="00A22937" w:rsidRPr="002963AF" w:rsidRDefault="00A22937" w:rsidP="00A22937">
      <w:pPr>
        <w:spacing w:after="240"/>
        <w:rPr>
          <w:color w:val="000000"/>
          <w:lang w:val="en-US"/>
        </w:rPr>
      </w:pPr>
      <w:r w:rsidRPr="002963AF">
        <w:rPr>
          <w:color w:val="000000"/>
          <w:lang w:val="en-US"/>
        </w:rPr>
        <w:t>ESC noted that there are no studies that identify a total cholesterol cut-off for population 2.</w:t>
      </w:r>
    </w:p>
    <w:p w14:paraId="77DDDE59" w14:textId="77777777" w:rsidR="00A22937" w:rsidRPr="002963AF" w:rsidRDefault="00A22937" w:rsidP="00A22937">
      <w:pPr>
        <w:spacing w:after="240"/>
        <w:rPr>
          <w:color w:val="000000"/>
        </w:rPr>
      </w:pPr>
      <w:r w:rsidRPr="002963AF">
        <w:rPr>
          <w:color w:val="000000"/>
          <w:lang w:val="en-US"/>
        </w:rPr>
        <w:t>ESC considered that the restriction to one test per lifetime is not clinically appropriate given the dynamic nature of cholesterol levels. ESC considered that there may be clinical value in ongoing monitoring of apoB after medical therapy and over time.</w:t>
      </w:r>
    </w:p>
    <w:p w14:paraId="15A7F69E" w14:textId="77777777" w:rsidR="00A22937" w:rsidRPr="002963AF" w:rsidRDefault="00A22937" w:rsidP="00A22937">
      <w:pPr>
        <w:spacing w:after="240"/>
        <w:rPr>
          <w:color w:val="000000"/>
        </w:rPr>
      </w:pPr>
      <w:r w:rsidRPr="002963AF">
        <w:rPr>
          <w:color w:val="000000"/>
        </w:rPr>
        <w:t>ESC noted issues raised by consumer consultation: a lack of clarity around population selection (i.e. whether selection is based on clinical utility or higher clinical need) could confuse consumers; most people with some degree of CVD risk will already be receiving lipid-lowering therapy; the impact of testing on patient self-management has not been considered; patients may be subjected to unnecessary changes in therapy; lack of evidence about effectiveness could lead to patient complacency or undue anxiety</w:t>
      </w:r>
      <w:r>
        <w:rPr>
          <w:color w:val="000000"/>
        </w:rPr>
        <w:t>; and there was limited discussion of apoB testing’s use in primary care setting.</w:t>
      </w:r>
    </w:p>
    <w:p w14:paraId="67ACCFA8" w14:textId="77777777" w:rsidR="00A22937" w:rsidRDefault="00A22937" w:rsidP="00A22937">
      <w:pPr>
        <w:spacing w:after="240"/>
        <w:rPr>
          <w:color w:val="000000"/>
        </w:rPr>
      </w:pPr>
      <w:r w:rsidRPr="002963AF">
        <w:rPr>
          <w:color w:val="000000"/>
        </w:rPr>
        <w:t>ESC agreed with the Critique that standard care is the appropriate comparator.</w:t>
      </w:r>
    </w:p>
    <w:p w14:paraId="6BA74C13" w14:textId="77777777" w:rsidR="00A22937" w:rsidRPr="002963AF" w:rsidRDefault="00A22937" w:rsidP="00A22937">
      <w:pPr>
        <w:spacing w:after="240"/>
        <w:rPr>
          <w:color w:val="000000"/>
        </w:rPr>
      </w:pPr>
      <w:r w:rsidRPr="002963AF">
        <w:rPr>
          <w:color w:val="000000"/>
        </w:rPr>
        <w:t xml:space="preserve">ESC noted that in the current clinical management algorithm, current lipid estimates may incorrectly assess patients to be at moderate CVD risk when they are actually at high risk. The application proposes that adding apoB testing will allow correct identification of patients </w:t>
      </w:r>
      <w:r w:rsidRPr="002963AF">
        <w:rPr>
          <w:color w:val="000000"/>
        </w:rPr>
        <w:lastRenderedPageBreak/>
        <w:t>at high risk. However, ESC considered that the choice of proposed populations resulted in the clinical data being insufficient to support this claim.</w:t>
      </w:r>
    </w:p>
    <w:p w14:paraId="0C1E7243" w14:textId="77777777" w:rsidR="00A22937" w:rsidRPr="002963AF" w:rsidRDefault="00A22937" w:rsidP="00A22937">
      <w:pPr>
        <w:spacing w:after="240"/>
        <w:rPr>
          <w:color w:val="000000"/>
        </w:rPr>
      </w:pPr>
      <w:r w:rsidRPr="002963AF">
        <w:rPr>
          <w:color w:val="000000"/>
        </w:rPr>
        <w:t>ESC noted that literature searches were restricted to 2008–2019. ESC agreed with the Critique that the literature review was too restrictive, and noted that relevant studies would h</w:t>
      </w:r>
      <w:r w:rsidR="00763ABF">
        <w:rPr>
          <w:color w:val="000000"/>
        </w:rPr>
        <w:t>ave been published before 2008.</w:t>
      </w:r>
    </w:p>
    <w:p w14:paraId="07122379" w14:textId="77777777" w:rsidR="00A22937" w:rsidRDefault="00A22937" w:rsidP="00A22937">
      <w:pPr>
        <w:spacing w:after="240"/>
        <w:rPr>
          <w:color w:val="000000"/>
        </w:rPr>
      </w:pPr>
      <w:r w:rsidRPr="002963AF">
        <w:rPr>
          <w:color w:val="000000"/>
        </w:rPr>
        <w:t>ESC considered it likely that the pre-specified populations are too restrictive and misalign with patient populations typically recruited for clinical studies. Restriction to these populations may lead to exclusion of patients who would otherwise benefit from apoB testing.</w:t>
      </w:r>
    </w:p>
    <w:p w14:paraId="5DE79619" w14:textId="77777777" w:rsidR="00A22937" w:rsidRPr="002963AF" w:rsidRDefault="00A22937" w:rsidP="00A22937">
      <w:pPr>
        <w:spacing w:after="240"/>
        <w:rPr>
          <w:color w:val="000000"/>
        </w:rPr>
      </w:pPr>
      <w:r w:rsidRPr="002963AF">
        <w:rPr>
          <w:color w:val="000000"/>
        </w:rPr>
        <w:t>ESC agreed with the Critique that, overall, the included studies provide insufficient information to answer the research question.</w:t>
      </w:r>
      <w:r>
        <w:rPr>
          <w:color w:val="000000"/>
        </w:rPr>
        <w:t xml:space="preserve"> </w:t>
      </w:r>
      <w:r w:rsidRPr="002963AF">
        <w:rPr>
          <w:color w:val="000000"/>
        </w:rPr>
        <w:t xml:space="preserve">ESC </w:t>
      </w:r>
      <w:r>
        <w:rPr>
          <w:color w:val="000000"/>
        </w:rPr>
        <w:t xml:space="preserve">also </w:t>
      </w:r>
      <w:r w:rsidRPr="002963AF">
        <w:rPr>
          <w:color w:val="000000"/>
        </w:rPr>
        <w:t xml:space="preserve">agreed with the Critique that it </w:t>
      </w:r>
      <w:r>
        <w:rPr>
          <w:color w:val="000000"/>
        </w:rPr>
        <w:t>would have been</w:t>
      </w:r>
      <w:r w:rsidRPr="002963AF">
        <w:rPr>
          <w:color w:val="000000"/>
        </w:rPr>
        <w:t xml:space="preserve"> more appropriate to broaden the scope of the literature search to include large cohort prospective studies using regression analysis to determine the association between apoB and CVD</w:t>
      </w:r>
      <w:r>
        <w:rPr>
          <w:color w:val="000000"/>
        </w:rPr>
        <w:t xml:space="preserve">, and then assess the applicability of that evidence to the intended population. </w:t>
      </w:r>
      <w:r w:rsidRPr="002963AF">
        <w:rPr>
          <w:color w:val="000000"/>
        </w:rPr>
        <w:t xml:space="preserve">Relevant studies include: the Framingham study; a study by </w:t>
      </w:r>
      <w:proofErr w:type="spellStart"/>
      <w:r w:rsidRPr="002963AF">
        <w:rPr>
          <w:color w:val="000000"/>
        </w:rPr>
        <w:t>Thanassoulis</w:t>
      </w:r>
      <w:proofErr w:type="spellEnd"/>
      <w:r w:rsidRPr="002963AF">
        <w:rPr>
          <w:color w:val="000000"/>
        </w:rPr>
        <w:t xml:space="preserve"> et al. (2014), which demonstrated that relative risk reduction from statin therapy was more closely related to reductions in apoB than to reductions in either LDL</w:t>
      </w:r>
      <w:r w:rsidRPr="002963AF">
        <w:rPr>
          <w:rFonts w:ascii="Cambria Math" w:hAnsi="Cambria Math" w:cs="Cambria Math"/>
          <w:color w:val="000000"/>
        </w:rPr>
        <w:t>‐</w:t>
      </w:r>
      <w:r w:rsidRPr="002963AF">
        <w:rPr>
          <w:color w:val="000000"/>
        </w:rPr>
        <w:t>C or non</w:t>
      </w:r>
      <w:r w:rsidRPr="002963AF">
        <w:rPr>
          <w:rFonts w:ascii="Cambria Math" w:hAnsi="Cambria Math" w:cs="Cambria Math"/>
          <w:color w:val="000000"/>
        </w:rPr>
        <w:t>‐</w:t>
      </w:r>
      <w:r w:rsidRPr="002963AF">
        <w:rPr>
          <w:color w:val="000000"/>
        </w:rPr>
        <w:t>HDL</w:t>
      </w:r>
      <w:r w:rsidRPr="002963AF">
        <w:rPr>
          <w:rFonts w:ascii="Cambria Math" w:hAnsi="Cambria Math" w:cs="Cambria Math"/>
          <w:color w:val="000000"/>
        </w:rPr>
        <w:t>‐</w:t>
      </w:r>
      <w:r w:rsidRPr="002963AF">
        <w:rPr>
          <w:color w:val="000000"/>
        </w:rPr>
        <w:t>C; and the Women’s Health Study (</w:t>
      </w:r>
      <w:proofErr w:type="spellStart"/>
      <w:r w:rsidRPr="002963AF">
        <w:rPr>
          <w:color w:val="000000"/>
        </w:rPr>
        <w:t>Ridker</w:t>
      </w:r>
      <w:proofErr w:type="spellEnd"/>
      <w:r w:rsidRPr="002963AF">
        <w:rPr>
          <w:color w:val="000000"/>
        </w:rPr>
        <w:t xml:space="preserve"> et al., 2005), which showed apoB to be a better predictor of CVD in women than LDL-C or non-HDL-C.</w:t>
      </w:r>
    </w:p>
    <w:p w14:paraId="18761F51" w14:textId="77777777" w:rsidR="00A22937" w:rsidRPr="002963AF" w:rsidRDefault="00A22937" w:rsidP="00A22937">
      <w:pPr>
        <w:keepNext/>
        <w:spacing w:after="120"/>
        <w:rPr>
          <w:color w:val="000000"/>
        </w:rPr>
      </w:pPr>
      <w:r w:rsidRPr="002963AF">
        <w:rPr>
          <w:color w:val="000000"/>
        </w:rPr>
        <w:t>ESC noted that the following evidence was sought for the linked evidence analysis:</w:t>
      </w:r>
    </w:p>
    <w:p w14:paraId="069C1EED" w14:textId="77777777" w:rsidR="00A22937" w:rsidRPr="002963AF" w:rsidRDefault="00A22937" w:rsidP="00A22937">
      <w:pPr>
        <w:pStyle w:val="ListParagraph"/>
        <w:numPr>
          <w:ilvl w:val="0"/>
          <w:numId w:val="4"/>
        </w:numPr>
        <w:tabs>
          <w:tab w:val="num" w:pos="360"/>
        </w:tabs>
        <w:spacing w:after="120"/>
        <w:ind w:left="851" w:hanging="425"/>
        <w:rPr>
          <w:color w:val="000000"/>
        </w:rPr>
      </w:pPr>
      <w:r>
        <w:rPr>
          <w:color w:val="000000"/>
        </w:rPr>
        <w:t>C</w:t>
      </w:r>
      <w:r w:rsidRPr="002963AF">
        <w:rPr>
          <w:color w:val="000000"/>
        </w:rPr>
        <w:t>linical validity: apoB testing compared to non-HDL-C in terms of positive predictive value, negative predictive value, prognostic value, and morbidity and mortality of CVD</w:t>
      </w:r>
    </w:p>
    <w:p w14:paraId="2E5B1BED" w14:textId="77777777" w:rsidR="00A22937" w:rsidRPr="002963AF" w:rsidRDefault="00A22937" w:rsidP="00A22937">
      <w:pPr>
        <w:pStyle w:val="ListParagraph"/>
        <w:numPr>
          <w:ilvl w:val="0"/>
          <w:numId w:val="4"/>
        </w:numPr>
        <w:tabs>
          <w:tab w:val="num" w:pos="360"/>
        </w:tabs>
        <w:spacing w:after="240"/>
        <w:ind w:left="851" w:hanging="425"/>
        <w:rPr>
          <w:color w:val="000000"/>
        </w:rPr>
      </w:pPr>
      <w:r>
        <w:rPr>
          <w:color w:val="000000"/>
        </w:rPr>
        <w:t>C</w:t>
      </w:r>
      <w:r w:rsidRPr="002963AF">
        <w:rPr>
          <w:color w:val="000000"/>
        </w:rPr>
        <w:t>linical utility: apoB testing compared to non-HDL-C in terms of the impact on clinical management.</w:t>
      </w:r>
    </w:p>
    <w:p w14:paraId="784B24EB" w14:textId="77777777" w:rsidR="00A22937" w:rsidRPr="002963AF" w:rsidRDefault="00A22937" w:rsidP="00A22937">
      <w:pPr>
        <w:spacing w:after="240"/>
        <w:rPr>
          <w:color w:val="000000"/>
        </w:rPr>
      </w:pPr>
      <w:r w:rsidRPr="002963AF">
        <w:rPr>
          <w:color w:val="000000"/>
        </w:rPr>
        <w:t>ESC noted that evaluation of the prognostic power/clinical validity of apoB testing in population 1 was based on two studies that performed a baseline apoB and non-HDL-C test, and follow-up observation on the incidence of new CVD events (Bhatt et al 2019, Zhao et al 2016). ESC noted that no studies of clinical utility, therapeutic efficacy or therapeutic effectiveness in population 1 were identified.</w:t>
      </w:r>
    </w:p>
    <w:p w14:paraId="75D432B2" w14:textId="77777777" w:rsidR="00A22937" w:rsidRPr="002963AF" w:rsidRDefault="00A22937" w:rsidP="00A22937">
      <w:pPr>
        <w:spacing w:after="240"/>
        <w:rPr>
          <w:color w:val="000000"/>
        </w:rPr>
      </w:pPr>
      <w:r w:rsidRPr="002963AF">
        <w:rPr>
          <w:color w:val="000000"/>
        </w:rPr>
        <w:t>ESC agreed that because apoB testing is performed on the same blood specimen as other lipid tests, there are no additional safety issues associated with the apoB test itself. However, ESC noted that potential harms of changes in management resulting from changing a patient’s risk category (e.g. treatment inappropriately prescribed or withheld) were not considered.</w:t>
      </w:r>
    </w:p>
    <w:p w14:paraId="68A9C315" w14:textId="77777777" w:rsidR="00A22937" w:rsidRPr="002963AF" w:rsidRDefault="00A22937" w:rsidP="00A22937">
      <w:pPr>
        <w:spacing w:after="240"/>
        <w:rPr>
          <w:color w:val="000000"/>
        </w:rPr>
      </w:pPr>
      <w:r w:rsidRPr="002963AF">
        <w:rPr>
          <w:color w:val="000000"/>
        </w:rPr>
        <w:t>ESC noted that the two studies assessing prognostic value of apoB testing in population 1 both showed that apoB and non-HDL-C performed similarly in predicting subsequent CVD risk and morbidity over the duration of the trial. However, ESC noted that assessment of these outcomes was not the primary intention of either trial. ESC agreed with the Critique that poor quality data and lack of evidence linkages lead to critical uncertainties about the clinical validity of apoB testing compared with non-HDL-C testing.</w:t>
      </w:r>
    </w:p>
    <w:p w14:paraId="53ADF689" w14:textId="77777777" w:rsidR="00A22937" w:rsidRPr="002963AF" w:rsidRDefault="00A22937" w:rsidP="00A22937">
      <w:pPr>
        <w:spacing w:after="240"/>
        <w:rPr>
          <w:color w:val="000000"/>
        </w:rPr>
      </w:pPr>
      <w:r w:rsidRPr="002963AF">
        <w:rPr>
          <w:color w:val="000000"/>
        </w:rPr>
        <w:t xml:space="preserve">ESC considered cost-consequence analysis to be appropriate given the limited data available. However, ESC noted that the outcomes of the economic model related only to the incremental cost of an apoB test and the number of patients with known apoB values. No </w:t>
      </w:r>
      <w:r w:rsidRPr="002963AF">
        <w:rPr>
          <w:color w:val="000000"/>
        </w:rPr>
        <w:lastRenderedPageBreak/>
        <w:t>assumptions were incorporated into the model structure; modelling to final outcomes was not considered feasible due to applicability concerns (poor overlap between studies and the proposed populations), heterogeneity in the included studies, uncertain comparative effectiveness (risk stratification, health-related quality of life) and uncertai</w:t>
      </w:r>
      <w:r w:rsidR="00763ABF">
        <w:rPr>
          <w:color w:val="000000"/>
        </w:rPr>
        <w:t>n impact on patient management.</w:t>
      </w:r>
    </w:p>
    <w:p w14:paraId="53D7D3EA" w14:textId="77777777" w:rsidR="00A22937" w:rsidRPr="002963AF" w:rsidRDefault="00A22937" w:rsidP="00A22937">
      <w:pPr>
        <w:spacing w:after="240"/>
        <w:rPr>
          <w:color w:val="000000"/>
        </w:rPr>
      </w:pPr>
      <w:r w:rsidRPr="002963AF">
        <w:rPr>
          <w:color w:val="000000"/>
        </w:rPr>
        <w:t>ESC noted that the main driver of the estimated financial impact was an assumption that 10% of patients with mild to moderately elevated triglyceride concentrations would progress to apoB testing for more precise cardiovascular risk assessment. This was based on a value of 5–10% provided by the applicant. However, because the source of this proportion was unclear, ESC considered the financial estimates to be uncertain.</w:t>
      </w:r>
    </w:p>
    <w:p w14:paraId="19E9924D" w14:textId="77777777" w:rsidR="00A22937" w:rsidRPr="002963AF" w:rsidRDefault="00A22937" w:rsidP="00A22937">
      <w:pPr>
        <w:spacing w:after="240"/>
        <w:rPr>
          <w:color w:val="000000"/>
        </w:rPr>
      </w:pPr>
      <w:r w:rsidRPr="002963AF">
        <w:rPr>
          <w:color w:val="000000"/>
        </w:rPr>
        <w:t>ESC considered it appropriate that estimates of the total cost to the MBS should include an additional GP consultation; in practice, apoB testing would only be ordered after other lipid tests so an additional GP consultation would be necessary for all patients.</w:t>
      </w:r>
    </w:p>
    <w:p w14:paraId="309E42BB" w14:textId="77777777" w:rsidR="00A22937" w:rsidRPr="002963AF" w:rsidRDefault="00A22937" w:rsidP="00A22937">
      <w:pPr>
        <w:spacing w:after="240"/>
        <w:rPr>
          <w:color w:val="000000"/>
        </w:rPr>
      </w:pPr>
      <w:r w:rsidRPr="002963AF">
        <w:rPr>
          <w:color w:val="000000"/>
        </w:rPr>
        <w:t>ESC noted that the population who would potentially benefit from apoB testing is quite large, which creates a potential leakage issue.</w:t>
      </w:r>
    </w:p>
    <w:p w14:paraId="4272C099" w14:textId="77777777" w:rsidR="00A22937" w:rsidRDefault="00A22937" w:rsidP="00A22937">
      <w:pPr>
        <w:spacing w:after="240"/>
        <w:rPr>
          <w:color w:val="000000"/>
        </w:rPr>
      </w:pPr>
      <w:r w:rsidRPr="002963AF">
        <w:rPr>
          <w:color w:val="000000"/>
        </w:rPr>
        <w:t xml:space="preserve">ESC considered that there is insufficient evidence of incremental benefit of </w:t>
      </w:r>
      <w:r>
        <w:rPr>
          <w:color w:val="000000"/>
        </w:rPr>
        <w:t xml:space="preserve">the addition of </w:t>
      </w:r>
      <w:r w:rsidRPr="002963AF">
        <w:rPr>
          <w:color w:val="000000"/>
        </w:rPr>
        <w:t xml:space="preserve">apoB testing </w:t>
      </w:r>
      <w:r>
        <w:rPr>
          <w:color w:val="000000"/>
        </w:rPr>
        <w:t xml:space="preserve">to that currently performed </w:t>
      </w:r>
      <w:r w:rsidRPr="002963AF">
        <w:rPr>
          <w:color w:val="000000"/>
        </w:rPr>
        <w:t>to justify the additional cost.</w:t>
      </w:r>
    </w:p>
    <w:p w14:paraId="47537E0E" w14:textId="77777777" w:rsidR="00A22937" w:rsidRPr="002963AF" w:rsidRDefault="00A22937" w:rsidP="00A22937">
      <w:pPr>
        <w:spacing w:after="240"/>
        <w:rPr>
          <w:color w:val="000000"/>
        </w:rPr>
      </w:pPr>
      <w:r w:rsidRPr="002963AF">
        <w:rPr>
          <w:color w:val="000000"/>
        </w:rPr>
        <w:t xml:space="preserve">ESC considered that genetic tests currently under development </w:t>
      </w:r>
      <w:r>
        <w:rPr>
          <w:color w:val="000000"/>
        </w:rPr>
        <w:t>could</w:t>
      </w:r>
      <w:r w:rsidRPr="002963AF">
        <w:rPr>
          <w:color w:val="000000"/>
        </w:rPr>
        <w:t xml:space="preserve"> have better predictive value for CVD risk than </w:t>
      </w:r>
      <w:r>
        <w:rPr>
          <w:color w:val="000000"/>
        </w:rPr>
        <w:t xml:space="preserve">for </w:t>
      </w:r>
      <w:r w:rsidRPr="002963AF">
        <w:rPr>
          <w:color w:val="000000"/>
        </w:rPr>
        <w:t xml:space="preserve">current tests </w:t>
      </w:r>
      <w:r>
        <w:rPr>
          <w:color w:val="000000"/>
        </w:rPr>
        <w:t>with the addition of</w:t>
      </w:r>
      <w:r w:rsidRPr="002963AF">
        <w:rPr>
          <w:color w:val="000000"/>
        </w:rPr>
        <w:t xml:space="preserve"> apoB testing</w:t>
      </w:r>
      <w:r>
        <w:rPr>
          <w:color w:val="000000"/>
        </w:rPr>
        <w:t>, and will require separate assessment once data becomes available</w:t>
      </w:r>
      <w:r w:rsidRPr="002963AF">
        <w:rPr>
          <w:color w:val="000000"/>
        </w:rPr>
        <w:t>.</w:t>
      </w:r>
    </w:p>
    <w:p w14:paraId="6917BC12" w14:textId="77777777" w:rsidR="00A37C79" w:rsidRPr="00F715D1" w:rsidRDefault="00A37C79" w:rsidP="00A37C79">
      <w:pPr>
        <w:pStyle w:val="Heading1"/>
      </w:pPr>
      <w:r w:rsidRPr="00F715D1">
        <w:t>Other significant factors</w:t>
      </w:r>
    </w:p>
    <w:p w14:paraId="4E96E856" w14:textId="77777777" w:rsidR="00A37C79" w:rsidRPr="005A4362" w:rsidRDefault="00763ABF" w:rsidP="00763ABF">
      <w:r>
        <w:t>Nil.</w:t>
      </w:r>
    </w:p>
    <w:p w14:paraId="0E5C175E" w14:textId="77777777" w:rsidR="00A37C79" w:rsidRPr="00F715D1" w:rsidRDefault="00A37C79" w:rsidP="00A37C79">
      <w:pPr>
        <w:pStyle w:val="Heading1"/>
      </w:pPr>
      <w:r w:rsidRPr="00F715D1">
        <w:t>Applicant’s comments on MSAC’s Public Summary Document</w:t>
      </w:r>
    </w:p>
    <w:p w14:paraId="7DF928BE" w14:textId="4E2A1810" w:rsidR="00A37C79" w:rsidRPr="004E5E93" w:rsidRDefault="00A37C79" w:rsidP="00A37C79">
      <w:pPr>
        <w:spacing w:after="240"/>
        <w:rPr>
          <w:szCs w:val="24"/>
        </w:rPr>
      </w:pPr>
      <w:r w:rsidRPr="004E5E93">
        <w:rPr>
          <w:szCs w:val="24"/>
        </w:rPr>
        <w:t xml:space="preserve">The </w:t>
      </w:r>
      <w:r w:rsidR="004E5E93" w:rsidRPr="004E5E93">
        <w:rPr>
          <w:szCs w:val="24"/>
        </w:rPr>
        <w:t>applicant had no comment.</w:t>
      </w:r>
    </w:p>
    <w:p w14:paraId="5A9CF8AF" w14:textId="77777777" w:rsidR="00A37C79" w:rsidRPr="00F715D1" w:rsidRDefault="00A37C79" w:rsidP="00A37C79">
      <w:pPr>
        <w:pStyle w:val="Heading1"/>
      </w:pPr>
      <w:r w:rsidRPr="00F715D1">
        <w:t>Further information on MSAC</w:t>
      </w:r>
    </w:p>
    <w:p w14:paraId="52FD2E8F" w14:textId="77777777" w:rsidR="00280050" w:rsidRPr="00763ABF" w:rsidRDefault="00A37C79" w:rsidP="00763ABF">
      <w:pPr>
        <w:spacing w:after="240"/>
        <w:rPr>
          <w:szCs w:val="24"/>
        </w:rPr>
      </w:pPr>
      <w:r w:rsidRPr="00F715D1">
        <w:rPr>
          <w:szCs w:val="24"/>
        </w:rPr>
        <w:t xml:space="preserve">MSAC Terms of Reference and other information are available on the MSAC Website: </w:t>
      </w:r>
      <w:r>
        <w:rPr>
          <w:szCs w:val="24"/>
        </w:rPr>
        <w:br/>
      </w:r>
      <w:hyperlink r:id="rId17" w:tooltip="Link to Medical Services Advisory Committee website" w:history="1">
        <w:r w:rsidRPr="00F715D1">
          <w:rPr>
            <w:rStyle w:val="Hyperlink"/>
            <w:szCs w:val="24"/>
          </w:rPr>
          <w:t>visit the MSAC website</w:t>
        </w:r>
      </w:hyperlink>
    </w:p>
    <w:sectPr w:rsidR="00280050" w:rsidRPr="00763ABF" w:rsidSect="00271F18">
      <w:footerReference w:type="defaul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8BFDE" w16cid:durableId="21A47D01"/>
  <w16cid:commentId w16cid:paraId="4F457247" w16cid:durableId="21A47BF4"/>
  <w16cid:commentId w16cid:paraId="363DE456" w16cid:durableId="21A47FC5"/>
  <w16cid:commentId w16cid:paraId="7F6D8936" w16cid:durableId="21A47D6C"/>
  <w16cid:commentId w16cid:paraId="4CFE2700" w16cid:durableId="21A9FA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6E02" w14:textId="77777777" w:rsidR="008E4346" w:rsidRDefault="008E4346">
      <w:r>
        <w:separator/>
      </w:r>
    </w:p>
  </w:endnote>
  <w:endnote w:type="continuationSeparator" w:id="0">
    <w:p w14:paraId="30481AB1" w14:textId="77777777" w:rsidR="008E4346" w:rsidRDefault="008E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619E" w14:textId="77777777" w:rsidR="00837C50" w:rsidRDefault="0083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636325"/>
      <w:docPartObj>
        <w:docPartGallery w:val="Page Numbers (Bottom of Page)"/>
        <w:docPartUnique/>
      </w:docPartObj>
    </w:sdtPr>
    <w:sdtEndPr>
      <w:rPr>
        <w:noProof/>
      </w:rPr>
    </w:sdtEndPr>
    <w:sdtContent>
      <w:p w14:paraId="643E4E6F" w14:textId="094D1F3D" w:rsidR="00275976" w:rsidRDefault="00275976">
        <w:pPr>
          <w:pStyle w:val="Footer"/>
          <w:jc w:val="right"/>
        </w:pPr>
        <w:r>
          <w:fldChar w:fldCharType="begin"/>
        </w:r>
        <w:r>
          <w:instrText xml:space="preserve"> PAGE   \* MERGEFORMAT </w:instrText>
        </w:r>
        <w:r>
          <w:fldChar w:fldCharType="separate"/>
        </w:r>
        <w:r w:rsidR="004A4BFB">
          <w:rPr>
            <w:noProof/>
          </w:rPr>
          <w:t>7</w:t>
        </w:r>
        <w:r>
          <w:rPr>
            <w:noProof/>
          </w:rPr>
          <w:fldChar w:fldCharType="end"/>
        </w:r>
      </w:p>
    </w:sdtContent>
  </w:sdt>
  <w:p w14:paraId="55C2C702" w14:textId="77777777" w:rsidR="00275976" w:rsidRDefault="00275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C47" w14:textId="77777777" w:rsidR="00837C50" w:rsidRDefault="00837C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D101FC1" w14:textId="229262FF" w:rsidR="00352224" w:rsidRDefault="007B7CAA">
        <w:pPr>
          <w:pStyle w:val="Footer"/>
          <w:jc w:val="right"/>
        </w:pPr>
        <w:r>
          <w:fldChar w:fldCharType="begin"/>
        </w:r>
        <w:r>
          <w:instrText xml:space="preserve"> PAGE   \* MERGEFORMAT </w:instrText>
        </w:r>
        <w:r>
          <w:fldChar w:fldCharType="separate"/>
        </w:r>
        <w:r w:rsidR="004A4BFB">
          <w:rPr>
            <w:noProof/>
          </w:rPr>
          <w:t>10</w:t>
        </w:r>
        <w:r>
          <w:rPr>
            <w:noProof/>
          </w:rPr>
          <w:fldChar w:fldCharType="end"/>
        </w:r>
      </w:p>
    </w:sdtContent>
  </w:sdt>
  <w:p w14:paraId="7E9EFC49" w14:textId="77777777" w:rsidR="00BC1364" w:rsidRDefault="004A4BFB">
    <w:pPr>
      <w:pStyle w:val="Footer"/>
    </w:pPr>
  </w:p>
  <w:p w14:paraId="3441802B" w14:textId="77777777" w:rsidR="008E1C4D" w:rsidRDefault="008E1C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9DD1C" w14:textId="77777777" w:rsidR="008E4346" w:rsidRDefault="008E4346">
      <w:r>
        <w:separator/>
      </w:r>
    </w:p>
  </w:footnote>
  <w:footnote w:type="continuationSeparator" w:id="0">
    <w:p w14:paraId="40A5EDB9" w14:textId="77777777" w:rsidR="008E4346" w:rsidRDefault="008E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8BC9" w14:textId="77777777" w:rsidR="00837C50" w:rsidRDefault="0083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A8974" w14:textId="77777777" w:rsidR="00837C50" w:rsidRDefault="00837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2374" w14:textId="77777777" w:rsidR="00837C50" w:rsidRDefault="0083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DAB"/>
    <w:multiLevelType w:val="hybridMultilevel"/>
    <w:tmpl w:val="872C2DD0"/>
    <w:lvl w:ilvl="0" w:tplc="500072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E80BD0"/>
    <w:multiLevelType w:val="hybridMultilevel"/>
    <w:tmpl w:val="0792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C7374C"/>
    <w:multiLevelType w:val="hybridMultilevel"/>
    <w:tmpl w:val="A0AC6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149F2"/>
    <w:multiLevelType w:val="hybridMultilevel"/>
    <w:tmpl w:val="18EC87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79"/>
    <w:rsid w:val="00036013"/>
    <w:rsid w:val="0004305F"/>
    <w:rsid w:val="00046908"/>
    <w:rsid w:val="000A2160"/>
    <w:rsid w:val="000C4F23"/>
    <w:rsid w:val="000C5592"/>
    <w:rsid w:val="000E49CA"/>
    <w:rsid w:val="000F0EBC"/>
    <w:rsid w:val="0014284A"/>
    <w:rsid w:val="001C7AB1"/>
    <w:rsid w:val="002156EA"/>
    <w:rsid w:val="00226BEA"/>
    <w:rsid w:val="00246026"/>
    <w:rsid w:val="00275976"/>
    <w:rsid w:val="00280050"/>
    <w:rsid w:val="002F07AD"/>
    <w:rsid w:val="00303B94"/>
    <w:rsid w:val="0031140D"/>
    <w:rsid w:val="00387C5D"/>
    <w:rsid w:val="00390B61"/>
    <w:rsid w:val="004A4BFB"/>
    <w:rsid w:val="004C2685"/>
    <w:rsid w:val="004C4411"/>
    <w:rsid w:val="004E42B1"/>
    <w:rsid w:val="004E5E93"/>
    <w:rsid w:val="00577F86"/>
    <w:rsid w:val="00597128"/>
    <w:rsid w:val="005A4B52"/>
    <w:rsid w:val="005A672C"/>
    <w:rsid w:val="005D7AC0"/>
    <w:rsid w:val="00641176"/>
    <w:rsid w:val="0068789B"/>
    <w:rsid w:val="00732A99"/>
    <w:rsid w:val="00747C72"/>
    <w:rsid w:val="00763ABF"/>
    <w:rsid w:val="007709D1"/>
    <w:rsid w:val="00777769"/>
    <w:rsid w:val="007B7CAA"/>
    <w:rsid w:val="007C01DA"/>
    <w:rsid w:val="007D3A40"/>
    <w:rsid w:val="007D6F88"/>
    <w:rsid w:val="007D7274"/>
    <w:rsid w:val="0080530E"/>
    <w:rsid w:val="00805A32"/>
    <w:rsid w:val="00817AC5"/>
    <w:rsid w:val="00837C50"/>
    <w:rsid w:val="00876609"/>
    <w:rsid w:val="008C050C"/>
    <w:rsid w:val="008E1C4D"/>
    <w:rsid w:val="008E4346"/>
    <w:rsid w:val="009333A6"/>
    <w:rsid w:val="00973EB9"/>
    <w:rsid w:val="00976F2B"/>
    <w:rsid w:val="009D4C02"/>
    <w:rsid w:val="009D7C7C"/>
    <w:rsid w:val="00A22937"/>
    <w:rsid w:val="00A37C79"/>
    <w:rsid w:val="00A431FE"/>
    <w:rsid w:val="00A9495A"/>
    <w:rsid w:val="00B470CF"/>
    <w:rsid w:val="00BA3E07"/>
    <w:rsid w:val="00BC6087"/>
    <w:rsid w:val="00C0441B"/>
    <w:rsid w:val="00CD47CF"/>
    <w:rsid w:val="00CE6B15"/>
    <w:rsid w:val="00D01599"/>
    <w:rsid w:val="00D03D20"/>
    <w:rsid w:val="00D0756B"/>
    <w:rsid w:val="00D9538C"/>
    <w:rsid w:val="00DA6B80"/>
    <w:rsid w:val="00E23EA0"/>
    <w:rsid w:val="00E26BB9"/>
    <w:rsid w:val="00E97C59"/>
    <w:rsid w:val="00F14D6C"/>
    <w:rsid w:val="00F467A0"/>
    <w:rsid w:val="00F90481"/>
    <w:rsid w:val="00FA652E"/>
    <w:rsid w:val="00FC72F7"/>
    <w:rsid w:val="00FD1C39"/>
    <w:rsid w:val="00FD2859"/>
    <w:rsid w:val="00FE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CC9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79"/>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A37C79"/>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A22937"/>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7C79"/>
    <w:rPr>
      <w:rFonts w:ascii="Arial" w:eastAsia="Times New Roman" w:hAnsi="Arial"/>
      <w:b/>
      <w:bCs/>
      <w:szCs w:val="28"/>
      <w:lang w:eastAsia="en-AU"/>
    </w:rPr>
  </w:style>
  <w:style w:type="character" w:styleId="Hyperlink">
    <w:name w:val="Hyperlink"/>
    <w:basedOn w:val="DefaultParagraphFont"/>
    <w:uiPriority w:val="99"/>
    <w:rsid w:val="00A37C79"/>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A37C79"/>
    <w:pPr>
      <w:ind w:left="720"/>
      <w:contextualSpacing/>
    </w:pPr>
  </w:style>
  <w:style w:type="paragraph" w:styleId="Footer">
    <w:name w:val="footer"/>
    <w:basedOn w:val="Normal"/>
    <w:link w:val="FooterChar"/>
    <w:uiPriority w:val="99"/>
    <w:rsid w:val="00A37C79"/>
    <w:pPr>
      <w:tabs>
        <w:tab w:val="center" w:pos="4513"/>
        <w:tab w:val="right" w:pos="9026"/>
      </w:tabs>
    </w:pPr>
  </w:style>
  <w:style w:type="character" w:customStyle="1" w:styleId="FooterChar">
    <w:name w:val="Footer Char"/>
    <w:basedOn w:val="DefaultParagraphFont"/>
    <w:link w:val="Footer"/>
    <w:uiPriority w:val="99"/>
    <w:rsid w:val="00A37C79"/>
    <w:rPr>
      <w:rFonts w:eastAsia="Times New Roman"/>
      <w:szCs w:val="20"/>
      <w:lang w:eastAsia="en-AU"/>
    </w:rPr>
  </w:style>
  <w:style w:type="paragraph" w:customStyle="1" w:styleId="Default">
    <w:name w:val="Default"/>
    <w:rsid w:val="00A37C79"/>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A37C7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A37C7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A37C7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A37C79"/>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A22937"/>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9333A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A22937"/>
    <w:rPr>
      <w:rFonts w:eastAsia="Times New Roman"/>
      <w:szCs w:val="20"/>
      <w:lang w:eastAsia="en-AU"/>
    </w:rPr>
  </w:style>
  <w:style w:type="table" w:customStyle="1" w:styleId="TableGrid1">
    <w:name w:val="Table Grid1"/>
    <w:basedOn w:val="TableNormal"/>
    <w:next w:val="TableGrid"/>
    <w:uiPriority w:val="59"/>
    <w:rsid w:val="00A22937"/>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A2293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22937"/>
    <w:rPr>
      <w:rFonts w:ascii="Arial Narrow" w:eastAsia="Times New Roman" w:hAnsi="Arial Narrow" w:cs="Arial"/>
      <w:b/>
      <w:bCs/>
      <w:iCs/>
      <w:sz w:val="20"/>
      <w:szCs w:val="20"/>
    </w:rPr>
  </w:style>
  <w:style w:type="paragraph" w:customStyle="1" w:styleId="TableText">
    <w:name w:val="Table Text"/>
    <w:basedOn w:val="Normal"/>
    <w:link w:val="TableTextChar"/>
    <w:qFormat/>
    <w:rsid w:val="00A22937"/>
    <w:pPr>
      <w:keepNext/>
      <w:spacing w:before="40" w:after="40"/>
    </w:pPr>
    <w:rPr>
      <w:rFonts w:ascii="Arial Narrow" w:hAnsi="Arial Narrow" w:cs="Tahoma"/>
      <w:sz w:val="20"/>
      <w:lang w:eastAsia="en-US"/>
    </w:rPr>
  </w:style>
  <w:style w:type="character" w:customStyle="1" w:styleId="TableTextChar">
    <w:name w:val="Table Text Char"/>
    <w:link w:val="TableText"/>
    <w:rsid w:val="00A22937"/>
    <w:rPr>
      <w:rFonts w:ascii="Arial Narrow" w:eastAsia="Times New Roman" w:hAnsi="Arial Narrow" w:cs="Tahoma"/>
      <w:sz w:val="20"/>
      <w:szCs w:val="20"/>
    </w:rPr>
  </w:style>
  <w:style w:type="table" w:customStyle="1" w:styleId="TableGrid11">
    <w:name w:val="Table Grid11"/>
    <w:basedOn w:val="TableNormal"/>
    <w:next w:val="TableGrid"/>
    <w:uiPriority w:val="59"/>
    <w:rsid w:val="00A2293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notes 1"/>
    <w:basedOn w:val="Normal"/>
    <w:link w:val="Tablenotes1Char"/>
    <w:qFormat/>
    <w:rsid w:val="00A2293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A22937"/>
    <w:rPr>
      <w:rFonts w:ascii="Arial Narrow" w:eastAsia="Times New Roman" w:hAnsi="Arial Narrow" w:cs="Arial"/>
      <w:snapToGrid w:val="0"/>
      <w:sz w:val="18"/>
      <w:szCs w:val="20"/>
    </w:rPr>
  </w:style>
  <w:style w:type="paragraph" w:customStyle="1" w:styleId="Tabletext0">
    <w:name w:val="Table text"/>
    <w:basedOn w:val="Normal"/>
    <w:link w:val="TabletextChar0"/>
    <w:qFormat/>
    <w:rsid w:val="00A22937"/>
    <w:pPr>
      <w:spacing w:before="40" w:after="40"/>
    </w:pPr>
    <w:rPr>
      <w:rFonts w:ascii="Arial Narrow" w:hAnsi="Arial Narrow"/>
      <w:sz w:val="20"/>
      <w:szCs w:val="24"/>
      <w:lang w:eastAsia="en-US"/>
    </w:rPr>
  </w:style>
  <w:style w:type="character" w:customStyle="1" w:styleId="TabletextChar0">
    <w:name w:val="Table text Char"/>
    <w:basedOn w:val="DefaultParagraphFont"/>
    <w:link w:val="Tabletext0"/>
    <w:rsid w:val="00A22937"/>
    <w:rPr>
      <w:rFonts w:ascii="Arial Narrow" w:eastAsia="Times New Roman" w:hAnsi="Arial Narrow"/>
      <w:sz w:val="20"/>
    </w:rPr>
  </w:style>
  <w:style w:type="paragraph" w:customStyle="1" w:styleId="TableHeading">
    <w:name w:val="TableHeading"/>
    <w:basedOn w:val="Normal"/>
    <w:link w:val="TableHeadingChar"/>
    <w:qFormat/>
    <w:rsid w:val="00A2293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A22937"/>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CD47CF"/>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D47CF"/>
    <w:rPr>
      <w:rFonts w:ascii="Arial Narrow" w:eastAsia="Times New Roman" w:hAnsi="Arial Narrow" w:cs="Arial"/>
      <w:snapToGrid w:val="0"/>
      <w:sz w:val="18"/>
      <w:szCs w:val="20"/>
    </w:rPr>
  </w:style>
  <w:style w:type="paragraph" w:customStyle="1" w:styleId="BoxText">
    <w:name w:val="BoxText"/>
    <w:basedOn w:val="Normal"/>
    <w:qFormat/>
    <w:rsid w:val="00F467A0"/>
    <w:pPr>
      <w:pBdr>
        <w:top w:val="single" w:sz="4" w:space="1" w:color="auto"/>
        <w:left w:val="single" w:sz="4" w:space="4" w:color="auto"/>
        <w:bottom w:val="single" w:sz="4" w:space="1" w:color="auto"/>
        <w:right w:val="single" w:sz="4" w:space="4" w:color="auto"/>
      </w:pBdr>
      <w:spacing w:after="240"/>
    </w:pPr>
  </w:style>
  <w:style w:type="paragraph" w:customStyle="1" w:styleId="BoxHeading">
    <w:name w:val="BoxHeading"/>
    <w:basedOn w:val="Normal"/>
    <w:rsid w:val="00F467A0"/>
    <w:pPr>
      <w:keepNext/>
      <w:pBdr>
        <w:top w:val="single" w:sz="4" w:space="1" w:color="auto"/>
        <w:left w:val="single" w:sz="4" w:space="4" w:color="auto"/>
        <w:bottom w:val="single" w:sz="4" w:space="1" w:color="auto"/>
        <w:right w:val="single" w:sz="4" w:space="4" w:color="auto"/>
      </w:pBdr>
      <w:spacing w:before="240" w:after="240"/>
      <w:outlineLvl w:val="1"/>
    </w:pPr>
    <w:rPr>
      <w:rFonts w:ascii="Arial" w:hAnsi="Arial" w:cs="Arial"/>
      <w:b/>
      <w:bCs/>
      <w:iCs/>
      <w:color w:val="000000"/>
      <w:szCs w:val="28"/>
    </w:rPr>
  </w:style>
  <w:style w:type="paragraph" w:customStyle="1" w:styleId="BulletBeforeDash">
    <w:name w:val="BulletBeforeDash"/>
    <w:basedOn w:val="Normal"/>
    <w:rsid w:val="00F467A0"/>
    <w:pPr>
      <w:numPr>
        <w:numId w:val="7"/>
      </w:numPr>
      <w:ind w:left="720"/>
    </w:pPr>
    <w:rPr>
      <w:color w:val="000000"/>
    </w:rPr>
  </w:style>
  <w:style w:type="paragraph" w:customStyle="1" w:styleId="Bullet">
    <w:name w:val="Bullet"/>
    <w:basedOn w:val="BulletBeforeDash"/>
    <w:qFormat/>
    <w:rsid w:val="00F467A0"/>
    <w:pPr>
      <w:spacing w:after="120"/>
    </w:pPr>
  </w:style>
  <w:style w:type="paragraph" w:customStyle="1" w:styleId="BulletLast">
    <w:name w:val="BulletLast"/>
    <w:basedOn w:val="Bullet"/>
    <w:qFormat/>
    <w:rsid w:val="00F467A0"/>
    <w:pPr>
      <w:spacing w:after="240"/>
    </w:pPr>
  </w:style>
  <w:style w:type="paragraph" w:customStyle="1" w:styleId="NormalBeforeBullet">
    <w:name w:val="NormalBeforeBullet"/>
    <w:basedOn w:val="Normal"/>
    <w:qFormat/>
    <w:rsid w:val="00F467A0"/>
    <w:pPr>
      <w:keepNext/>
      <w:spacing w:after="120"/>
    </w:pPr>
    <w:rPr>
      <w:color w:val="000000"/>
    </w:rPr>
  </w:style>
  <w:style w:type="paragraph" w:styleId="BalloonText">
    <w:name w:val="Balloon Text"/>
    <w:basedOn w:val="Normal"/>
    <w:link w:val="BalloonTextChar"/>
    <w:uiPriority w:val="99"/>
    <w:semiHidden/>
    <w:unhideWhenUsed/>
    <w:rsid w:val="00777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769"/>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5A4B52"/>
    <w:rPr>
      <w:sz w:val="16"/>
      <w:szCs w:val="16"/>
    </w:rPr>
  </w:style>
  <w:style w:type="paragraph" w:styleId="CommentText">
    <w:name w:val="annotation text"/>
    <w:basedOn w:val="Normal"/>
    <w:link w:val="CommentTextChar"/>
    <w:uiPriority w:val="99"/>
    <w:semiHidden/>
    <w:unhideWhenUsed/>
    <w:rsid w:val="005A4B52"/>
    <w:rPr>
      <w:sz w:val="20"/>
    </w:rPr>
  </w:style>
  <w:style w:type="character" w:customStyle="1" w:styleId="CommentTextChar">
    <w:name w:val="Comment Text Char"/>
    <w:basedOn w:val="DefaultParagraphFont"/>
    <w:link w:val="CommentText"/>
    <w:uiPriority w:val="99"/>
    <w:semiHidden/>
    <w:rsid w:val="005A4B52"/>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A4B52"/>
    <w:rPr>
      <w:b/>
      <w:bCs/>
    </w:rPr>
  </w:style>
  <w:style w:type="character" w:customStyle="1" w:styleId="CommentSubjectChar">
    <w:name w:val="Comment Subject Char"/>
    <w:basedOn w:val="CommentTextChar"/>
    <w:link w:val="CommentSubject"/>
    <w:uiPriority w:val="99"/>
    <w:semiHidden/>
    <w:rsid w:val="005A4B52"/>
    <w:rPr>
      <w:rFonts w:eastAsia="Times New Roman"/>
      <w:b/>
      <w:bCs/>
      <w:sz w:val="20"/>
      <w:szCs w:val="20"/>
      <w:lang w:eastAsia="en-AU"/>
    </w:rPr>
  </w:style>
  <w:style w:type="paragraph" w:styleId="Header">
    <w:name w:val="header"/>
    <w:basedOn w:val="Normal"/>
    <w:link w:val="HeaderChar"/>
    <w:uiPriority w:val="99"/>
    <w:unhideWhenUsed/>
    <w:rsid w:val="00275976"/>
    <w:pPr>
      <w:tabs>
        <w:tab w:val="center" w:pos="4513"/>
        <w:tab w:val="right" w:pos="9026"/>
      </w:tabs>
    </w:pPr>
  </w:style>
  <w:style w:type="character" w:customStyle="1" w:styleId="HeaderChar">
    <w:name w:val="Header Char"/>
    <w:basedOn w:val="DefaultParagraphFont"/>
    <w:link w:val="Header"/>
    <w:uiPriority w:val="99"/>
    <w:rsid w:val="00275976"/>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35D4-94AB-4497-9975-C9946B1A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5076</Words>
  <Characters>28936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1512 Final PSD</vt:lpstr>
    </vt:vector>
  </TitlesOfParts>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 Final PSD</dc:title>
  <dc:subject/>
  <dc:creator/>
  <cp:keywords/>
  <dc:description/>
  <cp:lastModifiedBy/>
  <cp:revision>1</cp:revision>
  <dcterms:created xsi:type="dcterms:W3CDTF">2020-02-28T00:35:00Z</dcterms:created>
  <dcterms:modified xsi:type="dcterms:W3CDTF">2020-03-02T03:45:00Z</dcterms:modified>
</cp:coreProperties>
</file>