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A13BA2">
        <w:rPr>
          <w:rFonts w:ascii="Arial" w:hAnsi="Arial" w:cs="Arial"/>
          <w:b/>
          <w:sz w:val="52"/>
          <w:szCs w:val="52"/>
        </w:rPr>
        <w:t xml:space="preserve"> Application 1512 - </w:t>
      </w:r>
      <w:r w:rsidR="00A13BA2" w:rsidRPr="00A13BA2">
        <w:rPr>
          <w:rFonts w:ascii="Arial" w:hAnsi="Arial" w:cs="Arial"/>
          <w:b/>
          <w:sz w:val="52"/>
          <w:szCs w:val="52"/>
        </w:rPr>
        <w:t>Apolipoprotein B testing for high risk cardiovascular disease risk assessment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  <w:bookmarkStart w:id="0" w:name="_GoBack"/>
      <w:bookmarkEnd w:id="0"/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9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7476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13BA2">
        <w:rPr>
          <w:b w:val="0"/>
        </w:rPr>
      </w:r>
      <w:r w:rsidR="00A13BA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A13BA2" w:rsidRPr="00A13BA2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13BA2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A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2018-02-01T05:10:00Z</dcterms:created>
  <dcterms:modified xsi:type="dcterms:W3CDTF">2018-02-01T05:10:00Z</dcterms:modified>
</cp:coreProperties>
</file>