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5E9C"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3E5815CA" wp14:editId="5448C61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12626F8"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4FB1B696" w14:textId="77777777" w:rsidR="00BC1364" w:rsidRPr="00F715D1" w:rsidRDefault="00BC1364" w:rsidP="00F715D1">
      <w:pPr>
        <w:pStyle w:val="Subtitle"/>
      </w:pPr>
      <w:r w:rsidRPr="00F715D1">
        <w:t xml:space="preserve">Application No. </w:t>
      </w:r>
      <w:r w:rsidR="001D28DC" w:rsidRPr="00625EC8">
        <w:rPr>
          <w:szCs w:val="24"/>
        </w:rPr>
        <w:t>1608 – Amnion membrane (human tissue) for topical treatment of ophthalmic disorders (caused by disease and/or trauma), and wound dressings for skin burns and ulcers on the craniofacial area, torso, and limbs</w:t>
      </w:r>
    </w:p>
    <w:p w14:paraId="6FB66A33" w14:textId="77777777" w:rsidR="00BC1364" w:rsidRPr="00F715D1" w:rsidRDefault="00B35595" w:rsidP="008D1722">
      <w:pPr>
        <w:tabs>
          <w:tab w:val="left" w:pos="2694"/>
          <w:tab w:val="left" w:pos="3686"/>
        </w:tabs>
        <w:spacing w:after="240"/>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r w:rsidR="001D28DC" w:rsidRPr="001D28DC">
        <w:rPr>
          <w:rFonts w:ascii="Arial" w:hAnsi="Arial" w:cs="Arial"/>
          <w:b/>
          <w:szCs w:val="24"/>
        </w:rPr>
        <w:t>NSW Organ and Tissue Donation Service</w:t>
      </w:r>
    </w:p>
    <w:p w14:paraId="4415169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7811A168"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proofErr w:type="gramStart"/>
        <w:r w:rsidR="00F715D1" w:rsidRPr="00F715D1">
          <w:rPr>
            <w:rStyle w:val="Hyperlink"/>
            <w:szCs w:val="24"/>
          </w:rPr>
          <w:t>visit</w:t>
        </w:r>
        <w:proofErr w:type="gramEnd"/>
        <w:r w:rsidR="00F715D1" w:rsidRPr="00F715D1">
          <w:rPr>
            <w:rStyle w:val="Hyperlink"/>
            <w:szCs w:val="24"/>
          </w:rPr>
          <w:t xml:space="preserve"> the MSAC website</w:t>
        </w:r>
      </w:hyperlink>
    </w:p>
    <w:p w14:paraId="576A1634" w14:textId="77777777" w:rsidR="003D7F29" w:rsidRPr="00F715D1" w:rsidRDefault="003D7F29" w:rsidP="00F715D1">
      <w:pPr>
        <w:pStyle w:val="Heading1"/>
      </w:pPr>
      <w:r w:rsidRPr="00F715D1">
        <w:t>Purpose of application</w:t>
      </w:r>
      <w:r w:rsidR="00822C7E" w:rsidRPr="00F715D1">
        <w:t xml:space="preserve"> </w:t>
      </w:r>
    </w:p>
    <w:p w14:paraId="1BE2B9CF" w14:textId="6166778F" w:rsidR="00C204FB" w:rsidRPr="003D45BF" w:rsidRDefault="003D45BF" w:rsidP="003D45BF">
      <w:r>
        <w:t xml:space="preserve">An application </w:t>
      </w:r>
      <w:r w:rsidR="00505B52">
        <w:t xml:space="preserve">seeking MSAC’s advice to </w:t>
      </w:r>
      <w:r w:rsidR="000468C2">
        <w:t xml:space="preserve">inform </w:t>
      </w:r>
      <w:r w:rsidR="00505B52">
        <w:t>the Prostheses List Advisory Committee</w:t>
      </w:r>
      <w:r w:rsidR="00E67554">
        <w:t xml:space="preserve"> (PLAC)</w:t>
      </w:r>
      <w:r w:rsidR="00505B52">
        <w:t xml:space="preserve"> on the comparative safety, clinical effectiveness and cost-effectiveness </w:t>
      </w:r>
      <w:r w:rsidRPr="009A74AF">
        <w:t>of</w:t>
      </w:r>
      <w:r>
        <w:t xml:space="preserve"> human amnion membrane (AM) tissue for topical treatment of ophthalmic disorders (caused by disease and/or trauma), and wound dressings for skin burns, and ulcers on the craniofacial area, torso and limbs was received from the </w:t>
      </w:r>
      <w:r w:rsidRPr="009A74AF">
        <w:t>NSW Organ and Tissue Donation Service</w:t>
      </w:r>
      <w:r>
        <w:t xml:space="preserve"> by the Department of Heal</w:t>
      </w:r>
      <w:r w:rsidR="00567A4B">
        <w:t>th.</w:t>
      </w:r>
    </w:p>
    <w:p w14:paraId="63FF09C5" w14:textId="5E9E27B9" w:rsidR="00E977EE" w:rsidRPr="00F715D1" w:rsidRDefault="00E977EE" w:rsidP="00F715D1">
      <w:pPr>
        <w:pStyle w:val="Heading1"/>
      </w:pPr>
      <w:r w:rsidRPr="00F715D1">
        <w:t>MSAC’s advice to the Minister</w:t>
      </w:r>
    </w:p>
    <w:p w14:paraId="4A26C706" w14:textId="0082E727" w:rsidR="00CF7307" w:rsidRDefault="000A66AD" w:rsidP="00F715D1">
      <w:pPr>
        <w:pStyle w:val="Default"/>
        <w:spacing w:after="240"/>
        <w:rPr>
          <w:i/>
          <w:color w:val="auto"/>
        </w:rPr>
      </w:pPr>
      <w:r w:rsidRPr="00E65C35">
        <w:t>After considering the strength of the available evidence in relation to comparative safety, clinical effectiveness and cost-effectiveness, MSAC</w:t>
      </w:r>
      <w:r w:rsidR="001F4142">
        <w:t xml:space="preserve"> will advise the Prostheses List Advisory Committee that </w:t>
      </w:r>
      <w:r>
        <w:t xml:space="preserve">AM </w:t>
      </w:r>
      <w:r w:rsidRPr="00E65C35">
        <w:t xml:space="preserve">for topical treatment of ophthalmic disorders, and wound dressings for burns and ulcers on the craniofacial area, torso and limbs, </w:t>
      </w:r>
      <w:r w:rsidR="000468C2">
        <w:t>was not demonstrated to be</w:t>
      </w:r>
      <w:r w:rsidR="00505B52" w:rsidRPr="00E65C35">
        <w:t xml:space="preserve"> </w:t>
      </w:r>
      <w:r w:rsidRPr="00E65C35">
        <w:t>cost-effective. MSAC considered that the evidence for comparative safety and effectiveness across the three populations was uncertain</w:t>
      </w:r>
      <w:r>
        <w:t>,</w:t>
      </w:r>
      <w:r w:rsidRPr="00E65C35">
        <w:t xml:space="preserve"> and that limitations in the clinical evidence base resulted in the inability to assess the cost-effectiveness for two populations. In regards to the economic analysis for the chronic skin wounds population, MSAC noted issues that resulted in a high and uncertain incremental cost-effectiveness ratio, and highly uncertain impact on the </w:t>
      </w:r>
      <w:r w:rsidR="00E67554">
        <w:t>Prostheses List (</w:t>
      </w:r>
      <w:r w:rsidRPr="00E65C35">
        <w:t>PL</w:t>
      </w:r>
      <w:r w:rsidR="00E67554">
        <w:t>)</w:t>
      </w:r>
      <w:r w:rsidRPr="00E65C35">
        <w:t>.</w:t>
      </w:r>
    </w:p>
    <w:tbl>
      <w:tblPr>
        <w:tblStyle w:val="TableGrid"/>
        <w:tblW w:w="0" w:type="auto"/>
        <w:tblLook w:val="04A0" w:firstRow="1" w:lastRow="0" w:firstColumn="1" w:lastColumn="0" w:noHBand="0" w:noVBand="1"/>
        <w:tblDescription w:val="Consumer summary of MSAC consideration"/>
      </w:tblPr>
      <w:tblGrid>
        <w:gridCol w:w="9016"/>
      </w:tblGrid>
      <w:tr w:rsidR="000663AA" w14:paraId="4A378404" w14:textId="77777777" w:rsidTr="004967B0">
        <w:trPr>
          <w:tblHeader/>
        </w:trPr>
        <w:tc>
          <w:tcPr>
            <w:tcW w:w="9016" w:type="dxa"/>
          </w:tcPr>
          <w:p w14:paraId="4CADFFB4" w14:textId="77777777" w:rsidR="000663AA" w:rsidRPr="000663AA" w:rsidRDefault="000663AA" w:rsidP="000663AA">
            <w:pPr>
              <w:pStyle w:val="Default"/>
              <w:spacing w:before="120" w:after="120"/>
              <w:rPr>
                <w:b/>
                <w:color w:val="auto"/>
              </w:rPr>
            </w:pPr>
            <w:r w:rsidRPr="00C06B0B">
              <w:rPr>
                <w:b/>
                <w:color w:val="auto"/>
              </w:rPr>
              <w:t>Consumer summary</w:t>
            </w:r>
          </w:p>
        </w:tc>
      </w:tr>
      <w:tr w:rsidR="000663AA" w14:paraId="62DEA06D" w14:textId="77777777" w:rsidTr="000663AA">
        <w:tc>
          <w:tcPr>
            <w:tcW w:w="9016" w:type="dxa"/>
          </w:tcPr>
          <w:p w14:paraId="4ED06F4F" w14:textId="165AA3AB" w:rsidR="000A66AD" w:rsidRDefault="000A66AD" w:rsidP="00F715D1">
            <w:pPr>
              <w:pStyle w:val="Default"/>
              <w:spacing w:after="240"/>
            </w:pPr>
            <w:r>
              <w:rPr>
                <w:color w:val="auto"/>
              </w:rPr>
              <w:t xml:space="preserve">The </w:t>
            </w:r>
            <w:r w:rsidRPr="00776379">
              <w:t>NSW Organ and Tissue Donation Service</w:t>
            </w:r>
            <w:r>
              <w:t xml:space="preserve"> </w:t>
            </w:r>
            <w:r w:rsidR="00F23A0D">
              <w:t xml:space="preserve">submitted an application seeking </w:t>
            </w:r>
            <w:r w:rsidR="00F23A0D" w:rsidRPr="00F23A0D">
              <w:t xml:space="preserve">MSAC’s advice </w:t>
            </w:r>
            <w:r w:rsidR="000468C2">
              <w:t xml:space="preserve">to inform the Prostheses List Advisory Committee (PLAC) </w:t>
            </w:r>
            <w:r w:rsidR="00F23A0D">
              <w:t xml:space="preserve">on the </w:t>
            </w:r>
            <w:r w:rsidR="00E67554">
              <w:t xml:space="preserve">comparative safety, </w:t>
            </w:r>
            <w:r w:rsidR="00F23A0D">
              <w:t>clinical effectiveness and cost-effectiveness</w:t>
            </w:r>
            <w:r w:rsidR="00F23A0D" w:rsidDel="00F23A0D">
              <w:t xml:space="preserve"> </w:t>
            </w:r>
            <w:r w:rsidR="00F23A0D">
              <w:t xml:space="preserve">of </w:t>
            </w:r>
            <w:r>
              <w:t>human amnion membrane to treat certain eye disorders, and as a dressing for burns and ulcers.</w:t>
            </w:r>
          </w:p>
          <w:p w14:paraId="2D4B0C15" w14:textId="291D781E" w:rsidR="000A66AD" w:rsidRDefault="000A66AD" w:rsidP="00F715D1">
            <w:pPr>
              <w:pStyle w:val="Default"/>
              <w:spacing w:after="240"/>
            </w:pPr>
            <w:r>
              <w:lastRenderedPageBreak/>
              <w:t>The amnion membrane is the innermost layer of the placenta</w:t>
            </w:r>
            <w:r w:rsidR="00A703C1">
              <w:t xml:space="preserve"> that helps protect the growing foetus in the womb</w:t>
            </w:r>
            <w:r>
              <w:t>. It is also known as the amnio</w:t>
            </w:r>
            <w:r w:rsidR="00A703C1">
              <w:t>t</w:t>
            </w:r>
            <w:r>
              <w:t>ic sac</w:t>
            </w:r>
            <w:r w:rsidR="00E15768">
              <w:t xml:space="preserve"> and</w:t>
            </w:r>
            <w:r>
              <w:t xml:space="preserve"> has many properties that can help </w:t>
            </w:r>
            <w:r w:rsidR="00A703C1">
              <w:t xml:space="preserve">wound </w:t>
            </w:r>
            <w:r>
              <w:t xml:space="preserve">healing. </w:t>
            </w:r>
            <w:r w:rsidR="00E15768">
              <w:t>Amnion membrane</w:t>
            </w:r>
            <w:r>
              <w:t xml:space="preserve"> is collected from people who have had a caesarean section and agree to </w:t>
            </w:r>
            <w:r w:rsidR="002E64FD">
              <w:t xml:space="preserve">donate </w:t>
            </w:r>
            <w:r>
              <w:t xml:space="preserve">their </w:t>
            </w:r>
            <w:r w:rsidR="006A7EA6">
              <w:t>placenta</w:t>
            </w:r>
            <w:r>
              <w:t xml:space="preserve">. The </w:t>
            </w:r>
            <w:r w:rsidR="002E64FD">
              <w:t>donate</w:t>
            </w:r>
            <w:r w:rsidR="006A7EA6">
              <w:t>d</w:t>
            </w:r>
            <w:r w:rsidR="002E64FD">
              <w:t xml:space="preserve"> placenta is then processed to collect the amnion </w:t>
            </w:r>
            <w:r>
              <w:t>membrane</w:t>
            </w:r>
            <w:r w:rsidR="002E64FD">
              <w:t>,</w:t>
            </w:r>
            <w:r>
              <w:t xml:space="preserve"> </w:t>
            </w:r>
            <w:r w:rsidR="002E64FD">
              <w:t xml:space="preserve">which is further </w:t>
            </w:r>
            <w:r w:rsidR="00E15768">
              <w:t>prepared</w:t>
            </w:r>
            <w:r w:rsidR="002E64FD">
              <w:t xml:space="preserve"> and </w:t>
            </w:r>
            <w:r w:rsidR="00E15768">
              <w:t>stored</w:t>
            </w:r>
            <w:r w:rsidR="003E7991">
              <w:t>,</w:t>
            </w:r>
            <w:r w:rsidR="00E15768">
              <w:t xml:space="preserve"> </w:t>
            </w:r>
            <w:r>
              <w:t>either frozen or dehydrated</w:t>
            </w:r>
            <w:r w:rsidR="003E7991">
              <w:t>,</w:t>
            </w:r>
            <w:r>
              <w:t xml:space="preserve"> for later use</w:t>
            </w:r>
            <w:r w:rsidR="00A703C1">
              <w:t>. This process is</w:t>
            </w:r>
            <w:r w:rsidR="002E64FD">
              <w:t xml:space="preserve"> in accordance with the Australian code of good manufacturing practice for human tissue</w:t>
            </w:r>
            <w:r>
              <w:t>.</w:t>
            </w:r>
          </w:p>
          <w:p w14:paraId="331B4810" w14:textId="77777777" w:rsidR="000663AA" w:rsidRPr="000663AA" w:rsidRDefault="000A66AD" w:rsidP="00F715D1">
            <w:pPr>
              <w:pStyle w:val="Default"/>
              <w:spacing w:after="240"/>
              <w:rPr>
                <w:i/>
                <w:color w:val="auto"/>
              </w:rPr>
            </w:pPr>
            <w:r>
              <w:t>MSAC thought that the quality of clinical evidence in the application was low. This made it difficult to tell if amnion membrane was safe or effective, or if it was good value for money. MSAC also thought that the suggested price for amnion membrane was expensive.</w:t>
            </w:r>
          </w:p>
          <w:p w14:paraId="38A85DC3" w14:textId="7370A700" w:rsidR="000663AA" w:rsidRDefault="000663AA" w:rsidP="00AB5515">
            <w:pPr>
              <w:pStyle w:val="Default"/>
              <w:spacing w:after="12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2E21D46A" w14:textId="41AEEC7A" w:rsidR="000663AA" w:rsidRDefault="000A66AD" w:rsidP="000468C2">
            <w:pPr>
              <w:pStyle w:val="Default"/>
              <w:spacing w:after="240"/>
              <w:rPr>
                <w:i/>
                <w:color w:val="auto"/>
              </w:rPr>
            </w:pPr>
            <w:r w:rsidRPr="00E65C35">
              <w:t xml:space="preserve">MSAC </w:t>
            </w:r>
            <w:r w:rsidR="000468C2">
              <w:t>will advise the PLAC that</w:t>
            </w:r>
            <w:r w:rsidRPr="00E65C35">
              <w:t xml:space="preserve"> amnion membrane for topical treatment of ophthalmic disorders, and wound dressings for burns and ulcers on the craniofacial area, torso and limbs</w:t>
            </w:r>
            <w:r w:rsidR="00F23A0D">
              <w:t xml:space="preserve"> </w:t>
            </w:r>
            <w:r w:rsidR="000468C2">
              <w:t>was not demonstrated to be</w:t>
            </w:r>
            <w:r w:rsidR="00F23A0D">
              <w:t xml:space="preserve"> cost-effective</w:t>
            </w:r>
            <w:r>
              <w:t>. This is</w:t>
            </w:r>
            <w:r w:rsidRPr="00E65C35">
              <w:t xml:space="preserve"> because </w:t>
            </w:r>
            <w:r>
              <w:t>MSAC could not be certain that amnion membrane is safe, effective and good value for money</w:t>
            </w:r>
            <w:r w:rsidRPr="00E65C35">
              <w:t>.</w:t>
            </w:r>
          </w:p>
        </w:tc>
      </w:tr>
    </w:tbl>
    <w:p w14:paraId="11BD5F1A" w14:textId="77777777" w:rsidR="00550354" w:rsidRPr="00F715D1" w:rsidRDefault="00550354" w:rsidP="00F715D1">
      <w:pPr>
        <w:pStyle w:val="Heading1"/>
      </w:pPr>
      <w:r w:rsidRPr="00F715D1">
        <w:lastRenderedPageBreak/>
        <w:t xml:space="preserve">Summary of consideration and rationale for MSAC’s advice </w:t>
      </w:r>
    </w:p>
    <w:p w14:paraId="28F61255" w14:textId="18613931" w:rsidR="000A66AD" w:rsidRDefault="000A66AD" w:rsidP="00BC5394">
      <w:pPr>
        <w:spacing w:after="240"/>
      </w:pPr>
      <w:r>
        <w:t xml:space="preserve">MSAC noted the purpose of the application </w:t>
      </w:r>
      <w:r w:rsidR="00F23A0D">
        <w:t xml:space="preserve">was to </w:t>
      </w:r>
      <w:r w:rsidR="0005362B">
        <w:t>advise PLAC</w:t>
      </w:r>
      <w:r w:rsidR="00F23A0D">
        <w:t xml:space="preserve"> on the comparative safety, clinical effectiveness and cost-effectiveness of</w:t>
      </w:r>
      <w:r>
        <w:t xml:space="preserve"> AM for the treatment of ophthalmic conditions, chronic skin wounds and acute skin wounds. This is the first time that MSAC advice has been sought </w:t>
      </w:r>
      <w:r w:rsidR="00665817">
        <w:t xml:space="preserve">to inform PLAC consideration of an application to list </w:t>
      </w:r>
      <w:r w:rsidR="00C86B26">
        <w:t>a</w:t>
      </w:r>
      <w:r>
        <w:t xml:space="preserve"> human tissue product </w:t>
      </w:r>
      <w:r w:rsidR="00E67554">
        <w:t>on</w:t>
      </w:r>
      <w:r w:rsidR="0005362B" w:rsidRPr="0005362B">
        <w:t xml:space="preserve"> Part B of the</w:t>
      </w:r>
      <w:r w:rsidR="002F7B7D">
        <w:t xml:space="preserve"> </w:t>
      </w:r>
      <w:r w:rsidR="0005362B" w:rsidRPr="0005362B">
        <w:t>PL</w:t>
      </w:r>
      <w:r w:rsidR="00B739A4">
        <w:t>.</w:t>
      </w:r>
    </w:p>
    <w:p w14:paraId="032A0EF7" w14:textId="38566217" w:rsidR="000A66AD" w:rsidRDefault="000A66AD" w:rsidP="00BC5394">
      <w:pPr>
        <w:spacing w:after="240"/>
      </w:pPr>
      <w:r>
        <w:t>MSAC noted that</w:t>
      </w:r>
      <w:r w:rsidRPr="00C222AD">
        <w:t xml:space="preserve"> </w:t>
      </w:r>
      <w:r>
        <w:t>AM is proposed to treat wounds across three broad populations: ophthalmic conditions (</w:t>
      </w:r>
      <w:r w:rsidR="00387C50">
        <w:t>P</w:t>
      </w:r>
      <w:r>
        <w:t>opulation 1), chronic skin wounds (</w:t>
      </w:r>
      <w:r w:rsidR="00387C50">
        <w:t>P</w:t>
      </w:r>
      <w:r>
        <w:t xml:space="preserve">opulation 2) and acute skin wounds </w:t>
      </w:r>
      <w:r w:rsidR="00C41EF9">
        <w:t>(</w:t>
      </w:r>
      <w:r w:rsidR="00387C50">
        <w:t>P</w:t>
      </w:r>
      <w:r>
        <w:t xml:space="preserve">opulation 3). MSAC noted that the populations were complex, with each population containing several subpopulations. </w:t>
      </w:r>
      <w:r w:rsidR="00F05888">
        <w:t xml:space="preserve">MSAC also noted that </w:t>
      </w:r>
      <w:r w:rsidR="006A7EA6">
        <w:t>t</w:t>
      </w:r>
      <w:r>
        <w:t>he comparators (standard of care</w:t>
      </w:r>
      <w:r w:rsidR="00463816">
        <w:t xml:space="preserve"> [SOC]</w:t>
      </w:r>
      <w:r>
        <w:t xml:space="preserve">) were also heterogeneous across populations and subpopulations. </w:t>
      </w:r>
    </w:p>
    <w:p w14:paraId="7F8CC32A" w14:textId="7F5A491A" w:rsidR="000E6425" w:rsidRDefault="000E6425" w:rsidP="000E6425">
      <w:pPr>
        <w:spacing w:after="240"/>
      </w:pPr>
      <w:r>
        <w:t xml:space="preserve">For </w:t>
      </w:r>
      <w:r w:rsidR="00387C50">
        <w:t>P</w:t>
      </w:r>
      <w:r>
        <w:t>opulation 1 (ophthalmic conditions), MSAC noted support for the application from the Royal Australian and New Zealand College of Ophthalmologists</w:t>
      </w:r>
      <w:r w:rsidR="0035585B">
        <w:t xml:space="preserve"> (RANZCO)</w:t>
      </w:r>
      <w:r>
        <w:t xml:space="preserve">. </w:t>
      </w:r>
      <w:r w:rsidR="002E64FD">
        <w:t>However, f</w:t>
      </w:r>
      <w:r>
        <w:t xml:space="preserve">or </w:t>
      </w:r>
      <w:r w:rsidR="00387C50">
        <w:t>P</w:t>
      </w:r>
      <w:r>
        <w:t xml:space="preserve">opulation 2 (chronic skin wounds) and 3 (acute skin wounds), MSAC noted </w:t>
      </w:r>
      <w:r w:rsidR="002E64FD">
        <w:t>relevant clinical experts in these fields (e.g.</w:t>
      </w:r>
      <w:r>
        <w:t xml:space="preserve"> plastic surgeons</w:t>
      </w:r>
      <w:r w:rsidR="002E64FD">
        <w:t>,</w:t>
      </w:r>
      <w:r>
        <w:t xml:space="preserve"> dermatologists</w:t>
      </w:r>
      <w:r w:rsidR="002E64FD">
        <w:t xml:space="preserve">) had not submitted </w:t>
      </w:r>
      <w:r w:rsidR="00B77318">
        <w:t>consultation feedback on the application</w:t>
      </w:r>
      <w:r>
        <w:t xml:space="preserve">. </w:t>
      </w:r>
      <w:r w:rsidR="0035585B">
        <w:t xml:space="preserve">MSAC considered there may be potential clinical need for AM in Population 2 in burns patient requiring </w:t>
      </w:r>
      <w:r w:rsidR="0035585B" w:rsidRPr="0035585B">
        <w:t xml:space="preserve">a dermal substitute </w:t>
      </w:r>
      <w:r w:rsidR="00A703C1">
        <w:t xml:space="preserve">as a bridge </w:t>
      </w:r>
      <w:r w:rsidR="0035585B" w:rsidRPr="0035585B">
        <w:t>before skin grafting</w:t>
      </w:r>
      <w:r w:rsidR="0035585B">
        <w:t xml:space="preserve"> (subpopulation of Population 3 [3a])</w:t>
      </w:r>
      <w:r w:rsidR="00F91C45">
        <w:t>, but queried the clinical need in the use of AM for graft fixation (Population 3c). In addition, MSAC noted that role of AM for the treatment of toxic epidermal n</w:t>
      </w:r>
      <w:r w:rsidR="00F91C45" w:rsidRPr="00FE266B">
        <w:t>ecrosis</w:t>
      </w:r>
      <w:r w:rsidR="00F91C45">
        <w:t xml:space="preserve"> (subpopulation of Population 3 [3d]) was uncertain given it</w:t>
      </w:r>
      <w:r w:rsidR="0062227B">
        <w:t xml:space="preserve"> i</w:t>
      </w:r>
      <w:r w:rsidR="00AB5515">
        <w:t>s a very rare condition.</w:t>
      </w:r>
    </w:p>
    <w:p w14:paraId="539F6332" w14:textId="4F956CED" w:rsidR="003B1BAE" w:rsidRDefault="000A66AD" w:rsidP="00BC5394">
      <w:pPr>
        <w:spacing w:after="240"/>
      </w:pPr>
      <w:r>
        <w:t xml:space="preserve">The application claimed that AM has non-inferior safety for all three populations compared </w:t>
      </w:r>
      <w:r w:rsidR="003B1BAE">
        <w:t xml:space="preserve">with </w:t>
      </w:r>
      <w:r w:rsidR="00B27ED3">
        <w:t>SOC</w:t>
      </w:r>
      <w:r>
        <w:t xml:space="preserve">, and that AM has superior efficacy (population 1 and 2)/non-inferior efficacy (population 3) compared </w:t>
      </w:r>
      <w:r w:rsidR="003B1BAE">
        <w:t xml:space="preserve">with </w:t>
      </w:r>
      <w:r w:rsidR="00B27ED3">
        <w:t>SOC</w:t>
      </w:r>
      <w:r>
        <w:t xml:space="preserve">. </w:t>
      </w:r>
    </w:p>
    <w:p w14:paraId="36188B32" w14:textId="2A5D1BED" w:rsidR="005E2B84" w:rsidRDefault="00B77318" w:rsidP="00BC5394">
      <w:pPr>
        <w:spacing w:after="240"/>
      </w:pPr>
      <w:r>
        <w:t xml:space="preserve">MSAC noted that </w:t>
      </w:r>
      <w:r w:rsidR="00387C50">
        <w:t xml:space="preserve">the clinical evidence consisted of </w:t>
      </w:r>
      <w:r>
        <w:t>15 rand</w:t>
      </w:r>
      <w:r w:rsidR="00F05888">
        <w:t>omised clinical trials (RCT</w:t>
      </w:r>
      <w:r w:rsidR="003B1BAE">
        <w:t>s</w:t>
      </w:r>
      <w:r w:rsidR="00F05888">
        <w:t xml:space="preserve">) </w:t>
      </w:r>
      <w:r w:rsidR="00387C50">
        <w:t>for Population 1, 14 RCT</w:t>
      </w:r>
      <w:r w:rsidR="003B1BAE">
        <w:t>s</w:t>
      </w:r>
      <w:r w:rsidR="00387C50">
        <w:t xml:space="preserve"> for Population 2 and 8 RCT</w:t>
      </w:r>
      <w:r w:rsidR="003B1BAE">
        <w:t>s</w:t>
      </w:r>
      <w:r w:rsidR="00387C50">
        <w:t xml:space="preserve"> for Population 3. However</w:t>
      </w:r>
      <w:r w:rsidR="005E2B84">
        <w:t>,</w:t>
      </w:r>
      <w:r w:rsidR="00387C50">
        <w:t xml:space="preserve"> </w:t>
      </w:r>
      <w:r w:rsidR="000A66AD">
        <w:t xml:space="preserve">MSAC agreed with </w:t>
      </w:r>
      <w:r w:rsidR="00792B87">
        <w:t xml:space="preserve">the </w:t>
      </w:r>
      <w:r w:rsidR="000A66AD">
        <w:t xml:space="preserve">ESC assessment of the evidence, noting that the quality of evidence was low </w:t>
      </w:r>
      <w:r w:rsidR="000A66AD">
        <w:lastRenderedPageBreak/>
        <w:t xml:space="preserve">or very low for </w:t>
      </w:r>
      <w:r w:rsidR="00C41EF9">
        <w:t>P</w:t>
      </w:r>
      <w:r w:rsidR="000A66AD">
        <w:t xml:space="preserve">opulations 1 and 3, making it difficult to evaluate. Only </w:t>
      </w:r>
      <w:r w:rsidR="006D132D">
        <w:t>P</w:t>
      </w:r>
      <w:r w:rsidR="000A66AD">
        <w:t xml:space="preserve">opulation 2 had clinical data of sufficient quality for meta-analysis. MSAC also noted the lack of long-term safety data for all populations, and the short follow-up times in the </w:t>
      </w:r>
      <w:r w:rsidR="006D132D">
        <w:t>included RCTs</w:t>
      </w:r>
      <w:r w:rsidR="00673664">
        <w:t xml:space="preserve">. </w:t>
      </w:r>
      <w:r w:rsidR="00B90EB7">
        <w:t>MSAC also noted there are two ongoing clinical trials in patients with chronic ulcers</w:t>
      </w:r>
      <w:r w:rsidR="00C41EF9">
        <w:t xml:space="preserve"> (Population 2)</w:t>
      </w:r>
      <w:r w:rsidR="002B4E70">
        <w:t xml:space="preserve"> due for completion in 2021</w:t>
      </w:r>
      <w:r w:rsidR="002B4E70">
        <w:rPr>
          <w:rStyle w:val="FootnoteReference"/>
        </w:rPr>
        <w:footnoteReference w:id="1"/>
      </w:r>
      <w:r w:rsidR="00B90EB7">
        <w:t>.</w:t>
      </w:r>
    </w:p>
    <w:p w14:paraId="6FC1849C" w14:textId="6AC13DEF" w:rsidR="006D132D" w:rsidRDefault="005E2B84" w:rsidP="00BC5394">
      <w:pPr>
        <w:spacing w:after="240"/>
      </w:pPr>
      <w:r>
        <w:t>MSAC noted that due</w:t>
      </w:r>
      <w:r w:rsidR="006D132D">
        <w:t xml:space="preserve"> to</w:t>
      </w:r>
      <w:r>
        <w:t xml:space="preserve"> the limitations in the clinical evidence, an economic evaluation was</w:t>
      </w:r>
      <w:r w:rsidR="007D075C">
        <w:t xml:space="preserve"> </w:t>
      </w:r>
      <w:r>
        <w:t xml:space="preserve">not presented for Population 1 and 3. </w:t>
      </w:r>
      <w:r w:rsidR="00C41EF9">
        <w:t xml:space="preserve">However, </w:t>
      </w:r>
      <w:r>
        <w:t xml:space="preserve">MSAC disagreed with the reasoning and approach to narrow the economic evaluation to </w:t>
      </w:r>
      <w:r w:rsidR="006D132D">
        <w:t xml:space="preserve">only </w:t>
      </w:r>
      <w:r>
        <w:t>one subpopulation of Population 2</w:t>
      </w:r>
      <w:r w:rsidR="006D132D">
        <w:t xml:space="preserve"> </w:t>
      </w:r>
      <w:r w:rsidR="006D132D" w:rsidRPr="00075B5F">
        <w:t>(diabetic foot ulcers</w:t>
      </w:r>
      <w:r w:rsidR="00463816">
        <w:t xml:space="preserve"> [DFU]</w:t>
      </w:r>
      <w:r w:rsidR="006D132D" w:rsidRPr="00075B5F">
        <w:t>)</w:t>
      </w:r>
      <w:r>
        <w:t xml:space="preserve">. </w:t>
      </w:r>
      <w:r w:rsidR="007D075C">
        <w:t xml:space="preserve">MSAC </w:t>
      </w:r>
      <w:r w:rsidR="00C41EF9">
        <w:t xml:space="preserve">also </w:t>
      </w:r>
      <w:r w:rsidR="006D132D">
        <w:t>agreed with ESC that it was</w:t>
      </w:r>
      <w:r w:rsidR="007D075C">
        <w:t xml:space="preserve"> too</w:t>
      </w:r>
      <w:r w:rsidR="006D132D">
        <w:t xml:space="preserve"> difficult to assess the cost-effectiveness of AM when the economic modelling is limited to only one population.</w:t>
      </w:r>
    </w:p>
    <w:p w14:paraId="3C7102A2" w14:textId="24777F02" w:rsidR="000A66AD" w:rsidRDefault="000A66AD" w:rsidP="00BC5394">
      <w:pPr>
        <w:spacing w:after="240"/>
      </w:pPr>
      <w:r>
        <w:t xml:space="preserve">MSAC noted the </w:t>
      </w:r>
      <w:r w:rsidR="005E2B84">
        <w:t>cost-utility analysis</w:t>
      </w:r>
      <w:r w:rsidR="00C33EC2">
        <w:t xml:space="preserve"> </w:t>
      </w:r>
      <w:r w:rsidR="00463816">
        <w:t>comparing AM with SOC in patients with DFU was based on an Australian cost-effectiveness model. MSAC agreed with ESC who considered that the model structure and translation issues were appropriate.</w:t>
      </w:r>
      <w:r>
        <w:t xml:space="preserve"> </w:t>
      </w:r>
      <w:r w:rsidR="00463816">
        <w:t xml:space="preserve">However, </w:t>
      </w:r>
      <w:r w:rsidR="00C33EC2">
        <w:t>MSAC noted that the cost of the AM in the model only accounted for 5 AM applications</w:t>
      </w:r>
      <w:r w:rsidR="00463816">
        <w:t xml:space="preserve"> (based on average number of AM grafts used in a 12 week trial)</w:t>
      </w:r>
      <w:r w:rsidR="00C33EC2">
        <w:t xml:space="preserve"> </w:t>
      </w:r>
      <w:r w:rsidR="00860914">
        <w:t xml:space="preserve">which might not account for </w:t>
      </w:r>
      <w:r w:rsidR="00A703C1">
        <w:t xml:space="preserve">further use at </w:t>
      </w:r>
      <w:r w:rsidR="00860914">
        <w:t>relapse</w:t>
      </w:r>
      <w:r w:rsidR="00084ACB">
        <w:t>.</w:t>
      </w:r>
      <w:r w:rsidR="00860914">
        <w:t xml:space="preserve"> </w:t>
      </w:r>
      <w:r w:rsidR="00084ACB">
        <w:t xml:space="preserve">MSAC </w:t>
      </w:r>
      <w:r w:rsidR="00C33EC2">
        <w:t xml:space="preserve">considered this underestimated the </w:t>
      </w:r>
      <w:r w:rsidR="0062227B">
        <w:t xml:space="preserve">full </w:t>
      </w:r>
      <w:r w:rsidR="00C33EC2">
        <w:t>cost</w:t>
      </w:r>
      <w:r w:rsidR="0062227B">
        <w:t>s</w:t>
      </w:r>
      <w:r w:rsidR="00C33EC2">
        <w:t xml:space="preserve"> of AM</w:t>
      </w:r>
      <w:r w:rsidR="00567460">
        <w:t>,</w:t>
      </w:r>
      <w:r w:rsidR="00C33EC2">
        <w:t xml:space="preserve"> as for some chronic wounds</w:t>
      </w:r>
      <w:r w:rsidR="00DC434A">
        <w:t xml:space="preserve"> </w:t>
      </w:r>
      <w:r w:rsidR="00C33EC2">
        <w:t xml:space="preserve">AM is applied weekly over a number of months. </w:t>
      </w:r>
      <w:r>
        <w:t>MSAC</w:t>
      </w:r>
      <w:r w:rsidR="00084ACB">
        <w:t xml:space="preserve"> also</w:t>
      </w:r>
      <w:r>
        <w:t xml:space="preserve"> </w:t>
      </w:r>
      <w:r w:rsidR="00567460">
        <w:t xml:space="preserve">agreed with ESC and </w:t>
      </w:r>
      <w:r>
        <w:t>considered</w:t>
      </w:r>
      <w:r w:rsidR="00567460">
        <w:t xml:space="preserve"> that </w:t>
      </w:r>
      <w:r>
        <w:t>the base case using a 1-year time horizon</w:t>
      </w:r>
      <w:r w:rsidR="00567460">
        <w:t xml:space="preserve"> was appropriate</w:t>
      </w:r>
      <w:r w:rsidR="00860914">
        <w:t xml:space="preserve"> (due to the short trial follow-up)</w:t>
      </w:r>
      <w:r>
        <w:t xml:space="preserve">, which generated an incremental cost-effectiveness ratio (ICER) of $97,870. MSAC considered </w:t>
      </w:r>
      <w:r w:rsidR="00860914">
        <w:t xml:space="preserve">the </w:t>
      </w:r>
      <w:r>
        <w:t>ICER to be high</w:t>
      </w:r>
      <w:r w:rsidR="00C33EC2">
        <w:t xml:space="preserve"> and</w:t>
      </w:r>
      <w:r w:rsidR="00BE1A3C">
        <w:t xml:space="preserve"> </w:t>
      </w:r>
      <w:r w:rsidR="00567460">
        <w:t>uncertain, as it</w:t>
      </w:r>
      <w:r w:rsidR="00C33EC2">
        <w:t xml:space="preserve"> was sensitive to</w:t>
      </w:r>
      <w:r w:rsidR="00567460">
        <w:t xml:space="preserve"> </w:t>
      </w:r>
      <w:r w:rsidR="00C33EC2">
        <w:t>the price of AM</w:t>
      </w:r>
      <w:r w:rsidR="00567460">
        <w:t xml:space="preserve"> and </w:t>
      </w:r>
      <w:r w:rsidR="00C33EC2">
        <w:t>wound size,</w:t>
      </w:r>
      <w:r w:rsidR="00567460">
        <w:t xml:space="preserve"> but also</w:t>
      </w:r>
      <w:r w:rsidR="00C33EC2">
        <w:t xml:space="preserve"> healing rates and utility </w:t>
      </w:r>
      <w:r w:rsidR="00792B87">
        <w:t>values</w:t>
      </w:r>
      <w:r w:rsidR="00C33EC2">
        <w:t>.</w:t>
      </w:r>
      <w:r w:rsidR="00F10FFC">
        <w:t xml:space="preserve"> </w:t>
      </w:r>
    </w:p>
    <w:p w14:paraId="1512F673" w14:textId="300BD2CB" w:rsidR="008B6824" w:rsidRDefault="008B6824" w:rsidP="008B6824">
      <w:pPr>
        <w:spacing w:after="240"/>
      </w:pPr>
      <w:r>
        <w:t>MSAC noted</w:t>
      </w:r>
      <w:r w:rsidRPr="008B6824">
        <w:t xml:space="preserve"> an epidemiological approach for each subpopulation </w:t>
      </w:r>
      <w:r>
        <w:t xml:space="preserve">was used </w:t>
      </w:r>
      <w:r w:rsidR="00084ACB">
        <w:t xml:space="preserve">to </w:t>
      </w:r>
      <w:r>
        <w:t>estimate</w:t>
      </w:r>
      <w:r w:rsidRPr="008B6824">
        <w:t xml:space="preserve"> the financial and budgetary impacts. </w:t>
      </w:r>
      <w:r>
        <w:t xml:space="preserve"> MSAC agreed with ESC that the estimated uptake of AM in the three populations is highly uncertain and that the costs for the PL are likely underestimated. MSAC considered there is potential for significant cost implications if AM was listed on the PL. </w:t>
      </w:r>
    </w:p>
    <w:p w14:paraId="5AB8540F" w14:textId="51DAFC6C" w:rsidR="000A66AD" w:rsidRDefault="000A66AD" w:rsidP="00BC5394">
      <w:pPr>
        <w:spacing w:after="240"/>
      </w:pPr>
      <w:r>
        <w:t>MSAC noted the proposed price ($28.93 per cm</w:t>
      </w:r>
      <w:r w:rsidRPr="00286713">
        <w:rPr>
          <w:vertAlign w:val="superscript"/>
        </w:rPr>
        <w:t>2</w:t>
      </w:r>
      <w:r>
        <w:t>). MSAC also</w:t>
      </w:r>
      <w:r w:rsidR="00C33EC2">
        <w:t xml:space="preserve"> noted that st</w:t>
      </w:r>
      <w:r w:rsidR="00C33EC2" w:rsidRPr="00B9167B">
        <w:rPr>
          <w:color w:val="000000"/>
          <w:szCs w:val="24"/>
        </w:rPr>
        <w:t>ate and territory legislations prohibits trade for profit for human tissues,</w:t>
      </w:r>
      <w:r>
        <w:t xml:space="preserve"> unless the tissue has been processed; however, the extent of processing required to be able to make a profit was unclear. </w:t>
      </w:r>
      <w:r w:rsidR="005454D2">
        <w:t xml:space="preserve">In addition, </w:t>
      </w:r>
      <w:r>
        <w:t xml:space="preserve">MSAC noted </w:t>
      </w:r>
      <w:r w:rsidR="00237B03">
        <w:t xml:space="preserve">that </w:t>
      </w:r>
      <w:r>
        <w:t xml:space="preserve">in response to ESC’s </w:t>
      </w:r>
      <w:r w:rsidR="005454D2">
        <w:t>request</w:t>
      </w:r>
      <w:r w:rsidR="00237B03">
        <w:t xml:space="preserve">, the applicant provided further information breaking down the pathology and staffing costs included in the proposed price. The applicant also advised that cryopreservation and storage costs are captured under the equipment and staffing costs. However, MSAC was uncertain that the proposed price for AM was appropriate. </w:t>
      </w:r>
      <w:r>
        <w:t xml:space="preserve"> </w:t>
      </w:r>
      <w:r w:rsidR="00A52352">
        <w:t xml:space="preserve">In addition, </w:t>
      </w:r>
      <w:r>
        <w:t xml:space="preserve">MSAC also </w:t>
      </w:r>
      <w:r w:rsidR="00A52352">
        <w:t>noted the applicant response indicating that if requested, a smaller 2 x 2cm</w:t>
      </w:r>
      <w:r w:rsidR="00A52352">
        <w:rPr>
          <w:vertAlign w:val="superscript"/>
        </w:rPr>
        <w:t xml:space="preserve">2 </w:t>
      </w:r>
      <w:r w:rsidR="00A52352">
        <w:t>AM graft for use in ophthalmic conditions (as used in the</w:t>
      </w:r>
      <w:r w:rsidR="00A52352" w:rsidRPr="00A52352">
        <w:t xml:space="preserve"> </w:t>
      </w:r>
      <w:r w:rsidR="00A52352">
        <w:t xml:space="preserve">National Health System, UK) would be considered, which may result in </w:t>
      </w:r>
      <w:r>
        <w:t>a subsequent reduction in cost for those indications.</w:t>
      </w:r>
    </w:p>
    <w:p w14:paraId="6C7DAB5F" w14:textId="152238A1" w:rsidR="000A66AD" w:rsidRDefault="000A66AD" w:rsidP="00BC5394">
      <w:pPr>
        <w:spacing w:after="240"/>
      </w:pPr>
      <w:r>
        <w:t xml:space="preserve">MSAC noted the setting in which care could be provided for the requested populations and indications. Populations 1 and 3 could be treated in hospital, for which a PL benefit could be paid. However, </w:t>
      </w:r>
      <w:r w:rsidR="00084ACB">
        <w:t>P</w:t>
      </w:r>
      <w:r>
        <w:t xml:space="preserve">opulation 2 could be more likely to be treated in the community, for which a PL benefit could not be paid. MSAC considered that this could create a potential incentive for patients to be admitted to access treatment. </w:t>
      </w:r>
    </w:p>
    <w:p w14:paraId="2C24593E" w14:textId="77777777" w:rsidR="000A66AD" w:rsidRDefault="000A66AD" w:rsidP="00BC5394">
      <w:pPr>
        <w:spacing w:after="240"/>
      </w:pPr>
      <w:r>
        <w:t xml:space="preserve">Usually, once a product is listed on the PL, it can be used for any indication. However, the Department confirmed that PLAC can place restrictive conditions on a listing to limit </w:t>
      </w:r>
      <w:r>
        <w:lastRenderedPageBreak/>
        <w:t>reimbursement to specified indications only (although this has not been done before</w:t>
      </w:r>
      <w:r w:rsidR="000E6425">
        <w:t xml:space="preserve"> for human tissue prostheses included in Part B of the PL</w:t>
      </w:r>
      <w:r>
        <w:t>).</w:t>
      </w:r>
    </w:p>
    <w:p w14:paraId="1596E0B7" w14:textId="72EA5F9B" w:rsidR="00D62BE8" w:rsidRDefault="000A66AD">
      <w:pPr>
        <w:spacing w:after="240"/>
      </w:pPr>
      <w:r>
        <w:t xml:space="preserve">MSAC considered that any </w:t>
      </w:r>
      <w:r w:rsidR="00860914">
        <w:t xml:space="preserve">resubmission </w:t>
      </w:r>
      <w:r>
        <w:t>should include</w:t>
      </w:r>
      <w:r w:rsidR="00D62BE8">
        <w:t>:</w:t>
      </w:r>
    </w:p>
    <w:p w14:paraId="453A214C" w14:textId="725E04C1" w:rsidR="00D62BE8" w:rsidRPr="00D62BE8" w:rsidRDefault="000A66AD" w:rsidP="00D62BE8">
      <w:pPr>
        <w:pStyle w:val="ListParagraph"/>
        <w:numPr>
          <w:ilvl w:val="0"/>
          <w:numId w:val="20"/>
        </w:numPr>
        <w:spacing w:after="240"/>
        <w:rPr>
          <w:i/>
          <w:szCs w:val="24"/>
        </w:rPr>
      </w:pPr>
      <w:r>
        <w:t>consultation with clinicians and relevant craft groups to identify more specific populations</w:t>
      </w:r>
      <w:r w:rsidR="00D62BE8">
        <w:t xml:space="preserve"> and</w:t>
      </w:r>
      <w:r w:rsidR="00406F2D">
        <w:t xml:space="preserve"> review the uptake assumptions in each population</w:t>
      </w:r>
      <w:r w:rsidR="00D62BE8">
        <w:t xml:space="preserve"> </w:t>
      </w:r>
    </w:p>
    <w:p w14:paraId="6AA69FF4" w14:textId="7F30DAF7" w:rsidR="00D62BE8" w:rsidRPr="00D62BE8" w:rsidRDefault="00A16209" w:rsidP="00D62BE8">
      <w:pPr>
        <w:pStyle w:val="ListParagraph"/>
        <w:numPr>
          <w:ilvl w:val="0"/>
          <w:numId w:val="20"/>
        </w:numPr>
        <w:spacing w:after="240"/>
        <w:rPr>
          <w:i/>
          <w:szCs w:val="24"/>
        </w:rPr>
      </w:pPr>
      <w:r>
        <w:t>more evidence on the effectiveness</w:t>
      </w:r>
      <w:r w:rsidR="00EE0692">
        <w:t xml:space="preserve"> (including over</w:t>
      </w:r>
      <w:r w:rsidR="00AC6461">
        <w:t xml:space="preserve"> the</w:t>
      </w:r>
      <w:r w:rsidR="00EE0692">
        <w:t xml:space="preserve"> longer term)</w:t>
      </w:r>
      <w:r>
        <w:t xml:space="preserve"> of AM in specific subpopulations, noting </w:t>
      </w:r>
      <w:r w:rsidR="00D62BE8">
        <w:t>the outcomes of the two ongoing clinical trials in patients with chronic ulcers due for completion in 2021</w:t>
      </w:r>
      <w:r w:rsidR="00D62BE8">
        <w:rPr>
          <w:rStyle w:val="FootnoteReference"/>
        </w:rPr>
        <w:footnoteReference w:id="2"/>
      </w:r>
    </w:p>
    <w:p w14:paraId="09807193" w14:textId="104D27D9" w:rsidR="00550354" w:rsidRPr="00D62BE8" w:rsidRDefault="00D62BE8" w:rsidP="00D62BE8">
      <w:pPr>
        <w:pStyle w:val="ListParagraph"/>
        <w:numPr>
          <w:ilvl w:val="0"/>
          <w:numId w:val="20"/>
        </w:numPr>
        <w:spacing w:after="240"/>
        <w:rPr>
          <w:i/>
          <w:szCs w:val="24"/>
        </w:rPr>
      </w:pPr>
      <w:r>
        <w:t>full breakdown and justification of the</w:t>
      </w:r>
      <w:r w:rsidR="000A66AD">
        <w:t xml:space="preserve"> unit costs </w:t>
      </w:r>
      <w:r>
        <w:t>which should also be</w:t>
      </w:r>
      <w:r w:rsidR="000A66AD">
        <w:t xml:space="preserve"> compared with other products </w:t>
      </w:r>
      <w:r>
        <w:t xml:space="preserve">(e.g. split skin grafts) </w:t>
      </w:r>
      <w:r w:rsidR="000A66AD">
        <w:t>to justify the price differential</w:t>
      </w:r>
    </w:p>
    <w:p w14:paraId="60BE5B69" w14:textId="1E724C22" w:rsidR="00BA0EDA" w:rsidRPr="00D919C8" w:rsidRDefault="00D62BE8" w:rsidP="00D62BE8">
      <w:pPr>
        <w:pStyle w:val="ListParagraph"/>
        <w:numPr>
          <w:ilvl w:val="0"/>
          <w:numId w:val="20"/>
        </w:numPr>
        <w:spacing w:after="240"/>
        <w:rPr>
          <w:i/>
          <w:szCs w:val="24"/>
        </w:rPr>
      </w:pPr>
      <w:r>
        <w:t>further consideration of the location of care and unintended consequences if listed on the PL</w:t>
      </w:r>
      <w:r w:rsidR="00BA0EDA">
        <w:t xml:space="preserve"> </w:t>
      </w:r>
    </w:p>
    <w:p w14:paraId="764A1AB6" w14:textId="7B7A4C94" w:rsidR="00BA0EDA" w:rsidRPr="00D919C8" w:rsidRDefault="00BA0EDA">
      <w:pPr>
        <w:pStyle w:val="ListParagraph"/>
        <w:numPr>
          <w:ilvl w:val="0"/>
          <w:numId w:val="20"/>
        </w:numPr>
        <w:spacing w:after="240"/>
        <w:rPr>
          <w:i/>
          <w:szCs w:val="24"/>
        </w:rPr>
      </w:pPr>
      <w:proofErr w:type="gramStart"/>
      <w:r>
        <w:t>a</w:t>
      </w:r>
      <w:proofErr w:type="gramEnd"/>
      <w:r>
        <w:t xml:space="preserve"> revised economic analysis for population 2 (as per above issues) along with economic analyses for population 1 and 3 in order to </w:t>
      </w:r>
      <w:r w:rsidR="00251D71">
        <w:t>inform</w:t>
      </w:r>
      <w:r>
        <w:t xml:space="preserve"> </w:t>
      </w:r>
      <w:r w:rsidR="007B1E52">
        <w:t>whether AM is</w:t>
      </w:r>
      <w:r>
        <w:t xml:space="preserve"> cost-effective price </w:t>
      </w:r>
      <w:r w:rsidR="007B1E52">
        <w:t>in any or all of the population</w:t>
      </w:r>
      <w:r w:rsidR="00D919C8">
        <w:t>(s)</w:t>
      </w:r>
      <w:r>
        <w:t>.</w:t>
      </w:r>
    </w:p>
    <w:p w14:paraId="4428ADD1" w14:textId="3C39C9D2" w:rsidR="00D62BE8" w:rsidRPr="00D62BE8" w:rsidRDefault="00BA0EDA" w:rsidP="00D62BE8">
      <w:pPr>
        <w:spacing w:after="240"/>
        <w:rPr>
          <w:i/>
          <w:szCs w:val="24"/>
        </w:rPr>
      </w:pPr>
      <w:r>
        <w:t xml:space="preserve">MSAC also </w:t>
      </w:r>
      <w:r w:rsidR="00AC6461">
        <w:t xml:space="preserve">considered that if enough trial data was available to support the use of AM in specific subpopulations </w:t>
      </w:r>
      <w:r w:rsidR="00C35DF3">
        <w:t>the</w:t>
      </w:r>
      <w:r w:rsidR="0039694E">
        <w:t xml:space="preserve"> </w:t>
      </w:r>
      <w:r w:rsidR="00AC6461">
        <w:t>application</w:t>
      </w:r>
      <w:r w:rsidR="00C35DF3">
        <w:t xml:space="preserve"> could be considered by population as the data becomes available. </w:t>
      </w:r>
    </w:p>
    <w:p w14:paraId="1F91C3E9" w14:textId="77777777" w:rsidR="00BC1364" w:rsidRPr="00F715D1" w:rsidRDefault="00BC1364" w:rsidP="00F715D1">
      <w:pPr>
        <w:pStyle w:val="Heading1"/>
      </w:pPr>
      <w:r w:rsidRPr="00F715D1">
        <w:t>Background</w:t>
      </w:r>
    </w:p>
    <w:p w14:paraId="36157B44" w14:textId="49CD02C2" w:rsidR="003D45BF" w:rsidRDefault="003D45BF" w:rsidP="003D45BF">
      <w:pPr>
        <w:spacing w:after="240"/>
      </w:pPr>
      <w:r w:rsidRPr="007636EC">
        <w:t xml:space="preserve">This is the first submission (Department Contracted Assessment Report [DCAR]) for </w:t>
      </w:r>
      <w:r>
        <w:t>AM</w:t>
      </w:r>
      <w:r w:rsidRPr="007E66A0">
        <w:t xml:space="preserve"> (human tissue) for topical treatment of ophthalmic disorders and dressings for </w:t>
      </w:r>
      <w:r w:rsidR="00567A4B">
        <w:t>acute and chronic skin wounds.</w:t>
      </w:r>
    </w:p>
    <w:p w14:paraId="7126AD53" w14:textId="009D2076" w:rsidR="003D45BF" w:rsidRDefault="00C86B26" w:rsidP="003D45BF">
      <w:r>
        <w:t>A</w:t>
      </w:r>
      <w:r w:rsidR="003D45BF">
        <w:t xml:space="preserve"> health technology assessment </w:t>
      </w:r>
      <w:r>
        <w:t xml:space="preserve">by MSAC was required </w:t>
      </w:r>
      <w:r w:rsidR="003D45BF">
        <w:t xml:space="preserve">to determine the comparative clinical and cost effectiveness of AM </w:t>
      </w:r>
      <w:r>
        <w:t>to inform</w:t>
      </w:r>
      <w:r w:rsidR="00B739A4">
        <w:t xml:space="preserve"> PLAC</w:t>
      </w:r>
      <w:r w:rsidR="00665817">
        <w:t xml:space="preserve"> consideration of</w:t>
      </w:r>
      <w:r w:rsidR="00B739A4">
        <w:t xml:space="preserve"> an application to list AM on Part B of the </w:t>
      </w:r>
      <w:r w:rsidR="003D45BF">
        <w:t>PL because:</w:t>
      </w:r>
    </w:p>
    <w:p w14:paraId="73D4503F" w14:textId="77777777" w:rsidR="003D45BF" w:rsidRDefault="003D45BF" w:rsidP="0060589D">
      <w:pPr>
        <w:pStyle w:val="ListParagraph"/>
        <w:numPr>
          <w:ilvl w:val="0"/>
          <w:numId w:val="3"/>
        </w:numPr>
      </w:pPr>
      <w:r>
        <w:t>AM products are novel,</w:t>
      </w:r>
    </w:p>
    <w:p w14:paraId="33176DE9" w14:textId="42295879" w:rsidR="003D45BF" w:rsidRDefault="003D45BF" w:rsidP="0060589D">
      <w:pPr>
        <w:pStyle w:val="ListParagraph"/>
        <w:numPr>
          <w:ilvl w:val="0"/>
          <w:numId w:val="3"/>
        </w:numPr>
      </w:pPr>
      <w:r>
        <w:t>there are currently no comparators for AM products on the PL,</w:t>
      </w:r>
      <w:r w:rsidR="00DF65BF">
        <w:t xml:space="preserve"> and</w:t>
      </w:r>
    </w:p>
    <w:p w14:paraId="24E04236" w14:textId="42A46664" w:rsidR="003D45BF" w:rsidRDefault="003D45BF" w:rsidP="0060589D">
      <w:pPr>
        <w:pStyle w:val="ListParagraph"/>
        <w:numPr>
          <w:ilvl w:val="0"/>
          <w:numId w:val="3"/>
        </w:numPr>
      </w:pPr>
      <w:proofErr w:type="gramStart"/>
      <w:r>
        <w:t>there</w:t>
      </w:r>
      <w:proofErr w:type="gramEnd"/>
      <w:r>
        <w:t xml:space="preserve"> is a </w:t>
      </w:r>
      <w:r w:rsidRPr="00B611BF">
        <w:t>lack of information to clearl</w:t>
      </w:r>
      <w:r>
        <w:t>y justify the costs</w:t>
      </w:r>
      <w:r w:rsidR="00665817">
        <w:t>.</w:t>
      </w:r>
    </w:p>
    <w:p w14:paraId="4E67EF08" w14:textId="77777777" w:rsidR="003D45BF" w:rsidRDefault="003D45BF" w:rsidP="003D45BF">
      <w:pPr>
        <w:tabs>
          <w:tab w:val="left" w:pos="720"/>
          <w:tab w:val="left" w:pos="1140"/>
        </w:tabs>
        <w:spacing w:before="240"/>
        <w:rPr>
          <w:szCs w:val="24"/>
        </w:rPr>
      </w:pPr>
      <w:r>
        <w:rPr>
          <w:szCs w:val="24"/>
        </w:rPr>
        <w:t>Two applications for AM have previously been submitted for MSAC consideration:</w:t>
      </w:r>
    </w:p>
    <w:p w14:paraId="0449E538" w14:textId="77777777" w:rsidR="003D45BF" w:rsidRDefault="00444F7B" w:rsidP="0060589D">
      <w:pPr>
        <w:pStyle w:val="ListParagraph"/>
        <w:numPr>
          <w:ilvl w:val="0"/>
          <w:numId w:val="4"/>
        </w:numPr>
        <w:tabs>
          <w:tab w:val="left" w:pos="720"/>
          <w:tab w:val="left" w:pos="1140"/>
        </w:tabs>
        <w:rPr>
          <w:szCs w:val="24"/>
        </w:rPr>
      </w:pPr>
      <w:hyperlink r:id="rId10" w:history="1">
        <w:r w:rsidR="003D45BF" w:rsidRPr="003935F9">
          <w:rPr>
            <w:rStyle w:val="Hyperlink"/>
            <w:szCs w:val="24"/>
          </w:rPr>
          <w:t>MSAC Application 1556</w:t>
        </w:r>
      </w:hyperlink>
      <w:r w:rsidR="003D45BF">
        <w:rPr>
          <w:szCs w:val="24"/>
        </w:rPr>
        <w:t xml:space="preserve"> - </w:t>
      </w:r>
      <w:r w:rsidR="003D45BF" w:rsidRPr="00742C7F">
        <w:rPr>
          <w:szCs w:val="24"/>
        </w:rPr>
        <w:t>Human tissue (topical) wound treatments – Ulcers and burns (</w:t>
      </w:r>
      <w:proofErr w:type="spellStart"/>
      <w:r w:rsidR="003D45BF" w:rsidRPr="00742C7F">
        <w:rPr>
          <w:szCs w:val="24"/>
        </w:rPr>
        <w:t>EpiFix</w:t>
      </w:r>
      <w:proofErr w:type="spellEnd"/>
      <w:r w:rsidR="003D45BF" w:rsidRPr="00742C7F">
        <w:rPr>
          <w:szCs w:val="24"/>
        </w:rPr>
        <w:t xml:space="preserve"> and </w:t>
      </w:r>
      <w:proofErr w:type="spellStart"/>
      <w:r w:rsidR="003D45BF" w:rsidRPr="00742C7F">
        <w:rPr>
          <w:szCs w:val="24"/>
        </w:rPr>
        <w:t>EpiBurn</w:t>
      </w:r>
      <w:proofErr w:type="spellEnd"/>
      <w:r w:rsidR="003D45BF" w:rsidRPr="00742C7F">
        <w:rPr>
          <w:szCs w:val="24"/>
        </w:rPr>
        <w:t>)</w:t>
      </w:r>
    </w:p>
    <w:p w14:paraId="21EB4A9F" w14:textId="77777777" w:rsidR="00BC1364" w:rsidRPr="003D45BF" w:rsidRDefault="00444F7B" w:rsidP="0060589D">
      <w:pPr>
        <w:pStyle w:val="ListParagraph"/>
        <w:numPr>
          <w:ilvl w:val="0"/>
          <w:numId w:val="4"/>
        </w:numPr>
        <w:tabs>
          <w:tab w:val="left" w:pos="720"/>
          <w:tab w:val="left" w:pos="1140"/>
        </w:tabs>
        <w:rPr>
          <w:szCs w:val="24"/>
        </w:rPr>
      </w:pPr>
      <w:hyperlink r:id="rId11" w:history="1">
        <w:r w:rsidR="003D45BF" w:rsidRPr="003D45BF">
          <w:rPr>
            <w:rStyle w:val="Hyperlink"/>
            <w:szCs w:val="24"/>
          </w:rPr>
          <w:t>MSAC Application 1557</w:t>
        </w:r>
      </w:hyperlink>
      <w:r w:rsidR="003D45BF" w:rsidRPr="003D45BF">
        <w:rPr>
          <w:szCs w:val="24"/>
        </w:rPr>
        <w:t xml:space="preserve"> – Human tissue (surgical) wound treatments - Laminectomy and tendon repair (</w:t>
      </w:r>
      <w:proofErr w:type="spellStart"/>
      <w:r w:rsidR="003D45BF" w:rsidRPr="003D45BF">
        <w:rPr>
          <w:szCs w:val="24"/>
        </w:rPr>
        <w:t>AmnioFix</w:t>
      </w:r>
      <w:proofErr w:type="spellEnd"/>
      <w:r w:rsidR="003D45BF" w:rsidRPr="003D45BF">
        <w:rPr>
          <w:szCs w:val="24"/>
        </w:rPr>
        <w:t xml:space="preserve">, </w:t>
      </w:r>
      <w:proofErr w:type="spellStart"/>
      <w:r w:rsidR="003D45BF" w:rsidRPr="003D45BF">
        <w:rPr>
          <w:szCs w:val="24"/>
        </w:rPr>
        <w:t>AmnioWrap</w:t>
      </w:r>
      <w:proofErr w:type="spellEnd"/>
      <w:r w:rsidR="003D45BF" w:rsidRPr="003D45BF">
        <w:rPr>
          <w:szCs w:val="24"/>
        </w:rPr>
        <w:t xml:space="preserve"> and </w:t>
      </w:r>
      <w:proofErr w:type="spellStart"/>
      <w:r w:rsidR="003D45BF" w:rsidRPr="003D45BF">
        <w:rPr>
          <w:szCs w:val="24"/>
        </w:rPr>
        <w:t>AmnioFix</w:t>
      </w:r>
      <w:proofErr w:type="spellEnd"/>
      <w:r w:rsidR="003D45BF" w:rsidRPr="003D45BF">
        <w:rPr>
          <w:szCs w:val="24"/>
        </w:rPr>
        <w:t xml:space="preserve"> Injectable).</w:t>
      </w:r>
    </w:p>
    <w:p w14:paraId="5A9A6EDB" w14:textId="77777777" w:rsidR="00BC1364" w:rsidRPr="00F715D1" w:rsidRDefault="00BC1364" w:rsidP="00F715D1">
      <w:pPr>
        <w:pStyle w:val="Heading1"/>
      </w:pPr>
      <w:r w:rsidRPr="00F715D1">
        <w:t>Prerequisites to implementation of any funding advice</w:t>
      </w:r>
    </w:p>
    <w:p w14:paraId="719BB121" w14:textId="77777777" w:rsidR="003D45BF" w:rsidRPr="00D32A43" w:rsidRDefault="003D45BF" w:rsidP="003D45BF">
      <w:pPr>
        <w:spacing w:after="240"/>
      </w:pPr>
      <w:r w:rsidRPr="00DA5F3F">
        <w:t>Cryopreserved</w:t>
      </w:r>
      <w:r w:rsidRPr="00D32A43">
        <w:t xml:space="preserve"> and dehydrated AM were</w:t>
      </w:r>
      <w:r>
        <w:t xml:space="preserve"> included </w:t>
      </w:r>
      <w:r w:rsidRPr="00D32A43">
        <w:t>on the Australian Register of Therapeutic Goods (ARTG) in 2018 (</w:t>
      </w:r>
      <w:r w:rsidRPr="00DA5F3F">
        <w:fldChar w:fldCharType="begin"/>
      </w:r>
      <w:r w:rsidRPr="00DA5F3F">
        <w:instrText xml:space="preserve"> REF _Ref54692297 \h </w:instrText>
      </w:r>
      <w:r>
        <w:instrText xml:space="preserve"> \* MERGEFORMAT </w:instrText>
      </w:r>
      <w:r w:rsidRPr="00DA5F3F">
        <w:fldChar w:fldCharType="separate"/>
      </w:r>
      <w:r w:rsidRPr="00DA5F3F">
        <w:t xml:space="preserve">Table </w:t>
      </w:r>
      <w:r>
        <w:rPr>
          <w:noProof/>
        </w:rPr>
        <w:t>1</w:t>
      </w:r>
      <w:r w:rsidRPr="00DA5F3F">
        <w:fldChar w:fldCharType="end"/>
      </w:r>
      <w:r w:rsidRPr="00DA5F3F">
        <w:t>).</w:t>
      </w:r>
      <w:r w:rsidRPr="00D32A43">
        <w:t xml:space="preserve"> </w:t>
      </w:r>
      <w:r>
        <w:t xml:space="preserve">AM is obtained from donors and prepared for medical use </w:t>
      </w:r>
      <w:r w:rsidRPr="00DA5F3F">
        <w:t xml:space="preserve">in accordance </w:t>
      </w:r>
      <w:r>
        <w:t xml:space="preserve">with </w:t>
      </w:r>
      <w:hyperlink r:id="rId12" w:history="1">
        <w:r w:rsidRPr="00B55DE5">
          <w:rPr>
            <w:rStyle w:val="Hyperlink"/>
          </w:rPr>
          <w:t>Therapeutic Goods Order 88</w:t>
        </w:r>
      </w:hyperlink>
      <w:r>
        <w:t xml:space="preserve">. </w:t>
      </w:r>
      <w:r w:rsidRPr="00D32A43">
        <w:t xml:space="preserve">Six dehydrated </w:t>
      </w:r>
      <w:r>
        <w:t>AM</w:t>
      </w:r>
      <w:r w:rsidRPr="00D32A43">
        <w:t>-based products used for wound healing are listed under ARTG number 307979</w:t>
      </w:r>
      <w:r>
        <w:t>.</w:t>
      </w:r>
      <w:r w:rsidRPr="00D32A43">
        <w:t xml:space="preserve"> Two additional products registered under this number</w:t>
      </w:r>
      <w:r w:rsidRPr="00DA5F3F">
        <w:t>—</w:t>
      </w:r>
      <w:proofErr w:type="spellStart"/>
      <w:r w:rsidRPr="00D32A43">
        <w:t>EpiFix</w:t>
      </w:r>
      <w:proofErr w:type="spellEnd"/>
      <w:r w:rsidRPr="00D32A43">
        <w:t xml:space="preserve"> Injectable and </w:t>
      </w:r>
      <w:proofErr w:type="spellStart"/>
      <w:r w:rsidRPr="00D32A43">
        <w:t>AmnioFix</w:t>
      </w:r>
      <w:proofErr w:type="spellEnd"/>
      <w:r w:rsidRPr="00D32A43">
        <w:t xml:space="preserve"> Injectable</w:t>
      </w:r>
      <w:r w:rsidRPr="00DA5F3F">
        <w:t>—</w:t>
      </w:r>
      <w:r w:rsidRPr="00D32A43">
        <w:t>are injectable AM treatments for chronic plantar fasciitis and are not relevant to this application</w:t>
      </w:r>
      <w:r w:rsidRPr="00DA5F3F">
        <w:t>.</w:t>
      </w:r>
    </w:p>
    <w:p w14:paraId="7CE73C91" w14:textId="77777777" w:rsidR="003D45BF" w:rsidRPr="00DA5F3F" w:rsidRDefault="003D45BF" w:rsidP="003D45BF">
      <w:pPr>
        <w:pStyle w:val="Caption"/>
      </w:pPr>
      <w:bookmarkStart w:id="0" w:name="_Ref54692297"/>
      <w:bookmarkStart w:id="1" w:name="_Toc55808389"/>
      <w:bookmarkStart w:id="2" w:name="_Toc59311955"/>
      <w:r w:rsidRPr="00DA5F3F">
        <w:lastRenderedPageBreak/>
        <w:t xml:space="preserve">Table </w:t>
      </w:r>
      <w:r>
        <w:fldChar w:fldCharType="begin"/>
      </w:r>
      <w:r>
        <w:instrText>SEQ Table \* ARABIC</w:instrText>
      </w:r>
      <w:r>
        <w:fldChar w:fldCharType="separate"/>
      </w:r>
      <w:r>
        <w:rPr>
          <w:noProof/>
        </w:rPr>
        <w:t>1</w:t>
      </w:r>
      <w:r>
        <w:fldChar w:fldCharType="end"/>
      </w:r>
      <w:bookmarkEnd w:id="0"/>
      <w:r w:rsidRPr="00DA5F3F">
        <w:tab/>
      </w:r>
      <w:r>
        <w:t>C</w:t>
      </w:r>
      <w:r w:rsidRPr="00DA5F3F">
        <w:t xml:space="preserve">ryopreserved and dehydrated </w:t>
      </w:r>
      <w:bookmarkEnd w:id="1"/>
      <w:r w:rsidRPr="00DA5F3F">
        <w:t>AM</w:t>
      </w:r>
      <w:bookmarkEnd w:id="2"/>
      <w:r>
        <w:t xml:space="preserve"> products included on the ARTG</w:t>
      </w:r>
    </w:p>
    <w:tbl>
      <w:tblPr>
        <w:tblStyle w:val="TableGrid"/>
        <w:tblW w:w="5000" w:type="pct"/>
        <w:tblLayout w:type="fixed"/>
        <w:tblCellMar>
          <w:top w:w="57" w:type="dxa"/>
          <w:bottom w:w="57" w:type="dxa"/>
        </w:tblCellMar>
        <w:tblLook w:val="04A0" w:firstRow="1" w:lastRow="0" w:firstColumn="1" w:lastColumn="0" w:noHBand="0" w:noVBand="1"/>
        <w:tblCaption w:val="Table 1 Cryopreserved and dehydrated AM products included on the ARTG"/>
      </w:tblPr>
      <w:tblGrid>
        <w:gridCol w:w="1494"/>
        <w:gridCol w:w="1495"/>
        <w:gridCol w:w="1495"/>
        <w:gridCol w:w="2557"/>
        <w:gridCol w:w="1975"/>
      </w:tblGrid>
      <w:tr w:rsidR="003D45BF" w:rsidRPr="00380A5D" w14:paraId="6C2A1A05" w14:textId="77777777" w:rsidTr="00567A4B">
        <w:trPr>
          <w:tblHeader/>
        </w:trPr>
        <w:tc>
          <w:tcPr>
            <w:tcW w:w="829" w:type="pct"/>
          </w:tcPr>
          <w:p w14:paraId="4E0B7100" w14:textId="77777777" w:rsidR="003D45BF" w:rsidRPr="00DA5F3F" w:rsidRDefault="003D45BF" w:rsidP="00AB5515">
            <w:pPr>
              <w:pStyle w:val="Tabletext"/>
              <w:spacing w:before="0" w:after="0"/>
              <w:rPr>
                <w:b/>
              </w:rPr>
            </w:pPr>
            <w:r w:rsidRPr="00380A5D">
              <w:rPr>
                <w:b/>
              </w:rPr>
              <w:t>ARTG number</w:t>
            </w:r>
          </w:p>
          <w:p w14:paraId="27FADD40" w14:textId="77777777" w:rsidR="003D45BF" w:rsidRPr="00DA5F3F" w:rsidRDefault="003D45BF" w:rsidP="00AB5515">
            <w:pPr>
              <w:pStyle w:val="Tabletext"/>
              <w:spacing w:before="0" w:after="0"/>
              <w:rPr>
                <w:b/>
              </w:rPr>
            </w:pPr>
            <w:r w:rsidRPr="00380A5D">
              <w:rPr>
                <w:b/>
              </w:rPr>
              <w:t>Start date</w:t>
            </w:r>
          </w:p>
        </w:tc>
        <w:tc>
          <w:tcPr>
            <w:tcW w:w="829" w:type="pct"/>
          </w:tcPr>
          <w:p w14:paraId="5E06A854" w14:textId="77777777" w:rsidR="003D45BF" w:rsidRPr="00DA5F3F" w:rsidRDefault="003D45BF" w:rsidP="00AB5515">
            <w:pPr>
              <w:pStyle w:val="Tabletext"/>
              <w:spacing w:before="0" w:after="0"/>
              <w:rPr>
                <w:b/>
              </w:rPr>
            </w:pPr>
            <w:r w:rsidRPr="00380A5D">
              <w:rPr>
                <w:b/>
              </w:rPr>
              <w:t>Sponsor</w:t>
            </w:r>
          </w:p>
        </w:tc>
        <w:tc>
          <w:tcPr>
            <w:tcW w:w="829" w:type="pct"/>
          </w:tcPr>
          <w:p w14:paraId="407494AE" w14:textId="77777777" w:rsidR="003D45BF" w:rsidRPr="00DA5F3F" w:rsidRDefault="003D45BF" w:rsidP="00AB5515">
            <w:pPr>
              <w:pStyle w:val="Tabletext"/>
              <w:spacing w:before="0" w:after="0"/>
              <w:rPr>
                <w:b/>
              </w:rPr>
            </w:pPr>
            <w:r w:rsidRPr="00380A5D">
              <w:rPr>
                <w:b/>
              </w:rPr>
              <w:t>Category</w:t>
            </w:r>
          </w:p>
        </w:tc>
        <w:tc>
          <w:tcPr>
            <w:tcW w:w="1418" w:type="pct"/>
          </w:tcPr>
          <w:p w14:paraId="53789BD8" w14:textId="77777777" w:rsidR="003D45BF" w:rsidRPr="00DA5F3F" w:rsidRDefault="003D45BF" w:rsidP="00AB5515">
            <w:pPr>
              <w:pStyle w:val="Tabletext"/>
              <w:spacing w:before="0" w:after="0"/>
              <w:rPr>
                <w:b/>
              </w:rPr>
            </w:pPr>
            <w:r w:rsidRPr="00380A5D">
              <w:rPr>
                <w:b/>
              </w:rPr>
              <w:t>Product name</w:t>
            </w:r>
          </w:p>
        </w:tc>
        <w:tc>
          <w:tcPr>
            <w:tcW w:w="1095" w:type="pct"/>
          </w:tcPr>
          <w:p w14:paraId="54FF95FE" w14:textId="77777777" w:rsidR="003D45BF" w:rsidRPr="00DA5F3F" w:rsidRDefault="003D45BF" w:rsidP="00AB5515">
            <w:pPr>
              <w:pStyle w:val="Tabletext"/>
              <w:spacing w:before="0" w:after="0"/>
              <w:rPr>
                <w:b/>
              </w:rPr>
            </w:pPr>
            <w:r w:rsidRPr="00380A5D">
              <w:rPr>
                <w:b/>
              </w:rPr>
              <w:t>Intended use</w:t>
            </w:r>
          </w:p>
        </w:tc>
      </w:tr>
      <w:tr w:rsidR="003D45BF" w:rsidRPr="00DA5F3F" w14:paraId="07E6B864" w14:textId="77777777" w:rsidTr="001F4142">
        <w:tc>
          <w:tcPr>
            <w:tcW w:w="829" w:type="pct"/>
          </w:tcPr>
          <w:p w14:paraId="26352F79" w14:textId="77777777" w:rsidR="003D45BF" w:rsidRPr="00DA5F3F" w:rsidRDefault="003D45BF" w:rsidP="00AB5515">
            <w:pPr>
              <w:pStyle w:val="Tabletext"/>
              <w:spacing w:before="0" w:after="0"/>
            </w:pPr>
            <w:r w:rsidRPr="00380A5D">
              <w:t>303207</w:t>
            </w:r>
          </w:p>
          <w:p w14:paraId="616AFFF5" w14:textId="77777777" w:rsidR="003D45BF" w:rsidRPr="00DA5F3F" w:rsidRDefault="003D45BF" w:rsidP="00AB5515">
            <w:pPr>
              <w:pStyle w:val="Tabletext"/>
              <w:spacing w:before="0" w:after="0"/>
            </w:pPr>
            <w:r w:rsidRPr="00380A5D">
              <w:t>18/05/201</w:t>
            </w:r>
            <w:r w:rsidRPr="00DA5F3F">
              <w:t>8</w:t>
            </w:r>
          </w:p>
        </w:tc>
        <w:tc>
          <w:tcPr>
            <w:tcW w:w="829" w:type="pct"/>
          </w:tcPr>
          <w:p w14:paraId="60EA5363" w14:textId="77777777" w:rsidR="003D45BF" w:rsidRPr="00DA5F3F" w:rsidRDefault="003D45BF" w:rsidP="00AB5515">
            <w:pPr>
              <w:pStyle w:val="Tabletext"/>
              <w:spacing w:before="0" w:after="0"/>
            </w:pPr>
            <w:r w:rsidRPr="00380A5D">
              <w:t>Sout</w:t>
            </w:r>
            <w:r w:rsidRPr="00DA5F3F">
              <w:t>h Eastern Sydney Local Health District</w:t>
            </w:r>
          </w:p>
        </w:tc>
        <w:tc>
          <w:tcPr>
            <w:tcW w:w="829" w:type="pct"/>
          </w:tcPr>
          <w:p w14:paraId="188DE0B2" w14:textId="77777777" w:rsidR="003D45BF" w:rsidRPr="00DA5F3F" w:rsidRDefault="003D45BF" w:rsidP="00AB5515">
            <w:pPr>
              <w:pStyle w:val="Tabletext"/>
              <w:spacing w:before="0" w:after="0"/>
            </w:pPr>
            <w:r w:rsidRPr="00380A5D">
              <w:t>Biological Included Class 2</w:t>
            </w:r>
          </w:p>
        </w:tc>
        <w:tc>
          <w:tcPr>
            <w:tcW w:w="1418" w:type="pct"/>
          </w:tcPr>
          <w:p w14:paraId="15F1DD71" w14:textId="77777777" w:rsidR="003D45BF" w:rsidRPr="00DA5F3F" w:rsidRDefault="003D45BF" w:rsidP="00AB5515">
            <w:pPr>
              <w:pStyle w:val="Tabletext"/>
              <w:spacing w:before="0" w:after="0"/>
            </w:pPr>
            <w:r w:rsidRPr="00380A5D">
              <w:t>Amniotic membrane, cryopreserved</w:t>
            </w:r>
          </w:p>
        </w:tc>
        <w:tc>
          <w:tcPr>
            <w:tcW w:w="1095" w:type="pct"/>
          </w:tcPr>
          <w:p w14:paraId="7AC8E42E" w14:textId="77777777" w:rsidR="003D45BF" w:rsidRPr="00DA5F3F" w:rsidRDefault="003D45BF" w:rsidP="00AB5515">
            <w:pPr>
              <w:pStyle w:val="Tabletext"/>
              <w:spacing w:before="0" w:after="0"/>
            </w:pPr>
            <w:r w:rsidRPr="00380A5D">
              <w:t>Treatment of ophthalmic disorde</w:t>
            </w:r>
            <w:r w:rsidRPr="00DA5F3F">
              <w:t>r/</w:t>
            </w:r>
            <w:r>
              <w:t xml:space="preserve"> </w:t>
            </w:r>
            <w:r w:rsidRPr="00DA5F3F">
              <w:t>disease/</w:t>
            </w:r>
            <w:r>
              <w:t xml:space="preserve"> </w:t>
            </w:r>
            <w:r w:rsidRPr="00DA5F3F">
              <w:t>trauma, or as a wound dressing</w:t>
            </w:r>
          </w:p>
        </w:tc>
      </w:tr>
      <w:tr w:rsidR="003D45BF" w:rsidRPr="00DA5F3F" w14:paraId="147FD424" w14:textId="77777777" w:rsidTr="001F4142">
        <w:tc>
          <w:tcPr>
            <w:tcW w:w="829" w:type="pct"/>
          </w:tcPr>
          <w:p w14:paraId="393C9B96" w14:textId="77777777" w:rsidR="003D45BF" w:rsidRPr="00DA5F3F" w:rsidRDefault="003D45BF" w:rsidP="00AB5515">
            <w:pPr>
              <w:pStyle w:val="Tabletext"/>
              <w:spacing w:before="0" w:after="0"/>
            </w:pPr>
            <w:r w:rsidRPr="00380A5D">
              <w:t>307979</w:t>
            </w:r>
          </w:p>
          <w:p w14:paraId="6529995D" w14:textId="77777777" w:rsidR="003D45BF" w:rsidRPr="00DA5F3F" w:rsidRDefault="003D45BF" w:rsidP="00AB5515">
            <w:pPr>
              <w:pStyle w:val="Tabletext"/>
              <w:spacing w:before="0" w:after="0"/>
            </w:pPr>
            <w:r w:rsidRPr="00380A5D">
              <w:t>08/08/2018</w:t>
            </w:r>
          </w:p>
        </w:tc>
        <w:tc>
          <w:tcPr>
            <w:tcW w:w="829" w:type="pct"/>
          </w:tcPr>
          <w:p w14:paraId="07ED76C1" w14:textId="77777777" w:rsidR="003D45BF" w:rsidRPr="00DA5F3F" w:rsidRDefault="003D45BF" w:rsidP="00AB5515">
            <w:pPr>
              <w:pStyle w:val="Tabletext"/>
              <w:spacing w:before="0" w:after="0"/>
            </w:pPr>
            <w:r w:rsidRPr="00380A5D">
              <w:t>Vicki Partridge Pty Ltd</w:t>
            </w:r>
          </w:p>
        </w:tc>
        <w:tc>
          <w:tcPr>
            <w:tcW w:w="829" w:type="pct"/>
          </w:tcPr>
          <w:p w14:paraId="3BF18828" w14:textId="77777777" w:rsidR="003D45BF" w:rsidRPr="00DA5F3F" w:rsidRDefault="003D45BF" w:rsidP="00AB5515">
            <w:pPr>
              <w:pStyle w:val="Tabletext"/>
              <w:spacing w:before="0" w:after="0"/>
            </w:pPr>
            <w:r w:rsidRPr="00380A5D">
              <w:t>Biological Included Class 2</w:t>
            </w:r>
          </w:p>
        </w:tc>
        <w:tc>
          <w:tcPr>
            <w:tcW w:w="1418" w:type="pct"/>
          </w:tcPr>
          <w:p w14:paraId="3C01294B" w14:textId="77777777" w:rsidR="003D45BF" w:rsidRPr="00DA5F3F" w:rsidRDefault="003D45BF" w:rsidP="00AB5515">
            <w:pPr>
              <w:pStyle w:val="Tabletext"/>
              <w:spacing w:before="0" w:after="0"/>
            </w:pPr>
            <w:r w:rsidRPr="00380A5D">
              <w:t>Foet</w:t>
            </w:r>
            <w:r w:rsidRPr="00DA5F3F">
              <w:t>al membranes, dehydrated, irradiated (</w:t>
            </w:r>
            <w:proofErr w:type="spellStart"/>
            <w:r w:rsidRPr="00DA5F3F">
              <w:t>EpiFix</w:t>
            </w:r>
            <w:proofErr w:type="spellEnd"/>
            <w:r w:rsidRPr="00DA5F3F">
              <w:t xml:space="preserve">, </w:t>
            </w:r>
            <w:proofErr w:type="spellStart"/>
            <w:r w:rsidRPr="00DA5F3F">
              <w:t>AmnioFix</w:t>
            </w:r>
            <w:proofErr w:type="spellEnd"/>
            <w:r w:rsidRPr="00DA5F3F">
              <w:t xml:space="preserve">, </w:t>
            </w:r>
            <w:proofErr w:type="spellStart"/>
            <w:r w:rsidRPr="00DA5F3F">
              <w:t>EpiFix</w:t>
            </w:r>
            <w:proofErr w:type="spellEnd"/>
            <w:r w:rsidRPr="00DA5F3F">
              <w:t xml:space="preserve"> Fenestrated, </w:t>
            </w:r>
            <w:proofErr w:type="spellStart"/>
            <w:r w:rsidRPr="00DA5F3F">
              <w:t>EpiXL</w:t>
            </w:r>
            <w:proofErr w:type="spellEnd"/>
            <w:r w:rsidRPr="00DA5F3F">
              <w:t xml:space="preserve">, </w:t>
            </w:r>
            <w:proofErr w:type="spellStart"/>
            <w:r w:rsidRPr="00DA5F3F">
              <w:t>EpiFix</w:t>
            </w:r>
            <w:proofErr w:type="spellEnd"/>
            <w:r w:rsidRPr="00DA5F3F">
              <w:t xml:space="preserve"> Mesh, </w:t>
            </w:r>
            <w:proofErr w:type="spellStart"/>
            <w:r w:rsidRPr="00DA5F3F">
              <w:t>AmnioFix</w:t>
            </w:r>
            <w:proofErr w:type="spellEnd"/>
            <w:r w:rsidRPr="00DA5F3F">
              <w:t xml:space="preserve"> Wrap)</w:t>
            </w:r>
          </w:p>
        </w:tc>
        <w:tc>
          <w:tcPr>
            <w:tcW w:w="1095" w:type="pct"/>
          </w:tcPr>
          <w:p w14:paraId="1399F605" w14:textId="77777777" w:rsidR="003D45BF" w:rsidRPr="00DA5F3F" w:rsidRDefault="003D45BF" w:rsidP="00AB5515">
            <w:pPr>
              <w:pStyle w:val="Tabletext"/>
              <w:spacing w:before="0" w:after="0"/>
            </w:pPr>
            <w:r w:rsidRPr="00380A5D">
              <w:t>T</w:t>
            </w:r>
            <w:r w:rsidRPr="00DA5F3F">
              <w:t>reatment of acute and chronic wounds to enhance healing</w:t>
            </w:r>
          </w:p>
        </w:tc>
      </w:tr>
    </w:tbl>
    <w:p w14:paraId="06FA3702" w14:textId="77777777" w:rsidR="003D45BF" w:rsidRPr="00DA5F3F" w:rsidRDefault="003D45BF" w:rsidP="00AB5515">
      <w:pPr>
        <w:pStyle w:val="Tablenotes"/>
      </w:pPr>
      <w:r w:rsidRPr="00B55DE5">
        <w:t>Source</w:t>
      </w:r>
      <w:r w:rsidRPr="00DA5F3F">
        <w:t xml:space="preserve">: </w:t>
      </w:r>
      <w:r>
        <w:t>Table 8, p17 of the DCAR</w:t>
      </w:r>
    </w:p>
    <w:p w14:paraId="481CF79B" w14:textId="77777777" w:rsidR="00BC1364" w:rsidRPr="00F715D1" w:rsidRDefault="00BC1364" w:rsidP="00F715D1">
      <w:pPr>
        <w:pStyle w:val="Heading1"/>
      </w:pPr>
      <w:r w:rsidRPr="00F715D1">
        <w:t>Proposal for public funding</w:t>
      </w:r>
    </w:p>
    <w:p w14:paraId="1A53D1C6" w14:textId="32E49572" w:rsidR="003D45BF" w:rsidRDefault="00E15768" w:rsidP="00755ED9">
      <w:pPr>
        <w:spacing w:after="240"/>
      </w:pPr>
      <w:r>
        <w:t xml:space="preserve">As advised by </w:t>
      </w:r>
      <w:r w:rsidRPr="009C5A34">
        <w:t>clinicians</w:t>
      </w:r>
      <w:r>
        <w:t>, t</w:t>
      </w:r>
      <w:r w:rsidR="003D45BF">
        <w:t xml:space="preserve">here are existing MBS items that can accommodate </w:t>
      </w:r>
      <w:r>
        <w:t xml:space="preserve">the delivery of </w:t>
      </w:r>
      <w:r w:rsidR="003D45BF">
        <w:t>AM.</w:t>
      </w:r>
      <w:r w:rsidR="003D45BF" w:rsidRPr="009C5A34">
        <w:t xml:space="preserve"> </w:t>
      </w:r>
      <w:r w:rsidR="00755ED9">
        <w:t>The application does not seek new MBS item numbers or seek to amend existing MBS item numbers.</w:t>
      </w:r>
    </w:p>
    <w:p w14:paraId="1CA351F4" w14:textId="7381504E" w:rsidR="003D45BF" w:rsidRDefault="00926B7E" w:rsidP="003D45BF">
      <w:r>
        <w:t>I</w:t>
      </w:r>
      <w:r w:rsidR="00B016ED">
        <w:t>t is noted that the applicant intends to seek listing of AM on</w:t>
      </w:r>
      <w:r w:rsidR="00665817">
        <w:t xml:space="preserve"> Part B of</w:t>
      </w:r>
      <w:r w:rsidR="00B016ED">
        <w:t xml:space="preserve"> the PL. </w:t>
      </w:r>
      <w:r w:rsidR="003D45BF">
        <w:t xml:space="preserve"> </w:t>
      </w:r>
      <w:r w:rsidR="00B016ED">
        <w:t xml:space="preserve">The </w:t>
      </w:r>
      <w:r w:rsidR="003D45BF">
        <w:t>a</w:t>
      </w:r>
      <w:r w:rsidR="003D45BF" w:rsidRPr="00D32A43">
        <w:t xml:space="preserve">pplicant proposed </w:t>
      </w:r>
      <w:r w:rsidR="000136CA">
        <w:t>cost</w:t>
      </w:r>
      <w:r w:rsidR="00FC0313">
        <w:t xml:space="preserve"> for AM:</w:t>
      </w:r>
      <w:r w:rsidR="003D45BF">
        <w:t xml:space="preserve"> $587.57 for 5cm diameter circle, $1,446.11 for 5 x 10 cm</w:t>
      </w:r>
      <w:r w:rsidR="00567A4B">
        <w:t>, and $2,892.87 for 10 x 10 cm.</w:t>
      </w:r>
      <w:r w:rsidR="00A52352">
        <w:t xml:space="preserve"> The applicant in the response to ESC’s request indicated that the 5cm diameter circular graft is traditional in Australia. The applicant also indicated that feedback is sought from surgeons on each occasion of service and a smaller 2 x 2cm</w:t>
      </w:r>
      <w:r w:rsidR="00A52352">
        <w:rPr>
          <w:vertAlign w:val="superscript"/>
        </w:rPr>
        <w:t xml:space="preserve">2 </w:t>
      </w:r>
      <w:r w:rsidR="00A52352">
        <w:t>AM graft for use in ophthalmic conditions (as used in the</w:t>
      </w:r>
      <w:r w:rsidR="00A52352" w:rsidRPr="00A52352">
        <w:t xml:space="preserve"> </w:t>
      </w:r>
      <w:r w:rsidR="00A52352">
        <w:t>National Health System, UK) would be considered if requested.</w:t>
      </w:r>
    </w:p>
    <w:p w14:paraId="408BB9E2"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4B66EE70" w14:textId="77777777" w:rsidR="008F6E4D" w:rsidRDefault="008F6E4D" w:rsidP="008F6E4D">
      <w:r>
        <w:t xml:space="preserve">One consultation survey was received from the Royal Australian and New Zealand College of Ophthalmologists (RANZCO) </w:t>
      </w:r>
      <w:r w:rsidRPr="00F4573C">
        <w:t xml:space="preserve">which supported the application and noted that </w:t>
      </w:r>
      <w:r>
        <w:t>AM</w:t>
      </w:r>
      <w:r w:rsidRPr="00F4573C">
        <w:t xml:space="preserve"> products would also be beneficial in the community setting to avoid hospital admission.</w:t>
      </w:r>
    </w:p>
    <w:p w14:paraId="46D628A3" w14:textId="77777777" w:rsidR="00BC1364" w:rsidRPr="00F715D1" w:rsidRDefault="00BC1364" w:rsidP="00F715D1">
      <w:pPr>
        <w:pStyle w:val="Heading1"/>
      </w:pPr>
      <w:r w:rsidRPr="00F715D1">
        <w:t>Proposed intervention’s place in clinical management</w:t>
      </w:r>
    </w:p>
    <w:p w14:paraId="20E1C8E9" w14:textId="77777777" w:rsidR="00CF4E81" w:rsidRDefault="00CF4E81" w:rsidP="008F6E4D">
      <w:pPr>
        <w:pStyle w:val="Heading2"/>
      </w:pPr>
      <w:r w:rsidRPr="00CF4E81">
        <w:t>Description of Proposed Intervention</w:t>
      </w:r>
    </w:p>
    <w:p w14:paraId="5FC70CF6" w14:textId="2B9436C4" w:rsidR="00444F7B" w:rsidRDefault="008F6E4D" w:rsidP="00444F7B">
      <w:pPr>
        <w:spacing w:after="240"/>
      </w:pPr>
      <w:bookmarkStart w:id="3" w:name="_Toc20294760"/>
      <w:bookmarkStart w:id="4" w:name="_Toc56993297"/>
      <w:r w:rsidRPr="000A273D">
        <w:t>The proposed intervention is any human</w:t>
      </w:r>
      <w:r>
        <w:t xml:space="preserve"> AM that is purported to promote healing for a range of indications. Amnion membrane is obtained from elective caesarean section births and prepared for medical use </w:t>
      </w:r>
      <w:r w:rsidRPr="00DA5F3F">
        <w:t xml:space="preserve">in accordance </w:t>
      </w:r>
      <w:r>
        <w:t xml:space="preserve">with Therapeutic Goods Order 88. The AM can be either cryopreserved or dehydrated for storage. The cryopreserved AM has an expiry of 12 months, and the dehydrated AM can have a shelf life for up to five years depending on the manufacturing process. The setting for using AM products is specific to indications. AM is more likely to be used in the operating theatre for both ophthalmic conditions and treating different wounds following surgical debridement. However, AM can be used in outpatient settings for appropriate wound types. </w:t>
      </w:r>
      <w:bookmarkEnd w:id="3"/>
      <w:bookmarkEnd w:id="4"/>
      <w:r w:rsidR="00444F7B">
        <w:br w:type="page"/>
      </w:r>
    </w:p>
    <w:p w14:paraId="4BE189D5" w14:textId="77777777" w:rsidR="00CF4E81" w:rsidRPr="00CF4E81" w:rsidRDefault="00CF4E81" w:rsidP="008F6E4D">
      <w:pPr>
        <w:pStyle w:val="Heading2"/>
      </w:pPr>
      <w:r w:rsidRPr="00CF4E81">
        <w:t xml:space="preserve">Description of </w:t>
      </w:r>
      <w:r w:rsidRPr="008F6E4D">
        <w:t>Medical</w:t>
      </w:r>
      <w:r w:rsidRPr="00CF4E81">
        <w:t xml:space="preserve"> Condition(s)</w:t>
      </w:r>
    </w:p>
    <w:p w14:paraId="1B331BB6" w14:textId="32C7C317" w:rsidR="00AB5515" w:rsidRDefault="008F6E4D">
      <w:bookmarkStart w:id="5" w:name="_Toc56993298"/>
      <w:bookmarkStart w:id="6" w:name="_Toc59405188"/>
      <w:r>
        <w:t>The applicant proposed three populations, each with subpopulations:</w:t>
      </w:r>
    </w:p>
    <w:p w14:paraId="3B397EA3" w14:textId="3EBE0784" w:rsidR="008F6E4D" w:rsidRDefault="008F6E4D" w:rsidP="00AB5515">
      <w:pPr>
        <w:pStyle w:val="Heading3"/>
        <w:spacing w:before="240"/>
      </w:pPr>
      <w:r>
        <w:lastRenderedPageBreak/>
        <w:t xml:space="preserve">Population 1 – </w:t>
      </w:r>
      <w:r w:rsidRPr="008F6E4D">
        <w:t>Ophthalmic</w:t>
      </w:r>
      <w:r>
        <w:t xml:space="preserve"> conditions</w:t>
      </w:r>
      <w:bookmarkEnd w:id="5"/>
      <w:bookmarkEnd w:id="6"/>
    </w:p>
    <w:p w14:paraId="27BC13F3" w14:textId="77777777" w:rsidR="008F6E4D" w:rsidRDefault="008F6E4D" w:rsidP="008F6E4D">
      <w:r w:rsidRPr="00D32A43">
        <w:t xml:space="preserve">Population 1 covers a range of ophthalmic conditions, </w:t>
      </w:r>
      <w:r>
        <w:t>which may disrupt</w:t>
      </w:r>
      <w:r w:rsidRPr="00D32A43">
        <w:t xml:space="preserve"> the corneal surface</w:t>
      </w:r>
      <w:r>
        <w:t xml:space="preserve"> including: </w:t>
      </w:r>
    </w:p>
    <w:p w14:paraId="755617DB" w14:textId="77777777" w:rsidR="008F6E4D" w:rsidRDefault="008F6E4D" w:rsidP="0060589D">
      <w:pPr>
        <w:pStyle w:val="ListParagraph"/>
        <w:numPr>
          <w:ilvl w:val="0"/>
          <w:numId w:val="6"/>
        </w:numPr>
        <w:ind w:left="714" w:hanging="357"/>
        <w:jc w:val="both"/>
      </w:pPr>
      <w:r>
        <w:t xml:space="preserve">chemical, thermal and radiation burns </w:t>
      </w:r>
    </w:p>
    <w:p w14:paraId="02DE30D0" w14:textId="77777777" w:rsidR="008F6E4D" w:rsidRDefault="008F6E4D" w:rsidP="0060589D">
      <w:pPr>
        <w:pStyle w:val="ListParagraph"/>
        <w:numPr>
          <w:ilvl w:val="0"/>
          <w:numId w:val="6"/>
        </w:numPr>
        <w:ind w:left="714" w:hanging="357"/>
        <w:jc w:val="both"/>
      </w:pPr>
      <w:r w:rsidRPr="00FE266B">
        <w:t xml:space="preserve">Stevens-Johnson Syndrome </w:t>
      </w:r>
      <w:r>
        <w:t xml:space="preserve">(SJS) </w:t>
      </w:r>
      <w:r w:rsidRPr="00FE266B">
        <w:t>and Toxic Epidermal Necrosis</w:t>
      </w:r>
      <w:r>
        <w:t xml:space="preserve"> (TEN)</w:t>
      </w:r>
    </w:p>
    <w:p w14:paraId="21033F9B" w14:textId="77777777" w:rsidR="008F6E4D" w:rsidRDefault="008F6E4D" w:rsidP="0060589D">
      <w:pPr>
        <w:pStyle w:val="ListParagraph"/>
        <w:numPr>
          <w:ilvl w:val="0"/>
          <w:numId w:val="6"/>
        </w:numPr>
        <w:ind w:left="714" w:hanging="357"/>
        <w:jc w:val="both"/>
      </w:pPr>
      <w:proofErr w:type="spellStart"/>
      <w:r>
        <w:t>pterygium</w:t>
      </w:r>
      <w:proofErr w:type="spellEnd"/>
      <w:r>
        <w:t xml:space="preserve"> </w:t>
      </w:r>
    </w:p>
    <w:p w14:paraId="14ABDEF3" w14:textId="77777777" w:rsidR="008F6E4D" w:rsidRDefault="008F6E4D" w:rsidP="0060589D">
      <w:pPr>
        <w:pStyle w:val="ListParagraph"/>
        <w:numPr>
          <w:ilvl w:val="0"/>
          <w:numId w:val="6"/>
        </w:numPr>
        <w:ind w:left="714" w:hanging="357"/>
        <w:jc w:val="both"/>
      </w:pPr>
      <w:r>
        <w:t xml:space="preserve">other ophthalmic conditions involving corneal disruption </w:t>
      </w:r>
    </w:p>
    <w:p w14:paraId="2094DF41" w14:textId="77777777" w:rsidR="008F6E4D" w:rsidRDefault="008F6E4D" w:rsidP="0060589D">
      <w:pPr>
        <w:pStyle w:val="ListParagraph"/>
        <w:numPr>
          <w:ilvl w:val="0"/>
          <w:numId w:val="6"/>
        </w:numPr>
        <w:ind w:left="714" w:hanging="357"/>
        <w:jc w:val="both"/>
      </w:pPr>
      <w:proofErr w:type="gramStart"/>
      <w:r>
        <w:t>c</w:t>
      </w:r>
      <w:r w:rsidRPr="00512386">
        <w:t>hronic</w:t>
      </w:r>
      <w:proofErr w:type="gramEnd"/>
      <w:r w:rsidRPr="00512386">
        <w:t xml:space="preserve"> ophthalmic wounds</w:t>
      </w:r>
      <w:r>
        <w:t xml:space="preserve"> refractory to healing.</w:t>
      </w:r>
    </w:p>
    <w:p w14:paraId="28188A49" w14:textId="77880683" w:rsidR="008F6E4D" w:rsidRDefault="008F6E4D" w:rsidP="00AB5515">
      <w:pPr>
        <w:spacing w:before="240"/>
      </w:pPr>
      <w:r>
        <w:t xml:space="preserve">Of these ophthalmic conditions, </w:t>
      </w:r>
      <w:proofErr w:type="spellStart"/>
      <w:r>
        <w:t>pterygium</w:t>
      </w:r>
      <w:proofErr w:type="spellEnd"/>
      <w:r>
        <w:t xml:space="preserve"> has the highest frequency in the Australian population with 9,363 </w:t>
      </w:r>
      <w:proofErr w:type="spellStart"/>
      <w:r>
        <w:t>pterygium</w:t>
      </w:r>
      <w:proofErr w:type="spellEnd"/>
      <w:r>
        <w:t xml:space="preserve"> cases (2017/2018, Australian Institute of Health and Welfare [AIHW] 2019</w:t>
      </w:r>
      <w:r>
        <w:rPr>
          <w:rStyle w:val="FootnoteReference"/>
        </w:rPr>
        <w:footnoteReference w:id="3"/>
      </w:r>
      <w:r>
        <w:t xml:space="preserve">). Ophthalmic wounds refractory to healing have a count of 560. Less frequent conditions include </w:t>
      </w:r>
      <w:r w:rsidRPr="005E097B">
        <w:t xml:space="preserve">ocular burns and SJS which have a prevalence of 260 (2013/2014, </w:t>
      </w:r>
      <w:r w:rsidRPr="005E097B">
        <w:fldChar w:fldCharType="begin"/>
      </w:r>
      <w:r w:rsidRPr="005E097B">
        <w:instrText xml:space="preserve"> ADDIN EN.CITE &lt;EndNote&gt;&lt;Cite&gt;&lt;Author&gt;AIHW&lt;/Author&gt;&lt;Year&gt;2016&lt;/Year&gt;&lt;RecNum&gt;7&lt;/RecNum&gt;&lt;DisplayText&gt;(AIHW, Pointer &amp;amp; Tovell 2016)&lt;/DisplayText&gt;&lt;record&gt;&lt;rec-number&gt;7&lt;/rec-number&gt;&lt;foreign-keys&gt;&lt;key app="EN" db-id="zr5taf5wza5tv9e2de7pp0wj0fe5vdxrtzax" timestamp="1584334910"&gt;7&lt;/key&gt;&lt;/foreign-keys&gt;&lt;ref-type name="Web Page"&gt;12&lt;/ref-type&gt;&lt;contributors&gt;&lt;authors&gt;&lt;author&gt;AIHW,&lt;/author&gt;&lt;author&gt;Pointer, S.&lt;/author&gt;&lt;author&gt;Tovell, A.&lt;/author&gt;&lt;/authors&gt;&lt;/contributors&gt;&lt;titles&gt;&lt;title&gt;Hospitalised burn injuries, Australia, 2013–14. Injury research and statistics series no. 102. Cat. no. INJCAT 178&lt;/title&gt;&lt;/titles&gt;&lt;volume&gt;2020&lt;/volume&gt;&lt;number&gt;16 March&lt;/number&gt;&lt;dates&gt;&lt;year&gt;2016&lt;/year&gt;&lt;/dates&gt;&lt;pub-location&gt;Canberra&lt;/pub-location&gt;&lt;publisher&gt;Australian Institute of Health and Welfare&lt;/publisher&gt;&lt;urls&gt;&lt;related-urls&gt;&lt;url&gt;https://www.aihw.gov.au/getmedia/aa910281-ad80-4963-808e-c41bc7191039/20432.pdf.aspx?inline=true&lt;/url&gt;&lt;/related-urls&gt;&lt;/urls&gt;&lt;/record&gt;&lt;/Cite&gt;&lt;/EndNote&gt;</w:instrText>
      </w:r>
      <w:r w:rsidRPr="005E097B">
        <w:fldChar w:fldCharType="separate"/>
      </w:r>
      <w:r w:rsidRPr="005E097B">
        <w:rPr>
          <w:noProof/>
        </w:rPr>
        <w:t>(</w:t>
      </w:r>
      <w:hyperlink w:anchor="_ENREF_6" w:tooltip="AIHW, 2016 #7" w:history="1">
        <w:r w:rsidRPr="005E097B">
          <w:rPr>
            <w:noProof/>
          </w:rPr>
          <w:t>AIHW, Pointer &amp; Tovell 2016</w:t>
        </w:r>
      </w:hyperlink>
      <w:r w:rsidRPr="005E097B">
        <w:rPr>
          <w:noProof/>
        </w:rPr>
        <w:t>)</w:t>
      </w:r>
      <w:r w:rsidRPr="005E097B">
        <w:fldChar w:fldCharType="end"/>
      </w:r>
      <w:r w:rsidRPr="005E097B">
        <w:t xml:space="preserve">) and 26 (2006-2016, </w:t>
      </w:r>
      <w:r w:rsidRPr="005E097B">
        <w:fldChar w:fldCharType="begin">
          <w:fldData xml:space="preserve">PEVuZE5vdGU+PENpdGU+PEF1dGhvcj5DaGFuPC9BdXRob3I+PFllYXI+MjAxOTwvWWVhcj48UmVj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</w:fldData>
        </w:fldChar>
      </w:r>
      <w:r w:rsidRPr="005E097B">
        <w:instrText xml:space="preserve"> ADDIN EN.CITE </w:instrText>
      </w:r>
      <w:r w:rsidRPr="005E097B">
        <w:fldChar w:fldCharType="begin">
          <w:fldData xml:space="preserve">PEVuZE5vdGU+PENpdGU+PEF1dGhvcj5DaGFuPC9BdXRob3I+PFllYXI+MjAxOTwvWWVhcj48UmVj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</w:fldData>
        </w:fldChar>
      </w:r>
      <w:r w:rsidRPr="005E097B">
        <w:instrText xml:space="preserve"> ADDIN EN.CITE.DATA </w:instrText>
      </w:r>
      <w:r w:rsidRPr="005E097B">
        <w:fldChar w:fldCharType="end"/>
      </w:r>
      <w:r w:rsidRPr="005E097B">
        <w:fldChar w:fldCharType="separate"/>
      </w:r>
      <w:r w:rsidRPr="005E097B">
        <w:rPr>
          <w:noProof/>
        </w:rPr>
        <w:t>(</w:t>
      </w:r>
      <w:hyperlink w:anchor="_ENREF_29" w:tooltip="Chan, 2019 #12" w:history="1">
        <w:r w:rsidRPr="005E097B">
          <w:rPr>
            <w:noProof/>
          </w:rPr>
          <w:t>Chan &amp; Cook 2019</w:t>
        </w:r>
      </w:hyperlink>
      <w:r w:rsidRPr="005E097B">
        <w:rPr>
          <w:noProof/>
        </w:rPr>
        <w:t>)</w:t>
      </w:r>
      <w:r w:rsidRPr="005E097B">
        <w:fldChar w:fldCharType="end"/>
      </w:r>
      <w:r w:rsidRPr="005E097B">
        <w:t>), respectively.</w:t>
      </w:r>
    </w:p>
    <w:p w14:paraId="05BF86B1" w14:textId="6353090E" w:rsidR="008F6E4D" w:rsidRDefault="008F6E4D" w:rsidP="00AB5515">
      <w:pPr>
        <w:spacing w:before="240"/>
      </w:pPr>
      <w:r w:rsidRPr="00D32A43">
        <w:t>Generally, corneal</w:t>
      </w:r>
      <w:r>
        <w:t xml:space="preserve"> </w:t>
      </w:r>
      <w:r w:rsidRPr="00D32A43">
        <w:t>epithelium turnover is quick and rapid healing is possible.</w:t>
      </w:r>
      <w:r>
        <w:t xml:space="preserve"> However, if the healing process is delayed or disrupted, the amnion membrane product may be indicated to promote healing. A</w:t>
      </w:r>
      <w:r w:rsidRPr="00512386">
        <w:t xml:space="preserve">mnion membrane products are most relevant for difficult cases where there is no clear </w:t>
      </w:r>
      <w:r>
        <w:t xml:space="preserve">alternative treatment option. </w:t>
      </w:r>
      <w:r w:rsidRPr="00512386">
        <w:t xml:space="preserve"> The</w:t>
      </w:r>
      <w:r w:rsidRPr="00512386" w:rsidDel="00DF7D7F">
        <w:t xml:space="preserve"> </w:t>
      </w:r>
      <w:r>
        <w:t>treatment goal is a clear cornea and for difficult to treat cases reduce the risk of impaired vision or blindness.</w:t>
      </w:r>
    </w:p>
    <w:p w14:paraId="2B6B6EC8" w14:textId="36ED9673" w:rsidR="008F6E4D" w:rsidRDefault="008F6E4D" w:rsidP="00AB5515">
      <w:pPr>
        <w:pStyle w:val="Heading3"/>
        <w:spacing w:before="240"/>
      </w:pPr>
      <w:bookmarkStart w:id="7" w:name="_Toc59405189"/>
      <w:r>
        <w:t>Population 2 – Chronic skin wounds</w:t>
      </w:r>
      <w:bookmarkEnd w:id="7"/>
    </w:p>
    <w:p w14:paraId="5385B204" w14:textId="15B9A6B0" w:rsidR="008F6E4D" w:rsidRDefault="008F6E4D" w:rsidP="008F6E4D">
      <w:r>
        <w:t>C</w:t>
      </w:r>
      <w:r w:rsidRPr="00D32A43">
        <w:t>hronic wounds are defined as those that have been unresponsive to treatment following at least 12</w:t>
      </w:r>
      <w:r>
        <w:t> </w:t>
      </w:r>
      <w:r w:rsidRPr="00D32A43">
        <w:t xml:space="preserve">weeks of </w:t>
      </w:r>
      <w:r w:rsidR="00B27ED3">
        <w:t>SOC</w:t>
      </w:r>
      <w:r w:rsidRPr="00D32A43">
        <w:t xml:space="preserve">. </w:t>
      </w:r>
      <w:r>
        <w:t>It</w:t>
      </w:r>
      <w:r w:rsidRPr="00D32A43">
        <w:t xml:space="preserve"> represent</w:t>
      </w:r>
      <w:r>
        <w:t>s</w:t>
      </w:r>
      <w:r w:rsidRPr="00D32A43">
        <w:t xml:space="preserve"> a considerable health and economic burden in Australia, with more than 400,000 Australians affected </w:t>
      </w:r>
      <w:r>
        <w:t xml:space="preserve">with associated </w:t>
      </w:r>
      <w:r w:rsidRPr="00D32A43">
        <w:t>health-care related costs more than $3.5</w:t>
      </w:r>
      <w:r>
        <w:t> </w:t>
      </w:r>
      <w:r w:rsidRPr="00D32A43">
        <w:t>billion (2% national health expenditure)</w:t>
      </w:r>
      <w:r>
        <w:t xml:space="preserve">. </w:t>
      </w:r>
      <w:r w:rsidRPr="00D32A43">
        <w:t xml:space="preserve">The underlying aetiology of the wound is a </w:t>
      </w:r>
      <w:r>
        <w:t>crucial</w:t>
      </w:r>
      <w:r w:rsidRPr="00D32A43">
        <w:t xml:space="preserve"> determinant of management</w:t>
      </w:r>
      <w:r>
        <w:t>;</w:t>
      </w:r>
      <w:r w:rsidRPr="00D32A43">
        <w:t xml:space="preserve"> </w:t>
      </w:r>
      <w:r>
        <w:t>for this a</w:t>
      </w:r>
      <w:r w:rsidRPr="00D32A43">
        <w:t>pplication, wounds have been classified as</w:t>
      </w:r>
      <w:r>
        <w:t>:</w:t>
      </w:r>
    </w:p>
    <w:p w14:paraId="4B0B289B" w14:textId="77777777" w:rsidR="008F6E4D" w:rsidRPr="00D32A43" w:rsidRDefault="008F6E4D" w:rsidP="0060589D">
      <w:pPr>
        <w:pStyle w:val="ListParagraph"/>
        <w:numPr>
          <w:ilvl w:val="0"/>
          <w:numId w:val="5"/>
        </w:numPr>
        <w:ind w:left="714" w:hanging="357"/>
        <w:jc w:val="both"/>
      </w:pPr>
      <w:r>
        <w:t>v</w:t>
      </w:r>
      <w:r w:rsidRPr="00D32A43">
        <w:t>enous insufficiency ulcer</w:t>
      </w:r>
      <w:r>
        <w:t>s</w:t>
      </w:r>
    </w:p>
    <w:p w14:paraId="0621A465" w14:textId="77777777" w:rsidR="008F6E4D" w:rsidRPr="00D32A43" w:rsidRDefault="008F6E4D" w:rsidP="0060589D">
      <w:pPr>
        <w:pStyle w:val="ListParagraph"/>
        <w:numPr>
          <w:ilvl w:val="0"/>
          <w:numId w:val="5"/>
        </w:numPr>
        <w:ind w:left="714" w:hanging="357"/>
        <w:jc w:val="both"/>
      </w:pPr>
      <w:r>
        <w:t>a</w:t>
      </w:r>
      <w:r w:rsidRPr="00D32A43">
        <w:t>rterial insufficiency ulcers</w:t>
      </w:r>
    </w:p>
    <w:p w14:paraId="171BB4AF" w14:textId="53A7BCDA" w:rsidR="008F6E4D" w:rsidRPr="00D32A43" w:rsidRDefault="008F6E4D" w:rsidP="00444F7B">
      <w:pPr>
        <w:pStyle w:val="ListParagraph"/>
        <w:numPr>
          <w:ilvl w:val="0"/>
          <w:numId w:val="5"/>
        </w:numPr>
        <w:ind w:left="714" w:hanging="357"/>
        <w:jc w:val="both"/>
      </w:pPr>
      <w:proofErr w:type="gramStart"/>
      <w:r>
        <w:t>d</w:t>
      </w:r>
      <w:r w:rsidRPr="00D32A43">
        <w:t>iabetic</w:t>
      </w:r>
      <w:proofErr w:type="gramEnd"/>
      <w:r w:rsidRPr="00D32A43">
        <w:t xml:space="preserve"> foot ulcers</w:t>
      </w:r>
      <w:r>
        <w:t>.</w:t>
      </w:r>
    </w:p>
    <w:p w14:paraId="1CEF6EA6" w14:textId="77777777" w:rsidR="008F6E4D" w:rsidRDefault="008F6E4D" w:rsidP="00444F7B">
      <w:pPr>
        <w:spacing w:before="240"/>
      </w:pPr>
      <w:r>
        <w:t>Among the patients with these skin wounds, a substantial proportion would develop into chronic wounds, and this proportion can be up to 20% across all three subpopulations.</w:t>
      </w:r>
    </w:p>
    <w:p w14:paraId="1CEA2BE5" w14:textId="3EAFCB23" w:rsidR="008F6E4D" w:rsidRDefault="008F6E4D" w:rsidP="00AB5515">
      <w:pPr>
        <w:pStyle w:val="Heading3"/>
        <w:spacing w:before="240"/>
      </w:pPr>
      <w:bookmarkStart w:id="8" w:name="_Toc56993300"/>
      <w:bookmarkStart w:id="9" w:name="_Toc59405190"/>
      <w:r>
        <w:t>Population 3 – Acute skin wounds</w:t>
      </w:r>
      <w:bookmarkEnd w:id="8"/>
      <w:bookmarkEnd w:id="9"/>
    </w:p>
    <w:p w14:paraId="5EA2B8F2" w14:textId="77777777" w:rsidR="008F6E4D" w:rsidRDefault="008F6E4D" w:rsidP="008F6E4D">
      <w:r>
        <w:t xml:space="preserve">The acute skin wounds suitable for AM treatment can be </w:t>
      </w:r>
      <w:r w:rsidRPr="00EA129E">
        <w:t>se</w:t>
      </w:r>
      <w:r>
        <w:t>vere</w:t>
      </w:r>
      <w:r w:rsidRPr="00EA129E">
        <w:t xml:space="preserve"> burns</w:t>
      </w:r>
      <w:r>
        <w:t xml:space="preserve"> that</w:t>
      </w:r>
      <w:r w:rsidRPr="00EA129E">
        <w:t xml:space="preserve"> require referral to specialist burns units</w:t>
      </w:r>
      <w:r>
        <w:t>. The PASC defined subpopulations include:</w:t>
      </w:r>
    </w:p>
    <w:p w14:paraId="239E0411" w14:textId="77777777" w:rsidR="008F6E4D" w:rsidRDefault="008F6E4D" w:rsidP="0060589D">
      <w:pPr>
        <w:pStyle w:val="ListParagraph"/>
        <w:numPr>
          <w:ilvl w:val="0"/>
          <w:numId w:val="7"/>
        </w:numPr>
        <w:jc w:val="both"/>
      </w:pPr>
      <w:r>
        <w:t>b</w:t>
      </w:r>
      <w:r w:rsidRPr="00D32A43">
        <w:t>urns where patients require a dermal substitute before skin grafting</w:t>
      </w:r>
    </w:p>
    <w:p w14:paraId="000EC617" w14:textId="77777777" w:rsidR="008F6E4D" w:rsidRDefault="008F6E4D" w:rsidP="0060589D">
      <w:pPr>
        <w:pStyle w:val="ListParagraph"/>
        <w:numPr>
          <w:ilvl w:val="0"/>
          <w:numId w:val="7"/>
        </w:numPr>
        <w:jc w:val="both"/>
      </w:pPr>
      <w:r>
        <w:t>t</w:t>
      </w:r>
      <w:r w:rsidRPr="00D32A43">
        <w:t>reatment of graft site</w:t>
      </w:r>
      <w:r>
        <w:t xml:space="preserve"> wound</w:t>
      </w:r>
    </w:p>
    <w:p w14:paraId="51D1FF86" w14:textId="77777777" w:rsidR="008F6E4D" w:rsidRDefault="008F6E4D" w:rsidP="0060589D">
      <w:pPr>
        <w:pStyle w:val="ListParagraph"/>
        <w:numPr>
          <w:ilvl w:val="0"/>
          <w:numId w:val="7"/>
        </w:numPr>
        <w:jc w:val="both"/>
      </w:pPr>
      <w:r>
        <w:t>s</w:t>
      </w:r>
      <w:r w:rsidRPr="00D32A43">
        <w:t xml:space="preserve">kin graft fixator </w:t>
      </w:r>
    </w:p>
    <w:p w14:paraId="64CB5561" w14:textId="7D7FB29A" w:rsidR="008F6E4D" w:rsidRPr="00D32A43" w:rsidRDefault="008F6E4D" w:rsidP="00444F7B">
      <w:pPr>
        <w:pStyle w:val="ListParagraph"/>
        <w:numPr>
          <w:ilvl w:val="0"/>
          <w:numId w:val="7"/>
        </w:numPr>
        <w:jc w:val="both"/>
      </w:pPr>
      <w:proofErr w:type="gramStart"/>
      <w:r>
        <w:t>treatment</w:t>
      </w:r>
      <w:proofErr w:type="gramEnd"/>
      <w:r>
        <w:t xml:space="preserve"> of TEN.</w:t>
      </w:r>
    </w:p>
    <w:p w14:paraId="67974846" w14:textId="77777777" w:rsidR="008F6E4D" w:rsidRDefault="008F6E4D" w:rsidP="00444F7B">
      <w:pPr>
        <w:spacing w:before="240"/>
      </w:pPr>
      <w:r w:rsidRPr="00EF44D1">
        <w:t>Among 1,658 skin graft procedures performed in Australia for the 2017/18 financial year, most of them could</w:t>
      </w:r>
      <w:r>
        <w:t xml:space="preserve"> be categorised as acute skin would, which is indicated for the first three subpopulation. Based on expert advice, 5 - 7.5% of skin graft patients could benefit from dermal substitute before skin grafting (</w:t>
      </w:r>
      <w:hyperlink r:id="rId13" w:history="1">
        <w:r w:rsidRPr="00873B9E">
          <w:rPr>
            <w:rStyle w:val="Hyperlink"/>
          </w:rPr>
          <w:t>MSAC 1608 PICO Confirmation</w:t>
        </w:r>
      </w:hyperlink>
      <w:r>
        <w:t xml:space="preserve">). However, no data were available to estimate the treatment of toxic epidermal necrolysis. </w:t>
      </w:r>
    </w:p>
    <w:p w14:paraId="2956D5A0" w14:textId="543DCC27" w:rsidR="008F6E4D" w:rsidRDefault="008F6E4D" w:rsidP="00444F7B">
      <w:pPr>
        <w:spacing w:before="240"/>
      </w:pPr>
      <w:r>
        <w:lastRenderedPageBreak/>
        <w:t>For each subpopulation, different scenarios present for the application of AM (e.g. AM is used as a bridge to skin grafts where immediate skin grafting is not possible or where additional support is required for the skin graft).</w:t>
      </w:r>
    </w:p>
    <w:p w14:paraId="6822329E" w14:textId="29C4E01C" w:rsidR="008F6E4D" w:rsidRPr="000410EC" w:rsidRDefault="008F6E4D" w:rsidP="00AB5515">
      <w:pPr>
        <w:spacing w:before="240"/>
      </w:pPr>
      <w:r w:rsidRPr="000410EC">
        <w:t xml:space="preserve">Clinical management algorithms depicting the proposed place of AM are presented for: </w:t>
      </w:r>
    </w:p>
    <w:p w14:paraId="02FCD522" w14:textId="77777777" w:rsidR="008F6E4D" w:rsidRPr="000410EC" w:rsidRDefault="008F6E4D" w:rsidP="0060589D">
      <w:pPr>
        <w:pStyle w:val="ListParagraph"/>
        <w:numPr>
          <w:ilvl w:val="0"/>
          <w:numId w:val="8"/>
        </w:numPr>
      </w:pPr>
      <w:r w:rsidRPr="000410EC">
        <w:t xml:space="preserve">Population 1 – ophthalmic conditions in </w:t>
      </w:r>
      <w:r w:rsidRPr="000410EC">
        <w:fldChar w:fldCharType="begin"/>
      </w:r>
      <w:r w:rsidRPr="000410EC">
        <w:instrText xml:space="preserve"> REF _Ref54693236 \h </w:instrText>
      </w:r>
      <w:r>
        <w:instrText xml:space="preserve"> \* MERGEFORMAT </w:instrText>
      </w:r>
      <w:r w:rsidRPr="000410EC">
        <w:fldChar w:fldCharType="separate"/>
      </w:r>
      <w:r w:rsidRPr="000410EC">
        <w:t xml:space="preserve">Figure </w:t>
      </w:r>
      <w:r w:rsidRPr="000410EC">
        <w:rPr>
          <w:noProof/>
        </w:rPr>
        <w:t>1</w:t>
      </w:r>
      <w:r w:rsidRPr="000410EC">
        <w:fldChar w:fldCharType="end"/>
      </w:r>
    </w:p>
    <w:p w14:paraId="38893BE3" w14:textId="77777777" w:rsidR="008F6E4D" w:rsidRPr="000410EC" w:rsidRDefault="008F6E4D" w:rsidP="0060589D">
      <w:pPr>
        <w:pStyle w:val="ListParagraph"/>
        <w:numPr>
          <w:ilvl w:val="0"/>
          <w:numId w:val="8"/>
        </w:numPr>
      </w:pPr>
      <w:r w:rsidRPr="000410EC">
        <w:t xml:space="preserve">Population 2 – chronic wounds in </w:t>
      </w:r>
      <w:r w:rsidRPr="000410EC">
        <w:fldChar w:fldCharType="begin"/>
      </w:r>
      <w:r w:rsidRPr="000410EC">
        <w:instrText xml:space="preserve"> REF _Ref54693690 \h </w:instrText>
      </w:r>
      <w:r>
        <w:instrText xml:space="preserve"> \* MERGEFORMAT </w:instrText>
      </w:r>
      <w:r w:rsidRPr="000410EC">
        <w:fldChar w:fldCharType="separate"/>
      </w:r>
      <w:r w:rsidRPr="000410EC">
        <w:t xml:space="preserve">Figure </w:t>
      </w:r>
      <w:r w:rsidRPr="000410EC">
        <w:rPr>
          <w:noProof/>
        </w:rPr>
        <w:t>2</w:t>
      </w:r>
      <w:r w:rsidRPr="000410EC">
        <w:fldChar w:fldCharType="end"/>
      </w:r>
    </w:p>
    <w:p w14:paraId="03CB58B3" w14:textId="77777777" w:rsidR="008F6E4D" w:rsidRPr="000410EC" w:rsidRDefault="008F6E4D" w:rsidP="0060589D">
      <w:pPr>
        <w:pStyle w:val="ListParagraph"/>
        <w:numPr>
          <w:ilvl w:val="0"/>
          <w:numId w:val="8"/>
        </w:numPr>
      </w:pPr>
      <w:r w:rsidRPr="000410EC">
        <w:t xml:space="preserve">Population 3a – burns where patients require a dermal substitute before skin grafting can take place in </w:t>
      </w:r>
      <w:r w:rsidRPr="000410EC">
        <w:fldChar w:fldCharType="begin"/>
      </w:r>
      <w:r w:rsidRPr="000410EC">
        <w:instrText xml:space="preserve"> REF _Ref54693657 \h </w:instrText>
      </w:r>
      <w:r>
        <w:instrText xml:space="preserve"> \* MERGEFORMAT </w:instrText>
      </w:r>
      <w:r w:rsidRPr="000410EC">
        <w:fldChar w:fldCharType="separate"/>
      </w:r>
      <w:r w:rsidRPr="000410EC">
        <w:t xml:space="preserve">Figure </w:t>
      </w:r>
      <w:r w:rsidRPr="000410EC">
        <w:rPr>
          <w:noProof/>
        </w:rPr>
        <w:t>3</w:t>
      </w:r>
      <w:r w:rsidRPr="000410EC">
        <w:fldChar w:fldCharType="end"/>
      </w:r>
    </w:p>
    <w:p w14:paraId="2B167E5B" w14:textId="77777777" w:rsidR="008F6E4D" w:rsidRDefault="008F6E4D" w:rsidP="0060589D">
      <w:pPr>
        <w:pStyle w:val="ListParagraph"/>
        <w:numPr>
          <w:ilvl w:val="0"/>
          <w:numId w:val="8"/>
        </w:numPr>
      </w:pPr>
      <w:r w:rsidRPr="000410EC">
        <w:t xml:space="preserve">Population 3b – patients with a skin graft donor site wound in </w:t>
      </w:r>
      <w:r w:rsidRPr="000410EC">
        <w:fldChar w:fldCharType="begin"/>
      </w:r>
      <w:r w:rsidRPr="000410EC">
        <w:instrText xml:space="preserve"> REF _Ref63671548 \h </w:instrText>
      </w:r>
      <w:r>
        <w:instrText xml:space="preserve"> \* MERGEFORMAT </w:instrText>
      </w:r>
      <w:r w:rsidRPr="000410EC">
        <w:fldChar w:fldCharType="separate"/>
      </w:r>
      <w:r w:rsidRPr="000410EC">
        <w:t xml:space="preserve">Figure </w:t>
      </w:r>
      <w:r w:rsidRPr="000410EC">
        <w:rPr>
          <w:noProof/>
        </w:rPr>
        <w:t>4</w:t>
      </w:r>
      <w:r w:rsidRPr="000410EC">
        <w:fldChar w:fldCharType="end"/>
      </w:r>
    </w:p>
    <w:p w14:paraId="18FA2CCC" w14:textId="77777777" w:rsidR="008F6E4D" w:rsidRDefault="008F6E4D" w:rsidP="0060589D">
      <w:pPr>
        <w:pStyle w:val="ListParagraph"/>
        <w:numPr>
          <w:ilvl w:val="0"/>
          <w:numId w:val="8"/>
        </w:numPr>
      </w:pPr>
      <w:r w:rsidRPr="00775DB8">
        <w:t>Population 3c</w:t>
      </w:r>
      <w:r>
        <w:t xml:space="preserve"> -</w:t>
      </w:r>
      <w:r w:rsidRPr="00775DB8">
        <w:t xml:space="preserve"> patients requiring a skin graft fixator</w:t>
      </w:r>
      <w:r>
        <w:t xml:space="preserve"> in </w:t>
      </w:r>
      <w:r>
        <w:fldChar w:fldCharType="begin"/>
      </w:r>
      <w:r>
        <w:instrText xml:space="preserve"> REF _Ref63672118 \h </w:instrText>
      </w:r>
      <w:r>
        <w:fldChar w:fldCharType="separate"/>
      </w:r>
      <w:r w:rsidRPr="00DA5F3F">
        <w:t xml:space="preserve">Figure </w:t>
      </w:r>
      <w:r>
        <w:rPr>
          <w:noProof/>
        </w:rPr>
        <w:t>5</w:t>
      </w:r>
      <w:r>
        <w:fldChar w:fldCharType="end"/>
      </w:r>
    </w:p>
    <w:p w14:paraId="50954961" w14:textId="77777777" w:rsidR="008F6E4D" w:rsidRPr="000410EC" w:rsidRDefault="008F6E4D" w:rsidP="0060589D">
      <w:pPr>
        <w:pStyle w:val="ListParagraph"/>
        <w:numPr>
          <w:ilvl w:val="0"/>
          <w:numId w:val="8"/>
        </w:numPr>
      </w:pPr>
      <w:r>
        <w:t>Population 3d -</w:t>
      </w:r>
      <w:r w:rsidRPr="00775DB8">
        <w:t xml:space="preserve"> patients with TEN skin lesions requiring dressing</w:t>
      </w:r>
      <w:r>
        <w:t xml:space="preserve"> in </w:t>
      </w:r>
      <w:r>
        <w:fldChar w:fldCharType="begin"/>
      </w:r>
      <w:r>
        <w:instrText xml:space="preserve"> REF _Ref54693668 \h </w:instrText>
      </w:r>
      <w:r>
        <w:fldChar w:fldCharType="separate"/>
      </w:r>
      <w:r w:rsidRPr="00DA5F3F">
        <w:t xml:space="preserve">Figure </w:t>
      </w:r>
      <w:r>
        <w:rPr>
          <w:noProof/>
        </w:rPr>
        <w:t>6</w:t>
      </w:r>
      <w:r>
        <w:fldChar w:fldCharType="end"/>
      </w:r>
      <w:r>
        <w:t>.</w:t>
      </w:r>
    </w:p>
    <w:p w14:paraId="75F5CE46" w14:textId="1E22259C" w:rsidR="008F6E4D" w:rsidRDefault="008F6E4D" w:rsidP="00AB5515">
      <w:pPr>
        <w:spacing w:before="240"/>
      </w:pPr>
      <w:r w:rsidRPr="00D32A43">
        <w:t xml:space="preserve">It is </w:t>
      </w:r>
      <w:r>
        <w:t>noted</w:t>
      </w:r>
      <w:r w:rsidRPr="00D32A43">
        <w:t xml:space="preserve"> that these clinical management algorithms are a representation only as not all conditions </w:t>
      </w:r>
      <w:r>
        <w:t>can</w:t>
      </w:r>
      <w:r w:rsidRPr="00D32A43">
        <w:t xml:space="preserve"> be captured in the flowchart.</w:t>
      </w:r>
    </w:p>
    <w:p w14:paraId="27330338" w14:textId="0D4CD9B6" w:rsidR="00567A4B" w:rsidRDefault="008F6E4D" w:rsidP="00AB5515">
      <w:pPr>
        <w:spacing w:before="240"/>
      </w:pPr>
      <w:r>
        <w:t xml:space="preserve">Compared to the generically defined SOC, AM delivery settings may be different for some populations and subgroups. For ophthalmic conditions, the delivery of AM and SOC are likely to remain unchanged where most of the treatments would occur in hospitals regardless. For chronic skin ulcers, the treatment delivery may be different between the intervention and the comparator. AM may occur outside of the hospital in the community setting. However, </w:t>
      </w:r>
      <w:r w:rsidRPr="00D32A43">
        <w:t xml:space="preserve">it </w:t>
      </w:r>
      <w:r>
        <w:t>was assumed</w:t>
      </w:r>
      <w:r w:rsidRPr="00D32A43">
        <w:t xml:space="preserve"> approximately 50% of patients with a ‘difficult to heal’ chronic skin wound would be treated in hospital</w:t>
      </w:r>
      <w:r>
        <w:t xml:space="preserve">. For Population 3, all treatment would still occur in hospitals; hence no difference between the AM and the SOC in terms of the </w:t>
      </w:r>
      <w:r w:rsidR="00567A4B">
        <w:t>setting for treatment delivery.</w:t>
      </w:r>
    </w:p>
    <w:p w14:paraId="6B0F3FD3" w14:textId="77777777" w:rsidR="008F6E4D" w:rsidRPr="00DA5F3F" w:rsidRDefault="008F6E4D" w:rsidP="008F6E4D">
      <w:pPr>
        <w:pStyle w:val="Caption"/>
      </w:pPr>
      <w:bookmarkStart w:id="10" w:name="_Ref54693236"/>
      <w:bookmarkStart w:id="11" w:name="_Toc55808435"/>
      <w:bookmarkStart w:id="12" w:name="_Toc59312053"/>
      <w:r w:rsidRPr="00DA5F3F">
        <w:lastRenderedPageBreak/>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0"/>
      <w:r w:rsidRPr="00DA5F3F">
        <w:tab/>
        <w:t>Proposed clinical management algorithm for Population 1</w:t>
      </w:r>
      <w:bookmarkEnd w:id="11"/>
      <w:bookmarkEnd w:id="12"/>
    </w:p>
    <w:p w14:paraId="4310829B" w14:textId="77777777" w:rsidR="008F6E4D" w:rsidRPr="00DA5F3F" w:rsidRDefault="008F6E4D" w:rsidP="008F6E4D">
      <w:pPr>
        <w:ind w:left="28"/>
        <w:contextualSpacing/>
        <w:rPr>
          <w:rFonts w:ascii="Arial Narrow" w:hAnsi="Arial Narrow"/>
          <w:sz w:val="18"/>
        </w:rPr>
      </w:pPr>
      <w:r>
        <w:rPr>
          <w:rFonts w:ascii="Arial Narrow" w:hAnsi="Arial Narrow"/>
          <w:noProof/>
          <w:sz w:val="18"/>
        </w:rPr>
        <w:drawing>
          <wp:inline distT="0" distB="0" distL="0" distR="0" wp14:anchorId="06E3524C" wp14:editId="59D8D219">
            <wp:extent cx="5710555" cy="4639310"/>
            <wp:effectExtent l="0" t="0" r="4445" b="0"/>
            <wp:docPr id="5" name="Picture 5" descr="Figure 2 Proposed clinical management algorithm for Popul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Proposed clinical management algorithm for Populati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4639310"/>
                    </a:xfrm>
                    <a:prstGeom prst="rect">
                      <a:avLst/>
                    </a:prstGeom>
                    <a:noFill/>
                    <a:ln>
                      <a:noFill/>
                    </a:ln>
                  </pic:spPr>
                </pic:pic>
              </a:graphicData>
            </a:graphic>
          </wp:inline>
        </w:drawing>
      </w:r>
    </w:p>
    <w:p w14:paraId="6B6F3F03" w14:textId="77777777" w:rsidR="008F6E4D" w:rsidRDefault="008F6E4D" w:rsidP="00AB5515">
      <w:pPr>
        <w:pStyle w:val="Tablenotes"/>
      </w:pPr>
      <w:r w:rsidRPr="000410EC">
        <w:t>Source</w:t>
      </w:r>
      <w:r w:rsidRPr="00DA5F3F">
        <w:t xml:space="preserve">: </w:t>
      </w:r>
      <w:r>
        <w:t>Figure 2, p31 of the DCAR; p</w:t>
      </w:r>
      <w:r w:rsidRPr="00DA5F3F">
        <w:t xml:space="preserve">roduced by the Assessment Group based on published evidence and expert advice (Associate Professor of Ophthalmology, 2020, Bunya and Chang, 2019, Gupta et al., 2014, </w:t>
      </w:r>
      <w:proofErr w:type="spellStart"/>
      <w:r w:rsidRPr="00DA5F3F">
        <w:t>Hemmati</w:t>
      </w:r>
      <w:proofErr w:type="spellEnd"/>
      <w:r w:rsidRPr="00DA5F3F">
        <w:t xml:space="preserve"> and Colby, 2020, Hsu et al., 2012, </w:t>
      </w:r>
      <w:proofErr w:type="spellStart"/>
      <w:r w:rsidRPr="00DA5F3F">
        <w:t>Noureddin</w:t>
      </w:r>
      <w:proofErr w:type="spellEnd"/>
      <w:r w:rsidRPr="00DA5F3F">
        <w:t xml:space="preserve"> and Yeung, 2016, Sharma et al., 2016, </w:t>
      </w:r>
      <w:proofErr w:type="spellStart"/>
      <w:r w:rsidRPr="00DA5F3F">
        <w:t>Slenz</w:t>
      </w:r>
      <w:proofErr w:type="spellEnd"/>
      <w:r w:rsidRPr="00DA5F3F">
        <w:t xml:space="preserve"> and </w:t>
      </w:r>
      <w:proofErr w:type="spellStart"/>
      <w:r w:rsidRPr="00DA5F3F">
        <w:t>Hemmati</w:t>
      </w:r>
      <w:proofErr w:type="spellEnd"/>
      <w:r w:rsidRPr="00DA5F3F">
        <w:t>, 2013, Wander and Kroger, 2020)</w:t>
      </w:r>
    </w:p>
    <w:p w14:paraId="65B568CB" w14:textId="05FFC4F2" w:rsidR="008F6E4D" w:rsidRDefault="008F6E4D" w:rsidP="00AB5515">
      <w:pPr>
        <w:pStyle w:val="Tablenotes"/>
      </w:pPr>
      <w:r>
        <w:t xml:space="preserve">Abbreviations: SJS = </w:t>
      </w:r>
      <w:proofErr w:type="gramStart"/>
      <w:r>
        <w:t>Stevens-Johnson Syndrome</w:t>
      </w:r>
      <w:proofErr w:type="gramEnd"/>
      <w:r>
        <w:t>, TEN = Toxic Epidermal Necrosis.</w:t>
      </w:r>
    </w:p>
    <w:p w14:paraId="7B822961" w14:textId="77777777" w:rsidR="008F6E4D" w:rsidRPr="00DA5F3F" w:rsidRDefault="008F6E4D" w:rsidP="008F6E4D">
      <w:pPr>
        <w:pStyle w:val="Caption"/>
      </w:pPr>
      <w:bookmarkStart w:id="13" w:name="_Ref54693690"/>
      <w:bookmarkStart w:id="14" w:name="_Toc55808437"/>
      <w:bookmarkStart w:id="15" w:name="_Toc59312055"/>
      <w:r w:rsidRPr="00DA5F3F">
        <w:lastRenderedPageBreak/>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13"/>
      <w:bookmarkEnd w:id="14"/>
      <w:r w:rsidRPr="00DA5F3F">
        <w:tab/>
        <w:t>Proposed clinical management algorithm for Population 2</w:t>
      </w:r>
      <w:bookmarkEnd w:id="15"/>
    </w:p>
    <w:p w14:paraId="4B7A752F" w14:textId="77777777" w:rsidR="008F6E4D" w:rsidRPr="00DA5F3F" w:rsidRDefault="008F6E4D" w:rsidP="008F6E4D">
      <w:pPr>
        <w:ind w:left="28"/>
        <w:contextualSpacing/>
        <w:rPr>
          <w:rFonts w:ascii="Arial Narrow" w:hAnsi="Arial Narrow"/>
          <w:sz w:val="18"/>
        </w:rPr>
      </w:pPr>
      <w:r>
        <w:rPr>
          <w:rFonts w:ascii="Arial Narrow" w:hAnsi="Arial Narrow"/>
          <w:noProof/>
          <w:sz w:val="18"/>
        </w:rPr>
        <w:drawing>
          <wp:inline distT="0" distB="0" distL="0" distR="0" wp14:anchorId="6E00F487" wp14:editId="35B1CB04">
            <wp:extent cx="4675505" cy="7280910"/>
            <wp:effectExtent l="0" t="0" r="0" b="0"/>
            <wp:docPr id="14" name="Picture 14" descr="Figure 4 Proposed clinical management algorithm for Popu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4 Proposed clinical management algorithm for Populatio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5505" cy="7280910"/>
                    </a:xfrm>
                    <a:prstGeom prst="rect">
                      <a:avLst/>
                    </a:prstGeom>
                    <a:noFill/>
                    <a:ln>
                      <a:noFill/>
                    </a:ln>
                  </pic:spPr>
                </pic:pic>
              </a:graphicData>
            </a:graphic>
          </wp:inline>
        </w:drawing>
      </w:r>
    </w:p>
    <w:p w14:paraId="33EE6B29" w14:textId="77777777" w:rsidR="008F6E4D" w:rsidRPr="00DA5F3F" w:rsidRDefault="008F6E4D" w:rsidP="00AB5515">
      <w:pPr>
        <w:pStyle w:val="Tablenotes"/>
      </w:pPr>
      <w:r w:rsidRPr="00EE5754">
        <w:t>Source:</w:t>
      </w:r>
      <w:r w:rsidRPr="00DA5F3F">
        <w:t xml:space="preserve"> </w:t>
      </w:r>
      <w:r>
        <w:t xml:space="preserve">Figure 4, p33 of the DCAR; </w:t>
      </w:r>
      <w:r w:rsidRPr="00DA5F3F">
        <w:t xml:space="preserve">Algorithm developed based on expert advice, published literature and guidelines </w:t>
      </w:r>
      <w:r w:rsidRPr="00DA5F3F">
        <w:fldChar w:fldCharType="begin">
          <w:fldData xml:space="preserve">PEVuZE5vdGU+PENpdGU+PEF1dGhvcj5Eb0ggaWRlbnRpZmllZCBFeHBlcnQ8L0F1dGhvcj48WWVh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</w:fldData>
        </w:fldChar>
      </w:r>
      <w:r>
        <w:instrText xml:space="preserve"> ADDIN EN.CITE </w:instrText>
      </w:r>
      <w:r>
        <w:fldChar w:fldCharType="begin">
          <w:fldData xml:space="preserve">PEVuZE5vdGU+PENpdGU+PEF1dGhvcj5Eb0ggaWRlbnRpZmllZCBFeHBlcnQ8L0F1dGhvcj48WWVh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</w:fldData>
        </w:fldChar>
      </w:r>
      <w:r>
        <w:instrText xml:space="preserve"> ADDIN EN.CITE.DATA </w:instrText>
      </w:r>
      <w:r>
        <w:fldChar w:fldCharType="end"/>
      </w:r>
      <w:r w:rsidRPr="00DA5F3F">
        <w:fldChar w:fldCharType="separate"/>
      </w:r>
      <w:r>
        <w:rPr>
          <w:noProof/>
        </w:rPr>
        <w:t>(</w:t>
      </w:r>
      <w:hyperlink w:anchor="_ENREF_43" w:tooltip="DoH identified Expert, 2020 #21" w:history="1">
        <w:r>
          <w:rPr>
            <w:noProof/>
          </w:rPr>
          <w:t>DoH identified Expert 2020</w:t>
        </w:r>
      </w:hyperlink>
      <w:r>
        <w:rPr>
          <w:noProof/>
        </w:rPr>
        <w:t xml:space="preserve">; </w:t>
      </w:r>
      <w:hyperlink w:anchor="_ENREF_68" w:tooltip="IWGDF, 2019 #27" w:history="1">
        <w:r>
          <w:rPr>
            <w:noProof/>
          </w:rPr>
          <w:t>IWGDF 2019</w:t>
        </w:r>
      </w:hyperlink>
      <w:r>
        <w:rPr>
          <w:noProof/>
        </w:rPr>
        <w:t xml:space="preserve">; </w:t>
      </w:r>
      <w:hyperlink w:anchor="_ENREF_102" w:tooltip="NICE, 2019 a #37" w:history="1">
        <w:r>
          <w:rPr>
            <w:noProof/>
          </w:rPr>
          <w:t>NICE 2019 a</w:t>
        </w:r>
      </w:hyperlink>
      <w:r>
        <w:rPr>
          <w:noProof/>
        </w:rPr>
        <w:t xml:space="preserve">, </w:t>
      </w:r>
      <w:hyperlink w:anchor="_ENREF_103" w:tooltip="NICE, 2019 b #33" w:history="1">
        <w:r>
          <w:rPr>
            <w:noProof/>
          </w:rPr>
          <w:t>2019 b</w:t>
        </w:r>
      </w:hyperlink>
      <w:r>
        <w:rPr>
          <w:noProof/>
        </w:rPr>
        <w:t xml:space="preserve">; </w:t>
      </w:r>
      <w:hyperlink w:anchor="_ENREF_109" w:tooltip="Personal communication, 2020 #2" w:history="1">
        <w:r>
          <w:rPr>
            <w:noProof/>
          </w:rPr>
          <w:t>Personal communication, PoVS 2020</w:t>
        </w:r>
      </w:hyperlink>
      <w:r>
        <w:rPr>
          <w:noProof/>
        </w:rPr>
        <w:t xml:space="preserve">; </w:t>
      </w:r>
      <w:hyperlink w:anchor="_ENREF_110" w:tooltip="Personal communication, 2020 #3" w:history="1">
        <w:r>
          <w:rPr>
            <w:noProof/>
          </w:rPr>
          <w:t>Personal communication, ps 2020</w:t>
        </w:r>
      </w:hyperlink>
      <w:r>
        <w:rPr>
          <w:noProof/>
        </w:rPr>
        <w:t>)</w:t>
      </w:r>
      <w:r w:rsidRPr="00DA5F3F">
        <w:fldChar w:fldCharType="end"/>
      </w:r>
    </w:p>
    <w:p w14:paraId="5C91CAA0" w14:textId="77777777" w:rsidR="008F6E4D" w:rsidRPr="00567A4B" w:rsidRDefault="008F6E4D" w:rsidP="00AB5515">
      <w:pPr>
        <w:pStyle w:val="Tablenotes"/>
        <w:rPr>
          <w:u w:val="dotted"/>
        </w:rPr>
      </w:pPr>
      <w:r w:rsidRPr="00EE5754">
        <w:t>Note:</w:t>
      </w:r>
      <w:r w:rsidRPr="00DA5F3F">
        <w:t xml:space="preserve"> A: Expert advice </w:t>
      </w:r>
      <w:r>
        <w:t>indicated</w:t>
      </w:r>
      <w:r w:rsidRPr="00DA5F3F">
        <w:t xml:space="preserve"> that </w:t>
      </w:r>
      <w:proofErr w:type="spellStart"/>
      <w:r w:rsidRPr="00DA5F3F">
        <w:t>UrgoStart</w:t>
      </w:r>
      <w:proofErr w:type="spellEnd"/>
      <w:r w:rsidRPr="00DA5F3F">
        <w:t xml:space="preserve"> dressings are used in Australia.</w:t>
      </w:r>
    </w:p>
    <w:p w14:paraId="601747F2" w14:textId="77777777" w:rsidR="008F6E4D" w:rsidRPr="00DA5F3F" w:rsidRDefault="008F6E4D" w:rsidP="008F6E4D">
      <w:pPr>
        <w:pStyle w:val="Caption"/>
      </w:pPr>
      <w:bookmarkStart w:id="16" w:name="_Ref54693657"/>
      <w:bookmarkStart w:id="17" w:name="_Toc55808439"/>
      <w:bookmarkStart w:id="18" w:name="_Toc59312057"/>
      <w:r w:rsidRPr="00DA5F3F">
        <w:lastRenderedPageBreak/>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bookmarkEnd w:id="16"/>
      <w:r w:rsidRPr="00DA5F3F">
        <w:tab/>
        <w:t>Proposed clinical management algorithm for Population 3a: burns where patients require a dermal substitute before skin grafting can take place</w:t>
      </w:r>
      <w:bookmarkEnd w:id="17"/>
      <w:bookmarkEnd w:id="18"/>
    </w:p>
    <w:p w14:paraId="782FF75C" w14:textId="77777777" w:rsidR="008F6E4D" w:rsidRPr="00DA5F3F" w:rsidRDefault="008F6E4D" w:rsidP="008F6E4D">
      <w:pPr>
        <w:ind w:left="28"/>
        <w:contextualSpacing/>
        <w:rPr>
          <w:rFonts w:ascii="Arial Narrow" w:hAnsi="Arial Narrow"/>
          <w:sz w:val="18"/>
        </w:rPr>
      </w:pPr>
      <w:r>
        <w:rPr>
          <w:rFonts w:ascii="Arial Narrow" w:hAnsi="Arial Narrow"/>
          <w:noProof/>
          <w:sz w:val="18"/>
        </w:rPr>
        <w:drawing>
          <wp:inline distT="0" distB="0" distL="0" distR="0" wp14:anchorId="00C6288E" wp14:editId="4D0E89BB">
            <wp:extent cx="5727700" cy="4942840"/>
            <wp:effectExtent l="0" t="0" r="0" b="0"/>
            <wp:docPr id="20" name="Picture 20" descr="Figure 6 Proposed clinical management algorithm for Population 3a: burns where patients require a dermal substitute before skin grafting can take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6 Proposed clinical management algorithm for Population 3a: burns where patients require a dermal substitute before skin grafting can take pla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4942840"/>
                    </a:xfrm>
                    <a:prstGeom prst="rect">
                      <a:avLst/>
                    </a:prstGeom>
                    <a:noFill/>
                    <a:ln>
                      <a:noFill/>
                    </a:ln>
                  </pic:spPr>
                </pic:pic>
              </a:graphicData>
            </a:graphic>
          </wp:inline>
        </w:drawing>
      </w:r>
    </w:p>
    <w:p w14:paraId="63318C91" w14:textId="77777777" w:rsidR="008F6E4D" w:rsidRPr="00DA5F3F" w:rsidRDefault="008F6E4D" w:rsidP="00AB5515">
      <w:pPr>
        <w:pStyle w:val="Tablenotes"/>
      </w:pPr>
      <w:r w:rsidRPr="00EE5754">
        <w:t>Source:</w:t>
      </w:r>
      <w:r w:rsidRPr="00DA5F3F">
        <w:t xml:space="preserve"> </w:t>
      </w:r>
      <w:r>
        <w:t xml:space="preserve">Figure 6, p35 of the DCAR’ </w:t>
      </w:r>
      <w:r w:rsidRPr="00DA5F3F">
        <w:t xml:space="preserve">Developed by the Assessment group based on expert advice and published literature </w:t>
      </w:r>
      <w:r w:rsidRPr="00DA5F3F">
        <w:fldChar w:fldCharType="begin">
          <w:fldData xml:space="preserve">PEVuZE5vdGU+PENpdGU+PEF1dGhvcj5CUkFOWjwvQXV0aG9yPjxZZWFyPjIwMTk8L1llYXI+PFJl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</w:fldData>
        </w:fldChar>
      </w:r>
      <w:r>
        <w:instrText xml:space="preserve"> ADDIN EN.CITE </w:instrText>
      </w:r>
      <w:r>
        <w:fldChar w:fldCharType="begin">
          <w:fldData xml:space="preserve">PEVuZE5vdGU+PENpdGU+PEF1dGhvcj5CUkFOWjwvQXV0aG9yPjxZZWFyPjIwMTk8L1llYXI+PFJl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</w:fldData>
        </w:fldChar>
      </w:r>
      <w:r>
        <w:instrText xml:space="preserve"> ADDIN EN.CITE.DATA </w:instrText>
      </w:r>
      <w:r>
        <w:fldChar w:fldCharType="end"/>
      </w:r>
      <w:r w:rsidRPr="00DA5F3F">
        <w:fldChar w:fldCharType="separate"/>
      </w:r>
      <w:r>
        <w:rPr>
          <w:noProof/>
        </w:rPr>
        <w:t>(</w:t>
      </w:r>
      <w:hyperlink w:anchor="_ENREF_24" w:tooltip="BRANZ, 2019 #30" w:history="1">
        <w:r>
          <w:rPr>
            <w:noProof/>
          </w:rPr>
          <w:t>BRANZ 2019</w:t>
        </w:r>
      </w:hyperlink>
      <w:r>
        <w:rPr>
          <w:noProof/>
        </w:rPr>
        <w:t xml:space="preserve">; </w:t>
      </w:r>
      <w:hyperlink w:anchor="_ENREF_108" w:tooltip="Personal communication, 2018 #4" w:history="1">
        <w:r>
          <w:rPr>
            <w:noProof/>
          </w:rPr>
          <w:t>Personal communication 2018</w:t>
        </w:r>
      </w:hyperlink>
      <w:r>
        <w:rPr>
          <w:noProof/>
        </w:rPr>
        <w:t xml:space="preserve">; </w:t>
      </w:r>
      <w:hyperlink w:anchor="_ENREF_110" w:tooltip="Personal communication, 2020 #3" w:history="1">
        <w:r>
          <w:rPr>
            <w:noProof/>
          </w:rPr>
          <w:t>Personal communication, ps 2020</w:t>
        </w:r>
      </w:hyperlink>
      <w:r>
        <w:rPr>
          <w:noProof/>
        </w:rPr>
        <w:t xml:space="preserve">; </w:t>
      </w:r>
      <w:hyperlink w:anchor="_ENREF_148" w:tooltip="Victorian Adults Burns Service at the Alfred, 2018 #84" w:history="1">
        <w:r>
          <w:rPr>
            <w:noProof/>
          </w:rPr>
          <w:t>Victorian Adults Burns Service at the Alfred 2018</w:t>
        </w:r>
      </w:hyperlink>
      <w:r>
        <w:rPr>
          <w:noProof/>
        </w:rPr>
        <w:t>)</w:t>
      </w:r>
      <w:r w:rsidRPr="00DA5F3F">
        <w:fldChar w:fldCharType="end"/>
      </w:r>
    </w:p>
    <w:p w14:paraId="7EEA7229" w14:textId="77777777" w:rsidR="008F6E4D" w:rsidRPr="00DA5F3F" w:rsidRDefault="008F6E4D" w:rsidP="00AB5515">
      <w:pPr>
        <w:pStyle w:val="Tablenotes"/>
      </w:pPr>
      <w:r w:rsidRPr="00EE5754">
        <w:t>Abbreviations:</w:t>
      </w:r>
      <w:r w:rsidRPr="00DA5F3F">
        <w:t xml:space="preserve"> BTM = </w:t>
      </w:r>
      <w:proofErr w:type="spellStart"/>
      <w:r w:rsidRPr="00DA5F3F">
        <w:t>NovoSorbTM</w:t>
      </w:r>
      <w:proofErr w:type="spellEnd"/>
      <w:r w:rsidRPr="00DA5F3F">
        <w:t xml:space="preserve"> Biodegradable Temporising Matrix, TBSA = total body surface area.</w:t>
      </w:r>
    </w:p>
    <w:p w14:paraId="032A86C9" w14:textId="77777777" w:rsidR="008F6E4D" w:rsidRDefault="008F6E4D" w:rsidP="00AB5515">
      <w:pPr>
        <w:pStyle w:val="Tablenotes"/>
      </w:pPr>
      <w:r w:rsidRPr="00EE5754">
        <w:t>Notes:</w:t>
      </w:r>
      <w:r w:rsidRPr="00DA5F3F">
        <w:t xml:space="preserve"> A: Some small but deep partial- and full-thickness burns may require a skin graft.</w:t>
      </w:r>
    </w:p>
    <w:p w14:paraId="1181721D" w14:textId="77777777" w:rsidR="008F6E4D" w:rsidRPr="00345D4E" w:rsidRDefault="008F6E4D" w:rsidP="008F6E4D">
      <w:pPr>
        <w:pStyle w:val="Caption"/>
      </w:pPr>
      <w:bookmarkStart w:id="19" w:name="_Toc55808441"/>
      <w:bookmarkStart w:id="20" w:name="_Ref63671548"/>
      <w:bookmarkStart w:id="21" w:name="_Toc59312059"/>
      <w:r w:rsidRPr="00345D4E">
        <w:lastRenderedPageBreak/>
        <w:t xml:space="preserve">Figure </w:t>
      </w:r>
      <w:r w:rsidR="00FA6333">
        <w:rPr>
          <w:noProof/>
        </w:rPr>
        <w:fldChar w:fldCharType="begin"/>
      </w:r>
      <w:r w:rsidR="00FA6333">
        <w:rPr>
          <w:noProof/>
        </w:rPr>
        <w:instrText xml:space="preserve"> SEQ Figure \* ARABIC </w:instrText>
      </w:r>
      <w:r w:rsidR="00FA6333">
        <w:rPr>
          <w:noProof/>
        </w:rPr>
        <w:fldChar w:fldCharType="separate"/>
      </w:r>
      <w:r>
        <w:rPr>
          <w:noProof/>
        </w:rPr>
        <w:t>4</w:t>
      </w:r>
      <w:r w:rsidR="00FA6333">
        <w:rPr>
          <w:noProof/>
        </w:rPr>
        <w:fldChar w:fldCharType="end"/>
      </w:r>
      <w:bookmarkEnd w:id="19"/>
      <w:bookmarkEnd w:id="20"/>
      <w:r w:rsidRPr="00345D4E">
        <w:tab/>
        <w:t>Proposed clinical management algorithm for Population 3b: patients with a skin graft donor site wound</w:t>
      </w:r>
      <w:bookmarkEnd w:id="21"/>
    </w:p>
    <w:p w14:paraId="2E0372A5" w14:textId="77777777" w:rsidR="008F6E4D" w:rsidRPr="00DA5F3F" w:rsidRDefault="008F6E4D" w:rsidP="008F6E4D">
      <w:pPr>
        <w:ind w:left="28"/>
        <w:contextualSpacing/>
        <w:rPr>
          <w:rFonts w:ascii="Arial Narrow" w:hAnsi="Arial Narrow"/>
          <w:sz w:val="18"/>
        </w:rPr>
      </w:pPr>
      <w:r>
        <w:rPr>
          <w:rFonts w:ascii="Arial Narrow" w:hAnsi="Arial Narrow"/>
          <w:noProof/>
          <w:sz w:val="18"/>
        </w:rPr>
        <w:drawing>
          <wp:inline distT="0" distB="0" distL="0" distR="0" wp14:anchorId="41C6A2FA" wp14:editId="7C67202A">
            <wp:extent cx="5762625" cy="7772400"/>
            <wp:effectExtent l="0" t="0" r="9525" b="0"/>
            <wp:docPr id="25" name="Picture 25" descr="Figure 8 Proposed clinical management algorithm for Population 3b: patients with a skin graft donor site w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8 Proposed clinical management algorithm for Population 3b: patients with a skin graft donor site woun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7772400"/>
                    </a:xfrm>
                    <a:prstGeom prst="rect">
                      <a:avLst/>
                    </a:prstGeom>
                    <a:noFill/>
                    <a:ln>
                      <a:noFill/>
                    </a:ln>
                  </pic:spPr>
                </pic:pic>
              </a:graphicData>
            </a:graphic>
          </wp:inline>
        </w:drawing>
      </w:r>
    </w:p>
    <w:p w14:paraId="5551DF95" w14:textId="77777777" w:rsidR="008F6E4D" w:rsidRDefault="008F6E4D" w:rsidP="00AB5515">
      <w:pPr>
        <w:pStyle w:val="Tablenotes"/>
      </w:pPr>
      <w:r w:rsidRPr="00775DB8">
        <w:t>Source:</w:t>
      </w:r>
      <w:r w:rsidRPr="00DA5F3F">
        <w:rPr>
          <w:b/>
        </w:rPr>
        <w:t xml:space="preserve"> </w:t>
      </w:r>
      <w:r>
        <w:t xml:space="preserve">Figure 8, p37 of the DCAR; </w:t>
      </w:r>
      <w:r w:rsidRPr="00DA5F3F">
        <w:t xml:space="preserve">Reproduced from the ratified PICO Confirmation </w:t>
      </w:r>
      <w:r w:rsidRPr="00DA5F3F">
        <w:fldChar w:fldCharType="begin"/>
      </w:r>
      <w:r w:rsidRPr="00DA5F3F">
        <w:instrText xml:space="preserve"> ADDIN EN.CITE &lt;EndNote&gt;&lt;Cite&gt;&lt;Author&gt;Department of Health&lt;/Author&gt;&lt;Year&gt;2020&lt;/Year&gt;&lt;RecNum&gt;134&lt;/RecNum&gt;&lt;DisplayText&gt;(Department of Health 2020)&lt;/DisplayText&gt;&lt;record&gt;&lt;rec-number&gt;134&lt;/rec-number&gt;&lt;foreign-keys&gt;&lt;key app="EN" db-id="zr5taf5wza5tv9e2de7pp0wj0fe5vdxrtzax" timestamp="1605656968"&gt;134&lt;/key&gt;&lt;/foreign-keys&gt;&lt;ref-type name="Report"&gt;27&lt;/ref-type&gt;&lt;contributors&gt;&lt;authors&gt;&lt;author&gt;Department of Health, &lt;/author&gt;&lt;/authors&gt;&lt;/contributors&gt;&lt;titles&gt;&lt;title&gt;Application 1608: Amnion membrane (human tissue) for topical treatment of ophthalmic disorders (caused by disease and/or trauma to the cornea), and wound dressings for skin burns and ulcers on the craniofacial area, torso, and limbs&lt;/title&gt;&lt;/titles&gt;&lt;dates&gt;&lt;year&gt;2020&lt;/year&gt;&lt;/dates&gt;&lt;urls&gt;&lt;related-urls&gt;&lt;url&gt;http://www.msac.gov.au/internet/msac/publishing.nsf/Content/1608-public &lt;/url&gt;&lt;/related-urls&gt;&lt;/urls&gt;&lt;/record&gt;&lt;/Cite&gt;&lt;/EndNote&gt;</w:instrText>
      </w:r>
      <w:r w:rsidRPr="00DA5F3F">
        <w:fldChar w:fldCharType="separate"/>
      </w:r>
      <w:r w:rsidRPr="00DA5F3F">
        <w:t>(</w:t>
      </w:r>
      <w:hyperlink w:anchor="_ENREF_37" w:tooltip="Department of Health, 2020 #134" w:history="1">
        <w:r w:rsidRPr="00DA5F3F">
          <w:t>Department of Health 2020</w:t>
        </w:r>
      </w:hyperlink>
      <w:r w:rsidRPr="00DA5F3F">
        <w:t>)</w:t>
      </w:r>
      <w:r w:rsidRPr="00DA5F3F">
        <w:fldChar w:fldCharType="end"/>
      </w:r>
    </w:p>
    <w:p w14:paraId="40FB4772" w14:textId="77777777" w:rsidR="008F6E4D" w:rsidRPr="00DA5F3F" w:rsidRDefault="008F6E4D" w:rsidP="008F6E4D">
      <w:pPr>
        <w:pStyle w:val="Caption"/>
      </w:pPr>
      <w:bookmarkStart w:id="22" w:name="_Ref63672118"/>
      <w:bookmarkStart w:id="23" w:name="_Toc59312060"/>
      <w:r w:rsidRPr="00DA5F3F">
        <w:lastRenderedPageBreak/>
        <w:t xml:space="preserve">Figure </w:t>
      </w:r>
      <w:r w:rsidR="00FA6333">
        <w:rPr>
          <w:noProof/>
        </w:rPr>
        <w:fldChar w:fldCharType="begin"/>
      </w:r>
      <w:r w:rsidR="00FA6333">
        <w:rPr>
          <w:noProof/>
        </w:rPr>
        <w:instrText xml:space="preserve"> SEQ Figure \* ARABIC </w:instrText>
      </w:r>
      <w:r w:rsidR="00FA6333">
        <w:rPr>
          <w:noProof/>
        </w:rPr>
        <w:fldChar w:fldCharType="separate"/>
      </w:r>
      <w:r>
        <w:rPr>
          <w:noProof/>
        </w:rPr>
        <w:t>5</w:t>
      </w:r>
      <w:r w:rsidR="00FA6333">
        <w:rPr>
          <w:noProof/>
        </w:rPr>
        <w:fldChar w:fldCharType="end"/>
      </w:r>
      <w:bookmarkEnd w:id="22"/>
      <w:r w:rsidRPr="00DA5F3F">
        <w:tab/>
      </w:r>
      <w:r>
        <w:t>P</w:t>
      </w:r>
      <w:r w:rsidRPr="00DA5F3F">
        <w:t>ropose</w:t>
      </w:r>
      <w:r>
        <w:t>d clinical management algorithm</w:t>
      </w:r>
      <w:r w:rsidRPr="00DA5F3F">
        <w:t xml:space="preserve"> for Population 3c: patients requiring a skin graft fixator</w:t>
      </w:r>
      <w:bookmarkEnd w:id="23"/>
    </w:p>
    <w:p w14:paraId="02F0C4F9" w14:textId="77777777" w:rsidR="008F6E4D" w:rsidRPr="00DA5F3F" w:rsidRDefault="008F6E4D" w:rsidP="008F6E4D">
      <w:pPr>
        <w:ind w:left="28"/>
        <w:contextualSpacing/>
        <w:rPr>
          <w:rFonts w:ascii="Arial Narrow" w:hAnsi="Arial Narrow"/>
          <w:sz w:val="18"/>
        </w:rPr>
      </w:pPr>
      <w:r>
        <w:rPr>
          <w:rFonts w:ascii="Arial Narrow" w:hAnsi="Arial Narrow"/>
          <w:noProof/>
          <w:sz w:val="18"/>
        </w:rPr>
        <w:drawing>
          <wp:inline distT="0" distB="0" distL="0" distR="0" wp14:anchorId="1B49F92D" wp14:editId="7FE8E805">
            <wp:extent cx="2398395" cy="1889125"/>
            <wp:effectExtent l="0" t="0" r="1905" b="0"/>
            <wp:docPr id="27" name="Picture 27" descr="Figure 9 Current and proposed clinical management algorithms for Population 3c: patients requiring a skin graft fix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9 Current and proposed clinical management algorithms for Population 3c: patients requiring a skin graft fixator"/>
                    <pic:cNvPicPr>
                      <a:picLocks noChangeAspect="1" noChangeArrowheads="1"/>
                    </pic:cNvPicPr>
                  </pic:nvPicPr>
                  <pic:blipFill rotWithShape="1">
                    <a:blip r:embed="rId18">
                      <a:extLst>
                        <a:ext uri="{28A0092B-C50C-407E-A947-70E740481C1C}">
                          <a14:useLocalDpi xmlns:a14="http://schemas.microsoft.com/office/drawing/2010/main" val="0"/>
                        </a:ext>
                      </a:extLst>
                    </a:blip>
                    <a:srcRect l="53353"/>
                    <a:stretch/>
                  </pic:blipFill>
                  <pic:spPr bwMode="auto">
                    <a:xfrm>
                      <a:off x="0" y="0"/>
                      <a:ext cx="2398395" cy="1889125"/>
                    </a:xfrm>
                    <a:prstGeom prst="rect">
                      <a:avLst/>
                    </a:prstGeom>
                    <a:noFill/>
                    <a:ln>
                      <a:noFill/>
                    </a:ln>
                    <a:extLst>
                      <a:ext uri="{53640926-AAD7-44D8-BBD7-CCE9431645EC}">
                        <a14:shadowObscured xmlns:a14="http://schemas.microsoft.com/office/drawing/2010/main"/>
                      </a:ext>
                    </a:extLst>
                  </pic:spPr>
                </pic:pic>
              </a:graphicData>
            </a:graphic>
          </wp:inline>
        </w:drawing>
      </w:r>
    </w:p>
    <w:p w14:paraId="332CED47" w14:textId="2C1E420F" w:rsidR="008F6E4D" w:rsidRPr="00DA5F3F" w:rsidRDefault="008F6E4D" w:rsidP="00AB5515">
      <w:pPr>
        <w:pStyle w:val="Tablenotes"/>
      </w:pPr>
      <w:r w:rsidRPr="00775DB8">
        <w:t>Source:</w:t>
      </w:r>
      <w:r w:rsidRPr="00DA5F3F">
        <w:rPr>
          <w:b/>
        </w:rPr>
        <w:t xml:space="preserve"> </w:t>
      </w:r>
      <w:r>
        <w:t xml:space="preserve">Figure 9, p38 of the DCAR; </w:t>
      </w:r>
      <w:r w:rsidRPr="00DA5F3F">
        <w:t xml:space="preserve">Reproduced from the ratified PICO Confirmation. </w:t>
      </w:r>
      <w:r w:rsidRPr="00DA5F3F">
        <w:fldChar w:fldCharType="begin"/>
      </w:r>
      <w:r>
        <w:instrText xml:space="preserve"> ADDIN EN.CITE &lt;EndNote&gt;&lt;Cite&gt;&lt;Author&gt;Department of Health&lt;/Author&gt;&lt;Year&gt;2020&lt;/Year&gt;&lt;RecNum&gt;134&lt;/RecNum&gt;&lt;DisplayText&gt;(Department of Health 2020)&lt;/DisplayText&gt;&lt;record&gt;&lt;rec-number&gt;134&lt;/rec-number&gt;&lt;foreign-keys&gt;&lt;key app="EN" db-id="zr5taf5wza5tv9e2de7pp0wj0fe5vdxrtzax" timestamp="1605656968"&gt;134&lt;/key&gt;&lt;/foreign-keys&gt;&lt;ref-type name="Report"&gt;27&lt;/ref-type&gt;&lt;contributors&gt;&lt;authors&gt;&lt;author&gt;Department of Health, &lt;/author&gt;&lt;/authors&gt;&lt;/contributors&gt;&lt;titles&gt;&lt;title&gt;Application 1608: Amnion membrane (human tissue) for topical treatment of ophthalmic disorders (caused by disease and/or trauma to the cornea), and wound dressings for skin burns and ulcers on the craniofacial area, torso, and limbs&lt;/title&gt;&lt;/titles&gt;&lt;dates&gt;&lt;year&gt;2020&lt;/year&gt;&lt;/dates&gt;&lt;urls&gt;&lt;related-urls&gt;&lt;url&gt;http://www.msac.gov.au/internet/msac/publishing.nsf/Content/1608-public &lt;/url&gt;&lt;/related-urls&gt;&lt;/urls&gt;&lt;/record&gt;&lt;/Cite&gt;&lt;/EndNote&gt;</w:instrText>
      </w:r>
      <w:r w:rsidRPr="00DA5F3F">
        <w:fldChar w:fldCharType="separate"/>
      </w:r>
      <w:r w:rsidRPr="00DA5F3F">
        <w:t>(</w:t>
      </w:r>
      <w:hyperlink w:anchor="_ENREF_37" w:tooltip="Department of Health, 2020 #134" w:history="1">
        <w:r w:rsidRPr="00DA5F3F">
          <w:t>Department of Health 2020</w:t>
        </w:r>
      </w:hyperlink>
      <w:r w:rsidRPr="00DA5F3F">
        <w:t>)</w:t>
      </w:r>
      <w:r w:rsidRPr="00DA5F3F">
        <w:fldChar w:fldCharType="end"/>
      </w:r>
    </w:p>
    <w:p w14:paraId="5D978ADE" w14:textId="77777777" w:rsidR="008F6E4D" w:rsidRPr="00DA5F3F" w:rsidRDefault="008F6E4D" w:rsidP="00AB5515">
      <w:pPr>
        <w:pStyle w:val="Caption"/>
        <w:spacing w:before="240"/>
      </w:pPr>
      <w:bookmarkStart w:id="24" w:name="_Ref54693668"/>
      <w:bookmarkStart w:id="25" w:name="_Toc55808443"/>
      <w:bookmarkStart w:id="26" w:name="_Toc59312061"/>
      <w:r w:rsidRPr="00DA5F3F">
        <w:t xml:space="preserve">Figure </w:t>
      </w:r>
      <w:r w:rsidR="00FA6333">
        <w:rPr>
          <w:noProof/>
        </w:rPr>
        <w:fldChar w:fldCharType="begin"/>
      </w:r>
      <w:r w:rsidR="00FA6333">
        <w:rPr>
          <w:noProof/>
        </w:rPr>
        <w:instrText xml:space="preserve"> SEQ Figure \* ARABIC </w:instrText>
      </w:r>
      <w:r w:rsidR="00FA6333">
        <w:rPr>
          <w:noProof/>
        </w:rPr>
        <w:fldChar w:fldCharType="separate"/>
      </w:r>
      <w:r>
        <w:rPr>
          <w:noProof/>
        </w:rPr>
        <w:t>6</w:t>
      </w:r>
      <w:r w:rsidR="00FA6333">
        <w:rPr>
          <w:noProof/>
        </w:rPr>
        <w:fldChar w:fldCharType="end"/>
      </w:r>
      <w:bookmarkEnd w:id="24"/>
      <w:bookmarkEnd w:id="25"/>
      <w:r w:rsidRPr="00DA5F3F">
        <w:tab/>
      </w:r>
      <w:r>
        <w:t>P</w:t>
      </w:r>
      <w:r w:rsidRPr="00DA5F3F">
        <w:t>roposed clinical management algorithm for Population 3d: patients with TEN skin lesions requiring dressing</w:t>
      </w:r>
      <w:bookmarkEnd w:id="26"/>
    </w:p>
    <w:p w14:paraId="19B74AD5" w14:textId="77777777" w:rsidR="008F6E4D" w:rsidRPr="00DA5F3F" w:rsidRDefault="008F6E4D" w:rsidP="008F6E4D">
      <w:pPr>
        <w:ind w:left="28"/>
        <w:contextualSpacing/>
        <w:rPr>
          <w:rFonts w:ascii="Arial Narrow" w:hAnsi="Arial Narrow"/>
          <w:sz w:val="18"/>
        </w:rPr>
      </w:pPr>
      <w:r>
        <w:rPr>
          <w:rFonts w:ascii="Arial Narrow" w:hAnsi="Arial Narrow"/>
          <w:noProof/>
          <w:sz w:val="18"/>
        </w:rPr>
        <w:drawing>
          <wp:inline distT="0" distB="0" distL="0" distR="0" wp14:anchorId="2519FC42" wp14:editId="70EF2DF1">
            <wp:extent cx="2441575" cy="1802765"/>
            <wp:effectExtent l="0" t="0" r="0" b="6985"/>
            <wp:docPr id="30" name="Picture 30" descr="Figure 10 Current and proposed clinical management algorithms for Population 3d: patients with TEN skin lesions requiring dr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Figure 10 Current and proposed clinical management algorithms for Population 3d: patients with TEN skin lesions requiring dressing"/>
                    <pic:cNvPicPr>
                      <a:picLocks noChangeAspect="1" noChangeArrowheads="1"/>
                    </pic:cNvPicPr>
                  </pic:nvPicPr>
                  <pic:blipFill rotWithShape="1">
                    <a:blip r:embed="rId19">
                      <a:extLst>
                        <a:ext uri="{28A0092B-C50C-407E-A947-70E740481C1C}">
                          <a14:useLocalDpi xmlns:a14="http://schemas.microsoft.com/office/drawing/2010/main" val="0"/>
                        </a:ext>
                      </a:extLst>
                    </a:blip>
                    <a:srcRect l="52909"/>
                    <a:stretch/>
                  </pic:blipFill>
                  <pic:spPr bwMode="auto">
                    <a:xfrm>
                      <a:off x="0" y="0"/>
                      <a:ext cx="2441575" cy="1802765"/>
                    </a:xfrm>
                    <a:prstGeom prst="rect">
                      <a:avLst/>
                    </a:prstGeom>
                    <a:noFill/>
                    <a:ln>
                      <a:noFill/>
                    </a:ln>
                    <a:extLst>
                      <a:ext uri="{53640926-AAD7-44D8-BBD7-CCE9431645EC}">
                        <a14:shadowObscured xmlns:a14="http://schemas.microsoft.com/office/drawing/2010/main"/>
                      </a:ext>
                    </a:extLst>
                  </pic:spPr>
                </pic:pic>
              </a:graphicData>
            </a:graphic>
          </wp:inline>
        </w:drawing>
      </w:r>
    </w:p>
    <w:p w14:paraId="27BE7B3D" w14:textId="77777777" w:rsidR="008F6E4D" w:rsidRPr="00775DB8" w:rsidRDefault="008F6E4D" w:rsidP="00AB5515">
      <w:pPr>
        <w:pStyle w:val="Tablenotes"/>
      </w:pPr>
      <w:r w:rsidRPr="00775DB8">
        <w:t xml:space="preserve">Source: Figure 10, p38 of the DCAR; Reproduced from the ratified PICO Confirmation. </w:t>
      </w:r>
      <w:r w:rsidRPr="00775DB8">
        <w:fldChar w:fldCharType="begin"/>
      </w:r>
      <w:r w:rsidRPr="00775DB8">
        <w:instrText xml:space="preserve"> ADDIN EN.CITE &lt;EndNote&gt;&lt;Cite&gt;&lt;Author&gt;Department of Health&lt;/Author&gt;&lt;Year&gt;2020&lt;/Year&gt;&lt;RecNum&gt;134&lt;/RecNum&gt;&lt;DisplayText&gt;(Department of Health 2020)&lt;/DisplayText&gt;&lt;record&gt;&lt;rec-number&gt;134&lt;/rec-number&gt;&lt;foreign-keys&gt;&lt;key app="EN" db-id="zr5taf5wza5tv9e2de7pp0wj0fe5vdxrtzax" timestamp="1605656968"&gt;134&lt;/key&gt;&lt;/foreign-keys&gt;&lt;ref-type name="Report"&gt;27&lt;/ref-type&gt;&lt;contributors&gt;&lt;authors&gt;&lt;author&gt;Department of Health, &lt;/author&gt;&lt;/authors&gt;&lt;/contributors&gt;&lt;titles&gt;&lt;title&gt;Application 1608: Amnion membrane (human tissue) for topical treatment of ophthalmic disorders (caused by disease and/or trauma to the cornea), and wound dressings for skin burns and ulcers on the craniofacial area, torso, and limbs&lt;/title&gt;&lt;/titles&gt;&lt;dates&gt;&lt;year&gt;2020&lt;/year&gt;&lt;/dates&gt;&lt;urls&gt;&lt;related-urls&gt;&lt;url&gt;http://www.msac.gov.au/internet/msac/publishing.nsf/Content/1608-public &lt;/url&gt;&lt;/related-urls&gt;&lt;/urls&gt;&lt;/record&gt;&lt;/Cite&gt;&lt;/EndNote&gt;</w:instrText>
      </w:r>
      <w:r w:rsidRPr="00775DB8">
        <w:fldChar w:fldCharType="separate"/>
      </w:r>
      <w:r w:rsidRPr="00775DB8">
        <w:t>(</w:t>
      </w:r>
      <w:hyperlink w:anchor="_ENREF_37" w:tooltip="Department of Health, 2020 #134" w:history="1">
        <w:r w:rsidRPr="00775DB8">
          <w:t>Department of Health 2020</w:t>
        </w:r>
      </w:hyperlink>
      <w:r w:rsidRPr="00775DB8">
        <w:t>)</w:t>
      </w:r>
      <w:r w:rsidRPr="00775DB8">
        <w:fldChar w:fldCharType="end"/>
      </w:r>
      <w:r w:rsidRPr="00775DB8">
        <w:t xml:space="preserve"> </w:t>
      </w:r>
    </w:p>
    <w:p w14:paraId="518A8CEE" w14:textId="77777777" w:rsidR="008F6E4D" w:rsidRPr="00DA5F3F" w:rsidRDefault="008F6E4D" w:rsidP="00AB5515">
      <w:pPr>
        <w:pStyle w:val="Tablenotes"/>
        <w:rPr>
          <w:szCs w:val="18"/>
        </w:rPr>
      </w:pPr>
      <w:r w:rsidRPr="00775DB8">
        <w:t>Abbreviations:</w:t>
      </w:r>
      <w:r>
        <w:t xml:space="preserve"> TEN =</w:t>
      </w:r>
      <w:r w:rsidRPr="00DA5F3F">
        <w:t xml:space="preserve"> toxic epidermal necrolysis.</w:t>
      </w:r>
    </w:p>
    <w:p w14:paraId="4B4D6206" w14:textId="77777777" w:rsidR="00BC1364" w:rsidRPr="00F715D1" w:rsidRDefault="00BC1364" w:rsidP="00F715D1">
      <w:pPr>
        <w:pStyle w:val="Heading1"/>
      </w:pPr>
      <w:r w:rsidRPr="00F715D1">
        <w:t xml:space="preserve">Comparator </w:t>
      </w:r>
    </w:p>
    <w:p w14:paraId="72B658AB" w14:textId="2CB7A27A" w:rsidR="008F6E4D" w:rsidRDefault="008F6E4D" w:rsidP="008F6E4D">
      <w:r>
        <w:t xml:space="preserve">The primary comparator for AM across the three populations was described as SOC. However, due to the distinct disease characteristics and population profiles across the three populations, the content of SOC for each population and its subgroups has its own definition and context. </w:t>
      </w:r>
    </w:p>
    <w:p w14:paraId="093E79C5" w14:textId="2DD3BC58" w:rsidR="008F6E4D" w:rsidRDefault="008F6E4D" w:rsidP="00AB5515">
      <w:pPr>
        <w:pStyle w:val="Heading2"/>
        <w:spacing w:before="240"/>
      </w:pPr>
      <w:r>
        <w:t>Population 1 – Ophthalmic conditions</w:t>
      </w:r>
    </w:p>
    <w:p w14:paraId="3CD2420C" w14:textId="77777777" w:rsidR="008F6E4D" w:rsidRDefault="008F6E4D" w:rsidP="008F6E4D">
      <w:r>
        <w:t xml:space="preserve">For Population 1, best supportive care was nominated as the comparator for corneal wounds and </w:t>
      </w:r>
      <w:r w:rsidRPr="00D32A43">
        <w:t xml:space="preserve">entails a combination of topical steroids, topical </w:t>
      </w:r>
      <w:proofErr w:type="spellStart"/>
      <w:r w:rsidRPr="00D32A43">
        <w:t>cycloplegic</w:t>
      </w:r>
      <w:proofErr w:type="spellEnd"/>
      <w:r w:rsidRPr="00D32A43">
        <w:t xml:space="preserve"> agents, pain relief, oral tetracycline and tissue debridement. The exact combination of treatments and </w:t>
      </w:r>
      <w:r>
        <w:t xml:space="preserve">the </w:t>
      </w:r>
      <w:r w:rsidRPr="00D32A43">
        <w:t xml:space="preserve">frequency of application </w:t>
      </w:r>
      <w:r>
        <w:t>depends</w:t>
      </w:r>
      <w:r w:rsidRPr="00D32A43">
        <w:t xml:space="preserve"> on the nature of the injury.</w:t>
      </w:r>
      <w:r>
        <w:t xml:space="preserve"> However, specifically for </w:t>
      </w:r>
      <w:proofErr w:type="spellStart"/>
      <w:r>
        <w:t>pterygium</w:t>
      </w:r>
      <w:proofErr w:type="spellEnd"/>
      <w:r>
        <w:t xml:space="preserve"> surgery, a conjunctival </w:t>
      </w:r>
      <w:proofErr w:type="spellStart"/>
      <w:r>
        <w:t>autograft</w:t>
      </w:r>
      <w:proofErr w:type="spellEnd"/>
      <w:r>
        <w:t xml:space="preserve"> was explicitly considered as the comparator for AM. </w:t>
      </w:r>
    </w:p>
    <w:p w14:paraId="577E4351" w14:textId="75245B90" w:rsidR="008F6E4D" w:rsidRDefault="008F6E4D" w:rsidP="00AB5515">
      <w:pPr>
        <w:pStyle w:val="Heading2"/>
        <w:spacing w:before="240"/>
      </w:pPr>
      <w:r>
        <w:t>Population 2 – Chronic skin wounds</w:t>
      </w:r>
    </w:p>
    <w:p w14:paraId="2A46B19B" w14:textId="53859B70" w:rsidR="00AB5515" w:rsidRDefault="008F6E4D">
      <w:r>
        <w:t xml:space="preserve">For Population 2, two specific comparators were nominated for </w:t>
      </w:r>
      <w:r w:rsidRPr="00D32A43">
        <w:t xml:space="preserve">diabetic foot </w:t>
      </w:r>
      <w:r>
        <w:t xml:space="preserve">ulcers </w:t>
      </w:r>
      <w:r w:rsidRPr="00D32A43">
        <w:t>and venous insufficiency ulcers</w:t>
      </w:r>
      <w:r>
        <w:t xml:space="preserve">: </w:t>
      </w:r>
      <w:proofErr w:type="spellStart"/>
      <w:r>
        <w:t>UrgoStart</w:t>
      </w:r>
      <w:proofErr w:type="spellEnd"/>
      <w:r>
        <w:t xml:space="preserve"> dressing and split-thickness skin grafts. For arterial insufficiency ulcers, best supportive care was still referred to as the comparator where the critical component of care was</w:t>
      </w:r>
      <w:r w:rsidRPr="00D32A43">
        <w:t xml:space="preserve"> improving vascularisation</w:t>
      </w:r>
      <w:r>
        <w:t>. It was noted in the PICO Confirmation that m</w:t>
      </w:r>
      <w:r w:rsidRPr="00D32A43">
        <w:t xml:space="preserve">any other skin substitute products are available for treating </w:t>
      </w:r>
      <w:r>
        <w:t>chronic wounds. Expert advice indicated</w:t>
      </w:r>
      <w:r w:rsidRPr="00D32A43">
        <w:t xml:space="preserve"> that these are not routinely used in Australia; therefore, these products have not been included as comparators</w:t>
      </w:r>
      <w:r>
        <w:t>.</w:t>
      </w:r>
      <w:r w:rsidR="00AB5515">
        <w:rPr>
          <w:b/>
        </w:rPr>
        <w:br w:type="page"/>
      </w:r>
    </w:p>
    <w:p w14:paraId="1EE27136" w14:textId="5B320DC2" w:rsidR="008F6E4D" w:rsidRDefault="008F6E4D" w:rsidP="00AB5515">
      <w:pPr>
        <w:pStyle w:val="Heading2"/>
        <w:spacing w:before="240"/>
      </w:pPr>
      <w:r>
        <w:lastRenderedPageBreak/>
        <w:t>Population 3 – Acute skin wounds</w:t>
      </w:r>
    </w:p>
    <w:p w14:paraId="701DE08F" w14:textId="77777777" w:rsidR="008F6E4D" w:rsidRDefault="008F6E4D" w:rsidP="008F6E4D">
      <w:r>
        <w:t>For Population 3, separate comparators are nominated for the four different subpopulations. For burns patients (subpopulation 3a), dermal substitutes are the most relevant comparator to AM. For patients with graft donor site wounds (subpopulation 3b), s</w:t>
      </w:r>
      <w:r w:rsidRPr="00D32A43">
        <w:t xml:space="preserve">tandard wound dressing </w:t>
      </w:r>
      <w:r>
        <w:t>was</w:t>
      </w:r>
      <w:r w:rsidRPr="00D32A43">
        <w:t xml:space="preserve"> suggested as the most appropriate comparator</w:t>
      </w:r>
      <w:r>
        <w:t>.</w:t>
      </w:r>
      <w:r w:rsidRPr="00D32A43">
        <w:t xml:space="preserve"> </w:t>
      </w:r>
      <w:r>
        <w:t xml:space="preserve">For patients requiring skin graft fixator (subpopulation 3c), traditional fixation techniques, including staples, stitches, and microporous tapes, are considered the appropriate comparator for AM. Lastly, for patients with toxic epidermal necrolysis (subpopulation 3d), </w:t>
      </w:r>
      <w:proofErr w:type="spellStart"/>
      <w:r w:rsidRPr="00D32A43">
        <w:t>Biobrane</w:t>
      </w:r>
      <w:proofErr w:type="spellEnd"/>
      <w:r w:rsidRPr="00D32A43">
        <w:t>, a skin substitute used in Australia for superficial burn injuries</w:t>
      </w:r>
      <w:r>
        <w:t xml:space="preserve">, was considered the appropriate comparator. </w:t>
      </w:r>
    </w:p>
    <w:p w14:paraId="453CB3C7" w14:textId="77777777" w:rsidR="00BC1364" w:rsidRPr="00F715D1" w:rsidRDefault="00BC1364" w:rsidP="00F715D1">
      <w:pPr>
        <w:pStyle w:val="Heading1"/>
      </w:pPr>
      <w:r w:rsidRPr="00F715D1">
        <w:t>Comparative safety</w:t>
      </w:r>
    </w:p>
    <w:p w14:paraId="44C9AD70" w14:textId="6D0BBE85" w:rsidR="008F6E4D" w:rsidRPr="00671C57" w:rsidRDefault="008F6E4D" w:rsidP="008F6E4D">
      <w:pPr>
        <w:pStyle w:val="Heading2"/>
      </w:pPr>
      <w:bookmarkStart w:id="27" w:name="_Toc56993306"/>
      <w:bookmarkStart w:id="28" w:name="_Toc59405196"/>
      <w:r w:rsidRPr="00D32A43">
        <w:t>Population 1</w:t>
      </w:r>
      <w:r w:rsidR="00567A4B">
        <w:t xml:space="preserve"> – </w:t>
      </w:r>
      <w:r w:rsidRPr="00D32A43">
        <w:t>Ophthalmic conditions</w:t>
      </w:r>
      <w:bookmarkEnd w:id="27"/>
      <w:bookmarkEnd w:id="28"/>
      <w:r w:rsidRPr="00D32A43">
        <w:t xml:space="preserve"> </w:t>
      </w:r>
    </w:p>
    <w:p w14:paraId="080F7ADB" w14:textId="77777777" w:rsidR="008F6E4D" w:rsidRDefault="008F6E4D" w:rsidP="008F6E4D">
      <w:r>
        <w:t xml:space="preserve">Fifteen randomised controlled trials (RCT) were included for Population 1 which </w:t>
      </w:r>
      <w:r w:rsidRPr="00D32A43">
        <w:t>encompassed subpopulations of ocular burns</w:t>
      </w:r>
      <w:r>
        <w:t xml:space="preserve"> (k = 3)</w:t>
      </w:r>
      <w:r w:rsidRPr="00D32A43">
        <w:t xml:space="preserve">, </w:t>
      </w:r>
      <w:proofErr w:type="spellStart"/>
      <w:r w:rsidRPr="00D32A43">
        <w:t>pterygium</w:t>
      </w:r>
      <w:proofErr w:type="spellEnd"/>
      <w:r>
        <w:t xml:space="preserve"> (k = 7)</w:t>
      </w:r>
      <w:r w:rsidRPr="00D32A43">
        <w:t>,</w:t>
      </w:r>
      <w:r>
        <w:t xml:space="preserve"> and miscellaneous populations of</w:t>
      </w:r>
      <w:r w:rsidRPr="00D32A43">
        <w:t xml:space="preserve"> SJS</w:t>
      </w:r>
      <w:r>
        <w:t xml:space="preserve"> (k = 1)</w:t>
      </w:r>
      <w:r w:rsidRPr="00D32A43">
        <w:t>, persistent epithelial defects (PEDs</w:t>
      </w:r>
      <w:r>
        <w:t>; k = 1)</w:t>
      </w:r>
      <w:r w:rsidRPr="00D32A43">
        <w:t>, non-viral infectious keratitis</w:t>
      </w:r>
      <w:r>
        <w:t xml:space="preserve"> (k= 1)</w:t>
      </w:r>
      <w:r w:rsidRPr="00D32A43">
        <w:t>, and scleral and corneal thinning</w:t>
      </w:r>
      <w:r>
        <w:t xml:space="preserve"> (k = 2)</w:t>
      </w:r>
      <w:r w:rsidRPr="00D32A43">
        <w:t xml:space="preserve">. </w:t>
      </w:r>
      <w:r>
        <w:t>The DCAR considered t</w:t>
      </w:r>
      <w:r w:rsidRPr="00D32A43">
        <w:t xml:space="preserve">here was a high level of heterogeneity across the 15 included </w:t>
      </w:r>
      <w:r>
        <w:t>RCTs</w:t>
      </w:r>
      <w:r w:rsidRPr="00D32A43">
        <w:t xml:space="preserve"> in the context of patient population and SOC. Patient age, sex ratio</w:t>
      </w:r>
      <w:r w:rsidRPr="00D32A43" w:rsidDel="004C4F3B">
        <w:t>,</w:t>
      </w:r>
      <w:r w:rsidRPr="00D32A43">
        <w:t xml:space="preserve"> disease aetiology, and follow up time varied greatly across studies. SOC was </w:t>
      </w:r>
      <w:r>
        <w:t xml:space="preserve">also </w:t>
      </w:r>
      <w:r w:rsidRPr="00D32A43">
        <w:t xml:space="preserve">heterogeneous across studies ranging from topical treatments to various surgeries (e.g. </w:t>
      </w:r>
      <w:proofErr w:type="spellStart"/>
      <w:r w:rsidRPr="00D32A43">
        <w:t>tarsorrhaphy</w:t>
      </w:r>
      <w:proofErr w:type="spellEnd"/>
      <w:r w:rsidRPr="00D32A43">
        <w:t xml:space="preserve"> and conjunctival </w:t>
      </w:r>
      <w:proofErr w:type="spellStart"/>
      <w:r w:rsidRPr="00D32A43">
        <w:t>autograft</w:t>
      </w:r>
      <w:proofErr w:type="spellEnd"/>
      <w:r w:rsidRPr="00D32A43">
        <w:t>).</w:t>
      </w:r>
      <w:r w:rsidRPr="00211FEB">
        <w:t xml:space="preserve"> </w:t>
      </w:r>
    </w:p>
    <w:p w14:paraId="046E7BDC" w14:textId="423A24EF" w:rsidR="008F6E4D" w:rsidRDefault="008F6E4D" w:rsidP="00AB5515">
      <w:pPr>
        <w:spacing w:before="240"/>
      </w:pPr>
      <w:r w:rsidRPr="00D32A43">
        <w:t>The</w:t>
      </w:r>
      <w:r>
        <w:t xml:space="preserve"> DCAR considered the</w:t>
      </w:r>
      <w:r w:rsidRPr="00D32A43">
        <w:t xml:space="preserve"> evidence was limit</w:t>
      </w:r>
      <w:r>
        <w:t>ed within P</w:t>
      </w:r>
      <w:r w:rsidRPr="00D32A43">
        <w:t xml:space="preserve">opulation </w:t>
      </w:r>
      <w:r>
        <w:t xml:space="preserve">1 </w:t>
      </w:r>
      <w:r w:rsidRPr="00D32A43">
        <w:t xml:space="preserve">due to the heterogeneity of the included studies. Varying populations and comparators caused challenges in </w:t>
      </w:r>
      <w:r>
        <w:t>making comparisons</w:t>
      </w:r>
      <w:r w:rsidRPr="00D32A43">
        <w:t xml:space="preserve"> across studies. Furthermore, the studies usually had short follow up period</w:t>
      </w:r>
      <w:r>
        <w:t>s</w:t>
      </w:r>
      <w:r w:rsidR="00567A4B">
        <w:t>.</w:t>
      </w:r>
    </w:p>
    <w:p w14:paraId="1063E698" w14:textId="1942C153" w:rsidR="008F6E4D" w:rsidRDefault="008F6E4D" w:rsidP="00AB5515">
      <w:pPr>
        <w:pStyle w:val="Heading3"/>
        <w:spacing w:before="240"/>
      </w:pPr>
      <w:r>
        <w:t>Adverse events and complications</w:t>
      </w:r>
    </w:p>
    <w:p w14:paraId="63921AD3" w14:textId="77777777" w:rsidR="008F6E4D" w:rsidRPr="00D32A43" w:rsidRDefault="008F6E4D" w:rsidP="008F6E4D">
      <w:r w:rsidRPr="00D32A43">
        <w:t xml:space="preserve">In the 15 included studies, serious adverse events were rarely reported. Among trials where safety outcomes were investigated and reported, there </w:t>
      </w:r>
      <w:r>
        <w:t>were non-significant increases in reported adverse events</w:t>
      </w:r>
      <w:r w:rsidRPr="00D32A43">
        <w:t xml:space="preserve"> in the AM group compared to the SOC group</w:t>
      </w:r>
      <w:r>
        <w:t xml:space="preserve"> (</w:t>
      </w:r>
      <w:r>
        <w:fldChar w:fldCharType="begin"/>
      </w:r>
      <w:r>
        <w:instrText xml:space="preserve"> REF _Ref56071273 \h </w:instrText>
      </w:r>
      <w:r>
        <w:fldChar w:fldCharType="separate"/>
      </w:r>
      <w:r w:rsidRPr="00D32A43">
        <w:t xml:space="preserve">Table </w:t>
      </w:r>
      <w:r>
        <w:rPr>
          <w:noProof/>
        </w:rPr>
        <w:t>2</w:t>
      </w:r>
      <w:r>
        <w:fldChar w:fldCharType="end"/>
      </w:r>
      <w:r>
        <w:t>)</w:t>
      </w:r>
      <w:r w:rsidRPr="00D32A43">
        <w:t xml:space="preserve">. The most common safety concerns were </w:t>
      </w:r>
      <w:r>
        <w:t xml:space="preserve">mild, </w:t>
      </w:r>
      <w:r w:rsidRPr="00D32A43">
        <w:t>treatable</w:t>
      </w:r>
      <w:r>
        <w:t>,</w:t>
      </w:r>
      <w:r w:rsidRPr="00D32A43">
        <w:t xml:space="preserve"> and generally resolved when the study concluded. Irrespective of the sub-group, most commonly reported safety concerns were corneal and conjunctival vascularisation or inflammation. Second </w:t>
      </w:r>
      <w:r>
        <w:t>to</w:t>
      </w:r>
      <w:r w:rsidRPr="00D32A43">
        <w:t xml:space="preserve"> this was the development of </w:t>
      </w:r>
      <w:proofErr w:type="spellStart"/>
      <w:r w:rsidRPr="00D32A43">
        <w:t>symblepharon</w:t>
      </w:r>
      <w:proofErr w:type="spellEnd"/>
      <w:r w:rsidRPr="00D32A43">
        <w:t xml:space="preserve">. </w:t>
      </w:r>
      <w:r>
        <w:t xml:space="preserve">Consistent with the RCTs, pain was considered a safety outcome for the purposes of the DCAR. </w:t>
      </w:r>
    </w:p>
    <w:p w14:paraId="771C0709" w14:textId="77777777" w:rsidR="008F6E4D" w:rsidRPr="00D32A43" w:rsidRDefault="008F6E4D" w:rsidP="0060589D">
      <w:pPr>
        <w:pStyle w:val="ListParagraph"/>
        <w:numPr>
          <w:ilvl w:val="0"/>
          <w:numId w:val="9"/>
        </w:numPr>
        <w:jc w:val="both"/>
      </w:pPr>
      <w:r>
        <w:t>In burns, p</w:t>
      </w:r>
      <w:r w:rsidRPr="00D32A43">
        <w:t>ain was</w:t>
      </w:r>
      <w:r>
        <w:t xml:space="preserve"> significantly </w:t>
      </w:r>
      <w:r w:rsidRPr="00D32A43">
        <w:t>reduced in patients with moderate burns who received AM compared to SOC</w:t>
      </w:r>
      <w:r>
        <w:t>; h</w:t>
      </w:r>
      <w:r w:rsidRPr="00D32A43">
        <w:t xml:space="preserve">owever, there was no difference </w:t>
      </w:r>
      <w:r w:rsidRPr="00D32A43" w:rsidDel="00803D17">
        <w:t xml:space="preserve">in </w:t>
      </w:r>
      <w:r w:rsidRPr="00D32A43">
        <w:t>patients with severe burns</w:t>
      </w:r>
      <w:r>
        <w:t>.</w:t>
      </w:r>
      <w:r w:rsidRPr="00D32A43">
        <w:t xml:space="preserve"> </w:t>
      </w:r>
    </w:p>
    <w:p w14:paraId="0946E42D" w14:textId="77777777" w:rsidR="008F6E4D" w:rsidRPr="00D32A43" w:rsidRDefault="008F6E4D" w:rsidP="0060589D">
      <w:pPr>
        <w:pStyle w:val="ListParagraph"/>
        <w:numPr>
          <w:ilvl w:val="0"/>
          <w:numId w:val="9"/>
        </w:numPr>
        <w:jc w:val="both"/>
      </w:pPr>
      <w:r w:rsidRPr="00D32A43">
        <w:t>Two</w:t>
      </w:r>
      <w:r w:rsidRPr="00D32A43" w:rsidDel="004B189F">
        <w:t xml:space="preserve"> </w:t>
      </w:r>
      <w:r w:rsidRPr="00D32A43">
        <w:t xml:space="preserve">studies including patients with </w:t>
      </w:r>
      <w:proofErr w:type="spellStart"/>
      <w:r w:rsidRPr="00D32A43">
        <w:t>pterygium</w:t>
      </w:r>
      <w:proofErr w:type="spellEnd"/>
      <w:r w:rsidRPr="00D32A43">
        <w:t xml:space="preserve"> found increased inflammation in the AM transplant group</w:t>
      </w:r>
      <w:r>
        <w:t>;</w:t>
      </w:r>
      <w:r w:rsidRPr="00D32A43">
        <w:t xml:space="preserve"> </w:t>
      </w:r>
      <w:r>
        <w:t>h</w:t>
      </w:r>
      <w:r w:rsidRPr="00D32A43">
        <w:t>owever, the increase was only significant in one of the studies. There was no difference in complications between groups of this subpopulation.</w:t>
      </w:r>
    </w:p>
    <w:p w14:paraId="7FAC4838" w14:textId="77777777" w:rsidR="008F6E4D" w:rsidRPr="00D32A43" w:rsidRDefault="008F6E4D" w:rsidP="0060589D">
      <w:pPr>
        <w:pStyle w:val="ListParagraph"/>
        <w:numPr>
          <w:ilvl w:val="0"/>
          <w:numId w:val="9"/>
        </w:numPr>
        <w:jc w:val="both"/>
      </w:pPr>
      <w:proofErr w:type="spellStart"/>
      <w:r w:rsidRPr="00D32A43">
        <w:t>Limbal</w:t>
      </w:r>
      <w:proofErr w:type="spellEnd"/>
      <w:r w:rsidRPr="00D32A43">
        <w:t xml:space="preserve"> damage was reported from patients who received a conjunctival </w:t>
      </w:r>
      <w:proofErr w:type="spellStart"/>
      <w:r w:rsidRPr="00D32A43">
        <w:t>autograft</w:t>
      </w:r>
      <w:proofErr w:type="spellEnd"/>
      <w:r w:rsidRPr="00D32A43">
        <w:t xml:space="preserve"> (SOC). No AM group patients experienced this adverse event. Thus, </w:t>
      </w:r>
      <w:r>
        <w:t>AM</w:t>
      </w:r>
      <w:r w:rsidRPr="00D32A43">
        <w:t xml:space="preserve"> was suggested to be an alternative method for </w:t>
      </w:r>
      <w:r>
        <w:t>facilitating</w:t>
      </w:r>
      <w:r w:rsidRPr="00D32A43">
        <w:t xml:space="preserve"> healing after </w:t>
      </w:r>
      <w:proofErr w:type="spellStart"/>
      <w:r w:rsidRPr="00D32A43">
        <w:t>pterygium</w:t>
      </w:r>
      <w:proofErr w:type="spellEnd"/>
      <w:r w:rsidRPr="00D32A43">
        <w:t xml:space="preserve"> surgery. Consequently, </w:t>
      </w:r>
      <w:proofErr w:type="spellStart"/>
      <w:r w:rsidRPr="00D32A43">
        <w:t>limbal</w:t>
      </w:r>
      <w:proofErr w:type="spellEnd"/>
      <w:r w:rsidRPr="00D32A43">
        <w:t xml:space="preserve"> damage can be prevented. </w:t>
      </w:r>
    </w:p>
    <w:p w14:paraId="0F5B7D30" w14:textId="77777777" w:rsidR="008F6E4D" w:rsidRDefault="008F6E4D" w:rsidP="0060589D">
      <w:pPr>
        <w:pStyle w:val="ListParagraph"/>
        <w:numPr>
          <w:ilvl w:val="0"/>
          <w:numId w:val="9"/>
        </w:numPr>
        <w:jc w:val="both"/>
      </w:pPr>
      <w:r w:rsidRPr="00D32A43">
        <w:t xml:space="preserve">In </w:t>
      </w:r>
      <w:r>
        <w:t>SJS</w:t>
      </w:r>
      <w:r w:rsidRPr="00D32A43">
        <w:t xml:space="preserve"> cases, AM resulted in significantly less corneal and conjunctival vascularisation. Significantly reduced conjunctival congestion was also found for AM treated patients in this </w:t>
      </w:r>
      <w:r>
        <w:t>subpopulation</w:t>
      </w:r>
      <w:r w:rsidRPr="00D32A43">
        <w:t>.</w:t>
      </w:r>
    </w:p>
    <w:p w14:paraId="459036F3" w14:textId="542659EB" w:rsidR="008F6E4D" w:rsidRDefault="008F6E4D" w:rsidP="00AB5515">
      <w:pPr>
        <w:pStyle w:val="Heading2"/>
        <w:spacing w:before="240"/>
      </w:pPr>
      <w:r>
        <w:t>Population 2 – Chronic skin wounds</w:t>
      </w:r>
    </w:p>
    <w:p w14:paraId="4898F48C" w14:textId="77777777" w:rsidR="008F6E4D" w:rsidRDefault="008F6E4D" w:rsidP="008F6E4D">
      <w:r w:rsidRPr="00D32A43">
        <w:t xml:space="preserve">Fourteen RCTs investigated chronic skin wounds treatment comparing AM (mainly dehydrated) with SOC. The 14 included studies encompassed subpopulations of diabetic foot ulcers </w:t>
      </w:r>
      <w:r>
        <w:t xml:space="preserve">(DFU; k = 9) </w:t>
      </w:r>
      <w:r w:rsidRPr="00D32A43">
        <w:t>and venous leg ulcers</w:t>
      </w:r>
      <w:r>
        <w:t xml:space="preserve"> (VLU; k = 5)</w:t>
      </w:r>
      <w:r w:rsidRPr="00D32A43">
        <w:t xml:space="preserve">. </w:t>
      </w:r>
      <w:r>
        <w:t>The DCAR considered that p</w:t>
      </w:r>
      <w:r w:rsidRPr="00D32A43">
        <w:t xml:space="preserve">atient </w:t>
      </w:r>
      <w:r w:rsidRPr="00D32A43">
        <w:lastRenderedPageBreak/>
        <w:t xml:space="preserve">baseline characteristics and treatments were homogenous across studies. No </w:t>
      </w:r>
      <w:r>
        <w:t>relevant</w:t>
      </w:r>
      <w:r w:rsidRPr="00D32A43">
        <w:t xml:space="preserve"> </w:t>
      </w:r>
      <w:r>
        <w:t>studies were identified</w:t>
      </w:r>
      <w:r w:rsidRPr="00D32A43">
        <w:t xml:space="preserve"> for arterial insufficiency ulcers</w:t>
      </w:r>
      <w:r>
        <w:t>,</w:t>
      </w:r>
      <w:r w:rsidRPr="00D32A43">
        <w:t xml:space="preserve"> or used split thickness skin graft or </w:t>
      </w:r>
      <w:proofErr w:type="spellStart"/>
      <w:r w:rsidRPr="00D32A43">
        <w:t>UrgoStart</w:t>
      </w:r>
      <w:proofErr w:type="spellEnd"/>
      <w:r w:rsidRPr="00D32A43">
        <w:t xml:space="preserve"> dressing as comparators.</w:t>
      </w:r>
      <w:r>
        <w:t xml:space="preserve"> </w:t>
      </w:r>
    </w:p>
    <w:p w14:paraId="76D9FD87" w14:textId="7563B43D" w:rsidR="008F6E4D" w:rsidRPr="00D32A43" w:rsidRDefault="008F6E4D" w:rsidP="00AB5515">
      <w:pPr>
        <w:spacing w:before="240"/>
      </w:pPr>
      <w:bookmarkStart w:id="29" w:name="_Hlk59182369"/>
      <w:r>
        <w:t>The DCAR considered that the evidence indicated that AM was at least as safe as SOC in DFU subpopulation, but uncertainty was found for VLU subpopulation. Across the included RCTs:</w:t>
      </w:r>
    </w:p>
    <w:p w14:paraId="23E02812" w14:textId="77777777" w:rsidR="008F6E4D" w:rsidRPr="00D32A43" w:rsidRDefault="008F6E4D" w:rsidP="0060589D">
      <w:pPr>
        <w:pStyle w:val="ListParagraph"/>
        <w:numPr>
          <w:ilvl w:val="0"/>
          <w:numId w:val="9"/>
        </w:numPr>
        <w:ind w:left="714" w:hanging="357"/>
        <w:jc w:val="both"/>
      </w:pPr>
      <w:r>
        <w:t>C</w:t>
      </w:r>
      <w:r w:rsidRPr="00D32A43">
        <w:t>ompared to SOC</w:t>
      </w:r>
      <w:r>
        <w:t>, AM</w:t>
      </w:r>
      <w:r w:rsidRPr="00D32A43">
        <w:t xml:space="preserve"> was </w:t>
      </w:r>
      <w:r>
        <w:t>safer with reduced adverse events (AE) rates among DFU patients, reduced wound infections, non-life threatening AE, and pain among VLU subpopulation</w:t>
      </w:r>
      <w:bookmarkEnd w:id="29"/>
      <w:r>
        <w:t xml:space="preserve">. Fewer withdrawals (attributable to non-healing wounds) </w:t>
      </w:r>
      <w:r w:rsidDel="00A032C0">
        <w:t xml:space="preserve">were </w:t>
      </w:r>
      <w:r>
        <w:t xml:space="preserve">observed for patients receiving AM for both the DFU and VLU subpopulations compared to SOC. </w:t>
      </w:r>
    </w:p>
    <w:p w14:paraId="696DF01C" w14:textId="77777777" w:rsidR="008F6E4D" w:rsidRPr="00D32A43" w:rsidRDefault="008F6E4D" w:rsidP="0060589D">
      <w:pPr>
        <w:pStyle w:val="ListParagraph"/>
        <w:numPr>
          <w:ilvl w:val="0"/>
          <w:numId w:val="9"/>
        </w:numPr>
        <w:ind w:left="714" w:hanging="357"/>
        <w:jc w:val="both"/>
      </w:pPr>
      <w:r>
        <w:t>Equivalent safety for</w:t>
      </w:r>
      <w:r w:rsidRPr="00D32A43">
        <w:t xml:space="preserve"> AM compared to SOC was </w:t>
      </w:r>
      <w:r>
        <w:t>observed</w:t>
      </w:r>
      <w:r w:rsidRPr="00D32A43" w:rsidDel="001E27FE">
        <w:t xml:space="preserve"> </w:t>
      </w:r>
      <w:r w:rsidRPr="00D32A43">
        <w:t xml:space="preserve">in </w:t>
      </w:r>
      <w:r>
        <w:t xml:space="preserve">the </w:t>
      </w:r>
      <w:r w:rsidRPr="00D32A43">
        <w:t xml:space="preserve">DFU </w:t>
      </w:r>
      <w:r>
        <w:t>sub</w:t>
      </w:r>
      <w:r w:rsidRPr="00D32A43">
        <w:t xml:space="preserve">population for wound infection, cellulitis, osteomyelitis and withdrawal due to </w:t>
      </w:r>
      <w:r>
        <w:t xml:space="preserve">AE. </w:t>
      </w:r>
    </w:p>
    <w:p w14:paraId="39A15D81" w14:textId="0796349D" w:rsidR="008F6E4D" w:rsidRDefault="008F6E4D" w:rsidP="0060589D">
      <w:pPr>
        <w:pStyle w:val="ListParagraph"/>
        <w:numPr>
          <w:ilvl w:val="0"/>
          <w:numId w:val="9"/>
        </w:numPr>
        <w:ind w:left="714" w:hanging="357"/>
        <w:jc w:val="both"/>
      </w:pPr>
      <w:r>
        <w:t>Inferior safety of AM compared to SOC was observed in the VLU subpopulation for cellulitis, serious AE and withdrawals due t</w:t>
      </w:r>
      <w:r w:rsidR="00AB5515">
        <w:t>o AE, based on limited evidence</w:t>
      </w:r>
      <w:r>
        <w:t>.</w:t>
      </w:r>
    </w:p>
    <w:p w14:paraId="7E8CF6F3" w14:textId="77777777" w:rsidR="008F6E4D" w:rsidRDefault="008F6E4D" w:rsidP="0060589D">
      <w:pPr>
        <w:pStyle w:val="ListParagraph"/>
        <w:numPr>
          <w:ilvl w:val="0"/>
          <w:numId w:val="9"/>
        </w:numPr>
        <w:ind w:left="714" w:hanging="357"/>
        <w:jc w:val="both"/>
      </w:pPr>
      <w:r>
        <w:t>P</w:t>
      </w:r>
      <w:r w:rsidRPr="00D32A43">
        <w:t xml:space="preserve">ain was improved in VLU </w:t>
      </w:r>
      <w:r>
        <w:t>sub</w:t>
      </w:r>
      <w:r w:rsidRPr="00D32A43">
        <w:t xml:space="preserve">population receiving AM compared </w:t>
      </w:r>
      <w:r>
        <w:t xml:space="preserve">with </w:t>
      </w:r>
      <w:r w:rsidRPr="00D32A43">
        <w:t>SOC</w:t>
      </w:r>
      <w:r>
        <w:t>, but only reported by three studies each using different outcome measures to measure pain.</w:t>
      </w:r>
    </w:p>
    <w:p w14:paraId="49EECA4C" w14:textId="74BEC8B4" w:rsidR="008F6E4D" w:rsidRDefault="008F6E4D" w:rsidP="00AB5515">
      <w:pPr>
        <w:pStyle w:val="Heading2"/>
        <w:spacing w:before="240"/>
      </w:pPr>
      <w:r>
        <w:t>Population 3 – Acute skin wounds</w:t>
      </w:r>
    </w:p>
    <w:p w14:paraId="68D39016" w14:textId="77777777" w:rsidR="008F6E4D" w:rsidRDefault="008F6E4D" w:rsidP="008F6E4D">
      <w:pPr>
        <w:rPr>
          <w:lang w:eastAsia="en-US"/>
        </w:rPr>
      </w:pPr>
      <w:r w:rsidRPr="00D32A43">
        <w:rPr>
          <w:lang w:eastAsia="en-US"/>
        </w:rPr>
        <w:t xml:space="preserve">A total of eight studies were included that compared the effect of </w:t>
      </w:r>
      <w:r>
        <w:rPr>
          <w:lang w:eastAsia="en-US"/>
        </w:rPr>
        <w:t>AM</w:t>
      </w:r>
      <w:r w:rsidRPr="00D32A43">
        <w:rPr>
          <w:lang w:eastAsia="en-US"/>
        </w:rPr>
        <w:t xml:space="preserve"> </w:t>
      </w:r>
      <w:r>
        <w:rPr>
          <w:lang w:eastAsia="en-US"/>
        </w:rPr>
        <w:t>to</w:t>
      </w:r>
      <w:r w:rsidRPr="00D32A43">
        <w:rPr>
          <w:lang w:eastAsia="en-US"/>
        </w:rPr>
        <w:t xml:space="preserve"> S</w:t>
      </w:r>
      <w:r>
        <w:rPr>
          <w:lang w:eastAsia="en-US"/>
        </w:rPr>
        <w:t>O</w:t>
      </w:r>
      <w:r w:rsidRPr="00D32A43">
        <w:rPr>
          <w:lang w:eastAsia="en-US"/>
        </w:rPr>
        <w:t>C therapy in acute wound healing, including burns where patients required dermal substitute before skin grafting can take place</w:t>
      </w:r>
      <w:r>
        <w:rPr>
          <w:lang w:eastAsia="en-US"/>
        </w:rPr>
        <w:t xml:space="preserve"> (k = 3)</w:t>
      </w:r>
      <w:r w:rsidRPr="00D32A43">
        <w:rPr>
          <w:lang w:eastAsia="en-US"/>
        </w:rPr>
        <w:t>, patients with graft donor site wounds</w:t>
      </w:r>
      <w:r>
        <w:rPr>
          <w:lang w:eastAsia="en-US"/>
        </w:rPr>
        <w:t xml:space="preserve"> (k = 5)</w:t>
      </w:r>
      <w:r w:rsidRPr="00D32A43">
        <w:rPr>
          <w:lang w:eastAsia="en-US"/>
        </w:rPr>
        <w:t xml:space="preserve">, and patients </w:t>
      </w:r>
      <w:r>
        <w:rPr>
          <w:lang w:eastAsia="en-US"/>
        </w:rPr>
        <w:t xml:space="preserve">who </w:t>
      </w:r>
      <w:r w:rsidRPr="00D32A43">
        <w:rPr>
          <w:lang w:eastAsia="en-US"/>
        </w:rPr>
        <w:t>required a skin graft fixator</w:t>
      </w:r>
      <w:r>
        <w:rPr>
          <w:lang w:eastAsia="en-US"/>
        </w:rPr>
        <w:t xml:space="preserve"> (k = 1)</w:t>
      </w:r>
      <w:r w:rsidRPr="00D32A43">
        <w:rPr>
          <w:lang w:eastAsia="en-US"/>
        </w:rPr>
        <w:t xml:space="preserve">. A total of 547 patients with a mean age of 25 years participated in the eight studies. General eligibility criteria were patients with no history of cancer, diabetes, immunosuppressive, and cardiovascular conditions. The age range included was between 18 to 60 years with some variations </w:t>
      </w:r>
      <w:r>
        <w:rPr>
          <w:lang w:eastAsia="en-US"/>
        </w:rPr>
        <w:t xml:space="preserve">between </w:t>
      </w:r>
      <w:r w:rsidRPr="00D32A43">
        <w:rPr>
          <w:lang w:eastAsia="en-US"/>
        </w:rPr>
        <w:t>the RCTs.</w:t>
      </w:r>
    </w:p>
    <w:p w14:paraId="49D6A5CB" w14:textId="1481F62E" w:rsidR="008F6E4D" w:rsidRPr="00D32A43" w:rsidRDefault="008F6E4D" w:rsidP="00AB5515">
      <w:pPr>
        <w:spacing w:before="240"/>
        <w:rPr>
          <w:lang w:eastAsia="en-US"/>
        </w:rPr>
      </w:pPr>
      <w:r>
        <w:rPr>
          <w:lang w:eastAsia="en-US"/>
        </w:rPr>
        <w:t>Variability of the wounds, SOC, and population in the included RCTs made it difficult to draw a robust conclusion about the safety of AM. Therefore, comparison between the studies, in terms of safety was challenging. Furthermore, the high risk of bias among the eight studies included for this population also downgraded the quality of evidence, which limited the conclusion on safety of AM in acute wounds.</w:t>
      </w:r>
    </w:p>
    <w:p w14:paraId="73F038F6" w14:textId="4C3E826E" w:rsidR="008F6E4D" w:rsidRPr="00592371" w:rsidRDefault="008F6E4D" w:rsidP="00AB5515">
      <w:pPr>
        <w:spacing w:before="240"/>
        <w:rPr>
          <w:lang w:eastAsia="en-US"/>
        </w:rPr>
      </w:pPr>
      <w:r w:rsidRPr="00592371">
        <w:rPr>
          <w:lang w:eastAsia="en-US"/>
        </w:rPr>
        <w:t>The</w:t>
      </w:r>
      <w:r>
        <w:rPr>
          <w:lang w:eastAsia="en-US"/>
        </w:rPr>
        <w:t xml:space="preserve"> DCAR considered that the</w:t>
      </w:r>
      <w:r w:rsidRPr="00592371">
        <w:rPr>
          <w:lang w:eastAsia="en-US"/>
        </w:rPr>
        <w:t xml:space="preserve"> evidence</w:t>
      </w:r>
      <w:r>
        <w:rPr>
          <w:lang w:eastAsia="en-US"/>
        </w:rPr>
        <w:t xml:space="preserve"> </w:t>
      </w:r>
      <w:r w:rsidRPr="00592371">
        <w:rPr>
          <w:lang w:eastAsia="en-US"/>
        </w:rPr>
        <w:t>from the eight RCTs</w:t>
      </w:r>
      <w:r>
        <w:rPr>
          <w:lang w:eastAsia="en-US"/>
        </w:rPr>
        <w:t xml:space="preserve"> </w:t>
      </w:r>
      <w:r w:rsidRPr="00592371">
        <w:rPr>
          <w:lang w:eastAsia="en-US"/>
        </w:rPr>
        <w:t>shows that:</w:t>
      </w:r>
    </w:p>
    <w:p w14:paraId="61C62A1B" w14:textId="77777777" w:rsidR="008F6E4D" w:rsidRDefault="008F6E4D" w:rsidP="0060589D">
      <w:pPr>
        <w:pStyle w:val="ListParagraph"/>
        <w:numPr>
          <w:ilvl w:val="0"/>
          <w:numId w:val="10"/>
        </w:numPr>
        <w:jc w:val="both"/>
        <w:rPr>
          <w:lang w:eastAsia="en-US"/>
        </w:rPr>
      </w:pPr>
      <w:r>
        <w:rPr>
          <w:lang w:eastAsia="en-US"/>
        </w:rPr>
        <w:t>Superior safety of AM relevant to SOC</w:t>
      </w:r>
      <w:r w:rsidRPr="00D32A43">
        <w:rPr>
          <w:lang w:eastAsia="en-US"/>
        </w:rPr>
        <w:t xml:space="preserve"> </w:t>
      </w:r>
      <w:r>
        <w:rPr>
          <w:lang w:eastAsia="en-US"/>
        </w:rPr>
        <w:t>therapy was demonstrated across the included trials for this population. Superiority was shown by less pain intensity and fewer wound infections among the AM group participants than those in the SOC group.</w:t>
      </w:r>
    </w:p>
    <w:p w14:paraId="0A4A27A7" w14:textId="77777777" w:rsidR="008F6E4D" w:rsidRDefault="008F6E4D" w:rsidP="0060589D">
      <w:pPr>
        <w:pStyle w:val="ListParagraph"/>
        <w:numPr>
          <w:ilvl w:val="0"/>
          <w:numId w:val="10"/>
        </w:numPr>
        <w:jc w:val="both"/>
        <w:rPr>
          <w:lang w:eastAsia="en-US"/>
        </w:rPr>
      </w:pPr>
      <w:r>
        <w:rPr>
          <w:lang w:eastAsia="en-US"/>
        </w:rPr>
        <w:t xml:space="preserve">Minor AEs, including loss of electrolytes, blood and serum albumin were reported in two RCTs. The rate of these AEs was higher in the SOC </w:t>
      </w:r>
      <w:proofErr w:type="gramStart"/>
      <w:r>
        <w:rPr>
          <w:lang w:eastAsia="en-US"/>
        </w:rPr>
        <w:t>group .</w:t>
      </w:r>
      <w:proofErr w:type="gramEnd"/>
    </w:p>
    <w:p w14:paraId="59DFDCFA" w14:textId="77777777" w:rsidR="00DB5833" w:rsidRPr="008F6E4D" w:rsidRDefault="008F6E4D" w:rsidP="0060589D">
      <w:pPr>
        <w:pStyle w:val="ListParagraph"/>
        <w:numPr>
          <w:ilvl w:val="0"/>
          <w:numId w:val="10"/>
        </w:numPr>
        <w:jc w:val="both"/>
        <w:rPr>
          <w:lang w:eastAsia="en-US"/>
        </w:rPr>
      </w:pPr>
      <w:r w:rsidRPr="00D32A43">
        <w:rPr>
          <w:lang w:eastAsia="en-US"/>
        </w:rPr>
        <w:t xml:space="preserve">There were no mortalities associated with the use of </w:t>
      </w:r>
      <w:r>
        <w:rPr>
          <w:lang w:eastAsia="en-US"/>
        </w:rPr>
        <w:t>AM</w:t>
      </w:r>
      <w:r w:rsidRPr="00D32A43">
        <w:rPr>
          <w:lang w:eastAsia="en-US"/>
        </w:rPr>
        <w:t xml:space="preserve"> across the eight studies included for this population. However, one study has reported mortalit</w:t>
      </w:r>
      <w:r>
        <w:rPr>
          <w:lang w:eastAsia="en-US"/>
        </w:rPr>
        <w:t>y among participants in the</w:t>
      </w:r>
      <w:r w:rsidRPr="00D32A43">
        <w:rPr>
          <w:lang w:eastAsia="en-US"/>
        </w:rPr>
        <w:t xml:space="preserve"> S</w:t>
      </w:r>
      <w:r>
        <w:rPr>
          <w:lang w:eastAsia="en-US"/>
        </w:rPr>
        <w:t>O</w:t>
      </w:r>
      <w:r w:rsidRPr="00D32A43">
        <w:rPr>
          <w:lang w:eastAsia="en-US"/>
        </w:rPr>
        <w:t>C therapy group, which was not due to the treatment used in this study.</w:t>
      </w:r>
    </w:p>
    <w:p w14:paraId="7C2D3C35" w14:textId="77777777" w:rsidR="00BC1364" w:rsidRPr="00F715D1" w:rsidRDefault="00BC1364" w:rsidP="00F715D1">
      <w:pPr>
        <w:pStyle w:val="Heading1"/>
      </w:pPr>
      <w:r w:rsidRPr="00F715D1">
        <w:t>Comparative effectiveness</w:t>
      </w:r>
    </w:p>
    <w:p w14:paraId="6E6BB1D7" w14:textId="77777777" w:rsidR="0060589D" w:rsidRPr="00671C57" w:rsidRDefault="0060589D" w:rsidP="0060589D">
      <w:pPr>
        <w:pStyle w:val="Heading2"/>
      </w:pPr>
      <w:r w:rsidRPr="00D32A43">
        <w:t>Population 1</w:t>
      </w:r>
      <w:r w:rsidR="00567A4B">
        <w:t xml:space="preserve"> – </w:t>
      </w:r>
      <w:r w:rsidRPr="00D32A43">
        <w:t xml:space="preserve">Ophthalmic conditions </w:t>
      </w:r>
    </w:p>
    <w:p w14:paraId="34927739" w14:textId="77777777" w:rsidR="0060589D" w:rsidRPr="00D32A43" w:rsidRDefault="0060589D" w:rsidP="0060589D">
      <w:r w:rsidRPr="00D32A43">
        <w:t>A risk of bias assessment of the RCTs was performed f</w:t>
      </w:r>
      <w:r>
        <w:t xml:space="preserve">or three effectiveness outcomes; </w:t>
      </w:r>
      <w:r w:rsidRPr="00D32A43">
        <w:t xml:space="preserve">visual acuity, wound healing, and disease recurrence. The risk of bias assessment determined a high risk of bias in 11 of the 12 trials </w:t>
      </w:r>
      <w:r>
        <w:t>that</w:t>
      </w:r>
      <w:r w:rsidRPr="00D32A43">
        <w:t xml:space="preserve"> reported visual acuity outcomes. This</w:t>
      </w:r>
      <w:r>
        <w:t xml:space="preserve"> bias risk </w:t>
      </w:r>
      <w:r w:rsidRPr="00D32A43">
        <w:t xml:space="preserve">was primarily due to poorly described methods on blinding and assessment of the outcome. </w:t>
      </w:r>
    </w:p>
    <w:p w14:paraId="71F491C2" w14:textId="77777777" w:rsidR="0060589D" w:rsidRDefault="0060589D" w:rsidP="0060589D">
      <w:r>
        <w:lastRenderedPageBreak/>
        <w:t>Among the t</w:t>
      </w:r>
      <w:r w:rsidRPr="00D32A43">
        <w:t xml:space="preserve">en studies </w:t>
      </w:r>
      <w:r>
        <w:t xml:space="preserve">that </w:t>
      </w:r>
      <w:r w:rsidRPr="00D32A43">
        <w:t>reported wound healing outcomes</w:t>
      </w:r>
      <w:r>
        <w:t>, s</w:t>
      </w:r>
      <w:r w:rsidRPr="00D32A43">
        <w:t xml:space="preserve">ix of </w:t>
      </w:r>
      <w:r>
        <w:t>them</w:t>
      </w:r>
      <w:r w:rsidRPr="00D32A43">
        <w:t xml:space="preserve"> were found to have a high risk of bias</w:t>
      </w:r>
      <w:r>
        <w:t xml:space="preserve"> and three others were deemed to have some concern. Only one RCT was considered low risk of bias</w:t>
      </w:r>
      <w:r w:rsidRPr="00D32A43">
        <w:t>. The cause for risk of bias varied between studies</w:t>
      </w:r>
      <w:r>
        <w:t>.</w:t>
      </w:r>
      <w:r w:rsidRPr="00D32A43">
        <w:t xml:space="preserve"> </w:t>
      </w:r>
      <w:r>
        <w:t xml:space="preserve">The </w:t>
      </w:r>
      <w:r w:rsidRPr="00D32A43">
        <w:t xml:space="preserve">most </w:t>
      </w:r>
      <w:r>
        <w:t>common concerns</w:t>
      </w:r>
      <w:r w:rsidRPr="00D32A43">
        <w:t xml:space="preserve"> of bias </w:t>
      </w:r>
      <w:r>
        <w:t xml:space="preserve">originated from </w:t>
      </w:r>
      <w:r w:rsidRPr="00D32A43">
        <w:t>the methods of measuring the outcome or selection of the reported result</w:t>
      </w:r>
      <w:r>
        <w:t>s</w:t>
      </w:r>
      <w:r w:rsidRPr="00D32A43">
        <w:t xml:space="preserve">. </w:t>
      </w:r>
    </w:p>
    <w:p w14:paraId="6B881210" w14:textId="34AD7252" w:rsidR="0060589D" w:rsidRDefault="0060589D" w:rsidP="00AB5515">
      <w:pPr>
        <w:spacing w:before="240"/>
      </w:pPr>
      <w:r>
        <w:t>For RCTs</w:t>
      </w:r>
      <w:r w:rsidRPr="00D32A43">
        <w:t xml:space="preserve"> reporting </w:t>
      </w:r>
      <w:r>
        <w:t xml:space="preserve">the </w:t>
      </w:r>
      <w:r w:rsidRPr="00D32A43">
        <w:t>disease recurrence</w:t>
      </w:r>
      <w:r>
        <w:t xml:space="preserve"> outcome,</w:t>
      </w:r>
      <w:r w:rsidRPr="00D32A43">
        <w:t xml:space="preserve"> </w:t>
      </w:r>
      <w:r>
        <w:t>f</w:t>
      </w:r>
      <w:r w:rsidRPr="00D32A43">
        <w:t xml:space="preserve">ive </w:t>
      </w:r>
      <w:r>
        <w:t>out of</w:t>
      </w:r>
      <w:r w:rsidRPr="00D32A43">
        <w:t xml:space="preserve"> eight had a high risk of bias, and </w:t>
      </w:r>
      <w:r>
        <w:t>two of them were considered to have some concerns whereas only</w:t>
      </w:r>
      <w:r w:rsidRPr="00D32A43">
        <w:t xml:space="preserve"> one study was assessed to have a low risk of bias. </w:t>
      </w:r>
      <w:r>
        <w:t>The inadequate a</w:t>
      </w:r>
      <w:r w:rsidRPr="00D32A43">
        <w:t xml:space="preserve">llocation concealment during randomisation and blinding was </w:t>
      </w:r>
      <w:r>
        <w:t xml:space="preserve">considered the cause of the high risk of bias. There were also significant concerns regarding the impact of deviations from the intended treatment during the trial. </w:t>
      </w:r>
    </w:p>
    <w:p w14:paraId="05ADEC09" w14:textId="6ED8D816" w:rsidR="0060589D" w:rsidRDefault="0060589D" w:rsidP="00AB5515">
      <w:pPr>
        <w:spacing w:before="240"/>
      </w:pPr>
      <w:r w:rsidRPr="00D32A43">
        <w:t>The</w:t>
      </w:r>
      <w:r>
        <w:t xml:space="preserve"> DCAR considered that the</w:t>
      </w:r>
      <w:r w:rsidRPr="00D32A43">
        <w:t xml:space="preserve"> effectiveness of an AM transplant in individuals with ophthalmic conditions was significantly different across the </w:t>
      </w:r>
      <w:r>
        <w:t>subpopulation</w:t>
      </w:r>
      <w:r w:rsidRPr="00D32A43">
        <w:t xml:space="preserve">s. Generally, </w:t>
      </w:r>
      <w:r>
        <w:t xml:space="preserve">the included RCTs showed that </w:t>
      </w:r>
      <w:r w:rsidRPr="00D32A43">
        <w:t xml:space="preserve">AM and SOC </w:t>
      </w:r>
      <w:r>
        <w:t>had</w:t>
      </w:r>
      <w:r w:rsidRPr="00D32A43">
        <w:t xml:space="preserve"> very similar effectiveness across all </w:t>
      </w:r>
      <w:r>
        <w:t>subpopulation</w:t>
      </w:r>
      <w:r w:rsidRPr="00D32A43">
        <w:t xml:space="preserve">s. However, there were still some key differences. </w:t>
      </w:r>
    </w:p>
    <w:p w14:paraId="7C44C2F9" w14:textId="77777777" w:rsidR="0060589D" w:rsidRDefault="0060589D" w:rsidP="0060589D">
      <w:pPr>
        <w:pStyle w:val="ListParagraph"/>
        <w:numPr>
          <w:ilvl w:val="0"/>
          <w:numId w:val="13"/>
        </w:numPr>
        <w:jc w:val="both"/>
      </w:pPr>
      <w:r>
        <w:t xml:space="preserve">The included RCTs on burn and </w:t>
      </w:r>
      <w:proofErr w:type="spellStart"/>
      <w:r>
        <w:t>pterygium</w:t>
      </w:r>
      <w:proofErr w:type="spellEnd"/>
      <w:r>
        <w:t xml:space="preserve"> of eyes did not find statistically significant differences for visual acuity</w:t>
      </w:r>
      <w:r w:rsidRPr="00D32A43">
        <w:t xml:space="preserve"> between the study arms. Visual acuity was significantly improved </w:t>
      </w:r>
      <w:r>
        <w:t>by AM treatment</w:t>
      </w:r>
      <w:r w:rsidRPr="00D32A43">
        <w:t xml:space="preserve"> </w:t>
      </w:r>
      <w:r>
        <w:t>for patients with</w:t>
      </w:r>
      <w:r w:rsidRPr="00D32A43">
        <w:t xml:space="preserve"> </w:t>
      </w:r>
      <w:r>
        <w:t>SJS</w:t>
      </w:r>
      <w:r w:rsidRPr="00D32A43">
        <w:t xml:space="preserve"> </w:t>
      </w:r>
      <w:r>
        <w:t>in two studies.</w:t>
      </w:r>
    </w:p>
    <w:p w14:paraId="74F8C304" w14:textId="77777777" w:rsidR="0060589D" w:rsidRDefault="0060589D" w:rsidP="0060589D">
      <w:pPr>
        <w:pStyle w:val="ListParagraph"/>
        <w:numPr>
          <w:ilvl w:val="0"/>
          <w:numId w:val="13"/>
        </w:numPr>
        <w:jc w:val="both"/>
      </w:pPr>
      <w:r w:rsidRPr="00D32A43">
        <w:t xml:space="preserve">Both AM and SOC </w:t>
      </w:r>
      <w:r>
        <w:t>effectively treated</w:t>
      </w:r>
      <w:r w:rsidRPr="00D32A43">
        <w:t xml:space="preserve"> corneal thinning</w:t>
      </w:r>
      <w:r>
        <w:t>;</w:t>
      </w:r>
      <w:r w:rsidRPr="00D32A43">
        <w:t xml:space="preserve"> however, the SOC was more effective in restoring corneal thickness. SOC was favoured in patients with persistent epithelial defects for reducing healing time.</w:t>
      </w:r>
    </w:p>
    <w:p w14:paraId="065E5456" w14:textId="77777777" w:rsidR="0060589D" w:rsidRDefault="0060589D" w:rsidP="0060589D">
      <w:pPr>
        <w:pStyle w:val="ListParagraph"/>
        <w:numPr>
          <w:ilvl w:val="0"/>
          <w:numId w:val="13"/>
        </w:numPr>
        <w:jc w:val="both"/>
      </w:pPr>
      <w:r w:rsidRPr="00D32A43">
        <w:t>Compared to SOC, AM</w:t>
      </w:r>
      <w:r>
        <w:t xml:space="preserve"> treatment</w:t>
      </w:r>
      <w:r w:rsidRPr="00D32A43">
        <w:t xml:space="preserve"> promoted early epithelialisation in moderate burns (two studies reported significant results).</w:t>
      </w:r>
      <w:r>
        <w:t xml:space="preserve"> </w:t>
      </w:r>
    </w:p>
    <w:p w14:paraId="6BD61FA9" w14:textId="77777777" w:rsidR="0060589D" w:rsidRDefault="0060589D" w:rsidP="0060589D">
      <w:pPr>
        <w:pStyle w:val="ListParagraph"/>
        <w:numPr>
          <w:ilvl w:val="0"/>
          <w:numId w:val="13"/>
        </w:numPr>
        <w:ind w:left="714" w:hanging="357"/>
        <w:jc w:val="both"/>
      </w:pPr>
      <w:r>
        <w:t xml:space="preserve">Across the seven RCTs which investigated the use of AM for </w:t>
      </w:r>
      <w:proofErr w:type="spellStart"/>
      <w:r>
        <w:t>pterygium</w:t>
      </w:r>
      <w:proofErr w:type="spellEnd"/>
      <w:r>
        <w:t xml:space="preserve"> surgeries compared to SOC</w:t>
      </w:r>
      <w:r w:rsidRPr="00D32A43">
        <w:t xml:space="preserve">, </w:t>
      </w:r>
      <w:r>
        <w:t xml:space="preserve">it was found that AM was associated with an </w:t>
      </w:r>
      <w:r w:rsidRPr="00D32A43">
        <w:t xml:space="preserve">increased recurrence of the </w:t>
      </w:r>
      <w:proofErr w:type="spellStart"/>
      <w:r w:rsidRPr="00D32A43">
        <w:t>pterygium</w:t>
      </w:r>
      <w:proofErr w:type="spellEnd"/>
      <w:r w:rsidRPr="00D32A43">
        <w:t xml:space="preserve"> (four </w:t>
      </w:r>
      <w:r>
        <w:t xml:space="preserve">out of seven </w:t>
      </w:r>
      <w:r w:rsidRPr="00D32A43">
        <w:t xml:space="preserve">studies reported recurrence and two were significant). </w:t>
      </w:r>
      <w:r>
        <w:t xml:space="preserve">Further, </w:t>
      </w:r>
      <w:r w:rsidRPr="00D32A43">
        <w:t>AM</w:t>
      </w:r>
      <w:r>
        <w:t xml:space="preserve"> treatment</w:t>
      </w:r>
      <w:r w:rsidRPr="00D32A43">
        <w:t xml:space="preserve"> was found not to </w:t>
      </w:r>
      <w:r>
        <w:t>effectively treat</w:t>
      </w:r>
      <w:r w:rsidRPr="00D32A43">
        <w:t xml:space="preserve"> patients with scleral thinning after </w:t>
      </w:r>
      <w:proofErr w:type="spellStart"/>
      <w:r w:rsidRPr="00D32A43">
        <w:t>pterygium</w:t>
      </w:r>
      <w:proofErr w:type="spellEnd"/>
      <w:r w:rsidRPr="00D32A43">
        <w:t xml:space="preserve"> surgery with beta therapy.</w:t>
      </w:r>
    </w:p>
    <w:p w14:paraId="10898DFC" w14:textId="77777777" w:rsidR="0060589D" w:rsidRDefault="0060589D" w:rsidP="0060589D">
      <w:pPr>
        <w:pStyle w:val="ListParagraph"/>
        <w:numPr>
          <w:ilvl w:val="0"/>
          <w:numId w:val="13"/>
        </w:numPr>
        <w:ind w:left="714" w:hanging="357"/>
        <w:jc w:val="both"/>
      </w:pPr>
      <w:r w:rsidRPr="00D32A43">
        <w:t xml:space="preserve">It was recommended in patients with non-viral infectious keratitis with cases of perforation, a procedure other than AM should be used. </w:t>
      </w:r>
    </w:p>
    <w:p w14:paraId="3CB12668" w14:textId="34FCB9C0" w:rsidR="00AB5515" w:rsidRPr="00AB5515" w:rsidRDefault="0060589D" w:rsidP="00AB5515">
      <w:pPr>
        <w:spacing w:before="240"/>
      </w:pPr>
      <w:r>
        <w:t>The DCAR considered that based on the benefits and harms reported, it was suggested that, relative to SOC, AM safety and effectiveness are uncertain due to contradictory reported outcomes among the evidence base</w:t>
      </w:r>
      <w:r w:rsidRPr="007768E0">
        <w:t>.</w:t>
      </w:r>
      <w:r>
        <w:t xml:space="preserve"> All outcomes were found to have a high risk of bias and the quality of evidence was very low (</w:t>
      </w:r>
      <w:r>
        <w:fldChar w:fldCharType="begin"/>
      </w:r>
      <w:r>
        <w:instrText xml:space="preserve"> REF _Ref59182771 \h </w:instrText>
      </w:r>
      <w:r>
        <w:fldChar w:fldCharType="separate"/>
      </w:r>
      <w:r>
        <w:t xml:space="preserve">Table </w:t>
      </w:r>
      <w:r>
        <w:rPr>
          <w:noProof/>
        </w:rPr>
        <w:t>3</w:t>
      </w:r>
      <w:r>
        <w:fldChar w:fldCharType="end"/>
      </w:r>
      <w:r>
        <w:t>).</w:t>
      </w:r>
      <w:bookmarkStart w:id="30" w:name="_Ref59182771"/>
      <w:bookmarkStart w:id="31" w:name="_Toc59311988"/>
      <w:r w:rsidR="00AB5515">
        <w:br w:type="page"/>
      </w:r>
    </w:p>
    <w:p w14:paraId="799F112C" w14:textId="42FB45CA" w:rsidR="0060589D" w:rsidRDefault="0060589D" w:rsidP="0060589D">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30"/>
      <w:r>
        <w:tab/>
      </w:r>
      <w:r w:rsidRPr="007F02A1">
        <w:t xml:space="preserve">GRADE assessment of </w:t>
      </w:r>
      <w:r>
        <w:t>AM</w:t>
      </w:r>
      <w:r w:rsidRPr="007F02A1">
        <w:t xml:space="preserve"> compared to SOC for ophthalmic conditions</w:t>
      </w:r>
      <w:bookmarkEnd w:id="31"/>
    </w:p>
    <w:tbl>
      <w:tblPr>
        <w:tblStyle w:val="OPTUMTableNormal"/>
        <w:tblW w:w="5000" w:type="pct"/>
        <w:tblLook w:val="04A0" w:firstRow="1" w:lastRow="0" w:firstColumn="1" w:lastColumn="0" w:noHBand="0" w:noVBand="1"/>
        <w:tblCaption w:val="Table 3 GRADE assessment of AM compared to SOC for ophthalmic conditions"/>
      </w:tblPr>
      <w:tblGrid>
        <w:gridCol w:w="2260"/>
        <w:gridCol w:w="1146"/>
        <w:gridCol w:w="1274"/>
        <w:gridCol w:w="989"/>
        <w:gridCol w:w="1558"/>
        <w:gridCol w:w="1789"/>
      </w:tblGrid>
      <w:tr w:rsidR="0060589D" w:rsidRPr="007F02A1" w14:paraId="40445750" w14:textId="77777777" w:rsidTr="00567A4B">
        <w:trPr>
          <w:cnfStyle w:val="100000000000" w:firstRow="1" w:lastRow="0" w:firstColumn="0" w:lastColumn="0" w:oddVBand="0" w:evenVBand="0" w:oddHBand="0" w:evenHBand="0" w:firstRowFirstColumn="0" w:firstRowLastColumn="0" w:lastRowFirstColumn="0" w:lastRowLastColumn="0"/>
          <w:trHeight w:val="918"/>
          <w:tblHeader/>
        </w:trPr>
        <w:tc>
          <w:tcPr>
            <w:tcW w:w="1255" w:type="pct"/>
            <w:hideMark/>
          </w:tcPr>
          <w:p w14:paraId="6662AE68" w14:textId="77777777" w:rsidR="0060589D" w:rsidRPr="001E7434" w:rsidRDefault="0060589D" w:rsidP="001F4142">
            <w:pPr>
              <w:pStyle w:val="Tabletext"/>
              <w:rPr>
                <w:b/>
                <w:bCs/>
              </w:rPr>
            </w:pPr>
            <w:r w:rsidRPr="001E7434">
              <w:rPr>
                <w:b/>
                <w:bCs/>
              </w:rPr>
              <w:t>Outcomes</w:t>
            </w:r>
          </w:p>
        </w:tc>
        <w:tc>
          <w:tcPr>
            <w:tcW w:w="628" w:type="pct"/>
            <w:hideMark/>
          </w:tcPr>
          <w:p w14:paraId="72C9BB7F" w14:textId="77777777" w:rsidR="0060589D" w:rsidRPr="001E7434" w:rsidRDefault="0060589D" w:rsidP="001F4142">
            <w:pPr>
              <w:pStyle w:val="Tabletext"/>
              <w:rPr>
                <w:b/>
                <w:bCs/>
              </w:rPr>
            </w:pPr>
            <w:r w:rsidRPr="001E7434">
              <w:rPr>
                <w:b/>
                <w:bCs/>
              </w:rPr>
              <w:t xml:space="preserve">№ of participants </w:t>
            </w:r>
          </w:p>
          <w:p w14:paraId="402AF0AC" w14:textId="77777777" w:rsidR="0060589D" w:rsidRPr="001E7434" w:rsidRDefault="0060589D" w:rsidP="001F4142">
            <w:pPr>
              <w:pStyle w:val="Tabletext"/>
              <w:rPr>
                <w:b/>
                <w:bCs/>
              </w:rPr>
            </w:pPr>
            <w:r w:rsidRPr="001E7434">
              <w:rPr>
                <w:b/>
                <w:bCs/>
              </w:rPr>
              <w:t>(studies)</w:t>
            </w:r>
          </w:p>
        </w:tc>
        <w:tc>
          <w:tcPr>
            <w:tcW w:w="708" w:type="pct"/>
            <w:hideMark/>
          </w:tcPr>
          <w:p w14:paraId="4A5FC1F0" w14:textId="77777777" w:rsidR="0060589D" w:rsidRPr="001E7434" w:rsidRDefault="0060589D" w:rsidP="001F4142">
            <w:pPr>
              <w:pStyle w:val="Tabletext"/>
              <w:rPr>
                <w:b/>
                <w:bCs/>
              </w:rPr>
            </w:pPr>
            <w:r w:rsidRPr="001E7434">
              <w:rPr>
                <w:b/>
                <w:bCs/>
              </w:rPr>
              <w:t>Certainty of the evidence</w:t>
            </w:r>
          </w:p>
          <w:p w14:paraId="569FEAA7" w14:textId="77777777" w:rsidR="0060589D" w:rsidRPr="001E7434" w:rsidRDefault="0060589D" w:rsidP="001F4142">
            <w:pPr>
              <w:pStyle w:val="Tabletext"/>
              <w:rPr>
                <w:b/>
                <w:bCs/>
              </w:rPr>
            </w:pPr>
            <w:r w:rsidRPr="001E7434">
              <w:rPr>
                <w:b/>
                <w:bCs/>
              </w:rPr>
              <w:t>(GRADE)</w:t>
            </w:r>
          </w:p>
        </w:tc>
        <w:tc>
          <w:tcPr>
            <w:tcW w:w="550" w:type="pct"/>
            <w:hideMark/>
          </w:tcPr>
          <w:p w14:paraId="4FF9FA09" w14:textId="77777777" w:rsidR="0060589D" w:rsidRPr="001E7434" w:rsidRDefault="0060589D" w:rsidP="001F4142">
            <w:pPr>
              <w:pStyle w:val="Tabletext"/>
              <w:rPr>
                <w:b/>
                <w:bCs/>
              </w:rPr>
            </w:pPr>
            <w:r w:rsidRPr="001E7434">
              <w:rPr>
                <w:b/>
                <w:bCs/>
              </w:rPr>
              <w:t>Relative effect</w:t>
            </w:r>
          </w:p>
          <w:p w14:paraId="43F9FE4A" w14:textId="77777777" w:rsidR="0060589D" w:rsidRPr="001E7434" w:rsidRDefault="0060589D" w:rsidP="001F4142">
            <w:pPr>
              <w:pStyle w:val="Tabletext"/>
              <w:rPr>
                <w:b/>
                <w:bCs/>
              </w:rPr>
            </w:pPr>
            <w:r w:rsidRPr="001E7434">
              <w:rPr>
                <w:b/>
                <w:bCs/>
              </w:rPr>
              <w:t>(95% CI)</w:t>
            </w:r>
          </w:p>
        </w:tc>
        <w:tc>
          <w:tcPr>
            <w:tcW w:w="865" w:type="pct"/>
            <w:hideMark/>
          </w:tcPr>
          <w:p w14:paraId="689D409C" w14:textId="77777777" w:rsidR="0060589D" w:rsidRPr="001E7434" w:rsidRDefault="0060589D" w:rsidP="001F4142">
            <w:pPr>
              <w:pStyle w:val="Tabletext"/>
              <w:rPr>
                <w:b/>
                <w:bCs/>
              </w:rPr>
            </w:pPr>
            <w:r w:rsidRPr="001E7434">
              <w:rPr>
                <w:b/>
                <w:bCs/>
              </w:rPr>
              <w:t>Anticipated absolute effects</w:t>
            </w:r>
          </w:p>
          <w:p w14:paraId="73C497CE" w14:textId="77777777" w:rsidR="0060589D" w:rsidRPr="001E7434" w:rsidRDefault="0060589D" w:rsidP="001F4142">
            <w:pPr>
              <w:pStyle w:val="Tabletext"/>
              <w:rPr>
                <w:b/>
                <w:bCs/>
              </w:rPr>
            </w:pPr>
            <w:r w:rsidRPr="001E7434">
              <w:rPr>
                <w:b/>
                <w:bCs/>
              </w:rPr>
              <w:t>Risk with SOC</w:t>
            </w:r>
          </w:p>
        </w:tc>
        <w:tc>
          <w:tcPr>
            <w:tcW w:w="993" w:type="pct"/>
          </w:tcPr>
          <w:p w14:paraId="5800B2B2" w14:textId="77777777" w:rsidR="0060589D" w:rsidRPr="001E7434" w:rsidRDefault="0060589D" w:rsidP="001F4142">
            <w:pPr>
              <w:pStyle w:val="Tabletext"/>
              <w:rPr>
                <w:b/>
                <w:bCs/>
              </w:rPr>
            </w:pPr>
            <w:r w:rsidRPr="001E7434">
              <w:rPr>
                <w:b/>
                <w:bCs/>
              </w:rPr>
              <w:t>Anticipated absolute effects</w:t>
            </w:r>
          </w:p>
          <w:p w14:paraId="2DD4300E" w14:textId="77777777" w:rsidR="0060589D" w:rsidRPr="001E7434" w:rsidRDefault="0060589D" w:rsidP="001F4142">
            <w:pPr>
              <w:pStyle w:val="Tabletext"/>
              <w:rPr>
                <w:b/>
                <w:bCs/>
              </w:rPr>
            </w:pPr>
            <w:r w:rsidRPr="001E7434">
              <w:rPr>
                <w:b/>
                <w:bCs/>
              </w:rPr>
              <w:t>Risk difference with AM</w:t>
            </w:r>
          </w:p>
        </w:tc>
      </w:tr>
      <w:tr w:rsidR="0060589D" w:rsidRPr="005E097B" w14:paraId="36620AF8" w14:textId="77777777" w:rsidTr="001F4142">
        <w:tc>
          <w:tcPr>
            <w:tcW w:w="1255" w:type="pct"/>
          </w:tcPr>
          <w:p w14:paraId="18D663D1" w14:textId="77777777" w:rsidR="0060589D" w:rsidRPr="005E097B" w:rsidRDefault="0060589D" w:rsidP="001F4142">
            <w:pPr>
              <w:pStyle w:val="Tabletext"/>
              <w:rPr>
                <w:rStyle w:val="label"/>
                <w:b/>
                <w:bCs/>
                <w:color w:val="000000" w:themeColor="text1"/>
              </w:rPr>
            </w:pPr>
            <w:r w:rsidRPr="005E097B">
              <w:rPr>
                <w:rStyle w:val="label"/>
                <w:b/>
                <w:bCs/>
                <w:color w:val="000000" w:themeColor="text1"/>
              </w:rPr>
              <w:t>Effectiveness outcomes</w:t>
            </w:r>
          </w:p>
        </w:tc>
        <w:tc>
          <w:tcPr>
            <w:tcW w:w="628" w:type="pct"/>
          </w:tcPr>
          <w:p w14:paraId="73C014E6" w14:textId="77777777" w:rsidR="0060589D" w:rsidRPr="005E097B" w:rsidRDefault="0060589D" w:rsidP="001F4142">
            <w:pPr>
              <w:pStyle w:val="Tabletext"/>
              <w:rPr>
                <w:b/>
                <w:bCs/>
              </w:rPr>
            </w:pPr>
          </w:p>
        </w:tc>
        <w:tc>
          <w:tcPr>
            <w:tcW w:w="708" w:type="pct"/>
          </w:tcPr>
          <w:p w14:paraId="2AEEC2CD" w14:textId="77777777" w:rsidR="0060589D" w:rsidRPr="005E097B" w:rsidRDefault="0060589D" w:rsidP="001F4142">
            <w:pPr>
              <w:pStyle w:val="Tabletext"/>
              <w:rPr>
                <w:rFonts w:ascii="Cambria Math" w:hAnsi="Cambria Math"/>
                <w:b/>
                <w:bCs/>
                <w:color w:val="00B050"/>
              </w:rPr>
            </w:pPr>
          </w:p>
        </w:tc>
        <w:tc>
          <w:tcPr>
            <w:tcW w:w="550" w:type="pct"/>
          </w:tcPr>
          <w:p w14:paraId="24B40712" w14:textId="77777777" w:rsidR="0060589D" w:rsidRPr="005E097B" w:rsidRDefault="0060589D" w:rsidP="001F4142">
            <w:pPr>
              <w:pStyle w:val="Tabletext"/>
              <w:rPr>
                <w:rStyle w:val="cell"/>
                <w:b/>
                <w:bCs/>
                <w:color w:val="000000" w:themeColor="text1"/>
              </w:rPr>
            </w:pPr>
          </w:p>
        </w:tc>
        <w:tc>
          <w:tcPr>
            <w:tcW w:w="865" w:type="pct"/>
          </w:tcPr>
          <w:p w14:paraId="297FF3CA" w14:textId="77777777" w:rsidR="0060589D" w:rsidRPr="005E097B" w:rsidRDefault="0060589D" w:rsidP="001F4142">
            <w:pPr>
              <w:pStyle w:val="Tabletext"/>
              <w:rPr>
                <w:rStyle w:val="cell"/>
                <w:b/>
                <w:bCs/>
                <w:color w:val="000000" w:themeColor="text1"/>
              </w:rPr>
            </w:pPr>
          </w:p>
        </w:tc>
        <w:tc>
          <w:tcPr>
            <w:tcW w:w="993" w:type="pct"/>
          </w:tcPr>
          <w:p w14:paraId="2CB85357" w14:textId="77777777" w:rsidR="0060589D" w:rsidRPr="005E097B" w:rsidRDefault="0060589D" w:rsidP="001F4142">
            <w:pPr>
              <w:pStyle w:val="Tabletext"/>
              <w:rPr>
                <w:rStyle w:val="cell"/>
                <w:b/>
                <w:bCs/>
                <w:color w:val="000000" w:themeColor="text1"/>
              </w:rPr>
            </w:pPr>
          </w:p>
        </w:tc>
      </w:tr>
      <w:tr w:rsidR="0060589D" w:rsidRPr="007F02A1" w14:paraId="5FFFF893" w14:textId="77777777" w:rsidTr="001F4142">
        <w:tc>
          <w:tcPr>
            <w:tcW w:w="1255" w:type="pct"/>
            <w:hideMark/>
          </w:tcPr>
          <w:p w14:paraId="6A4BA82E" w14:textId="77777777" w:rsidR="0060589D" w:rsidRPr="007F02A1" w:rsidRDefault="0060589D" w:rsidP="001F4142">
            <w:pPr>
              <w:pStyle w:val="Tabletext"/>
            </w:pPr>
            <w:r w:rsidRPr="007F02A1">
              <w:rPr>
                <w:rStyle w:val="label"/>
                <w:color w:val="000000" w:themeColor="text1"/>
              </w:rPr>
              <w:t xml:space="preserve">Visual </w:t>
            </w:r>
            <w:r>
              <w:rPr>
                <w:rStyle w:val="label"/>
                <w:color w:val="000000" w:themeColor="text1"/>
              </w:rPr>
              <w:t>a</w:t>
            </w:r>
            <w:r w:rsidRPr="007F02A1">
              <w:rPr>
                <w:rStyle w:val="label"/>
                <w:color w:val="000000" w:themeColor="text1"/>
              </w:rPr>
              <w:t xml:space="preserve">cuity assessed with Snellen or </w:t>
            </w:r>
            <w:proofErr w:type="spellStart"/>
            <w:r w:rsidRPr="007F02A1">
              <w:rPr>
                <w:rStyle w:val="label"/>
                <w:color w:val="000000" w:themeColor="text1"/>
              </w:rPr>
              <w:t>logMAR</w:t>
            </w:r>
            <w:proofErr w:type="spellEnd"/>
            <w:r w:rsidRPr="007F02A1">
              <w:rPr>
                <w:rStyle w:val="label"/>
                <w:color w:val="000000" w:themeColor="text1"/>
              </w:rPr>
              <w:t xml:space="preserve"> chart</w:t>
            </w:r>
            <w:r w:rsidRPr="007F02A1">
              <w:t xml:space="preserve"> </w:t>
            </w:r>
          </w:p>
        </w:tc>
        <w:tc>
          <w:tcPr>
            <w:tcW w:w="628" w:type="pct"/>
            <w:hideMark/>
          </w:tcPr>
          <w:p w14:paraId="737FCF9D" w14:textId="77777777" w:rsidR="0060589D" w:rsidRDefault="0060589D" w:rsidP="001F4142">
            <w:pPr>
              <w:pStyle w:val="Tabletext"/>
            </w:pPr>
            <w:r w:rsidRPr="007F02A1">
              <w:t>665</w:t>
            </w:r>
          </w:p>
          <w:p w14:paraId="094CB140" w14:textId="77777777" w:rsidR="0060589D" w:rsidRPr="007F02A1" w:rsidRDefault="0060589D" w:rsidP="001F4142">
            <w:pPr>
              <w:pStyle w:val="Tabletext"/>
            </w:pPr>
            <w:r w:rsidRPr="007F02A1">
              <w:t xml:space="preserve">(12 RCTs) </w:t>
            </w:r>
          </w:p>
        </w:tc>
        <w:tc>
          <w:tcPr>
            <w:tcW w:w="708" w:type="pct"/>
            <w:hideMark/>
          </w:tcPr>
          <w:p w14:paraId="5E38976D" w14:textId="77777777" w:rsidR="0060589D" w:rsidRDefault="0060589D" w:rsidP="001F4142">
            <w:pPr>
              <w:pStyle w:val="Tabletext"/>
              <w:rPr>
                <w:rFonts w:ascii="Cambria Math" w:hAnsi="Cambria Math"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3C160CC3" w14:textId="77777777" w:rsidR="0060589D" w:rsidRPr="007F02A1" w:rsidRDefault="0060589D" w:rsidP="001F4142">
            <w:pPr>
              <w:pStyle w:val="Tabletext"/>
            </w:pPr>
            <w:r w:rsidRPr="007F02A1">
              <w:rPr>
                <w:rStyle w:val="quality-text"/>
                <w:color w:val="000000" w:themeColor="text1"/>
              </w:rPr>
              <w:t>VERY LOW</w:t>
            </w:r>
            <w:r w:rsidRPr="007F02A1">
              <w:t xml:space="preserve"> </w:t>
            </w:r>
            <w:proofErr w:type="spellStart"/>
            <w:r w:rsidRPr="005C5C88">
              <w:rPr>
                <w:vertAlign w:val="superscript"/>
              </w:rPr>
              <w:t>a</w:t>
            </w:r>
            <w:r w:rsidRPr="005C5C88">
              <w:rPr>
                <w:rStyle w:val="comma"/>
                <w:color w:val="000000" w:themeColor="text1"/>
                <w:vertAlign w:val="superscript"/>
              </w:rPr>
              <w:t>,</w:t>
            </w:r>
            <w:r w:rsidRPr="005C5C88">
              <w:rPr>
                <w:vertAlign w:val="superscript"/>
              </w:rPr>
              <w:t>b</w:t>
            </w:r>
            <w:r w:rsidRPr="005C5C88">
              <w:rPr>
                <w:rStyle w:val="comma"/>
                <w:color w:val="000000" w:themeColor="text1"/>
                <w:vertAlign w:val="superscript"/>
              </w:rPr>
              <w:t>,</w:t>
            </w:r>
            <w:r w:rsidRPr="005C5C88">
              <w:rPr>
                <w:vertAlign w:val="superscript"/>
              </w:rPr>
              <w:t>c</w:t>
            </w:r>
            <w:r w:rsidRPr="005C5C88">
              <w:rPr>
                <w:rStyle w:val="comma"/>
                <w:color w:val="000000" w:themeColor="text1"/>
                <w:vertAlign w:val="superscript"/>
              </w:rPr>
              <w:t>,</w:t>
            </w:r>
            <w:r w:rsidRPr="005C5C88">
              <w:rPr>
                <w:vertAlign w:val="superscript"/>
              </w:rPr>
              <w:t>d</w:t>
            </w:r>
            <w:r w:rsidRPr="005C5C88">
              <w:rPr>
                <w:rStyle w:val="comma"/>
                <w:color w:val="000000" w:themeColor="text1"/>
                <w:vertAlign w:val="superscript"/>
              </w:rPr>
              <w:t>,</w:t>
            </w:r>
            <w:r w:rsidRPr="005C5C88">
              <w:rPr>
                <w:vertAlign w:val="superscript"/>
              </w:rPr>
              <w:t>e</w:t>
            </w:r>
            <w:proofErr w:type="spellEnd"/>
          </w:p>
        </w:tc>
        <w:tc>
          <w:tcPr>
            <w:tcW w:w="550" w:type="pct"/>
            <w:hideMark/>
          </w:tcPr>
          <w:p w14:paraId="34F4585A" w14:textId="77777777" w:rsidR="0060589D" w:rsidRPr="007F02A1" w:rsidRDefault="0060589D" w:rsidP="001F4142">
            <w:pPr>
              <w:pStyle w:val="Tabletext"/>
            </w:pPr>
            <w:r w:rsidRPr="007F02A1">
              <w:rPr>
                <w:rStyle w:val="cell"/>
                <w:color w:val="000000" w:themeColor="text1"/>
              </w:rPr>
              <w:t>-</w:t>
            </w:r>
            <w:r w:rsidRPr="007F02A1">
              <w:t xml:space="preserve"> </w:t>
            </w:r>
          </w:p>
        </w:tc>
        <w:tc>
          <w:tcPr>
            <w:tcW w:w="865" w:type="pct"/>
            <w:hideMark/>
          </w:tcPr>
          <w:p w14:paraId="1CEE416D" w14:textId="77777777" w:rsidR="0060589D" w:rsidRPr="007F02A1" w:rsidRDefault="0060589D" w:rsidP="001F4142">
            <w:pPr>
              <w:pStyle w:val="Tabletext"/>
            </w:pPr>
            <w:r w:rsidRPr="007F02A1">
              <w:rPr>
                <w:rStyle w:val="cell"/>
                <w:color w:val="000000" w:themeColor="text1"/>
              </w:rPr>
              <w:t>not pooled</w:t>
            </w:r>
            <w:r w:rsidRPr="007F02A1">
              <w:t xml:space="preserve"> </w:t>
            </w:r>
          </w:p>
        </w:tc>
        <w:tc>
          <w:tcPr>
            <w:tcW w:w="993" w:type="pct"/>
            <w:hideMark/>
          </w:tcPr>
          <w:p w14:paraId="7B50A612" w14:textId="77777777" w:rsidR="0060589D" w:rsidRPr="007F02A1" w:rsidRDefault="0060589D" w:rsidP="001F4142">
            <w:pPr>
              <w:pStyle w:val="Tabletext"/>
            </w:pPr>
            <w:r w:rsidRPr="007F02A1">
              <w:rPr>
                <w:rStyle w:val="cell"/>
                <w:color w:val="000000" w:themeColor="text1"/>
              </w:rPr>
              <w:t>not pooled</w:t>
            </w:r>
            <w:r w:rsidRPr="007F02A1">
              <w:t xml:space="preserve"> </w:t>
            </w:r>
          </w:p>
        </w:tc>
      </w:tr>
      <w:tr w:rsidR="0060589D" w:rsidRPr="007F02A1" w14:paraId="58D30DBC" w14:textId="77777777" w:rsidTr="001F4142">
        <w:tc>
          <w:tcPr>
            <w:tcW w:w="1255" w:type="pct"/>
            <w:hideMark/>
          </w:tcPr>
          <w:p w14:paraId="79EFF8F0" w14:textId="77777777" w:rsidR="0060589D" w:rsidRPr="007F02A1" w:rsidRDefault="0060589D" w:rsidP="001F4142">
            <w:pPr>
              <w:pStyle w:val="Tabletext"/>
            </w:pPr>
            <w:r w:rsidRPr="007F02A1">
              <w:rPr>
                <w:rStyle w:val="label"/>
                <w:color w:val="000000" w:themeColor="text1"/>
              </w:rPr>
              <w:t>Wound healing</w:t>
            </w:r>
            <w:r>
              <w:rPr>
                <w:rStyle w:val="label"/>
                <w:color w:val="000000" w:themeColor="text1"/>
              </w:rPr>
              <w:t xml:space="preserve"> </w:t>
            </w:r>
            <w:r w:rsidRPr="007F02A1">
              <w:rPr>
                <w:rStyle w:val="label"/>
                <w:color w:val="000000" w:themeColor="text1"/>
              </w:rPr>
              <w:t xml:space="preserve">assessed by </w:t>
            </w:r>
            <w:r>
              <w:rPr>
                <w:rStyle w:val="label"/>
                <w:color w:val="000000" w:themeColor="text1"/>
              </w:rPr>
              <w:t xml:space="preserve">re-epithelialisation time, change in defect size, wound healing rate, TBUT, </w:t>
            </w:r>
            <w:proofErr w:type="spellStart"/>
            <w:r>
              <w:rPr>
                <w:rStyle w:val="label"/>
                <w:color w:val="000000" w:themeColor="text1"/>
              </w:rPr>
              <w:t>Schirmer</w:t>
            </w:r>
            <w:proofErr w:type="spellEnd"/>
            <w:r>
              <w:rPr>
                <w:rStyle w:val="label"/>
                <w:color w:val="000000" w:themeColor="text1"/>
              </w:rPr>
              <w:t xml:space="preserve"> test time</w:t>
            </w:r>
          </w:p>
        </w:tc>
        <w:tc>
          <w:tcPr>
            <w:tcW w:w="628" w:type="pct"/>
            <w:hideMark/>
          </w:tcPr>
          <w:p w14:paraId="062E11B7" w14:textId="77777777" w:rsidR="0060589D" w:rsidRDefault="0060589D" w:rsidP="001F4142">
            <w:pPr>
              <w:pStyle w:val="Tabletext"/>
            </w:pPr>
            <w:r w:rsidRPr="007F02A1">
              <w:t>603</w:t>
            </w:r>
          </w:p>
          <w:p w14:paraId="306A5D24" w14:textId="77777777" w:rsidR="0060589D" w:rsidRPr="007F02A1" w:rsidRDefault="0060589D" w:rsidP="001F4142">
            <w:pPr>
              <w:pStyle w:val="Tabletext"/>
            </w:pPr>
            <w:r w:rsidRPr="007F02A1">
              <w:t xml:space="preserve">(11 RCTs) </w:t>
            </w:r>
          </w:p>
        </w:tc>
        <w:tc>
          <w:tcPr>
            <w:tcW w:w="708" w:type="pct"/>
            <w:hideMark/>
          </w:tcPr>
          <w:p w14:paraId="7B8408BD" w14:textId="77777777" w:rsidR="0060589D" w:rsidRDefault="0060589D" w:rsidP="001F4142">
            <w:pPr>
              <w:pStyle w:val="Tabletext"/>
              <w:rPr>
                <w:rFonts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135032A0" w14:textId="77777777" w:rsidR="0060589D" w:rsidRPr="007F02A1" w:rsidRDefault="0060589D" w:rsidP="001F4142">
            <w:pPr>
              <w:pStyle w:val="Tabletext"/>
            </w:pPr>
            <w:r w:rsidRPr="007F02A1">
              <w:rPr>
                <w:rStyle w:val="quality-text"/>
                <w:color w:val="000000" w:themeColor="text1"/>
              </w:rPr>
              <w:t>VERY LOW</w:t>
            </w:r>
            <w:r w:rsidRPr="007F02A1">
              <w:t xml:space="preserve"> </w:t>
            </w:r>
            <w:proofErr w:type="spellStart"/>
            <w:r w:rsidRPr="005C5C88">
              <w:rPr>
                <w:vertAlign w:val="superscript"/>
              </w:rPr>
              <w:t>c</w:t>
            </w:r>
            <w:r w:rsidRPr="005C5C88">
              <w:rPr>
                <w:rStyle w:val="comma"/>
                <w:color w:val="000000" w:themeColor="text1"/>
                <w:vertAlign w:val="superscript"/>
              </w:rPr>
              <w:t>,</w:t>
            </w:r>
            <w:r w:rsidRPr="005C5C88">
              <w:rPr>
                <w:vertAlign w:val="superscript"/>
              </w:rPr>
              <w:t>d</w:t>
            </w:r>
            <w:r w:rsidRPr="005C5C88">
              <w:rPr>
                <w:rStyle w:val="comma"/>
                <w:color w:val="000000" w:themeColor="text1"/>
                <w:vertAlign w:val="superscript"/>
              </w:rPr>
              <w:t>,</w:t>
            </w:r>
            <w:r w:rsidRPr="005C5C88">
              <w:rPr>
                <w:vertAlign w:val="superscript"/>
              </w:rPr>
              <w:t>e</w:t>
            </w:r>
            <w:r w:rsidRPr="005C5C88">
              <w:rPr>
                <w:rStyle w:val="comma"/>
                <w:color w:val="000000" w:themeColor="text1"/>
                <w:vertAlign w:val="superscript"/>
              </w:rPr>
              <w:t>,</w:t>
            </w:r>
            <w:r w:rsidRPr="005C5C88">
              <w:rPr>
                <w:vertAlign w:val="superscript"/>
              </w:rPr>
              <w:t>f</w:t>
            </w:r>
            <w:r w:rsidRPr="005C5C88">
              <w:rPr>
                <w:rStyle w:val="comma"/>
                <w:color w:val="000000" w:themeColor="text1"/>
                <w:vertAlign w:val="superscript"/>
              </w:rPr>
              <w:t>,</w:t>
            </w:r>
            <w:r w:rsidRPr="005C5C88">
              <w:rPr>
                <w:vertAlign w:val="superscript"/>
              </w:rPr>
              <w:t>g</w:t>
            </w:r>
            <w:proofErr w:type="spellEnd"/>
          </w:p>
        </w:tc>
        <w:tc>
          <w:tcPr>
            <w:tcW w:w="550" w:type="pct"/>
            <w:hideMark/>
          </w:tcPr>
          <w:p w14:paraId="06B2D043" w14:textId="77777777" w:rsidR="0060589D" w:rsidRPr="007F02A1" w:rsidRDefault="0060589D" w:rsidP="001F4142">
            <w:pPr>
              <w:pStyle w:val="Tabletext"/>
            </w:pPr>
            <w:r w:rsidRPr="007F02A1">
              <w:rPr>
                <w:rStyle w:val="cell"/>
                <w:color w:val="000000" w:themeColor="text1"/>
              </w:rPr>
              <w:t>-</w:t>
            </w:r>
            <w:r w:rsidRPr="007F02A1">
              <w:t xml:space="preserve"> </w:t>
            </w:r>
          </w:p>
        </w:tc>
        <w:tc>
          <w:tcPr>
            <w:tcW w:w="865" w:type="pct"/>
            <w:hideMark/>
          </w:tcPr>
          <w:p w14:paraId="14EC4D4B" w14:textId="77777777" w:rsidR="0060589D" w:rsidRPr="007F02A1" w:rsidRDefault="0060589D" w:rsidP="001F4142">
            <w:pPr>
              <w:pStyle w:val="Tabletext"/>
            </w:pPr>
            <w:r w:rsidRPr="007F02A1">
              <w:rPr>
                <w:rStyle w:val="cell"/>
                <w:color w:val="000000" w:themeColor="text1"/>
              </w:rPr>
              <w:t>not pooled</w:t>
            </w:r>
            <w:r w:rsidRPr="007F02A1">
              <w:t xml:space="preserve"> </w:t>
            </w:r>
          </w:p>
        </w:tc>
        <w:tc>
          <w:tcPr>
            <w:tcW w:w="993" w:type="pct"/>
            <w:hideMark/>
          </w:tcPr>
          <w:p w14:paraId="485DFD81" w14:textId="77777777" w:rsidR="0060589D" w:rsidRPr="007F02A1" w:rsidRDefault="0060589D" w:rsidP="001F4142">
            <w:pPr>
              <w:pStyle w:val="Tabletext"/>
            </w:pPr>
            <w:r w:rsidRPr="007F02A1">
              <w:rPr>
                <w:rStyle w:val="cell"/>
                <w:color w:val="000000" w:themeColor="text1"/>
              </w:rPr>
              <w:t>not pooled</w:t>
            </w:r>
            <w:r w:rsidRPr="007F02A1">
              <w:t xml:space="preserve"> </w:t>
            </w:r>
          </w:p>
        </w:tc>
      </w:tr>
      <w:tr w:rsidR="0060589D" w:rsidRPr="007F02A1" w14:paraId="21CE8C7D" w14:textId="77777777" w:rsidTr="001F4142">
        <w:trPr>
          <w:trHeight w:val="1234"/>
        </w:trPr>
        <w:tc>
          <w:tcPr>
            <w:tcW w:w="1255" w:type="pct"/>
            <w:hideMark/>
          </w:tcPr>
          <w:p w14:paraId="33C2D744" w14:textId="77777777" w:rsidR="0060589D" w:rsidRPr="007F02A1" w:rsidRDefault="0060589D" w:rsidP="001F4142">
            <w:pPr>
              <w:pStyle w:val="Tabletext"/>
            </w:pPr>
            <w:r w:rsidRPr="007F02A1">
              <w:rPr>
                <w:rStyle w:val="label"/>
                <w:color w:val="000000" w:themeColor="text1"/>
              </w:rPr>
              <w:t>Recurrence</w:t>
            </w:r>
            <w:r>
              <w:rPr>
                <w:rStyle w:val="label"/>
                <w:color w:val="000000" w:themeColor="text1"/>
              </w:rPr>
              <w:t xml:space="preserve"> </w:t>
            </w:r>
            <w:r w:rsidRPr="007F02A1">
              <w:rPr>
                <w:rStyle w:val="label"/>
                <w:color w:val="000000" w:themeColor="text1"/>
              </w:rPr>
              <w:t xml:space="preserve">assessed with </w:t>
            </w:r>
            <w:proofErr w:type="spellStart"/>
            <w:r w:rsidRPr="007F02A1">
              <w:rPr>
                <w:rStyle w:val="label"/>
                <w:color w:val="000000" w:themeColor="text1"/>
              </w:rPr>
              <w:t>Prabhasawat</w:t>
            </w:r>
            <w:proofErr w:type="spellEnd"/>
            <w:r w:rsidRPr="007F02A1">
              <w:rPr>
                <w:rStyle w:val="label"/>
                <w:color w:val="000000" w:themeColor="text1"/>
              </w:rPr>
              <w:t xml:space="preserve"> et al. grading system</w:t>
            </w:r>
            <w:r w:rsidRPr="007F02A1">
              <w:t xml:space="preserve"> (</w:t>
            </w:r>
            <w:proofErr w:type="spellStart"/>
            <w:r w:rsidRPr="007F02A1">
              <w:t>pterygium</w:t>
            </w:r>
            <w:proofErr w:type="spellEnd"/>
            <w:r w:rsidRPr="007F02A1">
              <w:t>)</w:t>
            </w:r>
            <w:r>
              <w:t xml:space="preserve"> </w:t>
            </w:r>
            <w:r w:rsidRPr="007F02A1">
              <w:t>or reappearance of disease (epithelial defects)</w:t>
            </w:r>
          </w:p>
        </w:tc>
        <w:tc>
          <w:tcPr>
            <w:tcW w:w="628" w:type="pct"/>
            <w:hideMark/>
          </w:tcPr>
          <w:p w14:paraId="54C909BE" w14:textId="77777777" w:rsidR="0060589D" w:rsidRDefault="0060589D" w:rsidP="001F4142">
            <w:pPr>
              <w:pStyle w:val="Tabletext"/>
            </w:pPr>
            <w:r w:rsidRPr="007F02A1">
              <w:t>742</w:t>
            </w:r>
          </w:p>
          <w:p w14:paraId="3F87A726" w14:textId="77777777" w:rsidR="0060589D" w:rsidRPr="007F02A1" w:rsidRDefault="0060589D" w:rsidP="001F4142">
            <w:pPr>
              <w:pStyle w:val="Tabletext"/>
            </w:pPr>
            <w:r w:rsidRPr="007F02A1">
              <w:t xml:space="preserve">(8 RCTs) </w:t>
            </w:r>
          </w:p>
        </w:tc>
        <w:tc>
          <w:tcPr>
            <w:tcW w:w="708" w:type="pct"/>
            <w:hideMark/>
          </w:tcPr>
          <w:p w14:paraId="52243093" w14:textId="77777777" w:rsidR="0060589D" w:rsidRDefault="0060589D" w:rsidP="001F4142">
            <w:pPr>
              <w:pStyle w:val="Tabletext"/>
              <w:rPr>
                <w:rFonts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51685417" w14:textId="77777777" w:rsidR="0060589D" w:rsidRPr="007F02A1" w:rsidRDefault="0060589D" w:rsidP="001F4142">
            <w:pPr>
              <w:pStyle w:val="Tabletext"/>
            </w:pPr>
            <w:r w:rsidRPr="007F02A1">
              <w:rPr>
                <w:rStyle w:val="quality-text"/>
                <w:color w:val="000000" w:themeColor="text1"/>
              </w:rPr>
              <w:t>VERY LOW</w:t>
            </w:r>
            <w:r w:rsidRPr="007F02A1">
              <w:t xml:space="preserve"> </w:t>
            </w:r>
            <w:proofErr w:type="spellStart"/>
            <w:r w:rsidRPr="005C5C88">
              <w:rPr>
                <w:vertAlign w:val="superscript"/>
              </w:rPr>
              <w:t>c</w:t>
            </w:r>
            <w:r w:rsidRPr="005C5C88">
              <w:rPr>
                <w:rStyle w:val="comma"/>
                <w:color w:val="000000" w:themeColor="text1"/>
                <w:vertAlign w:val="superscript"/>
              </w:rPr>
              <w:t>,</w:t>
            </w:r>
            <w:r w:rsidRPr="005C5C88">
              <w:rPr>
                <w:vertAlign w:val="superscript"/>
              </w:rPr>
              <w:t>d</w:t>
            </w:r>
            <w:r w:rsidRPr="005C5C88">
              <w:rPr>
                <w:rStyle w:val="comma"/>
                <w:color w:val="000000" w:themeColor="text1"/>
                <w:vertAlign w:val="superscript"/>
              </w:rPr>
              <w:t>,</w:t>
            </w:r>
            <w:r w:rsidRPr="005C5C88">
              <w:rPr>
                <w:vertAlign w:val="superscript"/>
              </w:rPr>
              <w:t>h</w:t>
            </w:r>
            <w:proofErr w:type="spellEnd"/>
          </w:p>
        </w:tc>
        <w:tc>
          <w:tcPr>
            <w:tcW w:w="550" w:type="pct"/>
            <w:hideMark/>
          </w:tcPr>
          <w:p w14:paraId="2A6EC448" w14:textId="77777777" w:rsidR="0060589D" w:rsidRPr="007F02A1" w:rsidRDefault="0060589D" w:rsidP="001F4142">
            <w:pPr>
              <w:pStyle w:val="Tabletext"/>
            </w:pPr>
            <w:r w:rsidRPr="007F02A1">
              <w:rPr>
                <w:rStyle w:val="cell"/>
                <w:color w:val="000000" w:themeColor="text1"/>
              </w:rPr>
              <w:t>-</w:t>
            </w:r>
            <w:r w:rsidRPr="007F02A1">
              <w:t xml:space="preserve"> </w:t>
            </w:r>
          </w:p>
        </w:tc>
        <w:tc>
          <w:tcPr>
            <w:tcW w:w="865" w:type="pct"/>
            <w:hideMark/>
          </w:tcPr>
          <w:p w14:paraId="766CD465" w14:textId="77777777" w:rsidR="0060589D" w:rsidRPr="007F02A1" w:rsidRDefault="0060589D" w:rsidP="001F4142">
            <w:pPr>
              <w:pStyle w:val="Tabletext"/>
              <w:rPr>
                <w:rStyle w:val="cell"/>
                <w:color w:val="000000" w:themeColor="text1"/>
              </w:rPr>
            </w:pPr>
            <w:r w:rsidRPr="007F02A1">
              <w:rPr>
                <w:rStyle w:val="cell"/>
                <w:color w:val="000000" w:themeColor="text1"/>
              </w:rPr>
              <w:t>not pooled</w:t>
            </w:r>
            <w:r w:rsidRPr="007F02A1">
              <w:t xml:space="preserve"> </w:t>
            </w:r>
          </w:p>
        </w:tc>
        <w:tc>
          <w:tcPr>
            <w:tcW w:w="993" w:type="pct"/>
          </w:tcPr>
          <w:p w14:paraId="481D2984" w14:textId="77777777" w:rsidR="0060589D" w:rsidRPr="007F02A1" w:rsidRDefault="0060589D" w:rsidP="001F4142">
            <w:pPr>
              <w:pStyle w:val="Tabletext"/>
            </w:pPr>
            <w:r w:rsidRPr="007F02A1">
              <w:rPr>
                <w:rStyle w:val="cell"/>
                <w:color w:val="000000" w:themeColor="text1"/>
              </w:rPr>
              <w:t>not pooled</w:t>
            </w:r>
            <w:r w:rsidRPr="007F02A1">
              <w:t xml:space="preserve"> </w:t>
            </w:r>
          </w:p>
        </w:tc>
      </w:tr>
      <w:tr w:rsidR="0060589D" w:rsidRPr="005E097B" w14:paraId="7AE7A140" w14:textId="77777777" w:rsidTr="001F4142">
        <w:tc>
          <w:tcPr>
            <w:tcW w:w="1255" w:type="pct"/>
          </w:tcPr>
          <w:p w14:paraId="0BF06198" w14:textId="77777777" w:rsidR="0060589D" w:rsidRPr="005E097B" w:rsidRDefault="0060589D" w:rsidP="001F4142">
            <w:pPr>
              <w:pStyle w:val="Tabletext"/>
              <w:rPr>
                <w:rStyle w:val="label"/>
                <w:b/>
                <w:bCs/>
                <w:color w:val="000000" w:themeColor="text1"/>
              </w:rPr>
            </w:pPr>
            <w:r w:rsidRPr="005E097B">
              <w:rPr>
                <w:rStyle w:val="label"/>
                <w:b/>
                <w:bCs/>
                <w:color w:val="000000" w:themeColor="text1"/>
              </w:rPr>
              <w:t>Safety outcomes</w:t>
            </w:r>
          </w:p>
        </w:tc>
        <w:tc>
          <w:tcPr>
            <w:tcW w:w="628" w:type="pct"/>
          </w:tcPr>
          <w:p w14:paraId="1FDCB0F4" w14:textId="77777777" w:rsidR="0060589D" w:rsidRPr="005E097B" w:rsidRDefault="0060589D" w:rsidP="001F4142">
            <w:pPr>
              <w:pStyle w:val="Tabletext"/>
              <w:rPr>
                <w:b/>
                <w:bCs/>
              </w:rPr>
            </w:pPr>
          </w:p>
        </w:tc>
        <w:tc>
          <w:tcPr>
            <w:tcW w:w="708" w:type="pct"/>
          </w:tcPr>
          <w:p w14:paraId="707D44F9" w14:textId="77777777" w:rsidR="0060589D" w:rsidRPr="005E097B" w:rsidRDefault="0060589D" w:rsidP="001F4142">
            <w:pPr>
              <w:pStyle w:val="Tabletext"/>
              <w:rPr>
                <w:rFonts w:ascii="Cambria Math" w:hAnsi="Cambria Math"/>
                <w:b/>
                <w:bCs/>
                <w:color w:val="00B050"/>
              </w:rPr>
            </w:pPr>
          </w:p>
        </w:tc>
        <w:tc>
          <w:tcPr>
            <w:tcW w:w="550" w:type="pct"/>
          </w:tcPr>
          <w:p w14:paraId="10CBF77A" w14:textId="77777777" w:rsidR="0060589D" w:rsidRPr="005E097B" w:rsidRDefault="0060589D" w:rsidP="001F4142">
            <w:pPr>
              <w:pStyle w:val="Tabletext"/>
              <w:rPr>
                <w:rStyle w:val="cell"/>
                <w:b/>
                <w:bCs/>
                <w:color w:val="000000" w:themeColor="text1"/>
              </w:rPr>
            </w:pPr>
          </w:p>
        </w:tc>
        <w:tc>
          <w:tcPr>
            <w:tcW w:w="865" w:type="pct"/>
          </w:tcPr>
          <w:p w14:paraId="7BE1AFE6" w14:textId="77777777" w:rsidR="0060589D" w:rsidRPr="005E097B" w:rsidRDefault="0060589D" w:rsidP="001F4142">
            <w:pPr>
              <w:pStyle w:val="Tabletext"/>
              <w:rPr>
                <w:rStyle w:val="cell"/>
                <w:b/>
                <w:bCs/>
                <w:color w:val="000000" w:themeColor="text1"/>
              </w:rPr>
            </w:pPr>
          </w:p>
        </w:tc>
        <w:tc>
          <w:tcPr>
            <w:tcW w:w="993" w:type="pct"/>
          </w:tcPr>
          <w:p w14:paraId="1C260DAF" w14:textId="77777777" w:rsidR="0060589D" w:rsidRPr="005E097B" w:rsidRDefault="0060589D" w:rsidP="001F4142">
            <w:pPr>
              <w:pStyle w:val="Tabletext"/>
              <w:rPr>
                <w:rStyle w:val="cell"/>
                <w:b/>
                <w:bCs/>
                <w:color w:val="000000" w:themeColor="text1"/>
              </w:rPr>
            </w:pPr>
          </w:p>
        </w:tc>
      </w:tr>
      <w:tr w:rsidR="0060589D" w:rsidRPr="007F02A1" w14:paraId="6509C8AE" w14:textId="77777777" w:rsidTr="001F4142">
        <w:tc>
          <w:tcPr>
            <w:tcW w:w="1255" w:type="pct"/>
            <w:hideMark/>
          </w:tcPr>
          <w:p w14:paraId="23221AAC" w14:textId="77777777" w:rsidR="0060589D" w:rsidRDefault="0060589D" w:rsidP="001F4142">
            <w:pPr>
              <w:pStyle w:val="Tabletext"/>
              <w:rPr>
                <w:rStyle w:val="label"/>
                <w:color w:val="000000" w:themeColor="text1"/>
              </w:rPr>
            </w:pPr>
            <w:r w:rsidRPr="007F02A1">
              <w:rPr>
                <w:rStyle w:val="label"/>
                <w:color w:val="000000" w:themeColor="text1"/>
              </w:rPr>
              <w:t>Safety</w:t>
            </w:r>
          </w:p>
          <w:p w14:paraId="6E660D3A" w14:textId="77777777" w:rsidR="0060589D" w:rsidRPr="007F02A1" w:rsidRDefault="0060589D" w:rsidP="001F4142">
            <w:pPr>
              <w:pStyle w:val="Tabletext"/>
            </w:pPr>
            <w:r>
              <w:t xml:space="preserve">Adverse events </w:t>
            </w:r>
            <w:r w:rsidRPr="007F02A1">
              <w:t xml:space="preserve">assessed by </w:t>
            </w:r>
            <w:r>
              <w:t>o</w:t>
            </w:r>
            <w:r w:rsidRPr="007F02A1">
              <w:t>phthalmic examination</w:t>
            </w:r>
          </w:p>
        </w:tc>
        <w:tc>
          <w:tcPr>
            <w:tcW w:w="628" w:type="pct"/>
            <w:hideMark/>
          </w:tcPr>
          <w:p w14:paraId="5C16549E" w14:textId="77777777" w:rsidR="0060589D" w:rsidRDefault="0060589D" w:rsidP="001F4142">
            <w:pPr>
              <w:pStyle w:val="Tabletext"/>
            </w:pPr>
            <w:r w:rsidRPr="007F02A1">
              <w:t>1</w:t>
            </w:r>
            <w:r>
              <w:t>,</w:t>
            </w:r>
            <w:r w:rsidRPr="007F02A1">
              <w:t>077</w:t>
            </w:r>
          </w:p>
          <w:p w14:paraId="5FB916A0" w14:textId="77777777" w:rsidR="0060589D" w:rsidRPr="007F02A1" w:rsidRDefault="0060589D" w:rsidP="001F4142">
            <w:pPr>
              <w:pStyle w:val="Tabletext"/>
            </w:pPr>
            <w:r w:rsidRPr="007F02A1">
              <w:t xml:space="preserve">(15 RCTs) </w:t>
            </w:r>
          </w:p>
        </w:tc>
        <w:tc>
          <w:tcPr>
            <w:tcW w:w="708" w:type="pct"/>
            <w:hideMark/>
          </w:tcPr>
          <w:p w14:paraId="5AA5E12C" w14:textId="77777777" w:rsidR="0060589D" w:rsidRDefault="0060589D" w:rsidP="001F4142">
            <w:pPr>
              <w:pStyle w:val="Tabletext"/>
              <w:rPr>
                <w:rFonts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28BC4827" w14:textId="77777777" w:rsidR="0060589D" w:rsidRPr="007F02A1" w:rsidRDefault="0060589D" w:rsidP="001F4142">
            <w:pPr>
              <w:pStyle w:val="Tabletext"/>
            </w:pPr>
            <w:r w:rsidRPr="007F02A1">
              <w:rPr>
                <w:rStyle w:val="quality-text"/>
                <w:color w:val="000000" w:themeColor="text1"/>
              </w:rPr>
              <w:t>VERY LOW</w:t>
            </w:r>
            <w:r w:rsidRPr="007F02A1">
              <w:t xml:space="preserve"> </w:t>
            </w:r>
            <w:proofErr w:type="spellStart"/>
            <w:r w:rsidRPr="005C5C88">
              <w:rPr>
                <w:vertAlign w:val="superscript"/>
              </w:rPr>
              <w:t>d</w:t>
            </w:r>
            <w:r w:rsidRPr="005C5C88">
              <w:rPr>
                <w:rStyle w:val="comma"/>
                <w:color w:val="000000" w:themeColor="text1"/>
                <w:vertAlign w:val="superscript"/>
              </w:rPr>
              <w:t>,</w:t>
            </w:r>
            <w:r w:rsidRPr="005C5C88">
              <w:rPr>
                <w:vertAlign w:val="superscript"/>
              </w:rPr>
              <w:t>i</w:t>
            </w:r>
            <w:r w:rsidRPr="005C5C88">
              <w:rPr>
                <w:rStyle w:val="comma"/>
                <w:color w:val="000000" w:themeColor="text1"/>
                <w:vertAlign w:val="superscript"/>
              </w:rPr>
              <w:t>,</w:t>
            </w:r>
            <w:r w:rsidRPr="005C5C88">
              <w:rPr>
                <w:vertAlign w:val="superscript"/>
              </w:rPr>
              <w:t>j</w:t>
            </w:r>
            <w:r w:rsidRPr="005C5C88">
              <w:rPr>
                <w:rStyle w:val="comma"/>
                <w:color w:val="000000" w:themeColor="text1"/>
                <w:vertAlign w:val="superscript"/>
              </w:rPr>
              <w:t>,</w:t>
            </w:r>
            <w:r w:rsidRPr="005C5C88">
              <w:rPr>
                <w:vertAlign w:val="superscript"/>
              </w:rPr>
              <w:t>k</w:t>
            </w:r>
            <w:proofErr w:type="spellEnd"/>
          </w:p>
        </w:tc>
        <w:tc>
          <w:tcPr>
            <w:tcW w:w="550" w:type="pct"/>
            <w:hideMark/>
          </w:tcPr>
          <w:p w14:paraId="5A28BA9C" w14:textId="77777777" w:rsidR="0060589D" w:rsidRPr="007F02A1" w:rsidRDefault="0060589D" w:rsidP="001F4142">
            <w:pPr>
              <w:pStyle w:val="Tabletext"/>
            </w:pPr>
            <w:r w:rsidRPr="007F02A1">
              <w:rPr>
                <w:rStyle w:val="cell"/>
                <w:color w:val="000000" w:themeColor="text1"/>
              </w:rPr>
              <w:t>-</w:t>
            </w:r>
            <w:r w:rsidRPr="007F02A1">
              <w:t xml:space="preserve"> </w:t>
            </w:r>
          </w:p>
        </w:tc>
        <w:tc>
          <w:tcPr>
            <w:tcW w:w="865" w:type="pct"/>
            <w:hideMark/>
          </w:tcPr>
          <w:p w14:paraId="678BE695" w14:textId="77777777" w:rsidR="0060589D" w:rsidRPr="007F02A1" w:rsidRDefault="0060589D" w:rsidP="001F4142">
            <w:pPr>
              <w:pStyle w:val="Tabletext"/>
            </w:pPr>
            <w:r w:rsidRPr="007F02A1">
              <w:rPr>
                <w:rStyle w:val="cell"/>
                <w:color w:val="000000" w:themeColor="text1"/>
              </w:rPr>
              <w:t>not pooled</w:t>
            </w:r>
            <w:r w:rsidRPr="007F02A1">
              <w:t xml:space="preserve"> </w:t>
            </w:r>
          </w:p>
        </w:tc>
        <w:tc>
          <w:tcPr>
            <w:tcW w:w="993" w:type="pct"/>
            <w:hideMark/>
          </w:tcPr>
          <w:p w14:paraId="7D19E241" w14:textId="77777777" w:rsidR="0060589D" w:rsidRPr="007F02A1" w:rsidRDefault="0060589D" w:rsidP="001F4142">
            <w:pPr>
              <w:pStyle w:val="Tabletext"/>
            </w:pPr>
            <w:r w:rsidRPr="007F02A1">
              <w:rPr>
                <w:rStyle w:val="cell"/>
                <w:color w:val="000000" w:themeColor="text1"/>
              </w:rPr>
              <w:t>not pooled</w:t>
            </w:r>
            <w:r w:rsidRPr="007F02A1">
              <w:t xml:space="preserve"> </w:t>
            </w:r>
          </w:p>
        </w:tc>
      </w:tr>
      <w:tr w:rsidR="0060589D" w:rsidRPr="007F02A1" w14:paraId="323D232A" w14:textId="77777777" w:rsidTr="001F4142">
        <w:tc>
          <w:tcPr>
            <w:tcW w:w="1255" w:type="pct"/>
          </w:tcPr>
          <w:p w14:paraId="436498CC" w14:textId="77777777" w:rsidR="0060589D" w:rsidRDefault="0060589D" w:rsidP="001F4142">
            <w:pPr>
              <w:pStyle w:val="Tabletext"/>
              <w:rPr>
                <w:rStyle w:val="label"/>
                <w:color w:val="000000" w:themeColor="text1"/>
              </w:rPr>
            </w:pPr>
            <w:r>
              <w:rPr>
                <w:rStyle w:val="label"/>
                <w:color w:val="000000" w:themeColor="text1"/>
              </w:rPr>
              <w:t>Safety</w:t>
            </w:r>
          </w:p>
          <w:p w14:paraId="05469EEF" w14:textId="77777777" w:rsidR="0060589D" w:rsidRPr="007F02A1" w:rsidRDefault="0060589D" w:rsidP="001F4142">
            <w:pPr>
              <w:pStyle w:val="Tabletext"/>
              <w:rPr>
                <w:rStyle w:val="label"/>
                <w:color w:val="000000" w:themeColor="text1"/>
              </w:rPr>
            </w:pPr>
            <w:r>
              <w:rPr>
                <w:rStyle w:val="label"/>
                <w:color w:val="000000" w:themeColor="text1"/>
              </w:rPr>
              <w:t>Pain assessed by subjective patient reporting</w:t>
            </w:r>
          </w:p>
        </w:tc>
        <w:tc>
          <w:tcPr>
            <w:tcW w:w="628" w:type="pct"/>
          </w:tcPr>
          <w:p w14:paraId="014BDB9E" w14:textId="77777777" w:rsidR="0060589D" w:rsidRDefault="0060589D" w:rsidP="001F4142">
            <w:pPr>
              <w:pStyle w:val="Tabletext"/>
            </w:pPr>
            <w:r>
              <w:t>159</w:t>
            </w:r>
          </w:p>
          <w:p w14:paraId="5634F6FE" w14:textId="77777777" w:rsidR="0060589D" w:rsidRPr="007F02A1" w:rsidRDefault="0060589D" w:rsidP="001F4142">
            <w:pPr>
              <w:pStyle w:val="Tabletext"/>
            </w:pPr>
            <w:r>
              <w:t>(3 RCTs)</w:t>
            </w:r>
          </w:p>
        </w:tc>
        <w:tc>
          <w:tcPr>
            <w:tcW w:w="708" w:type="pct"/>
          </w:tcPr>
          <w:p w14:paraId="48F449C3" w14:textId="77777777" w:rsidR="0060589D" w:rsidRDefault="0060589D" w:rsidP="001F4142">
            <w:pPr>
              <w:pStyle w:val="Tabletext"/>
              <w:rPr>
                <w:rFonts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5EBE9AD3" w14:textId="77777777" w:rsidR="0060589D" w:rsidRDefault="0060589D" w:rsidP="001F4142">
            <w:pPr>
              <w:pStyle w:val="Tabletext"/>
              <w:rPr>
                <w:rStyle w:val="quality-text"/>
                <w:color w:val="000000" w:themeColor="text1"/>
              </w:rPr>
            </w:pPr>
            <w:r w:rsidRPr="007F02A1">
              <w:rPr>
                <w:rStyle w:val="quality-text"/>
                <w:color w:val="000000" w:themeColor="text1"/>
              </w:rPr>
              <w:t>VERY LOW</w:t>
            </w:r>
          </w:p>
          <w:p w14:paraId="51467A73" w14:textId="77777777" w:rsidR="0060589D" w:rsidRPr="00B71A84" w:rsidRDefault="0060589D" w:rsidP="001F4142">
            <w:pPr>
              <w:pStyle w:val="Tabletext"/>
              <w:rPr>
                <w:rFonts w:ascii="Cambria Math" w:hAnsi="Cambria Math"/>
                <w:color w:val="00B050"/>
              </w:rPr>
            </w:pPr>
            <w:proofErr w:type="spellStart"/>
            <w:r w:rsidRPr="005C5C88">
              <w:rPr>
                <w:vertAlign w:val="superscript"/>
              </w:rPr>
              <w:t>d</w:t>
            </w:r>
            <w:r w:rsidRPr="005C5C88">
              <w:rPr>
                <w:rStyle w:val="comma"/>
                <w:color w:val="000000" w:themeColor="text1"/>
                <w:vertAlign w:val="superscript"/>
              </w:rPr>
              <w:t>,</w:t>
            </w:r>
            <w:r>
              <w:rPr>
                <w:rStyle w:val="comma"/>
                <w:color w:val="000000" w:themeColor="text1"/>
                <w:vertAlign w:val="superscript"/>
              </w:rPr>
              <w:t>l</w:t>
            </w:r>
            <w:r w:rsidRPr="005C5C88">
              <w:rPr>
                <w:rStyle w:val="comma"/>
                <w:color w:val="000000" w:themeColor="text1"/>
                <w:vertAlign w:val="superscript"/>
              </w:rPr>
              <w:t>,</w:t>
            </w:r>
            <w:r>
              <w:rPr>
                <w:rStyle w:val="comma"/>
                <w:color w:val="000000" w:themeColor="text1"/>
                <w:vertAlign w:val="superscript"/>
              </w:rPr>
              <w:t>m</w:t>
            </w:r>
            <w:r w:rsidRPr="005C5C88">
              <w:rPr>
                <w:rStyle w:val="comma"/>
                <w:color w:val="000000" w:themeColor="text1"/>
                <w:vertAlign w:val="superscript"/>
              </w:rPr>
              <w:t>,</w:t>
            </w:r>
            <w:r>
              <w:rPr>
                <w:rStyle w:val="comma"/>
                <w:color w:val="000000" w:themeColor="text1"/>
                <w:vertAlign w:val="superscript"/>
              </w:rPr>
              <w:t>n</w:t>
            </w:r>
            <w:proofErr w:type="spellEnd"/>
          </w:p>
        </w:tc>
        <w:tc>
          <w:tcPr>
            <w:tcW w:w="550" w:type="pct"/>
          </w:tcPr>
          <w:p w14:paraId="17D479E7" w14:textId="77777777" w:rsidR="0060589D" w:rsidRPr="007F02A1" w:rsidRDefault="0060589D" w:rsidP="001F4142">
            <w:pPr>
              <w:pStyle w:val="Tabletext"/>
              <w:rPr>
                <w:rStyle w:val="cell"/>
                <w:color w:val="000000" w:themeColor="text1"/>
              </w:rPr>
            </w:pPr>
            <w:r>
              <w:rPr>
                <w:rStyle w:val="cell"/>
                <w:color w:val="000000" w:themeColor="text1"/>
              </w:rPr>
              <w:t>-</w:t>
            </w:r>
          </w:p>
        </w:tc>
        <w:tc>
          <w:tcPr>
            <w:tcW w:w="865" w:type="pct"/>
          </w:tcPr>
          <w:p w14:paraId="4D554A84" w14:textId="77777777" w:rsidR="0060589D" w:rsidRPr="007F02A1" w:rsidRDefault="0060589D" w:rsidP="001F4142">
            <w:pPr>
              <w:pStyle w:val="Tabletext"/>
              <w:rPr>
                <w:rStyle w:val="cell"/>
                <w:color w:val="000000" w:themeColor="text1"/>
              </w:rPr>
            </w:pPr>
            <w:r w:rsidRPr="007F02A1">
              <w:rPr>
                <w:rStyle w:val="cell"/>
                <w:color w:val="000000" w:themeColor="text1"/>
              </w:rPr>
              <w:t>not pooled</w:t>
            </w:r>
            <w:r w:rsidRPr="007F02A1">
              <w:t xml:space="preserve"> </w:t>
            </w:r>
          </w:p>
        </w:tc>
        <w:tc>
          <w:tcPr>
            <w:tcW w:w="993" w:type="pct"/>
          </w:tcPr>
          <w:p w14:paraId="5C187B40" w14:textId="77777777" w:rsidR="0060589D" w:rsidRPr="007F02A1" w:rsidRDefault="0060589D" w:rsidP="001F4142">
            <w:pPr>
              <w:pStyle w:val="Tabletext"/>
              <w:rPr>
                <w:rStyle w:val="cell"/>
                <w:color w:val="000000" w:themeColor="text1"/>
              </w:rPr>
            </w:pPr>
            <w:r w:rsidRPr="007F02A1">
              <w:rPr>
                <w:rStyle w:val="cell"/>
                <w:color w:val="000000" w:themeColor="text1"/>
              </w:rPr>
              <w:t>not pooled</w:t>
            </w:r>
            <w:r w:rsidRPr="007F02A1">
              <w:t xml:space="preserve"> </w:t>
            </w:r>
          </w:p>
        </w:tc>
      </w:tr>
    </w:tbl>
    <w:p w14:paraId="6E7ABEB9" w14:textId="77777777" w:rsidR="0060589D" w:rsidRDefault="0060589D" w:rsidP="00AB5515">
      <w:pPr>
        <w:pStyle w:val="Tablenotes"/>
      </w:pPr>
      <w:r w:rsidRPr="002700CD">
        <w:t>Source: Table</w:t>
      </w:r>
      <w:r>
        <w:t xml:space="preserve"> 41, p109 of the DCAR</w:t>
      </w:r>
    </w:p>
    <w:p w14:paraId="75F3AF72" w14:textId="77777777" w:rsidR="0060589D" w:rsidRPr="00405F41" w:rsidRDefault="0060589D" w:rsidP="00AB5515">
      <w:pPr>
        <w:pStyle w:val="Tablenotes"/>
      </w:pPr>
      <w:r w:rsidRPr="005E097B">
        <w:t>Explanations</w:t>
      </w:r>
      <w:r w:rsidRPr="00405F41">
        <w:t xml:space="preserve">: </w:t>
      </w:r>
    </w:p>
    <w:p w14:paraId="209EAC84" w14:textId="77777777" w:rsidR="0060589D" w:rsidRPr="006C7A1F" w:rsidRDefault="0060589D" w:rsidP="00AB5515">
      <w:pPr>
        <w:pStyle w:val="Tablenotes"/>
      </w:pPr>
      <w:r w:rsidRPr="006C7A1F">
        <w:t xml:space="preserve">a. High risk of bias overall. Bias in the measurement of visual acuity as an outcome was the most consistent critical concern. The assessment of visual acuity was not well defined for most trials, outcome assessors were infrequently blinded to the intervention received, knowledge which could, and most likely would, impact the subjective comparative assessment of visual acuity. </w:t>
      </w:r>
    </w:p>
    <w:p w14:paraId="024D006D" w14:textId="77777777" w:rsidR="0060589D" w:rsidRPr="006C7A1F" w:rsidRDefault="0060589D" w:rsidP="00AB5515">
      <w:pPr>
        <w:pStyle w:val="Tablenotes"/>
      </w:pPr>
      <w:r w:rsidRPr="006C7A1F">
        <w:t xml:space="preserve">b. Although all studies reported the final value in </w:t>
      </w:r>
      <w:proofErr w:type="spellStart"/>
      <w:r w:rsidRPr="006C7A1F">
        <w:t>logMAR</w:t>
      </w:r>
      <w:proofErr w:type="spellEnd"/>
      <w:r w:rsidRPr="006C7A1F">
        <w:t xml:space="preserve"> units, some studies measured UCVA, some BCVA, and some didn't report which. Although most studies favoured neither intervention, some significantly favo</w:t>
      </w:r>
      <w:r>
        <w:t>u</w:t>
      </w:r>
      <w:r w:rsidRPr="006C7A1F">
        <w:t xml:space="preserve">red amnion membrane </w:t>
      </w:r>
    </w:p>
    <w:p w14:paraId="5F15F91D" w14:textId="77777777" w:rsidR="0060589D" w:rsidRPr="006C7A1F" w:rsidRDefault="0060589D" w:rsidP="00AB5515">
      <w:pPr>
        <w:pStyle w:val="Tablenotes"/>
      </w:pPr>
      <w:r w:rsidRPr="006C7A1F">
        <w:t xml:space="preserve">c. Some studies reported outcomes by eyes, some by participants, </w:t>
      </w:r>
      <w:proofErr w:type="gramStart"/>
      <w:r w:rsidRPr="006C7A1F">
        <w:t>some</w:t>
      </w:r>
      <w:proofErr w:type="gramEnd"/>
      <w:r w:rsidRPr="006C7A1F">
        <w:t xml:space="preserve"> by </w:t>
      </w:r>
      <w:proofErr w:type="spellStart"/>
      <w:r w:rsidRPr="006C7A1F">
        <w:t>pterygia</w:t>
      </w:r>
      <w:proofErr w:type="spellEnd"/>
      <w:r w:rsidRPr="006C7A1F">
        <w:t xml:space="preserve"> </w:t>
      </w:r>
    </w:p>
    <w:p w14:paraId="6902AB1F" w14:textId="77777777" w:rsidR="0060589D" w:rsidRPr="006C7A1F" w:rsidRDefault="0060589D" w:rsidP="00AB5515">
      <w:pPr>
        <w:pStyle w:val="Tablenotes"/>
      </w:pPr>
      <w:r w:rsidRPr="006C7A1F">
        <w:t xml:space="preserve">d. Based on definitions outlined by Pollock et al. 2016 </w:t>
      </w:r>
    </w:p>
    <w:p w14:paraId="266BB016" w14:textId="77777777" w:rsidR="0060589D" w:rsidRPr="006C7A1F" w:rsidRDefault="0060589D" w:rsidP="00AB5515">
      <w:pPr>
        <w:pStyle w:val="Tablenotes"/>
      </w:pPr>
      <w:r w:rsidRPr="006C7A1F">
        <w:t xml:space="preserve">e. There were many time points where the outcome was measured, however results were not published. </w:t>
      </w:r>
    </w:p>
    <w:p w14:paraId="0C4EFE15" w14:textId="77777777" w:rsidR="0060589D" w:rsidRPr="006C7A1F" w:rsidRDefault="0060589D" w:rsidP="00AB5515">
      <w:pPr>
        <w:pStyle w:val="Tablenotes"/>
      </w:pPr>
      <w:r w:rsidRPr="006C7A1F">
        <w:t xml:space="preserve">f. High risk of bias overall. There are significant concerns regarding how the amnion membrane as the intended treatment was undertaken during the trial. It is unclear how the breach of the blinding could impact on the comparative safety and effectiveness. Blinding during allocation, and of patients and outcome assessors was uncommon. However, the measurement of wound healing is generally objective, bias is introduced when blinding is not performed during data analysis </w:t>
      </w:r>
    </w:p>
    <w:p w14:paraId="4D76270C" w14:textId="77777777" w:rsidR="0060589D" w:rsidRPr="006C7A1F" w:rsidRDefault="0060589D" w:rsidP="00AB5515">
      <w:pPr>
        <w:pStyle w:val="Tablenotes"/>
      </w:pPr>
      <w:r w:rsidRPr="006C7A1F">
        <w:t>g</w:t>
      </w:r>
      <w:r w:rsidRPr="00405F41">
        <w:t xml:space="preserve">. Considered not serious, however, notable two of eleven studies assessed wound healing by the indirect methods tear film break up time and </w:t>
      </w:r>
      <w:proofErr w:type="spellStart"/>
      <w:r w:rsidRPr="00405F41">
        <w:t>Schirmers</w:t>
      </w:r>
      <w:proofErr w:type="spellEnd"/>
      <w:r w:rsidRPr="00405F41">
        <w:t xml:space="preserve"> test. Similar techniques were used for the remaining studies. </w:t>
      </w:r>
    </w:p>
    <w:p w14:paraId="48C4D2C6" w14:textId="77777777" w:rsidR="0060589D" w:rsidRPr="00405F41" w:rsidRDefault="0060589D" w:rsidP="00AB5515">
      <w:pPr>
        <w:pStyle w:val="Tablenotes"/>
      </w:pPr>
      <w:r w:rsidRPr="00405F41">
        <w:t xml:space="preserve">h. High risk of bias overall. Reasons for potential bias were mixed across the trials. Reporting related to the concealment of allocation during the randomisation process and blinding of patients and the surgical team was frequently inadequate. Trials were not consistently registered, and pre-specified outcomes (particularly around time to follow up) were inconsistent </w:t>
      </w:r>
    </w:p>
    <w:p w14:paraId="41D6C07C" w14:textId="77777777" w:rsidR="0060589D" w:rsidRPr="00405F41" w:rsidRDefault="0060589D" w:rsidP="00AB5515">
      <w:pPr>
        <w:pStyle w:val="Tablenotes"/>
      </w:pPr>
      <w:proofErr w:type="spellStart"/>
      <w:r w:rsidRPr="00405F41">
        <w:t>i</w:t>
      </w:r>
      <w:proofErr w:type="spellEnd"/>
      <w:r w:rsidRPr="00405F41">
        <w:t>. Suspected high risk of bias. All other outcomes and most studies were concluded with a high risk of bias due to experimental design. Additionally, the outcome was usually measured by ophthalmic examination (</w:t>
      </w:r>
      <w:proofErr w:type="spellStart"/>
      <w:r w:rsidRPr="00405F41">
        <w:t>unblinded</w:t>
      </w:r>
      <w:proofErr w:type="spellEnd"/>
      <w:r w:rsidRPr="00405F41">
        <w:t xml:space="preserve">) </w:t>
      </w:r>
    </w:p>
    <w:p w14:paraId="66A3249E" w14:textId="77777777" w:rsidR="0060589D" w:rsidRPr="00405F41" w:rsidRDefault="0060589D" w:rsidP="00AB5515">
      <w:pPr>
        <w:pStyle w:val="Tablenotes"/>
      </w:pPr>
      <w:r w:rsidRPr="00405F41">
        <w:t xml:space="preserve">j. Most adverse events were not specified in methods but were discovered in follow up examinations. High level of heterogeneity in reported safety outcomes </w:t>
      </w:r>
    </w:p>
    <w:p w14:paraId="1BC0BDDB" w14:textId="77777777" w:rsidR="0060589D" w:rsidRPr="00405F41" w:rsidRDefault="0060589D" w:rsidP="00AB5515">
      <w:pPr>
        <w:pStyle w:val="Tablenotes"/>
      </w:pPr>
      <w:proofErr w:type="gramStart"/>
      <w:r w:rsidRPr="00405F41">
        <w:t>k</w:t>
      </w:r>
      <w:proofErr w:type="gramEnd"/>
      <w:r w:rsidRPr="00405F41">
        <w:t xml:space="preserve">. Considered not serious, however, notably here was usually no clear method of measurement. The reported outcome was based on statements from follow up examinations </w:t>
      </w:r>
    </w:p>
    <w:p w14:paraId="4C404915" w14:textId="77777777" w:rsidR="0060589D" w:rsidRPr="006C7A1F" w:rsidRDefault="0060589D" w:rsidP="00AB5515">
      <w:pPr>
        <w:pStyle w:val="Tablenotes"/>
      </w:pPr>
      <w:r w:rsidRPr="006C7A1F">
        <w:t xml:space="preserve">l. High risk of bias in study designs and outcome measures </w:t>
      </w:r>
    </w:p>
    <w:p w14:paraId="59409241" w14:textId="77777777" w:rsidR="0060589D" w:rsidRPr="006C7A1F" w:rsidRDefault="0060589D" w:rsidP="00AB5515">
      <w:pPr>
        <w:pStyle w:val="Tablenotes"/>
      </w:pPr>
      <w:r w:rsidRPr="006C7A1F">
        <w:t xml:space="preserve">m. Non-consensus on favouring of intervention. </w:t>
      </w:r>
    </w:p>
    <w:p w14:paraId="1D37A979" w14:textId="77777777" w:rsidR="0060589D" w:rsidRDefault="0060589D" w:rsidP="00AB5515">
      <w:pPr>
        <w:pStyle w:val="Tablenotes"/>
      </w:pPr>
      <w:r w:rsidRPr="006C7A1F">
        <w:t>n. Subjectively measured by patient reporting.</w:t>
      </w:r>
    </w:p>
    <w:p w14:paraId="29AF3741" w14:textId="1D927765" w:rsidR="0060589D" w:rsidRDefault="0060589D" w:rsidP="00AB5515">
      <w:pPr>
        <w:pStyle w:val="Heading2"/>
        <w:spacing w:before="240"/>
      </w:pPr>
      <w:r>
        <w:t>Population 2 – Chronic skin wounds</w:t>
      </w:r>
    </w:p>
    <w:p w14:paraId="41E78890" w14:textId="77777777" w:rsidR="0060589D" w:rsidRPr="00D32A43" w:rsidRDefault="0060589D" w:rsidP="0060589D">
      <w:r>
        <w:t>The t</w:t>
      </w:r>
      <w:r w:rsidRPr="00D32A43">
        <w:t xml:space="preserve">hree effectiveness outcomes were assessed for risk of bias: complete healing, time to complete healing and wound size reduction. </w:t>
      </w:r>
      <w:r>
        <w:t>For the outcome of</w:t>
      </w:r>
      <w:r w:rsidRPr="00D32A43">
        <w:t xml:space="preserve"> complete healing</w:t>
      </w:r>
      <w:r>
        <w:t>, t</w:t>
      </w:r>
      <w:r w:rsidRPr="00D32A43">
        <w:t xml:space="preserve">he risk of bias assessment determined a low to moderate risk of bias in </w:t>
      </w:r>
      <w:r>
        <w:t>nine out</w:t>
      </w:r>
      <w:r w:rsidRPr="00D32A43">
        <w:t xml:space="preserve"> of the 14 trials. The main </w:t>
      </w:r>
      <w:r>
        <w:t>concerns of</w:t>
      </w:r>
      <w:r w:rsidRPr="00D32A43">
        <w:t xml:space="preserve"> biases were </w:t>
      </w:r>
      <w:r>
        <w:t xml:space="preserve">associated with the inadequate </w:t>
      </w:r>
      <w:r w:rsidRPr="00D32A43">
        <w:t xml:space="preserve">blinding of outcome assessors </w:t>
      </w:r>
      <w:r w:rsidRPr="00D32A43">
        <w:lastRenderedPageBreak/>
        <w:t xml:space="preserve">and deviation from the intended intervention. Time to heal, reported in </w:t>
      </w:r>
      <w:r>
        <w:t xml:space="preserve">seven </w:t>
      </w:r>
      <w:r w:rsidRPr="00D32A43">
        <w:t xml:space="preserve">studies, </w:t>
      </w:r>
      <w:proofErr w:type="gramStart"/>
      <w:r>
        <w:t>was</w:t>
      </w:r>
      <w:proofErr w:type="gramEnd"/>
      <w:r>
        <w:t xml:space="preserve"> considered to have some concerns in five studies and of high risk of bias in two. </w:t>
      </w:r>
      <w:r w:rsidRPr="00D32A43">
        <w:t xml:space="preserve">Wound size reduction was </w:t>
      </w:r>
      <w:r>
        <w:t>associated with</w:t>
      </w:r>
      <w:r w:rsidRPr="00D32A43">
        <w:t xml:space="preserve"> some </w:t>
      </w:r>
      <w:r>
        <w:t xml:space="preserve">risk of bias </w:t>
      </w:r>
      <w:r w:rsidRPr="00D32A43">
        <w:t xml:space="preserve">in </w:t>
      </w:r>
      <w:r>
        <w:t>five</w:t>
      </w:r>
      <w:r w:rsidRPr="00D32A43">
        <w:t xml:space="preserve"> out of </w:t>
      </w:r>
      <w:r>
        <w:t>seven</w:t>
      </w:r>
      <w:r w:rsidRPr="00D32A43">
        <w:t xml:space="preserve"> studies</w:t>
      </w:r>
      <w:r>
        <w:t>.</w:t>
      </w:r>
      <w:r w:rsidRPr="00D32A43">
        <w:t xml:space="preserve"> </w:t>
      </w:r>
      <w:r>
        <w:t xml:space="preserve">The remaining two studies </w:t>
      </w:r>
      <w:r w:rsidRPr="00D32A43">
        <w:t xml:space="preserve">were assessed as high </w:t>
      </w:r>
      <w:r>
        <w:t>risk</w:t>
      </w:r>
      <w:r w:rsidRPr="00D32A43">
        <w:t xml:space="preserve"> due to insufficient information related to missing outcome data.</w:t>
      </w:r>
    </w:p>
    <w:p w14:paraId="38039463" w14:textId="02D005B1" w:rsidR="0060589D" w:rsidRPr="00D32A43" w:rsidRDefault="0060589D" w:rsidP="00AB5515">
      <w:pPr>
        <w:spacing w:before="240"/>
      </w:pPr>
      <w:r>
        <w:t>In general,</w:t>
      </w:r>
      <w:r w:rsidRPr="00D32A43">
        <w:t xml:space="preserve"> </w:t>
      </w:r>
      <w:r>
        <w:t xml:space="preserve">the DCAR considered that the evidence indicated that </w:t>
      </w:r>
      <w:r w:rsidRPr="00D32A43">
        <w:t xml:space="preserve">AM was </w:t>
      </w:r>
      <w:r>
        <w:t>more effective than</w:t>
      </w:r>
      <w:r w:rsidRPr="00D32A43">
        <w:t xml:space="preserve"> SOC for </w:t>
      </w:r>
      <w:r>
        <w:t xml:space="preserve">both </w:t>
      </w:r>
      <w:r w:rsidRPr="00D32A43">
        <w:t xml:space="preserve">DFU and VLU </w:t>
      </w:r>
      <w:r>
        <w:t>sub</w:t>
      </w:r>
      <w:r w:rsidRPr="00D32A43">
        <w:t>populations.</w:t>
      </w:r>
      <w:r>
        <w:t xml:space="preserve"> </w:t>
      </w:r>
    </w:p>
    <w:p w14:paraId="7C605D19" w14:textId="77777777" w:rsidR="0060589D" w:rsidRPr="00D32A43" w:rsidRDefault="0060589D" w:rsidP="0060589D">
      <w:pPr>
        <w:pStyle w:val="ListParagraph"/>
        <w:numPr>
          <w:ilvl w:val="0"/>
          <w:numId w:val="14"/>
        </w:numPr>
        <w:jc w:val="both"/>
      </w:pPr>
      <w:r>
        <w:t>Superior effectiveness</w:t>
      </w:r>
      <w:r w:rsidRPr="00D32A43">
        <w:t xml:space="preserve"> of AM compared to SOC was</w:t>
      </w:r>
      <w:r>
        <w:t xml:space="preserve"> demonstrated</w:t>
      </w:r>
      <w:r w:rsidRPr="00D32A43">
        <w:t xml:space="preserve"> for </w:t>
      </w:r>
      <w:r>
        <w:t xml:space="preserve">complete healing, </w:t>
      </w:r>
      <w:r w:rsidRPr="00D32A43">
        <w:t>time to heal, wound size reduction and partial healing</w:t>
      </w:r>
      <w:r>
        <w:t xml:space="preserve"> </w:t>
      </w:r>
      <w:r w:rsidRPr="00D32A43">
        <w:t xml:space="preserve">in both </w:t>
      </w:r>
      <w:r>
        <w:t>sub</w:t>
      </w:r>
      <w:r w:rsidRPr="00D32A43">
        <w:t>populations.</w:t>
      </w:r>
    </w:p>
    <w:p w14:paraId="17E07EB2" w14:textId="77777777" w:rsidR="0060589D" w:rsidRPr="00D32A43" w:rsidRDefault="0060589D" w:rsidP="0060589D">
      <w:pPr>
        <w:pStyle w:val="ListParagraph"/>
        <w:numPr>
          <w:ilvl w:val="0"/>
          <w:numId w:val="14"/>
        </w:numPr>
        <w:jc w:val="both"/>
      </w:pPr>
      <w:r>
        <w:t>Equivalent effectiveness</w:t>
      </w:r>
      <w:r w:rsidRPr="00D32A43">
        <w:t xml:space="preserve"> </w:t>
      </w:r>
      <w:r>
        <w:t>for</w:t>
      </w:r>
      <w:r w:rsidRPr="00D32A43">
        <w:t xml:space="preserve"> AM compared to SOC was shown for recurrence in </w:t>
      </w:r>
      <w:r>
        <w:t xml:space="preserve">the </w:t>
      </w:r>
      <w:r w:rsidRPr="00D32A43">
        <w:t xml:space="preserve">DFU </w:t>
      </w:r>
      <w:r>
        <w:t>sub</w:t>
      </w:r>
      <w:r w:rsidRPr="00D32A43">
        <w:t>population.</w:t>
      </w:r>
    </w:p>
    <w:p w14:paraId="1A693AD3" w14:textId="77777777" w:rsidR="0060589D" w:rsidRDefault="0060589D" w:rsidP="0060589D">
      <w:pPr>
        <w:pStyle w:val="ListParagraph"/>
        <w:numPr>
          <w:ilvl w:val="0"/>
          <w:numId w:val="14"/>
        </w:numPr>
        <w:jc w:val="both"/>
      </w:pPr>
      <w:r w:rsidRPr="00D32A43">
        <w:t xml:space="preserve">Complete healing was the most reported outcome (11/14 studies), regardless of the </w:t>
      </w:r>
      <w:r>
        <w:t>sub</w:t>
      </w:r>
      <w:r w:rsidRPr="00D32A43">
        <w:t>population.</w:t>
      </w:r>
    </w:p>
    <w:p w14:paraId="1D830A60" w14:textId="31FBB2D5" w:rsidR="00AB5515" w:rsidRDefault="0060589D" w:rsidP="00AB5515">
      <w:pPr>
        <w:spacing w:before="240"/>
      </w:pPr>
      <w:r>
        <w:t>Based on the benefits and harms reported in the evidence base for DFU (</w:t>
      </w:r>
      <w:r>
        <w:fldChar w:fldCharType="begin"/>
      </w:r>
      <w:r>
        <w:instrText xml:space="preserve"> REF _Ref58857190 \h </w:instrText>
      </w:r>
      <w:r>
        <w:fldChar w:fldCharType="separate"/>
      </w:r>
      <w:r>
        <w:t xml:space="preserve">Table </w:t>
      </w:r>
      <w:r>
        <w:rPr>
          <w:noProof/>
        </w:rPr>
        <w:t>4</w:t>
      </w:r>
      <w:r>
        <w:fldChar w:fldCharType="end"/>
      </w:r>
      <w:r>
        <w:t>) and VLU (</w:t>
      </w:r>
      <w:r>
        <w:fldChar w:fldCharType="begin"/>
      </w:r>
      <w:r>
        <w:instrText xml:space="preserve"> REF _Ref58857221 \h </w:instrText>
      </w:r>
      <w:r>
        <w:fldChar w:fldCharType="separate"/>
      </w:r>
      <w:r>
        <w:t xml:space="preserve">Table </w:t>
      </w:r>
      <w:r>
        <w:rPr>
          <w:noProof/>
        </w:rPr>
        <w:t>5</w:t>
      </w:r>
      <w:r>
        <w:fldChar w:fldCharType="end"/>
      </w:r>
      <w:r>
        <w:t xml:space="preserve">), </w:t>
      </w:r>
      <w:r w:rsidRPr="00EE0730">
        <w:t xml:space="preserve">relative to </w:t>
      </w:r>
      <w:r>
        <w:t>SOC</w:t>
      </w:r>
      <w:r w:rsidRPr="00EE0730">
        <w:t xml:space="preserve">, </w:t>
      </w:r>
      <w:r>
        <w:t xml:space="preserve">the </w:t>
      </w:r>
      <w:r w:rsidRPr="00EE0730">
        <w:t>effectiveness</w:t>
      </w:r>
      <w:r>
        <w:t xml:space="preserve"> outcomes favour AM for both subpopulations. In contrast, safety outcomes are uncertain for DFU</w:t>
      </w:r>
      <w:r w:rsidDel="00950B71">
        <w:t xml:space="preserve"> </w:t>
      </w:r>
      <w:r>
        <w:t>and VLU subpopulations respectively - noting that there was only low quality of evidence available to support the conclusion o</w:t>
      </w:r>
      <w:bookmarkStart w:id="32" w:name="_Ref58857190"/>
      <w:bookmarkStart w:id="33" w:name="_Toc59311989"/>
      <w:r w:rsidR="00AB5515">
        <w:t>n safety for VLU subpopulation.</w:t>
      </w:r>
      <w:r w:rsidR="00AB5515">
        <w:rPr>
          <w:b/>
          <w:bCs/>
          <w:iCs/>
        </w:rPr>
        <w:br w:type="page"/>
      </w:r>
    </w:p>
    <w:p w14:paraId="5A6D1FEE" w14:textId="57DEE84F" w:rsidR="0060589D" w:rsidRDefault="0060589D" w:rsidP="00AB5515">
      <w:pPr>
        <w:pStyle w:val="Caption"/>
        <w:spacing w:before="240"/>
      </w:pPr>
      <w:r>
        <w:lastRenderedPageBreak/>
        <w:t xml:space="preserve">Table </w:t>
      </w:r>
      <w:r>
        <w:fldChar w:fldCharType="begin"/>
      </w:r>
      <w:r>
        <w:instrText>SEQ Table \* ARABIC</w:instrText>
      </w:r>
      <w:r>
        <w:fldChar w:fldCharType="separate"/>
      </w:r>
      <w:r>
        <w:rPr>
          <w:noProof/>
        </w:rPr>
        <w:t>4</w:t>
      </w:r>
      <w:r>
        <w:fldChar w:fldCharType="end"/>
      </w:r>
      <w:bookmarkEnd w:id="32"/>
      <w:r>
        <w:tab/>
        <w:t>AM</w:t>
      </w:r>
      <w:r w:rsidRPr="001175B4">
        <w:t xml:space="preserve"> compared to </w:t>
      </w:r>
      <w:r>
        <w:t>SOC</w:t>
      </w:r>
      <w:r w:rsidRPr="001175B4">
        <w:t xml:space="preserve"> for </w:t>
      </w:r>
      <w:r>
        <w:t>DFU</w:t>
      </w:r>
      <w:bookmarkEnd w:id="33"/>
    </w:p>
    <w:tbl>
      <w:tblPr>
        <w:tblStyle w:val="OPTUMTableNormal"/>
        <w:tblW w:w="5000" w:type="pct"/>
        <w:tblCellMar>
          <w:left w:w="28" w:type="dxa"/>
          <w:right w:w="28" w:type="dxa"/>
        </w:tblCellMar>
        <w:tblLook w:val="04A0" w:firstRow="1" w:lastRow="0" w:firstColumn="1" w:lastColumn="0" w:noHBand="0" w:noVBand="1"/>
        <w:tblCaption w:val="Table 4 AM compared to SOC for DFU"/>
      </w:tblPr>
      <w:tblGrid>
        <w:gridCol w:w="1984"/>
        <w:gridCol w:w="1134"/>
        <w:gridCol w:w="1134"/>
        <w:gridCol w:w="1134"/>
        <w:gridCol w:w="1417"/>
        <w:gridCol w:w="2213"/>
      </w:tblGrid>
      <w:tr w:rsidR="0060589D" w:rsidRPr="001E7434" w14:paraId="2C7606CB" w14:textId="77777777" w:rsidTr="00567A4B">
        <w:trPr>
          <w:cnfStyle w:val="100000000000" w:firstRow="1" w:lastRow="0" w:firstColumn="0" w:lastColumn="0" w:oddVBand="0" w:evenVBand="0" w:oddHBand="0" w:evenHBand="0" w:firstRowFirstColumn="0" w:firstRowLastColumn="0" w:lastRowFirstColumn="0" w:lastRowLastColumn="0"/>
          <w:trHeight w:val="688"/>
          <w:tblHeader/>
        </w:trPr>
        <w:tc>
          <w:tcPr>
            <w:tcW w:w="1100" w:type="pct"/>
            <w:hideMark/>
          </w:tcPr>
          <w:p w14:paraId="276ED683" w14:textId="77777777" w:rsidR="0060589D" w:rsidRPr="001E7434" w:rsidRDefault="0060589D" w:rsidP="001F4142">
            <w:pPr>
              <w:pStyle w:val="Tabletext"/>
              <w:rPr>
                <w:b/>
                <w:bCs/>
                <w:color w:val="000000" w:themeColor="text1"/>
              </w:rPr>
            </w:pPr>
            <w:r w:rsidRPr="001E7434">
              <w:rPr>
                <w:b/>
                <w:bCs/>
                <w:color w:val="000000" w:themeColor="text1"/>
              </w:rPr>
              <w:t>Outcomes</w:t>
            </w:r>
          </w:p>
        </w:tc>
        <w:tc>
          <w:tcPr>
            <w:tcW w:w="629" w:type="pct"/>
            <w:hideMark/>
          </w:tcPr>
          <w:p w14:paraId="62282C64" w14:textId="77777777" w:rsidR="0060589D" w:rsidRPr="001E7434" w:rsidRDefault="0060589D" w:rsidP="001F4142">
            <w:pPr>
              <w:pStyle w:val="Tabletext"/>
              <w:rPr>
                <w:b/>
                <w:bCs/>
                <w:color w:val="000000" w:themeColor="text1"/>
              </w:rPr>
            </w:pPr>
            <w:r w:rsidRPr="001E7434">
              <w:rPr>
                <w:b/>
                <w:bCs/>
                <w:color w:val="000000" w:themeColor="text1"/>
              </w:rPr>
              <w:t xml:space="preserve">№ of participants </w:t>
            </w:r>
          </w:p>
          <w:p w14:paraId="3A3BD923" w14:textId="77777777" w:rsidR="0060589D" w:rsidRPr="001E7434" w:rsidRDefault="0060589D" w:rsidP="001F4142">
            <w:pPr>
              <w:pStyle w:val="Tabletext"/>
              <w:rPr>
                <w:b/>
                <w:bCs/>
                <w:color w:val="000000" w:themeColor="text1"/>
              </w:rPr>
            </w:pPr>
            <w:r w:rsidRPr="001E7434">
              <w:rPr>
                <w:b/>
                <w:bCs/>
                <w:color w:val="000000" w:themeColor="text1"/>
              </w:rPr>
              <w:t>(studies)</w:t>
            </w:r>
          </w:p>
        </w:tc>
        <w:tc>
          <w:tcPr>
            <w:tcW w:w="629" w:type="pct"/>
            <w:hideMark/>
          </w:tcPr>
          <w:p w14:paraId="2505E145" w14:textId="77777777" w:rsidR="0060589D" w:rsidRPr="001E7434" w:rsidRDefault="0060589D" w:rsidP="001F4142">
            <w:pPr>
              <w:pStyle w:val="Tabletext"/>
              <w:rPr>
                <w:b/>
                <w:bCs/>
                <w:color w:val="000000" w:themeColor="text1"/>
              </w:rPr>
            </w:pPr>
            <w:r w:rsidRPr="001E7434">
              <w:rPr>
                <w:b/>
                <w:bCs/>
                <w:color w:val="000000" w:themeColor="text1"/>
              </w:rPr>
              <w:t>Certainty of the evidence</w:t>
            </w:r>
          </w:p>
          <w:p w14:paraId="6D9FC777" w14:textId="77777777" w:rsidR="0060589D" w:rsidRPr="001E7434" w:rsidRDefault="0060589D" w:rsidP="001F4142">
            <w:pPr>
              <w:pStyle w:val="Tabletext"/>
              <w:rPr>
                <w:b/>
                <w:bCs/>
                <w:color w:val="000000" w:themeColor="text1"/>
              </w:rPr>
            </w:pPr>
            <w:r w:rsidRPr="001E7434">
              <w:rPr>
                <w:b/>
                <w:bCs/>
                <w:color w:val="000000" w:themeColor="text1"/>
              </w:rPr>
              <w:t>(GRADE)</w:t>
            </w:r>
          </w:p>
        </w:tc>
        <w:tc>
          <w:tcPr>
            <w:tcW w:w="629" w:type="pct"/>
            <w:hideMark/>
          </w:tcPr>
          <w:p w14:paraId="25B4114D" w14:textId="77777777" w:rsidR="0060589D" w:rsidRPr="001E7434" w:rsidRDefault="0060589D" w:rsidP="001F4142">
            <w:pPr>
              <w:pStyle w:val="Tabletext"/>
              <w:rPr>
                <w:b/>
                <w:bCs/>
                <w:color w:val="000000" w:themeColor="text1"/>
              </w:rPr>
            </w:pPr>
            <w:r w:rsidRPr="001E7434">
              <w:rPr>
                <w:b/>
                <w:bCs/>
                <w:color w:val="000000" w:themeColor="text1"/>
              </w:rPr>
              <w:t>Relative effect</w:t>
            </w:r>
          </w:p>
          <w:p w14:paraId="08086E33" w14:textId="77777777" w:rsidR="0060589D" w:rsidRPr="001E7434" w:rsidRDefault="0060589D" w:rsidP="001F4142">
            <w:pPr>
              <w:pStyle w:val="Tabletext"/>
              <w:rPr>
                <w:b/>
                <w:bCs/>
                <w:color w:val="000000" w:themeColor="text1"/>
              </w:rPr>
            </w:pPr>
            <w:r w:rsidRPr="001E7434">
              <w:rPr>
                <w:b/>
                <w:bCs/>
                <w:color w:val="000000" w:themeColor="text1"/>
              </w:rPr>
              <w:t>(95% CI)</w:t>
            </w:r>
          </w:p>
        </w:tc>
        <w:tc>
          <w:tcPr>
            <w:tcW w:w="786" w:type="pct"/>
            <w:hideMark/>
          </w:tcPr>
          <w:p w14:paraId="467848FC" w14:textId="77777777" w:rsidR="0060589D" w:rsidRPr="001E7434" w:rsidRDefault="0060589D" w:rsidP="001F4142">
            <w:pPr>
              <w:pStyle w:val="Tabletext"/>
              <w:rPr>
                <w:b/>
                <w:bCs/>
                <w:color w:val="000000" w:themeColor="text1"/>
              </w:rPr>
            </w:pPr>
            <w:r w:rsidRPr="001E7434">
              <w:rPr>
                <w:b/>
                <w:bCs/>
                <w:color w:val="000000" w:themeColor="text1"/>
              </w:rPr>
              <w:t>Anticipated absolute effects</w:t>
            </w:r>
          </w:p>
          <w:p w14:paraId="0F94B6B4" w14:textId="77777777" w:rsidR="0060589D" w:rsidRPr="001E7434" w:rsidRDefault="0060589D" w:rsidP="001F4142">
            <w:pPr>
              <w:pStyle w:val="Tabletext"/>
              <w:rPr>
                <w:b/>
                <w:bCs/>
                <w:color w:val="000000" w:themeColor="text1"/>
              </w:rPr>
            </w:pPr>
            <w:r w:rsidRPr="001E7434">
              <w:rPr>
                <w:b/>
                <w:bCs/>
                <w:color w:val="000000" w:themeColor="text1"/>
              </w:rPr>
              <w:t>Risk with SOC</w:t>
            </w:r>
          </w:p>
        </w:tc>
        <w:tc>
          <w:tcPr>
            <w:tcW w:w="1227" w:type="pct"/>
          </w:tcPr>
          <w:p w14:paraId="5731D1FC" w14:textId="77777777" w:rsidR="0060589D" w:rsidRPr="001E7434" w:rsidRDefault="0060589D" w:rsidP="001F4142">
            <w:pPr>
              <w:pStyle w:val="Tabletext"/>
              <w:rPr>
                <w:b/>
                <w:bCs/>
                <w:color w:val="000000" w:themeColor="text1"/>
              </w:rPr>
            </w:pPr>
            <w:r w:rsidRPr="001E7434">
              <w:rPr>
                <w:b/>
                <w:bCs/>
                <w:color w:val="000000" w:themeColor="text1"/>
              </w:rPr>
              <w:t>Anticipated absolute effects</w:t>
            </w:r>
          </w:p>
          <w:p w14:paraId="2D518C09" w14:textId="77777777" w:rsidR="0060589D" w:rsidRPr="001E7434" w:rsidRDefault="0060589D" w:rsidP="001F4142">
            <w:pPr>
              <w:pStyle w:val="Tabletext"/>
              <w:spacing w:before="0"/>
              <w:rPr>
                <w:b/>
                <w:bCs/>
                <w:color w:val="000000" w:themeColor="text1"/>
              </w:rPr>
            </w:pPr>
            <w:r w:rsidRPr="001E7434">
              <w:rPr>
                <w:b/>
                <w:bCs/>
                <w:color w:val="000000" w:themeColor="text1"/>
              </w:rPr>
              <w:t>Risk difference with AM</w:t>
            </w:r>
          </w:p>
        </w:tc>
      </w:tr>
      <w:tr w:rsidR="0060589D" w:rsidRPr="001B0DBA" w14:paraId="6C7D143C" w14:textId="77777777" w:rsidTr="001F4142">
        <w:tc>
          <w:tcPr>
            <w:tcW w:w="1100" w:type="pct"/>
          </w:tcPr>
          <w:p w14:paraId="46EF6533" w14:textId="77777777" w:rsidR="0060589D" w:rsidRPr="001B0DBA" w:rsidRDefault="0060589D" w:rsidP="001F4142">
            <w:pPr>
              <w:pStyle w:val="Tabletext"/>
              <w:rPr>
                <w:rStyle w:val="label"/>
                <w:b/>
                <w:bCs/>
                <w:color w:val="000000" w:themeColor="text1"/>
              </w:rPr>
            </w:pPr>
            <w:r w:rsidRPr="001B0DBA">
              <w:rPr>
                <w:rStyle w:val="label"/>
                <w:b/>
                <w:bCs/>
                <w:color w:val="000000" w:themeColor="text1"/>
              </w:rPr>
              <w:t>Effectiveness outcomes</w:t>
            </w:r>
          </w:p>
        </w:tc>
        <w:tc>
          <w:tcPr>
            <w:tcW w:w="629" w:type="pct"/>
          </w:tcPr>
          <w:p w14:paraId="690A2BFE" w14:textId="77777777" w:rsidR="0060589D" w:rsidRPr="001B0DBA" w:rsidRDefault="0060589D" w:rsidP="001F4142">
            <w:pPr>
              <w:pStyle w:val="Tabletext"/>
              <w:rPr>
                <w:b/>
                <w:bCs/>
                <w:color w:val="000000" w:themeColor="text1"/>
              </w:rPr>
            </w:pPr>
          </w:p>
        </w:tc>
        <w:tc>
          <w:tcPr>
            <w:tcW w:w="629" w:type="pct"/>
          </w:tcPr>
          <w:p w14:paraId="4646A0A4" w14:textId="77777777" w:rsidR="0060589D" w:rsidRPr="001B0DBA" w:rsidRDefault="0060589D" w:rsidP="001F4142">
            <w:pPr>
              <w:pStyle w:val="Tabletext"/>
              <w:rPr>
                <w:rFonts w:ascii="Cambria Math" w:hAnsi="Cambria Math"/>
                <w:b/>
                <w:bCs/>
                <w:color w:val="000000" w:themeColor="text1"/>
              </w:rPr>
            </w:pPr>
          </w:p>
        </w:tc>
        <w:tc>
          <w:tcPr>
            <w:tcW w:w="629" w:type="pct"/>
          </w:tcPr>
          <w:p w14:paraId="1E8D869A" w14:textId="77777777" w:rsidR="0060589D" w:rsidRPr="001B0DBA" w:rsidRDefault="0060589D" w:rsidP="001F4142">
            <w:pPr>
              <w:pStyle w:val="Tabletext"/>
              <w:rPr>
                <w:rStyle w:val="block"/>
                <w:b/>
                <w:bCs/>
                <w:color w:val="000000" w:themeColor="text1"/>
              </w:rPr>
            </w:pPr>
          </w:p>
        </w:tc>
        <w:tc>
          <w:tcPr>
            <w:tcW w:w="786" w:type="pct"/>
          </w:tcPr>
          <w:p w14:paraId="36717F50" w14:textId="77777777" w:rsidR="0060589D" w:rsidRPr="001B0DBA" w:rsidRDefault="0060589D" w:rsidP="001F4142">
            <w:pPr>
              <w:pStyle w:val="Tabletext"/>
              <w:rPr>
                <w:b/>
                <w:bCs/>
                <w:color w:val="000000" w:themeColor="text1"/>
              </w:rPr>
            </w:pPr>
          </w:p>
        </w:tc>
        <w:tc>
          <w:tcPr>
            <w:tcW w:w="1227" w:type="pct"/>
          </w:tcPr>
          <w:p w14:paraId="3B2DF0D6" w14:textId="77777777" w:rsidR="0060589D" w:rsidRPr="001B0DBA" w:rsidRDefault="0060589D" w:rsidP="001F4142">
            <w:pPr>
              <w:pStyle w:val="Tabletext"/>
              <w:rPr>
                <w:rStyle w:val="cell-value"/>
                <w:b/>
                <w:bCs/>
                <w:color w:val="000000" w:themeColor="text1"/>
              </w:rPr>
            </w:pPr>
          </w:p>
        </w:tc>
      </w:tr>
      <w:tr w:rsidR="0060589D" w:rsidRPr="001E7434" w14:paraId="7EF1F758" w14:textId="77777777" w:rsidTr="001F4142">
        <w:tc>
          <w:tcPr>
            <w:tcW w:w="1100" w:type="pct"/>
            <w:hideMark/>
          </w:tcPr>
          <w:p w14:paraId="157E417A" w14:textId="77777777" w:rsidR="0060589D" w:rsidRPr="002700CD" w:rsidRDefault="0060589D" w:rsidP="001F4142">
            <w:pPr>
              <w:pStyle w:val="Tabletext"/>
              <w:rPr>
                <w:rStyle w:val="label"/>
              </w:rPr>
            </w:pPr>
            <w:r w:rsidRPr="002700CD">
              <w:rPr>
                <w:rStyle w:val="label"/>
              </w:rPr>
              <w:t>Complete healing</w:t>
            </w:r>
          </w:p>
          <w:p w14:paraId="27A2AC94" w14:textId="77777777" w:rsidR="0060589D" w:rsidRPr="002700CD" w:rsidRDefault="0060589D" w:rsidP="001F4142">
            <w:pPr>
              <w:pStyle w:val="Tabletext"/>
            </w:pPr>
            <w:r w:rsidRPr="002700CD">
              <w:rPr>
                <w:rStyle w:val="label"/>
              </w:rPr>
              <w:t>Follow-up 6 to 16 weeks</w:t>
            </w:r>
            <w:r w:rsidRPr="002700CD">
              <w:t xml:space="preserve"> </w:t>
            </w:r>
          </w:p>
        </w:tc>
        <w:tc>
          <w:tcPr>
            <w:tcW w:w="629" w:type="pct"/>
            <w:hideMark/>
          </w:tcPr>
          <w:p w14:paraId="26C379A4" w14:textId="77777777" w:rsidR="0060589D" w:rsidRPr="001E7434" w:rsidRDefault="0060589D" w:rsidP="001F4142">
            <w:pPr>
              <w:pStyle w:val="Tabletext"/>
              <w:rPr>
                <w:color w:val="000000" w:themeColor="text1"/>
              </w:rPr>
            </w:pPr>
            <w:r w:rsidRPr="001E7434">
              <w:rPr>
                <w:color w:val="000000" w:themeColor="text1"/>
              </w:rPr>
              <w:t>457</w:t>
            </w:r>
            <w:r w:rsidRPr="001E7434">
              <w:rPr>
                <w:color w:val="000000" w:themeColor="text1"/>
              </w:rPr>
              <w:br/>
              <w:t xml:space="preserve">(7 RCTs) </w:t>
            </w:r>
          </w:p>
        </w:tc>
        <w:tc>
          <w:tcPr>
            <w:tcW w:w="629" w:type="pct"/>
            <w:hideMark/>
          </w:tcPr>
          <w:p w14:paraId="341E542F" w14:textId="77777777" w:rsidR="0060589D" w:rsidRPr="001E7434" w:rsidRDefault="0060589D" w:rsidP="001F4142">
            <w:pPr>
              <w:pStyle w:val="Tabletext"/>
              <w:rPr>
                <w:rFonts w:ascii="Cambria Math" w:hAnsi="Cambria Math" w:cs="Cambria Math"/>
                <w:color w:val="C00000"/>
              </w:rPr>
            </w:pPr>
            <w:r w:rsidRPr="001E7434">
              <w:rPr>
                <w:rFonts w:ascii="Cambria Math" w:hAnsi="Cambria Math"/>
                <w:color w:val="00B050"/>
              </w:rPr>
              <w:t>⨁⨁⨁</w:t>
            </w:r>
            <w:r w:rsidRPr="001E7434">
              <w:rPr>
                <w:rFonts w:ascii="Cambria Math" w:hAnsi="Cambria Math" w:cs="Cambria Math"/>
                <w:color w:val="C00000"/>
              </w:rPr>
              <w:t>⨀</w:t>
            </w:r>
          </w:p>
          <w:p w14:paraId="0A904D1E" w14:textId="77777777" w:rsidR="0060589D" w:rsidRPr="001E7434" w:rsidRDefault="0060589D" w:rsidP="001F4142">
            <w:pPr>
              <w:pStyle w:val="Tabletext"/>
              <w:rPr>
                <w:color w:val="000000" w:themeColor="text1"/>
              </w:rPr>
            </w:pPr>
            <w:r w:rsidRPr="001E7434">
              <w:rPr>
                <w:rStyle w:val="quality-text"/>
                <w:color w:val="000000" w:themeColor="text1"/>
              </w:rPr>
              <w:t>MODERATE</w:t>
            </w:r>
            <w:r w:rsidRPr="001E7434">
              <w:rPr>
                <w:color w:val="000000" w:themeColor="text1"/>
              </w:rPr>
              <w:t xml:space="preserve"> </w:t>
            </w:r>
            <w:proofErr w:type="spellStart"/>
            <w:r w:rsidRPr="001E7434">
              <w:rPr>
                <w:color w:val="000000" w:themeColor="text1"/>
                <w:vertAlign w:val="superscript"/>
              </w:rPr>
              <w:t>a</w:t>
            </w:r>
            <w:r w:rsidRPr="001E7434">
              <w:rPr>
                <w:rStyle w:val="comma"/>
                <w:color w:val="000000" w:themeColor="text1"/>
                <w:vertAlign w:val="superscript"/>
              </w:rPr>
              <w:t>,</w:t>
            </w:r>
            <w:r w:rsidRPr="001E7434">
              <w:rPr>
                <w:color w:val="000000" w:themeColor="text1"/>
                <w:vertAlign w:val="superscript"/>
              </w:rPr>
              <w:t>b</w:t>
            </w:r>
            <w:r w:rsidRPr="001E7434">
              <w:rPr>
                <w:rStyle w:val="comma"/>
                <w:color w:val="000000" w:themeColor="text1"/>
                <w:vertAlign w:val="superscript"/>
              </w:rPr>
              <w:t>,</w:t>
            </w:r>
            <w:r w:rsidRPr="001E7434">
              <w:rPr>
                <w:color w:val="000000" w:themeColor="text1"/>
                <w:vertAlign w:val="superscript"/>
              </w:rPr>
              <w:t>c</w:t>
            </w:r>
            <w:r w:rsidRPr="001E7434">
              <w:rPr>
                <w:rStyle w:val="comma"/>
                <w:color w:val="000000" w:themeColor="text1"/>
                <w:vertAlign w:val="superscript"/>
              </w:rPr>
              <w:t>,</w:t>
            </w:r>
            <w:r w:rsidRPr="001E7434">
              <w:rPr>
                <w:color w:val="000000" w:themeColor="text1"/>
                <w:vertAlign w:val="superscript"/>
              </w:rPr>
              <w:t>d</w:t>
            </w:r>
            <w:r w:rsidRPr="001E7434">
              <w:rPr>
                <w:rStyle w:val="comma"/>
                <w:color w:val="000000" w:themeColor="text1"/>
                <w:vertAlign w:val="superscript"/>
              </w:rPr>
              <w:t>,</w:t>
            </w:r>
            <w:r w:rsidRPr="001E7434">
              <w:rPr>
                <w:color w:val="000000" w:themeColor="text1"/>
                <w:vertAlign w:val="superscript"/>
              </w:rPr>
              <w:t>e</w:t>
            </w:r>
            <w:proofErr w:type="spellEnd"/>
          </w:p>
        </w:tc>
        <w:tc>
          <w:tcPr>
            <w:tcW w:w="629" w:type="pct"/>
            <w:hideMark/>
          </w:tcPr>
          <w:p w14:paraId="5CEB3AA8" w14:textId="77777777" w:rsidR="0060589D" w:rsidRPr="001E7434" w:rsidRDefault="0060589D" w:rsidP="001F4142">
            <w:pPr>
              <w:pStyle w:val="Tabletext"/>
              <w:rPr>
                <w:rStyle w:val="block"/>
                <w:color w:val="000000" w:themeColor="text1"/>
              </w:rPr>
            </w:pPr>
            <w:r w:rsidRPr="001E7434">
              <w:rPr>
                <w:rStyle w:val="block"/>
                <w:color w:val="000000" w:themeColor="text1"/>
              </w:rPr>
              <w:t xml:space="preserve">RR </w:t>
            </w:r>
            <w:r>
              <w:rPr>
                <w:rStyle w:val="block"/>
                <w:color w:val="000000" w:themeColor="text1"/>
              </w:rPr>
              <w:t>1</w:t>
            </w:r>
            <w:r>
              <w:rPr>
                <w:rStyle w:val="block"/>
              </w:rPr>
              <w:t>.99</w:t>
            </w:r>
          </w:p>
          <w:p w14:paraId="4736392A" w14:textId="77777777" w:rsidR="0060589D" w:rsidRPr="001E7434" w:rsidRDefault="0060589D" w:rsidP="001F4142">
            <w:pPr>
              <w:pStyle w:val="Tabletext"/>
              <w:rPr>
                <w:color w:val="000000" w:themeColor="text1"/>
              </w:rPr>
            </w:pPr>
            <w:r w:rsidRPr="001E7434">
              <w:rPr>
                <w:rStyle w:val="cell"/>
                <w:color w:val="000000" w:themeColor="text1"/>
              </w:rPr>
              <w:t>(1.</w:t>
            </w:r>
            <w:r>
              <w:rPr>
                <w:rStyle w:val="cell"/>
                <w:color w:val="000000" w:themeColor="text1"/>
              </w:rPr>
              <w:t>47</w:t>
            </w:r>
            <w:r w:rsidRPr="001E7434">
              <w:rPr>
                <w:rStyle w:val="cell"/>
                <w:color w:val="000000" w:themeColor="text1"/>
              </w:rPr>
              <w:t xml:space="preserve"> to </w:t>
            </w:r>
            <w:r>
              <w:rPr>
                <w:rStyle w:val="cell"/>
                <w:color w:val="000000" w:themeColor="text1"/>
              </w:rPr>
              <w:t>2.70</w:t>
            </w:r>
            <w:r w:rsidRPr="001E7434">
              <w:rPr>
                <w:rStyle w:val="cell"/>
                <w:color w:val="000000" w:themeColor="text1"/>
              </w:rPr>
              <w:t>)</w:t>
            </w:r>
            <w:r w:rsidRPr="001E7434">
              <w:rPr>
                <w:color w:val="000000" w:themeColor="text1"/>
              </w:rPr>
              <w:t xml:space="preserve"> </w:t>
            </w:r>
          </w:p>
        </w:tc>
        <w:tc>
          <w:tcPr>
            <w:tcW w:w="786" w:type="pct"/>
            <w:hideMark/>
          </w:tcPr>
          <w:p w14:paraId="063BDCF3" w14:textId="77777777" w:rsidR="0060589D" w:rsidRPr="00C311CC" w:rsidRDefault="0060589D" w:rsidP="001F4142">
            <w:pPr>
              <w:pStyle w:val="Tabletext"/>
              <w:rPr>
                <w:color w:val="000000" w:themeColor="text1"/>
              </w:rPr>
            </w:pPr>
            <w:r w:rsidRPr="00C311CC">
              <w:rPr>
                <w:color w:val="000000" w:themeColor="text1"/>
              </w:rPr>
              <w:t xml:space="preserve">306 per 1,000 </w:t>
            </w:r>
          </w:p>
        </w:tc>
        <w:tc>
          <w:tcPr>
            <w:tcW w:w="1227" w:type="pct"/>
            <w:hideMark/>
          </w:tcPr>
          <w:p w14:paraId="4197FDD7" w14:textId="77777777" w:rsidR="0060589D" w:rsidRPr="00C311CC" w:rsidRDefault="0060589D" w:rsidP="001F4142">
            <w:pPr>
              <w:pStyle w:val="Tabletext"/>
              <w:rPr>
                <w:color w:val="000000" w:themeColor="text1"/>
              </w:rPr>
            </w:pPr>
            <w:r w:rsidRPr="00C311CC">
              <w:rPr>
                <w:rStyle w:val="cell-value"/>
                <w:color w:val="000000" w:themeColor="text1"/>
              </w:rPr>
              <w:t>3</w:t>
            </w:r>
            <w:r w:rsidRPr="00C311CC">
              <w:rPr>
                <w:rStyle w:val="cell-value"/>
              </w:rPr>
              <w:t>06</w:t>
            </w:r>
            <w:r w:rsidRPr="00C311CC">
              <w:rPr>
                <w:rStyle w:val="cell-value"/>
                <w:color w:val="000000" w:themeColor="text1"/>
              </w:rPr>
              <w:t xml:space="preserve"> more per 1,000</w:t>
            </w:r>
            <w:r w:rsidRPr="00C311CC">
              <w:rPr>
                <w:color w:val="000000" w:themeColor="text1"/>
              </w:rPr>
              <w:br/>
            </w:r>
            <w:r w:rsidRPr="00C311CC">
              <w:rPr>
                <w:rStyle w:val="cell-value"/>
                <w:color w:val="000000" w:themeColor="text1"/>
              </w:rPr>
              <w:t>(1</w:t>
            </w:r>
            <w:r w:rsidRPr="00C311CC">
              <w:rPr>
                <w:rStyle w:val="cell-value"/>
              </w:rPr>
              <w:t>45</w:t>
            </w:r>
            <w:r w:rsidRPr="00C311CC">
              <w:rPr>
                <w:rStyle w:val="cell-value"/>
                <w:color w:val="000000" w:themeColor="text1"/>
              </w:rPr>
              <w:t xml:space="preserve"> more to 525 more)</w:t>
            </w:r>
            <w:r w:rsidRPr="00C311CC">
              <w:rPr>
                <w:color w:val="000000" w:themeColor="text1"/>
              </w:rPr>
              <w:t xml:space="preserve"> </w:t>
            </w:r>
          </w:p>
        </w:tc>
      </w:tr>
      <w:tr w:rsidR="0060589D" w:rsidRPr="001E7434" w14:paraId="326FCCB0" w14:textId="77777777" w:rsidTr="001F4142">
        <w:tc>
          <w:tcPr>
            <w:tcW w:w="1100" w:type="pct"/>
            <w:hideMark/>
          </w:tcPr>
          <w:p w14:paraId="23AAEDCC" w14:textId="77777777" w:rsidR="0060589D" w:rsidRPr="002700CD" w:rsidRDefault="0060589D" w:rsidP="001F4142">
            <w:pPr>
              <w:pStyle w:val="Tabletext"/>
              <w:rPr>
                <w:rStyle w:val="label"/>
              </w:rPr>
            </w:pPr>
            <w:r w:rsidRPr="002700CD">
              <w:rPr>
                <w:rStyle w:val="label"/>
              </w:rPr>
              <w:t>Recurrence</w:t>
            </w:r>
          </w:p>
          <w:p w14:paraId="6F716447" w14:textId="77777777" w:rsidR="0060589D" w:rsidRPr="002700CD" w:rsidRDefault="0060589D" w:rsidP="001F4142">
            <w:pPr>
              <w:pStyle w:val="Tabletext"/>
            </w:pPr>
            <w:r w:rsidRPr="002700CD">
              <w:rPr>
                <w:rStyle w:val="label"/>
              </w:rPr>
              <w:t>Follow-up 6 to 12 weeks</w:t>
            </w:r>
            <w:r w:rsidRPr="002700CD">
              <w:t xml:space="preserve"> </w:t>
            </w:r>
          </w:p>
        </w:tc>
        <w:tc>
          <w:tcPr>
            <w:tcW w:w="629" w:type="pct"/>
            <w:hideMark/>
          </w:tcPr>
          <w:p w14:paraId="6C20E855" w14:textId="77777777" w:rsidR="0060589D" w:rsidRPr="001E7434" w:rsidRDefault="0060589D" w:rsidP="001F4142">
            <w:pPr>
              <w:pStyle w:val="Tabletext"/>
              <w:rPr>
                <w:color w:val="000000" w:themeColor="text1"/>
              </w:rPr>
            </w:pPr>
            <w:r w:rsidRPr="001E7434">
              <w:rPr>
                <w:color w:val="000000" w:themeColor="text1"/>
              </w:rPr>
              <w:t>287</w:t>
            </w:r>
            <w:r w:rsidRPr="001E7434">
              <w:rPr>
                <w:color w:val="000000" w:themeColor="text1"/>
              </w:rPr>
              <w:br/>
              <w:t xml:space="preserve">(3 RCTs) </w:t>
            </w:r>
          </w:p>
        </w:tc>
        <w:tc>
          <w:tcPr>
            <w:tcW w:w="629" w:type="pct"/>
            <w:hideMark/>
          </w:tcPr>
          <w:p w14:paraId="457DFE7D"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0D98D3C2" w14:textId="77777777" w:rsidR="0060589D" w:rsidRPr="001E7434" w:rsidRDefault="0060589D" w:rsidP="001F4142">
            <w:pPr>
              <w:pStyle w:val="Tabletext"/>
              <w:rPr>
                <w:color w:val="000000" w:themeColor="text1"/>
              </w:rPr>
            </w:pPr>
            <w:r w:rsidRPr="001E7434">
              <w:rPr>
                <w:rStyle w:val="quality-text"/>
                <w:color w:val="000000" w:themeColor="text1"/>
              </w:rPr>
              <w:t>LOW</w:t>
            </w:r>
            <w:r w:rsidRPr="001E7434">
              <w:rPr>
                <w:color w:val="000000" w:themeColor="text1"/>
              </w:rPr>
              <w:t xml:space="preserve"> </w:t>
            </w:r>
            <w:proofErr w:type="spellStart"/>
            <w:r w:rsidRPr="001E7434">
              <w:rPr>
                <w:color w:val="000000" w:themeColor="text1"/>
                <w:vertAlign w:val="superscript"/>
              </w:rPr>
              <w:t>b</w:t>
            </w:r>
            <w:r w:rsidRPr="001E7434">
              <w:rPr>
                <w:rStyle w:val="comma"/>
                <w:color w:val="000000" w:themeColor="text1"/>
                <w:vertAlign w:val="superscript"/>
              </w:rPr>
              <w:t>,</w:t>
            </w:r>
            <w:r w:rsidRPr="001E7434">
              <w:rPr>
                <w:color w:val="000000" w:themeColor="text1"/>
                <w:vertAlign w:val="superscript"/>
              </w:rPr>
              <w:t>c</w:t>
            </w:r>
            <w:r w:rsidRPr="001E7434">
              <w:rPr>
                <w:rStyle w:val="comma"/>
                <w:color w:val="000000" w:themeColor="text1"/>
                <w:vertAlign w:val="superscript"/>
              </w:rPr>
              <w:t>,</w:t>
            </w:r>
            <w:r w:rsidRPr="001E7434">
              <w:rPr>
                <w:color w:val="000000" w:themeColor="text1"/>
                <w:vertAlign w:val="superscript"/>
              </w:rPr>
              <w:t>f</w:t>
            </w:r>
            <w:r w:rsidRPr="001E7434">
              <w:rPr>
                <w:rStyle w:val="comma"/>
                <w:color w:val="000000" w:themeColor="text1"/>
                <w:vertAlign w:val="superscript"/>
              </w:rPr>
              <w:t>,</w:t>
            </w:r>
            <w:r w:rsidRPr="001E7434">
              <w:rPr>
                <w:color w:val="000000" w:themeColor="text1"/>
                <w:vertAlign w:val="superscript"/>
              </w:rPr>
              <w:t>g</w:t>
            </w:r>
            <w:proofErr w:type="spellEnd"/>
          </w:p>
        </w:tc>
        <w:tc>
          <w:tcPr>
            <w:tcW w:w="629" w:type="pct"/>
            <w:hideMark/>
          </w:tcPr>
          <w:p w14:paraId="3B0084DB" w14:textId="77777777" w:rsidR="0060589D" w:rsidRPr="001E7434" w:rsidRDefault="0060589D" w:rsidP="001F4142">
            <w:pPr>
              <w:pStyle w:val="Tabletext"/>
              <w:rPr>
                <w:rStyle w:val="block"/>
                <w:color w:val="000000" w:themeColor="text1"/>
              </w:rPr>
            </w:pPr>
            <w:r w:rsidRPr="001E7434">
              <w:rPr>
                <w:rStyle w:val="block"/>
                <w:color w:val="000000" w:themeColor="text1"/>
              </w:rPr>
              <w:t>RR 0.99</w:t>
            </w:r>
          </w:p>
          <w:p w14:paraId="1DF5950F" w14:textId="77777777" w:rsidR="0060589D" w:rsidRPr="001E7434" w:rsidRDefault="0060589D" w:rsidP="001F4142">
            <w:pPr>
              <w:pStyle w:val="Tabletext"/>
              <w:rPr>
                <w:color w:val="000000" w:themeColor="text1"/>
              </w:rPr>
            </w:pPr>
            <w:r w:rsidRPr="001E7434">
              <w:rPr>
                <w:rStyle w:val="cell"/>
                <w:color w:val="000000" w:themeColor="text1"/>
              </w:rPr>
              <w:t>(0.22 to 4.46)</w:t>
            </w:r>
            <w:r w:rsidRPr="001E7434">
              <w:rPr>
                <w:color w:val="000000" w:themeColor="text1"/>
              </w:rPr>
              <w:t xml:space="preserve"> </w:t>
            </w:r>
          </w:p>
        </w:tc>
        <w:tc>
          <w:tcPr>
            <w:tcW w:w="786" w:type="pct"/>
            <w:hideMark/>
          </w:tcPr>
          <w:p w14:paraId="71642F92" w14:textId="77777777" w:rsidR="0060589D" w:rsidRPr="001E7434" w:rsidRDefault="0060589D" w:rsidP="001F4142">
            <w:pPr>
              <w:pStyle w:val="Tabletext"/>
              <w:rPr>
                <w:color w:val="000000" w:themeColor="text1"/>
              </w:rPr>
            </w:pPr>
            <w:r w:rsidRPr="001E7434">
              <w:rPr>
                <w:color w:val="000000" w:themeColor="text1"/>
              </w:rPr>
              <w:t xml:space="preserve">112 per 1,000 </w:t>
            </w:r>
          </w:p>
        </w:tc>
        <w:tc>
          <w:tcPr>
            <w:tcW w:w="1227" w:type="pct"/>
            <w:hideMark/>
          </w:tcPr>
          <w:p w14:paraId="2B81ED0D" w14:textId="77777777" w:rsidR="0060589D" w:rsidRPr="001E7434" w:rsidRDefault="0060589D" w:rsidP="001F4142">
            <w:pPr>
              <w:pStyle w:val="Tabletext"/>
              <w:rPr>
                <w:color w:val="000000" w:themeColor="text1"/>
              </w:rPr>
            </w:pPr>
            <w:r w:rsidRPr="001E7434">
              <w:rPr>
                <w:rStyle w:val="cell-value"/>
                <w:color w:val="000000" w:themeColor="text1"/>
              </w:rPr>
              <w:t>1 fewer per 1,000</w:t>
            </w:r>
            <w:r w:rsidRPr="001E7434">
              <w:rPr>
                <w:color w:val="000000" w:themeColor="text1"/>
              </w:rPr>
              <w:br/>
            </w:r>
            <w:r w:rsidRPr="001E7434">
              <w:rPr>
                <w:rStyle w:val="cell-value"/>
                <w:color w:val="000000" w:themeColor="text1"/>
              </w:rPr>
              <w:t>(87 fewer to 387 more)</w:t>
            </w:r>
            <w:r w:rsidRPr="001E7434">
              <w:rPr>
                <w:color w:val="000000" w:themeColor="text1"/>
              </w:rPr>
              <w:t xml:space="preserve"> </w:t>
            </w:r>
          </w:p>
        </w:tc>
      </w:tr>
      <w:tr w:rsidR="0060589D" w:rsidRPr="001E7434" w14:paraId="3A5F6974" w14:textId="77777777" w:rsidTr="001F4142">
        <w:tc>
          <w:tcPr>
            <w:tcW w:w="1100" w:type="pct"/>
            <w:hideMark/>
          </w:tcPr>
          <w:p w14:paraId="060C41ED" w14:textId="77777777" w:rsidR="0060589D" w:rsidRPr="002700CD" w:rsidRDefault="0060589D" w:rsidP="001F4142">
            <w:pPr>
              <w:pStyle w:val="Tabletext"/>
              <w:rPr>
                <w:rStyle w:val="label"/>
              </w:rPr>
            </w:pPr>
            <w:r w:rsidRPr="002700CD">
              <w:rPr>
                <w:rStyle w:val="label"/>
              </w:rPr>
              <w:t>Partial healing</w:t>
            </w:r>
          </w:p>
          <w:p w14:paraId="1F49C73D" w14:textId="77777777" w:rsidR="0060589D" w:rsidRPr="002700CD" w:rsidRDefault="0060589D" w:rsidP="001F4142">
            <w:pPr>
              <w:pStyle w:val="Tabletext"/>
            </w:pPr>
            <w:r w:rsidRPr="002700CD">
              <w:rPr>
                <w:rStyle w:val="label"/>
              </w:rPr>
              <w:t>Follow-up 4 to 6 weeks</w:t>
            </w:r>
            <w:r w:rsidRPr="002700CD">
              <w:t xml:space="preserve"> </w:t>
            </w:r>
          </w:p>
        </w:tc>
        <w:tc>
          <w:tcPr>
            <w:tcW w:w="629" w:type="pct"/>
            <w:hideMark/>
          </w:tcPr>
          <w:p w14:paraId="6C6D3418" w14:textId="77777777" w:rsidR="0060589D" w:rsidRPr="001E7434" w:rsidRDefault="0060589D" w:rsidP="001F4142">
            <w:pPr>
              <w:pStyle w:val="Tabletext"/>
              <w:rPr>
                <w:color w:val="000000" w:themeColor="text1"/>
              </w:rPr>
            </w:pPr>
            <w:r w:rsidRPr="001E7434">
              <w:rPr>
                <w:color w:val="000000" w:themeColor="text1"/>
              </w:rPr>
              <w:t>154</w:t>
            </w:r>
            <w:r w:rsidRPr="001E7434">
              <w:rPr>
                <w:color w:val="000000" w:themeColor="text1"/>
              </w:rPr>
              <w:br/>
              <w:t xml:space="preserve">(2 RCTs) </w:t>
            </w:r>
          </w:p>
        </w:tc>
        <w:tc>
          <w:tcPr>
            <w:tcW w:w="629" w:type="pct"/>
            <w:hideMark/>
          </w:tcPr>
          <w:p w14:paraId="34745AC1" w14:textId="77777777" w:rsidR="0060589D" w:rsidRPr="001E7434" w:rsidRDefault="0060589D" w:rsidP="001F4142">
            <w:pPr>
              <w:pStyle w:val="Tabletext"/>
              <w:rPr>
                <w:rFonts w:ascii="Cambria Math" w:hAnsi="Cambria Math" w:cs="Cambria Math"/>
                <w:color w:val="C00000"/>
              </w:rPr>
            </w:pPr>
            <w:r w:rsidRPr="001E7434">
              <w:rPr>
                <w:rFonts w:ascii="Cambria Math" w:hAnsi="Cambria Math"/>
                <w:color w:val="00B050"/>
              </w:rPr>
              <w:t>⨁⨁⨁</w:t>
            </w:r>
            <w:r w:rsidRPr="001E7434">
              <w:rPr>
                <w:rFonts w:ascii="Cambria Math" w:hAnsi="Cambria Math" w:cs="Cambria Math"/>
                <w:color w:val="C00000"/>
              </w:rPr>
              <w:t>⨀</w:t>
            </w:r>
          </w:p>
          <w:p w14:paraId="6ECA7674" w14:textId="77777777" w:rsidR="0060589D" w:rsidRPr="001E7434" w:rsidRDefault="0060589D" w:rsidP="001F4142">
            <w:pPr>
              <w:pStyle w:val="Tabletext"/>
              <w:rPr>
                <w:color w:val="000000" w:themeColor="text1"/>
              </w:rPr>
            </w:pPr>
            <w:r w:rsidRPr="001E7434">
              <w:rPr>
                <w:rStyle w:val="quality-text"/>
                <w:color w:val="000000" w:themeColor="text1"/>
              </w:rPr>
              <w:t>MODERATE</w:t>
            </w:r>
            <w:r w:rsidRPr="001E7434">
              <w:rPr>
                <w:color w:val="000000" w:themeColor="text1"/>
              </w:rPr>
              <w:t xml:space="preserve"> </w:t>
            </w:r>
            <w:proofErr w:type="spellStart"/>
            <w:r w:rsidRPr="001E7434">
              <w:rPr>
                <w:color w:val="000000" w:themeColor="text1"/>
                <w:vertAlign w:val="superscript"/>
              </w:rPr>
              <w:t>c</w:t>
            </w:r>
            <w:r w:rsidRPr="001E7434">
              <w:rPr>
                <w:rStyle w:val="comma"/>
                <w:color w:val="000000" w:themeColor="text1"/>
                <w:vertAlign w:val="superscript"/>
              </w:rPr>
              <w:t>,</w:t>
            </w:r>
            <w:r w:rsidRPr="001E7434">
              <w:rPr>
                <w:color w:val="000000" w:themeColor="text1"/>
                <w:vertAlign w:val="superscript"/>
              </w:rPr>
              <w:t>g</w:t>
            </w:r>
            <w:r w:rsidRPr="001E7434">
              <w:rPr>
                <w:rStyle w:val="comma"/>
                <w:color w:val="000000" w:themeColor="text1"/>
                <w:vertAlign w:val="superscript"/>
              </w:rPr>
              <w:t>,</w:t>
            </w:r>
            <w:r w:rsidRPr="001E7434">
              <w:rPr>
                <w:color w:val="000000" w:themeColor="text1"/>
                <w:vertAlign w:val="superscript"/>
              </w:rPr>
              <w:t>h</w:t>
            </w:r>
            <w:proofErr w:type="spellEnd"/>
          </w:p>
        </w:tc>
        <w:tc>
          <w:tcPr>
            <w:tcW w:w="629" w:type="pct"/>
            <w:hideMark/>
          </w:tcPr>
          <w:p w14:paraId="682F1FE6" w14:textId="77777777" w:rsidR="0060589D" w:rsidRPr="001E7434" w:rsidRDefault="0060589D" w:rsidP="001F4142">
            <w:pPr>
              <w:pStyle w:val="Tabletext"/>
              <w:rPr>
                <w:color w:val="000000" w:themeColor="text1"/>
              </w:rPr>
            </w:pPr>
            <w:r w:rsidRPr="001E7434">
              <w:rPr>
                <w:rStyle w:val="cell"/>
                <w:color w:val="000000" w:themeColor="text1"/>
              </w:rPr>
              <w:t>-</w:t>
            </w:r>
            <w:r w:rsidRPr="001E7434">
              <w:rPr>
                <w:color w:val="000000" w:themeColor="text1"/>
              </w:rPr>
              <w:t xml:space="preserve"> </w:t>
            </w:r>
          </w:p>
        </w:tc>
        <w:tc>
          <w:tcPr>
            <w:tcW w:w="786" w:type="pct"/>
            <w:hideMark/>
          </w:tcPr>
          <w:p w14:paraId="72E799C9" w14:textId="77777777" w:rsidR="0060589D" w:rsidRPr="001E7434" w:rsidRDefault="0060589D" w:rsidP="001F4142">
            <w:pPr>
              <w:pStyle w:val="Tabletext"/>
              <w:rPr>
                <w:color w:val="000000" w:themeColor="text1"/>
              </w:rPr>
            </w:pPr>
            <w:r w:rsidRPr="001E7434">
              <w:rPr>
                <w:rStyle w:val="cell-value"/>
                <w:color w:val="000000" w:themeColor="text1"/>
              </w:rPr>
              <w:t>mean partial healing 0</w:t>
            </w:r>
            <w:r w:rsidRPr="001E7434">
              <w:rPr>
                <w:color w:val="000000" w:themeColor="text1"/>
              </w:rPr>
              <w:t xml:space="preserve"> </w:t>
            </w:r>
          </w:p>
        </w:tc>
        <w:tc>
          <w:tcPr>
            <w:tcW w:w="1227" w:type="pct"/>
            <w:hideMark/>
          </w:tcPr>
          <w:p w14:paraId="3A03AF0D" w14:textId="77777777" w:rsidR="0060589D" w:rsidRPr="001E7434" w:rsidRDefault="0060589D" w:rsidP="001F4142">
            <w:pPr>
              <w:pStyle w:val="Tabletext"/>
              <w:rPr>
                <w:color w:val="000000" w:themeColor="text1"/>
              </w:rPr>
            </w:pPr>
            <w:r w:rsidRPr="001E7434">
              <w:rPr>
                <w:rStyle w:val="cell-value"/>
                <w:color w:val="000000" w:themeColor="text1"/>
              </w:rPr>
              <w:t xml:space="preserve">0 </w:t>
            </w:r>
            <w:r w:rsidRPr="001E7434">
              <w:rPr>
                <w:color w:val="000000" w:themeColor="text1"/>
              </w:rPr>
              <w:br/>
            </w:r>
            <w:r w:rsidRPr="001E7434">
              <w:rPr>
                <w:rStyle w:val="cell-value"/>
                <w:color w:val="000000" w:themeColor="text1"/>
              </w:rPr>
              <w:t>(0 to 0)</w:t>
            </w:r>
            <w:r w:rsidRPr="001E7434">
              <w:rPr>
                <w:color w:val="000000" w:themeColor="text1"/>
              </w:rPr>
              <w:t xml:space="preserve"> </w:t>
            </w:r>
          </w:p>
        </w:tc>
      </w:tr>
      <w:tr w:rsidR="0060589D" w:rsidRPr="001E7434" w14:paraId="1F07ACE6" w14:textId="77777777" w:rsidTr="001F4142">
        <w:tc>
          <w:tcPr>
            <w:tcW w:w="1100" w:type="pct"/>
            <w:hideMark/>
          </w:tcPr>
          <w:p w14:paraId="795D57E9" w14:textId="77777777" w:rsidR="0060589D" w:rsidRPr="002700CD" w:rsidRDefault="0060589D" w:rsidP="001F4142">
            <w:pPr>
              <w:pStyle w:val="Tabletext"/>
              <w:rPr>
                <w:rStyle w:val="label"/>
              </w:rPr>
            </w:pPr>
            <w:r w:rsidRPr="002700CD">
              <w:rPr>
                <w:rStyle w:val="label"/>
              </w:rPr>
              <w:t>Time to heal</w:t>
            </w:r>
          </w:p>
          <w:p w14:paraId="0D027E82" w14:textId="77777777" w:rsidR="0060589D" w:rsidRPr="002700CD" w:rsidRDefault="0060589D" w:rsidP="001F4142">
            <w:pPr>
              <w:pStyle w:val="Tabletext"/>
            </w:pPr>
            <w:r w:rsidRPr="002700CD">
              <w:rPr>
                <w:rStyle w:val="label"/>
              </w:rPr>
              <w:t>Follow-up 6 to 12 weeks</w:t>
            </w:r>
            <w:r w:rsidRPr="002700CD">
              <w:t xml:space="preserve"> </w:t>
            </w:r>
          </w:p>
        </w:tc>
        <w:tc>
          <w:tcPr>
            <w:tcW w:w="629" w:type="pct"/>
            <w:hideMark/>
          </w:tcPr>
          <w:p w14:paraId="33BBF441" w14:textId="77777777" w:rsidR="0060589D" w:rsidRPr="001E7434" w:rsidRDefault="0060589D" w:rsidP="001F4142">
            <w:pPr>
              <w:pStyle w:val="Tabletext"/>
              <w:rPr>
                <w:color w:val="000000" w:themeColor="text1"/>
              </w:rPr>
            </w:pPr>
            <w:r w:rsidRPr="001E7434">
              <w:rPr>
                <w:color w:val="000000" w:themeColor="text1"/>
              </w:rPr>
              <w:t>272</w:t>
            </w:r>
            <w:r w:rsidRPr="001E7434">
              <w:rPr>
                <w:color w:val="000000" w:themeColor="text1"/>
              </w:rPr>
              <w:br/>
              <w:t xml:space="preserve">(4 RCTs) </w:t>
            </w:r>
          </w:p>
        </w:tc>
        <w:tc>
          <w:tcPr>
            <w:tcW w:w="629" w:type="pct"/>
            <w:hideMark/>
          </w:tcPr>
          <w:p w14:paraId="4C962FD7"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38B616DC" w14:textId="77777777" w:rsidR="0060589D" w:rsidRPr="001E7434" w:rsidRDefault="0060589D" w:rsidP="001F4142">
            <w:pPr>
              <w:pStyle w:val="Tabletext"/>
              <w:rPr>
                <w:color w:val="000000" w:themeColor="text1"/>
              </w:rPr>
            </w:pPr>
            <w:r w:rsidRPr="001E7434">
              <w:rPr>
                <w:rStyle w:val="quality-text"/>
                <w:color w:val="000000" w:themeColor="text1"/>
              </w:rPr>
              <w:t>LOW</w:t>
            </w:r>
            <w:r w:rsidRPr="001E7434">
              <w:rPr>
                <w:color w:val="000000" w:themeColor="text1"/>
              </w:rPr>
              <w:t xml:space="preserve"> </w:t>
            </w:r>
            <w:proofErr w:type="spellStart"/>
            <w:r w:rsidRPr="001E7434">
              <w:rPr>
                <w:color w:val="000000" w:themeColor="text1"/>
                <w:vertAlign w:val="superscript"/>
              </w:rPr>
              <w:t>a</w:t>
            </w:r>
            <w:r w:rsidRPr="001E7434">
              <w:rPr>
                <w:rStyle w:val="comma"/>
                <w:color w:val="000000" w:themeColor="text1"/>
                <w:vertAlign w:val="superscript"/>
              </w:rPr>
              <w:t>,</w:t>
            </w:r>
            <w:r w:rsidRPr="001E7434">
              <w:rPr>
                <w:color w:val="000000" w:themeColor="text1"/>
                <w:vertAlign w:val="superscript"/>
              </w:rPr>
              <w:t>b</w:t>
            </w:r>
            <w:r w:rsidRPr="001E7434">
              <w:rPr>
                <w:rStyle w:val="comma"/>
                <w:color w:val="000000" w:themeColor="text1"/>
                <w:vertAlign w:val="superscript"/>
              </w:rPr>
              <w:t>,</w:t>
            </w:r>
            <w:r w:rsidRPr="001E7434">
              <w:rPr>
                <w:color w:val="000000" w:themeColor="text1"/>
                <w:vertAlign w:val="superscript"/>
              </w:rPr>
              <w:t>g</w:t>
            </w:r>
            <w:r w:rsidRPr="001E7434">
              <w:rPr>
                <w:rStyle w:val="comma"/>
                <w:color w:val="000000" w:themeColor="text1"/>
                <w:vertAlign w:val="superscript"/>
              </w:rPr>
              <w:t>,</w:t>
            </w:r>
            <w:r w:rsidRPr="001E7434">
              <w:rPr>
                <w:color w:val="000000" w:themeColor="text1"/>
                <w:vertAlign w:val="superscript"/>
              </w:rPr>
              <w:t>k</w:t>
            </w:r>
            <w:proofErr w:type="spellEnd"/>
          </w:p>
        </w:tc>
        <w:tc>
          <w:tcPr>
            <w:tcW w:w="629" w:type="pct"/>
            <w:hideMark/>
          </w:tcPr>
          <w:p w14:paraId="3C97C1E6" w14:textId="77777777" w:rsidR="0060589D" w:rsidRPr="001E7434" w:rsidRDefault="0060589D" w:rsidP="001F4142">
            <w:pPr>
              <w:pStyle w:val="Tabletext"/>
              <w:rPr>
                <w:color w:val="000000" w:themeColor="text1"/>
              </w:rPr>
            </w:pPr>
            <w:r w:rsidRPr="001E7434">
              <w:rPr>
                <w:rStyle w:val="cell"/>
                <w:color w:val="000000" w:themeColor="text1"/>
              </w:rPr>
              <w:t>-</w:t>
            </w:r>
            <w:r w:rsidRPr="001E7434">
              <w:rPr>
                <w:color w:val="000000" w:themeColor="text1"/>
              </w:rPr>
              <w:t xml:space="preserve"> </w:t>
            </w:r>
          </w:p>
        </w:tc>
        <w:tc>
          <w:tcPr>
            <w:tcW w:w="786" w:type="pct"/>
            <w:hideMark/>
          </w:tcPr>
          <w:p w14:paraId="24F67570" w14:textId="77777777" w:rsidR="0060589D" w:rsidRPr="001E7434" w:rsidRDefault="0060589D" w:rsidP="001F4142">
            <w:pPr>
              <w:pStyle w:val="Tabletext"/>
              <w:rPr>
                <w:color w:val="000000" w:themeColor="text1"/>
              </w:rPr>
            </w:pPr>
            <w:r w:rsidRPr="001E7434">
              <w:rPr>
                <w:rStyle w:val="cell-value"/>
                <w:color w:val="000000" w:themeColor="text1"/>
              </w:rPr>
              <w:t>mean time to heal 0</w:t>
            </w:r>
            <w:r w:rsidRPr="001E7434">
              <w:rPr>
                <w:color w:val="000000" w:themeColor="text1"/>
              </w:rPr>
              <w:t xml:space="preserve"> </w:t>
            </w:r>
          </w:p>
        </w:tc>
        <w:tc>
          <w:tcPr>
            <w:tcW w:w="1227" w:type="pct"/>
            <w:hideMark/>
          </w:tcPr>
          <w:p w14:paraId="1E041E36" w14:textId="77777777" w:rsidR="0060589D" w:rsidRPr="001E7434" w:rsidRDefault="0060589D" w:rsidP="001F4142">
            <w:pPr>
              <w:pStyle w:val="Tabletext"/>
              <w:rPr>
                <w:color w:val="000000" w:themeColor="text1"/>
              </w:rPr>
            </w:pPr>
            <w:r w:rsidRPr="001E7434">
              <w:rPr>
                <w:rStyle w:val="cell-value"/>
                <w:color w:val="000000" w:themeColor="text1"/>
              </w:rPr>
              <w:t>MD</w:t>
            </w:r>
            <w:r>
              <w:rPr>
                <w:rStyle w:val="cell-value"/>
                <w:color w:val="000000" w:themeColor="text1"/>
              </w:rPr>
              <w:t xml:space="preserve"> =</w:t>
            </w:r>
            <w:r w:rsidRPr="001E7434">
              <w:rPr>
                <w:rStyle w:val="cell-value"/>
                <w:color w:val="000000" w:themeColor="text1"/>
              </w:rPr>
              <w:t xml:space="preserve"> -24.7</w:t>
            </w:r>
            <w:r>
              <w:rPr>
                <w:rStyle w:val="cell-value"/>
                <w:color w:val="000000" w:themeColor="text1"/>
              </w:rPr>
              <w:t>0</w:t>
            </w:r>
            <w:r w:rsidRPr="001E7434">
              <w:rPr>
                <w:rStyle w:val="cell-value"/>
                <w:color w:val="000000" w:themeColor="text1"/>
              </w:rPr>
              <w:t xml:space="preserve"> lower</w:t>
            </w:r>
            <w:r w:rsidRPr="001E7434">
              <w:rPr>
                <w:color w:val="000000" w:themeColor="text1"/>
              </w:rPr>
              <w:br/>
            </w:r>
            <w:r w:rsidRPr="001E7434">
              <w:rPr>
                <w:rStyle w:val="cell-value"/>
                <w:color w:val="000000" w:themeColor="text1"/>
              </w:rPr>
              <w:t>(-35.</w:t>
            </w:r>
            <w:r>
              <w:rPr>
                <w:rStyle w:val="cell-value"/>
                <w:color w:val="000000" w:themeColor="text1"/>
              </w:rPr>
              <w:t>5</w:t>
            </w:r>
            <w:r w:rsidRPr="001E7434">
              <w:rPr>
                <w:rStyle w:val="cell-value"/>
                <w:color w:val="000000" w:themeColor="text1"/>
              </w:rPr>
              <w:t xml:space="preserve"> lower to -13.</w:t>
            </w:r>
            <w:r>
              <w:rPr>
                <w:rStyle w:val="cell-value"/>
                <w:color w:val="000000" w:themeColor="text1"/>
              </w:rPr>
              <w:t>9</w:t>
            </w:r>
            <w:r w:rsidRPr="001E7434">
              <w:rPr>
                <w:rStyle w:val="cell-value"/>
                <w:color w:val="000000" w:themeColor="text1"/>
              </w:rPr>
              <w:t xml:space="preserve"> lower)</w:t>
            </w:r>
            <w:r w:rsidRPr="001E7434">
              <w:rPr>
                <w:color w:val="000000" w:themeColor="text1"/>
              </w:rPr>
              <w:t xml:space="preserve"> </w:t>
            </w:r>
          </w:p>
        </w:tc>
      </w:tr>
      <w:tr w:rsidR="0060589D" w:rsidRPr="001E7434" w14:paraId="53F952C5" w14:textId="77777777" w:rsidTr="001F4142">
        <w:tc>
          <w:tcPr>
            <w:tcW w:w="1100" w:type="pct"/>
          </w:tcPr>
          <w:p w14:paraId="0480BEA3" w14:textId="77777777" w:rsidR="0060589D" w:rsidRPr="002700CD" w:rsidRDefault="0060589D" w:rsidP="001F4142">
            <w:pPr>
              <w:pStyle w:val="Tabletext"/>
              <w:rPr>
                <w:rStyle w:val="label"/>
              </w:rPr>
            </w:pPr>
            <w:r w:rsidRPr="002700CD">
              <w:rPr>
                <w:rStyle w:val="label"/>
              </w:rPr>
              <w:t>Wound size reduction</w:t>
            </w:r>
          </w:p>
          <w:p w14:paraId="5A1E26D7" w14:textId="77777777" w:rsidR="0060589D" w:rsidRPr="002700CD" w:rsidRDefault="0060589D" w:rsidP="001F4142">
            <w:pPr>
              <w:pStyle w:val="Tabletext"/>
              <w:rPr>
                <w:rStyle w:val="label"/>
              </w:rPr>
            </w:pPr>
            <w:r w:rsidRPr="002700CD">
              <w:rPr>
                <w:rStyle w:val="label"/>
              </w:rPr>
              <w:t>Follow-up 6 to 12 weeks</w:t>
            </w:r>
            <w:r w:rsidRPr="002700CD">
              <w:t xml:space="preserve"> </w:t>
            </w:r>
          </w:p>
        </w:tc>
        <w:tc>
          <w:tcPr>
            <w:tcW w:w="629" w:type="pct"/>
          </w:tcPr>
          <w:p w14:paraId="51C4E5B7" w14:textId="77777777" w:rsidR="0060589D" w:rsidRPr="001E7434" w:rsidRDefault="0060589D" w:rsidP="001F4142">
            <w:pPr>
              <w:pStyle w:val="Tabletext"/>
              <w:rPr>
                <w:color w:val="000000" w:themeColor="text1"/>
              </w:rPr>
            </w:pPr>
            <w:r w:rsidRPr="001E7434">
              <w:rPr>
                <w:color w:val="000000" w:themeColor="text1"/>
              </w:rPr>
              <w:t>65</w:t>
            </w:r>
            <w:r w:rsidRPr="001E7434">
              <w:rPr>
                <w:color w:val="000000" w:themeColor="text1"/>
              </w:rPr>
              <w:br/>
              <w:t xml:space="preserve">(2 RCTs) </w:t>
            </w:r>
          </w:p>
        </w:tc>
        <w:tc>
          <w:tcPr>
            <w:tcW w:w="629" w:type="pct"/>
          </w:tcPr>
          <w:p w14:paraId="09AD6EA2"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5D79E576" w14:textId="77777777" w:rsidR="0060589D" w:rsidRPr="001E7434" w:rsidRDefault="0060589D" w:rsidP="001F4142">
            <w:pPr>
              <w:pStyle w:val="Tabletext"/>
              <w:rPr>
                <w:rFonts w:ascii="Cambria Math" w:hAnsi="Cambria Math"/>
                <w:color w:val="00B050"/>
              </w:rPr>
            </w:pPr>
            <w:r w:rsidRPr="001E7434">
              <w:rPr>
                <w:rStyle w:val="quality-text"/>
                <w:color w:val="000000" w:themeColor="text1"/>
              </w:rPr>
              <w:t>LOW</w:t>
            </w:r>
            <w:r w:rsidRPr="001E7434">
              <w:rPr>
                <w:color w:val="000000" w:themeColor="text1"/>
              </w:rPr>
              <w:t xml:space="preserve"> </w:t>
            </w:r>
            <w:proofErr w:type="spellStart"/>
            <w:r w:rsidRPr="001E7434">
              <w:rPr>
                <w:color w:val="000000" w:themeColor="text1"/>
                <w:vertAlign w:val="superscript"/>
              </w:rPr>
              <w:t>a</w:t>
            </w:r>
            <w:r w:rsidRPr="001E7434">
              <w:rPr>
                <w:rStyle w:val="comma"/>
                <w:color w:val="000000" w:themeColor="text1"/>
                <w:vertAlign w:val="superscript"/>
              </w:rPr>
              <w:t>,</w:t>
            </w:r>
            <w:r w:rsidRPr="001E7434">
              <w:rPr>
                <w:color w:val="000000" w:themeColor="text1"/>
                <w:vertAlign w:val="superscript"/>
              </w:rPr>
              <w:t>b</w:t>
            </w:r>
            <w:proofErr w:type="spellEnd"/>
          </w:p>
        </w:tc>
        <w:tc>
          <w:tcPr>
            <w:tcW w:w="629" w:type="pct"/>
          </w:tcPr>
          <w:p w14:paraId="2864CAF1" w14:textId="77777777" w:rsidR="0060589D" w:rsidRPr="001E7434" w:rsidRDefault="0060589D" w:rsidP="001F4142">
            <w:pPr>
              <w:pStyle w:val="Tabletext"/>
              <w:rPr>
                <w:rStyle w:val="cell"/>
                <w:color w:val="000000" w:themeColor="text1"/>
              </w:rPr>
            </w:pPr>
            <w:r w:rsidRPr="001E7434">
              <w:rPr>
                <w:rStyle w:val="cell"/>
                <w:color w:val="000000" w:themeColor="text1"/>
              </w:rPr>
              <w:t>-</w:t>
            </w:r>
            <w:r w:rsidRPr="001E7434">
              <w:rPr>
                <w:color w:val="000000" w:themeColor="text1"/>
              </w:rPr>
              <w:t xml:space="preserve"> </w:t>
            </w:r>
          </w:p>
        </w:tc>
        <w:tc>
          <w:tcPr>
            <w:tcW w:w="786" w:type="pct"/>
          </w:tcPr>
          <w:p w14:paraId="3DCA48AE" w14:textId="77777777" w:rsidR="0060589D" w:rsidRPr="001E7434" w:rsidRDefault="0060589D" w:rsidP="001F4142">
            <w:pPr>
              <w:pStyle w:val="Tabletext"/>
              <w:rPr>
                <w:rStyle w:val="cell-value"/>
                <w:color w:val="000000" w:themeColor="text1"/>
              </w:rPr>
            </w:pPr>
            <w:r w:rsidRPr="001E7434">
              <w:rPr>
                <w:rStyle w:val="cell-value"/>
                <w:color w:val="000000" w:themeColor="text1"/>
              </w:rPr>
              <w:t>mean wound size reduction 0</w:t>
            </w:r>
            <w:r w:rsidRPr="001E7434">
              <w:rPr>
                <w:color w:val="000000" w:themeColor="text1"/>
              </w:rPr>
              <w:t xml:space="preserve"> </w:t>
            </w:r>
          </w:p>
        </w:tc>
        <w:tc>
          <w:tcPr>
            <w:tcW w:w="1227" w:type="pct"/>
          </w:tcPr>
          <w:p w14:paraId="14531FD8" w14:textId="77777777" w:rsidR="0060589D" w:rsidRPr="001E7434" w:rsidRDefault="0060589D" w:rsidP="001F4142">
            <w:pPr>
              <w:pStyle w:val="Tabletext"/>
              <w:rPr>
                <w:rStyle w:val="cell-value"/>
                <w:color w:val="000000" w:themeColor="text1"/>
              </w:rPr>
            </w:pPr>
            <w:r w:rsidRPr="001E7434">
              <w:rPr>
                <w:rStyle w:val="cell-value"/>
                <w:color w:val="000000" w:themeColor="text1"/>
              </w:rPr>
              <w:t xml:space="preserve">MD </w:t>
            </w:r>
            <w:r>
              <w:rPr>
                <w:rStyle w:val="cell-value"/>
                <w:color w:val="000000" w:themeColor="text1"/>
              </w:rPr>
              <w:t xml:space="preserve">= </w:t>
            </w:r>
            <w:r w:rsidRPr="001E7434">
              <w:rPr>
                <w:rStyle w:val="cell-value"/>
                <w:color w:val="000000" w:themeColor="text1"/>
              </w:rPr>
              <w:t>60.28 higher</w:t>
            </w:r>
            <w:r w:rsidRPr="001E7434">
              <w:rPr>
                <w:color w:val="000000" w:themeColor="text1"/>
              </w:rPr>
              <w:br/>
            </w:r>
            <w:r w:rsidRPr="001E7434">
              <w:rPr>
                <w:rStyle w:val="cell-value"/>
                <w:color w:val="000000" w:themeColor="text1"/>
              </w:rPr>
              <w:t>(37.43 higher to 83.13 higher)</w:t>
            </w:r>
            <w:r w:rsidRPr="001E7434">
              <w:rPr>
                <w:color w:val="000000" w:themeColor="text1"/>
              </w:rPr>
              <w:t xml:space="preserve"> </w:t>
            </w:r>
          </w:p>
        </w:tc>
      </w:tr>
      <w:tr w:rsidR="0060589D" w:rsidRPr="001B0DBA" w14:paraId="6C208CB0" w14:textId="77777777" w:rsidTr="001F4142">
        <w:tc>
          <w:tcPr>
            <w:tcW w:w="1100" w:type="pct"/>
          </w:tcPr>
          <w:p w14:paraId="1EE93D57" w14:textId="77777777" w:rsidR="0060589D" w:rsidRPr="001B0DBA" w:rsidRDefault="0060589D" w:rsidP="001F4142">
            <w:pPr>
              <w:pStyle w:val="Tabletext"/>
              <w:rPr>
                <w:rStyle w:val="label"/>
                <w:b/>
                <w:bCs/>
                <w:color w:val="000000" w:themeColor="text1"/>
              </w:rPr>
            </w:pPr>
            <w:r w:rsidRPr="001B0DBA">
              <w:rPr>
                <w:rStyle w:val="label"/>
                <w:b/>
                <w:bCs/>
                <w:color w:val="000000" w:themeColor="text1"/>
              </w:rPr>
              <w:t>Safety outcomes</w:t>
            </w:r>
          </w:p>
        </w:tc>
        <w:tc>
          <w:tcPr>
            <w:tcW w:w="629" w:type="pct"/>
          </w:tcPr>
          <w:p w14:paraId="74E2EA0D" w14:textId="77777777" w:rsidR="0060589D" w:rsidRPr="001B0DBA" w:rsidRDefault="0060589D" w:rsidP="001F4142">
            <w:pPr>
              <w:pStyle w:val="Tabletext"/>
              <w:rPr>
                <w:b/>
                <w:bCs/>
                <w:color w:val="000000" w:themeColor="text1"/>
              </w:rPr>
            </w:pPr>
          </w:p>
        </w:tc>
        <w:tc>
          <w:tcPr>
            <w:tcW w:w="629" w:type="pct"/>
          </w:tcPr>
          <w:p w14:paraId="4039DE72" w14:textId="77777777" w:rsidR="0060589D" w:rsidRPr="001B0DBA" w:rsidRDefault="0060589D" w:rsidP="001F4142">
            <w:pPr>
              <w:pStyle w:val="Tabletext"/>
              <w:rPr>
                <w:rFonts w:ascii="Cambria Math" w:hAnsi="Cambria Math"/>
                <w:b/>
                <w:bCs/>
                <w:color w:val="000000" w:themeColor="text1"/>
              </w:rPr>
            </w:pPr>
          </w:p>
        </w:tc>
        <w:tc>
          <w:tcPr>
            <w:tcW w:w="629" w:type="pct"/>
          </w:tcPr>
          <w:p w14:paraId="0717A0A5" w14:textId="77777777" w:rsidR="0060589D" w:rsidRPr="001B0DBA" w:rsidRDefault="0060589D" w:rsidP="001F4142">
            <w:pPr>
              <w:pStyle w:val="Tabletext"/>
              <w:rPr>
                <w:rStyle w:val="block"/>
                <w:b/>
                <w:bCs/>
                <w:color w:val="000000" w:themeColor="text1"/>
              </w:rPr>
            </w:pPr>
          </w:p>
        </w:tc>
        <w:tc>
          <w:tcPr>
            <w:tcW w:w="786" w:type="pct"/>
          </w:tcPr>
          <w:p w14:paraId="307A9CA1" w14:textId="77777777" w:rsidR="0060589D" w:rsidRPr="001B0DBA" w:rsidRDefault="0060589D" w:rsidP="001F4142">
            <w:pPr>
              <w:pStyle w:val="Tabletext"/>
              <w:rPr>
                <w:b/>
                <w:bCs/>
                <w:color w:val="000000" w:themeColor="text1"/>
              </w:rPr>
            </w:pPr>
          </w:p>
        </w:tc>
        <w:tc>
          <w:tcPr>
            <w:tcW w:w="1227" w:type="pct"/>
          </w:tcPr>
          <w:p w14:paraId="6AD7994A" w14:textId="77777777" w:rsidR="0060589D" w:rsidRPr="001B0DBA" w:rsidRDefault="0060589D" w:rsidP="001F4142">
            <w:pPr>
              <w:pStyle w:val="Tabletext"/>
              <w:rPr>
                <w:rStyle w:val="cell-value"/>
                <w:b/>
                <w:bCs/>
                <w:color w:val="000000" w:themeColor="text1"/>
              </w:rPr>
            </w:pPr>
          </w:p>
        </w:tc>
      </w:tr>
      <w:tr w:rsidR="0060589D" w:rsidRPr="001E7434" w14:paraId="582B3CFD" w14:textId="77777777" w:rsidTr="001F4142">
        <w:tc>
          <w:tcPr>
            <w:tcW w:w="1100" w:type="pct"/>
            <w:hideMark/>
          </w:tcPr>
          <w:p w14:paraId="37C22FDA" w14:textId="77777777" w:rsidR="0060589D" w:rsidRPr="001E7434" w:rsidRDefault="0060589D" w:rsidP="001F4142">
            <w:pPr>
              <w:pStyle w:val="Tabletext"/>
              <w:rPr>
                <w:rStyle w:val="label"/>
                <w:color w:val="000000" w:themeColor="text1"/>
              </w:rPr>
            </w:pPr>
            <w:r w:rsidRPr="001E7434">
              <w:rPr>
                <w:rStyle w:val="label"/>
                <w:color w:val="000000" w:themeColor="text1"/>
              </w:rPr>
              <w:t>Cellulitis</w:t>
            </w:r>
          </w:p>
          <w:p w14:paraId="2FB29809" w14:textId="77777777" w:rsidR="0060589D" w:rsidRPr="001E7434" w:rsidRDefault="0060589D" w:rsidP="001F4142">
            <w:pPr>
              <w:pStyle w:val="Tabletext"/>
              <w:rPr>
                <w:color w:val="000000" w:themeColor="text1"/>
              </w:rPr>
            </w:pPr>
            <w:r w:rsidRPr="001E7434">
              <w:rPr>
                <w:rStyle w:val="label"/>
                <w:color w:val="000000" w:themeColor="text1"/>
              </w:rPr>
              <w:t>Follow-up 6 to 12 weeks</w:t>
            </w:r>
            <w:r w:rsidRPr="001E7434">
              <w:rPr>
                <w:color w:val="000000" w:themeColor="text1"/>
              </w:rPr>
              <w:t xml:space="preserve"> </w:t>
            </w:r>
          </w:p>
        </w:tc>
        <w:tc>
          <w:tcPr>
            <w:tcW w:w="629" w:type="pct"/>
            <w:hideMark/>
          </w:tcPr>
          <w:p w14:paraId="717F62F0" w14:textId="77777777" w:rsidR="0060589D" w:rsidRPr="001E7434" w:rsidRDefault="0060589D" w:rsidP="001F4142">
            <w:pPr>
              <w:pStyle w:val="Tabletext"/>
              <w:rPr>
                <w:color w:val="000000" w:themeColor="text1"/>
              </w:rPr>
            </w:pPr>
            <w:r w:rsidRPr="001E7434">
              <w:rPr>
                <w:color w:val="000000" w:themeColor="text1"/>
              </w:rPr>
              <w:t>284</w:t>
            </w:r>
            <w:r w:rsidRPr="001E7434">
              <w:rPr>
                <w:color w:val="000000" w:themeColor="text1"/>
              </w:rPr>
              <w:br/>
              <w:t xml:space="preserve">(3 RCTs) </w:t>
            </w:r>
          </w:p>
        </w:tc>
        <w:tc>
          <w:tcPr>
            <w:tcW w:w="629" w:type="pct"/>
            <w:hideMark/>
          </w:tcPr>
          <w:p w14:paraId="3F0390F1"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06DC3BDB" w14:textId="77777777" w:rsidR="0060589D" w:rsidRPr="001E7434" w:rsidRDefault="0060589D" w:rsidP="001F4142">
            <w:pPr>
              <w:pStyle w:val="Tabletext"/>
              <w:rPr>
                <w:color w:val="000000" w:themeColor="text1"/>
              </w:rPr>
            </w:pPr>
            <w:r w:rsidRPr="001E7434">
              <w:rPr>
                <w:rStyle w:val="quality-text"/>
                <w:color w:val="000000" w:themeColor="text1"/>
              </w:rPr>
              <w:t>LOW</w:t>
            </w:r>
            <w:r w:rsidRPr="001E7434">
              <w:rPr>
                <w:color w:val="000000" w:themeColor="text1"/>
              </w:rPr>
              <w:t xml:space="preserve"> </w:t>
            </w:r>
            <w:proofErr w:type="spellStart"/>
            <w:r w:rsidRPr="001E7434">
              <w:rPr>
                <w:color w:val="000000" w:themeColor="text1"/>
                <w:vertAlign w:val="superscript"/>
              </w:rPr>
              <w:t>b</w:t>
            </w:r>
            <w:r w:rsidRPr="001E7434">
              <w:rPr>
                <w:rStyle w:val="comma"/>
                <w:color w:val="000000" w:themeColor="text1"/>
                <w:vertAlign w:val="superscript"/>
              </w:rPr>
              <w:t>,</w:t>
            </w:r>
            <w:r w:rsidRPr="001E7434">
              <w:rPr>
                <w:color w:val="000000" w:themeColor="text1"/>
                <w:vertAlign w:val="superscript"/>
              </w:rPr>
              <w:t>c</w:t>
            </w:r>
            <w:r w:rsidRPr="001E7434">
              <w:rPr>
                <w:rStyle w:val="comma"/>
                <w:color w:val="000000" w:themeColor="text1"/>
                <w:vertAlign w:val="superscript"/>
              </w:rPr>
              <w:t>,</w:t>
            </w:r>
            <w:r w:rsidRPr="001E7434">
              <w:rPr>
                <w:color w:val="000000" w:themeColor="text1"/>
                <w:vertAlign w:val="superscript"/>
              </w:rPr>
              <w:t>f</w:t>
            </w:r>
            <w:r w:rsidRPr="001E7434">
              <w:rPr>
                <w:rStyle w:val="comma"/>
                <w:color w:val="000000" w:themeColor="text1"/>
                <w:vertAlign w:val="superscript"/>
              </w:rPr>
              <w:t>,</w:t>
            </w:r>
            <w:r w:rsidRPr="001E7434">
              <w:rPr>
                <w:color w:val="000000" w:themeColor="text1"/>
                <w:vertAlign w:val="superscript"/>
              </w:rPr>
              <w:t>g</w:t>
            </w:r>
            <w:proofErr w:type="spellEnd"/>
          </w:p>
        </w:tc>
        <w:tc>
          <w:tcPr>
            <w:tcW w:w="629" w:type="pct"/>
            <w:hideMark/>
          </w:tcPr>
          <w:p w14:paraId="49F0ECEA" w14:textId="77777777" w:rsidR="0060589D" w:rsidRPr="001E7434" w:rsidRDefault="0060589D" w:rsidP="001F4142">
            <w:pPr>
              <w:pStyle w:val="Tabletext"/>
              <w:rPr>
                <w:rStyle w:val="block"/>
                <w:color w:val="000000" w:themeColor="text1"/>
              </w:rPr>
            </w:pPr>
            <w:r w:rsidRPr="001E7434">
              <w:rPr>
                <w:rStyle w:val="block"/>
                <w:color w:val="000000" w:themeColor="text1"/>
              </w:rPr>
              <w:t>RR 0.80</w:t>
            </w:r>
          </w:p>
          <w:p w14:paraId="3ABDBB3A" w14:textId="77777777" w:rsidR="0060589D" w:rsidRPr="001E7434" w:rsidRDefault="0060589D" w:rsidP="001F4142">
            <w:pPr>
              <w:pStyle w:val="Tabletext"/>
              <w:rPr>
                <w:color w:val="000000" w:themeColor="text1"/>
              </w:rPr>
            </w:pPr>
            <w:r w:rsidRPr="001E7434">
              <w:rPr>
                <w:rStyle w:val="cell"/>
                <w:color w:val="000000" w:themeColor="text1"/>
              </w:rPr>
              <w:t>(0.34 to 1.87)</w:t>
            </w:r>
            <w:r w:rsidRPr="001E7434">
              <w:rPr>
                <w:color w:val="000000" w:themeColor="text1"/>
              </w:rPr>
              <w:t xml:space="preserve"> </w:t>
            </w:r>
          </w:p>
        </w:tc>
        <w:tc>
          <w:tcPr>
            <w:tcW w:w="786" w:type="pct"/>
            <w:hideMark/>
          </w:tcPr>
          <w:p w14:paraId="1BC48154" w14:textId="77777777" w:rsidR="0060589D" w:rsidRPr="001E7434" w:rsidRDefault="0060589D" w:rsidP="001F4142">
            <w:pPr>
              <w:pStyle w:val="Tabletext"/>
              <w:rPr>
                <w:color w:val="000000" w:themeColor="text1"/>
              </w:rPr>
            </w:pPr>
            <w:r w:rsidRPr="001E7434">
              <w:rPr>
                <w:color w:val="000000" w:themeColor="text1"/>
              </w:rPr>
              <w:t xml:space="preserve">76 per 1,000 </w:t>
            </w:r>
          </w:p>
        </w:tc>
        <w:tc>
          <w:tcPr>
            <w:tcW w:w="1227" w:type="pct"/>
            <w:hideMark/>
          </w:tcPr>
          <w:p w14:paraId="5CA24483" w14:textId="77777777" w:rsidR="0060589D" w:rsidRPr="001E7434" w:rsidRDefault="0060589D" w:rsidP="001F4142">
            <w:pPr>
              <w:pStyle w:val="Tabletext"/>
              <w:rPr>
                <w:color w:val="000000" w:themeColor="text1"/>
              </w:rPr>
            </w:pPr>
            <w:r w:rsidRPr="001E7434">
              <w:rPr>
                <w:rStyle w:val="cell-value"/>
                <w:color w:val="000000" w:themeColor="text1"/>
              </w:rPr>
              <w:t>15 fewer per 1,000</w:t>
            </w:r>
            <w:r w:rsidRPr="001E7434">
              <w:rPr>
                <w:color w:val="000000" w:themeColor="text1"/>
              </w:rPr>
              <w:br/>
            </w:r>
            <w:r w:rsidRPr="001E7434">
              <w:rPr>
                <w:rStyle w:val="cell-value"/>
                <w:color w:val="000000" w:themeColor="text1"/>
              </w:rPr>
              <w:t>(50 fewer to 66 more)</w:t>
            </w:r>
            <w:r w:rsidRPr="001E7434">
              <w:rPr>
                <w:color w:val="000000" w:themeColor="text1"/>
              </w:rPr>
              <w:t xml:space="preserve"> </w:t>
            </w:r>
          </w:p>
        </w:tc>
      </w:tr>
      <w:tr w:rsidR="0060589D" w:rsidRPr="001E7434" w14:paraId="0211D739" w14:textId="77777777" w:rsidTr="001F4142">
        <w:tc>
          <w:tcPr>
            <w:tcW w:w="1100" w:type="pct"/>
          </w:tcPr>
          <w:p w14:paraId="0DCFA93A" w14:textId="77777777" w:rsidR="0060589D" w:rsidRPr="001E7434" w:rsidRDefault="0060589D" w:rsidP="001F4142">
            <w:pPr>
              <w:pStyle w:val="Tabletext"/>
              <w:rPr>
                <w:rStyle w:val="label"/>
                <w:color w:val="000000" w:themeColor="text1"/>
              </w:rPr>
            </w:pPr>
            <w:r w:rsidRPr="001E7434">
              <w:rPr>
                <w:rStyle w:val="label"/>
                <w:color w:val="000000" w:themeColor="text1"/>
              </w:rPr>
              <w:t>Wound infection</w:t>
            </w:r>
          </w:p>
          <w:p w14:paraId="729BDE73" w14:textId="77777777" w:rsidR="0060589D" w:rsidRPr="001E7434" w:rsidRDefault="0060589D" w:rsidP="001F4142">
            <w:pPr>
              <w:pStyle w:val="Tabletext"/>
              <w:rPr>
                <w:rStyle w:val="label"/>
                <w:color w:val="000000" w:themeColor="text1"/>
              </w:rPr>
            </w:pPr>
            <w:r w:rsidRPr="001E7434">
              <w:rPr>
                <w:rStyle w:val="label"/>
                <w:color w:val="000000" w:themeColor="text1"/>
              </w:rPr>
              <w:t>Follow-up 6 to 12 weeks</w:t>
            </w:r>
            <w:r w:rsidRPr="001E7434">
              <w:t xml:space="preserve"> </w:t>
            </w:r>
          </w:p>
        </w:tc>
        <w:tc>
          <w:tcPr>
            <w:tcW w:w="629" w:type="pct"/>
          </w:tcPr>
          <w:p w14:paraId="60B1CD73" w14:textId="77777777" w:rsidR="0060589D" w:rsidRPr="001E7434" w:rsidRDefault="0060589D" w:rsidP="001F4142">
            <w:pPr>
              <w:pStyle w:val="Tabletext"/>
            </w:pPr>
            <w:r w:rsidRPr="001E7434">
              <w:t>426</w:t>
            </w:r>
            <w:r w:rsidRPr="001E7434">
              <w:br/>
              <w:t xml:space="preserve">(4 RCTs) </w:t>
            </w:r>
          </w:p>
        </w:tc>
        <w:tc>
          <w:tcPr>
            <w:tcW w:w="629" w:type="pct"/>
          </w:tcPr>
          <w:p w14:paraId="20238F5E"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0F3FD3C8" w14:textId="77777777" w:rsidR="0060589D" w:rsidRPr="001E7434" w:rsidRDefault="0060589D" w:rsidP="001F4142">
            <w:pPr>
              <w:pStyle w:val="Tabletext"/>
              <w:rPr>
                <w:rFonts w:ascii="Cambria Math" w:hAnsi="Cambria Math"/>
                <w:color w:val="00B050"/>
              </w:rPr>
            </w:pPr>
            <w:r w:rsidRPr="001E7434">
              <w:rPr>
                <w:rStyle w:val="quality-text"/>
                <w:color w:val="000000" w:themeColor="text1"/>
              </w:rPr>
              <w:t>LOW</w:t>
            </w:r>
            <w:r w:rsidRPr="001E7434">
              <w:t xml:space="preserve"> </w:t>
            </w:r>
            <w:proofErr w:type="spellStart"/>
            <w:r w:rsidRPr="001E7434">
              <w:rPr>
                <w:vertAlign w:val="superscript"/>
              </w:rPr>
              <w:t>b</w:t>
            </w:r>
            <w:r w:rsidRPr="001E7434">
              <w:rPr>
                <w:rStyle w:val="comma"/>
                <w:color w:val="000000" w:themeColor="text1"/>
                <w:vertAlign w:val="superscript"/>
              </w:rPr>
              <w:t>,</w:t>
            </w:r>
            <w:r w:rsidRPr="001E7434">
              <w:rPr>
                <w:vertAlign w:val="superscript"/>
              </w:rPr>
              <w:t>c</w:t>
            </w:r>
            <w:r w:rsidRPr="001E7434">
              <w:rPr>
                <w:rStyle w:val="comma"/>
                <w:color w:val="000000" w:themeColor="text1"/>
                <w:vertAlign w:val="superscript"/>
              </w:rPr>
              <w:t>,</w:t>
            </w:r>
            <w:r w:rsidRPr="001E7434">
              <w:rPr>
                <w:vertAlign w:val="superscript"/>
              </w:rPr>
              <w:t>f</w:t>
            </w:r>
            <w:r w:rsidRPr="001E7434">
              <w:rPr>
                <w:rStyle w:val="comma"/>
                <w:color w:val="000000" w:themeColor="text1"/>
                <w:vertAlign w:val="superscript"/>
              </w:rPr>
              <w:t>,</w:t>
            </w:r>
            <w:r w:rsidRPr="001E7434">
              <w:rPr>
                <w:vertAlign w:val="superscript"/>
              </w:rPr>
              <w:t>g</w:t>
            </w:r>
            <w:proofErr w:type="spellEnd"/>
          </w:p>
        </w:tc>
        <w:tc>
          <w:tcPr>
            <w:tcW w:w="629" w:type="pct"/>
          </w:tcPr>
          <w:p w14:paraId="1EAC4FD6" w14:textId="77777777" w:rsidR="0060589D" w:rsidRPr="001E7434" w:rsidRDefault="0060589D" w:rsidP="001F4142">
            <w:pPr>
              <w:pStyle w:val="Tabletext"/>
              <w:rPr>
                <w:rStyle w:val="block"/>
                <w:color w:val="000000" w:themeColor="text1"/>
              </w:rPr>
            </w:pPr>
            <w:r w:rsidRPr="001E7434">
              <w:rPr>
                <w:rStyle w:val="block"/>
                <w:color w:val="000000" w:themeColor="text1"/>
              </w:rPr>
              <w:t>RR 0.67</w:t>
            </w:r>
          </w:p>
          <w:p w14:paraId="537F96B6" w14:textId="77777777" w:rsidR="0060589D" w:rsidRPr="001E7434" w:rsidRDefault="0060589D" w:rsidP="001F4142">
            <w:pPr>
              <w:pStyle w:val="Tabletext"/>
              <w:rPr>
                <w:rStyle w:val="block"/>
                <w:color w:val="000000" w:themeColor="text1"/>
              </w:rPr>
            </w:pPr>
            <w:r w:rsidRPr="001E7434">
              <w:rPr>
                <w:rStyle w:val="cell"/>
                <w:color w:val="000000" w:themeColor="text1"/>
              </w:rPr>
              <w:t>(0.35 to 1.30)</w:t>
            </w:r>
            <w:r w:rsidRPr="001E7434">
              <w:t xml:space="preserve"> </w:t>
            </w:r>
          </w:p>
        </w:tc>
        <w:tc>
          <w:tcPr>
            <w:tcW w:w="786" w:type="pct"/>
          </w:tcPr>
          <w:p w14:paraId="60C5B961" w14:textId="77777777" w:rsidR="0060589D" w:rsidRPr="001E7434" w:rsidRDefault="0060589D" w:rsidP="001F4142">
            <w:pPr>
              <w:pStyle w:val="Tabletext"/>
            </w:pPr>
            <w:r w:rsidRPr="001E7434">
              <w:t xml:space="preserve">107 per 1,000 </w:t>
            </w:r>
          </w:p>
        </w:tc>
        <w:tc>
          <w:tcPr>
            <w:tcW w:w="1227" w:type="pct"/>
          </w:tcPr>
          <w:p w14:paraId="1C65A258" w14:textId="77777777" w:rsidR="0060589D" w:rsidRPr="001E7434" w:rsidRDefault="0060589D" w:rsidP="001F4142">
            <w:pPr>
              <w:pStyle w:val="Tabletext"/>
              <w:rPr>
                <w:rStyle w:val="cell-value"/>
                <w:color w:val="000000" w:themeColor="text1"/>
              </w:rPr>
            </w:pPr>
            <w:r w:rsidRPr="001E7434">
              <w:rPr>
                <w:rStyle w:val="cell-value"/>
                <w:color w:val="000000" w:themeColor="text1"/>
              </w:rPr>
              <w:t>35 fewer per 1,000</w:t>
            </w:r>
            <w:r w:rsidRPr="001E7434">
              <w:br/>
            </w:r>
            <w:r w:rsidRPr="001E7434">
              <w:rPr>
                <w:rStyle w:val="cell-value"/>
                <w:color w:val="000000" w:themeColor="text1"/>
              </w:rPr>
              <w:t>(70 fewer to 32 more)</w:t>
            </w:r>
            <w:r w:rsidRPr="001E7434">
              <w:t xml:space="preserve"> </w:t>
            </w:r>
          </w:p>
        </w:tc>
      </w:tr>
      <w:tr w:rsidR="0060589D" w:rsidRPr="001E7434" w14:paraId="0306F2A9" w14:textId="77777777" w:rsidTr="001F4142">
        <w:tc>
          <w:tcPr>
            <w:tcW w:w="1100" w:type="pct"/>
            <w:hideMark/>
          </w:tcPr>
          <w:p w14:paraId="017A639A" w14:textId="77777777" w:rsidR="0060589D" w:rsidRPr="001E7434" w:rsidRDefault="0060589D" w:rsidP="001F4142">
            <w:pPr>
              <w:pStyle w:val="Tabletext"/>
              <w:rPr>
                <w:rStyle w:val="label"/>
                <w:color w:val="000000" w:themeColor="text1"/>
              </w:rPr>
            </w:pPr>
            <w:r w:rsidRPr="001E7434">
              <w:rPr>
                <w:rStyle w:val="label"/>
                <w:color w:val="000000" w:themeColor="text1"/>
              </w:rPr>
              <w:t>Osteomyelitis</w:t>
            </w:r>
          </w:p>
          <w:p w14:paraId="4F4BBFC6" w14:textId="77777777" w:rsidR="0060589D" w:rsidRPr="001E7434" w:rsidRDefault="0060589D" w:rsidP="001F4142">
            <w:pPr>
              <w:pStyle w:val="Tabletext"/>
            </w:pPr>
            <w:r w:rsidRPr="001E7434">
              <w:rPr>
                <w:rStyle w:val="label"/>
                <w:color w:val="000000" w:themeColor="text1"/>
              </w:rPr>
              <w:t>Follow-up 6 to 12 weeks</w:t>
            </w:r>
            <w:r w:rsidRPr="001E7434">
              <w:t xml:space="preserve"> </w:t>
            </w:r>
          </w:p>
        </w:tc>
        <w:tc>
          <w:tcPr>
            <w:tcW w:w="629" w:type="pct"/>
            <w:hideMark/>
          </w:tcPr>
          <w:p w14:paraId="2808DB94" w14:textId="77777777" w:rsidR="0060589D" w:rsidRPr="001E7434" w:rsidRDefault="0060589D" w:rsidP="001F4142">
            <w:pPr>
              <w:pStyle w:val="Tabletext"/>
            </w:pPr>
            <w:r w:rsidRPr="001E7434">
              <w:t>329</w:t>
            </w:r>
            <w:r w:rsidRPr="001E7434">
              <w:br/>
              <w:t xml:space="preserve">(3 RCTs) </w:t>
            </w:r>
          </w:p>
        </w:tc>
        <w:tc>
          <w:tcPr>
            <w:tcW w:w="629" w:type="pct"/>
            <w:hideMark/>
          </w:tcPr>
          <w:p w14:paraId="76DC7C87"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03A236FD" w14:textId="77777777" w:rsidR="0060589D" w:rsidRPr="001E7434" w:rsidRDefault="0060589D" w:rsidP="001F4142">
            <w:pPr>
              <w:pStyle w:val="Tabletext"/>
            </w:pPr>
            <w:r w:rsidRPr="001E7434">
              <w:rPr>
                <w:rStyle w:val="quality-text"/>
                <w:color w:val="000000" w:themeColor="text1"/>
              </w:rPr>
              <w:t>LOW</w:t>
            </w:r>
            <w:r w:rsidRPr="001E7434">
              <w:t xml:space="preserve"> </w:t>
            </w:r>
            <w:proofErr w:type="spellStart"/>
            <w:r w:rsidRPr="001E7434">
              <w:rPr>
                <w:vertAlign w:val="superscript"/>
              </w:rPr>
              <w:t>b</w:t>
            </w:r>
            <w:r w:rsidRPr="001E7434">
              <w:rPr>
                <w:rStyle w:val="comma"/>
                <w:color w:val="000000" w:themeColor="text1"/>
                <w:vertAlign w:val="superscript"/>
              </w:rPr>
              <w:t>,</w:t>
            </w:r>
            <w:r w:rsidRPr="001E7434">
              <w:rPr>
                <w:vertAlign w:val="superscript"/>
              </w:rPr>
              <w:t>c</w:t>
            </w:r>
            <w:r w:rsidRPr="001E7434">
              <w:rPr>
                <w:rStyle w:val="comma"/>
                <w:color w:val="000000" w:themeColor="text1"/>
                <w:vertAlign w:val="superscript"/>
              </w:rPr>
              <w:t>,</w:t>
            </w:r>
            <w:r w:rsidRPr="001E7434">
              <w:rPr>
                <w:vertAlign w:val="superscript"/>
              </w:rPr>
              <w:t>f</w:t>
            </w:r>
            <w:r w:rsidRPr="001E7434">
              <w:rPr>
                <w:rStyle w:val="comma"/>
                <w:color w:val="000000" w:themeColor="text1"/>
                <w:vertAlign w:val="superscript"/>
              </w:rPr>
              <w:t>,</w:t>
            </w:r>
            <w:r w:rsidRPr="001E7434">
              <w:rPr>
                <w:vertAlign w:val="superscript"/>
              </w:rPr>
              <w:t>g</w:t>
            </w:r>
            <w:proofErr w:type="spellEnd"/>
          </w:p>
        </w:tc>
        <w:tc>
          <w:tcPr>
            <w:tcW w:w="629" w:type="pct"/>
            <w:hideMark/>
          </w:tcPr>
          <w:p w14:paraId="012449C7" w14:textId="77777777" w:rsidR="0060589D" w:rsidRPr="001E7434" w:rsidRDefault="0060589D" w:rsidP="001F4142">
            <w:pPr>
              <w:pStyle w:val="Tabletext"/>
              <w:rPr>
                <w:rStyle w:val="block"/>
                <w:color w:val="000000" w:themeColor="text1"/>
              </w:rPr>
            </w:pPr>
            <w:r w:rsidRPr="001E7434">
              <w:rPr>
                <w:rStyle w:val="block"/>
                <w:color w:val="000000" w:themeColor="text1"/>
              </w:rPr>
              <w:t>RR 1.74</w:t>
            </w:r>
          </w:p>
          <w:p w14:paraId="682EFDCE" w14:textId="77777777" w:rsidR="0060589D" w:rsidRPr="001E7434" w:rsidRDefault="0060589D" w:rsidP="001F4142">
            <w:pPr>
              <w:pStyle w:val="Tabletext"/>
            </w:pPr>
            <w:r w:rsidRPr="001E7434">
              <w:rPr>
                <w:rStyle w:val="cell"/>
                <w:color w:val="000000" w:themeColor="text1"/>
              </w:rPr>
              <w:t>(0.36 to 8.43)</w:t>
            </w:r>
            <w:r w:rsidRPr="001E7434">
              <w:t xml:space="preserve"> </w:t>
            </w:r>
          </w:p>
        </w:tc>
        <w:tc>
          <w:tcPr>
            <w:tcW w:w="786" w:type="pct"/>
            <w:hideMark/>
          </w:tcPr>
          <w:p w14:paraId="6DCBAF9C" w14:textId="77777777" w:rsidR="0060589D" w:rsidRPr="001E7434" w:rsidRDefault="0060589D" w:rsidP="001F4142">
            <w:pPr>
              <w:pStyle w:val="Tabletext"/>
            </w:pPr>
            <w:r w:rsidRPr="001E7434">
              <w:t xml:space="preserve">12 per 1,000 </w:t>
            </w:r>
          </w:p>
        </w:tc>
        <w:tc>
          <w:tcPr>
            <w:tcW w:w="1227" w:type="pct"/>
            <w:hideMark/>
          </w:tcPr>
          <w:p w14:paraId="3A1CEEEE" w14:textId="77777777" w:rsidR="0060589D" w:rsidRPr="001E7434" w:rsidRDefault="0060589D" w:rsidP="001F4142">
            <w:pPr>
              <w:pStyle w:val="Tabletext"/>
            </w:pPr>
            <w:r w:rsidRPr="001E7434">
              <w:rPr>
                <w:rStyle w:val="cell-value"/>
                <w:color w:val="000000" w:themeColor="text1"/>
              </w:rPr>
              <w:t>9 more per 1,000</w:t>
            </w:r>
            <w:r w:rsidRPr="001E7434">
              <w:br/>
            </w:r>
            <w:r w:rsidRPr="001E7434">
              <w:rPr>
                <w:rStyle w:val="cell-value"/>
                <w:color w:val="000000" w:themeColor="text1"/>
              </w:rPr>
              <w:t>(8 fewer to 89 more)</w:t>
            </w:r>
            <w:r w:rsidRPr="001E7434">
              <w:t xml:space="preserve"> </w:t>
            </w:r>
          </w:p>
        </w:tc>
      </w:tr>
      <w:tr w:rsidR="0060589D" w:rsidRPr="001E7434" w14:paraId="40D44B25" w14:textId="77777777" w:rsidTr="001F4142">
        <w:tc>
          <w:tcPr>
            <w:tcW w:w="1100" w:type="pct"/>
            <w:hideMark/>
          </w:tcPr>
          <w:p w14:paraId="3C97FAD6" w14:textId="77777777" w:rsidR="0060589D" w:rsidRPr="001E7434" w:rsidRDefault="0060589D" w:rsidP="001F4142">
            <w:pPr>
              <w:pStyle w:val="Tabletext"/>
              <w:rPr>
                <w:rStyle w:val="label"/>
                <w:color w:val="000000" w:themeColor="text1"/>
              </w:rPr>
            </w:pPr>
            <w:r w:rsidRPr="001E7434">
              <w:rPr>
                <w:rStyle w:val="label"/>
                <w:color w:val="000000" w:themeColor="text1"/>
              </w:rPr>
              <w:t>Non-life-threatening adverse events</w:t>
            </w:r>
          </w:p>
          <w:p w14:paraId="2D7EBB7D" w14:textId="77777777" w:rsidR="0060589D" w:rsidRPr="001E7434" w:rsidRDefault="0060589D" w:rsidP="001F4142">
            <w:pPr>
              <w:pStyle w:val="Tabletext"/>
            </w:pPr>
            <w:r w:rsidRPr="001E7434">
              <w:rPr>
                <w:rStyle w:val="label"/>
                <w:color w:val="000000" w:themeColor="text1"/>
              </w:rPr>
              <w:t>Follow-up 6 to 12 weeks</w:t>
            </w:r>
            <w:r w:rsidRPr="001E7434">
              <w:t xml:space="preserve"> </w:t>
            </w:r>
          </w:p>
        </w:tc>
        <w:tc>
          <w:tcPr>
            <w:tcW w:w="629" w:type="pct"/>
            <w:hideMark/>
          </w:tcPr>
          <w:p w14:paraId="71EB696C" w14:textId="77777777" w:rsidR="0060589D" w:rsidRPr="001E7434" w:rsidRDefault="0060589D" w:rsidP="001F4142">
            <w:pPr>
              <w:pStyle w:val="Tabletext"/>
            </w:pPr>
            <w:r w:rsidRPr="001E7434">
              <w:t>478</w:t>
            </w:r>
            <w:r w:rsidRPr="001E7434">
              <w:br/>
              <w:t xml:space="preserve">(8 RCTs) </w:t>
            </w:r>
          </w:p>
        </w:tc>
        <w:tc>
          <w:tcPr>
            <w:tcW w:w="629" w:type="pct"/>
            <w:hideMark/>
          </w:tcPr>
          <w:p w14:paraId="6F384B38"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5DAA8E44" w14:textId="77777777" w:rsidR="0060589D" w:rsidRPr="001E7434" w:rsidRDefault="0060589D" w:rsidP="001F4142">
            <w:pPr>
              <w:pStyle w:val="Tabletext"/>
            </w:pPr>
            <w:r w:rsidRPr="001E7434">
              <w:rPr>
                <w:rStyle w:val="quality-text"/>
                <w:color w:val="000000" w:themeColor="text1"/>
              </w:rPr>
              <w:t>LOW</w:t>
            </w:r>
            <w:r w:rsidRPr="001E7434">
              <w:t xml:space="preserve"> </w:t>
            </w:r>
            <w:proofErr w:type="spellStart"/>
            <w:r w:rsidRPr="001E7434">
              <w:rPr>
                <w:vertAlign w:val="superscript"/>
              </w:rPr>
              <w:t>a</w:t>
            </w:r>
            <w:r w:rsidRPr="001E7434">
              <w:rPr>
                <w:rStyle w:val="comma"/>
                <w:color w:val="000000" w:themeColor="text1"/>
                <w:vertAlign w:val="superscript"/>
              </w:rPr>
              <w:t>,</w:t>
            </w:r>
            <w:r w:rsidRPr="001E7434">
              <w:rPr>
                <w:vertAlign w:val="superscript"/>
              </w:rPr>
              <w:t>b</w:t>
            </w:r>
            <w:r w:rsidRPr="001E7434">
              <w:rPr>
                <w:rStyle w:val="comma"/>
                <w:color w:val="000000" w:themeColor="text1"/>
                <w:vertAlign w:val="superscript"/>
              </w:rPr>
              <w:t>,</w:t>
            </w:r>
            <w:r w:rsidRPr="001E7434">
              <w:rPr>
                <w:vertAlign w:val="superscript"/>
              </w:rPr>
              <w:t>i</w:t>
            </w:r>
            <w:proofErr w:type="spellEnd"/>
          </w:p>
        </w:tc>
        <w:tc>
          <w:tcPr>
            <w:tcW w:w="629" w:type="pct"/>
            <w:hideMark/>
          </w:tcPr>
          <w:p w14:paraId="7320A855" w14:textId="77777777" w:rsidR="0060589D" w:rsidRPr="001E7434" w:rsidRDefault="0060589D" w:rsidP="001F4142">
            <w:pPr>
              <w:pStyle w:val="Tabletext"/>
            </w:pPr>
            <w:r w:rsidRPr="001E7434">
              <w:rPr>
                <w:rStyle w:val="cell"/>
                <w:color w:val="000000" w:themeColor="text1"/>
              </w:rPr>
              <w:t>-</w:t>
            </w:r>
            <w:r w:rsidRPr="001E7434">
              <w:t xml:space="preserve"> </w:t>
            </w:r>
          </w:p>
        </w:tc>
        <w:tc>
          <w:tcPr>
            <w:tcW w:w="786" w:type="pct"/>
            <w:hideMark/>
          </w:tcPr>
          <w:p w14:paraId="46E6B8B8" w14:textId="77777777" w:rsidR="0060589D" w:rsidRPr="001E7434" w:rsidRDefault="0060589D" w:rsidP="001F4142">
            <w:pPr>
              <w:pStyle w:val="Tabletext"/>
            </w:pPr>
            <w:r w:rsidRPr="001E7434">
              <w:rPr>
                <w:rStyle w:val="cell-value"/>
                <w:color w:val="000000" w:themeColor="text1"/>
              </w:rPr>
              <w:t>mean non-life threatening adverse events 0</w:t>
            </w:r>
            <w:r w:rsidRPr="001E7434">
              <w:t xml:space="preserve"> </w:t>
            </w:r>
          </w:p>
        </w:tc>
        <w:tc>
          <w:tcPr>
            <w:tcW w:w="1227" w:type="pct"/>
            <w:hideMark/>
          </w:tcPr>
          <w:p w14:paraId="1C493DCB" w14:textId="77777777" w:rsidR="0060589D" w:rsidRPr="001E7434" w:rsidRDefault="0060589D" w:rsidP="001F4142">
            <w:pPr>
              <w:pStyle w:val="Tabletext"/>
            </w:pPr>
            <w:r w:rsidRPr="001E7434">
              <w:rPr>
                <w:rStyle w:val="cell-value"/>
                <w:color w:val="000000" w:themeColor="text1"/>
              </w:rPr>
              <w:t xml:space="preserve">0 </w:t>
            </w:r>
            <w:r w:rsidRPr="001E7434">
              <w:br/>
            </w:r>
            <w:r w:rsidRPr="001E7434">
              <w:rPr>
                <w:rStyle w:val="cell-value"/>
                <w:color w:val="000000" w:themeColor="text1"/>
              </w:rPr>
              <w:t>(0 to 0)</w:t>
            </w:r>
            <w:r w:rsidRPr="001E7434">
              <w:t xml:space="preserve"> </w:t>
            </w:r>
          </w:p>
        </w:tc>
      </w:tr>
      <w:tr w:rsidR="0060589D" w:rsidRPr="001E7434" w14:paraId="50A2E740" w14:textId="77777777" w:rsidTr="001F4142">
        <w:tc>
          <w:tcPr>
            <w:tcW w:w="1100" w:type="pct"/>
            <w:hideMark/>
          </w:tcPr>
          <w:p w14:paraId="2B539F56" w14:textId="77777777" w:rsidR="0060589D" w:rsidRPr="001E7434" w:rsidRDefault="0060589D" w:rsidP="001F4142">
            <w:pPr>
              <w:pStyle w:val="Tabletext"/>
              <w:rPr>
                <w:rStyle w:val="label"/>
                <w:color w:val="000000" w:themeColor="text1"/>
              </w:rPr>
            </w:pPr>
            <w:r w:rsidRPr="001E7434">
              <w:rPr>
                <w:rStyle w:val="label"/>
                <w:color w:val="000000" w:themeColor="text1"/>
              </w:rPr>
              <w:t>Serious adverse events</w:t>
            </w:r>
          </w:p>
          <w:p w14:paraId="4214785D" w14:textId="77777777" w:rsidR="0060589D" w:rsidRPr="001E7434" w:rsidRDefault="0060589D" w:rsidP="001F4142">
            <w:pPr>
              <w:pStyle w:val="Tabletext"/>
            </w:pPr>
            <w:r w:rsidRPr="001E7434">
              <w:rPr>
                <w:rStyle w:val="label"/>
                <w:color w:val="000000" w:themeColor="text1"/>
              </w:rPr>
              <w:t>Follow-up 12 weeks</w:t>
            </w:r>
            <w:r w:rsidRPr="001E7434">
              <w:t xml:space="preserve"> </w:t>
            </w:r>
          </w:p>
        </w:tc>
        <w:tc>
          <w:tcPr>
            <w:tcW w:w="629" w:type="pct"/>
            <w:hideMark/>
          </w:tcPr>
          <w:p w14:paraId="265A64A0" w14:textId="77777777" w:rsidR="0060589D" w:rsidRPr="001E7434" w:rsidRDefault="0060589D" w:rsidP="001F4142">
            <w:pPr>
              <w:pStyle w:val="Tabletext"/>
            </w:pPr>
            <w:r w:rsidRPr="001E7434">
              <w:t>287</w:t>
            </w:r>
            <w:r w:rsidRPr="001E7434">
              <w:br/>
              <w:t xml:space="preserve">(4 RCTs) </w:t>
            </w:r>
          </w:p>
        </w:tc>
        <w:tc>
          <w:tcPr>
            <w:tcW w:w="629" w:type="pct"/>
            <w:hideMark/>
          </w:tcPr>
          <w:p w14:paraId="74D3039F"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5E3EDF20" w14:textId="77777777" w:rsidR="0060589D" w:rsidRPr="001E7434" w:rsidRDefault="0060589D" w:rsidP="001F4142">
            <w:pPr>
              <w:pStyle w:val="Tabletext"/>
            </w:pPr>
            <w:r w:rsidRPr="001E7434">
              <w:rPr>
                <w:rStyle w:val="quality-text"/>
                <w:color w:val="000000" w:themeColor="text1"/>
              </w:rPr>
              <w:t>LOW</w:t>
            </w:r>
            <w:r w:rsidRPr="001E7434">
              <w:t xml:space="preserve"> </w:t>
            </w:r>
            <w:proofErr w:type="spellStart"/>
            <w:r w:rsidRPr="001E7434">
              <w:rPr>
                <w:vertAlign w:val="superscript"/>
              </w:rPr>
              <w:t>a</w:t>
            </w:r>
            <w:r w:rsidRPr="001E7434">
              <w:rPr>
                <w:rStyle w:val="comma"/>
                <w:color w:val="000000" w:themeColor="text1"/>
                <w:vertAlign w:val="superscript"/>
              </w:rPr>
              <w:t>,</w:t>
            </w:r>
            <w:r w:rsidRPr="001E7434">
              <w:rPr>
                <w:vertAlign w:val="superscript"/>
              </w:rPr>
              <w:t>b</w:t>
            </w:r>
            <w:r w:rsidRPr="001E7434">
              <w:rPr>
                <w:rStyle w:val="comma"/>
                <w:color w:val="000000" w:themeColor="text1"/>
                <w:vertAlign w:val="superscript"/>
              </w:rPr>
              <w:t>,</w:t>
            </w:r>
            <w:r w:rsidRPr="001E7434">
              <w:rPr>
                <w:vertAlign w:val="superscript"/>
              </w:rPr>
              <w:t>g</w:t>
            </w:r>
            <w:r w:rsidRPr="001E7434">
              <w:rPr>
                <w:rStyle w:val="comma"/>
                <w:color w:val="000000" w:themeColor="text1"/>
                <w:vertAlign w:val="superscript"/>
              </w:rPr>
              <w:t>,</w:t>
            </w:r>
            <w:r w:rsidRPr="001E7434">
              <w:rPr>
                <w:vertAlign w:val="superscript"/>
              </w:rPr>
              <w:t>ij</w:t>
            </w:r>
            <w:proofErr w:type="spellEnd"/>
          </w:p>
        </w:tc>
        <w:tc>
          <w:tcPr>
            <w:tcW w:w="629" w:type="pct"/>
            <w:hideMark/>
          </w:tcPr>
          <w:p w14:paraId="2D02ABEA" w14:textId="77777777" w:rsidR="0060589D" w:rsidRPr="001E7434" w:rsidRDefault="0060589D" w:rsidP="001F4142">
            <w:pPr>
              <w:pStyle w:val="Tabletext"/>
            </w:pPr>
            <w:r w:rsidRPr="001E7434">
              <w:rPr>
                <w:rStyle w:val="cell"/>
                <w:color w:val="000000" w:themeColor="text1"/>
              </w:rPr>
              <w:t>-</w:t>
            </w:r>
            <w:r w:rsidRPr="001E7434">
              <w:t xml:space="preserve"> </w:t>
            </w:r>
          </w:p>
        </w:tc>
        <w:tc>
          <w:tcPr>
            <w:tcW w:w="786" w:type="pct"/>
            <w:hideMark/>
          </w:tcPr>
          <w:p w14:paraId="5A89E8F4" w14:textId="77777777" w:rsidR="0060589D" w:rsidRPr="001E7434" w:rsidRDefault="0060589D" w:rsidP="001F4142">
            <w:pPr>
              <w:pStyle w:val="Tabletext"/>
            </w:pPr>
            <w:r w:rsidRPr="001E7434">
              <w:rPr>
                <w:rStyle w:val="cell-value"/>
                <w:color w:val="000000" w:themeColor="text1"/>
              </w:rPr>
              <w:t>mean serious adverse events 0</w:t>
            </w:r>
            <w:r w:rsidRPr="001E7434">
              <w:t xml:space="preserve"> </w:t>
            </w:r>
          </w:p>
        </w:tc>
        <w:tc>
          <w:tcPr>
            <w:tcW w:w="1227" w:type="pct"/>
            <w:hideMark/>
          </w:tcPr>
          <w:p w14:paraId="77BAB446" w14:textId="77777777" w:rsidR="0060589D" w:rsidRPr="001E7434" w:rsidRDefault="0060589D" w:rsidP="001F4142">
            <w:pPr>
              <w:pStyle w:val="Tabletext"/>
            </w:pPr>
            <w:r w:rsidRPr="001E7434">
              <w:rPr>
                <w:rStyle w:val="cell-value"/>
                <w:color w:val="000000" w:themeColor="text1"/>
              </w:rPr>
              <w:t xml:space="preserve">0 </w:t>
            </w:r>
            <w:r w:rsidRPr="001E7434">
              <w:br/>
            </w:r>
            <w:r w:rsidRPr="001E7434">
              <w:rPr>
                <w:rStyle w:val="cell-value"/>
                <w:color w:val="000000" w:themeColor="text1"/>
              </w:rPr>
              <w:t>(0 to 0)</w:t>
            </w:r>
            <w:r w:rsidRPr="001E7434">
              <w:t xml:space="preserve"> </w:t>
            </w:r>
          </w:p>
        </w:tc>
      </w:tr>
      <w:tr w:rsidR="0060589D" w:rsidRPr="001E7434" w14:paraId="73336407" w14:textId="77777777" w:rsidTr="001F4142">
        <w:tc>
          <w:tcPr>
            <w:tcW w:w="1100" w:type="pct"/>
            <w:hideMark/>
          </w:tcPr>
          <w:p w14:paraId="148E6BFA" w14:textId="77777777" w:rsidR="0060589D" w:rsidRPr="001E7434" w:rsidRDefault="0060589D" w:rsidP="001F4142">
            <w:pPr>
              <w:pStyle w:val="Tabletext"/>
              <w:rPr>
                <w:rStyle w:val="label"/>
                <w:color w:val="000000" w:themeColor="text1"/>
              </w:rPr>
            </w:pPr>
            <w:r w:rsidRPr="001E7434">
              <w:rPr>
                <w:rStyle w:val="label"/>
                <w:color w:val="000000" w:themeColor="text1"/>
              </w:rPr>
              <w:t>Withdrawals due to adverse events</w:t>
            </w:r>
          </w:p>
          <w:p w14:paraId="36D1149C" w14:textId="77777777" w:rsidR="0060589D" w:rsidRPr="001E7434" w:rsidRDefault="0060589D" w:rsidP="001F4142">
            <w:pPr>
              <w:pStyle w:val="Tabletext"/>
            </w:pPr>
            <w:r w:rsidRPr="001E7434">
              <w:rPr>
                <w:rStyle w:val="label"/>
                <w:color w:val="000000" w:themeColor="text1"/>
              </w:rPr>
              <w:t>Follow-up 6 to 12 weeks</w:t>
            </w:r>
            <w:r w:rsidRPr="001E7434">
              <w:t xml:space="preserve"> </w:t>
            </w:r>
          </w:p>
        </w:tc>
        <w:tc>
          <w:tcPr>
            <w:tcW w:w="629" w:type="pct"/>
            <w:hideMark/>
          </w:tcPr>
          <w:p w14:paraId="0E1086C2" w14:textId="77777777" w:rsidR="0060589D" w:rsidRPr="001E7434" w:rsidRDefault="0060589D" w:rsidP="001F4142">
            <w:pPr>
              <w:pStyle w:val="Tabletext"/>
            </w:pPr>
            <w:r w:rsidRPr="001E7434">
              <w:t>219</w:t>
            </w:r>
            <w:r w:rsidRPr="001E7434">
              <w:br/>
              <w:t xml:space="preserve">(4 RCTs) </w:t>
            </w:r>
          </w:p>
        </w:tc>
        <w:tc>
          <w:tcPr>
            <w:tcW w:w="629" w:type="pct"/>
            <w:hideMark/>
          </w:tcPr>
          <w:p w14:paraId="2B0E6B0A"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632D18B3" w14:textId="77777777" w:rsidR="0060589D" w:rsidRPr="001E7434" w:rsidRDefault="0060589D" w:rsidP="001F4142">
            <w:pPr>
              <w:pStyle w:val="Tabletext"/>
            </w:pPr>
            <w:r w:rsidRPr="001E7434">
              <w:rPr>
                <w:rStyle w:val="quality-text"/>
                <w:color w:val="000000" w:themeColor="text1"/>
              </w:rPr>
              <w:t>LOW</w:t>
            </w:r>
            <w:r w:rsidRPr="001E7434">
              <w:t xml:space="preserve"> </w:t>
            </w:r>
            <w:proofErr w:type="spellStart"/>
            <w:r w:rsidRPr="001E7434">
              <w:rPr>
                <w:vertAlign w:val="superscript"/>
              </w:rPr>
              <w:t>a</w:t>
            </w:r>
            <w:r w:rsidRPr="001E7434">
              <w:rPr>
                <w:rStyle w:val="comma"/>
                <w:color w:val="000000" w:themeColor="text1"/>
                <w:vertAlign w:val="superscript"/>
              </w:rPr>
              <w:t>,</w:t>
            </w:r>
            <w:r w:rsidRPr="001E7434">
              <w:rPr>
                <w:vertAlign w:val="superscript"/>
              </w:rPr>
              <w:t>g</w:t>
            </w:r>
            <w:r w:rsidRPr="001E7434">
              <w:rPr>
                <w:rStyle w:val="comma"/>
                <w:color w:val="000000" w:themeColor="text1"/>
                <w:vertAlign w:val="superscript"/>
              </w:rPr>
              <w:t>,</w:t>
            </w:r>
            <w:r>
              <w:rPr>
                <w:rStyle w:val="comma"/>
                <w:color w:val="000000" w:themeColor="text1"/>
                <w:vertAlign w:val="superscript"/>
              </w:rPr>
              <w:t>i</w:t>
            </w:r>
            <w:proofErr w:type="spellEnd"/>
          </w:p>
        </w:tc>
        <w:tc>
          <w:tcPr>
            <w:tcW w:w="629" w:type="pct"/>
            <w:hideMark/>
          </w:tcPr>
          <w:p w14:paraId="54198276" w14:textId="77777777" w:rsidR="0060589D" w:rsidRPr="001E7434" w:rsidRDefault="0060589D" w:rsidP="001F4142">
            <w:pPr>
              <w:pStyle w:val="Tabletext"/>
            </w:pPr>
            <w:r w:rsidRPr="001E7434">
              <w:rPr>
                <w:rStyle w:val="cell"/>
                <w:color w:val="000000" w:themeColor="text1"/>
              </w:rPr>
              <w:t>-</w:t>
            </w:r>
            <w:r w:rsidRPr="001E7434">
              <w:t xml:space="preserve"> </w:t>
            </w:r>
          </w:p>
        </w:tc>
        <w:tc>
          <w:tcPr>
            <w:tcW w:w="786" w:type="pct"/>
            <w:hideMark/>
          </w:tcPr>
          <w:p w14:paraId="71AED73C" w14:textId="77777777" w:rsidR="0060589D" w:rsidRPr="001E7434" w:rsidRDefault="0060589D" w:rsidP="001F4142">
            <w:pPr>
              <w:pStyle w:val="Tabletext"/>
            </w:pPr>
            <w:r w:rsidRPr="001E7434">
              <w:rPr>
                <w:rStyle w:val="cell-value"/>
                <w:color w:val="000000" w:themeColor="text1"/>
              </w:rPr>
              <w:t>mean withdrawals due to adverse events 0</w:t>
            </w:r>
            <w:r w:rsidRPr="001E7434">
              <w:t xml:space="preserve"> </w:t>
            </w:r>
          </w:p>
        </w:tc>
        <w:tc>
          <w:tcPr>
            <w:tcW w:w="1227" w:type="pct"/>
            <w:hideMark/>
          </w:tcPr>
          <w:p w14:paraId="5B8407FD" w14:textId="77777777" w:rsidR="0060589D" w:rsidRPr="001E7434" w:rsidRDefault="0060589D" w:rsidP="001F4142">
            <w:pPr>
              <w:pStyle w:val="Tabletext"/>
            </w:pPr>
            <w:r w:rsidRPr="001E7434">
              <w:rPr>
                <w:rStyle w:val="cell-value"/>
                <w:color w:val="000000" w:themeColor="text1"/>
              </w:rPr>
              <w:t xml:space="preserve">0 </w:t>
            </w:r>
            <w:r w:rsidRPr="001E7434">
              <w:br/>
            </w:r>
            <w:r w:rsidRPr="001E7434">
              <w:rPr>
                <w:rStyle w:val="cell-value"/>
                <w:color w:val="000000" w:themeColor="text1"/>
              </w:rPr>
              <w:t>(0 to 0)</w:t>
            </w:r>
            <w:r w:rsidRPr="001E7434">
              <w:t xml:space="preserve"> </w:t>
            </w:r>
          </w:p>
        </w:tc>
      </w:tr>
      <w:tr w:rsidR="0060589D" w:rsidRPr="001E7434" w14:paraId="6B44B0BE" w14:textId="77777777" w:rsidTr="001F4142">
        <w:tc>
          <w:tcPr>
            <w:tcW w:w="1100" w:type="pct"/>
            <w:hideMark/>
          </w:tcPr>
          <w:p w14:paraId="159148B2" w14:textId="77777777" w:rsidR="0060589D" w:rsidRPr="001E7434" w:rsidRDefault="0060589D" w:rsidP="001F4142">
            <w:pPr>
              <w:pStyle w:val="Tabletext"/>
              <w:rPr>
                <w:rStyle w:val="label"/>
                <w:color w:val="000000" w:themeColor="text1"/>
              </w:rPr>
            </w:pPr>
            <w:r w:rsidRPr="001E7434">
              <w:rPr>
                <w:rStyle w:val="label"/>
                <w:color w:val="000000" w:themeColor="text1"/>
              </w:rPr>
              <w:t>Withdrawals due to non-healed wound</w:t>
            </w:r>
          </w:p>
          <w:p w14:paraId="019E9ABA" w14:textId="77777777" w:rsidR="0060589D" w:rsidRPr="001E7434" w:rsidRDefault="0060589D" w:rsidP="001F4142">
            <w:pPr>
              <w:pStyle w:val="Tabletext"/>
            </w:pPr>
            <w:r w:rsidRPr="001E7434">
              <w:rPr>
                <w:rStyle w:val="label"/>
                <w:color w:val="000000" w:themeColor="text1"/>
              </w:rPr>
              <w:t>Follow-up 6 to 12 weeks</w:t>
            </w:r>
            <w:r w:rsidRPr="001E7434">
              <w:t xml:space="preserve"> </w:t>
            </w:r>
          </w:p>
        </w:tc>
        <w:tc>
          <w:tcPr>
            <w:tcW w:w="629" w:type="pct"/>
            <w:hideMark/>
          </w:tcPr>
          <w:p w14:paraId="3CA27EAD" w14:textId="77777777" w:rsidR="0060589D" w:rsidRPr="001E7434" w:rsidRDefault="0060589D" w:rsidP="001F4142">
            <w:pPr>
              <w:pStyle w:val="Tabletext"/>
            </w:pPr>
            <w:r w:rsidRPr="001E7434">
              <w:t>255</w:t>
            </w:r>
            <w:r w:rsidRPr="001E7434">
              <w:br/>
              <w:t xml:space="preserve">(5 RCTs) </w:t>
            </w:r>
          </w:p>
        </w:tc>
        <w:tc>
          <w:tcPr>
            <w:tcW w:w="629" w:type="pct"/>
            <w:hideMark/>
          </w:tcPr>
          <w:p w14:paraId="40E29A06" w14:textId="77777777" w:rsidR="0060589D" w:rsidRPr="001E7434" w:rsidRDefault="0060589D" w:rsidP="001F4142">
            <w:pPr>
              <w:pStyle w:val="Tabletext"/>
              <w:rPr>
                <w:color w:val="C00000"/>
              </w:rPr>
            </w:pPr>
            <w:r w:rsidRPr="001E7434">
              <w:rPr>
                <w:rFonts w:ascii="Cambria Math" w:hAnsi="Cambria Math"/>
                <w:color w:val="00B050"/>
              </w:rPr>
              <w:t>⨁⨁⨁</w:t>
            </w:r>
            <w:r w:rsidRPr="001E7434">
              <w:rPr>
                <w:rFonts w:ascii="Cambria Math" w:hAnsi="Cambria Math" w:cs="Cambria Math"/>
                <w:color w:val="C00000"/>
              </w:rPr>
              <w:t>⨀</w:t>
            </w:r>
          </w:p>
          <w:p w14:paraId="503BC20D" w14:textId="77777777" w:rsidR="0060589D" w:rsidRPr="001E7434" w:rsidRDefault="0060589D" w:rsidP="001F4142">
            <w:pPr>
              <w:pStyle w:val="Tabletext"/>
            </w:pPr>
            <w:r w:rsidRPr="001E7434">
              <w:rPr>
                <w:rStyle w:val="quality-text"/>
                <w:color w:val="000000" w:themeColor="text1"/>
              </w:rPr>
              <w:t>MODERATE</w:t>
            </w:r>
            <w:r w:rsidRPr="001E7434">
              <w:t xml:space="preserve"> </w:t>
            </w:r>
            <w:proofErr w:type="spellStart"/>
            <w:r w:rsidRPr="001E7434">
              <w:rPr>
                <w:vertAlign w:val="superscript"/>
              </w:rPr>
              <w:t>a</w:t>
            </w:r>
            <w:r w:rsidRPr="001E7434">
              <w:rPr>
                <w:rStyle w:val="comma"/>
                <w:color w:val="000000" w:themeColor="text1"/>
                <w:vertAlign w:val="superscript"/>
              </w:rPr>
              <w:t>,</w:t>
            </w:r>
            <w:r w:rsidRPr="001E7434">
              <w:rPr>
                <w:vertAlign w:val="superscript"/>
              </w:rPr>
              <w:t>b</w:t>
            </w:r>
            <w:r w:rsidRPr="001E7434">
              <w:rPr>
                <w:rStyle w:val="comma"/>
                <w:color w:val="000000" w:themeColor="text1"/>
                <w:vertAlign w:val="superscript"/>
              </w:rPr>
              <w:t>,</w:t>
            </w:r>
            <w:r w:rsidRPr="001E7434">
              <w:rPr>
                <w:vertAlign w:val="superscript"/>
              </w:rPr>
              <w:t>c</w:t>
            </w:r>
            <w:proofErr w:type="spellEnd"/>
          </w:p>
        </w:tc>
        <w:tc>
          <w:tcPr>
            <w:tcW w:w="629" w:type="pct"/>
            <w:hideMark/>
          </w:tcPr>
          <w:p w14:paraId="1F905FD1" w14:textId="77777777" w:rsidR="0060589D" w:rsidRPr="001E7434" w:rsidRDefault="0060589D" w:rsidP="001F4142">
            <w:pPr>
              <w:pStyle w:val="Tabletext"/>
            </w:pPr>
            <w:r w:rsidRPr="001E7434">
              <w:rPr>
                <w:rStyle w:val="cell"/>
                <w:color w:val="000000" w:themeColor="text1"/>
              </w:rPr>
              <w:t>-</w:t>
            </w:r>
            <w:r w:rsidRPr="001E7434">
              <w:t xml:space="preserve"> </w:t>
            </w:r>
          </w:p>
        </w:tc>
        <w:tc>
          <w:tcPr>
            <w:tcW w:w="786" w:type="pct"/>
            <w:hideMark/>
          </w:tcPr>
          <w:p w14:paraId="00B88868" w14:textId="77777777" w:rsidR="0060589D" w:rsidRPr="001E7434" w:rsidRDefault="0060589D" w:rsidP="001F4142">
            <w:pPr>
              <w:pStyle w:val="Tabletext"/>
            </w:pPr>
            <w:r w:rsidRPr="001E7434">
              <w:rPr>
                <w:rStyle w:val="cell-value"/>
                <w:color w:val="000000" w:themeColor="text1"/>
              </w:rPr>
              <w:t>mean withdrawals due to non-healed wound 0</w:t>
            </w:r>
            <w:r w:rsidRPr="001E7434">
              <w:t xml:space="preserve"> </w:t>
            </w:r>
          </w:p>
        </w:tc>
        <w:tc>
          <w:tcPr>
            <w:tcW w:w="1227" w:type="pct"/>
            <w:hideMark/>
          </w:tcPr>
          <w:p w14:paraId="4255A917" w14:textId="77777777" w:rsidR="0060589D" w:rsidRPr="001E7434" w:rsidRDefault="0060589D" w:rsidP="001F4142">
            <w:pPr>
              <w:pStyle w:val="Tabletext"/>
            </w:pPr>
            <w:r w:rsidRPr="001E7434">
              <w:rPr>
                <w:rStyle w:val="cell-value"/>
                <w:color w:val="000000" w:themeColor="text1"/>
              </w:rPr>
              <w:t xml:space="preserve">0 </w:t>
            </w:r>
            <w:r w:rsidRPr="001E7434">
              <w:br/>
            </w:r>
            <w:r w:rsidRPr="001E7434">
              <w:rPr>
                <w:rStyle w:val="cell-value"/>
                <w:color w:val="000000" w:themeColor="text1"/>
              </w:rPr>
              <w:t>(0 to 0)</w:t>
            </w:r>
            <w:r w:rsidRPr="001E7434">
              <w:t xml:space="preserve"> </w:t>
            </w:r>
          </w:p>
        </w:tc>
      </w:tr>
    </w:tbl>
    <w:p w14:paraId="453D6913" w14:textId="77777777" w:rsidR="0060589D" w:rsidRDefault="0060589D" w:rsidP="00AB5515">
      <w:pPr>
        <w:pStyle w:val="Tablenotes"/>
        <w:rPr>
          <w:lang w:val="en"/>
        </w:rPr>
      </w:pPr>
      <w:r>
        <w:rPr>
          <w:lang w:val="en"/>
        </w:rPr>
        <w:t>Source: Table 42, p112 of the DCAR</w:t>
      </w:r>
    </w:p>
    <w:p w14:paraId="5FF4E813" w14:textId="77777777" w:rsidR="0060589D" w:rsidRPr="005E097B" w:rsidRDefault="0060589D" w:rsidP="00AB5515">
      <w:pPr>
        <w:pStyle w:val="Tablenotes"/>
        <w:rPr>
          <w:lang w:val="en"/>
        </w:rPr>
      </w:pPr>
      <w:r w:rsidRPr="005E097B">
        <w:rPr>
          <w:lang w:val="en"/>
        </w:rPr>
        <w:t>Explanation</w:t>
      </w:r>
    </w:p>
    <w:p w14:paraId="51780980" w14:textId="77777777" w:rsidR="0060589D" w:rsidRDefault="0060589D" w:rsidP="00AB5515">
      <w:pPr>
        <w:pStyle w:val="Tablenotes"/>
        <w:rPr>
          <w:lang w:val="en"/>
        </w:rPr>
      </w:pPr>
      <w:proofErr w:type="gramStart"/>
      <w:r>
        <w:rPr>
          <w:lang w:val="en"/>
        </w:rPr>
        <w:t>a</w:t>
      </w:r>
      <w:proofErr w:type="gramEnd"/>
      <w:r>
        <w:rPr>
          <w:lang w:val="en"/>
        </w:rPr>
        <w:t xml:space="preserve">. no blinding: patients, personnel or outcome </w:t>
      </w:r>
    </w:p>
    <w:p w14:paraId="05116339" w14:textId="77777777" w:rsidR="0060589D" w:rsidRDefault="0060589D" w:rsidP="00AB5515">
      <w:pPr>
        <w:pStyle w:val="Tablenotes"/>
        <w:rPr>
          <w:lang w:val="en"/>
        </w:rPr>
      </w:pPr>
      <w:proofErr w:type="gramStart"/>
      <w:r>
        <w:rPr>
          <w:lang w:val="en"/>
        </w:rPr>
        <w:t>b</w:t>
      </w:r>
      <w:proofErr w:type="gramEnd"/>
      <w:r>
        <w:rPr>
          <w:lang w:val="en"/>
        </w:rPr>
        <w:t>. not all patients included in the analysis - withdrawal at mid-study period usually to seek alternative treatment or because of AE [more often in SOC group] - missing outcome data, could impact true value [especially in SOC group]</w:t>
      </w:r>
    </w:p>
    <w:p w14:paraId="07182E85" w14:textId="77777777" w:rsidR="0060589D" w:rsidRDefault="0060589D" w:rsidP="00AB5515">
      <w:pPr>
        <w:pStyle w:val="Tablenotes"/>
        <w:rPr>
          <w:lang w:val="en"/>
        </w:rPr>
      </w:pPr>
      <w:proofErr w:type="gramStart"/>
      <w:r>
        <w:rPr>
          <w:lang w:val="en"/>
        </w:rPr>
        <w:t>c</w:t>
      </w:r>
      <w:proofErr w:type="gramEnd"/>
      <w:r>
        <w:rPr>
          <w:lang w:val="en"/>
        </w:rPr>
        <w:t>. comparator [SOC] maybe not the one that will be used all the time in real life [</w:t>
      </w:r>
      <w:proofErr w:type="spellStart"/>
      <w:r>
        <w:rPr>
          <w:lang w:val="en"/>
        </w:rPr>
        <w:t>UrgoStart</w:t>
      </w:r>
      <w:proofErr w:type="spellEnd"/>
      <w:r>
        <w:rPr>
          <w:lang w:val="en"/>
        </w:rPr>
        <w:t xml:space="preserve">, in less extent skin graft] </w:t>
      </w:r>
    </w:p>
    <w:p w14:paraId="45BD4942" w14:textId="77777777" w:rsidR="0060589D" w:rsidRDefault="0060589D" w:rsidP="00AB5515">
      <w:pPr>
        <w:pStyle w:val="Tablenotes"/>
        <w:rPr>
          <w:lang w:val="en"/>
        </w:rPr>
      </w:pPr>
      <w:proofErr w:type="gramStart"/>
      <w:r>
        <w:rPr>
          <w:lang w:val="en"/>
        </w:rPr>
        <w:t>d</w:t>
      </w:r>
      <w:proofErr w:type="gramEnd"/>
      <w:r>
        <w:rPr>
          <w:lang w:val="en"/>
        </w:rPr>
        <w:t xml:space="preserve">. large effect size or CI </w:t>
      </w:r>
    </w:p>
    <w:p w14:paraId="09B03183" w14:textId="77777777" w:rsidR="0060589D" w:rsidRDefault="0060589D" w:rsidP="00AB5515">
      <w:pPr>
        <w:pStyle w:val="Tablenotes"/>
        <w:rPr>
          <w:lang w:val="en"/>
        </w:rPr>
      </w:pPr>
      <w:r>
        <w:rPr>
          <w:lang w:val="en"/>
        </w:rPr>
        <w:t xml:space="preserve">e. </w:t>
      </w:r>
      <w:proofErr w:type="gramStart"/>
      <w:r>
        <w:rPr>
          <w:lang w:val="en"/>
        </w:rPr>
        <w:t>one</w:t>
      </w:r>
      <w:proofErr w:type="gramEnd"/>
      <w:r>
        <w:rPr>
          <w:lang w:val="en"/>
        </w:rPr>
        <w:t xml:space="preserve"> study at specific time point </w:t>
      </w:r>
    </w:p>
    <w:p w14:paraId="47681B79" w14:textId="77777777" w:rsidR="0060589D" w:rsidRDefault="0060589D" w:rsidP="00AB5515">
      <w:pPr>
        <w:pStyle w:val="Tablenotes"/>
        <w:rPr>
          <w:lang w:val="en"/>
        </w:rPr>
      </w:pPr>
      <w:r>
        <w:rPr>
          <w:lang w:val="en"/>
        </w:rPr>
        <w:t xml:space="preserve">f. CI spans to benefit and harm - size effect </w:t>
      </w:r>
    </w:p>
    <w:p w14:paraId="7FF2C33A" w14:textId="77777777" w:rsidR="0060589D" w:rsidRDefault="0060589D" w:rsidP="00AB5515">
      <w:pPr>
        <w:pStyle w:val="Tablenotes"/>
        <w:rPr>
          <w:lang w:val="en"/>
        </w:rPr>
      </w:pPr>
      <w:proofErr w:type="gramStart"/>
      <w:r>
        <w:rPr>
          <w:lang w:val="en"/>
        </w:rPr>
        <w:t>g</w:t>
      </w:r>
      <w:proofErr w:type="gramEnd"/>
      <w:r>
        <w:rPr>
          <w:lang w:val="en"/>
        </w:rPr>
        <w:t xml:space="preserve">. few studies and, or low sample size </w:t>
      </w:r>
    </w:p>
    <w:p w14:paraId="1F3872D8" w14:textId="77777777" w:rsidR="0060589D" w:rsidRDefault="0060589D" w:rsidP="00AB5515">
      <w:pPr>
        <w:pStyle w:val="Tablenotes"/>
        <w:rPr>
          <w:lang w:val="en"/>
        </w:rPr>
      </w:pPr>
      <w:proofErr w:type="gramStart"/>
      <w:r>
        <w:rPr>
          <w:lang w:val="en"/>
        </w:rPr>
        <w:t>h</w:t>
      </w:r>
      <w:proofErr w:type="gramEnd"/>
      <w:r>
        <w:rPr>
          <w:lang w:val="en"/>
        </w:rPr>
        <w:t xml:space="preserve">. no patient withdrawals at this point - occurred just after this outcome </w:t>
      </w:r>
    </w:p>
    <w:p w14:paraId="539A9C2A" w14:textId="77777777" w:rsidR="0060589D" w:rsidRDefault="0060589D" w:rsidP="00AB5515">
      <w:pPr>
        <w:pStyle w:val="Tablenotes"/>
        <w:rPr>
          <w:lang w:val="en"/>
        </w:rPr>
      </w:pPr>
      <w:proofErr w:type="spellStart"/>
      <w:proofErr w:type="gramStart"/>
      <w:r>
        <w:rPr>
          <w:lang w:val="en"/>
        </w:rPr>
        <w:t>i</w:t>
      </w:r>
      <w:proofErr w:type="spellEnd"/>
      <w:proofErr w:type="gramEnd"/>
      <w:r>
        <w:rPr>
          <w:lang w:val="en"/>
        </w:rPr>
        <w:t xml:space="preserve">. no definition or info on how it's measured </w:t>
      </w:r>
    </w:p>
    <w:p w14:paraId="54260BEF" w14:textId="0C73C7D7" w:rsidR="00444F7B" w:rsidRPr="00444F7B" w:rsidRDefault="0060589D" w:rsidP="00444F7B">
      <w:pPr>
        <w:pStyle w:val="Tablenotes"/>
        <w:rPr>
          <w:lang w:val="en"/>
        </w:rPr>
      </w:pPr>
      <w:proofErr w:type="gramStart"/>
      <w:r>
        <w:rPr>
          <w:lang w:val="en"/>
        </w:rPr>
        <w:t>j</w:t>
      </w:r>
      <w:proofErr w:type="gramEnd"/>
      <w:r>
        <w:rPr>
          <w:lang w:val="en"/>
        </w:rPr>
        <w:t>. significant p-value</w:t>
      </w:r>
      <w:bookmarkStart w:id="34" w:name="_Ref58857221"/>
      <w:bookmarkStart w:id="35" w:name="_Toc59311990"/>
      <w:r w:rsidR="00444F7B">
        <w:br w:type="page"/>
      </w:r>
    </w:p>
    <w:p w14:paraId="33AB6E98" w14:textId="196BB5B1" w:rsidR="0060589D" w:rsidRDefault="0060589D" w:rsidP="0060589D">
      <w:pPr>
        <w:pStyle w:val="Caption"/>
      </w:pPr>
      <w:r>
        <w:t xml:space="preserve">Table </w:t>
      </w:r>
      <w:r>
        <w:fldChar w:fldCharType="begin"/>
      </w:r>
      <w:r>
        <w:instrText>SEQ Table \* ARABIC</w:instrText>
      </w:r>
      <w:r>
        <w:fldChar w:fldCharType="separate"/>
      </w:r>
      <w:r>
        <w:rPr>
          <w:noProof/>
        </w:rPr>
        <w:t>5</w:t>
      </w:r>
      <w:r>
        <w:fldChar w:fldCharType="end"/>
      </w:r>
      <w:bookmarkEnd w:id="34"/>
      <w:r>
        <w:tab/>
        <w:t>AM</w:t>
      </w:r>
      <w:r w:rsidRPr="00075887">
        <w:t xml:space="preserve"> compared to </w:t>
      </w:r>
      <w:r>
        <w:t>SOC</w:t>
      </w:r>
      <w:r w:rsidRPr="00075887">
        <w:t xml:space="preserve"> for </w:t>
      </w:r>
      <w:r>
        <w:t>VLU</w:t>
      </w:r>
      <w:bookmarkEnd w:id="35"/>
    </w:p>
    <w:tbl>
      <w:tblPr>
        <w:tblStyle w:val="OPTUMTableNormal"/>
        <w:tblW w:w="5000" w:type="pct"/>
        <w:tblLook w:val="04A0" w:firstRow="1" w:lastRow="0" w:firstColumn="1" w:lastColumn="0" w:noHBand="0" w:noVBand="1"/>
        <w:tblCaption w:val="Table 5 AM compared to SOC for VLU"/>
      </w:tblPr>
      <w:tblGrid>
        <w:gridCol w:w="1516"/>
        <w:gridCol w:w="1147"/>
        <w:gridCol w:w="1304"/>
        <w:gridCol w:w="934"/>
        <w:gridCol w:w="1899"/>
        <w:gridCol w:w="2216"/>
      </w:tblGrid>
      <w:tr w:rsidR="0060589D" w:rsidRPr="001E7434" w14:paraId="6F9F400D" w14:textId="77777777" w:rsidTr="00567A4B">
        <w:trPr>
          <w:cnfStyle w:val="100000000000" w:firstRow="1" w:lastRow="0" w:firstColumn="0" w:lastColumn="0" w:oddVBand="0" w:evenVBand="0" w:oddHBand="0" w:evenHBand="0" w:firstRowFirstColumn="0" w:firstRowLastColumn="0" w:lastRowFirstColumn="0" w:lastRowLastColumn="0"/>
          <w:trHeight w:val="688"/>
          <w:tblHeader/>
        </w:trPr>
        <w:tc>
          <w:tcPr>
            <w:tcW w:w="840" w:type="pct"/>
            <w:hideMark/>
          </w:tcPr>
          <w:p w14:paraId="52BE7DE2" w14:textId="77777777" w:rsidR="0060589D" w:rsidRPr="001E7434" w:rsidRDefault="0060589D" w:rsidP="001F4142">
            <w:pPr>
              <w:pStyle w:val="Tabletext"/>
              <w:rPr>
                <w:b/>
              </w:rPr>
            </w:pPr>
            <w:r w:rsidRPr="001E7434">
              <w:rPr>
                <w:b/>
              </w:rPr>
              <w:t>Outcomes</w:t>
            </w:r>
          </w:p>
        </w:tc>
        <w:tc>
          <w:tcPr>
            <w:tcW w:w="636" w:type="pct"/>
            <w:hideMark/>
          </w:tcPr>
          <w:p w14:paraId="70F01792" w14:textId="77777777" w:rsidR="0060589D" w:rsidRPr="001E7434" w:rsidRDefault="0060589D" w:rsidP="001F4142">
            <w:pPr>
              <w:pStyle w:val="Tabletext"/>
              <w:rPr>
                <w:b/>
              </w:rPr>
            </w:pPr>
            <w:r w:rsidRPr="001E7434">
              <w:rPr>
                <w:b/>
              </w:rPr>
              <w:t>№ of participants</w:t>
            </w:r>
          </w:p>
          <w:p w14:paraId="45C53F63" w14:textId="77777777" w:rsidR="0060589D" w:rsidRPr="001E7434" w:rsidRDefault="0060589D" w:rsidP="001F4142">
            <w:pPr>
              <w:pStyle w:val="Tabletext"/>
              <w:rPr>
                <w:b/>
              </w:rPr>
            </w:pPr>
            <w:r w:rsidRPr="001E7434">
              <w:rPr>
                <w:b/>
              </w:rPr>
              <w:t>(studies)</w:t>
            </w:r>
          </w:p>
        </w:tc>
        <w:tc>
          <w:tcPr>
            <w:tcW w:w="723" w:type="pct"/>
            <w:hideMark/>
          </w:tcPr>
          <w:p w14:paraId="3B1DA2D7" w14:textId="77777777" w:rsidR="0060589D" w:rsidRPr="001E7434" w:rsidRDefault="0060589D" w:rsidP="001F4142">
            <w:pPr>
              <w:pStyle w:val="Tabletext"/>
              <w:rPr>
                <w:b/>
              </w:rPr>
            </w:pPr>
            <w:r w:rsidRPr="001E7434">
              <w:rPr>
                <w:b/>
              </w:rPr>
              <w:t>Certainty of the evidence</w:t>
            </w:r>
          </w:p>
          <w:p w14:paraId="7AFCDED4" w14:textId="77777777" w:rsidR="0060589D" w:rsidRPr="001E7434" w:rsidRDefault="0060589D" w:rsidP="001F4142">
            <w:pPr>
              <w:pStyle w:val="Tabletext"/>
              <w:rPr>
                <w:b/>
              </w:rPr>
            </w:pPr>
            <w:r w:rsidRPr="001E7434">
              <w:rPr>
                <w:b/>
              </w:rPr>
              <w:t>(GRADE)</w:t>
            </w:r>
          </w:p>
        </w:tc>
        <w:tc>
          <w:tcPr>
            <w:tcW w:w="518" w:type="pct"/>
            <w:hideMark/>
          </w:tcPr>
          <w:p w14:paraId="51FD6B38" w14:textId="77777777" w:rsidR="0060589D" w:rsidRPr="001E7434" w:rsidRDefault="0060589D" w:rsidP="001F4142">
            <w:pPr>
              <w:pStyle w:val="Tabletext"/>
              <w:rPr>
                <w:b/>
              </w:rPr>
            </w:pPr>
            <w:r w:rsidRPr="001E7434">
              <w:rPr>
                <w:b/>
              </w:rPr>
              <w:t>Relative effect</w:t>
            </w:r>
          </w:p>
          <w:p w14:paraId="02071518" w14:textId="77777777" w:rsidR="0060589D" w:rsidRPr="001E7434" w:rsidRDefault="0060589D" w:rsidP="001F4142">
            <w:pPr>
              <w:pStyle w:val="Tabletext"/>
              <w:rPr>
                <w:b/>
              </w:rPr>
            </w:pPr>
            <w:r w:rsidRPr="001E7434">
              <w:rPr>
                <w:b/>
              </w:rPr>
              <w:t>(95% CI)</w:t>
            </w:r>
          </w:p>
        </w:tc>
        <w:tc>
          <w:tcPr>
            <w:tcW w:w="1053" w:type="pct"/>
            <w:hideMark/>
          </w:tcPr>
          <w:p w14:paraId="64C0F3B6" w14:textId="77777777" w:rsidR="0060589D" w:rsidRPr="001E7434" w:rsidRDefault="0060589D" w:rsidP="001F4142">
            <w:pPr>
              <w:pStyle w:val="Tabletext"/>
              <w:rPr>
                <w:b/>
              </w:rPr>
            </w:pPr>
            <w:r w:rsidRPr="001E7434">
              <w:rPr>
                <w:b/>
              </w:rPr>
              <w:t>Anticipated absolute effects</w:t>
            </w:r>
          </w:p>
          <w:p w14:paraId="59527D96" w14:textId="77777777" w:rsidR="0060589D" w:rsidRPr="001E7434" w:rsidRDefault="0060589D" w:rsidP="001F4142">
            <w:pPr>
              <w:pStyle w:val="Tabletext"/>
              <w:spacing w:before="0"/>
              <w:rPr>
                <w:b/>
              </w:rPr>
            </w:pPr>
            <w:r w:rsidRPr="001E7434">
              <w:rPr>
                <w:b/>
              </w:rPr>
              <w:t>Risk with SOC</w:t>
            </w:r>
          </w:p>
        </w:tc>
        <w:tc>
          <w:tcPr>
            <w:tcW w:w="1229" w:type="pct"/>
          </w:tcPr>
          <w:p w14:paraId="4CA8C69F" w14:textId="77777777" w:rsidR="0060589D" w:rsidRPr="001E7434" w:rsidRDefault="0060589D" w:rsidP="001F4142">
            <w:pPr>
              <w:pStyle w:val="Tabletext"/>
              <w:rPr>
                <w:b/>
              </w:rPr>
            </w:pPr>
            <w:r w:rsidRPr="001E7434">
              <w:rPr>
                <w:b/>
              </w:rPr>
              <w:t>Anticipated absolute effects</w:t>
            </w:r>
          </w:p>
          <w:p w14:paraId="01D8A785" w14:textId="77777777" w:rsidR="0060589D" w:rsidRPr="001E7434" w:rsidRDefault="0060589D" w:rsidP="001F4142">
            <w:pPr>
              <w:pStyle w:val="Tabletext"/>
              <w:spacing w:before="0"/>
              <w:rPr>
                <w:b/>
              </w:rPr>
            </w:pPr>
            <w:r w:rsidRPr="001E7434">
              <w:rPr>
                <w:b/>
              </w:rPr>
              <w:t>Risk difference with AM</w:t>
            </w:r>
          </w:p>
        </w:tc>
      </w:tr>
      <w:tr w:rsidR="0060589D" w:rsidRPr="005E097B" w14:paraId="55D3C950" w14:textId="77777777" w:rsidTr="001F4142">
        <w:tc>
          <w:tcPr>
            <w:tcW w:w="840" w:type="pct"/>
          </w:tcPr>
          <w:p w14:paraId="4B692F68" w14:textId="77777777" w:rsidR="0060589D" w:rsidRPr="005E097B" w:rsidRDefault="0060589D" w:rsidP="00567A4B">
            <w:pPr>
              <w:pStyle w:val="Tabletext"/>
              <w:rPr>
                <w:rStyle w:val="label"/>
                <w:b/>
                <w:bCs/>
                <w:color w:val="000000" w:themeColor="text1"/>
              </w:rPr>
            </w:pPr>
            <w:r w:rsidRPr="005E097B">
              <w:rPr>
                <w:rStyle w:val="label"/>
                <w:b/>
                <w:bCs/>
                <w:color w:val="000000" w:themeColor="text1"/>
              </w:rPr>
              <w:t xml:space="preserve">Effectiveness </w:t>
            </w:r>
          </w:p>
        </w:tc>
        <w:tc>
          <w:tcPr>
            <w:tcW w:w="636" w:type="pct"/>
          </w:tcPr>
          <w:p w14:paraId="1D4C7CEE" w14:textId="77777777" w:rsidR="0060589D" w:rsidRPr="005E097B" w:rsidRDefault="00567A4B" w:rsidP="001F4142">
            <w:pPr>
              <w:pStyle w:val="Tabletext"/>
              <w:rPr>
                <w:b/>
                <w:bCs/>
              </w:rPr>
            </w:pPr>
            <w:r w:rsidRPr="005E097B">
              <w:rPr>
                <w:rStyle w:val="label"/>
                <w:b/>
                <w:bCs/>
                <w:color w:val="000000" w:themeColor="text1"/>
              </w:rPr>
              <w:t>outcomes</w:t>
            </w:r>
          </w:p>
        </w:tc>
        <w:tc>
          <w:tcPr>
            <w:tcW w:w="723" w:type="pct"/>
          </w:tcPr>
          <w:p w14:paraId="1A616944" w14:textId="77777777" w:rsidR="0060589D" w:rsidRPr="005E097B" w:rsidRDefault="0060589D" w:rsidP="001F4142">
            <w:pPr>
              <w:pStyle w:val="Tabletext"/>
              <w:rPr>
                <w:rFonts w:ascii="Cambria Math" w:hAnsi="Cambria Math"/>
                <w:b/>
                <w:bCs/>
                <w:color w:val="00B050"/>
              </w:rPr>
            </w:pPr>
          </w:p>
        </w:tc>
        <w:tc>
          <w:tcPr>
            <w:tcW w:w="518" w:type="pct"/>
          </w:tcPr>
          <w:p w14:paraId="26100F06" w14:textId="77777777" w:rsidR="0060589D" w:rsidRPr="005E097B" w:rsidRDefault="0060589D" w:rsidP="001F4142">
            <w:pPr>
              <w:pStyle w:val="Tabletext"/>
              <w:rPr>
                <w:rStyle w:val="block"/>
                <w:b/>
                <w:bCs/>
                <w:color w:val="000000" w:themeColor="text1"/>
              </w:rPr>
            </w:pPr>
          </w:p>
        </w:tc>
        <w:tc>
          <w:tcPr>
            <w:tcW w:w="1053" w:type="pct"/>
          </w:tcPr>
          <w:p w14:paraId="511D314B" w14:textId="77777777" w:rsidR="0060589D" w:rsidRPr="005E097B" w:rsidRDefault="0060589D" w:rsidP="001F4142">
            <w:pPr>
              <w:pStyle w:val="Tabletext"/>
              <w:rPr>
                <w:b/>
                <w:bCs/>
              </w:rPr>
            </w:pPr>
          </w:p>
        </w:tc>
        <w:tc>
          <w:tcPr>
            <w:tcW w:w="1229" w:type="pct"/>
          </w:tcPr>
          <w:p w14:paraId="67F8FB76" w14:textId="77777777" w:rsidR="0060589D" w:rsidRPr="005E097B" w:rsidRDefault="0060589D" w:rsidP="001F4142">
            <w:pPr>
              <w:pStyle w:val="Tabletext"/>
              <w:rPr>
                <w:rStyle w:val="cell-value"/>
                <w:b/>
                <w:bCs/>
                <w:color w:val="000000" w:themeColor="text1"/>
              </w:rPr>
            </w:pPr>
          </w:p>
        </w:tc>
      </w:tr>
      <w:tr w:rsidR="0060589D" w:rsidRPr="001E7434" w14:paraId="2FDE33ED" w14:textId="77777777" w:rsidTr="001F4142">
        <w:tc>
          <w:tcPr>
            <w:tcW w:w="840" w:type="pct"/>
            <w:hideMark/>
          </w:tcPr>
          <w:p w14:paraId="38DEEE09" w14:textId="77777777" w:rsidR="0060589D" w:rsidRPr="006E4E9A" w:rsidRDefault="0060589D" w:rsidP="001F4142">
            <w:pPr>
              <w:pStyle w:val="Tabletext"/>
              <w:rPr>
                <w:rStyle w:val="label"/>
                <w:color w:val="000000" w:themeColor="text1"/>
              </w:rPr>
            </w:pPr>
            <w:r w:rsidRPr="006E4E9A">
              <w:rPr>
                <w:rStyle w:val="label"/>
                <w:color w:val="000000" w:themeColor="text1"/>
              </w:rPr>
              <w:lastRenderedPageBreak/>
              <w:t>Complete healing</w:t>
            </w:r>
          </w:p>
          <w:p w14:paraId="5B5E9F4B" w14:textId="77777777" w:rsidR="0060589D" w:rsidRPr="001E7434" w:rsidRDefault="0060589D" w:rsidP="001F4142">
            <w:pPr>
              <w:pStyle w:val="Tabletext"/>
              <w:rPr>
                <w:bCs/>
              </w:rPr>
            </w:pPr>
            <w:r w:rsidRPr="006E4E9A">
              <w:rPr>
                <w:rStyle w:val="label"/>
                <w:color w:val="000000" w:themeColor="text1"/>
              </w:rPr>
              <w:t>Follow-up 3 to</w:t>
            </w:r>
            <w:r w:rsidRPr="001E7434">
              <w:rPr>
                <w:rStyle w:val="label"/>
                <w:bCs/>
                <w:color w:val="000000" w:themeColor="text1"/>
              </w:rPr>
              <w:t xml:space="preserve"> 16 weeks</w:t>
            </w:r>
            <w:r w:rsidRPr="001E7434">
              <w:rPr>
                <w:bCs/>
              </w:rPr>
              <w:t xml:space="preserve"> </w:t>
            </w:r>
          </w:p>
        </w:tc>
        <w:tc>
          <w:tcPr>
            <w:tcW w:w="636" w:type="pct"/>
            <w:hideMark/>
          </w:tcPr>
          <w:p w14:paraId="5811D9C9" w14:textId="77777777" w:rsidR="0060589D" w:rsidRPr="001E7434" w:rsidRDefault="0060589D" w:rsidP="001F4142">
            <w:pPr>
              <w:pStyle w:val="Tabletext"/>
              <w:rPr>
                <w:bCs/>
              </w:rPr>
            </w:pPr>
            <w:r w:rsidRPr="001E7434">
              <w:rPr>
                <w:bCs/>
              </w:rPr>
              <w:t>437</w:t>
            </w:r>
            <w:r w:rsidRPr="001E7434">
              <w:rPr>
                <w:bCs/>
              </w:rPr>
              <w:br/>
              <w:t xml:space="preserve">(4 RCTs) </w:t>
            </w:r>
          </w:p>
        </w:tc>
        <w:tc>
          <w:tcPr>
            <w:tcW w:w="723" w:type="pct"/>
            <w:hideMark/>
          </w:tcPr>
          <w:p w14:paraId="3FDCD02F"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152B5E96" w14:textId="77777777" w:rsidR="0060589D" w:rsidRPr="001E7434" w:rsidRDefault="0060589D" w:rsidP="001F4142">
            <w:pPr>
              <w:pStyle w:val="Tabletext"/>
              <w:rPr>
                <w:bCs/>
              </w:rPr>
            </w:pPr>
            <w:r w:rsidRPr="001E7434">
              <w:rPr>
                <w:rStyle w:val="quality-text"/>
                <w:bCs/>
                <w:color w:val="000000" w:themeColor="text1"/>
              </w:rPr>
              <w:t>VERY LOW</w:t>
            </w:r>
            <w:r w:rsidRPr="001E7434">
              <w:rPr>
                <w:bCs/>
              </w:rPr>
              <w:t xml:space="preserve"> </w:t>
            </w:r>
            <w:proofErr w:type="spellStart"/>
            <w:r w:rsidRPr="001E7434">
              <w:rPr>
                <w:bCs/>
                <w:vertAlign w:val="superscript"/>
              </w:rPr>
              <w:t>a</w:t>
            </w:r>
            <w:r w:rsidRPr="001E7434">
              <w:rPr>
                <w:rStyle w:val="comma"/>
                <w:bCs/>
                <w:color w:val="000000" w:themeColor="text1"/>
                <w:vertAlign w:val="superscript"/>
              </w:rPr>
              <w:t>,</w:t>
            </w:r>
            <w:r w:rsidRPr="001E7434">
              <w:rPr>
                <w:bCs/>
                <w:vertAlign w:val="superscript"/>
              </w:rPr>
              <w:t>b</w:t>
            </w:r>
            <w:r w:rsidRPr="001E7434">
              <w:rPr>
                <w:rStyle w:val="comma"/>
                <w:bCs/>
                <w:color w:val="000000" w:themeColor="text1"/>
                <w:vertAlign w:val="superscript"/>
              </w:rPr>
              <w:t>,</w:t>
            </w:r>
            <w:r>
              <w:rPr>
                <w:rStyle w:val="comma"/>
                <w:color w:val="000000" w:themeColor="text1"/>
                <w:vertAlign w:val="superscript"/>
              </w:rPr>
              <w:t>c</w:t>
            </w:r>
            <w:proofErr w:type="spellEnd"/>
          </w:p>
        </w:tc>
        <w:tc>
          <w:tcPr>
            <w:tcW w:w="518" w:type="pct"/>
            <w:hideMark/>
          </w:tcPr>
          <w:p w14:paraId="3BD86D38" w14:textId="77777777" w:rsidR="0060589D" w:rsidRPr="001E7434" w:rsidRDefault="0060589D" w:rsidP="001F4142">
            <w:pPr>
              <w:pStyle w:val="Tabletext"/>
              <w:rPr>
                <w:bCs/>
              </w:rPr>
            </w:pPr>
            <w:r w:rsidRPr="001E7434">
              <w:rPr>
                <w:rStyle w:val="block"/>
                <w:bCs/>
                <w:color w:val="000000" w:themeColor="text1"/>
              </w:rPr>
              <w:t>RR 1</w:t>
            </w:r>
            <w:r>
              <w:rPr>
                <w:rStyle w:val="block"/>
                <w:bCs/>
                <w:color w:val="000000" w:themeColor="text1"/>
              </w:rPr>
              <w:t>.6</w:t>
            </w:r>
            <w:r>
              <w:rPr>
                <w:rStyle w:val="block"/>
                <w:bCs/>
              </w:rPr>
              <w:t>0</w:t>
            </w:r>
            <w:r w:rsidRPr="001E7434">
              <w:rPr>
                <w:bCs/>
              </w:rPr>
              <w:br/>
            </w:r>
            <w:r w:rsidRPr="001E7434">
              <w:rPr>
                <w:rStyle w:val="cell"/>
                <w:bCs/>
                <w:color w:val="000000" w:themeColor="text1"/>
              </w:rPr>
              <w:t>(</w:t>
            </w:r>
            <w:r>
              <w:rPr>
                <w:rStyle w:val="cell"/>
                <w:bCs/>
                <w:color w:val="000000" w:themeColor="text1"/>
              </w:rPr>
              <w:t>1.35</w:t>
            </w:r>
            <w:r w:rsidRPr="001E7434">
              <w:rPr>
                <w:rStyle w:val="cell"/>
                <w:bCs/>
                <w:color w:val="000000" w:themeColor="text1"/>
              </w:rPr>
              <w:t xml:space="preserve"> to </w:t>
            </w:r>
            <w:r>
              <w:rPr>
                <w:rStyle w:val="cell"/>
                <w:bCs/>
                <w:color w:val="000000" w:themeColor="text1"/>
              </w:rPr>
              <w:t>1.90</w:t>
            </w:r>
            <w:r w:rsidRPr="001E7434">
              <w:rPr>
                <w:rStyle w:val="cell"/>
                <w:bCs/>
                <w:color w:val="000000" w:themeColor="text1"/>
              </w:rPr>
              <w:t>)</w:t>
            </w:r>
            <w:r w:rsidRPr="001E7434">
              <w:rPr>
                <w:bCs/>
              </w:rPr>
              <w:t xml:space="preserve"> </w:t>
            </w:r>
          </w:p>
        </w:tc>
        <w:tc>
          <w:tcPr>
            <w:tcW w:w="1053" w:type="pct"/>
            <w:hideMark/>
          </w:tcPr>
          <w:p w14:paraId="78E2D72E" w14:textId="77777777" w:rsidR="0060589D" w:rsidRPr="001E7434" w:rsidRDefault="0060589D" w:rsidP="001F4142">
            <w:pPr>
              <w:pStyle w:val="Tabletext"/>
              <w:rPr>
                <w:bCs/>
              </w:rPr>
            </w:pPr>
            <w:r w:rsidRPr="001E7434">
              <w:rPr>
                <w:bCs/>
              </w:rPr>
              <w:t xml:space="preserve">403 per 1,000 </w:t>
            </w:r>
          </w:p>
        </w:tc>
        <w:tc>
          <w:tcPr>
            <w:tcW w:w="1229" w:type="pct"/>
            <w:hideMark/>
          </w:tcPr>
          <w:p w14:paraId="3165F7BF" w14:textId="77777777" w:rsidR="0060589D" w:rsidRPr="001E7434" w:rsidRDefault="0060589D" w:rsidP="001F4142">
            <w:pPr>
              <w:pStyle w:val="Tabletext"/>
              <w:rPr>
                <w:bCs/>
              </w:rPr>
            </w:pPr>
            <w:r>
              <w:rPr>
                <w:rStyle w:val="cell-value"/>
                <w:bCs/>
                <w:color w:val="000000" w:themeColor="text1"/>
              </w:rPr>
              <w:t>2</w:t>
            </w:r>
            <w:r>
              <w:rPr>
                <w:rStyle w:val="cell-value"/>
                <w:bCs/>
              </w:rPr>
              <w:t>42</w:t>
            </w:r>
            <w:r w:rsidRPr="001E7434">
              <w:rPr>
                <w:rStyle w:val="cell-value"/>
                <w:bCs/>
                <w:color w:val="000000" w:themeColor="text1"/>
              </w:rPr>
              <w:t xml:space="preserve"> more per 1,000</w:t>
            </w:r>
            <w:r w:rsidRPr="001E7434">
              <w:rPr>
                <w:bCs/>
              </w:rPr>
              <w:br/>
            </w:r>
            <w:r w:rsidRPr="001E7434">
              <w:rPr>
                <w:rStyle w:val="cell-value"/>
                <w:bCs/>
                <w:color w:val="000000" w:themeColor="text1"/>
              </w:rPr>
              <w:t>(</w:t>
            </w:r>
            <w:r>
              <w:rPr>
                <w:rStyle w:val="cell-value"/>
                <w:bCs/>
                <w:color w:val="000000" w:themeColor="text1"/>
              </w:rPr>
              <w:t>2</w:t>
            </w:r>
            <w:r>
              <w:rPr>
                <w:rStyle w:val="cell-value"/>
                <w:bCs/>
              </w:rPr>
              <w:t>62</w:t>
            </w:r>
            <w:r w:rsidRPr="001E7434">
              <w:rPr>
                <w:rStyle w:val="cell-value"/>
                <w:bCs/>
                <w:color w:val="000000" w:themeColor="text1"/>
              </w:rPr>
              <w:t xml:space="preserve"> fewer to </w:t>
            </w:r>
            <w:r>
              <w:rPr>
                <w:rStyle w:val="cell-value"/>
                <w:bCs/>
                <w:color w:val="000000" w:themeColor="text1"/>
              </w:rPr>
              <w:t>3</w:t>
            </w:r>
            <w:r>
              <w:rPr>
                <w:rStyle w:val="cell-value"/>
                <w:bCs/>
              </w:rPr>
              <w:t>63</w:t>
            </w:r>
            <w:r w:rsidRPr="001E7434">
              <w:rPr>
                <w:rStyle w:val="cell-value"/>
                <w:bCs/>
                <w:color w:val="000000" w:themeColor="text1"/>
              </w:rPr>
              <w:t xml:space="preserve"> more)</w:t>
            </w:r>
            <w:r w:rsidRPr="001E7434">
              <w:rPr>
                <w:bCs/>
              </w:rPr>
              <w:t xml:space="preserve"> </w:t>
            </w:r>
          </w:p>
        </w:tc>
      </w:tr>
      <w:tr w:rsidR="0060589D" w:rsidRPr="001E7434" w14:paraId="3C43D340" w14:textId="77777777" w:rsidTr="001F4142">
        <w:tc>
          <w:tcPr>
            <w:tcW w:w="840" w:type="pct"/>
            <w:hideMark/>
          </w:tcPr>
          <w:p w14:paraId="7A7AE742" w14:textId="77777777" w:rsidR="0060589D" w:rsidRPr="001E7434" w:rsidRDefault="0060589D" w:rsidP="001F4142">
            <w:pPr>
              <w:pStyle w:val="Tabletext"/>
              <w:rPr>
                <w:rStyle w:val="label"/>
                <w:bCs/>
                <w:color w:val="000000" w:themeColor="text1"/>
              </w:rPr>
            </w:pPr>
            <w:r w:rsidRPr="001E7434">
              <w:rPr>
                <w:rStyle w:val="label"/>
                <w:bCs/>
                <w:color w:val="000000" w:themeColor="text1"/>
              </w:rPr>
              <w:t>Partial healing</w:t>
            </w:r>
          </w:p>
          <w:p w14:paraId="5806B8D9" w14:textId="77777777" w:rsidR="0060589D" w:rsidRPr="001E7434" w:rsidRDefault="0060589D" w:rsidP="001F4142">
            <w:pPr>
              <w:pStyle w:val="Tabletext"/>
              <w:rPr>
                <w:bCs/>
              </w:rPr>
            </w:pPr>
            <w:r w:rsidRPr="001E7434">
              <w:rPr>
                <w:rStyle w:val="label"/>
                <w:bCs/>
                <w:color w:val="000000" w:themeColor="text1"/>
              </w:rPr>
              <w:t>Follow-up 4 weeks</w:t>
            </w:r>
            <w:r w:rsidRPr="001E7434">
              <w:rPr>
                <w:bCs/>
              </w:rPr>
              <w:t xml:space="preserve"> </w:t>
            </w:r>
          </w:p>
        </w:tc>
        <w:tc>
          <w:tcPr>
            <w:tcW w:w="636" w:type="pct"/>
            <w:hideMark/>
          </w:tcPr>
          <w:p w14:paraId="14EE5000" w14:textId="77777777" w:rsidR="0060589D" w:rsidRPr="001E7434" w:rsidRDefault="0060589D" w:rsidP="001F4142">
            <w:pPr>
              <w:pStyle w:val="Tabletext"/>
              <w:rPr>
                <w:bCs/>
              </w:rPr>
            </w:pPr>
            <w:r w:rsidRPr="001E7434">
              <w:rPr>
                <w:bCs/>
              </w:rPr>
              <w:t>84</w:t>
            </w:r>
            <w:r w:rsidRPr="001E7434">
              <w:rPr>
                <w:bCs/>
              </w:rPr>
              <w:br/>
              <w:t xml:space="preserve">(1 RCT) </w:t>
            </w:r>
          </w:p>
        </w:tc>
        <w:tc>
          <w:tcPr>
            <w:tcW w:w="723" w:type="pct"/>
            <w:hideMark/>
          </w:tcPr>
          <w:p w14:paraId="157FCA72"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628644F7"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proofErr w:type="spellStart"/>
            <w:r w:rsidRPr="001629B1">
              <w:rPr>
                <w:bCs/>
                <w:vertAlign w:val="superscript"/>
              </w:rPr>
              <w:t>c</w:t>
            </w:r>
            <w:r>
              <w:rPr>
                <w:bCs/>
                <w:vertAlign w:val="superscript"/>
              </w:rPr>
              <w:t>,</w:t>
            </w:r>
            <w:r w:rsidRPr="001E7434">
              <w:rPr>
                <w:bCs/>
                <w:vertAlign w:val="superscript"/>
              </w:rPr>
              <w:t>d</w:t>
            </w:r>
            <w:r>
              <w:rPr>
                <w:vertAlign w:val="superscript"/>
              </w:rPr>
              <w:t>,</w:t>
            </w:r>
            <w:r w:rsidRPr="001E7434">
              <w:rPr>
                <w:bCs/>
                <w:vertAlign w:val="superscript"/>
              </w:rPr>
              <w:t>e</w:t>
            </w:r>
            <w:proofErr w:type="spellEnd"/>
          </w:p>
        </w:tc>
        <w:tc>
          <w:tcPr>
            <w:tcW w:w="518" w:type="pct"/>
            <w:hideMark/>
          </w:tcPr>
          <w:p w14:paraId="5410917E" w14:textId="77777777" w:rsidR="0060589D" w:rsidRPr="001E7434" w:rsidRDefault="0060589D" w:rsidP="001F4142">
            <w:pPr>
              <w:pStyle w:val="Tabletext"/>
              <w:rPr>
                <w:bCs/>
              </w:rPr>
            </w:pPr>
            <w:r w:rsidRPr="001E7434">
              <w:rPr>
                <w:rStyle w:val="cell"/>
                <w:bCs/>
                <w:color w:val="000000" w:themeColor="text1"/>
              </w:rPr>
              <w:t>-</w:t>
            </w:r>
            <w:r w:rsidRPr="001E7434">
              <w:rPr>
                <w:bCs/>
              </w:rPr>
              <w:t xml:space="preserve"> </w:t>
            </w:r>
          </w:p>
        </w:tc>
        <w:tc>
          <w:tcPr>
            <w:tcW w:w="1053" w:type="pct"/>
            <w:hideMark/>
          </w:tcPr>
          <w:p w14:paraId="1AAA7FD8"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229" w:type="pct"/>
            <w:hideMark/>
          </w:tcPr>
          <w:p w14:paraId="19F7389E"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r>
      <w:tr w:rsidR="0060589D" w:rsidRPr="001E7434" w14:paraId="07142B4A" w14:textId="77777777" w:rsidTr="001F4142">
        <w:tc>
          <w:tcPr>
            <w:tcW w:w="840" w:type="pct"/>
          </w:tcPr>
          <w:p w14:paraId="110C0D87" w14:textId="77777777" w:rsidR="0060589D" w:rsidRPr="001E7434" w:rsidRDefault="0060589D" w:rsidP="001F4142">
            <w:pPr>
              <w:pStyle w:val="Tabletext"/>
              <w:rPr>
                <w:rStyle w:val="label"/>
                <w:bCs/>
                <w:color w:val="000000" w:themeColor="text1"/>
              </w:rPr>
            </w:pPr>
            <w:r w:rsidRPr="001E7434">
              <w:rPr>
                <w:rStyle w:val="label"/>
                <w:bCs/>
                <w:color w:val="000000" w:themeColor="text1"/>
              </w:rPr>
              <w:t>Time to heal</w:t>
            </w:r>
          </w:p>
          <w:p w14:paraId="166FAE44" w14:textId="77777777" w:rsidR="0060589D" w:rsidRPr="001E7434" w:rsidRDefault="0060589D" w:rsidP="001F4142">
            <w:pPr>
              <w:pStyle w:val="Tabletext"/>
              <w:rPr>
                <w:rStyle w:val="label"/>
                <w:bCs/>
                <w:color w:val="000000" w:themeColor="text1"/>
              </w:rPr>
            </w:pPr>
            <w:r w:rsidRPr="001E7434">
              <w:rPr>
                <w:rStyle w:val="label"/>
                <w:bCs/>
                <w:color w:val="000000" w:themeColor="text1"/>
              </w:rPr>
              <w:t>follow-up 8 weeks</w:t>
            </w:r>
            <w:r w:rsidRPr="001E7434">
              <w:rPr>
                <w:bCs/>
              </w:rPr>
              <w:t xml:space="preserve"> </w:t>
            </w:r>
          </w:p>
        </w:tc>
        <w:tc>
          <w:tcPr>
            <w:tcW w:w="636" w:type="pct"/>
          </w:tcPr>
          <w:p w14:paraId="557D1F59" w14:textId="77777777" w:rsidR="0060589D" w:rsidRPr="001E7434" w:rsidRDefault="0060589D" w:rsidP="001F4142">
            <w:pPr>
              <w:pStyle w:val="Tabletext"/>
              <w:rPr>
                <w:bCs/>
              </w:rPr>
            </w:pPr>
            <w:r w:rsidRPr="001E7434">
              <w:rPr>
                <w:bCs/>
              </w:rPr>
              <w:t>25</w:t>
            </w:r>
            <w:r w:rsidRPr="001E7434">
              <w:rPr>
                <w:bCs/>
              </w:rPr>
              <w:br/>
              <w:t xml:space="preserve">(1 RCT) </w:t>
            </w:r>
          </w:p>
        </w:tc>
        <w:tc>
          <w:tcPr>
            <w:tcW w:w="723" w:type="pct"/>
          </w:tcPr>
          <w:p w14:paraId="3C287F76"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78AE9B72" w14:textId="77777777" w:rsidR="0060589D" w:rsidRPr="001E7434" w:rsidRDefault="0060589D" w:rsidP="001F4142">
            <w:pPr>
              <w:pStyle w:val="Tabletext"/>
              <w:rPr>
                <w:rFonts w:ascii="Cambria Math" w:hAnsi="Cambria Math"/>
                <w:bCs/>
                <w:color w:val="00B050"/>
              </w:rPr>
            </w:pPr>
            <w:r w:rsidRPr="001E7434">
              <w:rPr>
                <w:rStyle w:val="quality-text"/>
                <w:bCs/>
                <w:color w:val="000000" w:themeColor="text1"/>
              </w:rPr>
              <w:t>VERY LOW</w:t>
            </w:r>
            <w:r w:rsidRPr="001E7434">
              <w:rPr>
                <w:bCs/>
              </w:rPr>
              <w:t xml:space="preserve"> </w:t>
            </w:r>
            <w:proofErr w:type="spellStart"/>
            <w:r w:rsidRPr="001E7434">
              <w:rPr>
                <w:bCs/>
                <w:vertAlign w:val="superscript"/>
              </w:rPr>
              <w:t>a</w:t>
            </w:r>
            <w:r w:rsidRPr="001E7434">
              <w:rPr>
                <w:rStyle w:val="comma"/>
                <w:bCs/>
                <w:color w:val="000000" w:themeColor="text1"/>
                <w:vertAlign w:val="superscript"/>
              </w:rPr>
              <w:t>,</w:t>
            </w:r>
            <w:r>
              <w:rPr>
                <w:rStyle w:val="comma"/>
                <w:bCs/>
                <w:color w:val="000000" w:themeColor="text1"/>
                <w:vertAlign w:val="superscript"/>
              </w:rPr>
              <w:t>c</w:t>
            </w:r>
            <w:r w:rsidRPr="001629B1">
              <w:rPr>
                <w:rStyle w:val="comma"/>
                <w:color w:val="000000" w:themeColor="text1"/>
                <w:vertAlign w:val="superscript"/>
              </w:rPr>
              <w:t>,d</w:t>
            </w:r>
            <w:r w:rsidRPr="001E7434">
              <w:rPr>
                <w:rStyle w:val="comma"/>
                <w:bCs/>
                <w:color w:val="000000" w:themeColor="text1"/>
                <w:vertAlign w:val="superscript"/>
              </w:rPr>
              <w:t>,</w:t>
            </w:r>
            <w:r w:rsidRPr="001E7434">
              <w:rPr>
                <w:bCs/>
                <w:vertAlign w:val="superscript"/>
              </w:rPr>
              <w:t>e</w:t>
            </w:r>
            <w:proofErr w:type="spellEnd"/>
          </w:p>
        </w:tc>
        <w:tc>
          <w:tcPr>
            <w:tcW w:w="518" w:type="pct"/>
          </w:tcPr>
          <w:p w14:paraId="5D8E4C7D" w14:textId="77777777" w:rsidR="0060589D" w:rsidRPr="001E7434" w:rsidRDefault="0060589D" w:rsidP="001F4142">
            <w:pPr>
              <w:pStyle w:val="Tabletext"/>
              <w:rPr>
                <w:rStyle w:val="cell"/>
                <w:bCs/>
                <w:color w:val="000000" w:themeColor="text1"/>
              </w:rPr>
            </w:pPr>
            <w:r w:rsidRPr="001E7434">
              <w:rPr>
                <w:rStyle w:val="cell"/>
                <w:bCs/>
                <w:color w:val="000000" w:themeColor="text1"/>
              </w:rPr>
              <w:t>-</w:t>
            </w:r>
            <w:r w:rsidRPr="001E7434">
              <w:rPr>
                <w:bCs/>
              </w:rPr>
              <w:t xml:space="preserve"> </w:t>
            </w:r>
          </w:p>
        </w:tc>
        <w:tc>
          <w:tcPr>
            <w:tcW w:w="1053" w:type="pct"/>
          </w:tcPr>
          <w:p w14:paraId="37193CCA" w14:textId="77777777" w:rsidR="0060589D" w:rsidRPr="001E7434" w:rsidRDefault="0060589D" w:rsidP="001F4142">
            <w:pPr>
              <w:pStyle w:val="Tabletext"/>
              <w:rPr>
                <w:rStyle w:val="cell"/>
                <w:bCs/>
                <w:color w:val="000000" w:themeColor="text1"/>
              </w:rPr>
            </w:pPr>
            <w:r w:rsidRPr="001E7434">
              <w:rPr>
                <w:rStyle w:val="cell"/>
                <w:bCs/>
                <w:color w:val="000000" w:themeColor="text1"/>
              </w:rPr>
              <w:t>not pooled</w:t>
            </w:r>
            <w:r w:rsidRPr="001E7434">
              <w:rPr>
                <w:bCs/>
              </w:rPr>
              <w:t xml:space="preserve"> </w:t>
            </w:r>
          </w:p>
        </w:tc>
        <w:tc>
          <w:tcPr>
            <w:tcW w:w="1229" w:type="pct"/>
          </w:tcPr>
          <w:p w14:paraId="5E3DE201" w14:textId="77777777" w:rsidR="0060589D" w:rsidRPr="001E7434" w:rsidRDefault="0060589D" w:rsidP="001F4142">
            <w:pPr>
              <w:pStyle w:val="Tabletext"/>
              <w:rPr>
                <w:rStyle w:val="cell"/>
                <w:bCs/>
                <w:color w:val="000000" w:themeColor="text1"/>
              </w:rPr>
            </w:pPr>
            <w:r w:rsidRPr="001E7434">
              <w:rPr>
                <w:rStyle w:val="cell"/>
                <w:bCs/>
                <w:color w:val="000000" w:themeColor="text1"/>
              </w:rPr>
              <w:t>not pooled</w:t>
            </w:r>
            <w:r w:rsidRPr="001E7434">
              <w:rPr>
                <w:bCs/>
              </w:rPr>
              <w:t xml:space="preserve"> </w:t>
            </w:r>
          </w:p>
        </w:tc>
      </w:tr>
      <w:tr w:rsidR="0060589D" w:rsidRPr="001E7434" w14:paraId="5D7C1C75" w14:textId="77777777" w:rsidTr="001F4142">
        <w:tc>
          <w:tcPr>
            <w:tcW w:w="840" w:type="pct"/>
          </w:tcPr>
          <w:p w14:paraId="2BCD7114" w14:textId="77777777" w:rsidR="0060589D" w:rsidRPr="001E7434" w:rsidRDefault="0060589D" w:rsidP="001F4142">
            <w:pPr>
              <w:pStyle w:val="Tabletext"/>
              <w:rPr>
                <w:rStyle w:val="label"/>
                <w:bCs/>
                <w:color w:val="000000" w:themeColor="text1"/>
              </w:rPr>
            </w:pPr>
            <w:r w:rsidRPr="001E7434">
              <w:rPr>
                <w:rStyle w:val="label"/>
                <w:bCs/>
                <w:color w:val="000000" w:themeColor="text1"/>
              </w:rPr>
              <w:t>Wound size reduction</w:t>
            </w:r>
          </w:p>
          <w:p w14:paraId="0377D2C7" w14:textId="77777777" w:rsidR="0060589D" w:rsidRPr="001E7434" w:rsidRDefault="0060589D" w:rsidP="001F4142">
            <w:pPr>
              <w:pStyle w:val="Tabletext"/>
              <w:rPr>
                <w:rStyle w:val="label"/>
                <w:bCs/>
                <w:color w:val="000000" w:themeColor="text1"/>
              </w:rPr>
            </w:pPr>
            <w:r w:rsidRPr="001E7434">
              <w:rPr>
                <w:rStyle w:val="label"/>
                <w:bCs/>
                <w:color w:val="000000" w:themeColor="text1"/>
              </w:rPr>
              <w:t>Follow-up 3 to 8 weeks</w:t>
            </w:r>
            <w:r w:rsidRPr="001E7434">
              <w:rPr>
                <w:bCs/>
              </w:rPr>
              <w:t xml:space="preserve"> </w:t>
            </w:r>
          </w:p>
        </w:tc>
        <w:tc>
          <w:tcPr>
            <w:tcW w:w="636" w:type="pct"/>
          </w:tcPr>
          <w:p w14:paraId="26DDCCD9" w14:textId="77777777" w:rsidR="0060589D" w:rsidRPr="001E7434" w:rsidRDefault="0060589D" w:rsidP="001F4142">
            <w:pPr>
              <w:pStyle w:val="Tabletext"/>
              <w:rPr>
                <w:bCs/>
              </w:rPr>
            </w:pPr>
            <w:r w:rsidRPr="001E7434">
              <w:rPr>
                <w:bCs/>
              </w:rPr>
              <w:t>218</w:t>
            </w:r>
            <w:r w:rsidRPr="001E7434">
              <w:rPr>
                <w:bCs/>
              </w:rPr>
              <w:br/>
              <w:t xml:space="preserve">(3 RCTs) </w:t>
            </w:r>
          </w:p>
        </w:tc>
        <w:tc>
          <w:tcPr>
            <w:tcW w:w="723" w:type="pct"/>
          </w:tcPr>
          <w:p w14:paraId="26086F49"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2CA1FDD1" w14:textId="77777777" w:rsidR="0060589D" w:rsidRPr="001E7434" w:rsidRDefault="0060589D" w:rsidP="001F4142">
            <w:pPr>
              <w:pStyle w:val="Tabletext"/>
              <w:rPr>
                <w:rFonts w:ascii="Cambria Math" w:hAnsi="Cambria Math"/>
                <w:bCs/>
                <w:color w:val="00B050"/>
              </w:rPr>
            </w:pPr>
            <w:r w:rsidRPr="001E7434">
              <w:rPr>
                <w:rStyle w:val="quality-text"/>
                <w:bCs/>
                <w:color w:val="000000" w:themeColor="text1"/>
              </w:rPr>
              <w:t>MODERATE</w:t>
            </w:r>
            <w:r w:rsidRPr="001E7434">
              <w:rPr>
                <w:bCs/>
              </w:rPr>
              <w:t xml:space="preserve"> </w:t>
            </w:r>
            <w:r>
              <w:rPr>
                <w:bCs/>
                <w:vertAlign w:val="superscript"/>
              </w:rPr>
              <w:t>e</w:t>
            </w:r>
          </w:p>
        </w:tc>
        <w:tc>
          <w:tcPr>
            <w:tcW w:w="518" w:type="pct"/>
          </w:tcPr>
          <w:p w14:paraId="5D92FA8A" w14:textId="77777777" w:rsidR="0060589D" w:rsidRPr="001E7434" w:rsidRDefault="0060589D" w:rsidP="001F4142">
            <w:pPr>
              <w:pStyle w:val="Tabletext"/>
              <w:rPr>
                <w:rStyle w:val="cell"/>
                <w:bCs/>
                <w:color w:val="000000" w:themeColor="text1"/>
              </w:rPr>
            </w:pPr>
            <w:r w:rsidRPr="001E7434">
              <w:rPr>
                <w:rStyle w:val="cell"/>
                <w:bCs/>
                <w:color w:val="000000" w:themeColor="text1"/>
              </w:rPr>
              <w:t>-</w:t>
            </w:r>
            <w:r w:rsidRPr="001E7434">
              <w:rPr>
                <w:bCs/>
              </w:rPr>
              <w:t xml:space="preserve"> </w:t>
            </w:r>
          </w:p>
        </w:tc>
        <w:tc>
          <w:tcPr>
            <w:tcW w:w="1053" w:type="pct"/>
          </w:tcPr>
          <w:p w14:paraId="6AA26223" w14:textId="77777777" w:rsidR="0060589D" w:rsidRPr="001E7434" w:rsidRDefault="0060589D" w:rsidP="001F4142">
            <w:pPr>
              <w:pStyle w:val="Tabletext"/>
              <w:rPr>
                <w:rStyle w:val="cell"/>
                <w:bCs/>
                <w:color w:val="000000" w:themeColor="text1"/>
              </w:rPr>
            </w:pPr>
            <w:r w:rsidRPr="001E7434">
              <w:rPr>
                <w:rStyle w:val="cell"/>
                <w:bCs/>
                <w:color w:val="000000" w:themeColor="text1"/>
              </w:rPr>
              <w:t>not pooled</w:t>
            </w:r>
            <w:r w:rsidRPr="001E7434">
              <w:rPr>
                <w:bCs/>
              </w:rPr>
              <w:t xml:space="preserve"> </w:t>
            </w:r>
          </w:p>
        </w:tc>
        <w:tc>
          <w:tcPr>
            <w:tcW w:w="1229" w:type="pct"/>
          </w:tcPr>
          <w:p w14:paraId="729BC908" w14:textId="77777777" w:rsidR="0060589D" w:rsidRPr="001E7434" w:rsidRDefault="0060589D" w:rsidP="001F4142">
            <w:pPr>
              <w:pStyle w:val="Tabletext"/>
              <w:rPr>
                <w:rStyle w:val="cell"/>
                <w:bCs/>
                <w:color w:val="000000" w:themeColor="text1"/>
              </w:rPr>
            </w:pPr>
            <w:r w:rsidRPr="001E7434">
              <w:rPr>
                <w:rStyle w:val="cell"/>
                <w:bCs/>
                <w:color w:val="000000" w:themeColor="text1"/>
              </w:rPr>
              <w:t>not pooled</w:t>
            </w:r>
            <w:r w:rsidRPr="001E7434">
              <w:rPr>
                <w:bCs/>
              </w:rPr>
              <w:t xml:space="preserve"> </w:t>
            </w:r>
          </w:p>
        </w:tc>
      </w:tr>
      <w:tr w:rsidR="0060589D" w:rsidRPr="001E7434" w14:paraId="36445A20" w14:textId="77777777" w:rsidTr="001F4142">
        <w:tc>
          <w:tcPr>
            <w:tcW w:w="840" w:type="pct"/>
          </w:tcPr>
          <w:p w14:paraId="7D5CABB6" w14:textId="77777777" w:rsidR="0060589D" w:rsidRPr="00E816B3" w:rsidRDefault="0060589D" w:rsidP="00567A4B">
            <w:pPr>
              <w:pStyle w:val="Tabletext"/>
              <w:rPr>
                <w:rStyle w:val="label"/>
                <w:b/>
                <w:bCs/>
                <w:color w:val="000000" w:themeColor="text1"/>
                <w:szCs w:val="20"/>
              </w:rPr>
            </w:pPr>
            <w:r w:rsidRPr="00E816B3">
              <w:rPr>
                <w:rStyle w:val="cell"/>
                <w:b/>
                <w:bCs/>
                <w:color w:val="000000" w:themeColor="text1"/>
              </w:rPr>
              <w:t xml:space="preserve">Safety </w:t>
            </w:r>
          </w:p>
        </w:tc>
        <w:tc>
          <w:tcPr>
            <w:tcW w:w="636" w:type="pct"/>
          </w:tcPr>
          <w:p w14:paraId="673464F1" w14:textId="77777777" w:rsidR="0060589D" w:rsidRPr="001E7434" w:rsidRDefault="00567A4B" w:rsidP="001F4142">
            <w:pPr>
              <w:pStyle w:val="Tabletext"/>
              <w:rPr>
                <w:bCs/>
              </w:rPr>
            </w:pPr>
            <w:r w:rsidRPr="00E816B3">
              <w:rPr>
                <w:rStyle w:val="cell"/>
                <w:b/>
                <w:bCs/>
                <w:color w:val="000000" w:themeColor="text1"/>
              </w:rPr>
              <w:t>outcomes</w:t>
            </w:r>
          </w:p>
        </w:tc>
        <w:tc>
          <w:tcPr>
            <w:tcW w:w="723" w:type="pct"/>
          </w:tcPr>
          <w:p w14:paraId="60116D41" w14:textId="77777777" w:rsidR="0060589D" w:rsidRPr="001E7434" w:rsidRDefault="0060589D" w:rsidP="001F4142">
            <w:pPr>
              <w:pStyle w:val="Tabletext"/>
              <w:rPr>
                <w:rFonts w:ascii="Cambria Math" w:hAnsi="Cambria Math"/>
                <w:bCs/>
                <w:color w:val="00B050"/>
              </w:rPr>
            </w:pPr>
          </w:p>
        </w:tc>
        <w:tc>
          <w:tcPr>
            <w:tcW w:w="518" w:type="pct"/>
          </w:tcPr>
          <w:p w14:paraId="1799528C" w14:textId="77777777" w:rsidR="0060589D" w:rsidRPr="001E7434" w:rsidRDefault="0060589D" w:rsidP="001F4142">
            <w:pPr>
              <w:pStyle w:val="Tabletext"/>
              <w:rPr>
                <w:rStyle w:val="block"/>
                <w:bCs/>
                <w:color w:val="000000" w:themeColor="text1"/>
              </w:rPr>
            </w:pPr>
          </w:p>
        </w:tc>
        <w:tc>
          <w:tcPr>
            <w:tcW w:w="1053" w:type="pct"/>
          </w:tcPr>
          <w:p w14:paraId="700088F7" w14:textId="77777777" w:rsidR="0060589D" w:rsidRPr="001E7434" w:rsidRDefault="0060589D" w:rsidP="001F4142">
            <w:pPr>
              <w:pStyle w:val="Tabletext"/>
              <w:rPr>
                <w:bCs/>
              </w:rPr>
            </w:pPr>
          </w:p>
        </w:tc>
        <w:tc>
          <w:tcPr>
            <w:tcW w:w="1229" w:type="pct"/>
          </w:tcPr>
          <w:p w14:paraId="5F937034" w14:textId="77777777" w:rsidR="0060589D" w:rsidRPr="001E7434" w:rsidRDefault="0060589D" w:rsidP="001F4142">
            <w:pPr>
              <w:pStyle w:val="Tabletext"/>
              <w:rPr>
                <w:rStyle w:val="cell-value"/>
                <w:bCs/>
                <w:color w:val="000000" w:themeColor="text1"/>
              </w:rPr>
            </w:pPr>
          </w:p>
        </w:tc>
      </w:tr>
      <w:tr w:rsidR="0060589D" w:rsidRPr="001E7434" w14:paraId="23F9FE5F" w14:textId="77777777" w:rsidTr="001F4142">
        <w:tc>
          <w:tcPr>
            <w:tcW w:w="840" w:type="pct"/>
            <w:hideMark/>
          </w:tcPr>
          <w:p w14:paraId="7742524A" w14:textId="77777777" w:rsidR="0060589D" w:rsidRPr="001E7434" w:rsidRDefault="0060589D" w:rsidP="001F4142">
            <w:pPr>
              <w:pStyle w:val="Tabletext"/>
              <w:rPr>
                <w:rStyle w:val="label"/>
                <w:bCs/>
                <w:color w:val="000000" w:themeColor="text1"/>
              </w:rPr>
            </w:pPr>
            <w:r w:rsidRPr="001E7434">
              <w:rPr>
                <w:rStyle w:val="label"/>
                <w:bCs/>
                <w:color w:val="000000" w:themeColor="text1"/>
              </w:rPr>
              <w:t>Wound infection</w:t>
            </w:r>
          </w:p>
          <w:p w14:paraId="465BEAD3" w14:textId="77777777" w:rsidR="0060589D" w:rsidRPr="001E7434" w:rsidRDefault="0060589D" w:rsidP="001F4142">
            <w:pPr>
              <w:pStyle w:val="Tabletext"/>
              <w:rPr>
                <w:bCs/>
              </w:rPr>
            </w:pPr>
            <w:r w:rsidRPr="001E7434">
              <w:rPr>
                <w:rStyle w:val="label"/>
                <w:bCs/>
                <w:color w:val="000000" w:themeColor="text1"/>
              </w:rPr>
              <w:t>Follow-up 3 to 8 weeks</w:t>
            </w:r>
            <w:r w:rsidRPr="001E7434">
              <w:rPr>
                <w:bCs/>
              </w:rPr>
              <w:t xml:space="preserve"> </w:t>
            </w:r>
          </w:p>
        </w:tc>
        <w:tc>
          <w:tcPr>
            <w:tcW w:w="636" w:type="pct"/>
            <w:hideMark/>
          </w:tcPr>
          <w:p w14:paraId="4F4C89ED" w14:textId="77777777" w:rsidR="0060589D" w:rsidRPr="001E7434" w:rsidRDefault="0060589D" w:rsidP="001F4142">
            <w:pPr>
              <w:pStyle w:val="Tabletext"/>
              <w:rPr>
                <w:bCs/>
              </w:rPr>
            </w:pPr>
            <w:r w:rsidRPr="001E7434">
              <w:rPr>
                <w:bCs/>
              </w:rPr>
              <w:t>284</w:t>
            </w:r>
            <w:r w:rsidRPr="001E7434">
              <w:rPr>
                <w:bCs/>
              </w:rPr>
              <w:br/>
              <w:t xml:space="preserve">(2 RCTs) </w:t>
            </w:r>
          </w:p>
        </w:tc>
        <w:tc>
          <w:tcPr>
            <w:tcW w:w="723" w:type="pct"/>
            <w:hideMark/>
          </w:tcPr>
          <w:p w14:paraId="46542ACE"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25FAF548"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proofErr w:type="spellStart"/>
            <w:r w:rsidRPr="001E7434">
              <w:rPr>
                <w:bCs/>
                <w:vertAlign w:val="superscript"/>
              </w:rPr>
              <w:t>a</w:t>
            </w:r>
            <w:r w:rsidRPr="001E7434">
              <w:rPr>
                <w:rStyle w:val="comma"/>
                <w:bCs/>
                <w:color w:val="000000" w:themeColor="text1"/>
                <w:vertAlign w:val="superscript"/>
              </w:rPr>
              <w:t>,</w:t>
            </w:r>
            <w:r w:rsidRPr="001629B1">
              <w:rPr>
                <w:vertAlign w:val="superscript"/>
              </w:rPr>
              <w:t>c</w:t>
            </w:r>
            <w:r w:rsidRPr="001629B1">
              <w:rPr>
                <w:rStyle w:val="comma"/>
                <w:bCs/>
                <w:color w:val="000000" w:themeColor="text1"/>
                <w:vertAlign w:val="superscript"/>
              </w:rPr>
              <w:t>,</w:t>
            </w:r>
            <w:r w:rsidRPr="001629B1">
              <w:rPr>
                <w:vertAlign w:val="superscript"/>
              </w:rPr>
              <w:t>e</w:t>
            </w:r>
            <w:proofErr w:type="spellEnd"/>
          </w:p>
        </w:tc>
        <w:tc>
          <w:tcPr>
            <w:tcW w:w="518" w:type="pct"/>
            <w:hideMark/>
          </w:tcPr>
          <w:p w14:paraId="27A099D5" w14:textId="77777777" w:rsidR="0060589D" w:rsidRPr="001E7434" w:rsidRDefault="0060589D" w:rsidP="001F4142">
            <w:pPr>
              <w:pStyle w:val="Tabletext"/>
              <w:rPr>
                <w:bCs/>
              </w:rPr>
            </w:pPr>
            <w:r w:rsidRPr="001E7434">
              <w:rPr>
                <w:rStyle w:val="block"/>
                <w:bCs/>
                <w:color w:val="000000" w:themeColor="text1"/>
              </w:rPr>
              <w:t>RR 0.23</w:t>
            </w:r>
            <w:r w:rsidRPr="001E7434">
              <w:rPr>
                <w:bCs/>
              </w:rPr>
              <w:br/>
            </w:r>
            <w:r w:rsidRPr="001E7434">
              <w:rPr>
                <w:rStyle w:val="cell"/>
                <w:bCs/>
                <w:color w:val="000000" w:themeColor="text1"/>
              </w:rPr>
              <w:t>(0.12 to 0.44)</w:t>
            </w:r>
            <w:r w:rsidRPr="001E7434">
              <w:rPr>
                <w:bCs/>
              </w:rPr>
              <w:t xml:space="preserve"> </w:t>
            </w:r>
          </w:p>
        </w:tc>
        <w:tc>
          <w:tcPr>
            <w:tcW w:w="1053" w:type="pct"/>
            <w:hideMark/>
          </w:tcPr>
          <w:p w14:paraId="573A4F94" w14:textId="77777777" w:rsidR="0060589D" w:rsidRPr="001E7434" w:rsidRDefault="0060589D" w:rsidP="001F4142">
            <w:pPr>
              <w:pStyle w:val="Tabletext"/>
              <w:rPr>
                <w:bCs/>
              </w:rPr>
            </w:pPr>
            <w:r w:rsidRPr="001E7434">
              <w:rPr>
                <w:bCs/>
              </w:rPr>
              <w:t xml:space="preserve">466 per 1,000 </w:t>
            </w:r>
          </w:p>
        </w:tc>
        <w:tc>
          <w:tcPr>
            <w:tcW w:w="1229" w:type="pct"/>
            <w:hideMark/>
          </w:tcPr>
          <w:p w14:paraId="730BBA61" w14:textId="77777777" w:rsidR="0060589D" w:rsidRPr="001E7434" w:rsidRDefault="0060589D" w:rsidP="001F4142">
            <w:pPr>
              <w:pStyle w:val="Tabletext"/>
              <w:rPr>
                <w:bCs/>
              </w:rPr>
            </w:pPr>
            <w:r w:rsidRPr="001E7434">
              <w:rPr>
                <w:rStyle w:val="cell-value"/>
                <w:bCs/>
                <w:color w:val="000000" w:themeColor="text1"/>
              </w:rPr>
              <w:t>359 fewer per 1,000</w:t>
            </w:r>
            <w:r w:rsidRPr="001E7434">
              <w:rPr>
                <w:bCs/>
              </w:rPr>
              <w:br/>
            </w:r>
            <w:r w:rsidRPr="001E7434">
              <w:rPr>
                <w:rStyle w:val="cell-value"/>
                <w:bCs/>
                <w:color w:val="000000" w:themeColor="text1"/>
              </w:rPr>
              <w:t>(410 fewer to 261 fewer)</w:t>
            </w:r>
            <w:r w:rsidRPr="001E7434">
              <w:rPr>
                <w:bCs/>
              </w:rPr>
              <w:t xml:space="preserve"> </w:t>
            </w:r>
          </w:p>
        </w:tc>
      </w:tr>
      <w:tr w:rsidR="0060589D" w:rsidRPr="001E7434" w14:paraId="46EE83D8" w14:textId="77777777" w:rsidTr="001F4142">
        <w:tc>
          <w:tcPr>
            <w:tcW w:w="840" w:type="pct"/>
            <w:hideMark/>
          </w:tcPr>
          <w:p w14:paraId="48A041FA" w14:textId="77777777" w:rsidR="0060589D" w:rsidRPr="001E7434" w:rsidRDefault="0060589D" w:rsidP="001F4142">
            <w:pPr>
              <w:pStyle w:val="Tabletext"/>
              <w:rPr>
                <w:rStyle w:val="label"/>
                <w:bCs/>
                <w:color w:val="000000" w:themeColor="text1"/>
              </w:rPr>
            </w:pPr>
            <w:r w:rsidRPr="001E7434">
              <w:rPr>
                <w:rStyle w:val="label"/>
                <w:bCs/>
                <w:color w:val="000000" w:themeColor="text1"/>
              </w:rPr>
              <w:t>Cellulitis</w:t>
            </w:r>
          </w:p>
          <w:p w14:paraId="470FE7E4" w14:textId="77777777" w:rsidR="0060589D" w:rsidRPr="001E7434" w:rsidRDefault="0060589D" w:rsidP="001F4142">
            <w:pPr>
              <w:pStyle w:val="Tabletext"/>
              <w:rPr>
                <w:bCs/>
              </w:rPr>
            </w:pPr>
            <w:r w:rsidRPr="001E7434">
              <w:rPr>
                <w:rStyle w:val="label"/>
                <w:bCs/>
                <w:color w:val="000000" w:themeColor="text1"/>
              </w:rPr>
              <w:t>Follow-up 4 weeks</w:t>
            </w:r>
            <w:r w:rsidRPr="001E7434">
              <w:rPr>
                <w:bCs/>
              </w:rPr>
              <w:t xml:space="preserve"> </w:t>
            </w:r>
          </w:p>
        </w:tc>
        <w:tc>
          <w:tcPr>
            <w:tcW w:w="636" w:type="pct"/>
            <w:hideMark/>
          </w:tcPr>
          <w:p w14:paraId="483FE806" w14:textId="77777777" w:rsidR="0060589D" w:rsidRPr="001E7434" w:rsidRDefault="0060589D" w:rsidP="001F4142">
            <w:pPr>
              <w:pStyle w:val="Tabletext"/>
              <w:rPr>
                <w:bCs/>
              </w:rPr>
            </w:pPr>
            <w:r w:rsidRPr="001E7434">
              <w:rPr>
                <w:bCs/>
              </w:rPr>
              <w:t>84</w:t>
            </w:r>
            <w:r w:rsidRPr="001E7434">
              <w:rPr>
                <w:bCs/>
              </w:rPr>
              <w:br/>
              <w:t xml:space="preserve">(1 RCT) </w:t>
            </w:r>
          </w:p>
        </w:tc>
        <w:tc>
          <w:tcPr>
            <w:tcW w:w="723" w:type="pct"/>
            <w:hideMark/>
          </w:tcPr>
          <w:p w14:paraId="56B511FC"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7B7FC849"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proofErr w:type="spellStart"/>
            <w:r w:rsidRPr="001629B1">
              <w:rPr>
                <w:vertAlign w:val="superscript"/>
              </w:rPr>
              <w:t>c</w:t>
            </w:r>
            <w:r w:rsidRPr="001629B1">
              <w:rPr>
                <w:rStyle w:val="comma"/>
                <w:bCs/>
                <w:color w:val="000000" w:themeColor="text1"/>
                <w:vertAlign w:val="superscript"/>
              </w:rPr>
              <w:t>,</w:t>
            </w:r>
            <w:r w:rsidRPr="001629B1">
              <w:rPr>
                <w:vertAlign w:val="superscript"/>
              </w:rPr>
              <w:t>e</w:t>
            </w:r>
            <w:proofErr w:type="spellEnd"/>
          </w:p>
        </w:tc>
        <w:tc>
          <w:tcPr>
            <w:tcW w:w="518" w:type="pct"/>
            <w:hideMark/>
          </w:tcPr>
          <w:p w14:paraId="70338D41" w14:textId="77777777" w:rsidR="0060589D" w:rsidRPr="001E7434" w:rsidRDefault="0060589D" w:rsidP="001F4142">
            <w:pPr>
              <w:pStyle w:val="Tabletext"/>
              <w:rPr>
                <w:bCs/>
              </w:rPr>
            </w:pPr>
            <w:r w:rsidRPr="001E7434">
              <w:rPr>
                <w:rStyle w:val="cell"/>
                <w:bCs/>
                <w:color w:val="000000" w:themeColor="text1"/>
              </w:rPr>
              <w:t>-</w:t>
            </w:r>
            <w:r w:rsidRPr="001E7434">
              <w:rPr>
                <w:bCs/>
              </w:rPr>
              <w:t xml:space="preserve"> </w:t>
            </w:r>
          </w:p>
        </w:tc>
        <w:tc>
          <w:tcPr>
            <w:tcW w:w="1053" w:type="pct"/>
            <w:hideMark/>
          </w:tcPr>
          <w:p w14:paraId="04BEF6D2"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229" w:type="pct"/>
            <w:hideMark/>
          </w:tcPr>
          <w:p w14:paraId="2D0F81AD"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r>
      <w:tr w:rsidR="0060589D" w:rsidRPr="001E7434" w14:paraId="76812B6E" w14:textId="77777777" w:rsidTr="001F4142">
        <w:tc>
          <w:tcPr>
            <w:tcW w:w="840" w:type="pct"/>
            <w:hideMark/>
          </w:tcPr>
          <w:p w14:paraId="4744BF93" w14:textId="77777777" w:rsidR="0060589D" w:rsidRPr="001E7434" w:rsidRDefault="0060589D" w:rsidP="001F4142">
            <w:pPr>
              <w:pStyle w:val="Tabletext"/>
              <w:rPr>
                <w:rStyle w:val="label"/>
                <w:bCs/>
                <w:color w:val="000000" w:themeColor="text1"/>
              </w:rPr>
            </w:pPr>
            <w:r w:rsidRPr="001E7434">
              <w:rPr>
                <w:rStyle w:val="label"/>
                <w:bCs/>
                <w:color w:val="000000" w:themeColor="text1"/>
              </w:rPr>
              <w:t>Non-life threatening adverse events</w:t>
            </w:r>
          </w:p>
          <w:p w14:paraId="33763688" w14:textId="77777777" w:rsidR="0060589D" w:rsidRPr="001E7434" w:rsidRDefault="0060589D" w:rsidP="001F4142">
            <w:pPr>
              <w:pStyle w:val="Tabletext"/>
              <w:rPr>
                <w:bCs/>
              </w:rPr>
            </w:pPr>
            <w:r w:rsidRPr="001E7434">
              <w:rPr>
                <w:rStyle w:val="label"/>
                <w:bCs/>
                <w:color w:val="000000" w:themeColor="text1"/>
              </w:rPr>
              <w:t>Follow-up 3 to 12 weeks</w:t>
            </w:r>
            <w:r w:rsidRPr="001E7434">
              <w:rPr>
                <w:bCs/>
              </w:rPr>
              <w:t xml:space="preserve"> </w:t>
            </w:r>
          </w:p>
        </w:tc>
        <w:tc>
          <w:tcPr>
            <w:tcW w:w="636" w:type="pct"/>
            <w:hideMark/>
          </w:tcPr>
          <w:p w14:paraId="5916C7DC" w14:textId="77777777" w:rsidR="0060589D" w:rsidRPr="001E7434" w:rsidRDefault="0060589D" w:rsidP="001F4142">
            <w:pPr>
              <w:pStyle w:val="Tabletext"/>
              <w:rPr>
                <w:bCs/>
              </w:rPr>
            </w:pPr>
            <w:r w:rsidRPr="001E7434">
              <w:rPr>
                <w:bCs/>
              </w:rPr>
              <w:t>393</w:t>
            </w:r>
            <w:r w:rsidRPr="001E7434">
              <w:rPr>
                <w:bCs/>
              </w:rPr>
              <w:br/>
              <w:t xml:space="preserve">(3 RCTs) </w:t>
            </w:r>
          </w:p>
        </w:tc>
        <w:tc>
          <w:tcPr>
            <w:tcW w:w="723" w:type="pct"/>
            <w:hideMark/>
          </w:tcPr>
          <w:p w14:paraId="59FE3590"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0859ABB5" w14:textId="77777777" w:rsidR="0060589D" w:rsidRPr="001E7434" w:rsidRDefault="0060589D" w:rsidP="001F4142">
            <w:pPr>
              <w:pStyle w:val="Tabletext"/>
              <w:rPr>
                <w:bCs/>
              </w:rPr>
            </w:pPr>
            <w:r w:rsidRPr="001E7434">
              <w:rPr>
                <w:rStyle w:val="quality-text"/>
                <w:bCs/>
                <w:color w:val="000000" w:themeColor="text1"/>
              </w:rPr>
              <w:t>VERY LOW</w:t>
            </w:r>
            <w:r w:rsidRPr="001E7434">
              <w:rPr>
                <w:bCs/>
              </w:rPr>
              <w:t xml:space="preserve"> </w:t>
            </w:r>
            <w:proofErr w:type="spellStart"/>
            <w:r w:rsidRPr="001E7434">
              <w:rPr>
                <w:bCs/>
                <w:vertAlign w:val="superscript"/>
              </w:rPr>
              <w:t>a</w:t>
            </w:r>
            <w:r w:rsidRPr="001E7434">
              <w:rPr>
                <w:rStyle w:val="comma"/>
                <w:bCs/>
                <w:color w:val="000000" w:themeColor="text1"/>
                <w:vertAlign w:val="superscript"/>
              </w:rPr>
              <w:t>,</w:t>
            </w:r>
            <w:r w:rsidRPr="001629B1">
              <w:rPr>
                <w:vertAlign w:val="superscript"/>
              </w:rPr>
              <w:t>c</w:t>
            </w:r>
            <w:r w:rsidRPr="001629B1">
              <w:rPr>
                <w:rStyle w:val="comma"/>
                <w:bCs/>
                <w:color w:val="000000" w:themeColor="text1"/>
                <w:vertAlign w:val="superscript"/>
              </w:rPr>
              <w:t>,</w:t>
            </w:r>
            <w:r w:rsidRPr="001629B1">
              <w:rPr>
                <w:vertAlign w:val="superscript"/>
              </w:rPr>
              <w:t>e</w:t>
            </w:r>
            <w:r>
              <w:rPr>
                <w:vertAlign w:val="superscript"/>
              </w:rPr>
              <w:t>,</w:t>
            </w:r>
            <w:r w:rsidRPr="001E7434">
              <w:rPr>
                <w:bCs/>
                <w:vertAlign w:val="superscript"/>
              </w:rPr>
              <w:t>f</w:t>
            </w:r>
            <w:proofErr w:type="spellEnd"/>
          </w:p>
        </w:tc>
        <w:tc>
          <w:tcPr>
            <w:tcW w:w="518" w:type="pct"/>
            <w:hideMark/>
          </w:tcPr>
          <w:p w14:paraId="731D02C9" w14:textId="77777777" w:rsidR="0060589D" w:rsidRPr="001E7434" w:rsidRDefault="0060589D" w:rsidP="001F4142">
            <w:pPr>
              <w:pStyle w:val="Tabletext"/>
              <w:rPr>
                <w:bCs/>
              </w:rPr>
            </w:pPr>
            <w:r w:rsidRPr="001E7434">
              <w:rPr>
                <w:rStyle w:val="cell"/>
                <w:bCs/>
                <w:color w:val="000000" w:themeColor="text1"/>
              </w:rPr>
              <w:t>not estimable</w:t>
            </w:r>
            <w:r w:rsidRPr="001E7434">
              <w:rPr>
                <w:bCs/>
              </w:rPr>
              <w:t xml:space="preserve"> </w:t>
            </w:r>
          </w:p>
        </w:tc>
        <w:tc>
          <w:tcPr>
            <w:tcW w:w="1053" w:type="pct"/>
            <w:hideMark/>
          </w:tcPr>
          <w:p w14:paraId="3B00D686" w14:textId="77777777" w:rsidR="0060589D" w:rsidRPr="001E7434" w:rsidRDefault="0060589D" w:rsidP="001F4142">
            <w:pPr>
              <w:pStyle w:val="Tabletext"/>
              <w:rPr>
                <w:bCs/>
              </w:rPr>
            </w:pPr>
            <w:r w:rsidRPr="001E7434">
              <w:rPr>
                <w:bCs/>
              </w:rPr>
              <w:t xml:space="preserve">479 per 1,000 </w:t>
            </w:r>
          </w:p>
        </w:tc>
        <w:tc>
          <w:tcPr>
            <w:tcW w:w="1229" w:type="pct"/>
            <w:hideMark/>
          </w:tcPr>
          <w:p w14:paraId="2A32B61C" w14:textId="77777777" w:rsidR="0060589D" w:rsidRPr="001E7434" w:rsidRDefault="0060589D" w:rsidP="001F4142">
            <w:pPr>
              <w:pStyle w:val="Tabletext"/>
              <w:rPr>
                <w:bCs/>
              </w:rPr>
            </w:pPr>
            <w:r w:rsidRPr="001E7434">
              <w:rPr>
                <w:rStyle w:val="cell-value"/>
                <w:bCs/>
                <w:color w:val="000000" w:themeColor="text1"/>
              </w:rPr>
              <w:t>479 fewer per 1,000</w:t>
            </w:r>
            <w:r w:rsidRPr="001E7434">
              <w:rPr>
                <w:bCs/>
              </w:rPr>
              <w:br/>
            </w:r>
            <w:r w:rsidRPr="001E7434">
              <w:rPr>
                <w:rStyle w:val="cell-value"/>
                <w:bCs/>
                <w:color w:val="000000" w:themeColor="text1"/>
              </w:rPr>
              <w:t>(479 fewer to 479 fewer)</w:t>
            </w:r>
            <w:r w:rsidRPr="001E7434">
              <w:rPr>
                <w:bCs/>
              </w:rPr>
              <w:t xml:space="preserve"> </w:t>
            </w:r>
          </w:p>
        </w:tc>
      </w:tr>
      <w:tr w:rsidR="0060589D" w:rsidRPr="001E7434" w14:paraId="2BE27A19" w14:textId="77777777" w:rsidTr="001F4142">
        <w:tc>
          <w:tcPr>
            <w:tcW w:w="840" w:type="pct"/>
            <w:hideMark/>
          </w:tcPr>
          <w:p w14:paraId="546C244E" w14:textId="77777777" w:rsidR="0060589D" w:rsidRPr="001E7434" w:rsidRDefault="0060589D" w:rsidP="001F4142">
            <w:pPr>
              <w:pStyle w:val="Tabletext"/>
              <w:rPr>
                <w:rStyle w:val="label"/>
                <w:bCs/>
                <w:color w:val="000000" w:themeColor="text1"/>
              </w:rPr>
            </w:pPr>
            <w:r w:rsidRPr="001E7434">
              <w:rPr>
                <w:rStyle w:val="label"/>
                <w:bCs/>
                <w:color w:val="000000" w:themeColor="text1"/>
              </w:rPr>
              <w:t>Serious adverse events</w:t>
            </w:r>
          </w:p>
          <w:p w14:paraId="53B99C3A" w14:textId="77777777" w:rsidR="0060589D" w:rsidRPr="001E7434" w:rsidRDefault="0060589D" w:rsidP="001F4142">
            <w:pPr>
              <w:pStyle w:val="Tabletext"/>
              <w:rPr>
                <w:bCs/>
              </w:rPr>
            </w:pPr>
            <w:r w:rsidRPr="001E7434">
              <w:rPr>
                <w:rStyle w:val="label"/>
                <w:bCs/>
                <w:color w:val="000000" w:themeColor="text1"/>
              </w:rPr>
              <w:t>Follow-up 12 weeks</w:t>
            </w:r>
            <w:r w:rsidRPr="001E7434">
              <w:rPr>
                <w:bCs/>
              </w:rPr>
              <w:t xml:space="preserve"> </w:t>
            </w:r>
          </w:p>
        </w:tc>
        <w:tc>
          <w:tcPr>
            <w:tcW w:w="636" w:type="pct"/>
            <w:hideMark/>
          </w:tcPr>
          <w:p w14:paraId="12AB3963" w14:textId="77777777" w:rsidR="0060589D" w:rsidRPr="001E7434" w:rsidRDefault="0060589D" w:rsidP="001F4142">
            <w:pPr>
              <w:pStyle w:val="Tabletext"/>
              <w:rPr>
                <w:bCs/>
              </w:rPr>
            </w:pPr>
            <w:r w:rsidRPr="001E7434">
              <w:rPr>
                <w:bCs/>
              </w:rPr>
              <w:t>109</w:t>
            </w:r>
            <w:r w:rsidRPr="001E7434">
              <w:rPr>
                <w:bCs/>
              </w:rPr>
              <w:br/>
              <w:t xml:space="preserve">(1 RCT) </w:t>
            </w:r>
          </w:p>
        </w:tc>
        <w:tc>
          <w:tcPr>
            <w:tcW w:w="723" w:type="pct"/>
            <w:hideMark/>
          </w:tcPr>
          <w:p w14:paraId="4DC5360C"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21B75536"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proofErr w:type="spellStart"/>
            <w:r w:rsidRPr="001E7434">
              <w:rPr>
                <w:bCs/>
                <w:vertAlign w:val="superscript"/>
              </w:rPr>
              <w:t>a</w:t>
            </w:r>
            <w:r w:rsidRPr="001E7434">
              <w:rPr>
                <w:rStyle w:val="comma"/>
                <w:bCs/>
                <w:color w:val="000000" w:themeColor="text1"/>
                <w:vertAlign w:val="superscript"/>
              </w:rPr>
              <w:t>,</w:t>
            </w:r>
            <w:r>
              <w:rPr>
                <w:rStyle w:val="comma"/>
                <w:bCs/>
                <w:color w:val="000000" w:themeColor="text1"/>
                <w:vertAlign w:val="superscript"/>
              </w:rPr>
              <w:t>c</w:t>
            </w:r>
            <w:proofErr w:type="spellEnd"/>
          </w:p>
        </w:tc>
        <w:tc>
          <w:tcPr>
            <w:tcW w:w="518" w:type="pct"/>
            <w:hideMark/>
          </w:tcPr>
          <w:p w14:paraId="114CACD8"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053" w:type="pct"/>
            <w:hideMark/>
          </w:tcPr>
          <w:p w14:paraId="458FA519"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229" w:type="pct"/>
            <w:hideMark/>
          </w:tcPr>
          <w:p w14:paraId="32BD86A0"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r>
      <w:tr w:rsidR="0060589D" w:rsidRPr="001E7434" w14:paraId="7EDA4319" w14:textId="77777777" w:rsidTr="001F4142">
        <w:tc>
          <w:tcPr>
            <w:tcW w:w="840" w:type="pct"/>
            <w:hideMark/>
          </w:tcPr>
          <w:p w14:paraId="2A72DFFC" w14:textId="77777777" w:rsidR="0060589D" w:rsidRPr="001E7434" w:rsidRDefault="0060589D" w:rsidP="001F4142">
            <w:pPr>
              <w:pStyle w:val="Tabletext"/>
              <w:rPr>
                <w:rStyle w:val="label"/>
                <w:bCs/>
                <w:color w:val="000000" w:themeColor="text1"/>
              </w:rPr>
            </w:pPr>
            <w:r w:rsidRPr="001E7434">
              <w:rPr>
                <w:rStyle w:val="label"/>
                <w:bCs/>
                <w:color w:val="000000" w:themeColor="text1"/>
              </w:rPr>
              <w:t>Withdrawals due to adverse events</w:t>
            </w:r>
          </w:p>
          <w:p w14:paraId="1407844A" w14:textId="77777777" w:rsidR="0060589D" w:rsidRPr="001E7434" w:rsidRDefault="0060589D" w:rsidP="001F4142">
            <w:pPr>
              <w:pStyle w:val="Tabletext"/>
              <w:rPr>
                <w:bCs/>
              </w:rPr>
            </w:pPr>
            <w:r w:rsidRPr="001E7434">
              <w:rPr>
                <w:rStyle w:val="label"/>
                <w:bCs/>
                <w:color w:val="000000" w:themeColor="text1"/>
              </w:rPr>
              <w:t>Follow-up 4 weeks</w:t>
            </w:r>
            <w:r w:rsidRPr="001E7434">
              <w:rPr>
                <w:bCs/>
              </w:rPr>
              <w:t xml:space="preserve"> </w:t>
            </w:r>
          </w:p>
        </w:tc>
        <w:tc>
          <w:tcPr>
            <w:tcW w:w="636" w:type="pct"/>
            <w:hideMark/>
          </w:tcPr>
          <w:p w14:paraId="7F6AD821" w14:textId="77777777" w:rsidR="0060589D" w:rsidRPr="001E7434" w:rsidRDefault="0060589D" w:rsidP="001F4142">
            <w:pPr>
              <w:pStyle w:val="Tabletext"/>
              <w:rPr>
                <w:bCs/>
              </w:rPr>
            </w:pPr>
            <w:r w:rsidRPr="001E7434">
              <w:rPr>
                <w:bCs/>
              </w:rPr>
              <w:t>84</w:t>
            </w:r>
            <w:r w:rsidRPr="001E7434">
              <w:rPr>
                <w:bCs/>
              </w:rPr>
              <w:br/>
              <w:t xml:space="preserve">(1 RCT) </w:t>
            </w:r>
          </w:p>
        </w:tc>
        <w:tc>
          <w:tcPr>
            <w:tcW w:w="723" w:type="pct"/>
            <w:hideMark/>
          </w:tcPr>
          <w:p w14:paraId="40F2749B"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307039A6"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proofErr w:type="spellStart"/>
            <w:r w:rsidRPr="001629B1">
              <w:rPr>
                <w:vertAlign w:val="superscript"/>
              </w:rPr>
              <w:t>c</w:t>
            </w:r>
            <w:r w:rsidRPr="001629B1">
              <w:rPr>
                <w:rStyle w:val="comma"/>
                <w:bCs/>
                <w:color w:val="000000" w:themeColor="text1"/>
                <w:vertAlign w:val="superscript"/>
              </w:rPr>
              <w:t>,</w:t>
            </w:r>
            <w:r w:rsidRPr="001629B1">
              <w:rPr>
                <w:vertAlign w:val="superscript"/>
              </w:rPr>
              <w:t>e</w:t>
            </w:r>
            <w:proofErr w:type="spellEnd"/>
          </w:p>
        </w:tc>
        <w:tc>
          <w:tcPr>
            <w:tcW w:w="518" w:type="pct"/>
            <w:hideMark/>
          </w:tcPr>
          <w:p w14:paraId="5C6058E3"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053" w:type="pct"/>
            <w:hideMark/>
          </w:tcPr>
          <w:p w14:paraId="773EF685"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229" w:type="pct"/>
            <w:hideMark/>
          </w:tcPr>
          <w:p w14:paraId="45844866"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r>
      <w:tr w:rsidR="0060589D" w:rsidRPr="001E7434" w14:paraId="2A854E78" w14:textId="77777777" w:rsidTr="001F4142">
        <w:tc>
          <w:tcPr>
            <w:tcW w:w="840" w:type="pct"/>
            <w:hideMark/>
          </w:tcPr>
          <w:p w14:paraId="164D1251" w14:textId="77777777" w:rsidR="0060589D" w:rsidRPr="001E7434" w:rsidRDefault="0060589D" w:rsidP="001F4142">
            <w:pPr>
              <w:pStyle w:val="Tabletext"/>
              <w:rPr>
                <w:rStyle w:val="label"/>
                <w:bCs/>
                <w:color w:val="000000" w:themeColor="text1"/>
              </w:rPr>
            </w:pPr>
            <w:r w:rsidRPr="001E7434">
              <w:rPr>
                <w:rStyle w:val="label"/>
                <w:bCs/>
                <w:color w:val="000000" w:themeColor="text1"/>
              </w:rPr>
              <w:t>Withdrawals due to non-healed wound</w:t>
            </w:r>
          </w:p>
          <w:p w14:paraId="25C46733" w14:textId="77777777" w:rsidR="0060589D" w:rsidRPr="001E7434" w:rsidRDefault="0060589D" w:rsidP="001F4142">
            <w:pPr>
              <w:pStyle w:val="Tabletext"/>
              <w:rPr>
                <w:bCs/>
              </w:rPr>
            </w:pPr>
            <w:r w:rsidRPr="001E7434">
              <w:rPr>
                <w:rStyle w:val="label"/>
                <w:bCs/>
                <w:color w:val="000000" w:themeColor="text1"/>
              </w:rPr>
              <w:t>Follow-up 12 weeks</w:t>
            </w:r>
            <w:r w:rsidRPr="001E7434">
              <w:rPr>
                <w:bCs/>
              </w:rPr>
              <w:t xml:space="preserve"> </w:t>
            </w:r>
          </w:p>
        </w:tc>
        <w:tc>
          <w:tcPr>
            <w:tcW w:w="636" w:type="pct"/>
            <w:hideMark/>
          </w:tcPr>
          <w:p w14:paraId="7AB7C4B9" w14:textId="77777777" w:rsidR="0060589D" w:rsidRPr="001E7434" w:rsidRDefault="0060589D" w:rsidP="001F4142">
            <w:pPr>
              <w:pStyle w:val="Tabletext"/>
              <w:rPr>
                <w:bCs/>
              </w:rPr>
            </w:pPr>
            <w:r w:rsidRPr="001E7434">
              <w:rPr>
                <w:bCs/>
              </w:rPr>
              <w:t>109</w:t>
            </w:r>
            <w:r w:rsidRPr="001E7434">
              <w:rPr>
                <w:bCs/>
              </w:rPr>
              <w:br/>
              <w:t xml:space="preserve">(1 RCT) </w:t>
            </w:r>
          </w:p>
        </w:tc>
        <w:tc>
          <w:tcPr>
            <w:tcW w:w="723" w:type="pct"/>
            <w:hideMark/>
          </w:tcPr>
          <w:p w14:paraId="7702EC0F"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4626E938"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proofErr w:type="spellStart"/>
            <w:r w:rsidRPr="001629B1">
              <w:rPr>
                <w:vertAlign w:val="superscript"/>
              </w:rPr>
              <w:t>c</w:t>
            </w:r>
            <w:r w:rsidRPr="001629B1">
              <w:rPr>
                <w:rStyle w:val="comma"/>
                <w:bCs/>
                <w:color w:val="000000" w:themeColor="text1"/>
                <w:vertAlign w:val="superscript"/>
              </w:rPr>
              <w:t>,</w:t>
            </w:r>
            <w:r w:rsidRPr="001629B1">
              <w:rPr>
                <w:vertAlign w:val="superscript"/>
              </w:rPr>
              <w:t>e</w:t>
            </w:r>
            <w:proofErr w:type="spellEnd"/>
          </w:p>
        </w:tc>
        <w:tc>
          <w:tcPr>
            <w:tcW w:w="518" w:type="pct"/>
            <w:hideMark/>
          </w:tcPr>
          <w:p w14:paraId="5DCDE73A"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053" w:type="pct"/>
            <w:hideMark/>
          </w:tcPr>
          <w:p w14:paraId="3F2C8CC3"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229" w:type="pct"/>
            <w:hideMark/>
          </w:tcPr>
          <w:p w14:paraId="2B20F5E0"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r>
      <w:tr w:rsidR="0060589D" w:rsidRPr="001E7434" w14:paraId="1C45BACC" w14:textId="77777777" w:rsidTr="001F4142">
        <w:tc>
          <w:tcPr>
            <w:tcW w:w="840" w:type="pct"/>
            <w:hideMark/>
          </w:tcPr>
          <w:p w14:paraId="57201EFE" w14:textId="77777777" w:rsidR="0060589D" w:rsidRPr="001E7434" w:rsidRDefault="0060589D" w:rsidP="001F4142">
            <w:pPr>
              <w:pStyle w:val="Tabletext"/>
              <w:rPr>
                <w:rStyle w:val="label"/>
                <w:bCs/>
                <w:color w:val="000000" w:themeColor="text1"/>
              </w:rPr>
            </w:pPr>
            <w:r w:rsidRPr="001E7434">
              <w:rPr>
                <w:rStyle w:val="label"/>
                <w:bCs/>
                <w:color w:val="000000" w:themeColor="text1"/>
              </w:rPr>
              <w:t>Pain</w:t>
            </w:r>
          </w:p>
          <w:p w14:paraId="0651E878" w14:textId="77777777" w:rsidR="0060589D" w:rsidRPr="001E7434" w:rsidRDefault="0060589D" w:rsidP="001F4142">
            <w:pPr>
              <w:pStyle w:val="Tabletext"/>
              <w:rPr>
                <w:bCs/>
              </w:rPr>
            </w:pPr>
            <w:r w:rsidRPr="001E7434">
              <w:rPr>
                <w:rStyle w:val="label"/>
                <w:bCs/>
                <w:color w:val="000000" w:themeColor="text1"/>
              </w:rPr>
              <w:t>Follow-up 3 to 8 weeks</w:t>
            </w:r>
            <w:r w:rsidRPr="001E7434">
              <w:rPr>
                <w:bCs/>
              </w:rPr>
              <w:t xml:space="preserve"> </w:t>
            </w:r>
          </w:p>
        </w:tc>
        <w:tc>
          <w:tcPr>
            <w:tcW w:w="636" w:type="pct"/>
            <w:hideMark/>
          </w:tcPr>
          <w:p w14:paraId="0F4FF02E" w14:textId="77777777" w:rsidR="0060589D" w:rsidRPr="001E7434" w:rsidRDefault="0060589D" w:rsidP="001F4142">
            <w:pPr>
              <w:pStyle w:val="Tabletext"/>
              <w:rPr>
                <w:bCs/>
              </w:rPr>
            </w:pPr>
            <w:r w:rsidRPr="001E7434">
              <w:rPr>
                <w:bCs/>
              </w:rPr>
              <w:t xml:space="preserve">(3 RCTs) </w:t>
            </w:r>
          </w:p>
        </w:tc>
        <w:tc>
          <w:tcPr>
            <w:tcW w:w="723" w:type="pct"/>
            <w:hideMark/>
          </w:tcPr>
          <w:p w14:paraId="08BDCB1D" w14:textId="77777777" w:rsidR="0060589D" w:rsidRPr="001E7434" w:rsidRDefault="0060589D" w:rsidP="001F4142">
            <w:pPr>
              <w:pStyle w:val="Tabletext"/>
              <w:rPr>
                <w:rFonts w:ascii="Cambria Math" w:hAnsi="Cambria Math" w:cs="Cambria Math"/>
                <w:bCs/>
                <w:color w:val="C00000"/>
              </w:rPr>
            </w:pPr>
            <w:r w:rsidRPr="001E7434">
              <w:rPr>
                <w:rFonts w:ascii="Cambria Math" w:hAnsi="Cambria Math"/>
                <w:bCs/>
                <w:color w:val="00B050"/>
              </w:rPr>
              <w:t>⨁⨁</w:t>
            </w:r>
            <w:r w:rsidRPr="001E7434">
              <w:rPr>
                <w:rFonts w:ascii="Cambria Math" w:hAnsi="Cambria Math" w:cs="Cambria Math"/>
                <w:bCs/>
                <w:color w:val="C00000"/>
              </w:rPr>
              <w:t>⨀⨀</w:t>
            </w:r>
          </w:p>
          <w:p w14:paraId="7425C610" w14:textId="77777777" w:rsidR="0060589D" w:rsidRPr="001E7434" w:rsidRDefault="0060589D" w:rsidP="001F4142">
            <w:pPr>
              <w:pStyle w:val="Tabletext"/>
              <w:rPr>
                <w:bCs/>
              </w:rPr>
            </w:pPr>
            <w:r w:rsidRPr="001E7434">
              <w:rPr>
                <w:rStyle w:val="quality-text"/>
                <w:bCs/>
                <w:color w:val="000000" w:themeColor="text1"/>
              </w:rPr>
              <w:t>LOW</w:t>
            </w:r>
            <w:r w:rsidRPr="001E7434">
              <w:rPr>
                <w:bCs/>
              </w:rPr>
              <w:t xml:space="preserve"> </w:t>
            </w:r>
            <w:r w:rsidRPr="001E7434">
              <w:rPr>
                <w:bCs/>
                <w:vertAlign w:val="superscript"/>
              </w:rPr>
              <w:t>a</w:t>
            </w:r>
          </w:p>
        </w:tc>
        <w:tc>
          <w:tcPr>
            <w:tcW w:w="518" w:type="pct"/>
            <w:hideMark/>
          </w:tcPr>
          <w:p w14:paraId="682C4C4C" w14:textId="77777777" w:rsidR="0060589D" w:rsidRPr="001E7434" w:rsidRDefault="0060589D" w:rsidP="001F4142">
            <w:pPr>
              <w:pStyle w:val="Tabletext"/>
              <w:rPr>
                <w:bCs/>
              </w:rPr>
            </w:pPr>
            <w:r w:rsidRPr="001E7434">
              <w:rPr>
                <w:rStyle w:val="cell"/>
                <w:bCs/>
                <w:color w:val="000000" w:themeColor="text1"/>
              </w:rPr>
              <w:t>-</w:t>
            </w:r>
            <w:r w:rsidRPr="001E7434">
              <w:rPr>
                <w:bCs/>
              </w:rPr>
              <w:t xml:space="preserve"> </w:t>
            </w:r>
          </w:p>
        </w:tc>
        <w:tc>
          <w:tcPr>
            <w:tcW w:w="1053" w:type="pct"/>
            <w:hideMark/>
          </w:tcPr>
          <w:p w14:paraId="0677DC73"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c>
          <w:tcPr>
            <w:tcW w:w="1229" w:type="pct"/>
            <w:hideMark/>
          </w:tcPr>
          <w:p w14:paraId="3F50DD47" w14:textId="77777777" w:rsidR="0060589D" w:rsidRPr="001E7434" w:rsidRDefault="0060589D" w:rsidP="001F4142">
            <w:pPr>
              <w:pStyle w:val="Tabletext"/>
              <w:rPr>
                <w:bCs/>
              </w:rPr>
            </w:pPr>
            <w:r w:rsidRPr="001E7434">
              <w:rPr>
                <w:rStyle w:val="cell"/>
                <w:bCs/>
                <w:color w:val="000000" w:themeColor="text1"/>
              </w:rPr>
              <w:t>not pooled</w:t>
            </w:r>
            <w:r w:rsidRPr="001E7434">
              <w:rPr>
                <w:bCs/>
              </w:rPr>
              <w:t xml:space="preserve"> </w:t>
            </w:r>
          </w:p>
        </w:tc>
      </w:tr>
    </w:tbl>
    <w:p w14:paraId="3A1BDAF5" w14:textId="77777777" w:rsidR="0060589D" w:rsidRDefault="0060589D" w:rsidP="00AB5515">
      <w:pPr>
        <w:pStyle w:val="Tablenotes"/>
      </w:pPr>
      <w:r>
        <w:t>Source: Table 43, p113 of the DCAR</w:t>
      </w:r>
    </w:p>
    <w:p w14:paraId="59ABC158" w14:textId="77777777" w:rsidR="0060589D" w:rsidRPr="0044664D" w:rsidRDefault="0060589D" w:rsidP="00AB5515">
      <w:pPr>
        <w:pStyle w:val="Tablenotes"/>
      </w:pPr>
      <w:r w:rsidRPr="0044664D">
        <w:t>Explanations</w:t>
      </w:r>
    </w:p>
    <w:p w14:paraId="2D252CBB" w14:textId="77777777" w:rsidR="0060589D" w:rsidRDefault="0060589D" w:rsidP="00AB5515">
      <w:pPr>
        <w:pStyle w:val="Tablenotes"/>
      </w:pPr>
      <w:r>
        <w:t xml:space="preserve">a. Missing outcomes, deviations from interventions and/or outcome measurement </w:t>
      </w:r>
    </w:p>
    <w:p w14:paraId="0631BAA8" w14:textId="77777777" w:rsidR="0060589D" w:rsidRDefault="0060589D" w:rsidP="00AB5515">
      <w:pPr>
        <w:pStyle w:val="Tablenotes"/>
      </w:pPr>
      <w:r>
        <w:t>b. Non significative p-value, high I</w:t>
      </w:r>
      <w:r w:rsidRPr="000342B2">
        <w:rPr>
          <w:vertAlign w:val="superscript"/>
        </w:rPr>
        <w:t>2</w:t>
      </w:r>
      <w:r>
        <w:t xml:space="preserve"> and large effect size or CI </w:t>
      </w:r>
    </w:p>
    <w:p w14:paraId="3CD285C4" w14:textId="77777777" w:rsidR="0060589D" w:rsidRDefault="0060589D" w:rsidP="00AB5515">
      <w:pPr>
        <w:pStyle w:val="Tablenotes"/>
      </w:pPr>
      <w:r>
        <w:t xml:space="preserve">c. Few studies, and or small sample size </w:t>
      </w:r>
    </w:p>
    <w:p w14:paraId="736275A9" w14:textId="77777777" w:rsidR="0060589D" w:rsidRDefault="0060589D" w:rsidP="00AB5515">
      <w:pPr>
        <w:pStyle w:val="Tablenotes"/>
      </w:pPr>
      <w:r>
        <w:t>d. Comparator maybe not the one that will be used all the time in real life [</w:t>
      </w:r>
      <w:proofErr w:type="spellStart"/>
      <w:r>
        <w:t>UrgoStart</w:t>
      </w:r>
      <w:proofErr w:type="spellEnd"/>
      <w:r>
        <w:t xml:space="preserve">, in less extent skin graft] </w:t>
      </w:r>
    </w:p>
    <w:p w14:paraId="2348BCD9" w14:textId="77777777" w:rsidR="0060589D" w:rsidRDefault="0060589D" w:rsidP="00AB5515">
      <w:pPr>
        <w:pStyle w:val="Tablenotes"/>
      </w:pPr>
      <w:r>
        <w:t xml:space="preserve">e. No blinding: patients, personnel or outcome </w:t>
      </w:r>
    </w:p>
    <w:p w14:paraId="38818C67" w14:textId="77777777" w:rsidR="0060589D" w:rsidRDefault="0060589D" w:rsidP="00AB5515">
      <w:pPr>
        <w:pStyle w:val="Tablenotes"/>
      </w:pPr>
      <w:r>
        <w:t>f. Studies didn't show the same type of results</w:t>
      </w:r>
    </w:p>
    <w:p w14:paraId="19D96E18" w14:textId="09A3F3A3" w:rsidR="0060589D" w:rsidRDefault="0060589D" w:rsidP="00444F7B">
      <w:pPr>
        <w:pStyle w:val="Heading2"/>
        <w:spacing w:before="240"/>
      </w:pPr>
      <w:r>
        <w:t>Population 3 – Acute skin wounds</w:t>
      </w:r>
    </w:p>
    <w:p w14:paraId="45615F0B" w14:textId="77777777" w:rsidR="0060589D" w:rsidRDefault="0060589D" w:rsidP="0060589D">
      <w:pPr>
        <w:pStyle w:val="NormalBeforeBullet"/>
        <w:rPr>
          <w:lang w:eastAsia="en-US"/>
        </w:rPr>
      </w:pPr>
      <w:r>
        <w:rPr>
          <w:lang w:eastAsia="en-US"/>
        </w:rPr>
        <w:t>Assessment of the comparative efficacy of AM was challenging due to the variability of wounds, SOC, population and the way the included</w:t>
      </w:r>
      <w:r w:rsidRPr="00775949">
        <w:rPr>
          <w:lang w:eastAsia="en-US"/>
        </w:rPr>
        <w:t xml:space="preserve"> RCTs reported various wound healing </w:t>
      </w:r>
      <w:r w:rsidRPr="00775949">
        <w:rPr>
          <w:lang w:eastAsia="en-US"/>
        </w:rPr>
        <w:lastRenderedPageBreak/>
        <w:t>parameters, including wound healing periods and time between AM and skin graft.</w:t>
      </w:r>
      <w:r>
        <w:rPr>
          <w:lang w:eastAsia="en-US"/>
        </w:rPr>
        <w:t xml:space="preserve"> Furthermore, the high risk of bias among the eight studies included for this population also downgraded the quality of evidence, which limited the conclusion on safety of AM in acute wounds.</w:t>
      </w:r>
    </w:p>
    <w:p w14:paraId="4387F80C" w14:textId="77777777" w:rsidR="0060589D" w:rsidRDefault="0060589D" w:rsidP="0060589D">
      <w:pPr>
        <w:rPr>
          <w:lang w:eastAsia="en-US"/>
        </w:rPr>
      </w:pPr>
      <w:r>
        <w:rPr>
          <w:lang w:eastAsia="en-US"/>
        </w:rPr>
        <w:t>The DCAR considered that t</w:t>
      </w:r>
      <w:r w:rsidRPr="00D32A43">
        <w:rPr>
          <w:lang w:eastAsia="en-US"/>
        </w:rPr>
        <w:t>he evidence</w:t>
      </w:r>
      <w:r>
        <w:rPr>
          <w:lang w:eastAsia="en-US"/>
        </w:rPr>
        <w:t xml:space="preserve"> </w:t>
      </w:r>
      <w:r w:rsidRPr="00D32A43">
        <w:rPr>
          <w:lang w:eastAsia="en-US"/>
        </w:rPr>
        <w:t>from the eight RCTs</w:t>
      </w:r>
      <w:r>
        <w:rPr>
          <w:lang w:eastAsia="en-US"/>
        </w:rPr>
        <w:t>,</w:t>
      </w:r>
      <w:r w:rsidRPr="00D32A43">
        <w:rPr>
          <w:lang w:eastAsia="en-US"/>
        </w:rPr>
        <w:t xml:space="preserve"> show</w:t>
      </w:r>
      <w:r>
        <w:rPr>
          <w:lang w:eastAsia="en-US"/>
        </w:rPr>
        <w:t xml:space="preserve">ed </w:t>
      </w:r>
      <w:r w:rsidRPr="00D32A43">
        <w:rPr>
          <w:lang w:eastAsia="en-US"/>
        </w:rPr>
        <w:t>that</w:t>
      </w:r>
      <w:r>
        <w:rPr>
          <w:lang w:eastAsia="en-US"/>
        </w:rPr>
        <w:t>:</w:t>
      </w:r>
    </w:p>
    <w:p w14:paraId="5243B009" w14:textId="77777777" w:rsidR="0060589D" w:rsidRDefault="0060589D" w:rsidP="0060589D">
      <w:pPr>
        <w:pStyle w:val="ListParagraph"/>
        <w:numPr>
          <w:ilvl w:val="0"/>
          <w:numId w:val="16"/>
        </w:numPr>
        <w:jc w:val="both"/>
        <w:rPr>
          <w:lang w:eastAsia="en-US"/>
        </w:rPr>
      </w:pPr>
      <w:r>
        <w:rPr>
          <w:lang w:eastAsia="en-US"/>
        </w:rPr>
        <w:t>AM had superior effectiveness compared to SOC therapy. Superiority was demonstrated by accelerated wound healing and epithelialisation and reduced time to skin grafting.</w:t>
      </w:r>
    </w:p>
    <w:p w14:paraId="09C534A5" w14:textId="77777777" w:rsidR="0060589D" w:rsidRDefault="0060589D" w:rsidP="0060589D">
      <w:pPr>
        <w:pStyle w:val="ListParagraph"/>
        <w:numPr>
          <w:ilvl w:val="0"/>
          <w:numId w:val="15"/>
        </w:numPr>
        <w:jc w:val="both"/>
        <w:rPr>
          <w:lang w:eastAsia="en-US"/>
        </w:rPr>
      </w:pPr>
      <w:r>
        <w:rPr>
          <w:lang w:eastAsia="en-US"/>
        </w:rPr>
        <w:t xml:space="preserve">AM promoted a more rapid development of granulation tissue. Development of granulation tissue was a secondary intention that helps the wound healing process. </w:t>
      </w:r>
    </w:p>
    <w:p w14:paraId="6D815C94" w14:textId="77777777" w:rsidR="0060589D" w:rsidRDefault="0060589D" w:rsidP="0060589D">
      <w:pPr>
        <w:pStyle w:val="ListParagraph"/>
        <w:numPr>
          <w:ilvl w:val="0"/>
          <w:numId w:val="15"/>
        </w:numPr>
        <w:jc w:val="both"/>
        <w:rPr>
          <w:lang w:eastAsia="en-US"/>
        </w:rPr>
      </w:pPr>
      <w:r>
        <w:rPr>
          <w:lang w:eastAsia="en-US"/>
        </w:rPr>
        <w:t xml:space="preserve">AM reduced the length of hospital stay compared with the SOC group. </w:t>
      </w:r>
    </w:p>
    <w:p w14:paraId="4E4A1AAB" w14:textId="2A02A772" w:rsidR="0060589D" w:rsidRDefault="0060589D" w:rsidP="00AB5515">
      <w:pPr>
        <w:spacing w:before="240"/>
      </w:pPr>
      <w:r>
        <w:rPr>
          <w:lang w:eastAsia="en-US"/>
        </w:rPr>
        <w:t>Overall, the DCAR considered that the quality of evidence supporting the effectiveness and safety of AM in the treatment of acute wounds was low (</w:t>
      </w:r>
      <w:r>
        <w:rPr>
          <w:lang w:eastAsia="en-US"/>
        </w:rPr>
        <w:fldChar w:fldCharType="begin"/>
      </w:r>
      <w:r>
        <w:rPr>
          <w:lang w:eastAsia="en-US"/>
        </w:rPr>
        <w:instrText xml:space="preserve"> REF _Ref63681989 \h </w:instrText>
      </w:r>
      <w:r>
        <w:rPr>
          <w:lang w:eastAsia="en-US"/>
        </w:rPr>
      </w:r>
      <w:r>
        <w:rPr>
          <w:lang w:eastAsia="en-US"/>
        </w:rPr>
        <w:fldChar w:fldCharType="separate"/>
      </w:r>
      <w:r>
        <w:t xml:space="preserve">Table </w:t>
      </w:r>
      <w:r>
        <w:rPr>
          <w:noProof/>
        </w:rPr>
        <w:t>6</w:t>
      </w:r>
      <w:r>
        <w:rPr>
          <w:lang w:eastAsia="en-US"/>
        </w:rPr>
        <w:fldChar w:fldCharType="end"/>
      </w:r>
      <w:r>
        <w:rPr>
          <w:lang w:eastAsia="en-US"/>
        </w:rPr>
        <w:t>). Therefore, the confidence in the effect estimated was limited, and the true effect may be substantially different from the estimate of the effect.</w:t>
      </w:r>
      <w:bookmarkStart w:id="36" w:name="_Hlk59190798"/>
      <w:r>
        <w:rPr>
          <w:lang w:eastAsia="en-US"/>
        </w:rPr>
        <w:t xml:space="preserve"> </w:t>
      </w:r>
      <w:r>
        <w:t>However, based on the benefits and harms reported in the evidence base summarised above</w:t>
      </w:r>
      <w:r w:rsidRPr="00C845DF">
        <w:t>,</w:t>
      </w:r>
      <w:r>
        <w:t xml:space="preserve"> </w:t>
      </w:r>
      <w:r w:rsidRPr="00C845DF">
        <w:t xml:space="preserve">AM has superior safety and </w:t>
      </w:r>
      <w:r>
        <w:t>effectiveness compared with SOC</w:t>
      </w:r>
      <w:r w:rsidRPr="00C845DF">
        <w:t>.</w:t>
      </w:r>
    </w:p>
    <w:p w14:paraId="436D97ED" w14:textId="18810D8C" w:rsidR="0060589D" w:rsidRDefault="0060589D" w:rsidP="00AB5515">
      <w:pPr>
        <w:pStyle w:val="Caption"/>
        <w:spacing w:before="240"/>
      </w:pPr>
      <w:bookmarkStart w:id="37" w:name="_Ref63681989"/>
      <w:bookmarkStart w:id="38" w:name="_Toc59311991"/>
      <w:bookmarkEnd w:id="36"/>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37"/>
      <w:r>
        <w:tab/>
        <w:t>AM</w:t>
      </w:r>
      <w:r w:rsidRPr="00286F6D">
        <w:t xml:space="preserve"> compared to S</w:t>
      </w:r>
      <w:r>
        <w:t>O</w:t>
      </w:r>
      <w:r w:rsidRPr="00286F6D">
        <w:t xml:space="preserve">C for </w:t>
      </w:r>
      <w:r>
        <w:t>a</w:t>
      </w:r>
      <w:r w:rsidRPr="00286F6D">
        <w:t>cute wounds</w:t>
      </w:r>
      <w:bookmarkEnd w:id="38"/>
    </w:p>
    <w:tbl>
      <w:tblPr>
        <w:tblStyle w:val="OPTUMTableNormal"/>
        <w:tblW w:w="5000" w:type="pct"/>
        <w:tblLook w:val="04A0" w:firstRow="1" w:lastRow="0" w:firstColumn="1" w:lastColumn="0" w:noHBand="0" w:noVBand="1"/>
        <w:tblCaption w:val="Table 6 AM compared to SOC for acute wounds"/>
      </w:tblPr>
      <w:tblGrid>
        <w:gridCol w:w="2858"/>
        <w:gridCol w:w="1146"/>
        <w:gridCol w:w="1017"/>
        <w:gridCol w:w="1015"/>
        <w:gridCol w:w="1446"/>
        <w:gridCol w:w="1534"/>
      </w:tblGrid>
      <w:tr w:rsidR="0060589D" w:rsidRPr="00286F6D" w14:paraId="73448071" w14:textId="77777777" w:rsidTr="00567A4B">
        <w:trPr>
          <w:cnfStyle w:val="100000000000" w:firstRow="1" w:lastRow="0" w:firstColumn="0" w:lastColumn="0" w:oddVBand="0" w:evenVBand="0" w:oddHBand="0" w:evenHBand="0" w:firstRowFirstColumn="0" w:firstRowLastColumn="0" w:lastRowFirstColumn="0" w:lastRowLastColumn="0"/>
          <w:trHeight w:val="918"/>
          <w:tblHeader/>
        </w:trPr>
        <w:tc>
          <w:tcPr>
            <w:tcW w:w="1648" w:type="pct"/>
            <w:hideMark/>
          </w:tcPr>
          <w:p w14:paraId="5E6A2A53" w14:textId="77777777" w:rsidR="0060589D" w:rsidRPr="00286F6D" w:rsidRDefault="0060589D" w:rsidP="00444F7B">
            <w:pPr>
              <w:pStyle w:val="Tabletext"/>
              <w:spacing w:before="0" w:after="0"/>
              <w:rPr>
                <w:b/>
                <w:bCs/>
                <w:color w:val="000000" w:themeColor="text1"/>
              </w:rPr>
            </w:pPr>
            <w:r w:rsidRPr="00286F6D">
              <w:rPr>
                <w:b/>
                <w:bCs/>
                <w:color w:val="000000" w:themeColor="text1"/>
              </w:rPr>
              <w:t>Outcomes</w:t>
            </w:r>
          </w:p>
        </w:tc>
        <w:tc>
          <w:tcPr>
            <w:tcW w:w="319" w:type="pct"/>
            <w:hideMark/>
          </w:tcPr>
          <w:p w14:paraId="29E69A14" w14:textId="77777777" w:rsidR="0060589D" w:rsidRPr="00286F6D" w:rsidRDefault="0060589D" w:rsidP="00444F7B">
            <w:pPr>
              <w:pStyle w:val="Tabletext"/>
              <w:spacing w:before="0" w:after="0"/>
              <w:rPr>
                <w:b/>
                <w:bCs/>
                <w:color w:val="000000" w:themeColor="text1"/>
              </w:rPr>
            </w:pPr>
            <w:r w:rsidRPr="00286F6D">
              <w:rPr>
                <w:b/>
                <w:bCs/>
                <w:color w:val="000000" w:themeColor="text1"/>
              </w:rPr>
              <w:t xml:space="preserve">№ of participants </w:t>
            </w:r>
          </w:p>
          <w:p w14:paraId="0EB1C8A3" w14:textId="77777777" w:rsidR="0060589D" w:rsidRPr="00286F6D" w:rsidRDefault="0060589D" w:rsidP="00444F7B">
            <w:pPr>
              <w:pStyle w:val="Tabletext"/>
              <w:spacing w:before="0" w:after="0"/>
              <w:rPr>
                <w:b/>
                <w:bCs/>
                <w:color w:val="000000" w:themeColor="text1"/>
              </w:rPr>
            </w:pPr>
            <w:r w:rsidRPr="00286F6D">
              <w:rPr>
                <w:b/>
                <w:bCs/>
                <w:color w:val="000000" w:themeColor="text1"/>
              </w:rPr>
              <w:t>(studies)</w:t>
            </w:r>
          </w:p>
        </w:tc>
        <w:tc>
          <w:tcPr>
            <w:tcW w:w="627" w:type="pct"/>
            <w:hideMark/>
          </w:tcPr>
          <w:p w14:paraId="556AC0BF" w14:textId="77777777" w:rsidR="0060589D" w:rsidRPr="00286F6D" w:rsidRDefault="0060589D" w:rsidP="00444F7B">
            <w:pPr>
              <w:pStyle w:val="Tabletext"/>
              <w:spacing w:before="0" w:after="0"/>
              <w:rPr>
                <w:b/>
                <w:bCs/>
                <w:color w:val="000000" w:themeColor="text1"/>
              </w:rPr>
            </w:pPr>
            <w:r w:rsidRPr="00286F6D">
              <w:rPr>
                <w:b/>
                <w:bCs/>
                <w:color w:val="000000" w:themeColor="text1"/>
              </w:rPr>
              <w:t>Certainty of the evidence</w:t>
            </w:r>
          </w:p>
          <w:p w14:paraId="7B714DAE" w14:textId="77777777" w:rsidR="0060589D" w:rsidRPr="00286F6D" w:rsidRDefault="0060589D" w:rsidP="00444F7B">
            <w:pPr>
              <w:pStyle w:val="Tabletext"/>
              <w:spacing w:before="0" w:after="0"/>
              <w:rPr>
                <w:b/>
                <w:bCs/>
                <w:color w:val="000000" w:themeColor="text1"/>
              </w:rPr>
            </w:pPr>
            <w:r w:rsidRPr="00286F6D">
              <w:rPr>
                <w:b/>
                <w:bCs/>
                <w:color w:val="000000" w:themeColor="text1"/>
              </w:rPr>
              <w:t>(GRADE)</w:t>
            </w:r>
          </w:p>
        </w:tc>
        <w:tc>
          <w:tcPr>
            <w:tcW w:w="626" w:type="pct"/>
            <w:hideMark/>
          </w:tcPr>
          <w:p w14:paraId="44BDF470" w14:textId="77777777" w:rsidR="0060589D" w:rsidRPr="00286F6D" w:rsidRDefault="0060589D" w:rsidP="00444F7B">
            <w:pPr>
              <w:pStyle w:val="Tabletext"/>
              <w:spacing w:before="0" w:after="0"/>
              <w:rPr>
                <w:b/>
                <w:bCs/>
                <w:color w:val="000000" w:themeColor="text1"/>
              </w:rPr>
            </w:pPr>
            <w:r w:rsidRPr="00286F6D">
              <w:rPr>
                <w:b/>
                <w:bCs/>
                <w:color w:val="000000" w:themeColor="text1"/>
              </w:rPr>
              <w:t>Relative effect</w:t>
            </w:r>
            <w:r w:rsidRPr="00286F6D">
              <w:rPr>
                <w:b/>
                <w:bCs/>
                <w:color w:val="000000" w:themeColor="text1"/>
              </w:rPr>
              <w:br/>
              <w:t>(95% CI)</w:t>
            </w:r>
          </w:p>
        </w:tc>
        <w:tc>
          <w:tcPr>
            <w:tcW w:w="865" w:type="pct"/>
            <w:hideMark/>
          </w:tcPr>
          <w:p w14:paraId="465739A4" w14:textId="77777777" w:rsidR="0060589D" w:rsidRPr="00286F6D" w:rsidRDefault="0060589D" w:rsidP="00444F7B">
            <w:pPr>
              <w:pStyle w:val="Tabletext"/>
              <w:spacing w:before="0" w:after="0"/>
              <w:rPr>
                <w:b/>
                <w:bCs/>
                <w:color w:val="000000" w:themeColor="text1"/>
              </w:rPr>
            </w:pPr>
            <w:r w:rsidRPr="00286F6D">
              <w:rPr>
                <w:b/>
                <w:bCs/>
                <w:color w:val="000000" w:themeColor="text1"/>
              </w:rPr>
              <w:t>Anticipated absolute effects</w:t>
            </w:r>
          </w:p>
          <w:p w14:paraId="1B4B10F6" w14:textId="77777777" w:rsidR="0060589D" w:rsidRPr="00286F6D" w:rsidRDefault="0060589D" w:rsidP="00444F7B">
            <w:pPr>
              <w:pStyle w:val="Tabletext"/>
              <w:spacing w:before="0" w:after="0"/>
              <w:rPr>
                <w:b/>
                <w:bCs/>
                <w:color w:val="000000" w:themeColor="text1"/>
              </w:rPr>
            </w:pPr>
            <w:r w:rsidRPr="00286F6D">
              <w:rPr>
                <w:b/>
                <w:bCs/>
                <w:color w:val="000000" w:themeColor="text1"/>
              </w:rPr>
              <w:t>Risk with S</w:t>
            </w:r>
            <w:r>
              <w:rPr>
                <w:b/>
                <w:bCs/>
                <w:color w:val="000000" w:themeColor="text1"/>
              </w:rPr>
              <w:t>O</w:t>
            </w:r>
            <w:r w:rsidRPr="00286F6D">
              <w:rPr>
                <w:b/>
                <w:bCs/>
                <w:color w:val="000000" w:themeColor="text1"/>
              </w:rPr>
              <w:t>C</w:t>
            </w:r>
          </w:p>
        </w:tc>
        <w:tc>
          <w:tcPr>
            <w:tcW w:w="914" w:type="pct"/>
          </w:tcPr>
          <w:p w14:paraId="29D672AD" w14:textId="77777777" w:rsidR="0060589D" w:rsidRPr="00286F6D" w:rsidRDefault="0060589D" w:rsidP="00444F7B">
            <w:pPr>
              <w:pStyle w:val="Tabletext"/>
              <w:spacing w:before="0" w:after="0"/>
              <w:rPr>
                <w:b/>
                <w:bCs/>
                <w:color w:val="000000" w:themeColor="text1"/>
              </w:rPr>
            </w:pPr>
            <w:r w:rsidRPr="00286F6D">
              <w:rPr>
                <w:b/>
                <w:bCs/>
                <w:color w:val="000000" w:themeColor="text1"/>
              </w:rPr>
              <w:t>Anticipated absolute effects</w:t>
            </w:r>
          </w:p>
          <w:p w14:paraId="22FA315D" w14:textId="77777777" w:rsidR="0060589D" w:rsidRPr="00286F6D" w:rsidRDefault="0060589D" w:rsidP="00444F7B">
            <w:pPr>
              <w:pStyle w:val="Tabletext"/>
              <w:spacing w:before="0" w:after="0"/>
              <w:rPr>
                <w:b/>
                <w:bCs/>
                <w:color w:val="000000" w:themeColor="text1"/>
              </w:rPr>
            </w:pPr>
            <w:r w:rsidRPr="00286F6D">
              <w:rPr>
                <w:b/>
                <w:bCs/>
                <w:color w:val="000000" w:themeColor="text1"/>
              </w:rPr>
              <w:t xml:space="preserve">Risk difference with </w:t>
            </w:r>
            <w:r>
              <w:rPr>
                <w:b/>
                <w:bCs/>
                <w:color w:val="000000" w:themeColor="text1"/>
              </w:rPr>
              <w:t>AM</w:t>
            </w:r>
          </w:p>
        </w:tc>
      </w:tr>
      <w:tr w:rsidR="0060589D" w:rsidRPr="001B0DBA" w14:paraId="39C395CF" w14:textId="77777777" w:rsidTr="00567A4B">
        <w:tc>
          <w:tcPr>
            <w:tcW w:w="1648" w:type="pct"/>
          </w:tcPr>
          <w:p w14:paraId="26007014" w14:textId="77777777" w:rsidR="0060589D" w:rsidRPr="001B0DBA" w:rsidRDefault="0060589D" w:rsidP="00444F7B">
            <w:pPr>
              <w:pStyle w:val="Tabletext"/>
              <w:spacing w:before="0" w:after="0"/>
              <w:rPr>
                <w:rStyle w:val="label"/>
                <w:color w:val="000000" w:themeColor="text1"/>
              </w:rPr>
            </w:pPr>
            <w:r w:rsidRPr="001B0DBA">
              <w:rPr>
                <w:rStyle w:val="cell"/>
                <w:b/>
                <w:bCs/>
                <w:color w:val="000000" w:themeColor="text1"/>
              </w:rPr>
              <w:t>Effectiveness outcomes</w:t>
            </w:r>
          </w:p>
        </w:tc>
        <w:tc>
          <w:tcPr>
            <w:tcW w:w="319" w:type="pct"/>
          </w:tcPr>
          <w:p w14:paraId="79D88102" w14:textId="77777777" w:rsidR="0060589D" w:rsidRPr="001B0DBA" w:rsidRDefault="0060589D" w:rsidP="00444F7B">
            <w:pPr>
              <w:pStyle w:val="Tabletext"/>
              <w:spacing w:before="0" w:after="0"/>
              <w:rPr>
                <w:color w:val="000000" w:themeColor="text1"/>
              </w:rPr>
            </w:pPr>
          </w:p>
        </w:tc>
        <w:tc>
          <w:tcPr>
            <w:tcW w:w="627" w:type="pct"/>
          </w:tcPr>
          <w:p w14:paraId="01DA3074" w14:textId="77777777" w:rsidR="0060589D" w:rsidRPr="001B0DBA" w:rsidRDefault="0060589D" w:rsidP="00444F7B">
            <w:pPr>
              <w:pStyle w:val="Tabletext"/>
              <w:spacing w:before="0" w:after="0"/>
              <w:rPr>
                <w:rFonts w:ascii="Cambria Math" w:hAnsi="Cambria Math"/>
                <w:color w:val="000000" w:themeColor="text1"/>
              </w:rPr>
            </w:pPr>
          </w:p>
        </w:tc>
        <w:tc>
          <w:tcPr>
            <w:tcW w:w="626" w:type="pct"/>
          </w:tcPr>
          <w:p w14:paraId="2A817608" w14:textId="77777777" w:rsidR="0060589D" w:rsidRPr="001B0DBA" w:rsidRDefault="0060589D" w:rsidP="00444F7B">
            <w:pPr>
              <w:pStyle w:val="Tabletext"/>
              <w:spacing w:before="0" w:after="0"/>
              <w:rPr>
                <w:rStyle w:val="cell"/>
                <w:color w:val="000000" w:themeColor="text1"/>
              </w:rPr>
            </w:pPr>
          </w:p>
        </w:tc>
        <w:tc>
          <w:tcPr>
            <w:tcW w:w="865" w:type="pct"/>
          </w:tcPr>
          <w:p w14:paraId="4399EAF9" w14:textId="77777777" w:rsidR="0060589D" w:rsidRPr="001B0DBA" w:rsidRDefault="0060589D" w:rsidP="00444F7B">
            <w:pPr>
              <w:pStyle w:val="Tabletext"/>
              <w:spacing w:before="0" w:after="0"/>
              <w:rPr>
                <w:rStyle w:val="cell"/>
                <w:color w:val="000000" w:themeColor="text1"/>
              </w:rPr>
            </w:pPr>
          </w:p>
        </w:tc>
        <w:tc>
          <w:tcPr>
            <w:tcW w:w="914" w:type="pct"/>
          </w:tcPr>
          <w:p w14:paraId="02D829AD" w14:textId="77777777" w:rsidR="0060589D" w:rsidRPr="001B0DBA" w:rsidRDefault="0060589D" w:rsidP="00444F7B">
            <w:pPr>
              <w:pStyle w:val="Tabletext"/>
              <w:spacing w:before="0" w:after="0"/>
              <w:rPr>
                <w:rStyle w:val="cell"/>
                <w:color w:val="000000" w:themeColor="text1"/>
              </w:rPr>
            </w:pPr>
          </w:p>
        </w:tc>
      </w:tr>
      <w:tr w:rsidR="0060589D" w:rsidRPr="00286F6D" w14:paraId="37103932" w14:textId="77777777" w:rsidTr="00567A4B">
        <w:tc>
          <w:tcPr>
            <w:tcW w:w="1648" w:type="pct"/>
            <w:hideMark/>
          </w:tcPr>
          <w:p w14:paraId="1F56F661" w14:textId="77777777" w:rsidR="0060589D" w:rsidRDefault="0060589D" w:rsidP="00444F7B">
            <w:pPr>
              <w:pStyle w:val="Tabletext"/>
              <w:spacing w:before="0" w:after="0"/>
              <w:rPr>
                <w:rStyle w:val="label"/>
                <w:color w:val="000000" w:themeColor="text1"/>
              </w:rPr>
            </w:pPr>
            <w:r w:rsidRPr="00286F6D">
              <w:rPr>
                <w:rStyle w:val="label"/>
                <w:color w:val="000000" w:themeColor="text1"/>
              </w:rPr>
              <w:t>Wound healing (time to heal)</w:t>
            </w:r>
          </w:p>
          <w:p w14:paraId="663698FD" w14:textId="77777777" w:rsidR="0060589D" w:rsidRPr="00286F6D" w:rsidRDefault="0060589D" w:rsidP="00444F7B">
            <w:pPr>
              <w:pStyle w:val="Tabletext"/>
              <w:spacing w:before="0" w:after="0"/>
              <w:rPr>
                <w:color w:val="000000" w:themeColor="text1"/>
              </w:rPr>
            </w:pPr>
            <w:r>
              <w:rPr>
                <w:rStyle w:val="label"/>
                <w:color w:val="000000" w:themeColor="text1"/>
              </w:rPr>
              <w:t>A</w:t>
            </w:r>
            <w:r w:rsidRPr="00286F6D">
              <w:rPr>
                <w:rStyle w:val="label"/>
                <w:color w:val="000000" w:themeColor="text1"/>
              </w:rPr>
              <w:t>ssessed with</w:t>
            </w:r>
            <w:r>
              <w:rPr>
                <w:rStyle w:val="label"/>
                <w:color w:val="000000" w:themeColor="text1"/>
              </w:rPr>
              <w:t xml:space="preserve"> t</w:t>
            </w:r>
            <w:r w:rsidRPr="00286F6D">
              <w:rPr>
                <w:rStyle w:val="label"/>
                <w:color w:val="000000" w:themeColor="text1"/>
              </w:rPr>
              <w:t>ime to wound healing and epithelisation, and wound size reduction</w:t>
            </w:r>
            <w:r w:rsidRPr="00286F6D">
              <w:rPr>
                <w:color w:val="000000" w:themeColor="text1"/>
              </w:rPr>
              <w:t xml:space="preserve"> </w:t>
            </w:r>
          </w:p>
        </w:tc>
        <w:tc>
          <w:tcPr>
            <w:tcW w:w="319" w:type="pct"/>
            <w:hideMark/>
          </w:tcPr>
          <w:p w14:paraId="57981320" w14:textId="77777777" w:rsidR="0060589D" w:rsidRPr="00286F6D" w:rsidRDefault="0060589D" w:rsidP="00444F7B">
            <w:pPr>
              <w:pStyle w:val="Tabletext"/>
              <w:spacing w:before="0" w:after="0"/>
              <w:rPr>
                <w:color w:val="000000" w:themeColor="text1"/>
              </w:rPr>
            </w:pPr>
            <w:r w:rsidRPr="00286F6D">
              <w:rPr>
                <w:color w:val="000000" w:themeColor="text1"/>
              </w:rPr>
              <w:t>374</w:t>
            </w:r>
            <w:r w:rsidRPr="00286F6D">
              <w:rPr>
                <w:color w:val="000000" w:themeColor="text1"/>
              </w:rPr>
              <w:br/>
              <w:t xml:space="preserve">(6 RCTs) </w:t>
            </w:r>
          </w:p>
        </w:tc>
        <w:tc>
          <w:tcPr>
            <w:tcW w:w="627" w:type="pct"/>
            <w:hideMark/>
          </w:tcPr>
          <w:p w14:paraId="00229E14" w14:textId="77777777" w:rsidR="0060589D" w:rsidRDefault="0060589D" w:rsidP="00444F7B">
            <w:pPr>
              <w:pStyle w:val="Tabletext"/>
              <w:spacing w:before="0" w:after="0"/>
              <w:rPr>
                <w:rFonts w:ascii="Cambria Math" w:hAnsi="Cambria Math"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4B170483" w14:textId="77777777" w:rsidR="0060589D" w:rsidRPr="00286F6D" w:rsidRDefault="0060589D" w:rsidP="00444F7B">
            <w:pPr>
              <w:pStyle w:val="Tabletext"/>
              <w:spacing w:before="0" w:after="0"/>
              <w:rPr>
                <w:color w:val="000000" w:themeColor="text1"/>
              </w:rPr>
            </w:pPr>
            <w:r w:rsidRPr="00286F6D">
              <w:rPr>
                <w:rStyle w:val="quality-text"/>
                <w:color w:val="000000" w:themeColor="text1"/>
              </w:rPr>
              <w:t>LOW</w:t>
            </w:r>
            <w:r w:rsidRPr="00286F6D">
              <w:rPr>
                <w:color w:val="000000" w:themeColor="text1"/>
              </w:rPr>
              <w:t xml:space="preserve"> </w:t>
            </w:r>
            <w:proofErr w:type="spellStart"/>
            <w:r w:rsidRPr="00286F6D">
              <w:rPr>
                <w:color w:val="000000" w:themeColor="text1"/>
                <w:vertAlign w:val="superscript"/>
              </w:rPr>
              <w:t>a</w:t>
            </w:r>
            <w:r w:rsidRPr="00286F6D">
              <w:rPr>
                <w:rStyle w:val="comma"/>
                <w:color w:val="000000" w:themeColor="text1"/>
                <w:vertAlign w:val="superscript"/>
              </w:rPr>
              <w:t>,</w:t>
            </w:r>
            <w:r w:rsidRPr="00286F6D">
              <w:rPr>
                <w:color w:val="000000" w:themeColor="text1"/>
                <w:vertAlign w:val="superscript"/>
              </w:rPr>
              <w:t>b</w:t>
            </w:r>
            <w:r w:rsidRPr="00286F6D">
              <w:rPr>
                <w:rStyle w:val="comma"/>
                <w:color w:val="000000" w:themeColor="text1"/>
                <w:vertAlign w:val="superscript"/>
              </w:rPr>
              <w:t>,</w:t>
            </w:r>
            <w:r w:rsidRPr="00286F6D">
              <w:rPr>
                <w:color w:val="000000" w:themeColor="text1"/>
                <w:vertAlign w:val="superscript"/>
              </w:rPr>
              <w:t>c</w:t>
            </w:r>
            <w:proofErr w:type="spellEnd"/>
          </w:p>
        </w:tc>
        <w:tc>
          <w:tcPr>
            <w:tcW w:w="626" w:type="pct"/>
            <w:hideMark/>
          </w:tcPr>
          <w:p w14:paraId="4D14E59D" w14:textId="77777777" w:rsidR="0060589D" w:rsidRPr="00286F6D" w:rsidRDefault="0060589D" w:rsidP="00444F7B">
            <w:pPr>
              <w:pStyle w:val="Tabletext"/>
              <w:spacing w:before="0" w:after="0"/>
              <w:rPr>
                <w:color w:val="000000" w:themeColor="text1"/>
              </w:rPr>
            </w:pPr>
            <w:r w:rsidRPr="00286F6D">
              <w:rPr>
                <w:rStyle w:val="cell"/>
                <w:color w:val="000000" w:themeColor="text1"/>
              </w:rPr>
              <w:t>-</w:t>
            </w:r>
            <w:r w:rsidRPr="00286F6D">
              <w:rPr>
                <w:color w:val="000000" w:themeColor="text1"/>
              </w:rPr>
              <w:t xml:space="preserve"> </w:t>
            </w:r>
          </w:p>
        </w:tc>
        <w:tc>
          <w:tcPr>
            <w:tcW w:w="865" w:type="pct"/>
            <w:hideMark/>
          </w:tcPr>
          <w:p w14:paraId="35B99FF6"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c>
          <w:tcPr>
            <w:tcW w:w="914" w:type="pct"/>
            <w:hideMark/>
          </w:tcPr>
          <w:p w14:paraId="2D3A77BC"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r>
      <w:tr w:rsidR="0060589D" w:rsidRPr="00286F6D" w14:paraId="3EBFAA6A" w14:textId="77777777" w:rsidTr="00567A4B">
        <w:tc>
          <w:tcPr>
            <w:tcW w:w="1648" w:type="pct"/>
            <w:hideMark/>
          </w:tcPr>
          <w:p w14:paraId="046EFB19" w14:textId="77777777" w:rsidR="0060589D" w:rsidRDefault="0060589D" w:rsidP="00444F7B">
            <w:pPr>
              <w:pStyle w:val="Tabletext"/>
              <w:spacing w:before="0" w:after="0"/>
              <w:rPr>
                <w:rStyle w:val="label"/>
                <w:color w:val="000000" w:themeColor="text1"/>
              </w:rPr>
            </w:pPr>
            <w:r w:rsidRPr="00286F6D">
              <w:rPr>
                <w:rStyle w:val="label"/>
                <w:color w:val="000000" w:themeColor="text1"/>
              </w:rPr>
              <w:t xml:space="preserve">Time </w:t>
            </w:r>
            <w:r>
              <w:rPr>
                <w:rStyle w:val="label"/>
                <w:color w:val="000000" w:themeColor="text1"/>
              </w:rPr>
              <w:t xml:space="preserve">for </w:t>
            </w:r>
            <w:r w:rsidRPr="00286F6D">
              <w:rPr>
                <w:rStyle w:val="label"/>
                <w:color w:val="000000" w:themeColor="text1"/>
              </w:rPr>
              <w:t xml:space="preserve">wounds to </w:t>
            </w:r>
            <w:r>
              <w:rPr>
                <w:rStyle w:val="label"/>
                <w:color w:val="000000" w:themeColor="text1"/>
              </w:rPr>
              <w:t>be</w:t>
            </w:r>
            <w:r w:rsidRPr="00286F6D">
              <w:rPr>
                <w:rStyle w:val="label"/>
                <w:color w:val="000000" w:themeColor="text1"/>
              </w:rPr>
              <w:t xml:space="preserve"> ready for skin graft</w:t>
            </w:r>
          </w:p>
          <w:p w14:paraId="30A3AFF2" w14:textId="77777777" w:rsidR="0060589D" w:rsidRPr="00286F6D" w:rsidRDefault="0060589D" w:rsidP="00444F7B">
            <w:pPr>
              <w:pStyle w:val="Tabletext"/>
              <w:spacing w:before="0" w:after="0"/>
              <w:rPr>
                <w:color w:val="000000" w:themeColor="text1"/>
              </w:rPr>
            </w:pPr>
            <w:r>
              <w:rPr>
                <w:rStyle w:val="label"/>
                <w:color w:val="000000" w:themeColor="text1"/>
              </w:rPr>
              <w:t>A</w:t>
            </w:r>
            <w:r w:rsidRPr="00286F6D">
              <w:rPr>
                <w:rStyle w:val="label"/>
                <w:color w:val="000000" w:themeColor="text1"/>
              </w:rPr>
              <w:t>ssessed with growth of granulation tissue, wound start</w:t>
            </w:r>
            <w:r>
              <w:rPr>
                <w:rStyle w:val="label"/>
                <w:color w:val="000000" w:themeColor="text1"/>
              </w:rPr>
              <w:t>ing</w:t>
            </w:r>
            <w:r w:rsidRPr="00286F6D">
              <w:rPr>
                <w:rStyle w:val="label"/>
                <w:color w:val="000000" w:themeColor="text1"/>
              </w:rPr>
              <w:t xml:space="preserve"> to heal before skin graft </w:t>
            </w:r>
            <w:r>
              <w:rPr>
                <w:rStyle w:val="label"/>
                <w:color w:val="000000" w:themeColor="text1"/>
              </w:rPr>
              <w:t>could</w:t>
            </w:r>
            <w:r w:rsidRPr="00286F6D">
              <w:rPr>
                <w:rStyle w:val="label"/>
                <w:color w:val="000000" w:themeColor="text1"/>
              </w:rPr>
              <w:t xml:space="preserve"> take place</w:t>
            </w:r>
            <w:r w:rsidRPr="00286F6D">
              <w:rPr>
                <w:color w:val="000000" w:themeColor="text1"/>
              </w:rPr>
              <w:t xml:space="preserve"> </w:t>
            </w:r>
          </w:p>
        </w:tc>
        <w:tc>
          <w:tcPr>
            <w:tcW w:w="319" w:type="pct"/>
            <w:hideMark/>
          </w:tcPr>
          <w:p w14:paraId="12A1A3CB" w14:textId="77777777" w:rsidR="0060589D" w:rsidRPr="00286F6D" w:rsidRDefault="0060589D" w:rsidP="00444F7B">
            <w:pPr>
              <w:pStyle w:val="Tabletext"/>
              <w:spacing w:before="0" w:after="0"/>
              <w:rPr>
                <w:color w:val="000000" w:themeColor="text1"/>
              </w:rPr>
            </w:pPr>
            <w:r w:rsidRPr="00286F6D">
              <w:rPr>
                <w:color w:val="000000" w:themeColor="text1"/>
              </w:rPr>
              <w:t>443</w:t>
            </w:r>
            <w:r w:rsidRPr="00286F6D">
              <w:rPr>
                <w:color w:val="000000" w:themeColor="text1"/>
              </w:rPr>
              <w:br/>
              <w:t xml:space="preserve">(3 RCTs) </w:t>
            </w:r>
          </w:p>
        </w:tc>
        <w:tc>
          <w:tcPr>
            <w:tcW w:w="627" w:type="pct"/>
            <w:hideMark/>
          </w:tcPr>
          <w:p w14:paraId="5E156428" w14:textId="77777777" w:rsidR="0060589D" w:rsidRDefault="0060589D" w:rsidP="00444F7B">
            <w:pPr>
              <w:pStyle w:val="Tabletext"/>
              <w:spacing w:before="0" w:after="0"/>
              <w:rPr>
                <w:rFonts w:ascii="Cambria Math" w:hAnsi="Cambria Math"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75B04252" w14:textId="77777777" w:rsidR="0060589D" w:rsidRPr="00286F6D" w:rsidRDefault="0060589D" w:rsidP="00444F7B">
            <w:pPr>
              <w:pStyle w:val="Tabletext"/>
              <w:spacing w:before="0" w:after="0"/>
              <w:rPr>
                <w:color w:val="000000" w:themeColor="text1"/>
              </w:rPr>
            </w:pPr>
            <w:r w:rsidRPr="00286F6D">
              <w:rPr>
                <w:rStyle w:val="quality-text"/>
                <w:color w:val="000000" w:themeColor="text1"/>
              </w:rPr>
              <w:t>LOW</w:t>
            </w:r>
            <w:r w:rsidRPr="00286F6D">
              <w:rPr>
                <w:color w:val="000000" w:themeColor="text1"/>
              </w:rPr>
              <w:t xml:space="preserve"> </w:t>
            </w:r>
            <w:r w:rsidRPr="00286F6D">
              <w:rPr>
                <w:color w:val="000000" w:themeColor="text1"/>
                <w:vertAlign w:val="superscript"/>
              </w:rPr>
              <w:t>d</w:t>
            </w:r>
          </w:p>
        </w:tc>
        <w:tc>
          <w:tcPr>
            <w:tcW w:w="626" w:type="pct"/>
            <w:hideMark/>
          </w:tcPr>
          <w:p w14:paraId="05ED444C" w14:textId="77777777" w:rsidR="0060589D" w:rsidRPr="00286F6D" w:rsidRDefault="0060589D" w:rsidP="00444F7B">
            <w:pPr>
              <w:pStyle w:val="Tabletext"/>
              <w:spacing w:before="0" w:after="0"/>
              <w:rPr>
                <w:color w:val="000000" w:themeColor="text1"/>
              </w:rPr>
            </w:pPr>
            <w:r w:rsidRPr="00286F6D">
              <w:rPr>
                <w:rStyle w:val="cell"/>
                <w:color w:val="000000" w:themeColor="text1"/>
              </w:rPr>
              <w:t>-</w:t>
            </w:r>
            <w:r w:rsidRPr="00286F6D">
              <w:rPr>
                <w:color w:val="000000" w:themeColor="text1"/>
              </w:rPr>
              <w:t xml:space="preserve"> </w:t>
            </w:r>
          </w:p>
        </w:tc>
        <w:tc>
          <w:tcPr>
            <w:tcW w:w="865" w:type="pct"/>
            <w:hideMark/>
          </w:tcPr>
          <w:p w14:paraId="7A61B880"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c>
          <w:tcPr>
            <w:tcW w:w="914" w:type="pct"/>
            <w:hideMark/>
          </w:tcPr>
          <w:p w14:paraId="11EFFCBD"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r>
      <w:tr w:rsidR="0060589D" w:rsidRPr="001B0DBA" w14:paraId="38601C33" w14:textId="77777777" w:rsidTr="00567A4B">
        <w:tc>
          <w:tcPr>
            <w:tcW w:w="1648" w:type="pct"/>
          </w:tcPr>
          <w:p w14:paraId="59F9707C" w14:textId="77777777" w:rsidR="0060589D" w:rsidRPr="001B0DBA" w:rsidRDefault="0060589D" w:rsidP="00444F7B">
            <w:pPr>
              <w:pStyle w:val="Tabletext"/>
              <w:spacing w:before="0" w:after="0"/>
              <w:rPr>
                <w:rStyle w:val="label"/>
                <w:color w:val="000000" w:themeColor="text1"/>
              </w:rPr>
            </w:pPr>
            <w:r w:rsidRPr="001B0DBA">
              <w:rPr>
                <w:rStyle w:val="cell"/>
                <w:b/>
                <w:bCs/>
                <w:color w:val="000000" w:themeColor="text1"/>
              </w:rPr>
              <w:t>Safety outcomes</w:t>
            </w:r>
          </w:p>
        </w:tc>
        <w:tc>
          <w:tcPr>
            <w:tcW w:w="319" w:type="pct"/>
          </w:tcPr>
          <w:p w14:paraId="515D25EE" w14:textId="77777777" w:rsidR="0060589D" w:rsidRPr="001B0DBA" w:rsidRDefault="0060589D" w:rsidP="00444F7B">
            <w:pPr>
              <w:pStyle w:val="Tabletext"/>
              <w:spacing w:before="0" w:after="0"/>
              <w:rPr>
                <w:color w:val="000000" w:themeColor="text1"/>
              </w:rPr>
            </w:pPr>
          </w:p>
        </w:tc>
        <w:tc>
          <w:tcPr>
            <w:tcW w:w="627" w:type="pct"/>
          </w:tcPr>
          <w:p w14:paraId="7D84EFFA" w14:textId="77777777" w:rsidR="0060589D" w:rsidRPr="001B0DBA" w:rsidRDefault="0060589D" w:rsidP="00444F7B">
            <w:pPr>
              <w:pStyle w:val="Tabletext"/>
              <w:spacing w:before="0" w:after="0"/>
              <w:rPr>
                <w:rFonts w:ascii="Cambria Math" w:hAnsi="Cambria Math"/>
                <w:color w:val="000000" w:themeColor="text1"/>
              </w:rPr>
            </w:pPr>
          </w:p>
        </w:tc>
        <w:tc>
          <w:tcPr>
            <w:tcW w:w="626" w:type="pct"/>
          </w:tcPr>
          <w:p w14:paraId="6FF745D3" w14:textId="77777777" w:rsidR="0060589D" w:rsidRPr="001B0DBA" w:rsidRDefault="0060589D" w:rsidP="00444F7B">
            <w:pPr>
              <w:pStyle w:val="Tabletext"/>
              <w:spacing w:before="0" w:after="0"/>
              <w:rPr>
                <w:rStyle w:val="cell"/>
                <w:color w:val="000000" w:themeColor="text1"/>
              </w:rPr>
            </w:pPr>
          </w:p>
        </w:tc>
        <w:tc>
          <w:tcPr>
            <w:tcW w:w="865" w:type="pct"/>
          </w:tcPr>
          <w:p w14:paraId="7C3EA12A" w14:textId="77777777" w:rsidR="0060589D" w:rsidRPr="001B0DBA" w:rsidRDefault="0060589D" w:rsidP="00444F7B">
            <w:pPr>
              <w:pStyle w:val="Tabletext"/>
              <w:spacing w:before="0" w:after="0"/>
              <w:rPr>
                <w:rStyle w:val="cell"/>
                <w:color w:val="000000" w:themeColor="text1"/>
              </w:rPr>
            </w:pPr>
          </w:p>
        </w:tc>
        <w:tc>
          <w:tcPr>
            <w:tcW w:w="914" w:type="pct"/>
          </w:tcPr>
          <w:p w14:paraId="09B9CFA8" w14:textId="77777777" w:rsidR="0060589D" w:rsidRPr="001B0DBA" w:rsidRDefault="0060589D" w:rsidP="00444F7B">
            <w:pPr>
              <w:pStyle w:val="Tabletext"/>
              <w:spacing w:before="0" w:after="0"/>
              <w:rPr>
                <w:rStyle w:val="cell"/>
                <w:color w:val="000000" w:themeColor="text1"/>
              </w:rPr>
            </w:pPr>
          </w:p>
        </w:tc>
      </w:tr>
      <w:tr w:rsidR="0060589D" w:rsidRPr="00286F6D" w14:paraId="6A4BB24C" w14:textId="77777777" w:rsidTr="00567A4B">
        <w:tc>
          <w:tcPr>
            <w:tcW w:w="1648" w:type="pct"/>
            <w:hideMark/>
          </w:tcPr>
          <w:p w14:paraId="5A26A4E5" w14:textId="77777777" w:rsidR="0060589D" w:rsidRDefault="0060589D" w:rsidP="00444F7B">
            <w:pPr>
              <w:pStyle w:val="Tabletext"/>
              <w:spacing w:before="0" w:after="0"/>
              <w:rPr>
                <w:rStyle w:val="label"/>
                <w:color w:val="000000" w:themeColor="text1"/>
              </w:rPr>
            </w:pPr>
            <w:r w:rsidRPr="00286F6D">
              <w:rPr>
                <w:rStyle w:val="label"/>
                <w:color w:val="000000" w:themeColor="text1"/>
              </w:rPr>
              <w:t>Pain</w:t>
            </w:r>
          </w:p>
          <w:p w14:paraId="1790D344" w14:textId="77777777" w:rsidR="0060589D" w:rsidRPr="00286F6D" w:rsidRDefault="0060589D" w:rsidP="00444F7B">
            <w:pPr>
              <w:pStyle w:val="Tabletext"/>
              <w:spacing w:before="0" w:after="0"/>
              <w:rPr>
                <w:color w:val="000000" w:themeColor="text1"/>
              </w:rPr>
            </w:pPr>
            <w:r>
              <w:rPr>
                <w:rStyle w:val="label"/>
                <w:color w:val="000000" w:themeColor="text1"/>
              </w:rPr>
              <w:t>A</w:t>
            </w:r>
            <w:r w:rsidRPr="00286F6D">
              <w:rPr>
                <w:rStyle w:val="label"/>
                <w:color w:val="000000" w:themeColor="text1"/>
              </w:rPr>
              <w:t>ssessed with</w:t>
            </w:r>
            <w:r>
              <w:rPr>
                <w:rStyle w:val="label"/>
                <w:color w:val="000000" w:themeColor="text1"/>
              </w:rPr>
              <w:t xml:space="preserve"> p</w:t>
            </w:r>
            <w:r w:rsidRPr="00286F6D">
              <w:rPr>
                <w:rStyle w:val="label"/>
                <w:color w:val="000000" w:themeColor="text1"/>
              </w:rPr>
              <w:t>ain score (0</w:t>
            </w:r>
            <w:r>
              <w:rPr>
                <w:rStyle w:val="label"/>
                <w:color w:val="000000" w:themeColor="text1"/>
              </w:rPr>
              <w:t>–</w:t>
            </w:r>
            <w:r w:rsidRPr="00286F6D">
              <w:rPr>
                <w:rStyle w:val="label"/>
                <w:color w:val="000000" w:themeColor="text1"/>
              </w:rPr>
              <w:t>10)</w:t>
            </w:r>
            <w:r>
              <w:rPr>
                <w:rStyle w:val="label"/>
                <w:color w:val="000000" w:themeColor="text1"/>
              </w:rPr>
              <w:t>, pain s</w:t>
            </w:r>
            <w:r w:rsidRPr="00286F6D">
              <w:rPr>
                <w:rStyle w:val="label"/>
                <w:color w:val="000000" w:themeColor="text1"/>
              </w:rPr>
              <w:t>cale (0</w:t>
            </w:r>
            <w:r>
              <w:rPr>
                <w:rStyle w:val="label"/>
                <w:color w:val="000000" w:themeColor="text1"/>
              </w:rPr>
              <w:t>–</w:t>
            </w:r>
            <w:r w:rsidRPr="00286F6D">
              <w:rPr>
                <w:rStyle w:val="label"/>
                <w:color w:val="000000" w:themeColor="text1"/>
              </w:rPr>
              <w:t>10)</w:t>
            </w:r>
            <w:r w:rsidRPr="00286F6D">
              <w:rPr>
                <w:color w:val="000000" w:themeColor="text1"/>
              </w:rPr>
              <w:t xml:space="preserve"> </w:t>
            </w:r>
          </w:p>
        </w:tc>
        <w:tc>
          <w:tcPr>
            <w:tcW w:w="319" w:type="pct"/>
            <w:hideMark/>
          </w:tcPr>
          <w:p w14:paraId="2A0584A9" w14:textId="77777777" w:rsidR="0060589D" w:rsidRPr="00286F6D" w:rsidRDefault="0060589D" w:rsidP="00444F7B">
            <w:pPr>
              <w:pStyle w:val="Tabletext"/>
              <w:spacing w:before="0" w:after="0"/>
              <w:rPr>
                <w:color w:val="000000" w:themeColor="text1"/>
              </w:rPr>
            </w:pPr>
            <w:r w:rsidRPr="00286F6D">
              <w:rPr>
                <w:color w:val="000000" w:themeColor="text1"/>
              </w:rPr>
              <w:t>456</w:t>
            </w:r>
            <w:r w:rsidRPr="00286F6D">
              <w:rPr>
                <w:color w:val="000000" w:themeColor="text1"/>
              </w:rPr>
              <w:br/>
              <w:t xml:space="preserve">(6 RCTs) </w:t>
            </w:r>
          </w:p>
        </w:tc>
        <w:tc>
          <w:tcPr>
            <w:tcW w:w="627" w:type="pct"/>
            <w:hideMark/>
          </w:tcPr>
          <w:p w14:paraId="30BF20A3" w14:textId="77777777" w:rsidR="0060589D" w:rsidRDefault="0060589D" w:rsidP="00444F7B">
            <w:pPr>
              <w:pStyle w:val="Tabletext"/>
              <w:spacing w:before="0" w:after="0"/>
              <w:rPr>
                <w:rFonts w:ascii="Cambria Math" w:hAnsi="Cambria Math"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2F53CD81" w14:textId="77777777" w:rsidR="0060589D" w:rsidRPr="00286F6D" w:rsidRDefault="0060589D" w:rsidP="00444F7B">
            <w:pPr>
              <w:pStyle w:val="Tabletext"/>
              <w:spacing w:before="0" w:after="0"/>
              <w:rPr>
                <w:color w:val="000000" w:themeColor="text1"/>
              </w:rPr>
            </w:pPr>
            <w:r w:rsidRPr="00286F6D">
              <w:rPr>
                <w:rStyle w:val="quality-text"/>
                <w:color w:val="000000" w:themeColor="text1"/>
              </w:rPr>
              <w:t>LOW</w:t>
            </w:r>
            <w:r w:rsidRPr="00286F6D">
              <w:rPr>
                <w:color w:val="000000" w:themeColor="text1"/>
              </w:rPr>
              <w:t xml:space="preserve"> </w:t>
            </w:r>
            <w:r w:rsidRPr="00286F6D">
              <w:rPr>
                <w:color w:val="000000" w:themeColor="text1"/>
                <w:vertAlign w:val="superscript"/>
              </w:rPr>
              <w:t>e</w:t>
            </w:r>
          </w:p>
        </w:tc>
        <w:tc>
          <w:tcPr>
            <w:tcW w:w="626" w:type="pct"/>
            <w:hideMark/>
          </w:tcPr>
          <w:p w14:paraId="3CFFA1DC" w14:textId="77777777" w:rsidR="0060589D" w:rsidRPr="00286F6D" w:rsidRDefault="0060589D" w:rsidP="00444F7B">
            <w:pPr>
              <w:pStyle w:val="Tabletext"/>
              <w:spacing w:before="0" w:after="0"/>
              <w:rPr>
                <w:color w:val="000000" w:themeColor="text1"/>
              </w:rPr>
            </w:pPr>
            <w:r w:rsidRPr="00286F6D">
              <w:rPr>
                <w:rStyle w:val="cell"/>
                <w:color w:val="000000" w:themeColor="text1"/>
              </w:rPr>
              <w:t>-</w:t>
            </w:r>
            <w:r w:rsidRPr="00286F6D">
              <w:rPr>
                <w:color w:val="000000" w:themeColor="text1"/>
              </w:rPr>
              <w:t xml:space="preserve"> </w:t>
            </w:r>
          </w:p>
        </w:tc>
        <w:tc>
          <w:tcPr>
            <w:tcW w:w="865" w:type="pct"/>
            <w:hideMark/>
          </w:tcPr>
          <w:p w14:paraId="35F14027"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c>
          <w:tcPr>
            <w:tcW w:w="914" w:type="pct"/>
            <w:hideMark/>
          </w:tcPr>
          <w:p w14:paraId="0336D9BC"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r>
      <w:tr w:rsidR="0060589D" w:rsidRPr="00286F6D" w14:paraId="643A9BF3" w14:textId="77777777" w:rsidTr="00567A4B">
        <w:tc>
          <w:tcPr>
            <w:tcW w:w="1648" w:type="pct"/>
            <w:hideMark/>
          </w:tcPr>
          <w:p w14:paraId="750405DE" w14:textId="77777777" w:rsidR="0060589D" w:rsidRDefault="0060589D" w:rsidP="00444F7B">
            <w:pPr>
              <w:pStyle w:val="Tabletext"/>
              <w:spacing w:before="0" w:after="0"/>
              <w:rPr>
                <w:rStyle w:val="label"/>
                <w:color w:val="000000" w:themeColor="text1"/>
              </w:rPr>
            </w:pPr>
            <w:r w:rsidRPr="00286F6D">
              <w:rPr>
                <w:rStyle w:val="label"/>
                <w:color w:val="000000" w:themeColor="text1"/>
              </w:rPr>
              <w:t>Infection</w:t>
            </w:r>
          </w:p>
          <w:p w14:paraId="36621AF2" w14:textId="77777777" w:rsidR="0060589D" w:rsidRPr="00286F6D" w:rsidRDefault="0060589D" w:rsidP="00444F7B">
            <w:pPr>
              <w:pStyle w:val="Tabletext"/>
              <w:spacing w:before="0" w:after="0"/>
              <w:rPr>
                <w:color w:val="000000" w:themeColor="text1"/>
              </w:rPr>
            </w:pPr>
            <w:r>
              <w:rPr>
                <w:rStyle w:val="label"/>
                <w:color w:val="000000" w:themeColor="text1"/>
              </w:rPr>
              <w:t>A</w:t>
            </w:r>
            <w:r w:rsidRPr="00286F6D">
              <w:rPr>
                <w:rStyle w:val="label"/>
                <w:color w:val="000000" w:themeColor="text1"/>
              </w:rPr>
              <w:t xml:space="preserve">ssessed with </w:t>
            </w:r>
            <w:r>
              <w:rPr>
                <w:rStyle w:val="label"/>
                <w:color w:val="000000" w:themeColor="text1"/>
              </w:rPr>
              <w:t>l</w:t>
            </w:r>
            <w:r w:rsidRPr="00286F6D">
              <w:rPr>
                <w:rStyle w:val="label"/>
                <w:color w:val="000000" w:themeColor="text1"/>
              </w:rPr>
              <w:t>ocal signs of infection</w:t>
            </w:r>
            <w:r>
              <w:rPr>
                <w:rStyle w:val="label"/>
                <w:color w:val="000000" w:themeColor="text1"/>
              </w:rPr>
              <w:t xml:space="preserve"> </w:t>
            </w:r>
            <w:r w:rsidRPr="00286F6D">
              <w:rPr>
                <w:rStyle w:val="label"/>
                <w:color w:val="000000" w:themeColor="text1"/>
              </w:rPr>
              <w:t>(oedema, redness, discharge, odour</w:t>
            </w:r>
            <w:r>
              <w:rPr>
                <w:rStyle w:val="label"/>
                <w:color w:val="000000" w:themeColor="text1"/>
              </w:rPr>
              <w:t>,</w:t>
            </w:r>
            <w:r w:rsidRPr="00286F6D">
              <w:rPr>
                <w:rStyle w:val="label"/>
                <w:color w:val="000000" w:themeColor="text1"/>
              </w:rPr>
              <w:t xml:space="preserve"> irritation)</w:t>
            </w:r>
            <w:r>
              <w:rPr>
                <w:rStyle w:val="label"/>
                <w:color w:val="000000" w:themeColor="text1"/>
              </w:rPr>
              <w:t>, s</w:t>
            </w:r>
            <w:r w:rsidRPr="00286F6D">
              <w:rPr>
                <w:rStyle w:val="label"/>
                <w:color w:val="000000" w:themeColor="text1"/>
              </w:rPr>
              <w:t xml:space="preserve">ystemic signs of infection </w:t>
            </w:r>
            <w:r>
              <w:rPr>
                <w:rStyle w:val="label"/>
                <w:color w:val="000000" w:themeColor="text1"/>
              </w:rPr>
              <w:t>(</w:t>
            </w:r>
            <w:r w:rsidRPr="00286F6D">
              <w:rPr>
                <w:rStyle w:val="label"/>
                <w:color w:val="000000" w:themeColor="text1"/>
              </w:rPr>
              <w:t>fever, tachycardia</w:t>
            </w:r>
            <w:r>
              <w:rPr>
                <w:rStyle w:val="label"/>
                <w:color w:val="000000" w:themeColor="text1"/>
              </w:rPr>
              <w:t xml:space="preserve">, </w:t>
            </w:r>
            <w:r w:rsidRPr="00286F6D">
              <w:rPr>
                <w:rStyle w:val="label"/>
                <w:color w:val="000000" w:themeColor="text1"/>
              </w:rPr>
              <w:t>blood leucocyte count</w:t>
            </w:r>
            <w:r>
              <w:t>)</w:t>
            </w:r>
          </w:p>
        </w:tc>
        <w:tc>
          <w:tcPr>
            <w:tcW w:w="319" w:type="pct"/>
            <w:hideMark/>
          </w:tcPr>
          <w:p w14:paraId="6CB09525" w14:textId="77777777" w:rsidR="0060589D" w:rsidRPr="00286F6D" w:rsidRDefault="0060589D" w:rsidP="00444F7B">
            <w:pPr>
              <w:pStyle w:val="Tabletext"/>
              <w:spacing w:before="0" w:after="0"/>
              <w:rPr>
                <w:color w:val="000000" w:themeColor="text1"/>
              </w:rPr>
            </w:pPr>
            <w:r w:rsidRPr="00286F6D">
              <w:rPr>
                <w:color w:val="000000" w:themeColor="text1"/>
              </w:rPr>
              <w:t>128</w:t>
            </w:r>
            <w:r w:rsidRPr="00286F6D">
              <w:rPr>
                <w:color w:val="000000" w:themeColor="text1"/>
              </w:rPr>
              <w:br/>
              <w:t xml:space="preserve">(3 RCTs) </w:t>
            </w:r>
          </w:p>
        </w:tc>
        <w:tc>
          <w:tcPr>
            <w:tcW w:w="627" w:type="pct"/>
            <w:hideMark/>
          </w:tcPr>
          <w:p w14:paraId="4D56A779" w14:textId="77777777" w:rsidR="0060589D" w:rsidRDefault="0060589D" w:rsidP="00444F7B">
            <w:pPr>
              <w:pStyle w:val="Tabletext"/>
              <w:spacing w:before="0" w:after="0"/>
              <w:rPr>
                <w:rFonts w:ascii="Cambria Math" w:hAnsi="Cambria Math" w:cs="Cambria Math"/>
                <w:color w:val="C00000"/>
              </w:rPr>
            </w:pPr>
            <w:r w:rsidRPr="00B71A84">
              <w:rPr>
                <w:rFonts w:ascii="Cambria Math" w:hAnsi="Cambria Math"/>
                <w:color w:val="00B050"/>
              </w:rPr>
              <w:t>⨁⨁</w:t>
            </w:r>
            <w:r w:rsidRPr="00B71A84">
              <w:rPr>
                <w:rFonts w:ascii="Cambria Math" w:hAnsi="Cambria Math" w:cs="Cambria Math"/>
                <w:color w:val="C00000"/>
              </w:rPr>
              <w:t>⨀⨀</w:t>
            </w:r>
          </w:p>
          <w:p w14:paraId="1063B0B1" w14:textId="77777777" w:rsidR="0060589D" w:rsidRPr="00286F6D" w:rsidRDefault="0060589D" w:rsidP="00444F7B">
            <w:pPr>
              <w:pStyle w:val="Tabletext"/>
              <w:spacing w:before="0" w:after="0"/>
              <w:rPr>
                <w:color w:val="000000" w:themeColor="text1"/>
              </w:rPr>
            </w:pPr>
            <w:r w:rsidRPr="00286F6D">
              <w:rPr>
                <w:rStyle w:val="quality-text"/>
                <w:color w:val="000000" w:themeColor="text1"/>
              </w:rPr>
              <w:t>LOW</w:t>
            </w:r>
            <w:r w:rsidRPr="00286F6D">
              <w:rPr>
                <w:color w:val="000000" w:themeColor="text1"/>
              </w:rPr>
              <w:t xml:space="preserve"> </w:t>
            </w:r>
            <w:proofErr w:type="spellStart"/>
            <w:r w:rsidRPr="00286F6D">
              <w:rPr>
                <w:color w:val="000000" w:themeColor="text1"/>
                <w:vertAlign w:val="superscript"/>
              </w:rPr>
              <w:t>f</w:t>
            </w:r>
            <w:r w:rsidRPr="00286F6D">
              <w:rPr>
                <w:rStyle w:val="comma"/>
                <w:color w:val="000000" w:themeColor="text1"/>
                <w:vertAlign w:val="superscript"/>
              </w:rPr>
              <w:t>,</w:t>
            </w:r>
            <w:r w:rsidRPr="00286F6D">
              <w:rPr>
                <w:color w:val="000000" w:themeColor="text1"/>
                <w:vertAlign w:val="superscript"/>
              </w:rPr>
              <w:t>g</w:t>
            </w:r>
            <w:r w:rsidRPr="00286F6D">
              <w:rPr>
                <w:rStyle w:val="comma"/>
                <w:color w:val="000000" w:themeColor="text1"/>
                <w:vertAlign w:val="superscript"/>
              </w:rPr>
              <w:t>,</w:t>
            </w:r>
            <w:r w:rsidRPr="00286F6D">
              <w:rPr>
                <w:color w:val="000000" w:themeColor="text1"/>
                <w:vertAlign w:val="superscript"/>
              </w:rPr>
              <w:t>h</w:t>
            </w:r>
            <w:proofErr w:type="spellEnd"/>
          </w:p>
        </w:tc>
        <w:tc>
          <w:tcPr>
            <w:tcW w:w="626" w:type="pct"/>
            <w:hideMark/>
          </w:tcPr>
          <w:p w14:paraId="5B7E20B5" w14:textId="77777777" w:rsidR="0060589D" w:rsidRPr="00286F6D" w:rsidRDefault="0060589D" w:rsidP="00444F7B">
            <w:pPr>
              <w:pStyle w:val="Tabletext"/>
              <w:spacing w:before="0" w:after="0"/>
              <w:rPr>
                <w:color w:val="000000" w:themeColor="text1"/>
              </w:rPr>
            </w:pPr>
            <w:r w:rsidRPr="00286F6D">
              <w:rPr>
                <w:rStyle w:val="cell"/>
                <w:color w:val="000000" w:themeColor="text1"/>
              </w:rPr>
              <w:t>-</w:t>
            </w:r>
            <w:r w:rsidRPr="00286F6D">
              <w:rPr>
                <w:color w:val="000000" w:themeColor="text1"/>
              </w:rPr>
              <w:t xml:space="preserve"> </w:t>
            </w:r>
          </w:p>
        </w:tc>
        <w:tc>
          <w:tcPr>
            <w:tcW w:w="865" w:type="pct"/>
            <w:hideMark/>
          </w:tcPr>
          <w:p w14:paraId="10B9B89E"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c>
          <w:tcPr>
            <w:tcW w:w="914" w:type="pct"/>
            <w:hideMark/>
          </w:tcPr>
          <w:p w14:paraId="3FEC385A" w14:textId="77777777" w:rsidR="0060589D" w:rsidRPr="00286F6D" w:rsidRDefault="0060589D" w:rsidP="00444F7B">
            <w:pPr>
              <w:pStyle w:val="Tabletext"/>
              <w:spacing w:before="0" w:after="0"/>
              <w:rPr>
                <w:color w:val="000000" w:themeColor="text1"/>
              </w:rPr>
            </w:pPr>
            <w:r w:rsidRPr="00286F6D">
              <w:rPr>
                <w:rStyle w:val="cell"/>
                <w:color w:val="000000" w:themeColor="text1"/>
              </w:rPr>
              <w:t>not pooled</w:t>
            </w:r>
            <w:r w:rsidRPr="00286F6D">
              <w:rPr>
                <w:color w:val="000000" w:themeColor="text1"/>
              </w:rPr>
              <w:t xml:space="preserve"> </w:t>
            </w:r>
          </w:p>
        </w:tc>
      </w:tr>
    </w:tbl>
    <w:p w14:paraId="377DAF84" w14:textId="77777777" w:rsidR="0060589D" w:rsidRDefault="0060589D" w:rsidP="00AB5515">
      <w:pPr>
        <w:pStyle w:val="Tablenotes"/>
      </w:pPr>
      <w:r>
        <w:t>Source: Table 44, p115 of the DCAR</w:t>
      </w:r>
    </w:p>
    <w:p w14:paraId="6BC3268E" w14:textId="77777777" w:rsidR="0060589D" w:rsidRPr="005E097B" w:rsidRDefault="0060589D" w:rsidP="00AB5515">
      <w:pPr>
        <w:pStyle w:val="Tablenotes"/>
      </w:pPr>
      <w:r w:rsidRPr="005E097B">
        <w:t>Explanations</w:t>
      </w:r>
    </w:p>
    <w:p w14:paraId="38AAF9FE" w14:textId="77777777" w:rsidR="0060589D" w:rsidRPr="00286F6D" w:rsidRDefault="0060589D" w:rsidP="00AB5515">
      <w:pPr>
        <w:pStyle w:val="Tablenotes"/>
      </w:pPr>
      <w:r w:rsidRPr="00286F6D">
        <w:t xml:space="preserve">a. Bias arising from measurement of the outcome and selection of the reported results </w:t>
      </w:r>
    </w:p>
    <w:p w14:paraId="1245480A" w14:textId="77777777" w:rsidR="0060589D" w:rsidRPr="00286F6D" w:rsidRDefault="0060589D" w:rsidP="00AB5515">
      <w:pPr>
        <w:pStyle w:val="Tablenotes"/>
      </w:pPr>
      <w:r w:rsidRPr="00286F6D">
        <w:t xml:space="preserve">b. Some concerns relevant to randomisation process and bias due to deviations from intended intervention. </w:t>
      </w:r>
    </w:p>
    <w:p w14:paraId="06E9550B" w14:textId="77777777" w:rsidR="0060589D" w:rsidRPr="00286F6D" w:rsidRDefault="0060589D" w:rsidP="00AB5515">
      <w:pPr>
        <w:pStyle w:val="Tablenotes"/>
      </w:pPr>
      <w:r w:rsidRPr="00286F6D">
        <w:t xml:space="preserve">c. Small sample sizes recruited across the RCTs </w:t>
      </w:r>
    </w:p>
    <w:p w14:paraId="40703D52" w14:textId="77777777" w:rsidR="0060589D" w:rsidRPr="00286F6D" w:rsidRDefault="0060589D" w:rsidP="00AB5515">
      <w:pPr>
        <w:pStyle w:val="Tablenotes"/>
      </w:pPr>
      <w:r w:rsidRPr="00286F6D">
        <w:t xml:space="preserve">d. High risk of bias arising from randomisation process, measurement of the outcome, and selection of the reported outcome. </w:t>
      </w:r>
    </w:p>
    <w:p w14:paraId="2CED40B7" w14:textId="77777777" w:rsidR="0060589D" w:rsidRPr="00286F6D" w:rsidRDefault="0060589D" w:rsidP="00AB5515">
      <w:pPr>
        <w:pStyle w:val="Tablenotes"/>
      </w:pPr>
      <w:r w:rsidRPr="00286F6D">
        <w:t xml:space="preserve">e. High risk of bias arising from randomisation process, measurement of the outcome, and selection of the reported outcome. </w:t>
      </w:r>
    </w:p>
    <w:p w14:paraId="24D882BA" w14:textId="77777777" w:rsidR="0060589D" w:rsidRPr="00286F6D" w:rsidRDefault="0060589D" w:rsidP="00AB5515">
      <w:pPr>
        <w:pStyle w:val="Tablenotes"/>
      </w:pPr>
      <w:r w:rsidRPr="00286F6D">
        <w:t xml:space="preserve">f. High risk of bias arising from measurement of the outcome and selection of the reported outcome. </w:t>
      </w:r>
    </w:p>
    <w:p w14:paraId="211BCFAC" w14:textId="77777777" w:rsidR="0060589D" w:rsidRPr="00286F6D" w:rsidRDefault="0060589D" w:rsidP="00AB5515">
      <w:pPr>
        <w:pStyle w:val="Tablenotes"/>
      </w:pPr>
      <w:r w:rsidRPr="00286F6D">
        <w:t>g. Some concerns relevant to randomisation process</w:t>
      </w:r>
      <w:r>
        <w:t xml:space="preserve">, missing outcome data, and </w:t>
      </w:r>
      <w:r w:rsidRPr="00286F6D">
        <w:t xml:space="preserve">deviations from intended intervention. </w:t>
      </w:r>
    </w:p>
    <w:p w14:paraId="269EE179" w14:textId="71B6176A" w:rsidR="00AB5515" w:rsidRDefault="0060589D" w:rsidP="00AB5515">
      <w:pPr>
        <w:pStyle w:val="Tablenotes"/>
      </w:pPr>
      <w:r w:rsidRPr="00286F6D">
        <w:t xml:space="preserve">h. Small sample sizes recruited across the RCTs. </w:t>
      </w:r>
      <w:r w:rsidR="00AB5515">
        <w:br w:type="page"/>
      </w:r>
    </w:p>
    <w:p w14:paraId="383C93EF" w14:textId="77777777" w:rsidR="0060589D" w:rsidRDefault="0060589D" w:rsidP="0060589D">
      <w:pPr>
        <w:pStyle w:val="Heading2"/>
      </w:pPr>
      <w:r>
        <w:lastRenderedPageBreak/>
        <w:t>Clinical claim</w:t>
      </w:r>
    </w:p>
    <w:p w14:paraId="0703FB6A" w14:textId="77777777" w:rsidR="0060589D" w:rsidRPr="00D32A43" w:rsidRDefault="0060589D" w:rsidP="0060589D">
      <w:r>
        <w:t xml:space="preserve">The applicant made the </w:t>
      </w:r>
      <w:r w:rsidRPr="00D32A43">
        <w:t xml:space="preserve">following clinical claims </w:t>
      </w:r>
      <w:r>
        <w:t>about</w:t>
      </w:r>
      <w:r w:rsidRPr="00D32A43">
        <w:t xml:space="preserve"> AM uses: </w:t>
      </w:r>
    </w:p>
    <w:p w14:paraId="3ED0BED7" w14:textId="77777777" w:rsidR="0060589D" w:rsidRPr="00D32A43" w:rsidRDefault="0060589D" w:rsidP="0060589D">
      <w:pPr>
        <w:pStyle w:val="ListParagraph"/>
        <w:numPr>
          <w:ilvl w:val="0"/>
          <w:numId w:val="17"/>
        </w:numPr>
      </w:pPr>
      <w:r w:rsidRPr="00D32A43">
        <w:t xml:space="preserve">Cryopreserved </w:t>
      </w:r>
      <w:r>
        <w:t>AM</w:t>
      </w:r>
      <w:r w:rsidRPr="00D32A43">
        <w:t xml:space="preserve"> may have better efficacy than dehydrated</w:t>
      </w:r>
      <w:r>
        <w:t>.</w:t>
      </w:r>
    </w:p>
    <w:p w14:paraId="693613D2" w14:textId="77777777" w:rsidR="0060589D" w:rsidRPr="00D32A43" w:rsidRDefault="0060589D" w:rsidP="0060589D">
      <w:pPr>
        <w:pStyle w:val="ListParagraph"/>
        <w:numPr>
          <w:ilvl w:val="0"/>
          <w:numId w:val="17"/>
        </w:numPr>
      </w:pPr>
      <w:r w:rsidRPr="00D32A43">
        <w:t xml:space="preserve">Cryopreserved </w:t>
      </w:r>
      <w:r>
        <w:t>AM</w:t>
      </w:r>
      <w:r w:rsidRPr="00D32A43">
        <w:t xml:space="preserve"> is non-inferior to other forms of </w:t>
      </w:r>
      <w:r>
        <w:t>AM.</w:t>
      </w:r>
    </w:p>
    <w:p w14:paraId="5AA357B3" w14:textId="77777777" w:rsidR="0060589D" w:rsidRDefault="0060589D" w:rsidP="0060589D">
      <w:pPr>
        <w:pStyle w:val="ListParagraph"/>
        <w:numPr>
          <w:ilvl w:val="0"/>
          <w:numId w:val="17"/>
        </w:numPr>
        <w:rPr>
          <w:u w:color="FF0000"/>
        </w:rPr>
      </w:pPr>
      <w:r>
        <w:rPr>
          <w:u w:color="FF0000"/>
        </w:rPr>
        <w:t>For Population 1 and 2, compared to SOC, AM has</w:t>
      </w:r>
      <w:r w:rsidRPr="00935333">
        <w:rPr>
          <w:u w:color="FF0000"/>
        </w:rPr>
        <w:t xml:space="preserve"> superior for effectiveness and non-inferior for safety</w:t>
      </w:r>
      <w:r>
        <w:rPr>
          <w:u w:color="FF0000"/>
        </w:rPr>
        <w:t>.</w:t>
      </w:r>
    </w:p>
    <w:p w14:paraId="476843E5" w14:textId="77777777" w:rsidR="0060589D" w:rsidRDefault="0060589D" w:rsidP="0060589D">
      <w:pPr>
        <w:pStyle w:val="ListParagraph"/>
        <w:numPr>
          <w:ilvl w:val="0"/>
          <w:numId w:val="17"/>
        </w:numPr>
        <w:rPr>
          <w:u w:color="FF0000"/>
        </w:rPr>
      </w:pPr>
      <w:r>
        <w:rPr>
          <w:u w:color="FF0000"/>
        </w:rPr>
        <w:t>For Population 3, compared to SOC, AM has</w:t>
      </w:r>
      <w:r w:rsidRPr="00935333">
        <w:rPr>
          <w:u w:color="FF0000"/>
        </w:rPr>
        <w:t xml:space="preserve"> </w:t>
      </w:r>
      <w:r>
        <w:rPr>
          <w:u w:color="FF0000"/>
        </w:rPr>
        <w:t>non-inferior</w:t>
      </w:r>
      <w:r w:rsidRPr="00935333">
        <w:rPr>
          <w:u w:color="FF0000"/>
        </w:rPr>
        <w:t xml:space="preserve"> for effectiveness and non-inferior for safety</w:t>
      </w:r>
      <w:r>
        <w:rPr>
          <w:u w:color="FF0000"/>
        </w:rPr>
        <w:t>.</w:t>
      </w:r>
    </w:p>
    <w:p w14:paraId="03D1F3FA" w14:textId="44AEE8DE" w:rsidR="0060589D" w:rsidRDefault="0060589D" w:rsidP="00AB5515">
      <w:pPr>
        <w:spacing w:before="240"/>
      </w:pPr>
      <w:r>
        <w:t>The DCAR noted a lack of direct evidence comparing AM with the PICO defined comparator prevented the assessment of the first two clinical claims.</w:t>
      </w:r>
    </w:p>
    <w:p w14:paraId="3CD4B662" w14:textId="28B6E922" w:rsidR="0060589D" w:rsidRDefault="0060589D" w:rsidP="00AB5515">
      <w:pPr>
        <w:spacing w:before="240"/>
      </w:pPr>
      <w:r w:rsidRPr="00075B5F">
        <w:t>On the basis of the evidence profile</w:t>
      </w:r>
      <w:r>
        <w:t xml:space="preserve"> (discussed above)</w:t>
      </w:r>
      <w:r w:rsidRPr="00075B5F">
        <w:t>, it is suggested</w:t>
      </w:r>
      <w:r w:rsidRPr="00A025DE">
        <w:t xml:space="preserve"> that, relative to SOC</w:t>
      </w:r>
      <w:r>
        <w:t>:</w:t>
      </w:r>
    </w:p>
    <w:p w14:paraId="4765AB7D" w14:textId="77777777" w:rsidR="0060589D" w:rsidRDefault="0060589D" w:rsidP="0060589D">
      <w:pPr>
        <w:pStyle w:val="ListParagraph"/>
        <w:numPr>
          <w:ilvl w:val="0"/>
          <w:numId w:val="18"/>
        </w:numPr>
      </w:pPr>
      <w:r>
        <w:t>for Population 1, AM</w:t>
      </w:r>
      <w:r w:rsidRPr="00A025DE">
        <w:t xml:space="preserve"> safety and effectiveness are uncertain</w:t>
      </w:r>
      <w:r>
        <w:t xml:space="preserve">, </w:t>
      </w:r>
    </w:p>
    <w:p w14:paraId="2270A4BE" w14:textId="77777777" w:rsidR="0060589D" w:rsidRDefault="0060589D" w:rsidP="0060589D">
      <w:pPr>
        <w:pStyle w:val="ListParagraph"/>
        <w:numPr>
          <w:ilvl w:val="0"/>
          <w:numId w:val="18"/>
        </w:numPr>
      </w:pPr>
      <w:r>
        <w:t xml:space="preserve">for Population 2, AM has uncertain safety and superior effectiveness, and </w:t>
      </w:r>
    </w:p>
    <w:p w14:paraId="566CC7B1" w14:textId="77777777" w:rsidR="0060589D" w:rsidRPr="00B02E35" w:rsidRDefault="0060589D" w:rsidP="0060589D">
      <w:pPr>
        <w:pStyle w:val="ListParagraph"/>
        <w:numPr>
          <w:ilvl w:val="0"/>
          <w:numId w:val="18"/>
        </w:numPr>
      </w:pPr>
      <w:proofErr w:type="gramStart"/>
      <w:r>
        <w:t>for</w:t>
      </w:r>
      <w:proofErr w:type="gramEnd"/>
      <w:r>
        <w:t xml:space="preserve"> Population 3, </w:t>
      </w:r>
      <w:r w:rsidRPr="00C845DF">
        <w:t xml:space="preserve">AM has superior safety and </w:t>
      </w:r>
      <w:r>
        <w:t>effectiveness compared with SOC</w:t>
      </w:r>
      <w:r w:rsidRPr="00C845DF">
        <w:t>.</w:t>
      </w:r>
    </w:p>
    <w:p w14:paraId="2635B3C2" w14:textId="77777777" w:rsidR="00BC1364" w:rsidRPr="00F715D1" w:rsidRDefault="00BC1364" w:rsidP="00F715D1">
      <w:pPr>
        <w:pStyle w:val="Heading1"/>
      </w:pPr>
      <w:r w:rsidRPr="00F715D1">
        <w:t>Economic evaluation</w:t>
      </w:r>
    </w:p>
    <w:p w14:paraId="753DE6E0" w14:textId="4BA801E9" w:rsidR="009218F1" w:rsidRDefault="009218F1" w:rsidP="009218F1">
      <w:r>
        <w:t>The DCAR noted that AM can be applied to a wide range of indications across many different patient populations and subgroups of indications. Due the complexity and the heterogeneity in the subpopulations within each of the three populations and concerns regarding the limitations and poor quality of data in Population 1 and 3, it was not considered feasible to the cost-effectiveness of AM with its comparator for all three populations. Based on the clinical evidence reviewed and clinician advice that the</w:t>
      </w:r>
      <w:r w:rsidRPr="00075B5F">
        <w:t xml:space="preserve"> use of AM to treat DFU (diabetic foot ulcers) as an area of considerable potential uptake in the event of PL listing</w:t>
      </w:r>
      <w:r>
        <w:t>, the DFU from P</w:t>
      </w:r>
      <w:r w:rsidRPr="00075B5F">
        <w:t>opulation 2 was considered the appropriate modelling target.</w:t>
      </w:r>
    </w:p>
    <w:p w14:paraId="4F857899" w14:textId="6C0971C8" w:rsidR="00AB5515" w:rsidRPr="00AB5515" w:rsidRDefault="009218F1" w:rsidP="00AB5515">
      <w:pPr>
        <w:spacing w:before="240"/>
      </w:pPr>
      <w:r>
        <w:t xml:space="preserve">A </w:t>
      </w:r>
      <w:r w:rsidRPr="00420E14">
        <w:t xml:space="preserve">cost-utility </w:t>
      </w:r>
      <w:r>
        <w:t>analysis (</w:t>
      </w:r>
      <w:r>
        <w:fldChar w:fldCharType="begin"/>
      </w:r>
      <w:r>
        <w:instrText xml:space="preserve"> REF _Ref58491496 \h </w:instrText>
      </w:r>
      <w:r>
        <w:fldChar w:fldCharType="separate"/>
      </w:r>
      <w:r w:rsidRPr="00DA39D5">
        <w:t xml:space="preserve">Table </w:t>
      </w:r>
      <w:r>
        <w:rPr>
          <w:noProof/>
        </w:rPr>
        <w:t>7</w:t>
      </w:r>
      <w:r>
        <w:fldChar w:fldCharType="end"/>
      </w:r>
      <w:r>
        <w:t>) was undertaken to compare AM to a SOC among DFU patients with failed treatment</w:t>
      </w:r>
      <w:r w:rsidRPr="00420E14">
        <w:t xml:space="preserve">. </w:t>
      </w:r>
      <w:r>
        <w:t>Key economic assumptions, including transition from uncomplicated DFUs to no DFUs were derived from healing rates in the four RCTs</w:t>
      </w:r>
      <w:r>
        <w:rPr>
          <w:rStyle w:val="FootnoteReference"/>
        </w:rPr>
        <w:footnoteReference w:id="4"/>
      </w:r>
      <w:r>
        <w:t xml:space="preserve"> with 12-week follow-up. Probabilities of infected DFUs transitioning to amputation and death were taken from the </w:t>
      </w:r>
      <w:r w:rsidRPr="003F643D">
        <w:t>Australian DFU model developed by Cheng and colleagues (Cheng et al. 2017</w:t>
      </w:r>
      <w:r>
        <w:rPr>
          <w:rStyle w:val="FootnoteReference"/>
        </w:rPr>
        <w:footnoteReference w:id="5"/>
      </w:r>
      <w:r w:rsidRPr="003F643D">
        <w:t>)</w:t>
      </w:r>
      <w:r>
        <w:t>.</w:t>
      </w:r>
      <w:bookmarkStart w:id="39" w:name="_Ref58491496"/>
      <w:bookmarkStart w:id="40" w:name="_Toc57024204"/>
      <w:bookmarkStart w:id="41" w:name="_Toc59311951"/>
      <w:r w:rsidR="00AB5515">
        <w:br w:type="page"/>
      </w:r>
    </w:p>
    <w:p w14:paraId="2321E393" w14:textId="03618705" w:rsidR="009218F1" w:rsidRDefault="009218F1" w:rsidP="00AB5515">
      <w:pPr>
        <w:pStyle w:val="Caption"/>
        <w:tabs>
          <w:tab w:val="left" w:pos="1134"/>
        </w:tabs>
        <w:spacing w:before="240"/>
      </w:pPr>
      <w:r w:rsidRPr="00DA39D5">
        <w:lastRenderedPageBreak/>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39"/>
      <w:r>
        <w:t xml:space="preserve"> </w:t>
      </w:r>
      <w:r w:rsidRPr="00DA39D5">
        <w:t>Summary</w:t>
      </w:r>
      <w:r w:rsidRPr="00183E4D">
        <w:t xml:space="preserve"> of the economic evaluation</w:t>
      </w:r>
      <w:bookmarkEnd w:id="40"/>
      <w:bookmarkEnd w:id="41"/>
      <w:r w:rsidRPr="00183E4D">
        <w:t xml:space="preserve"> </w:t>
      </w:r>
    </w:p>
    <w:tbl>
      <w:tblPr>
        <w:tblStyle w:val="OPTUMTableNormal"/>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689"/>
        <w:gridCol w:w="6327"/>
      </w:tblGrid>
      <w:tr w:rsidR="009218F1" w:rsidRPr="00DA39D5" w14:paraId="0B7100D2" w14:textId="77777777" w:rsidTr="00567A4B">
        <w:trPr>
          <w:cnfStyle w:val="100000000000" w:firstRow="1" w:lastRow="0" w:firstColumn="0" w:lastColumn="0" w:oddVBand="0" w:evenVBand="0" w:oddHBand="0" w:evenHBand="0" w:firstRowFirstColumn="0" w:firstRowLastColumn="0" w:lastRowFirstColumn="0" w:lastRowLastColumn="0"/>
          <w:trHeight w:val="20"/>
          <w:tblHeader/>
        </w:trPr>
        <w:tc>
          <w:tcPr>
            <w:tcW w:w="1491" w:type="pct"/>
          </w:tcPr>
          <w:p w14:paraId="66245086" w14:textId="77777777" w:rsidR="009218F1" w:rsidRPr="00DA39D5" w:rsidRDefault="009218F1" w:rsidP="00567A4B">
            <w:pPr>
              <w:pStyle w:val="Tabletext"/>
              <w:keepNext/>
              <w:rPr>
                <w:b/>
              </w:rPr>
            </w:pPr>
            <w:r w:rsidRPr="00DA39D5">
              <w:rPr>
                <w:b/>
              </w:rPr>
              <w:t>Perspective</w:t>
            </w:r>
          </w:p>
        </w:tc>
        <w:tc>
          <w:tcPr>
            <w:tcW w:w="3509" w:type="pct"/>
          </w:tcPr>
          <w:p w14:paraId="1A320185" w14:textId="77777777" w:rsidR="009218F1" w:rsidRPr="00DA39D5" w:rsidRDefault="009218F1" w:rsidP="00567A4B">
            <w:pPr>
              <w:pStyle w:val="Tabletext"/>
              <w:keepNext/>
              <w:rPr>
                <w:vanish/>
              </w:rPr>
            </w:pPr>
            <w:r w:rsidRPr="009A302E">
              <w:t>Health system</w:t>
            </w:r>
          </w:p>
        </w:tc>
      </w:tr>
      <w:tr w:rsidR="009218F1" w:rsidRPr="00DA39D5" w14:paraId="34CE430A" w14:textId="77777777" w:rsidTr="001F4142">
        <w:trPr>
          <w:trHeight w:val="20"/>
        </w:trPr>
        <w:tc>
          <w:tcPr>
            <w:tcW w:w="1491" w:type="pct"/>
          </w:tcPr>
          <w:p w14:paraId="09391FEE" w14:textId="77777777" w:rsidR="009218F1" w:rsidRPr="00DA39D5" w:rsidRDefault="009218F1" w:rsidP="00567A4B">
            <w:pPr>
              <w:pStyle w:val="Tabletext"/>
              <w:keepNext/>
              <w:rPr>
                <w:b/>
              </w:rPr>
            </w:pPr>
            <w:r>
              <w:rPr>
                <w:b/>
              </w:rPr>
              <w:t>Intervention</w:t>
            </w:r>
          </w:p>
        </w:tc>
        <w:tc>
          <w:tcPr>
            <w:tcW w:w="3509" w:type="pct"/>
          </w:tcPr>
          <w:p w14:paraId="6F8AA44E" w14:textId="77777777" w:rsidR="009218F1" w:rsidRPr="008C3671" w:rsidRDefault="009218F1" w:rsidP="00567A4B">
            <w:pPr>
              <w:pStyle w:val="Tabletext"/>
              <w:keepNext/>
            </w:pPr>
            <w:r w:rsidRPr="008C3671">
              <w:t>Amnion membrane tissue grafts</w:t>
            </w:r>
          </w:p>
        </w:tc>
      </w:tr>
      <w:tr w:rsidR="009218F1" w:rsidRPr="00DA39D5" w14:paraId="25CE8822" w14:textId="77777777" w:rsidTr="001F4142">
        <w:trPr>
          <w:trHeight w:val="20"/>
        </w:trPr>
        <w:tc>
          <w:tcPr>
            <w:tcW w:w="1491" w:type="pct"/>
          </w:tcPr>
          <w:p w14:paraId="67EEB677" w14:textId="77777777" w:rsidR="009218F1" w:rsidRPr="00DA39D5" w:rsidRDefault="009218F1" w:rsidP="001F4142">
            <w:pPr>
              <w:pStyle w:val="Tabletext"/>
              <w:rPr>
                <w:b/>
              </w:rPr>
            </w:pPr>
            <w:r w:rsidRPr="00DA39D5">
              <w:rPr>
                <w:b/>
              </w:rPr>
              <w:t>Comparator</w:t>
            </w:r>
          </w:p>
        </w:tc>
        <w:tc>
          <w:tcPr>
            <w:tcW w:w="3509" w:type="pct"/>
          </w:tcPr>
          <w:p w14:paraId="4BDAD948" w14:textId="77777777" w:rsidR="009218F1" w:rsidRPr="008C3671" w:rsidRDefault="009218F1" w:rsidP="001F4142">
            <w:pPr>
              <w:pStyle w:val="Tabletext"/>
            </w:pPr>
            <w:r w:rsidRPr="008C3671">
              <w:t xml:space="preserve">Standard </w:t>
            </w:r>
            <w:r>
              <w:t xml:space="preserve">of </w:t>
            </w:r>
            <w:r w:rsidRPr="008C3671">
              <w:t xml:space="preserve">care </w:t>
            </w:r>
          </w:p>
        </w:tc>
      </w:tr>
      <w:tr w:rsidR="009218F1" w:rsidRPr="00DA39D5" w14:paraId="2A21199E" w14:textId="77777777" w:rsidTr="001F4142">
        <w:trPr>
          <w:trHeight w:val="20"/>
        </w:trPr>
        <w:tc>
          <w:tcPr>
            <w:tcW w:w="1491" w:type="pct"/>
          </w:tcPr>
          <w:p w14:paraId="7F49462E" w14:textId="77777777" w:rsidR="009218F1" w:rsidRPr="00DA39D5" w:rsidRDefault="009218F1" w:rsidP="001F4142">
            <w:pPr>
              <w:pStyle w:val="Tabletext"/>
              <w:rPr>
                <w:b/>
              </w:rPr>
            </w:pPr>
            <w:r w:rsidRPr="00DA39D5">
              <w:rPr>
                <w:b/>
              </w:rPr>
              <w:t>Type of economic evaluation</w:t>
            </w:r>
          </w:p>
        </w:tc>
        <w:tc>
          <w:tcPr>
            <w:tcW w:w="3509" w:type="pct"/>
          </w:tcPr>
          <w:p w14:paraId="39165E01" w14:textId="77777777" w:rsidR="009218F1" w:rsidRPr="009A302E" w:rsidRDefault="009218F1" w:rsidP="001F4142">
            <w:pPr>
              <w:pStyle w:val="Tabletext"/>
            </w:pPr>
            <w:r>
              <w:t>Cost-utility analysis</w:t>
            </w:r>
          </w:p>
        </w:tc>
      </w:tr>
      <w:tr w:rsidR="009218F1" w:rsidRPr="00DA39D5" w14:paraId="5172F88D" w14:textId="77777777" w:rsidTr="001F4142">
        <w:trPr>
          <w:trHeight w:val="20"/>
        </w:trPr>
        <w:tc>
          <w:tcPr>
            <w:tcW w:w="1491" w:type="pct"/>
          </w:tcPr>
          <w:p w14:paraId="52E0804A" w14:textId="77777777" w:rsidR="009218F1" w:rsidRPr="00DA39D5" w:rsidRDefault="009218F1" w:rsidP="001F4142">
            <w:pPr>
              <w:pStyle w:val="Tabletext"/>
              <w:rPr>
                <w:b/>
              </w:rPr>
            </w:pPr>
            <w:r w:rsidRPr="00DA39D5">
              <w:rPr>
                <w:b/>
              </w:rPr>
              <w:t>Sources of evidence</w:t>
            </w:r>
          </w:p>
        </w:tc>
        <w:tc>
          <w:tcPr>
            <w:tcW w:w="3509" w:type="pct"/>
          </w:tcPr>
          <w:p w14:paraId="09A67213" w14:textId="77777777" w:rsidR="009218F1" w:rsidRPr="009A302E" w:rsidRDefault="009218F1" w:rsidP="001F4142">
            <w:pPr>
              <w:pStyle w:val="Tabletext"/>
            </w:pPr>
            <w:r>
              <w:t>RCTs for rates of healing, extrapolated analysis was based on the Cheng 2017 Australian DFU model</w:t>
            </w:r>
          </w:p>
        </w:tc>
      </w:tr>
      <w:tr w:rsidR="009218F1" w:rsidRPr="00DA39D5" w14:paraId="3B7FE960" w14:textId="77777777" w:rsidTr="001F4142">
        <w:trPr>
          <w:trHeight w:val="20"/>
        </w:trPr>
        <w:tc>
          <w:tcPr>
            <w:tcW w:w="1491" w:type="pct"/>
            <w:hideMark/>
          </w:tcPr>
          <w:p w14:paraId="42B61529" w14:textId="77777777" w:rsidR="009218F1" w:rsidRPr="00DA39D5" w:rsidRDefault="009218F1" w:rsidP="001F4142">
            <w:pPr>
              <w:pStyle w:val="Tabletext"/>
              <w:rPr>
                <w:b/>
              </w:rPr>
            </w:pPr>
            <w:r w:rsidRPr="00DA39D5">
              <w:rPr>
                <w:b/>
              </w:rPr>
              <w:t>Time horizon</w:t>
            </w:r>
          </w:p>
        </w:tc>
        <w:tc>
          <w:tcPr>
            <w:tcW w:w="3509" w:type="pct"/>
            <w:hideMark/>
          </w:tcPr>
          <w:p w14:paraId="5E569ADD" w14:textId="77777777" w:rsidR="009218F1" w:rsidRPr="009A302E" w:rsidRDefault="009218F1" w:rsidP="001F4142">
            <w:pPr>
              <w:pStyle w:val="Tabletext"/>
            </w:pPr>
            <w:r>
              <w:t>12 weeks trial, 260 weeks (5 years) extrapolated</w:t>
            </w:r>
          </w:p>
        </w:tc>
      </w:tr>
      <w:tr w:rsidR="009218F1" w:rsidRPr="00DA39D5" w14:paraId="45FAAC33" w14:textId="77777777" w:rsidTr="001F4142">
        <w:trPr>
          <w:trHeight w:val="20"/>
        </w:trPr>
        <w:tc>
          <w:tcPr>
            <w:tcW w:w="1491" w:type="pct"/>
            <w:hideMark/>
          </w:tcPr>
          <w:p w14:paraId="3528E097" w14:textId="77777777" w:rsidR="009218F1" w:rsidRPr="00DA39D5" w:rsidRDefault="009218F1" w:rsidP="001F4142">
            <w:pPr>
              <w:pStyle w:val="Tabletext"/>
              <w:rPr>
                <w:b/>
              </w:rPr>
            </w:pPr>
            <w:r w:rsidRPr="00DA39D5">
              <w:rPr>
                <w:b/>
              </w:rPr>
              <w:t>Outcomes</w:t>
            </w:r>
          </w:p>
        </w:tc>
        <w:tc>
          <w:tcPr>
            <w:tcW w:w="3509" w:type="pct"/>
          </w:tcPr>
          <w:p w14:paraId="7C3CDD17" w14:textId="77777777" w:rsidR="009218F1" w:rsidRPr="009A302E" w:rsidRDefault="009218F1" w:rsidP="001F4142">
            <w:pPr>
              <w:pStyle w:val="Tabletext"/>
            </w:pPr>
            <w:r w:rsidRPr="009A302E">
              <w:t>QALYs</w:t>
            </w:r>
          </w:p>
        </w:tc>
      </w:tr>
      <w:tr w:rsidR="009218F1" w:rsidRPr="00DA39D5" w14:paraId="19E8379C" w14:textId="77777777" w:rsidTr="001F4142">
        <w:trPr>
          <w:trHeight w:val="20"/>
        </w:trPr>
        <w:tc>
          <w:tcPr>
            <w:tcW w:w="1491" w:type="pct"/>
            <w:hideMark/>
          </w:tcPr>
          <w:p w14:paraId="3CACE949" w14:textId="77777777" w:rsidR="009218F1" w:rsidRPr="00DA39D5" w:rsidRDefault="009218F1" w:rsidP="001F4142">
            <w:pPr>
              <w:pStyle w:val="Tabletext"/>
              <w:rPr>
                <w:b/>
              </w:rPr>
            </w:pPr>
            <w:r w:rsidRPr="00DA39D5">
              <w:rPr>
                <w:b/>
              </w:rPr>
              <w:t>Methods used to generate results</w:t>
            </w:r>
          </w:p>
        </w:tc>
        <w:tc>
          <w:tcPr>
            <w:tcW w:w="3509" w:type="pct"/>
          </w:tcPr>
          <w:p w14:paraId="507E574E" w14:textId="77777777" w:rsidR="009218F1" w:rsidRPr="009A302E" w:rsidRDefault="009218F1" w:rsidP="001F4142">
            <w:pPr>
              <w:pStyle w:val="Tabletext"/>
            </w:pPr>
            <w:r>
              <w:t>Markov model</w:t>
            </w:r>
          </w:p>
        </w:tc>
      </w:tr>
      <w:tr w:rsidR="009218F1" w:rsidRPr="00DA39D5" w14:paraId="202D2F70" w14:textId="77777777" w:rsidTr="001F4142">
        <w:trPr>
          <w:trHeight w:val="20"/>
        </w:trPr>
        <w:tc>
          <w:tcPr>
            <w:tcW w:w="1491" w:type="pct"/>
          </w:tcPr>
          <w:p w14:paraId="7CAA2134" w14:textId="77777777" w:rsidR="009218F1" w:rsidRPr="00DA39D5" w:rsidRDefault="009218F1" w:rsidP="001F4142">
            <w:pPr>
              <w:pStyle w:val="Tabletext"/>
              <w:rPr>
                <w:b/>
              </w:rPr>
            </w:pPr>
            <w:r w:rsidRPr="00DA39D5">
              <w:rPr>
                <w:b/>
              </w:rPr>
              <w:t>Health states</w:t>
            </w:r>
          </w:p>
        </w:tc>
        <w:tc>
          <w:tcPr>
            <w:tcW w:w="3509" w:type="pct"/>
          </w:tcPr>
          <w:p w14:paraId="25C8B750" w14:textId="77777777" w:rsidR="009218F1" w:rsidRPr="009A302E" w:rsidRDefault="009218F1" w:rsidP="001F4142">
            <w:pPr>
              <w:pStyle w:val="Tabletext"/>
            </w:pPr>
            <w:r>
              <w:t>N</w:t>
            </w:r>
            <w:r w:rsidRPr="00B06997">
              <w:t>o DFU, uncomplicated DFU, complicated DFU with infection, post</w:t>
            </w:r>
            <w:r>
              <w:t>-</w:t>
            </w:r>
            <w:r w:rsidRPr="00B06997">
              <w:t>minor amputation, infected post</w:t>
            </w:r>
            <w:r>
              <w:t>-</w:t>
            </w:r>
            <w:r w:rsidRPr="00B06997">
              <w:t>minor amputation, post</w:t>
            </w:r>
            <w:r>
              <w:t>-</w:t>
            </w:r>
            <w:r w:rsidRPr="00B06997">
              <w:t>major amputation</w:t>
            </w:r>
            <w:r>
              <w:t>,</w:t>
            </w:r>
            <w:r w:rsidRPr="00B06997">
              <w:t xml:space="preserve"> dead</w:t>
            </w:r>
          </w:p>
        </w:tc>
      </w:tr>
      <w:tr w:rsidR="009218F1" w:rsidRPr="00DA39D5" w14:paraId="47512FD7" w14:textId="77777777" w:rsidTr="001F4142">
        <w:trPr>
          <w:trHeight w:val="20"/>
        </w:trPr>
        <w:tc>
          <w:tcPr>
            <w:tcW w:w="1491" w:type="pct"/>
            <w:hideMark/>
          </w:tcPr>
          <w:p w14:paraId="00819815" w14:textId="77777777" w:rsidR="009218F1" w:rsidRPr="00DA39D5" w:rsidRDefault="009218F1" w:rsidP="001F4142">
            <w:pPr>
              <w:pStyle w:val="Tabletext"/>
              <w:rPr>
                <w:b/>
              </w:rPr>
            </w:pPr>
            <w:r>
              <w:rPr>
                <w:b/>
              </w:rPr>
              <w:t>Cycle length</w:t>
            </w:r>
          </w:p>
        </w:tc>
        <w:tc>
          <w:tcPr>
            <w:tcW w:w="3509" w:type="pct"/>
          </w:tcPr>
          <w:p w14:paraId="06B4208B" w14:textId="77777777" w:rsidR="009218F1" w:rsidRPr="009A302E" w:rsidRDefault="009218F1" w:rsidP="001F4142">
            <w:pPr>
              <w:pStyle w:val="Tabletext"/>
            </w:pPr>
            <w:r>
              <w:t>1 week</w:t>
            </w:r>
          </w:p>
        </w:tc>
      </w:tr>
      <w:tr w:rsidR="009218F1" w:rsidRPr="00DA39D5" w14:paraId="39BF5EE8" w14:textId="77777777" w:rsidTr="001F4142">
        <w:trPr>
          <w:trHeight w:val="20"/>
        </w:trPr>
        <w:tc>
          <w:tcPr>
            <w:tcW w:w="1491" w:type="pct"/>
            <w:hideMark/>
          </w:tcPr>
          <w:p w14:paraId="10A52B0E" w14:textId="77777777" w:rsidR="009218F1" w:rsidRPr="00DA39D5" w:rsidRDefault="009218F1" w:rsidP="001F4142">
            <w:pPr>
              <w:pStyle w:val="Tabletext"/>
              <w:rPr>
                <w:b/>
              </w:rPr>
            </w:pPr>
            <w:r w:rsidRPr="00DA39D5">
              <w:rPr>
                <w:b/>
              </w:rPr>
              <w:t>Discount rate</w:t>
            </w:r>
          </w:p>
        </w:tc>
        <w:tc>
          <w:tcPr>
            <w:tcW w:w="3509" w:type="pct"/>
          </w:tcPr>
          <w:p w14:paraId="2B716F16" w14:textId="77777777" w:rsidR="009218F1" w:rsidRPr="009A302E" w:rsidRDefault="009218F1" w:rsidP="001F4142">
            <w:pPr>
              <w:pStyle w:val="Tabletext"/>
            </w:pPr>
            <w:r w:rsidRPr="009A302E">
              <w:t>5%</w:t>
            </w:r>
            <w:r>
              <w:t xml:space="preserve"> used for base, 3.5% and 7% sensitivity analyses</w:t>
            </w:r>
          </w:p>
        </w:tc>
      </w:tr>
      <w:tr w:rsidR="009218F1" w:rsidRPr="00DA39D5" w14:paraId="2BBB99AE" w14:textId="77777777" w:rsidTr="001F4142">
        <w:trPr>
          <w:trHeight w:val="20"/>
        </w:trPr>
        <w:tc>
          <w:tcPr>
            <w:tcW w:w="1491" w:type="pct"/>
            <w:hideMark/>
          </w:tcPr>
          <w:p w14:paraId="7DA8C1CB" w14:textId="77777777" w:rsidR="009218F1" w:rsidRPr="00DA39D5" w:rsidRDefault="009218F1" w:rsidP="001F4142">
            <w:pPr>
              <w:pStyle w:val="Tabletext"/>
              <w:rPr>
                <w:b/>
              </w:rPr>
            </w:pPr>
            <w:r w:rsidRPr="00DA39D5">
              <w:rPr>
                <w:b/>
              </w:rPr>
              <w:t>Software packages used</w:t>
            </w:r>
          </w:p>
        </w:tc>
        <w:tc>
          <w:tcPr>
            <w:tcW w:w="3509" w:type="pct"/>
          </w:tcPr>
          <w:p w14:paraId="4E1F8EF1" w14:textId="77777777" w:rsidR="009218F1" w:rsidRPr="009A302E" w:rsidRDefault="009218F1" w:rsidP="001F4142">
            <w:pPr>
              <w:pStyle w:val="Tabletext"/>
            </w:pPr>
            <w:r w:rsidRPr="009A302E">
              <w:t>Microsoft Excel 2010</w:t>
            </w:r>
          </w:p>
        </w:tc>
      </w:tr>
    </w:tbl>
    <w:p w14:paraId="570371CA" w14:textId="77777777" w:rsidR="009218F1" w:rsidRPr="00767375" w:rsidRDefault="009218F1" w:rsidP="00AB5515">
      <w:pPr>
        <w:pStyle w:val="Tablenotes"/>
      </w:pPr>
      <w:r w:rsidRPr="00767375">
        <w:t>Source: Table 4, p12 of the DCAR</w:t>
      </w:r>
    </w:p>
    <w:p w14:paraId="3A313A75" w14:textId="77777777" w:rsidR="009218F1" w:rsidRPr="00C46160" w:rsidRDefault="009218F1" w:rsidP="00AB5515">
      <w:pPr>
        <w:pStyle w:val="Tablenotes"/>
      </w:pPr>
      <w:r w:rsidRPr="00767375">
        <w:t>Abbreviations:</w:t>
      </w:r>
      <w:r w:rsidRPr="00C46160">
        <w:t xml:space="preserve"> QALY = quality-adjusted life year</w:t>
      </w:r>
      <w:r>
        <w:t>; RCT = randomised controlled trial; DFU = diabetic foot ulcer</w:t>
      </w:r>
    </w:p>
    <w:p w14:paraId="47DFF1DB" w14:textId="0046CD2E" w:rsidR="009218F1" w:rsidRDefault="009218F1" w:rsidP="00AB5515">
      <w:pPr>
        <w:spacing w:before="240"/>
      </w:pPr>
      <w:r>
        <w:t>The DCAR estimated resource use for AM and SOC in the model following clinical input during the assessment and use of MBS and PBS costs for key items. Hospital costs were taken from the AR-DRG costs relating to minor and major amputation, along with complicated DFU treatment. Utility estimates for each health state were derived from a review of the literature. The i</w:t>
      </w:r>
      <w:r w:rsidRPr="00437040">
        <w:t xml:space="preserve">ncremental cost and the incremental </w:t>
      </w:r>
      <w:r w:rsidRPr="004533EF">
        <w:t>effectiveness of AM compared to S</w:t>
      </w:r>
      <w:r>
        <w:t>O</w:t>
      </w:r>
      <w:r w:rsidRPr="004533EF">
        <w:t>C are</w:t>
      </w:r>
      <w:r>
        <w:t xml:space="preserve"> presented in </w:t>
      </w:r>
      <w:r>
        <w:fldChar w:fldCharType="begin"/>
      </w:r>
      <w:r>
        <w:instrText xml:space="preserve"> REF _Ref63683347 \h </w:instrText>
      </w:r>
      <w:r>
        <w:fldChar w:fldCharType="separate"/>
      </w:r>
      <w:r w:rsidRPr="003A4D8B">
        <w:t xml:space="preserve">Table </w:t>
      </w:r>
      <w:r>
        <w:rPr>
          <w:noProof/>
        </w:rPr>
        <w:t>8</w:t>
      </w:r>
      <w:r>
        <w:fldChar w:fldCharType="end"/>
      </w:r>
      <w:r>
        <w:fldChar w:fldCharType="begin"/>
      </w:r>
      <w:r>
        <w:instrText xml:space="preserve"> REF _Ref492926630 \h  \* MERGEFORMAT </w:instrText>
      </w:r>
      <w:r>
        <w:fldChar w:fldCharType="end"/>
      </w:r>
      <w:r w:rsidRPr="00437040">
        <w:t>.</w:t>
      </w:r>
    </w:p>
    <w:p w14:paraId="52443057" w14:textId="0B8BBA5B" w:rsidR="009218F1" w:rsidRDefault="009218F1" w:rsidP="00AB5515">
      <w:pPr>
        <w:pStyle w:val="Caption"/>
        <w:spacing w:before="240"/>
      </w:pPr>
      <w:bookmarkStart w:id="42" w:name="_Ref63683347"/>
      <w:bookmarkStart w:id="43" w:name="_Toc58917177"/>
      <w:bookmarkStart w:id="44" w:name="_Toc59311952"/>
      <w:r w:rsidRPr="003A4D8B">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42"/>
      <w:r>
        <w:rPr>
          <w:noProof/>
        </w:rPr>
        <w:t xml:space="preserve"> </w:t>
      </w:r>
      <w:r>
        <w:t>Incremental c</w:t>
      </w:r>
      <w:r w:rsidRPr="003A4D8B">
        <w:t xml:space="preserve">ost </w:t>
      </w:r>
      <w:r>
        <w:t>effectiveness r</w:t>
      </w:r>
      <w:r w:rsidRPr="003A4D8B">
        <w:t>atio</w:t>
      </w:r>
      <w:bookmarkEnd w:id="43"/>
      <w:bookmarkEnd w:id="44"/>
      <w:r w:rsidRPr="00183E4D">
        <w:t xml:space="preserve"> </w:t>
      </w:r>
    </w:p>
    <w:tbl>
      <w:tblPr>
        <w:tblStyle w:val="OPTUMTableNormal"/>
        <w:tblW w:w="5000" w:type="pct"/>
        <w:tblLook w:val="04A0" w:firstRow="1" w:lastRow="0" w:firstColumn="1" w:lastColumn="0" w:noHBand="0" w:noVBand="1"/>
        <w:tblCaption w:val="Table 8 Incremental cost effectiveness ratio "/>
      </w:tblPr>
      <w:tblGrid>
        <w:gridCol w:w="2790"/>
        <w:gridCol w:w="1186"/>
        <w:gridCol w:w="1165"/>
        <w:gridCol w:w="1302"/>
        <w:gridCol w:w="1388"/>
        <w:gridCol w:w="1185"/>
      </w:tblGrid>
      <w:tr w:rsidR="009218F1" w:rsidRPr="00EE5D24" w14:paraId="59437D06" w14:textId="77777777" w:rsidTr="00567A4B">
        <w:trPr>
          <w:cnfStyle w:val="100000000000" w:firstRow="1" w:lastRow="0" w:firstColumn="0" w:lastColumn="0" w:oddVBand="0" w:evenVBand="0" w:oddHBand="0" w:evenHBand="0" w:firstRowFirstColumn="0" w:firstRowLastColumn="0" w:lastRowFirstColumn="0" w:lastRowLastColumn="0"/>
          <w:trHeight w:val="20"/>
          <w:tblHeader/>
        </w:trPr>
        <w:tc>
          <w:tcPr>
            <w:tcW w:w="1554" w:type="pct"/>
            <w:hideMark/>
          </w:tcPr>
          <w:p w14:paraId="1CFF6A13" w14:textId="77777777" w:rsidR="009218F1" w:rsidRPr="00EE5D24" w:rsidRDefault="009218F1" w:rsidP="001F4142">
            <w:pPr>
              <w:pStyle w:val="Tablenote"/>
              <w:rPr>
                <w:b/>
                <w:bCs/>
              </w:rPr>
            </w:pPr>
            <w:r w:rsidRPr="00EE5D24">
              <w:rPr>
                <w:b/>
                <w:bCs/>
              </w:rPr>
              <w:t> </w:t>
            </w:r>
          </w:p>
        </w:tc>
        <w:tc>
          <w:tcPr>
            <w:tcW w:w="664" w:type="pct"/>
            <w:hideMark/>
          </w:tcPr>
          <w:p w14:paraId="0D952708" w14:textId="77777777" w:rsidR="009218F1" w:rsidRPr="00EE5D24" w:rsidRDefault="009218F1" w:rsidP="001F4142">
            <w:pPr>
              <w:pStyle w:val="Tablenote"/>
              <w:rPr>
                <w:b/>
                <w:bCs/>
              </w:rPr>
            </w:pPr>
            <w:r w:rsidRPr="00EE5D24">
              <w:rPr>
                <w:b/>
                <w:bCs/>
              </w:rPr>
              <w:t>Discounted cost</w:t>
            </w:r>
          </w:p>
        </w:tc>
        <w:tc>
          <w:tcPr>
            <w:tcW w:w="631" w:type="pct"/>
            <w:hideMark/>
          </w:tcPr>
          <w:p w14:paraId="2E07265D" w14:textId="77777777" w:rsidR="009218F1" w:rsidRPr="00EE5D24" w:rsidRDefault="009218F1" w:rsidP="001F4142">
            <w:pPr>
              <w:pStyle w:val="Tablenote"/>
              <w:rPr>
                <w:b/>
                <w:bCs/>
              </w:rPr>
            </w:pPr>
            <w:r w:rsidRPr="00EE5D24">
              <w:rPr>
                <w:b/>
                <w:bCs/>
              </w:rPr>
              <w:t>Incremental cost</w:t>
            </w:r>
          </w:p>
        </w:tc>
        <w:tc>
          <w:tcPr>
            <w:tcW w:w="712" w:type="pct"/>
            <w:hideMark/>
          </w:tcPr>
          <w:p w14:paraId="63578A0F" w14:textId="77777777" w:rsidR="009218F1" w:rsidRPr="00EE5D24" w:rsidRDefault="009218F1" w:rsidP="001F4142">
            <w:pPr>
              <w:pStyle w:val="Tablenote"/>
              <w:rPr>
                <w:b/>
                <w:bCs/>
              </w:rPr>
            </w:pPr>
            <w:r w:rsidRPr="00EE5D24">
              <w:rPr>
                <w:b/>
                <w:bCs/>
              </w:rPr>
              <w:t>Effectiveness (QALYs)</w:t>
            </w:r>
          </w:p>
        </w:tc>
        <w:tc>
          <w:tcPr>
            <w:tcW w:w="776" w:type="pct"/>
            <w:hideMark/>
          </w:tcPr>
          <w:p w14:paraId="30585E35" w14:textId="77777777" w:rsidR="009218F1" w:rsidRPr="00EE5D24" w:rsidRDefault="009218F1" w:rsidP="001F4142">
            <w:pPr>
              <w:pStyle w:val="Tablenote"/>
              <w:rPr>
                <w:b/>
                <w:bCs/>
              </w:rPr>
            </w:pPr>
            <w:r w:rsidRPr="00EE5D24">
              <w:rPr>
                <w:b/>
                <w:bCs/>
              </w:rPr>
              <w:t>Incremental effectiveness</w:t>
            </w:r>
          </w:p>
        </w:tc>
        <w:tc>
          <w:tcPr>
            <w:tcW w:w="664" w:type="pct"/>
            <w:hideMark/>
          </w:tcPr>
          <w:p w14:paraId="4922DB4A" w14:textId="77777777" w:rsidR="009218F1" w:rsidRPr="00EE5D24" w:rsidRDefault="009218F1" w:rsidP="001F4142">
            <w:pPr>
              <w:pStyle w:val="Tablenote"/>
              <w:rPr>
                <w:b/>
                <w:bCs/>
              </w:rPr>
            </w:pPr>
            <w:r w:rsidRPr="00EE5D24">
              <w:rPr>
                <w:b/>
                <w:bCs/>
              </w:rPr>
              <w:t>ICER</w:t>
            </w:r>
          </w:p>
        </w:tc>
      </w:tr>
      <w:tr w:rsidR="009218F1" w:rsidRPr="00EE5D24" w14:paraId="702F6D59" w14:textId="77777777" w:rsidTr="001F4142">
        <w:trPr>
          <w:trHeight w:val="20"/>
        </w:trPr>
        <w:tc>
          <w:tcPr>
            <w:tcW w:w="1554" w:type="pct"/>
            <w:noWrap/>
            <w:hideMark/>
          </w:tcPr>
          <w:p w14:paraId="0D20328A" w14:textId="77777777" w:rsidR="009218F1" w:rsidRPr="00EE5D24" w:rsidRDefault="009218F1" w:rsidP="001F4142">
            <w:pPr>
              <w:pStyle w:val="Tablenote"/>
              <w:rPr>
                <w:b/>
                <w:bCs/>
              </w:rPr>
            </w:pPr>
            <w:r w:rsidRPr="00EE5D24">
              <w:rPr>
                <w:b/>
                <w:bCs/>
              </w:rPr>
              <w:t>12 weeks</w:t>
            </w:r>
          </w:p>
        </w:tc>
        <w:tc>
          <w:tcPr>
            <w:tcW w:w="664" w:type="pct"/>
            <w:noWrap/>
            <w:hideMark/>
          </w:tcPr>
          <w:p w14:paraId="273F8611" w14:textId="77777777" w:rsidR="009218F1" w:rsidRPr="00EE5D24" w:rsidRDefault="009218F1" w:rsidP="001F4142">
            <w:pPr>
              <w:pStyle w:val="Tablenote"/>
              <w:rPr>
                <w:b/>
                <w:bCs/>
              </w:rPr>
            </w:pPr>
            <w:r w:rsidRPr="00EE5D24">
              <w:rPr>
                <w:b/>
                <w:bCs/>
              </w:rPr>
              <w:t> </w:t>
            </w:r>
          </w:p>
        </w:tc>
        <w:tc>
          <w:tcPr>
            <w:tcW w:w="631" w:type="pct"/>
            <w:noWrap/>
            <w:hideMark/>
          </w:tcPr>
          <w:p w14:paraId="4B06FAEA" w14:textId="77777777" w:rsidR="009218F1" w:rsidRPr="00EE5D24" w:rsidRDefault="009218F1" w:rsidP="001F4142">
            <w:pPr>
              <w:pStyle w:val="Tablenote"/>
              <w:rPr>
                <w:b/>
                <w:bCs/>
              </w:rPr>
            </w:pPr>
            <w:r w:rsidRPr="00EE5D24">
              <w:rPr>
                <w:b/>
                <w:bCs/>
              </w:rPr>
              <w:t> </w:t>
            </w:r>
          </w:p>
        </w:tc>
        <w:tc>
          <w:tcPr>
            <w:tcW w:w="712" w:type="pct"/>
            <w:noWrap/>
            <w:hideMark/>
          </w:tcPr>
          <w:p w14:paraId="65D4BA72" w14:textId="77777777" w:rsidR="009218F1" w:rsidRPr="00EE5D24" w:rsidRDefault="009218F1" w:rsidP="001F4142">
            <w:pPr>
              <w:pStyle w:val="Tablenote"/>
              <w:rPr>
                <w:b/>
                <w:bCs/>
              </w:rPr>
            </w:pPr>
            <w:r w:rsidRPr="00EE5D24">
              <w:rPr>
                <w:b/>
                <w:bCs/>
              </w:rPr>
              <w:t> </w:t>
            </w:r>
          </w:p>
        </w:tc>
        <w:tc>
          <w:tcPr>
            <w:tcW w:w="776" w:type="pct"/>
            <w:noWrap/>
            <w:hideMark/>
          </w:tcPr>
          <w:p w14:paraId="2D01A6A5" w14:textId="77777777" w:rsidR="009218F1" w:rsidRPr="00EE5D24" w:rsidRDefault="009218F1" w:rsidP="001F4142">
            <w:pPr>
              <w:pStyle w:val="Tablenote"/>
              <w:rPr>
                <w:b/>
                <w:bCs/>
              </w:rPr>
            </w:pPr>
            <w:r w:rsidRPr="00EE5D24">
              <w:rPr>
                <w:b/>
                <w:bCs/>
              </w:rPr>
              <w:t> </w:t>
            </w:r>
          </w:p>
        </w:tc>
        <w:tc>
          <w:tcPr>
            <w:tcW w:w="664" w:type="pct"/>
            <w:noWrap/>
            <w:hideMark/>
          </w:tcPr>
          <w:p w14:paraId="3362CBC1" w14:textId="77777777" w:rsidR="009218F1" w:rsidRPr="00EE5D24" w:rsidRDefault="009218F1" w:rsidP="001F4142">
            <w:pPr>
              <w:pStyle w:val="Tablenote"/>
              <w:rPr>
                <w:b/>
                <w:bCs/>
              </w:rPr>
            </w:pPr>
            <w:r w:rsidRPr="00EE5D24">
              <w:rPr>
                <w:b/>
                <w:bCs/>
              </w:rPr>
              <w:t> </w:t>
            </w:r>
          </w:p>
        </w:tc>
      </w:tr>
      <w:tr w:rsidR="009218F1" w:rsidRPr="00C46160" w14:paraId="31F9DD8D" w14:textId="77777777" w:rsidTr="001F4142">
        <w:trPr>
          <w:trHeight w:val="20"/>
        </w:trPr>
        <w:tc>
          <w:tcPr>
            <w:tcW w:w="1554" w:type="pct"/>
            <w:noWrap/>
            <w:hideMark/>
          </w:tcPr>
          <w:p w14:paraId="6682DF0C" w14:textId="77777777" w:rsidR="009218F1" w:rsidRPr="00C46160" w:rsidRDefault="009218F1" w:rsidP="001F4142">
            <w:pPr>
              <w:pStyle w:val="Tablenote"/>
            </w:pPr>
            <w:r w:rsidRPr="00C46160">
              <w:t>Amnion membrane (AM)</w:t>
            </w:r>
          </w:p>
        </w:tc>
        <w:tc>
          <w:tcPr>
            <w:tcW w:w="664" w:type="pct"/>
            <w:noWrap/>
            <w:hideMark/>
          </w:tcPr>
          <w:p w14:paraId="45B3C8F8" w14:textId="77777777" w:rsidR="009218F1" w:rsidRPr="00C46160" w:rsidRDefault="009218F1" w:rsidP="001F4142">
            <w:pPr>
              <w:pStyle w:val="Tablenote"/>
            </w:pPr>
            <w:r w:rsidRPr="00C46160">
              <w:t>6,290</w:t>
            </w:r>
          </w:p>
        </w:tc>
        <w:tc>
          <w:tcPr>
            <w:tcW w:w="631" w:type="pct"/>
            <w:noWrap/>
            <w:hideMark/>
          </w:tcPr>
          <w:p w14:paraId="1D31A45E" w14:textId="77777777" w:rsidR="009218F1" w:rsidRPr="00C46160" w:rsidRDefault="009218F1" w:rsidP="001F4142">
            <w:pPr>
              <w:pStyle w:val="Tablenote"/>
            </w:pPr>
            <w:r w:rsidRPr="00C46160">
              <w:t>2,882</w:t>
            </w:r>
          </w:p>
        </w:tc>
        <w:tc>
          <w:tcPr>
            <w:tcW w:w="712" w:type="pct"/>
            <w:noWrap/>
            <w:hideMark/>
          </w:tcPr>
          <w:p w14:paraId="147B6E90" w14:textId="77777777" w:rsidR="009218F1" w:rsidRPr="00C46160" w:rsidRDefault="009218F1" w:rsidP="001F4142">
            <w:pPr>
              <w:pStyle w:val="Tablenote"/>
            </w:pPr>
            <w:r w:rsidRPr="00C46160">
              <w:t>0.20</w:t>
            </w:r>
          </w:p>
        </w:tc>
        <w:tc>
          <w:tcPr>
            <w:tcW w:w="776" w:type="pct"/>
            <w:noWrap/>
            <w:hideMark/>
          </w:tcPr>
          <w:p w14:paraId="5E4D3791" w14:textId="77777777" w:rsidR="009218F1" w:rsidRPr="00C46160" w:rsidRDefault="009218F1" w:rsidP="001F4142">
            <w:pPr>
              <w:pStyle w:val="Tablenote"/>
            </w:pPr>
            <w:r w:rsidRPr="00C46160">
              <w:t>0.01</w:t>
            </w:r>
          </w:p>
        </w:tc>
        <w:tc>
          <w:tcPr>
            <w:tcW w:w="664" w:type="pct"/>
            <w:noWrap/>
            <w:hideMark/>
          </w:tcPr>
          <w:p w14:paraId="5359AACA" w14:textId="77777777" w:rsidR="009218F1" w:rsidRPr="00C46160" w:rsidRDefault="009218F1" w:rsidP="001F4142">
            <w:pPr>
              <w:pStyle w:val="Tablenote"/>
            </w:pPr>
            <w:r w:rsidRPr="00C46160">
              <w:t>511,045</w:t>
            </w:r>
          </w:p>
        </w:tc>
      </w:tr>
      <w:tr w:rsidR="009218F1" w:rsidRPr="00C46160" w14:paraId="6F7024D9" w14:textId="77777777" w:rsidTr="001F4142">
        <w:trPr>
          <w:trHeight w:val="20"/>
        </w:trPr>
        <w:tc>
          <w:tcPr>
            <w:tcW w:w="1554" w:type="pct"/>
            <w:noWrap/>
            <w:hideMark/>
          </w:tcPr>
          <w:p w14:paraId="59B53FB7" w14:textId="77777777" w:rsidR="009218F1" w:rsidRPr="00C46160" w:rsidRDefault="009218F1" w:rsidP="001F4142">
            <w:pPr>
              <w:pStyle w:val="Tablenote"/>
            </w:pPr>
            <w:r w:rsidRPr="00C46160">
              <w:t>Standard care (SOC)</w:t>
            </w:r>
          </w:p>
        </w:tc>
        <w:tc>
          <w:tcPr>
            <w:tcW w:w="664" w:type="pct"/>
            <w:noWrap/>
            <w:hideMark/>
          </w:tcPr>
          <w:p w14:paraId="195A32FD" w14:textId="77777777" w:rsidR="009218F1" w:rsidRPr="00C46160" w:rsidRDefault="009218F1" w:rsidP="001F4142">
            <w:pPr>
              <w:pStyle w:val="Tablenote"/>
            </w:pPr>
            <w:r w:rsidRPr="00C46160">
              <w:t>3,408</w:t>
            </w:r>
          </w:p>
        </w:tc>
        <w:tc>
          <w:tcPr>
            <w:tcW w:w="631" w:type="pct"/>
            <w:noWrap/>
            <w:hideMark/>
          </w:tcPr>
          <w:p w14:paraId="3462CFC7" w14:textId="77777777" w:rsidR="009218F1" w:rsidRPr="00C46160" w:rsidRDefault="009218F1" w:rsidP="001F4142">
            <w:pPr>
              <w:pStyle w:val="Tablenote"/>
            </w:pPr>
            <w:r w:rsidRPr="00C46160">
              <w:t> </w:t>
            </w:r>
          </w:p>
        </w:tc>
        <w:tc>
          <w:tcPr>
            <w:tcW w:w="712" w:type="pct"/>
            <w:noWrap/>
            <w:hideMark/>
          </w:tcPr>
          <w:p w14:paraId="4DC9E427" w14:textId="77777777" w:rsidR="009218F1" w:rsidRPr="00C46160" w:rsidRDefault="009218F1" w:rsidP="001F4142">
            <w:pPr>
              <w:pStyle w:val="Tablenote"/>
            </w:pPr>
            <w:r w:rsidRPr="00C46160">
              <w:t>0.19</w:t>
            </w:r>
          </w:p>
        </w:tc>
        <w:tc>
          <w:tcPr>
            <w:tcW w:w="776" w:type="pct"/>
            <w:noWrap/>
            <w:hideMark/>
          </w:tcPr>
          <w:p w14:paraId="5542845C" w14:textId="77777777" w:rsidR="009218F1" w:rsidRPr="00C46160" w:rsidRDefault="009218F1" w:rsidP="001F4142">
            <w:pPr>
              <w:pStyle w:val="Tablenote"/>
            </w:pPr>
            <w:r w:rsidRPr="00C46160">
              <w:t> </w:t>
            </w:r>
          </w:p>
        </w:tc>
        <w:tc>
          <w:tcPr>
            <w:tcW w:w="664" w:type="pct"/>
            <w:noWrap/>
            <w:hideMark/>
          </w:tcPr>
          <w:p w14:paraId="73DC8F3E" w14:textId="77777777" w:rsidR="009218F1" w:rsidRPr="00C46160" w:rsidRDefault="009218F1" w:rsidP="001F4142">
            <w:pPr>
              <w:pStyle w:val="Tablenote"/>
            </w:pPr>
            <w:r w:rsidRPr="00C46160">
              <w:t> </w:t>
            </w:r>
          </w:p>
        </w:tc>
      </w:tr>
      <w:tr w:rsidR="009218F1" w:rsidRPr="00EE5D24" w14:paraId="219ECE26" w14:textId="77777777" w:rsidTr="001F4142">
        <w:trPr>
          <w:trHeight w:val="20"/>
        </w:trPr>
        <w:tc>
          <w:tcPr>
            <w:tcW w:w="1554" w:type="pct"/>
            <w:noWrap/>
            <w:hideMark/>
          </w:tcPr>
          <w:p w14:paraId="3C428541" w14:textId="77777777" w:rsidR="009218F1" w:rsidRPr="00EE5D24" w:rsidRDefault="009218F1" w:rsidP="001F4142">
            <w:pPr>
              <w:pStyle w:val="Tablenote"/>
              <w:rPr>
                <w:b/>
                <w:bCs/>
              </w:rPr>
            </w:pPr>
            <w:r w:rsidRPr="00EE5D24">
              <w:rPr>
                <w:b/>
                <w:bCs/>
              </w:rPr>
              <w:t>5 years (Base case)</w:t>
            </w:r>
          </w:p>
        </w:tc>
        <w:tc>
          <w:tcPr>
            <w:tcW w:w="664" w:type="pct"/>
            <w:noWrap/>
            <w:hideMark/>
          </w:tcPr>
          <w:p w14:paraId="5EFEE228" w14:textId="77777777" w:rsidR="009218F1" w:rsidRPr="00EE5D24" w:rsidRDefault="009218F1" w:rsidP="001F4142">
            <w:pPr>
              <w:pStyle w:val="Tablenote"/>
              <w:rPr>
                <w:b/>
                <w:bCs/>
              </w:rPr>
            </w:pPr>
            <w:r w:rsidRPr="00EE5D24">
              <w:rPr>
                <w:b/>
                <w:bCs/>
              </w:rPr>
              <w:t> </w:t>
            </w:r>
          </w:p>
        </w:tc>
        <w:tc>
          <w:tcPr>
            <w:tcW w:w="631" w:type="pct"/>
            <w:noWrap/>
            <w:hideMark/>
          </w:tcPr>
          <w:p w14:paraId="733706AC" w14:textId="77777777" w:rsidR="009218F1" w:rsidRPr="00EE5D24" w:rsidRDefault="009218F1" w:rsidP="001F4142">
            <w:pPr>
              <w:pStyle w:val="Tablenote"/>
              <w:rPr>
                <w:b/>
                <w:bCs/>
              </w:rPr>
            </w:pPr>
            <w:r w:rsidRPr="00EE5D24">
              <w:rPr>
                <w:b/>
                <w:bCs/>
              </w:rPr>
              <w:t> </w:t>
            </w:r>
          </w:p>
        </w:tc>
        <w:tc>
          <w:tcPr>
            <w:tcW w:w="712" w:type="pct"/>
            <w:noWrap/>
            <w:hideMark/>
          </w:tcPr>
          <w:p w14:paraId="2107F523" w14:textId="77777777" w:rsidR="009218F1" w:rsidRPr="00EE5D24" w:rsidRDefault="009218F1" w:rsidP="001F4142">
            <w:pPr>
              <w:pStyle w:val="Tablenote"/>
              <w:rPr>
                <w:b/>
                <w:bCs/>
              </w:rPr>
            </w:pPr>
            <w:r w:rsidRPr="00EE5D24">
              <w:rPr>
                <w:b/>
                <w:bCs/>
              </w:rPr>
              <w:t> </w:t>
            </w:r>
          </w:p>
        </w:tc>
        <w:tc>
          <w:tcPr>
            <w:tcW w:w="776" w:type="pct"/>
            <w:noWrap/>
            <w:hideMark/>
          </w:tcPr>
          <w:p w14:paraId="495414E8" w14:textId="77777777" w:rsidR="009218F1" w:rsidRPr="00EE5D24" w:rsidRDefault="009218F1" w:rsidP="001F4142">
            <w:pPr>
              <w:pStyle w:val="Tablenote"/>
              <w:rPr>
                <w:b/>
                <w:bCs/>
              </w:rPr>
            </w:pPr>
            <w:r w:rsidRPr="00EE5D24">
              <w:rPr>
                <w:b/>
                <w:bCs/>
              </w:rPr>
              <w:t> </w:t>
            </w:r>
          </w:p>
        </w:tc>
        <w:tc>
          <w:tcPr>
            <w:tcW w:w="664" w:type="pct"/>
            <w:noWrap/>
            <w:hideMark/>
          </w:tcPr>
          <w:p w14:paraId="39B2F647" w14:textId="77777777" w:rsidR="009218F1" w:rsidRPr="00EE5D24" w:rsidRDefault="009218F1" w:rsidP="001F4142">
            <w:pPr>
              <w:pStyle w:val="Tablenote"/>
              <w:rPr>
                <w:b/>
                <w:bCs/>
              </w:rPr>
            </w:pPr>
            <w:r w:rsidRPr="00EE5D24">
              <w:rPr>
                <w:b/>
                <w:bCs/>
              </w:rPr>
              <w:t> </w:t>
            </w:r>
          </w:p>
        </w:tc>
      </w:tr>
      <w:tr w:rsidR="009218F1" w:rsidRPr="00C46160" w14:paraId="5C2A95F8" w14:textId="77777777" w:rsidTr="001F4142">
        <w:trPr>
          <w:trHeight w:val="20"/>
        </w:trPr>
        <w:tc>
          <w:tcPr>
            <w:tcW w:w="1554" w:type="pct"/>
            <w:noWrap/>
            <w:hideMark/>
          </w:tcPr>
          <w:p w14:paraId="64573ECD" w14:textId="77777777" w:rsidR="009218F1" w:rsidRPr="00C46160" w:rsidRDefault="009218F1" w:rsidP="001F4142">
            <w:pPr>
              <w:pStyle w:val="Tablenote"/>
            </w:pPr>
            <w:r w:rsidRPr="00C46160">
              <w:t>Amnion membrane (AM)</w:t>
            </w:r>
          </w:p>
        </w:tc>
        <w:tc>
          <w:tcPr>
            <w:tcW w:w="664" w:type="pct"/>
            <w:noWrap/>
            <w:hideMark/>
          </w:tcPr>
          <w:p w14:paraId="021124C1" w14:textId="77777777" w:rsidR="009218F1" w:rsidRPr="00C46160" w:rsidRDefault="009218F1" w:rsidP="001F4142">
            <w:pPr>
              <w:pStyle w:val="Tablenote"/>
            </w:pPr>
            <w:r w:rsidRPr="00C46160">
              <w:t>31,461</w:t>
            </w:r>
          </w:p>
        </w:tc>
        <w:tc>
          <w:tcPr>
            <w:tcW w:w="631" w:type="pct"/>
            <w:noWrap/>
            <w:hideMark/>
          </w:tcPr>
          <w:p w14:paraId="66BBB144" w14:textId="77777777" w:rsidR="009218F1" w:rsidRPr="00C46160" w:rsidRDefault="009218F1" w:rsidP="001F4142">
            <w:pPr>
              <w:pStyle w:val="Tablenote"/>
            </w:pPr>
            <w:r w:rsidRPr="00C46160">
              <w:t>1,973</w:t>
            </w:r>
          </w:p>
        </w:tc>
        <w:tc>
          <w:tcPr>
            <w:tcW w:w="712" w:type="pct"/>
            <w:noWrap/>
            <w:hideMark/>
          </w:tcPr>
          <w:p w14:paraId="498C5D8A" w14:textId="77777777" w:rsidR="009218F1" w:rsidRPr="00C46160" w:rsidRDefault="009218F1" w:rsidP="001F4142">
            <w:pPr>
              <w:pStyle w:val="Tablenote"/>
            </w:pPr>
            <w:r w:rsidRPr="00C46160">
              <w:t>3.65</w:t>
            </w:r>
          </w:p>
        </w:tc>
        <w:tc>
          <w:tcPr>
            <w:tcW w:w="776" w:type="pct"/>
            <w:noWrap/>
            <w:hideMark/>
          </w:tcPr>
          <w:p w14:paraId="28ED4DD4" w14:textId="77777777" w:rsidR="009218F1" w:rsidRPr="00C46160" w:rsidRDefault="009218F1" w:rsidP="001F4142">
            <w:pPr>
              <w:pStyle w:val="Tablenote"/>
            </w:pPr>
            <w:r w:rsidRPr="00C46160">
              <w:t>0.11</w:t>
            </w:r>
          </w:p>
        </w:tc>
        <w:tc>
          <w:tcPr>
            <w:tcW w:w="664" w:type="pct"/>
            <w:noWrap/>
            <w:hideMark/>
          </w:tcPr>
          <w:p w14:paraId="32CF7790" w14:textId="77777777" w:rsidR="009218F1" w:rsidRPr="00C46160" w:rsidRDefault="009218F1" w:rsidP="001F4142">
            <w:pPr>
              <w:pStyle w:val="Tablenote"/>
            </w:pPr>
            <w:r w:rsidRPr="00C46160">
              <w:t>18,322</w:t>
            </w:r>
          </w:p>
        </w:tc>
      </w:tr>
      <w:tr w:rsidR="009218F1" w:rsidRPr="00C46160" w14:paraId="56762A5D" w14:textId="77777777" w:rsidTr="001F4142">
        <w:trPr>
          <w:trHeight w:val="20"/>
        </w:trPr>
        <w:tc>
          <w:tcPr>
            <w:tcW w:w="1554" w:type="pct"/>
            <w:noWrap/>
            <w:hideMark/>
          </w:tcPr>
          <w:p w14:paraId="68C82FF2" w14:textId="77777777" w:rsidR="009218F1" w:rsidRPr="00C46160" w:rsidRDefault="009218F1" w:rsidP="001F4142">
            <w:pPr>
              <w:pStyle w:val="Tablenote"/>
            </w:pPr>
            <w:r w:rsidRPr="00C46160">
              <w:t>Standard care (SOC)</w:t>
            </w:r>
          </w:p>
        </w:tc>
        <w:tc>
          <w:tcPr>
            <w:tcW w:w="664" w:type="pct"/>
            <w:noWrap/>
            <w:hideMark/>
          </w:tcPr>
          <w:p w14:paraId="62E4437C" w14:textId="77777777" w:rsidR="009218F1" w:rsidRPr="00C46160" w:rsidRDefault="009218F1" w:rsidP="001F4142">
            <w:pPr>
              <w:pStyle w:val="Tablenote"/>
            </w:pPr>
            <w:r w:rsidRPr="00C46160">
              <w:t>29,488</w:t>
            </w:r>
          </w:p>
        </w:tc>
        <w:tc>
          <w:tcPr>
            <w:tcW w:w="631" w:type="pct"/>
            <w:noWrap/>
            <w:hideMark/>
          </w:tcPr>
          <w:p w14:paraId="69FDCD74" w14:textId="77777777" w:rsidR="009218F1" w:rsidRPr="00C46160" w:rsidRDefault="009218F1" w:rsidP="001F4142">
            <w:pPr>
              <w:pStyle w:val="Tablenote"/>
            </w:pPr>
            <w:r w:rsidRPr="00C46160">
              <w:t> </w:t>
            </w:r>
          </w:p>
        </w:tc>
        <w:tc>
          <w:tcPr>
            <w:tcW w:w="712" w:type="pct"/>
            <w:noWrap/>
            <w:hideMark/>
          </w:tcPr>
          <w:p w14:paraId="48BFBA13" w14:textId="77777777" w:rsidR="009218F1" w:rsidRPr="00C46160" w:rsidRDefault="009218F1" w:rsidP="001F4142">
            <w:pPr>
              <w:pStyle w:val="Tablenote"/>
            </w:pPr>
            <w:r w:rsidRPr="00C46160">
              <w:t>3.54</w:t>
            </w:r>
          </w:p>
        </w:tc>
        <w:tc>
          <w:tcPr>
            <w:tcW w:w="776" w:type="pct"/>
            <w:noWrap/>
            <w:hideMark/>
          </w:tcPr>
          <w:p w14:paraId="7E524A0F" w14:textId="77777777" w:rsidR="009218F1" w:rsidRPr="00C46160" w:rsidRDefault="009218F1" w:rsidP="001F4142">
            <w:pPr>
              <w:pStyle w:val="Tablenote"/>
            </w:pPr>
            <w:r w:rsidRPr="00C46160">
              <w:t> </w:t>
            </w:r>
          </w:p>
        </w:tc>
        <w:tc>
          <w:tcPr>
            <w:tcW w:w="664" w:type="pct"/>
            <w:noWrap/>
            <w:hideMark/>
          </w:tcPr>
          <w:p w14:paraId="35F01584" w14:textId="77777777" w:rsidR="009218F1" w:rsidRPr="00C46160" w:rsidRDefault="009218F1" w:rsidP="001F4142">
            <w:pPr>
              <w:pStyle w:val="Tablenote"/>
            </w:pPr>
            <w:r w:rsidRPr="00C46160">
              <w:t> </w:t>
            </w:r>
          </w:p>
        </w:tc>
      </w:tr>
    </w:tbl>
    <w:p w14:paraId="0E442195" w14:textId="77777777" w:rsidR="009218F1" w:rsidRPr="00767375" w:rsidRDefault="009218F1" w:rsidP="00AB5515">
      <w:pPr>
        <w:pStyle w:val="Tablenotes"/>
      </w:pPr>
      <w:r w:rsidRPr="00767375">
        <w:t>Source: Table 5, p13 of the DCAR</w:t>
      </w:r>
    </w:p>
    <w:p w14:paraId="66C904E7" w14:textId="77777777" w:rsidR="009218F1" w:rsidRPr="00BC542D" w:rsidRDefault="009218F1" w:rsidP="00AB5515">
      <w:pPr>
        <w:pStyle w:val="Tablenotes"/>
      </w:pPr>
      <w:r w:rsidRPr="00767375">
        <w:t>Abbreviations:</w:t>
      </w:r>
      <w:r>
        <w:t xml:space="preserve"> AM = amnion membrane, </w:t>
      </w:r>
      <w:r w:rsidRPr="00BC542D">
        <w:t xml:space="preserve">ICER = </w:t>
      </w:r>
      <w:r>
        <w:t>i</w:t>
      </w:r>
      <w:r w:rsidRPr="00BC542D">
        <w:t xml:space="preserve">ncremental </w:t>
      </w:r>
      <w:r>
        <w:t>c</w:t>
      </w:r>
      <w:r w:rsidRPr="00BC542D">
        <w:t xml:space="preserve">ost </w:t>
      </w:r>
      <w:r>
        <w:t>e</w:t>
      </w:r>
      <w:r w:rsidRPr="00BC542D">
        <w:t xml:space="preserve">ffectiveness </w:t>
      </w:r>
      <w:r>
        <w:t>r</w:t>
      </w:r>
      <w:r w:rsidRPr="00BC542D">
        <w:t>atio, QALYs</w:t>
      </w:r>
      <w:r>
        <w:t xml:space="preserve"> </w:t>
      </w:r>
      <w:r w:rsidRPr="00BC542D">
        <w:t>= quality</w:t>
      </w:r>
      <w:r>
        <w:t>-</w:t>
      </w:r>
      <w:r w:rsidRPr="00BC542D">
        <w:t>adjusted life years</w:t>
      </w:r>
      <w:r>
        <w:t>, SOC = standard of care</w:t>
      </w:r>
    </w:p>
    <w:p w14:paraId="00A5AB71" w14:textId="5AB65395" w:rsidR="009218F1" w:rsidRPr="00B832DD" w:rsidRDefault="009218F1" w:rsidP="00444F7B">
      <w:pPr>
        <w:spacing w:before="240"/>
        <w:rPr>
          <w:rFonts w:ascii="Arial Narrow" w:hAnsi="Arial Narrow"/>
          <w:sz w:val="18"/>
        </w:rPr>
      </w:pPr>
      <w:r>
        <w:t xml:space="preserve">The DCAR performed univariate sensitivity analysis (see tornado diagram in </w:t>
      </w:r>
      <w:r>
        <w:fldChar w:fldCharType="begin"/>
      </w:r>
      <w:r>
        <w:instrText xml:space="preserve"> REF _Ref63684862 \h </w:instrText>
      </w:r>
      <w:r>
        <w:fldChar w:fldCharType="separate"/>
      </w:r>
      <w:r>
        <w:t xml:space="preserve">Figure </w:t>
      </w:r>
      <w:r>
        <w:rPr>
          <w:noProof/>
        </w:rPr>
        <w:t>7</w:t>
      </w:r>
      <w:r>
        <w:fldChar w:fldCharType="end"/>
      </w:r>
      <w:r>
        <w:t>) to investigate uncertainties in the base-case model related to key assumptions such as healing rates in the longer term, utility for health states and unit costs.</w:t>
      </w:r>
    </w:p>
    <w:p w14:paraId="6EAECBB7" w14:textId="77777777" w:rsidR="009218F1" w:rsidRDefault="009218F1" w:rsidP="009218F1">
      <w:pPr>
        <w:pStyle w:val="Caption"/>
      </w:pPr>
      <w:bookmarkStart w:id="45" w:name="_Ref63684862"/>
      <w:bookmarkStart w:id="46" w:name="_Toc58917302"/>
      <w:bookmarkStart w:id="47" w:name="_Toc59312091"/>
      <w:bookmarkStart w:id="48" w:name="_Ref63684857"/>
      <w:r>
        <w:lastRenderedPageBreak/>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45"/>
      <w:r>
        <w:rPr>
          <w:noProof/>
        </w:rPr>
        <w:tab/>
      </w:r>
      <w:r>
        <w:t>Tornado graph, 5-year ICER</w:t>
      </w:r>
      <w:bookmarkEnd w:id="46"/>
      <w:bookmarkEnd w:id="47"/>
      <w:bookmarkEnd w:id="48"/>
    </w:p>
    <w:p w14:paraId="42CA1821" w14:textId="77777777" w:rsidR="009218F1" w:rsidRDefault="009218F1" w:rsidP="009218F1">
      <w:pPr>
        <w:pStyle w:val="Tabletext"/>
      </w:pPr>
      <w:r>
        <w:rPr>
          <w:noProof/>
          <w:lang w:eastAsia="en-AU"/>
        </w:rPr>
        <w:drawing>
          <wp:inline distT="0" distB="0" distL="0" distR="0" wp14:anchorId="22C258B5" wp14:editId="14D1EFCC">
            <wp:extent cx="5702060" cy="3579962"/>
            <wp:effectExtent l="0" t="0" r="13335" b="1905"/>
            <wp:docPr id="34" name="Chart 34" descr="Figure 40 Tornado graph, 5-year ICER">
              <a:extLst xmlns:a="http://schemas.openxmlformats.org/drawingml/2006/main">
                <a:ext uri="{FF2B5EF4-FFF2-40B4-BE49-F238E27FC236}">
                  <a16:creationId xmlns:a16="http://schemas.microsoft.com/office/drawing/2014/main" id="{D478B62E-038E-4608-8861-3FA07678F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0C778A" w14:textId="77777777" w:rsidR="009218F1" w:rsidRPr="00193BB2" w:rsidRDefault="009218F1" w:rsidP="00AB5515">
      <w:pPr>
        <w:pStyle w:val="Tablenotes"/>
      </w:pPr>
      <w:r w:rsidRPr="00193BB2">
        <w:t>Source: Figure 40, p157 of the DCAR</w:t>
      </w:r>
    </w:p>
    <w:p w14:paraId="1F52C2E6" w14:textId="77777777" w:rsidR="009218F1" w:rsidRDefault="009218F1" w:rsidP="00AB5515">
      <w:pPr>
        <w:pStyle w:val="Tablenotes"/>
      </w:pPr>
      <w:r w:rsidRPr="00193BB2">
        <w:t xml:space="preserve">Abbreviations:  </w:t>
      </w:r>
      <w:r>
        <w:t xml:space="preserve">DFU = diabetic foot </w:t>
      </w:r>
      <w:proofErr w:type="spellStart"/>
      <w:r>
        <w:t>ucler</w:t>
      </w:r>
      <w:proofErr w:type="spellEnd"/>
      <w:r w:rsidRPr="002F6F5F">
        <w:t xml:space="preserve">, ICER = </w:t>
      </w:r>
      <w:r>
        <w:t>i</w:t>
      </w:r>
      <w:r w:rsidRPr="002F6F5F">
        <w:t xml:space="preserve">ncremental </w:t>
      </w:r>
      <w:r>
        <w:t>c</w:t>
      </w:r>
      <w:r w:rsidRPr="002F6F5F">
        <w:t xml:space="preserve">ost </w:t>
      </w:r>
      <w:r>
        <w:t>e</w:t>
      </w:r>
      <w:r w:rsidRPr="002F6F5F">
        <w:t xml:space="preserve">ffectiveness </w:t>
      </w:r>
      <w:r>
        <w:t>r</w:t>
      </w:r>
      <w:r w:rsidRPr="002F6F5F">
        <w:t>atio, QALYs</w:t>
      </w:r>
      <w:r>
        <w:t xml:space="preserve"> </w:t>
      </w:r>
      <w:r w:rsidRPr="002F6F5F">
        <w:t>= quality adjusted life years</w:t>
      </w:r>
    </w:p>
    <w:p w14:paraId="450BBC42" w14:textId="77777777" w:rsidR="009218F1" w:rsidRDefault="009218F1" w:rsidP="009218F1">
      <w:r>
        <w:t xml:space="preserve">The impact of the varying the model time horizon on the ICER is presented below in </w:t>
      </w:r>
      <w:r>
        <w:fldChar w:fldCharType="begin"/>
      </w:r>
      <w:r>
        <w:instrText xml:space="preserve"> REF _Ref58863606 \h </w:instrText>
      </w:r>
      <w:r>
        <w:fldChar w:fldCharType="separate"/>
      </w:r>
      <w:r>
        <w:t xml:space="preserve">Figure </w:t>
      </w:r>
      <w:r>
        <w:rPr>
          <w:noProof/>
        </w:rPr>
        <w:t>8</w:t>
      </w:r>
      <w:r>
        <w:fldChar w:fldCharType="end"/>
      </w:r>
      <w:r>
        <w:t>. The trial analysis had an estimated ICER of $511,045. This decreases to $97,870 by the end of year one and $18,322 by the end of year five.</w:t>
      </w:r>
    </w:p>
    <w:p w14:paraId="770C4242" w14:textId="1A809C39" w:rsidR="009218F1" w:rsidRDefault="009218F1" w:rsidP="00AB5515">
      <w:pPr>
        <w:pStyle w:val="Caption"/>
        <w:spacing w:before="240"/>
      </w:pPr>
      <w:bookmarkStart w:id="49" w:name="_Ref58863606"/>
      <w:bookmarkStart w:id="50" w:name="_Toc58917303"/>
      <w:bookmarkStart w:id="51" w:name="_Toc59536793"/>
      <w:r>
        <w:t xml:space="preserve">Figure </w:t>
      </w:r>
      <w:r>
        <w:rPr>
          <w:noProof/>
        </w:rPr>
        <w:fldChar w:fldCharType="begin"/>
      </w:r>
      <w:r>
        <w:rPr>
          <w:noProof/>
        </w:rPr>
        <w:instrText xml:space="preserve"> SEQ Figure \* ARABIC </w:instrText>
      </w:r>
      <w:r>
        <w:rPr>
          <w:noProof/>
        </w:rPr>
        <w:fldChar w:fldCharType="separate"/>
      </w:r>
      <w:r>
        <w:rPr>
          <w:noProof/>
        </w:rPr>
        <w:t>8</w:t>
      </w:r>
      <w:r>
        <w:rPr>
          <w:noProof/>
        </w:rPr>
        <w:fldChar w:fldCharType="end"/>
      </w:r>
      <w:bookmarkEnd w:id="49"/>
      <w:r>
        <w:tab/>
        <w:t>Estimated ICER by week</w:t>
      </w:r>
      <w:bookmarkEnd w:id="50"/>
      <w:bookmarkEnd w:id="51"/>
    </w:p>
    <w:p w14:paraId="2C56D3B1" w14:textId="77777777" w:rsidR="009218F1" w:rsidRDefault="009218F1" w:rsidP="009218F1">
      <w:pPr>
        <w:pStyle w:val="Tabletext"/>
      </w:pPr>
      <w:r>
        <w:rPr>
          <w:noProof/>
          <w:lang w:eastAsia="en-AU"/>
        </w:rPr>
        <w:drawing>
          <wp:inline distT="0" distB="0" distL="0" distR="0" wp14:anchorId="54E928FE" wp14:editId="0FD687D8">
            <wp:extent cx="4940300" cy="2355850"/>
            <wp:effectExtent l="0" t="0" r="12700" b="6350"/>
            <wp:docPr id="35" name="Chart 35" descr="Figure 41 Estimated ICER by week">
              <a:extLst xmlns:a="http://schemas.openxmlformats.org/drawingml/2006/main">
                <a:ext uri="{FF2B5EF4-FFF2-40B4-BE49-F238E27FC236}">
                  <a16:creationId xmlns:a16="http://schemas.microsoft.com/office/drawing/2014/main" id="{78BBC7C5-8BC3-44E8-91D7-9D02873D61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03EE91" w14:textId="77777777" w:rsidR="009218F1" w:rsidRPr="00B611BF" w:rsidRDefault="009218F1" w:rsidP="00AB5515">
      <w:pPr>
        <w:pStyle w:val="Tablenotes"/>
      </w:pPr>
      <w:r w:rsidRPr="00B611BF">
        <w:t>Source: Figure 41, p156 of the DCAR</w:t>
      </w:r>
    </w:p>
    <w:p w14:paraId="23E3EC2C" w14:textId="77777777" w:rsidR="009218F1" w:rsidRPr="00B832DD" w:rsidRDefault="009218F1" w:rsidP="00AB5515">
      <w:pPr>
        <w:pStyle w:val="Tablenotes"/>
      </w:pPr>
      <w:r w:rsidRPr="00B611BF">
        <w:t>Abbreviations:</w:t>
      </w:r>
      <w:r w:rsidRPr="002F6F5F">
        <w:t xml:space="preserve"> ICER = </w:t>
      </w:r>
      <w:r>
        <w:t>i</w:t>
      </w:r>
      <w:r w:rsidRPr="002F6F5F">
        <w:t xml:space="preserve">ncremental </w:t>
      </w:r>
      <w:r>
        <w:t>c</w:t>
      </w:r>
      <w:r w:rsidRPr="002F6F5F">
        <w:t xml:space="preserve">ost </w:t>
      </w:r>
      <w:r>
        <w:t>e</w:t>
      </w:r>
      <w:r w:rsidRPr="002F6F5F">
        <w:t xml:space="preserve">ffectiveness </w:t>
      </w:r>
      <w:r>
        <w:t>r</w:t>
      </w:r>
      <w:r w:rsidRPr="002F6F5F">
        <w:t>atio</w:t>
      </w:r>
    </w:p>
    <w:p w14:paraId="56BABCCB" w14:textId="5D787185" w:rsidR="00AB5515" w:rsidRDefault="009218F1" w:rsidP="00444F7B">
      <w:pPr>
        <w:spacing w:before="240"/>
      </w:pPr>
      <w:bookmarkStart w:id="52" w:name="_GoBack"/>
      <w:bookmarkEnd w:id="52"/>
      <w:r>
        <w:t>Overall, the DCAR considered that t</w:t>
      </w:r>
      <w:r w:rsidRPr="00C36BB6">
        <w:t xml:space="preserve">he assumption </w:t>
      </w:r>
      <w:r>
        <w:t>regarding</w:t>
      </w:r>
      <w:r w:rsidRPr="00C36BB6">
        <w:t xml:space="preserve"> the </w:t>
      </w:r>
      <w:r>
        <w:t xml:space="preserve">unit price of AM, variation in healing rates across the key RCTs, timeframe for the model and utility for the uncomplicated DFU states </w:t>
      </w:r>
      <w:r w:rsidRPr="00C36BB6">
        <w:t>have the largest impact on model results</w:t>
      </w:r>
      <w:r>
        <w:t xml:space="preserve"> (</w:t>
      </w:r>
      <w:r>
        <w:fldChar w:fldCharType="begin"/>
      </w:r>
      <w:r>
        <w:instrText xml:space="preserve"> REF _Ref63684201 \h </w:instrText>
      </w:r>
      <w:r>
        <w:fldChar w:fldCharType="separate"/>
      </w:r>
      <w:r w:rsidRPr="004517AD">
        <w:t xml:space="preserve">Table </w:t>
      </w:r>
      <w:r>
        <w:rPr>
          <w:noProof/>
        </w:rPr>
        <w:t>9</w:t>
      </w:r>
      <w:r>
        <w:fldChar w:fldCharType="end"/>
      </w:r>
      <w:r>
        <w:t>)</w:t>
      </w:r>
      <w:r w:rsidRPr="00C36BB6">
        <w:t>.</w:t>
      </w:r>
      <w:r w:rsidR="00AB5515">
        <w:br w:type="page"/>
      </w:r>
    </w:p>
    <w:p w14:paraId="54E9AE0F" w14:textId="77777777" w:rsidR="009218F1" w:rsidRPr="004517AD" w:rsidRDefault="009218F1" w:rsidP="00567A4B">
      <w:pPr>
        <w:pStyle w:val="Caption"/>
        <w:tabs>
          <w:tab w:val="left" w:pos="1134"/>
        </w:tabs>
        <w:ind w:left="1134" w:hanging="1134"/>
        <w:rPr>
          <w:snapToGrid w:val="0"/>
          <w:szCs w:val="16"/>
        </w:rPr>
      </w:pPr>
      <w:bookmarkStart w:id="53" w:name="_Ref63684201"/>
      <w:bookmarkStart w:id="54" w:name="_Toc58917178"/>
      <w:bookmarkStart w:id="55" w:name="_Toc59311953"/>
      <w:r w:rsidRPr="004517AD">
        <w:lastRenderedPageBreak/>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53"/>
      <w:r>
        <w:t xml:space="preserve"> </w:t>
      </w:r>
      <w:r w:rsidRPr="004517AD">
        <w:rPr>
          <w:snapToGrid w:val="0"/>
          <w:szCs w:val="16"/>
        </w:rPr>
        <w:t>Key drivers of the economic model</w:t>
      </w:r>
      <w:bookmarkEnd w:id="54"/>
      <w:bookmarkEnd w:id="55"/>
    </w:p>
    <w:tbl>
      <w:tblPr>
        <w:tblStyle w:val="TableGrid5"/>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1414"/>
        <w:gridCol w:w="3969"/>
        <w:gridCol w:w="3633"/>
      </w:tblGrid>
      <w:tr w:rsidR="009218F1" w:rsidRPr="00671C57" w14:paraId="51173460" w14:textId="77777777" w:rsidTr="00567A4B">
        <w:trPr>
          <w:tblHeader/>
        </w:trPr>
        <w:tc>
          <w:tcPr>
            <w:tcW w:w="784" w:type="pct"/>
          </w:tcPr>
          <w:p w14:paraId="23C74806" w14:textId="77777777" w:rsidR="009218F1" w:rsidRPr="00671C57" w:rsidRDefault="009218F1" w:rsidP="00567A4B">
            <w:pPr>
              <w:pStyle w:val="Tabletext"/>
              <w:keepNext/>
              <w:rPr>
                <w:b/>
                <w:bCs/>
                <w:snapToGrid w:val="0"/>
              </w:rPr>
            </w:pPr>
            <w:r w:rsidRPr="00671C57">
              <w:rPr>
                <w:b/>
                <w:bCs/>
                <w:snapToGrid w:val="0"/>
              </w:rPr>
              <w:t>Description</w:t>
            </w:r>
          </w:p>
        </w:tc>
        <w:tc>
          <w:tcPr>
            <w:tcW w:w="2201" w:type="pct"/>
          </w:tcPr>
          <w:p w14:paraId="2F22C81A" w14:textId="77777777" w:rsidR="009218F1" w:rsidRPr="00671C57" w:rsidRDefault="009218F1" w:rsidP="00567A4B">
            <w:pPr>
              <w:pStyle w:val="Tabletext"/>
              <w:keepNext/>
              <w:rPr>
                <w:b/>
                <w:bCs/>
                <w:snapToGrid w:val="0"/>
              </w:rPr>
            </w:pPr>
            <w:r w:rsidRPr="00671C57">
              <w:rPr>
                <w:b/>
                <w:bCs/>
                <w:snapToGrid w:val="0"/>
              </w:rPr>
              <w:t>Method/Value</w:t>
            </w:r>
          </w:p>
        </w:tc>
        <w:tc>
          <w:tcPr>
            <w:tcW w:w="2015" w:type="pct"/>
          </w:tcPr>
          <w:p w14:paraId="64635094" w14:textId="77777777" w:rsidR="009218F1" w:rsidRPr="00671C57" w:rsidRDefault="009218F1" w:rsidP="00567A4B">
            <w:pPr>
              <w:pStyle w:val="Tabletext"/>
              <w:keepNext/>
              <w:rPr>
                <w:b/>
                <w:bCs/>
                <w:snapToGrid w:val="0"/>
              </w:rPr>
            </w:pPr>
            <w:r w:rsidRPr="00671C57">
              <w:rPr>
                <w:b/>
                <w:bCs/>
                <w:snapToGrid w:val="0"/>
              </w:rPr>
              <w:t>Impact</w:t>
            </w:r>
          </w:p>
        </w:tc>
      </w:tr>
      <w:tr w:rsidR="009218F1" w:rsidRPr="00DA4A21" w14:paraId="58D115F0" w14:textId="77777777" w:rsidTr="001F4142">
        <w:tc>
          <w:tcPr>
            <w:tcW w:w="784" w:type="pct"/>
          </w:tcPr>
          <w:p w14:paraId="02413553" w14:textId="77777777" w:rsidR="009218F1" w:rsidRPr="00D53C13" w:rsidRDefault="009218F1" w:rsidP="001F4142">
            <w:pPr>
              <w:pStyle w:val="Tabletext"/>
              <w:rPr>
                <w:snapToGrid w:val="0"/>
              </w:rPr>
            </w:pPr>
            <w:bookmarkStart w:id="56" w:name="_Hlk58867778"/>
            <w:r w:rsidRPr="00D53C13">
              <w:rPr>
                <w:snapToGrid w:val="0"/>
              </w:rPr>
              <w:t>Cost of the AM product</w:t>
            </w:r>
          </w:p>
        </w:tc>
        <w:tc>
          <w:tcPr>
            <w:tcW w:w="2201" w:type="pct"/>
          </w:tcPr>
          <w:p w14:paraId="1AA75A97" w14:textId="77777777" w:rsidR="009218F1" w:rsidRPr="00D53C13" w:rsidRDefault="009218F1" w:rsidP="001F4142">
            <w:pPr>
              <w:pStyle w:val="Tabletext"/>
              <w:rPr>
                <w:snapToGrid w:val="0"/>
              </w:rPr>
            </w:pPr>
            <w:r w:rsidRPr="00D53C13">
              <w:rPr>
                <w:snapToGrid w:val="0"/>
              </w:rPr>
              <w:t xml:space="preserve">AM was included in the model using the </w:t>
            </w:r>
            <w:r>
              <w:rPr>
                <w:snapToGrid w:val="0"/>
              </w:rPr>
              <w:t xml:space="preserve">applicants proposed </w:t>
            </w:r>
            <w:r w:rsidRPr="00D53C13">
              <w:rPr>
                <w:snapToGrid w:val="0"/>
              </w:rPr>
              <w:t xml:space="preserve">average cost of $579 per 5cm circle. The cost of </w:t>
            </w:r>
            <w:r>
              <w:rPr>
                <w:snapToGrid w:val="0"/>
              </w:rPr>
              <w:t>the dehydrated AM product (</w:t>
            </w:r>
            <w:proofErr w:type="spellStart"/>
            <w:r w:rsidRPr="00D53C13">
              <w:rPr>
                <w:snapToGrid w:val="0"/>
              </w:rPr>
              <w:t>EpiFix</w:t>
            </w:r>
            <w:proofErr w:type="spellEnd"/>
            <w:r>
              <w:rPr>
                <w:snapToGrid w:val="0"/>
              </w:rPr>
              <w:t>)</w:t>
            </w:r>
            <w:r w:rsidRPr="00D53C13">
              <w:rPr>
                <w:snapToGrid w:val="0"/>
              </w:rPr>
              <w:t xml:space="preserve"> is </w:t>
            </w:r>
            <w:r>
              <w:rPr>
                <w:snapToGrid w:val="0"/>
              </w:rPr>
              <w:t xml:space="preserve">three times </w:t>
            </w:r>
            <w:r w:rsidRPr="00D53C13">
              <w:rPr>
                <w:snapToGrid w:val="0"/>
              </w:rPr>
              <w:t xml:space="preserve">this cost. When included in cost calculations, the ICER increased </w:t>
            </w:r>
            <w:r>
              <w:rPr>
                <w:snapToGrid w:val="0"/>
              </w:rPr>
              <w:t xml:space="preserve">to four hundred thousand. </w:t>
            </w:r>
            <w:proofErr w:type="spellStart"/>
            <w:r w:rsidRPr="00D545EA">
              <w:rPr>
                <w:snapToGrid w:val="0"/>
              </w:rPr>
              <w:t>Apligraf</w:t>
            </w:r>
            <w:proofErr w:type="spellEnd"/>
            <w:r w:rsidRPr="00D545EA">
              <w:rPr>
                <w:snapToGrid w:val="0"/>
              </w:rPr>
              <w:t>®</w:t>
            </w:r>
            <w:r>
              <w:rPr>
                <w:snapToGrid w:val="0"/>
              </w:rPr>
              <w:t xml:space="preserve"> was included as a comparator. It is more expensive and had lower healing rates when compared to AM in the </w:t>
            </w:r>
            <w:proofErr w:type="spellStart"/>
            <w:r>
              <w:rPr>
                <w:snapToGrid w:val="0"/>
              </w:rPr>
              <w:t>Zelen</w:t>
            </w:r>
            <w:proofErr w:type="spellEnd"/>
            <w:r>
              <w:rPr>
                <w:snapToGrid w:val="0"/>
              </w:rPr>
              <w:t xml:space="preserve"> trial. Correspondingly it is dominated. </w:t>
            </w:r>
          </w:p>
        </w:tc>
        <w:tc>
          <w:tcPr>
            <w:tcW w:w="2015" w:type="pct"/>
          </w:tcPr>
          <w:p w14:paraId="214B177F" w14:textId="77777777" w:rsidR="009218F1" w:rsidRPr="00D53C13" w:rsidRDefault="009218F1" w:rsidP="001F4142">
            <w:pPr>
              <w:pStyle w:val="Tabletext"/>
              <w:rPr>
                <w:snapToGrid w:val="0"/>
              </w:rPr>
            </w:pPr>
            <w:r w:rsidRPr="00D53C13">
              <w:rPr>
                <w:snapToGrid w:val="0"/>
              </w:rPr>
              <w:t xml:space="preserve">The use of the </w:t>
            </w:r>
            <w:r w:rsidRPr="00E40243">
              <w:rPr>
                <w:snapToGrid w:val="0"/>
              </w:rPr>
              <w:t>dehydrated AM product</w:t>
            </w:r>
            <w:r w:rsidRPr="00D53C13">
              <w:rPr>
                <w:snapToGrid w:val="0"/>
              </w:rPr>
              <w:t xml:space="preserve"> price has the largest impact on the estimated ICER. </w:t>
            </w:r>
            <w:r>
              <w:rPr>
                <w:snapToGrid w:val="0"/>
              </w:rPr>
              <w:t>The sensitivity analysis assumed no change in healing rate between the frozen and dried AM products due to a lack of data. Assumed wound size and size of AM used also have a large impact on the ICER given price sensitivity of results.</w:t>
            </w:r>
          </w:p>
        </w:tc>
      </w:tr>
      <w:tr w:rsidR="009218F1" w:rsidRPr="00DA4A21" w14:paraId="61995DA0" w14:textId="77777777" w:rsidTr="001F4142">
        <w:tc>
          <w:tcPr>
            <w:tcW w:w="784" w:type="pct"/>
          </w:tcPr>
          <w:p w14:paraId="684377DE" w14:textId="77777777" w:rsidR="009218F1" w:rsidRPr="00D53C13" w:rsidRDefault="009218F1" w:rsidP="001F4142">
            <w:pPr>
              <w:pStyle w:val="Tabletext"/>
              <w:rPr>
                <w:snapToGrid w:val="0"/>
              </w:rPr>
            </w:pPr>
            <w:r w:rsidRPr="00D53C13">
              <w:rPr>
                <w:snapToGrid w:val="0"/>
              </w:rPr>
              <w:t>Healing rates</w:t>
            </w:r>
            <w:r>
              <w:rPr>
                <w:snapToGrid w:val="0"/>
              </w:rPr>
              <w:t xml:space="preserve"> across three major trials</w:t>
            </w:r>
          </w:p>
        </w:tc>
        <w:tc>
          <w:tcPr>
            <w:tcW w:w="2201" w:type="pct"/>
          </w:tcPr>
          <w:p w14:paraId="7F5A7E20" w14:textId="77777777" w:rsidR="009218F1" w:rsidRDefault="009218F1" w:rsidP="001F4142">
            <w:pPr>
              <w:pStyle w:val="Tabletext"/>
              <w:rPr>
                <w:snapToGrid w:val="0"/>
              </w:rPr>
            </w:pPr>
            <w:r>
              <w:rPr>
                <w:snapToGrid w:val="0"/>
              </w:rPr>
              <w:t xml:space="preserve">Healing rates in major trials were averaged and included as base transition rates for AM and SOC. The selection of the highest and lowest values from these trials was used in a sensitivity analysis. </w:t>
            </w:r>
          </w:p>
        </w:tc>
        <w:tc>
          <w:tcPr>
            <w:tcW w:w="2015" w:type="pct"/>
          </w:tcPr>
          <w:p w14:paraId="4DA582D7" w14:textId="77777777" w:rsidR="009218F1" w:rsidRDefault="009218F1" w:rsidP="001F4142">
            <w:pPr>
              <w:pStyle w:val="Tabletext"/>
              <w:rPr>
                <w:snapToGrid w:val="0"/>
              </w:rPr>
            </w:pPr>
            <w:r>
              <w:rPr>
                <w:snapToGrid w:val="0"/>
              </w:rPr>
              <w:t xml:space="preserve">The inclusion of high and low values from the trials had a large impact on the calculated ICER. Lower and higher values were associated with specific trials, so comparing a high value from one trial with a low value from a another may overlook contextual factors and overstate potential impacts </w:t>
            </w:r>
          </w:p>
        </w:tc>
      </w:tr>
      <w:tr w:rsidR="009218F1" w:rsidRPr="00DA4A21" w14:paraId="3F90385A" w14:textId="77777777" w:rsidTr="001F4142">
        <w:tc>
          <w:tcPr>
            <w:tcW w:w="784" w:type="pct"/>
          </w:tcPr>
          <w:p w14:paraId="53A9B610" w14:textId="77777777" w:rsidR="009218F1" w:rsidRPr="00D53C13" w:rsidRDefault="009218F1" w:rsidP="001F4142">
            <w:pPr>
              <w:pStyle w:val="Tabletext"/>
              <w:rPr>
                <w:snapToGrid w:val="0"/>
              </w:rPr>
            </w:pPr>
            <w:r w:rsidRPr="00D53C13">
              <w:rPr>
                <w:snapToGrid w:val="0"/>
              </w:rPr>
              <w:t xml:space="preserve">Utility assumed for no DFU and uncomplicated DFU </w:t>
            </w:r>
          </w:p>
        </w:tc>
        <w:tc>
          <w:tcPr>
            <w:tcW w:w="2201" w:type="pct"/>
          </w:tcPr>
          <w:p w14:paraId="30BA7614" w14:textId="77777777" w:rsidR="009218F1" w:rsidRPr="00D53C13" w:rsidRDefault="009218F1" w:rsidP="001F4142">
            <w:pPr>
              <w:pStyle w:val="Tabletext"/>
              <w:rPr>
                <w:snapToGrid w:val="0"/>
              </w:rPr>
            </w:pPr>
            <w:r>
              <w:rPr>
                <w:snapToGrid w:val="0"/>
              </w:rPr>
              <w:t>The model assumed utility values from one economic study. The utility for on DFU was 0.84 and uncomplicated DFU was 0.75. Given that data sources were limited, values were varied by twenty percent as part of sensitivity analysis to gauge model robustness to changes in this assumption.</w:t>
            </w:r>
          </w:p>
        </w:tc>
        <w:tc>
          <w:tcPr>
            <w:tcW w:w="2015" w:type="pct"/>
          </w:tcPr>
          <w:p w14:paraId="7C50B72D" w14:textId="77777777" w:rsidR="009218F1" w:rsidRPr="00BC542D" w:rsidRDefault="009218F1" w:rsidP="001F4142">
            <w:pPr>
              <w:pStyle w:val="Tabletext"/>
              <w:rPr>
                <w:snapToGrid w:val="0"/>
                <w:highlight w:val="green"/>
              </w:rPr>
            </w:pPr>
            <w:r>
              <w:rPr>
                <w:snapToGrid w:val="0"/>
              </w:rPr>
              <w:t>The difference between the values assigned for these states has a large impact on the calculated ICER, as most patients reside in each of these states, and differences between AM and SC arms are driven by healing rates</w:t>
            </w:r>
            <w:r w:rsidRPr="00D545EA">
              <w:rPr>
                <w:snapToGrid w:val="0"/>
              </w:rPr>
              <w:t xml:space="preserve">. </w:t>
            </w:r>
            <w:r>
              <w:rPr>
                <w:snapToGrid w:val="0"/>
              </w:rPr>
              <w:t>Twenty</w:t>
            </w:r>
            <w:r w:rsidRPr="00D545EA">
              <w:rPr>
                <w:snapToGrid w:val="0"/>
              </w:rPr>
              <w:t xml:space="preserve"> percent variation did not</w:t>
            </w:r>
            <w:r>
              <w:rPr>
                <w:snapToGrid w:val="0"/>
              </w:rPr>
              <w:t xml:space="preserve"> have</w:t>
            </w:r>
            <w:r w:rsidRPr="00D545EA">
              <w:rPr>
                <w:snapToGrid w:val="0"/>
              </w:rPr>
              <w:t xml:space="preserve"> as large an impact as changes in AM product prices.</w:t>
            </w:r>
          </w:p>
        </w:tc>
      </w:tr>
      <w:tr w:rsidR="009218F1" w:rsidRPr="004517AD" w14:paraId="5599E01C" w14:textId="77777777" w:rsidTr="001F4142">
        <w:tc>
          <w:tcPr>
            <w:tcW w:w="784" w:type="pct"/>
          </w:tcPr>
          <w:p w14:paraId="1ACEAA0B" w14:textId="77777777" w:rsidR="009218F1" w:rsidRPr="00D53C13" w:rsidRDefault="009218F1" w:rsidP="001F4142">
            <w:pPr>
              <w:pStyle w:val="Tabletext"/>
              <w:rPr>
                <w:snapToGrid w:val="0"/>
              </w:rPr>
            </w:pPr>
            <w:r>
              <w:rPr>
                <w:snapToGrid w:val="0"/>
              </w:rPr>
              <w:t>Limiting model projection over trial period of 12 weeks.</w:t>
            </w:r>
          </w:p>
        </w:tc>
        <w:tc>
          <w:tcPr>
            <w:tcW w:w="2201" w:type="pct"/>
          </w:tcPr>
          <w:p w14:paraId="055E1734" w14:textId="77777777" w:rsidR="009218F1" w:rsidRPr="00D53C13" w:rsidRDefault="009218F1" w:rsidP="001F4142">
            <w:pPr>
              <w:pStyle w:val="Tabletext"/>
              <w:rPr>
                <w:snapToGrid w:val="0"/>
              </w:rPr>
            </w:pPr>
            <w:r>
              <w:rPr>
                <w:snapToGrid w:val="0"/>
              </w:rPr>
              <w:t xml:space="preserve">A stepped analysis was undertaken given that trial data was limited to 12 weeks. Extrapolation was undertaken using probabilities in the Australian Cheng DFU model. </w:t>
            </w:r>
          </w:p>
        </w:tc>
        <w:tc>
          <w:tcPr>
            <w:tcW w:w="2015" w:type="pct"/>
          </w:tcPr>
          <w:p w14:paraId="05ACEA01" w14:textId="77777777" w:rsidR="009218F1" w:rsidRDefault="009218F1" w:rsidP="001F4142">
            <w:pPr>
              <w:pStyle w:val="Tabletext"/>
              <w:rPr>
                <w:snapToGrid w:val="0"/>
              </w:rPr>
            </w:pPr>
            <w:r>
              <w:rPr>
                <w:snapToGrid w:val="0"/>
              </w:rPr>
              <w:t>There was a large difference between ICERS estimated at 12 weeks and 5-years. Given trial maximum follow-up was limited to 12 weeks, there is considerable uncertainty about the long-term clinical benefit of AM.</w:t>
            </w:r>
          </w:p>
        </w:tc>
      </w:tr>
    </w:tbl>
    <w:bookmarkEnd w:id="56"/>
    <w:p w14:paraId="0B377169" w14:textId="77777777" w:rsidR="009218F1" w:rsidRPr="00450D07" w:rsidRDefault="009218F1" w:rsidP="00AB5515">
      <w:pPr>
        <w:pStyle w:val="Tablenotes"/>
      </w:pPr>
      <w:r w:rsidRPr="00450D07">
        <w:t>Source: Table 5, p13 of the DCAR</w:t>
      </w:r>
    </w:p>
    <w:p w14:paraId="69067773" w14:textId="77777777" w:rsidR="009218F1" w:rsidRPr="00394023" w:rsidRDefault="009218F1" w:rsidP="00AB5515">
      <w:pPr>
        <w:pStyle w:val="Tablenotes"/>
      </w:pPr>
      <w:r w:rsidRPr="00450D07">
        <w:t>Abbreviations:</w:t>
      </w:r>
      <w:r w:rsidRPr="00070DEB">
        <w:t xml:space="preserve"> </w:t>
      </w:r>
      <w:r>
        <w:t>AE = adverse event,</w:t>
      </w:r>
      <w:r w:rsidRPr="00795D4E">
        <w:t xml:space="preserve"> </w:t>
      </w:r>
      <w:r>
        <w:t xml:space="preserve">AM = amnion membrane, </w:t>
      </w:r>
      <w:r w:rsidRPr="00795D4E">
        <w:t xml:space="preserve">ICER = </w:t>
      </w:r>
      <w:r>
        <w:t>i</w:t>
      </w:r>
      <w:r w:rsidRPr="00795D4E">
        <w:t xml:space="preserve">ncremental </w:t>
      </w:r>
      <w:r>
        <w:t>c</w:t>
      </w:r>
      <w:r w:rsidRPr="00795D4E">
        <w:t xml:space="preserve">ost </w:t>
      </w:r>
      <w:r>
        <w:t>e</w:t>
      </w:r>
      <w:r w:rsidRPr="00795D4E">
        <w:t xml:space="preserve">ffectiveness </w:t>
      </w:r>
      <w:r>
        <w:t>r</w:t>
      </w:r>
      <w:r w:rsidRPr="00795D4E">
        <w:t>atio, QALYs</w:t>
      </w:r>
      <w:r>
        <w:t xml:space="preserve"> </w:t>
      </w:r>
      <w:r w:rsidRPr="00795D4E">
        <w:t>= quality</w:t>
      </w:r>
      <w:r>
        <w:t>-</w:t>
      </w:r>
      <w:r w:rsidRPr="00795D4E">
        <w:t>adjusted life years</w:t>
      </w:r>
      <w:r>
        <w:t>, SOC = standard of care</w:t>
      </w:r>
    </w:p>
    <w:p w14:paraId="38215A5C" w14:textId="77777777" w:rsidR="00BC1364" w:rsidRPr="00F715D1" w:rsidRDefault="00BC1364" w:rsidP="00F715D1">
      <w:pPr>
        <w:pStyle w:val="Heading1"/>
      </w:pPr>
      <w:r w:rsidRPr="00F715D1">
        <w:t>Financial/budgetary impacts</w:t>
      </w:r>
    </w:p>
    <w:p w14:paraId="0A943542" w14:textId="221F206B" w:rsidR="00AB5515" w:rsidRPr="00AB5515" w:rsidRDefault="009218F1">
      <w:r>
        <w:t>The po</w:t>
      </w:r>
      <w:r w:rsidRPr="003C06B4">
        <w:t xml:space="preserve">tential AM uptake in each </w:t>
      </w:r>
      <w:r>
        <w:t>subpopulation within three populations was</w:t>
      </w:r>
      <w:r w:rsidRPr="003C06B4">
        <w:t xml:space="preserve"> estimated using an epidemiologic approach</w:t>
      </w:r>
      <w:r>
        <w:t xml:space="preserve"> (</w:t>
      </w:r>
      <w:r>
        <w:fldChar w:fldCharType="begin"/>
      </w:r>
      <w:r>
        <w:instrText xml:space="preserve"> REF _Ref56163530 \h </w:instrText>
      </w:r>
      <w:r>
        <w:fldChar w:fldCharType="separate"/>
      </w:r>
      <w:r w:rsidRPr="00F873AB">
        <w:t xml:space="preserve">Table </w:t>
      </w:r>
      <w:r>
        <w:rPr>
          <w:noProof/>
        </w:rPr>
        <w:t>10</w:t>
      </w:r>
      <w:r>
        <w:fldChar w:fldCharType="end"/>
      </w:r>
      <w:r>
        <w:t xml:space="preserve">). The projected adoptions are assumptions made by the assessment group on the potential uptake of amnion membrane for each subpopulation. </w:t>
      </w:r>
      <w:bookmarkStart w:id="57" w:name="_Ref56163530"/>
      <w:bookmarkStart w:id="58" w:name="_Toc58917236"/>
      <w:bookmarkStart w:id="59" w:name="_Toc59536720"/>
      <w:r w:rsidR="00AB5515">
        <w:br w:type="page"/>
      </w:r>
    </w:p>
    <w:p w14:paraId="7CC9F91E" w14:textId="7DCBB2B8" w:rsidR="009218F1" w:rsidRPr="00F873AB" w:rsidRDefault="009218F1" w:rsidP="009218F1">
      <w:pPr>
        <w:pStyle w:val="Caption"/>
        <w:rPr>
          <w:noProof/>
        </w:rPr>
      </w:pPr>
      <w:r w:rsidRPr="00F873AB">
        <w:lastRenderedPageBreak/>
        <w:t xml:space="preserve">Table </w:t>
      </w:r>
      <w:r w:rsidRPr="00F873AB">
        <w:rPr>
          <w:noProof/>
        </w:rPr>
        <w:fldChar w:fldCharType="begin"/>
      </w:r>
      <w:r w:rsidRPr="00F873AB">
        <w:rPr>
          <w:noProof/>
        </w:rPr>
        <w:instrText xml:space="preserve"> SEQ Table \* ARABIC </w:instrText>
      </w:r>
      <w:r w:rsidRPr="00F873AB">
        <w:rPr>
          <w:noProof/>
        </w:rPr>
        <w:fldChar w:fldCharType="separate"/>
      </w:r>
      <w:r>
        <w:rPr>
          <w:noProof/>
        </w:rPr>
        <w:t>10</w:t>
      </w:r>
      <w:r w:rsidRPr="00F873AB">
        <w:rPr>
          <w:noProof/>
        </w:rPr>
        <w:fldChar w:fldCharType="end"/>
      </w:r>
      <w:bookmarkEnd w:id="57"/>
      <w:r>
        <w:rPr>
          <w:noProof/>
        </w:rPr>
        <w:tab/>
      </w:r>
      <w:r w:rsidRPr="00F873AB">
        <w:t xml:space="preserve">Projected </w:t>
      </w:r>
      <w:r w:rsidRPr="00F873AB">
        <w:rPr>
          <w:noProof/>
        </w:rPr>
        <w:t>AM patients in Australia by subpopulation, 2021</w:t>
      </w:r>
      <w:r>
        <w:rPr>
          <w:noProof/>
        </w:rPr>
        <w:t>–</w:t>
      </w:r>
      <w:r w:rsidRPr="00F873AB">
        <w:rPr>
          <w:noProof/>
        </w:rPr>
        <w:t>25</w:t>
      </w:r>
      <w:bookmarkEnd w:id="58"/>
      <w:bookmarkEnd w:id="59"/>
    </w:p>
    <w:tbl>
      <w:tblPr>
        <w:tblStyle w:val="OPTUMTableNormal"/>
        <w:tblW w:w="9067" w:type="dxa"/>
        <w:tblLayout w:type="fixed"/>
        <w:tblLook w:val="04A0" w:firstRow="1" w:lastRow="0" w:firstColumn="1" w:lastColumn="0" w:noHBand="0" w:noVBand="1"/>
        <w:tblCaption w:val="Table 10 Projected AM patients in Australia by subpopulation, 2021–25"/>
      </w:tblPr>
      <w:tblGrid>
        <w:gridCol w:w="1696"/>
        <w:gridCol w:w="567"/>
        <w:gridCol w:w="709"/>
        <w:gridCol w:w="709"/>
        <w:gridCol w:w="709"/>
        <w:gridCol w:w="708"/>
        <w:gridCol w:w="709"/>
        <w:gridCol w:w="3260"/>
      </w:tblGrid>
      <w:tr w:rsidR="009218F1" w:rsidRPr="00F873AB" w14:paraId="1DDB911D" w14:textId="77777777" w:rsidTr="00567A4B">
        <w:trPr>
          <w:cnfStyle w:val="100000000000" w:firstRow="1" w:lastRow="0" w:firstColumn="0" w:lastColumn="0" w:oddVBand="0" w:evenVBand="0" w:oddHBand="0" w:evenHBand="0" w:firstRowFirstColumn="0" w:firstRowLastColumn="0" w:lastRowFirstColumn="0" w:lastRowLastColumn="0"/>
          <w:trHeight w:val="255"/>
          <w:tblHeader/>
        </w:trPr>
        <w:tc>
          <w:tcPr>
            <w:tcW w:w="1696" w:type="dxa"/>
            <w:noWrap/>
            <w:hideMark/>
          </w:tcPr>
          <w:p w14:paraId="6B66EF87" w14:textId="77777777" w:rsidR="009218F1" w:rsidRPr="00F873AB" w:rsidRDefault="009218F1" w:rsidP="001F4142">
            <w:pPr>
              <w:pStyle w:val="Tabletext"/>
              <w:rPr>
                <w:b/>
                <w:bCs/>
              </w:rPr>
            </w:pPr>
            <w:r w:rsidRPr="00F873AB">
              <w:rPr>
                <w:b/>
                <w:bCs/>
              </w:rPr>
              <w:t>With PL listing of AM</w:t>
            </w:r>
          </w:p>
        </w:tc>
        <w:tc>
          <w:tcPr>
            <w:tcW w:w="567" w:type="dxa"/>
            <w:noWrap/>
            <w:hideMark/>
          </w:tcPr>
          <w:p w14:paraId="67000327" w14:textId="77777777" w:rsidR="009218F1" w:rsidRPr="00F873AB" w:rsidRDefault="009218F1" w:rsidP="001F4142">
            <w:pPr>
              <w:pStyle w:val="Tabletext"/>
              <w:rPr>
                <w:b/>
                <w:bCs/>
              </w:rPr>
            </w:pPr>
            <w:r w:rsidRPr="00F873AB">
              <w:rPr>
                <w:b/>
                <w:bCs/>
              </w:rPr>
              <w:t>Row</w:t>
            </w:r>
          </w:p>
        </w:tc>
        <w:tc>
          <w:tcPr>
            <w:tcW w:w="709" w:type="dxa"/>
            <w:noWrap/>
            <w:hideMark/>
          </w:tcPr>
          <w:p w14:paraId="0685EBC7" w14:textId="77777777" w:rsidR="009218F1" w:rsidRPr="00F873AB" w:rsidRDefault="009218F1" w:rsidP="001F4142">
            <w:pPr>
              <w:pStyle w:val="Tabletext"/>
              <w:rPr>
                <w:b/>
                <w:bCs/>
              </w:rPr>
            </w:pPr>
            <w:r w:rsidRPr="00F873AB">
              <w:rPr>
                <w:b/>
                <w:bCs/>
              </w:rPr>
              <w:t>2021</w:t>
            </w:r>
          </w:p>
        </w:tc>
        <w:tc>
          <w:tcPr>
            <w:tcW w:w="709" w:type="dxa"/>
            <w:noWrap/>
            <w:hideMark/>
          </w:tcPr>
          <w:p w14:paraId="5AB2E764" w14:textId="77777777" w:rsidR="009218F1" w:rsidRPr="00F873AB" w:rsidRDefault="009218F1" w:rsidP="001F4142">
            <w:pPr>
              <w:pStyle w:val="Tabletext"/>
              <w:rPr>
                <w:b/>
                <w:bCs/>
              </w:rPr>
            </w:pPr>
            <w:r w:rsidRPr="00F873AB">
              <w:rPr>
                <w:b/>
                <w:bCs/>
              </w:rPr>
              <w:t>2022</w:t>
            </w:r>
          </w:p>
        </w:tc>
        <w:tc>
          <w:tcPr>
            <w:tcW w:w="709" w:type="dxa"/>
            <w:noWrap/>
            <w:hideMark/>
          </w:tcPr>
          <w:p w14:paraId="1C63C6B7" w14:textId="77777777" w:rsidR="009218F1" w:rsidRPr="00F873AB" w:rsidRDefault="009218F1" w:rsidP="001F4142">
            <w:pPr>
              <w:pStyle w:val="Tabletext"/>
              <w:rPr>
                <w:b/>
                <w:bCs/>
              </w:rPr>
            </w:pPr>
            <w:r w:rsidRPr="00F873AB">
              <w:rPr>
                <w:b/>
                <w:bCs/>
              </w:rPr>
              <w:t>2023</w:t>
            </w:r>
          </w:p>
        </w:tc>
        <w:tc>
          <w:tcPr>
            <w:tcW w:w="708" w:type="dxa"/>
            <w:noWrap/>
            <w:hideMark/>
          </w:tcPr>
          <w:p w14:paraId="3ACB16B9" w14:textId="77777777" w:rsidR="009218F1" w:rsidRPr="00F873AB" w:rsidRDefault="009218F1" w:rsidP="001F4142">
            <w:pPr>
              <w:pStyle w:val="Tabletext"/>
              <w:rPr>
                <w:b/>
                <w:bCs/>
              </w:rPr>
            </w:pPr>
            <w:r w:rsidRPr="00F873AB">
              <w:rPr>
                <w:b/>
                <w:bCs/>
              </w:rPr>
              <w:t>2024</w:t>
            </w:r>
          </w:p>
        </w:tc>
        <w:tc>
          <w:tcPr>
            <w:tcW w:w="709" w:type="dxa"/>
            <w:noWrap/>
            <w:hideMark/>
          </w:tcPr>
          <w:p w14:paraId="1C33928C" w14:textId="77777777" w:rsidR="009218F1" w:rsidRPr="00F873AB" w:rsidRDefault="009218F1" w:rsidP="001F4142">
            <w:pPr>
              <w:pStyle w:val="Tabletext"/>
              <w:rPr>
                <w:b/>
                <w:bCs/>
              </w:rPr>
            </w:pPr>
            <w:r w:rsidRPr="00F873AB">
              <w:rPr>
                <w:b/>
                <w:bCs/>
              </w:rPr>
              <w:t>2025</w:t>
            </w:r>
          </w:p>
        </w:tc>
        <w:tc>
          <w:tcPr>
            <w:tcW w:w="3260" w:type="dxa"/>
            <w:noWrap/>
            <w:hideMark/>
          </w:tcPr>
          <w:p w14:paraId="0189C873" w14:textId="77777777" w:rsidR="009218F1" w:rsidRPr="00F873AB" w:rsidRDefault="009218F1" w:rsidP="001F4142">
            <w:pPr>
              <w:pStyle w:val="Tabletext"/>
              <w:rPr>
                <w:b/>
                <w:bCs/>
              </w:rPr>
            </w:pPr>
            <w:r w:rsidRPr="00F873AB">
              <w:rPr>
                <w:b/>
                <w:bCs/>
              </w:rPr>
              <w:t>Source</w:t>
            </w:r>
          </w:p>
        </w:tc>
      </w:tr>
      <w:tr w:rsidR="009218F1" w:rsidRPr="00F873AB" w14:paraId="14D5A04E" w14:textId="77777777" w:rsidTr="001F4142">
        <w:trPr>
          <w:trHeight w:val="255"/>
        </w:trPr>
        <w:tc>
          <w:tcPr>
            <w:tcW w:w="1696" w:type="dxa"/>
            <w:tcBorders>
              <w:right w:val="nil"/>
            </w:tcBorders>
            <w:shd w:val="clear" w:color="auto" w:fill="D9D9D9" w:themeFill="background1" w:themeFillShade="D9"/>
            <w:noWrap/>
          </w:tcPr>
          <w:p w14:paraId="0B5AB4E5" w14:textId="77777777" w:rsidR="009218F1" w:rsidRPr="00F873AB" w:rsidRDefault="009218F1" w:rsidP="001F4142">
            <w:pPr>
              <w:pStyle w:val="Tabletext"/>
            </w:pPr>
            <w:r w:rsidRPr="00F873AB">
              <w:rPr>
                <w:b/>
                <w:bCs/>
              </w:rPr>
              <w:t>Acute ophthalmic conditions</w:t>
            </w:r>
          </w:p>
        </w:tc>
        <w:tc>
          <w:tcPr>
            <w:tcW w:w="567" w:type="dxa"/>
            <w:tcBorders>
              <w:left w:val="nil"/>
              <w:right w:val="nil"/>
            </w:tcBorders>
            <w:shd w:val="clear" w:color="auto" w:fill="D9D9D9" w:themeFill="background1" w:themeFillShade="D9"/>
            <w:noWrap/>
          </w:tcPr>
          <w:p w14:paraId="31DA6C61" w14:textId="77777777" w:rsidR="009218F1" w:rsidRPr="00F873AB" w:rsidRDefault="009218F1" w:rsidP="001F4142">
            <w:pPr>
              <w:pStyle w:val="Tabletext"/>
            </w:pPr>
          </w:p>
        </w:tc>
        <w:tc>
          <w:tcPr>
            <w:tcW w:w="709" w:type="dxa"/>
            <w:tcBorders>
              <w:left w:val="nil"/>
              <w:right w:val="nil"/>
            </w:tcBorders>
            <w:shd w:val="clear" w:color="auto" w:fill="D9D9D9" w:themeFill="background1" w:themeFillShade="D9"/>
            <w:noWrap/>
          </w:tcPr>
          <w:p w14:paraId="237C8365" w14:textId="77777777" w:rsidR="009218F1" w:rsidRPr="00F873AB" w:rsidRDefault="009218F1" w:rsidP="001F4142">
            <w:pPr>
              <w:pStyle w:val="Tabletext"/>
              <w:rPr>
                <w:rFonts w:cs="Calibri"/>
                <w:color w:val="000000"/>
              </w:rPr>
            </w:pPr>
          </w:p>
        </w:tc>
        <w:tc>
          <w:tcPr>
            <w:tcW w:w="709" w:type="dxa"/>
            <w:tcBorders>
              <w:left w:val="nil"/>
              <w:right w:val="nil"/>
            </w:tcBorders>
            <w:shd w:val="clear" w:color="auto" w:fill="D9D9D9" w:themeFill="background1" w:themeFillShade="D9"/>
            <w:noWrap/>
          </w:tcPr>
          <w:p w14:paraId="7AC973B8" w14:textId="77777777" w:rsidR="009218F1" w:rsidRPr="00F873AB" w:rsidRDefault="009218F1" w:rsidP="001F4142">
            <w:pPr>
              <w:pStyle w:val="Tabletext"/>
              <w:rPr>
                <w:rFonts w:cs="Calibri"/>
                <w:color w:val="000000"/>
              </w:rPr>
            </w:pPr>
          </w:p>
        </w:tc>
        <w:tc>
          <w:tcPr>
            <w:tcW w:w="709" w:type="dxa"/>
            <w:tcBorders>
              <w:left w:val="nil"/>
              <w:right w:val="nil"/>
            </w:tcBorders>
            <w:shd w:val="clear" w:color="auto" w:fill="D9D9D9" w:themeFill="background1" w:themeFillShade="D9"/>
            <w:noWrap/>
          </w:tcPr>
          <w:p w14:paraId="1D6960FB" w14:textId="77777777" w:rsidR="009218F1" w:rsidRPr="00F873AB" w:rsidRDefault="009218F1" w:rsidP="001F4142">
            <w:pPr>
              <w:pStyle w:val="Tabletext"/>
              <w:rPr>
                <w:rFonts w:cs="Calibri"/>
                <w:color w:val="000000"/>
              </w:rPr>
            </w:pPr>
          </w:p>
        </w:tc>
        <w:tc>
          <w:tcPr>
            <w:tcW w:w="708" w:type="dxa"/>
            <w:tcBorders>
              <w:left w:val="nil"/>
              <w:right w:val="nil"/>
            </w:tcBorders>
            <w:shd w:val="clear" w:color="auto" w:fill="D9D9D9" w:themeFill="background1" w:themeFillShade="D9"/>
            <w:noWrap/>
          </w:tcPr>
          <w:p w14:paraId="6EBA341A" w14:textId="77777777" w:rsidR="009218F1" w:rsidRPr="00F873AB" w:rsidRDefault="009218F1" w:rsidP="001F4142">
            <w:pPr>
              <w:pStyle w:val="Tabletext"/>
              <w:rPr>
                <w:rFonts w:cs="Calibri"/>
                <w:color w:val="000000"/>
              </w:rPr>
            </w:pPr>
          </w:p>
        </w:tc>
        <w:tc>
          <w:tcPr>
            <w:tcW w:w="709" w:type="dxa"/>
            <w:tcBorders>
              <w:left w:val="nil"/>
              <w:right w:val="nil"/>
            </w:tcBorders>
            <w:shd w:val="clear" w:color="auto" w:fill="D9D9D9" w:themeFill="background1" w:themeFillShade="D9"/>
            <w:noWrap/>
          </w:tcPr>
          <w:p w14:paraId="786DCF1D" w14:textId="77777777" w:rsidR="009218F1" w:rsidRPr="00F873AB" w:rsidRDefault="009218F1" w:rsidP="001F4142">
            <w:pPr>
              <w:pStyle w:val="Tabletext"/>
              <w:rPr>
                <w:rFonts w:cs="Calibri"/>
                <w:color w:val="000000"/>
              </w:rPr>
            </w:pPr>
          </w:p>
        </w:tc>
        <w:tc>
          <w:tcPr>
            <w:tcW w:w="3260" w:type="dxa"/>
            <w:tcBorders>
              <w:left w:val="nil"/>
            </w:tcBorders>
            <w:shd w:val="clear" w:color="auto" w:fill="D9D9D9" w:themeFill="background1" w:themeFillShade="D9"/>
            <w:noWrap/>
          </w:tcPr>
          <w:p w14:paraId="27AF8D8A" w14:textId="77777777" w:rsidR="009218F1" w:rsidRPr="00F873AB" w:rsidRDefault="009218F1" w:rsidP="001F4142">
            <w:pPr>
              <w:pStyle w:val="Tabletext"/>
            </w:pPr>
          </w:p>
        </w:tc>
      </w:tr>
      <w:tr w:rsidR="009218F1" w:rsidRPr="00F873AB" w14:paraId="292C26FB" w14:textId="77777777" w:rsidTr="001F4142">
        <w:trPr>
          <w:trHeight w:val="255"/>
        </w:trPr>
        <w:tc>
          <w:tcPr>
            <w:tcW w:w="1696" w:type="dxa"/>
            <w:noWrap/>
            <w:hideMark/>
          </w:tcPr>
          <w:p w14:paraId="62739A83" w14:textId="77777777" w:rsidR="009218F1" w:rsidRPr="00F873AB" w:rsidRDefault="009218F1" w:rsidP="001F4142">
            <w:pPr>
              <w:pStyle w:val="Tabletext"/>
            </w:pPr>
            <w:r w:rsidRPr="00F873AB">
              <w:t>Acute eye burns</w:t>
            </w:r>
          </w:p>
        </w:tc>
        <w:tc>
          <w:tcPr>
            <w:tcW w:w="567" w:type="dxa"/>
            <w:noWrap/>
            <w:hideMark/>
          </w:tcPr>
          <w:p w14:paraId="07FB8D0D" w14:textId="77777777" w:rsidR="009218F1" w:rsidRPr="00F873AB" w:rsidRDefault="009218F1" w:rsidP="001F4142">
            <w:pPr>
              <w:pStyle w:val="Tabletext"/>
            </w:pPr>
            <w:r w:rsidRPr="00F873AB">
              <w:t>A</w:t>
            </w:r>
          </w:p>
        </w:tc>
        <w:tc>
          <w:tcPr>
            <w:tcW w:w="709" w:type="dxa"/>
            <w:noWrap/>
            <w:hideMark/>
          </w:tcPr>
          <w:p w14:paraId="585EF00E" w14:textId="77777777" w:rsidR="009218F1" w:rsidRPr="00F873AB" w:rsidRDefault="009218F1" w:rsidP="001F4142">
            <w:pPr>
              <w:pStyle w:val="Tabletext"/>
            </w:pPr>
            <w:r w:rsidRPr="00F873AB">
              <w:rPr>
                <w:rFonts w:cs="Calibri"/>
                <w:color w:val="000000"/>
              </w:rPr>
              <w:t>65</w:t>
            </w:r>
          </w:p>
        </w:tc>
        <w:tc>
          <w:tcPr>
            <w:tcW w:w="709" w:type="dxa"/>
            <w:noWrap/>
            <w:hideMark/>
          </w:tcPr>
          <w:p w14:paraId="4D2C3C1A" w14:textId="77777777" w:rsidR="009218F1" w:rsidRPr="00F873AB" w:rsidRDefault="009218F1" w:rsidP="001F4142">
            <w:pPr>
              <w:pStyle w:val="Tabletext"/>
            </w:pPr>
            <w:r w:rsidRPr="00F873AB">
              <w:rPr>
                <w:rFonts w:cs="Calibri"/>
                <w:color w:val="000000"/>
              </w:rPr>
              <w:t>66</w:t>
            </w:r>
          </w:p>
        </w:tc>
        <w:tc>
          <w:tcPr>
            <w:tcW w:w="709" w:type="dxa"/>
            <w:noWrap/>
            <w:hideMark/>
          </w:tcPr>
          <w:p w14:paraId="350A8451" w14:textId="77777777" w:rsidR="009218F1" w:rsidRPr="00F873AB" w:rsidRDefault="009218F1" w:rsidP="001F4142">
            <w:pPr>
              <w:pStyle w:val="Tabletext"/>
            </w:pPr>
            <w:r w:rsidRPr="00F873AB">
              <w:rPr>
                <w:rFonts w:cs="Calibri"/>
                <w:color w:val="000000"/>
              </w:rPr>
              <w:t>67</w:t>
            </w:r>
          </w:p>
        </w:tc>
        <w:tc>
          <w:tcPr>
            <w:tcW w:w="708" w:type="dxa"/>
            <w:noWrap/>
            <w:hideMark/>
          </w:tcPr>
          <w:p w14:paraId="6F82ED37" w14:textId="77777777" w:rsidR="009218F1" w:rsidRPr="00F873AB" w:rsidRDefault="009218F1" w:rsidP="001F4142">
            <w:pPr>
              <w:pStyle w:val="Tabletext"/>
            </w:pPr>
            <w:r w:rsidRPr="00F873AB">
              <w:rPr>
                <w:rFonts w:cs="Calibri"/>
                <w:color w:val="000000"/>
              </w:rPr>
              <w:t>68</w:t>
            </w:r>
          </w:p>
        </w:tc>
        <w:tc>
          <w:tcPr>
            <w:tcW w:w="709" w:type="dxa"/>
            <w:noWrap/>
            <w:hideMark/>
          </w:tcPr>
          <w:p w14:paraId="0CD3565D" w14:textId="77777777" w:rsidR="009218F1" w:rsidRPr="00F873AB" w:rsidRDefault="009218F1" w:rsidP="001F4142">
            <w:pPr>
              <w:pStyle w:val="Tabletext"/>
            </w:pPr>
            <w:r w:rsidRPr="00F873AB">
              <w:rPr>
                <w:rFonts w:cs="Calibri"/>
                <w:color w:val="000000"/>
              </w:rPr>
              <w:t>69</w:t>
            </w:r>
          </w:p>
        </w:tc>
        <w:tc>
          <w:tcPr>
            <w:tcW w:w="3260" w:type="dxa"/>
            <w:noWrap/>
            <w:hideMark/>
          </w:tcPr>
          <w:p w14:paraId="22A4D92C" w14:textId="77777777" w:rsidR="009218F1" w:rsidRPr="00F873AB" w:rsidRDefault="009218F1" w:rsidP="001F4142">
            <w:pPr>
              <w:pStyle w:val="Tabletext"/>
            </w:pPr>
            <w:r>
              <w:t xml:space="preserve">25% projected adoption </w:t>
            </w:r>
            <w:r w:rsidRPr="00E722EE">
              <w:t>(Table 71) x estimated elig</w:t>
            </w:r>
            <w:r>
              <w:t>ible patients</w:t>
            </w:r>
            <w:r w:rsidRPr="00E722EE">
              <w:t xml:space="preserve"> (Table 70)</w:t>
            </w:r>
          </w:p>
        </w:tc>
      </w:tr>
      <w:tr w:rsidR="009218F1" w:rsidRPr="00F873AB" w14:paraId="2F34BBCE" w14:textId="77777777" w:rsidTr="001F4142">
        <w:trPr>
          <w:trHeight w:val="255"/>
        </w:trPr>
        <w:tc>
          <w:tcPr>
            <w:tcW w:w="1696" w:type="dxa"/>
            <w:noWrap/>
            <w:hideMark/>
          </w:tcPr>
          <w:p w14:paraId="1DE0354A" w14:textId="77777777" w:rsidR="009218F1" w:rsidRPr="00F873AB" w:rsidRDefault="009218F1" w:rsidP="001F4142">
            <w:pPr>
              <w:pStyle w:val="Tabletext"/>
            </w:pPr>
            <w:r w:rsidRPr="00F873AB">
              <w:t>SJS and TEN</w:t>
            </w:r>
          </w:p>
        </w:tc>
        <w:tc>
          <w:tcPr>
            <w:tcW w:w="567" w:type="dxa"/>
            <w:noWrap/>
            <w:hideMark/>
          </w:tcPr>
          <w:p w14:paraId="3D692403" w14:textId="77777777" w:rsidR="009218F1" w:rsidRPr="00F873AB" w:rsidRDefault="009218F1" w:rsidP="001F4142">
            <w:pPr>
              <w:pStyle w:val="Tabletext"/>
            </w:pPr>
            <w:r w:rsidRPr="00F873AB">
              <w:t>B</w:t>
            </w:r>
          </w:p>
        </w:tc>
        <w:tc>
          <w:tcPr>
            <w:tcW w:w="709" w:type="dxa"/>
            <w:noWrap/>
            <w:hideMark/>
          </w:tcPr>
          <w:p w14:paraId="05974F8D" w14:textId="77777777" w:rsidR="009218F1" w:rsidRPr="00F873AB" w:rsidRDefault="009218F1" w:rsidP="001F4142">
            <w:pPr>
              <w:pStyle w:val="Tabletext"/>
            </w:pPr>
            <w:r w:rsidRPr="00F873AB">
              <w:rPr>
                <w:rFonts w:cs="Calibri"/>
                <w:color w:val="000000"/>
              </w:rPr>
              <w:t>0</w:t>
            </w:r>
          </w:p>
        </w:tc>
        <w:tc>
          <w:tcPr>
            <w:tcW w:w="709" w:type="dxa"/>
            <w:noWrap/>
            <w:hideMark/>
          </w:tcPr>
          <w:p w14:paraId="18D37A24" w14:textId="77777777" w:rsidR="009218F1" w:rsidRPr="00F873AB" w:rsidRDefault="009218F1" w:rsidP="001F4142">
            <w:pPr>
              <w:pStyle w:val="Tabletext"/>
            </w:pPr>
            <w:r w:rsidRPr="00F873AB">
              <w:rPr>
                <w:rFonts w:cs="Calibri"/>
                <w:color w:val="000000"/>
              </w:rPr>
              <w:t>0</w:t>
            </w:r>
          </w:p>
        </w:tc>
        <w:tc>
          <w:tcPr>
            <w:tcW w:w="709" w:type="dxa"/>
            <w:noWrap/>
            <w:hideMark/>
          </w:tcPr>
          <w:p w14:paraId="0401671C" w14:textId="77777777" w:rsidR="009218F1" w:rsidRPr="00F873AB" w:rsidRDefault="009218F1" w:rsidP="001F4142">
            <w:pPr>
              <w:pStyle w:val="Tabletext"/>
            </w:pPr>
            <w:r w:rsidRPr="00F873AB">
              <w:rPr>
                <w:rFonts w:cs="Calibri"/>
                <w:color w:val="000000"/>
              </w:rPr>
              <w:t>0</w:t>
            </w:r>
          </w:p>
        </w:tc>
        <w:tc>
          <w:tcPr>
            <w:tcW w:w="708" w:type="dxa"/>
            <w:noWrap/>
            <w:hideMark/>
          </w:tcPr>
          <w:p w14:paraId="44DD6135" w14:textId="77777777" w:rsidR="009218F1" w:rsidRPr="00F873AB" w:rsidRDefault="009218F1" w:rsidP="001F4142">
            <w:pPr>
              <w:pStyle w:val="Tabletext"/>
            </w:pPr>
            <w:r w:rsidRPr="00F873AB">
              <w:rPr>
                <w:rFonts w:cs="Calibri"/>
                <w:color w:val="000000"/>
              </w:rPr>
              <w:t>0</w:t>
            </w:r>
          </w:p>
        </w:tc>
        <w:tc>
          <w:tcPr>
            <w:tcW w:w="709" w:type="dxa"/>
            <w:noWrap/>
            <w:hideMark/>
          </w:tcPr>
          <w:p w14:paraId="7BE70564" w14:textId="77777777" w:rsidR="009218F1" w:rsidRPr="00F873AB" w:rsidRDefault="009218F1" w:rsidP="001F4142">
            <w:pPr>
              <w:pStyle w:val="Tabletext"/>
            </w:pPr>
            <w:r w:rsidRPr="00F873AB">
              <w:rPr>
                <w:rFonts w:cs="Calibri"/>
                <w:color w:val="000000"/>
              </w:rPr>
              <w:t>0</w:t>
            </w:r>
          </w:p>
        </w:tc>
        <w:tc>
          <w:tcPr>
            <w:tcW w:w="3260" w:type="dxa"/>
            <w:noWrap/>
            <w:hideMark/>
          </w:tcPr>
          <w:p w14:paraId="68C6D70B" w14:textId="77777777" w:rsidR="009218F1" w:rsidRPr="00F873AB" w:rsidRDefault="009218F1" w:rsidP="001F4142">
            <w:pPr>
              <w:pStyle w:val="Tabletext"/>
            </w:pPr>
            <w:r>
              <w:t>0% projected adopti</w:t>
            </w:r>
            <w:r w:rsidRPr="00F873AB">
              <w:t xml:space="preserve">on </w:t>
            </w:r>
            <w:r w:rsidRPr="00E722EE">
              <w:t xml:space="preserve">(Table 71) </w:t>
            </w:r>
            <w:r>
              <w:t>x estimated eligible patients</w:t>
            </w:r>
            <w:r w:rsidRPr="00E722EE">
              <w:t xml:space="preserve"> (Table 70)</w:t>
            </w:r>
          </w:p>
        </w:tc>
      </w:tr>
      <w:tr w:rsidR="009218F1" w:rsidRPr="00F873AB" w14:paraId="0636705A" w14:textId="77777777" w:rsidTr="001F4142">
        <w:trPr>
          <w:trHeight w:val="255"/>
        </w:trPr>
        <w:tc>
          <w:tcPr>
            <w:tcW w:w="1696" w:type="dxa"/>
            <w:noWrap/>
            <w:hideMark/>
          </w:tcPr>
          <w:p w14:paraId="15159C83" w14:textId="77777777" w:rsidR="009218F1" w:rsidRPr="00F873AB" w:rsidRDefault="009218F1" w:rsidP="001F4142">
            <w:pPr>
              <w:pStyle w:val="Tabletext"/>
            </w:pPr>
            <w:proofErr w:type="spellStart"/>
            <w:r w:rsidRPr="00F873AB">
              <w:t>Pterygium</w:t>
            </w:r>
            <w:proofErr w:type="spellEnd"/>
            <w:r w:rsidRPr="00F873AB">
              <w:t xml:space="preserve"> surgery</w:t>
            </w:r>
          </w:p>
        </w:tc>
        <w:tc>
          <w:tcPr>
            <w:tcW w:w="567" w:type="dxa"/>
            <w:noWrap/>
            <w:hideMark/>
          </w:tcPr>
          <w:p w14:paraId="79221CC9" w14:textId="77777777" w:rsidR="009218F1" w:rsidRPr="00F873AB" w:rsidRDefault="009218F1" w:rsidP="001F4142">
            <w:pPr>
              <w:pStyle w:val="Tabletext"/>
            </w:pPr>
            <w:r w:rsidRPr="00F873AB">
              <w:t>C</w:t>
            </w:r>
          </w:p>
        </w:tc>
        <w:tc>
          <w:tcPr>
            <w:tcW w:w="709" w:type="dxa"/>
            <w:noWrap/>
            <w:hideMark/>
          </w:tcPr>
          <w:p w14:paraId="2CB74B00" w14:textId="77777777" w:rsidR="009218F1" w:rsidRPr="00F873AB" w:rsidRDefault="009218F1" w:rsidP="001F4142">
            <w:pPr>
              <w:pStyle w:val="Tabletext"/>
            </w:pPr>
            <w:r w:rsidRPr="00F873AB">
              <w:rPr>
                <w:rFonts w:cs="Calibri"/>
                <w:color w:val="000000"/>
              </w:rPr>
              <w:t>94</w:t>
            </w:r>
          </w:p>
        </w:tc>
        <w:tc>
          <w:tcPr>
            <w:tcW w:w="709" w:type="dxa"/>
            <w:noWrap/>
            <w:hideMark/>
          </w:tcPr>
          <w:p w14:paraId="0EC4FBC5" w14:textId="77777777" w:rsidR="009218F1" w:rsidRPr="00F873AB" w:rsidRDefault="009218F1" w:rsidP="001F4142">
            <w:pPr>
              <w:pStyle w:val="Tabletext"/>
            </w:pPr>
            <w:r w:rsidRPr="00F873AB">
              <w:rPr>
                <w:rFonts w:cs="Calibri"/>
                <w:color w:val="000000"/>
              </w:rPr>
              <w:t>95</w:t>
            </w:r>
          </w:p>
        </w:tc>
        <w:tc>
          <w:tcPr>
            <w:tcW w:w="709" w:type="dxa"/>
            <w:noWrap/>
            <w:hideMark/>
          </w:tcPr>
          <w:p w14:paraId="35FB73F5" w14:textId="77777777" w:rsidR="009218F1" w:rsidRPr="00F873AB" w:rsidRDefault="009218F1" w:rsidP="001F4142">
            <w:pPr>
              <w:pStyle w:val="Tabletext"/>
            </w:pPr>
            <w:r w:rsidRPr="00F873AB">
              <w:rPr>
                <w:rFonts w:cs="Calibri"/>
                <w:color w:val="000000"/>
              </w:rPr>
              <w:t>96</w:t>
            </w:r>
          </w:p>
        </w:tc>
        <w:tc>
          <w:tcPr>
            <w:tcW w:w="708" w:type="dxa"/>
            <w:noWrap/>
            <w:hideMark/>
          </w:tcPr>
          <w:p w14:paraId="0A9C4B1C" w14:textId="77777777" w:rsidR="009218F1" w:rsidRPr="00F873AB" w:rsidRDefault="009218F1" w:rsidP="001F4142">
            <w:pPr>
              <w:pStyle w:val="Tabletext"/>
            </w:pPr>
            <w:r w:rsidRPr="00F873AB">
              <w:rPr>
                <w:rFonts w:cs="Calibri"/>
                <w:color w:val="000000"/>
              </w:rPr>
              <w:t>98</w:t>
            </w:r>
          </w:p>
        </w:tc>
        <w:tc>
          <w:tcPr>
            <w:tcW w:w="709" w:type="dxa"/>
            <w:noWrap/>
            <w:hideMark/>
          </w:tcPr>
          <w:p w14:paraId="28FA2121" w14:textId="77777777" w:rsidR="009218F1" w:rsidRPr="00F873AB" w:rsidRDefault="009218F1" w:rsidP="001F4142">
            <w:pPr>
              <w:pStyle w:val="Tabletext"/>
            </w:pPr>
            <w:r w:rsidRPr="00F873AB">
              <w:rPr>
                <w:rFonts w:cs="Calibri"/>
                <w:color w:val="000000"/>
              </w:rPr>
              <w:t>99</w:t>
            </w:r>
          </w:p>
        </w:tc>
        <w:tc>
          <w:tcPr>
            <w:tcW w:w="3260" w:type="dxa"/>
            <w:noWrap/>
            <w:hideMark/>
          </w:tcPr>
          <w:p w14:paraId="1ED5AC0F" w14:textId="77777777" w:rsidR="009218F1" w:rsidRPr="00F873AB" w:rsidRDefault="009218F1" w:rsidP="001F4142">
            <w:pPr>
              <w:pStyle w:val="Tabletext"/>
            </w:pPr>
            <w:r>
              <w:t>1% projected a</w:t>
            </w:r>
            <w:r w:rsidRPr="00F873AB">
              <w:t xml:space="preserve">doption </w:t>
            </w:r>
            <w:r w:rsidRPr="00E722EE">
              <w:t xml:space="preserve">(Table 71) </w:t>
            </w:r>
            <w:r>
              <w:t>x estimated eligible patients</w:t>
            </w:r>
            <w:r w:rsidRPr="00E722EE">
              <w:t xml:space="preserve"> (Table 70)</w:t>
            </w:r>
          </w:p>
        </w:tc>
      </w:tr>
      <w:tr w:rsidR="009218F1" w:rsidRPr="00F873AB" w14:paraId="3534A657" w14:textId="77777777" w:rsidTr="001F4142">
        <w:trPr>
          <w:trHeight w:val="255"/>
        </w:trPr>
        <w:tc>
          <w:tcPr>
            <w:tcW w:w="1696" w:type="dxa"/>
            <w:noWrap/>
            <w:hideMark/>
          </w:tcPr>
          <w:p w14:paraId="7180E94F" w14:textId="77777777" w:rsidR="009218F1" w:rsidRPr="00F873AB" w:rsidRDefault="009218F1" w:rsidP="001F4142">
            <w:pPr>
              <w:pStyle w:val="Tabletext"/>
            </w:pPr>
            <w:r w:rsidRPr="00F873AB">
              <w:t>Corneal transplants</w:t>
            </w:r>
          </w:p>
        </w:tc>
        <w:tc>
          <w:tcPr>
            <w:tcW w:w="567" w:type="dxa"/>
            <w:noWrap/>
            <w:hideMark/>
          </w:tcPr>
          <w:p w14:paraId="798379E0" w14:textId="77777777" w:rsidR="009218F1" w:rsidRPr="00F873AB" w:rsidRDefault="009218F1" w:rsidP="001F4142">
            <w:pPr>
              <w:pStyle w:val="Tabletext"/>
            </w:pPr>
            <w:r w:rsidRPr="00F873AB">
              <w:t>D</w:t>
            </w:r>
          </w:p>
        </w:tc>
        <w:tc>
          <w:tcPr>
            <w:tcW w:w="709" w:type="dxa"/>
            <w:noWrap/>
            <w:hideMark/>
          </w:tcPr>
          <w:p w14:paraId="43E78215" w14:textId="77777777" w:rsidR="009218F1" w:rsidRPr="00F873AB" w:rsidRDefault="009218F1" w:rsidP="001F4142">
            <w:pPr>
              <w:pStyle w:val="Tabletext"/>
            </w:pPr>
            <w:r w:rsidRPr="00F873AB">
              <w:rPr>
                <w:rFonts w:cs="Calibri"/>
                <w:color w:val="000000"/>
              </w:rPr>
              <w:t>78</w:t>
            </w:r>
          </w:p>
        </w:tc>
        <w:tc>
          <w:tcPr>
            <w:tcW w:w="709" w:type="dxa"/>
            <w:noWrap/>
            <w:hideMark/>
          </w:tcPr>
          <w:p w14:paraId="23763546" w14:textId="77777777" w:rsidR="009218F1" w:rsidRPr="00F873AB" w:rsidRDefault="009218F1" w:rsidP="001F4142">
            <w:pPr>
              <w:pStyle w:val="Tabletext"/>
            </w:pPr>
            <w:r w:rsidRPr="00F873AB">
              <w:rPr>
                <w:rFonts w:cs="Calibri"/>
                <w:color w:val="000000"/>
              </w:rPr>
              <w:t>79</w:t>
            </w:r>
          </w:p>
        </w:tc>
        <w:tc>
          <w:tcPr>
            <w:tcW w:w="709" w:type="dxa"/>
            <w:noWrap/>
            <w:hideMark/>
          </w:tcPr>
          <w:p w14:paraId="08E68983" w14:textId="77777777" w:rsidR="009218F1" w:rsidRPr="00F873AB" w:rsidRDefault="009218F1" w:rsidP="001F4142">
            <w:pPr>
              <w:pStyle w:val="Tabletext"/>
            </w:pPr>
            <w:r w:rsidRPr="00F873AB">
              <w:rPr>
                <w:rFonts w:cs="Calibri"/>
                <w:color w:val="000000"/>
              </w:rPr>
              <w:t>80</w:t>
            </w:r>
          </w:p>
        </w:tc>
        <w:tc>
          <w:tcPr>
            <w:tcW w:w="708" w:type="dxa"/>
            <w:noWrap/>
            <w:hideMark/>
          </w:tcPr>
          <w:p w14:paraId="0F361A38" w14:textId="77777777" w:rsidR="009218F1" w:rsidRPr="00F873AB" w:rsidRDefault="009218F1" w:rsidP="001F4142">
            <w:pPr>
              <w:pStyle w:val="Tabletext"/>
            </w:pPr>
            <w:r w:rsidRPr="00F873AB">
              <w:rPr>
                <w:rFonts w:cs="Calibri"/>
                <w:color w:val="000000"/>
              </w:rPr>
              <w:t>81</w:t>
            </w:r>
          </w:p>
        </w:tc>
        <w:tc>
          <w:tcPr>
            <w:tcW w:w="709" w:type="dxa"/>
            <w:noWrap/>
            <w:hideMark/>
          </w:tcPr>
          <w:p w14:paraId="29988F97" w14:textId="77777777" w:rsidR="009218F1" w:rsidRPr="00F873AB" w:rsidRDefault="009218F1" w:rsidP="001F4142">
            <w:pPr>
              <w:pStyle w:val="Tabletext"/>
            </w:pPr>
            <w:r w:rsidRPr="00F873AB">
              <w:rPr>
                <w:rFonts w:cs="Calibri"/>
                <w:color w:val="000000"/>
              </w:rPr>
              <w:t>82</w:t>
            </w:r>
          </w:p>
        </w:tc>
        <w:tc>
          <w:tcPr>
            <w:tcW w:w="3260" w:type="dxa"/>
            <w:noWrap/>
            <w:hideMark/>
          </w:tcPr>
          <w:p w14:paraId="5CC96500" w14:textId="77777777" w:rsidR="009218F1" w:rsidRPr="00F873AB" w:rsidRDefault="009218F1" w:rsidP="001F4142">
            <w:pPr>
              <w:pStyle w:val="Tabletext"/>
            </w:pPr>
            <w:r>
              <w:t>5% projected a</w:t>
            </w:r>
            <w:r w:rsidRPr="00F873AB">
              <w:t xml:space="preserve">doption </w:t>
            </w:r>
            <w:r w:rsidRPr="00E722EE">
              <w:t>(Table 71) x estimated eligible patients (Table 70)</w:t>
            </w:r>
          </w:p>
        </w:tc>
      </w:tr>
      <w:tr w:rsidR="009218F1" w:rsidRPr="00F873AB" w14:paraId="3ACFCA01" w14:textId="77777777" w:rsidTr="001F4142">
        <w:trPr>
          <w:trHeight w:val="255"/>
        </w:trPr>
        <w:tc>
          <w:tcPr>
            <w:tcW w:w="1696" w:type="dxa"/>
            <w:tcBorders>
              <w:bottom w:val="single" w:sz="4" w:space="0" w:color="auto"/>
            </w:tcBorders>
            <w:noWrap/>
            <w:hideMark/>
          </w:tcPr>
          <w:p w14:paraId="3FDE1C51" w14:textId="77777777" w:rsidR="009218F1" w:rsidRPr="00F873AB" w:rsidRDefault="009218F1" w:rsidP="001F4142">
            <w:pPr>
              <w:pStyle w:val="Tabletext"/>
            </w:pPr>
            <w:r w:rsidRPr="00F873AB">
              <w:t>Eye wounds refractory to healing</w:t>
            </w:r>
          </w:p>
        </w:tc>
        <w:tc>
          <w:tcPr>
            <w:tcW w:w="567" w:type="dxa"/>
            <w:tcBorders>
              <w:bottom w:val="single" w:sz="4" w:space="0" w:color="auto"/>
            </w:tcBorders>
            <w:noWrap/>
            <w:hideMark/>
          </w:tcPr>
          <w:p w14:paraId="46F1188E" w14:textId="77777777" w:rsidR="009218F1" w:rsidRPr="00F873AB" w:rsidRDefault="009218F1" w:rsidP="001F4142">
            <w:pPr>
              <w:pStyle w:val="Tabletext"/>
            </w:pPr>
            <w:r w:rsidRPr="00F873AB">
              <w:t>E</w:t>
            </w:r>
          </w:p>
        </w:tc>
        <w:tc>
          <w:tcPr>
            <w:tcW w:w="709" w:type="dxa"/>
            <w:tcBorders>
              <w:bottom w:val="single" w:sz="4" w:space="0" w:color="auto"/>
            </w:tcBorders>
            <w:noWrap/>
            <w:hideMark/>
          </w:tcPr>
          <w:p w14:paraId="2A47E437" w14:textId="77777777" w:rsidR="009218F1" w:rsidRPr="00F873AB" w:rsidRDefault="009218F1" w:rsidP="001F4142">
            <w:pPr>
              <w:pStyle w:val="Tabletext"/>
            </w:pPr>
            <w:r w:rsidRPr="00F873AB">
              <w:rPr>
                <w:rFonts w:cs="Calibri"/>
                <w:color w:val="000000"/>
              </w:rPr>
              <w:t>28</w:t>
            </w:r>
          </w:p>
        </w:tc>
        <w:tc>
          <w:tcPr>
            <w:tcW w:w="709" w:type="dxa"/>
            <w:tcBorders>
              <w:bottom w:val="single" w:sz="4" w:space="0" w:color="auto"/>
            </w:tcBorders>
            <w:noWrap/>
            <w:hideMark/>
          </w:tcPr>
          <w:p w14:paraId="230AE9A6" w14:textId="77777777" w:rsidR="009218F1" w:rsidRPr="00F873AB" w:rsidRDefault="009218F1" w:rsidP="001F4142">
            <w:pPr>
              <w:pStyle w:val="Tabletext"/>
            </w:pPr>
            <w:r w:rsidRPr="00F873AB">
              <w:rPr>
                <w:rFonts w:cs="Calibri"/>
                <w:color w:val="000000"/>
              </w:rPr>
              <w:t>28</w:t>
            </w:r>
          </w:p>
        </w:tc>
        <w:tc>
          <w:tcPr>
            <w:tcW w:w="709" w:type="dxa"/>
            <w:tcBorders>
              <w:bottom w:val="single" w:sz="4" w:space="0" w:color="auto"/>
            </w:tcBorders>
            <w:noWrap/>
            <w:hideMark/>
          </w:tcPr>
          <w:p w14:paraId="74B24CB5" w14:textId="77777777" w:rsidR="009218F1" w:rsidRPr="00F873AB" w:rsidRDefault="009218F1" w:rsidP="001F4142">
            <w:pPr>
              <w:pStyle w:val="Tabletext"/>
            </w:pPr>
            <w:r w:rsidRPr="00F873AB">
              <w:rPr>
                <w:rFonts w:cs="Calibri"/>
                <w:color w:val="000000"/>
              </w:rPr>
              <w:t>29</w:t>
            </w:r>
          </w:p>
        </w:tc>
        <w:tc>
          <w:tcPr>
            <w:tcW w:w="708" w:type="dxa"/>
            <w:tcBorders>
              <w:bottom w:val="single" w:sz="4" w:space="0" w:color="auto"/>
            </w:tcBorders>
            <w:noWrap/>
            <w:hideMark/>
          </w:tcPr>
          <w:p w14:paraId="7735BFED" w14:textId="77777777" w:rsidR="009218F1" w:rsidRPr="00F873AB" w:rsidRDefault="009218F1" w:rsidP="001F4142">
            <w:pPr>
              <w:pStyle w:val="Tabletext"/>
            </w:pPr>
            <w:r w:rsidRPr="00F873AB">
              <w:rPr>
                <w:rFonts w:cs="Calibri"/>
                <w:color w:val="000000"/>
              </w:rPr>
              <w:t>29</w:t>
            </w:r>
          </w:p>
        </w:tc>
        <w:tc>
          <w:tcPr>
            <w:tcW w:w="709" w:type="dxa"/>
            <w:tcBorders>
              <w:bottom w:val="single" w:sz="4" w:space="0" w:color="auto"/>
            </w:tcBorders>
            <w:noWrap/>
            <w:hideMark/>
          </w:tcPr>
          <w:p w14:paraId="6410D0D2" w14:textId="77777777" w:rsidR="009218F1" w:rsidRPr="00F873AB" w:rsidRDefault="009218F1" w:rsidP="001F4142">
            <w:pPr>
              <w:pStyle w:val="Tabletext"/>
            </w:pPr>
            <w:r w:rsidRPr="00F873AB">
              <w:rPr>
                <w:rFonts w:cs="Calibri"/>
                <w:color w:val="000000"/>
              </w:rPr>
              <w:t>30</w:t>
            </w:r>
          </w:p>
        </w:tc>
        <w:tc>
          <w:tcPr>
            <w:tcW w:w="3260" w:type="dxa"/>
            <w:tcBorders>
              <w:bottom w:val="single" w:sz="4" w:space="0" w:color="auto"/>
            </w:tcBorders>
            <w:noWrap/>
            <w:hideMark/>
          </w:tcPr>
          <w:p w14:paraId="7427ED84" w14:textId="77777777" w:rsidR="009218F1" w:rsidRPr="00F873AB" w:rsidRDefault="009218F1" w:rsidP="001F4142">
            <w:pPr>
              <w:pStyle w:val="Tabletext"/>
            </w:pPr>
            <w:r>
              <w:t>5% projected a</w:t>
            </w:r>
            <w:r w:rsidRPr="00F873AB">
              <w:t xml:space="preserve">doption </w:t>
            </w:r>
            <w:r w:rsidRPr="00E722EE">
              <w:t>(Table 71) x estimated eligible patients (Table 70)</w:t>
            </w:r>
          </w:p>
        </w:tc>
      </w:tr>
      <w:tr w:rsidR="009218F1" w:rsidRPr="00F873AB" w14:paraId="2E7301E7" w14:textId="77777777" w:rsidTr="001F4142">
        <w:trPr>
          <w:trHeight w:val="255"/>
        </w:trPr>
        <w:tc>
          <w:tcPr>
            <w:tcW w:w="1696" w:type="dxa"/>
            <w:tcBorders>
              <w:right w:val="nil"/>
            </w:tcBorders>
            <w:noWrap/>
          </w:tcPr>
          <w:p w14:paraId="50855550" w14:textId="77777777" w:rsidR="009218F1" w:rsidRPr="00F873AB" w:rsidRDefault="009218F1" w:rsidP="001F4142">
            <w:pPr>
              <w:pStyle w:val="Tabletext"/>
            </w:pPr>
            <w:r w:rsidRPr="00F873AB">
              <w:rPr>
                <w:b/>
                <w:bCs/>
              </w:rPr>
              <w:t>Chronic wounds</w:t>
            </w:r>
          </w:p>
        </w:tc>
        <w:tc>
          <w:tcPr>
            <w:tcW w:w="567" w:type="dxa"/>
            <w:tcBorders>
              <w:left w:val="nil"/>
              <w:right w:val="nil"/>
            </w:tcBorders>
            <w:noWrap/>
          </w:tcPr>
          <w:p w14:paraId="2626CCCF" w14:textId="77777777" w:rsidR="009218F1" w:rsidRPr="00F873AB" w:rsidRDefault="009218F1" w:rsidP="001F4142">
            <w:pPr>
              <w:pStyle w:val="Tabletext"/>
            </w:pPr>
          </w:p>
        </w:tc>
        <w:tc>
          <w:tcPr>
            <w:tcW w:w="709" w:type="dxa"/>
            <w:tcBorders>
              <w:left w:val="nil"/>
              <w:right w:val="nil"/>
            </w:tcBorders>
            <w:noWrap/>
          </w:tcPr>
          <w:p w14:paraId="398BE682" w14:textId="77777777" w:rsidR="009218F1" w:rsidRPr="00F873AB" w:rsidRDefault="009218F1" w:rsidP="001F4142">
            <w:pPr>
              <w:pStyle w:val="Tabletext"/>
              <w:rPr>
                <w:rFonts w:cs="Calibri"/>
                <w:color w:val="000000"/>
              </w:rPr>
            </w:pPr>
          </w:p>
        </w:tc>
        <w:tc>
          <w:tcPr>
            <w:tcW w:w="709" w:type="dxa"/>
            <w:tcBorders>
              <w:left w:val="nil"/>
              <w:right w:val="nil"/>
            </w:tcBorders>
            <w:noWrap/>
          </w:tcPr>
          <w:p w14:paraId="4716E3BD" w14:textId="77777777" w:rsidR="009218F1" w:rsidRPr="00F873AB" w:rsidRDefault="009218F1" w:rsidP="001F4142">
            <w:pPr>
              <w:pStyle w:val="Tabletext"/>
              <w:rPr>
                <w:rFonts w:cs="Calibri"/>
                <w:color w:val="000000"/>
              </w:rPr>
            </w:pPr>
          </w:p>
        </w:tc>
        <w:tc>
          <w:tcPr>
            <w:tcW w:w="709" w:type="dxa"/>
            <w:tcBorders>
              <w:left w:val="nil"/>
              <w:right w:val="nil"/>
            </w:tcBorders>
            <w:noWrap/>
          </w:tcPr>
          <w:p w14:paraId="542BB3AF" w14:textId="77777777" w:rsidR="009218F1" w:rsidRPr="00F873AB" w:rsidRDefault="009218F1" w:rsidP="001F4142">
            <w:pPr>
              <w:pStyle w:val="Tabletext"/>
              <w:rPr>
                <w:rFonts w:cs="Calibri"/>
                <w:color w:val="000000"/>
              </w:rPr>
            </w:pPr>
          </w:p>
        </w:tc>
        <w:tc>
          <w:tcPr>
            <w:tcW w:w="708" w:type="dxa"/>
            <w:tcBorders>
              <w:left w:val="nil"/>
              <w:right w:val="nil"/>
            </w:tcBorders>
            <w:noWrap/>
          </w:tcPr>
          <w:p w14:paraId="2B991B3D" w14:textId="77777777" w:rsidR="009218F1" w:rsidRPr="00F873AB" w:rsidRDefault="009218F1" w:rsidP="001F4142">
            <w:pPr>
              <w:pStyle w:val="Tabletext"/>
              <w:rPr>
                <w:rFonts w:cs="Calibri"/>
                <w:color w:val="000000"/>
              </w:rPr>
            </w:pPr>
          </w:p>
        </w:tc>
        <w:tc>
          <w:tcPr>
            <w:tcW w:w="709" w:type="dxa"/>
            <w:tcBorders>
              <w:left w:val="nil"/>
              <w:right w:val="nil"/>
            </w:tcBorders>
            <w:noWrap/>
          </w:tcPr>
          <w:p w14:paraId="2BB6C4C2" w14:textId="77777777" w:rsidR="009218F1" w:rsidRPr="00F873AB" w:rsidRDefault="009218F1" w:rsidP="001F4142">
            <w:pPr>
              <w:pStyle w:val="Tabletext"/>
              <w:rPr>
                <w:rFonts w:cs="Calibri"/>
                <w:color w:val="000000"/>
              </w:rPr>
            </w:pPr>
          </w:p>
        </w:tc>
        <w:tc>
          <w:tcPr>
            <w:tcW w:w="3260" w:type="dxa"/>
            <w:tcBorders>
              <w:left w:val="nil"/>
            </w:tcBorders>
            <w:noWrap/>
          </w:tcPr>
          <w:p w14:paraId="1DA718E6" w14:textId="77777777" w:rsidR="009218F1" w:rsidRPr="00F873AB" w:rsidRDefault="009218F1" w:rsidP="001F4142">
            <w:pPr>
              <w:pStyle w:val="Tabletext"/>
            </w:pPr>
          </w:p>
        </w:tc>
      </w:tr>
      <w:tr w:rsidR="009218F1" w:rsidRPr="00F873AB" w14:paraId="18190374" w14:textId="77777777" w:rsidTr="001F4142">
        <w:trPr>
          <w:trHeight w:val="255"/>
        </w:trPr>
        <w:tc>
          <w:tcPr>
            <w:tcW w:w="1696" w:type="dxa"/>
            <w:noWrap/>
            <w:hideMark/>
          </w:tcPr>
          <w:p w14:paraId="0D1CC64D" w14:textId="77777777" w:rsidR="009218F1" w:rsidRPr="00F873AB" w:rsidRDefault="009218F1" w:rsidP="001F4142">
            <w:pPr>
              <w:pStyle w:val="Tabletext"/>
            </w:pPr>
            <w:r w:rsidRPr="00F873AB">
              <w:t>Venous insufficiency ulcers</w:t>
            </w:r>
          </w:p>
        </w:tc>
        <w:tc>
          <w:tcPr>
            <w:tcW w:w="567" w:type="dxa"/>
            <w:noWrap/>
            <w:hideMark/>
          </w:tcPr>
          <w:p w14:paraId="23F0211C" w14:textId="77777777" w:rsidR="009218F1" w:rsidRPr="00F873AB" w:rsidRDefault="009218F1" w:rsidP="001F4142">
            <w:pPr>
              <w:pStyle w:val="Tabletext"/>
            </w:pPr>
            <w:r w:rsidRPr="00F873AB">
              <w:t>F</w:t>
            </w:r>
          </w:p>
        </w:tc>
        <w:tc>
          <w:tcPr>
            <w:tcW w:w="709" w:type="dxa"/>
            <w:noWrap/>
            <w:hideMark/>
          </w:tcPr>
          <w:p w14:paraId="4E32FE4C" w14:textId="77777777" w:rsidR="009218F1" w:rsidRPr="00F873AB" w:rsidRDefault="009218F1" w:rsidP="001F4142">
            <w:pPr>
              <w:pStyle w:val="Tabletext"/>
            </w:pPr>
            <w:r w:rsidRPr="00F873AB">
              <w:rPr>
                <w:rFonts w:cs="Calibri"/>
                <w:color w:val="000000"/>
              </w:rPr>
              <w:t>94</w:t>
            </w:r>
          </w:p>
        </w:tc>
        <w:tc>
          <w:tcPr>
            <w:tcW w:w="709" w:type="dxa"/>
            <w:noWrap/>
            <w:hideMark/>
          </w:tcPr>
          <w:p w14:paraId="15527C42" w14:textId="77777777" w:rsidR="009218F1" w:rsidRPr="00F873AB" w:rsidRDefault="009218F1" w:rsidP="001F4142">
            <w:pPr>
              <w:pStyle w:val="Tabletext"/>
            </w:pPr>
            <w:r w:rsidRPr="00F873AB">
              <w:rPr>
                <w:rFonts w:cs="Calibri"/>
                <w:color w:val="000000"/>
              </w:rPr>
              <w:t>95</w:t>
            </w:r>
          </w:p>
        </w:tc>
        <w:tc>
          <w:tcPr>
            <w:tcW w:w="709" w:type="dxa"/>
            <w:noWrap/>
            <w:hideMark/>
          </w:tcPr>
          <w:p w14:paraId="1875B0DE" w14:textId="77777777" w:rsidR="009218F1" w:rsidRPr="00F873AB" w:rsidRDefault="009218F1" w:rsidP="001F4142">
            <w:pPr>
              <w:pStyle w:val="Tabletext"/>
            </w:pPr>
            <w:r w:rsidRPr="00F873AB">
              <w:rPr>
                <w:rFonts w:cs="Calibri"/>
                <w:color w:val="000000"/>
              </w:rPr>
              <w:t>96</w:t>
            </w:r>
          </w:p>
        </w:tc>
        <w:tc>
          <w:tcPr>
            <w:tcW w:w="708" w:type="dxa"/>
            <w:noWrap/>
            <w:hideMark/>
          </w:tcPr>
          <w:p w14:paraId="760EF3A9" w14:textId="77777777" w:rsidR="009218F1" w:rsidRPr="00F873AB" w:rsidRDefault="009218F1" w:rsidP="001F4142">
            <w:pPr>
              <w:pStyle w:val="Tabletext"/>
            </w:pPr>
            <w:r w:rsidRPr="00F873AB">
              <w:rPr>
                <w:rFonts w:cs="Calibri"/>
                <w:color w:val="000000"/>
              </w:rPr>
              <w:t>98</w:t>
            </w:r>
          </w:p>
        </w:tc>
        <w:tc>
          <w:tcPr>
            <w:tcW w:w="709" w:type="dxa"/>
            <w:noWrap/>
            <w:hideMark/>
          </w:tcPr>
          <w:p w14:paraId="36A69162" w14:textId="77777777" w:rsidR="009218F1" w:rsidRPr="00F873AB" w:rsidRDefault="009218F1" w:rsidP="001F4142">
            <w:pPr>
              <w:pStyle w:val="Tabletext"/>
            </w:pPr>
            <w:r w:rsidRPr="00F873AB">
              <w:rPr>
                <w:rFonts w:cs="Calibri"/>
                <w:color w:val="000000"/>
              </w:rPr>
              <w:t>99</w:t>
            </w:r>
          </w:p>
        </w:tc>
        <w:tc>
          <w:tcPr>
            <w:tcW w:w="3260" w:type="dxa"/>
            <w:noWrap/>
            <w:hideMark/>
          </w:tcPr>
          <w:p w14:paraId="2F24212A" w14:textId="77777777" w:rsidR="009218F1" w:rsidRPr="00F873AB" w:rsidRDefault="009218F1" w:rsidP="001F4142">
            <w:pPr>
              <w:pStyle w:val="Tabletext"/>
            </w:pPr>
            <w:r>
              <w:t>1% projected a</w:t>
            </w:r>
            <w:r w:rsidRPr="00F873AB">
              <w:t xml:space="preserve">doption </w:t>
            </w:r>
            <w:r w:rsidRPr="00E722EE">
              <w:t>(Table 71) x estimated eligible patients (Table 70)</w:t>
            </w:r>
          </w:p>
        </w:tc>
      </w:tr>
      <w:tr w:rsidR="009218F1" w:rsidRPr="00F873AB" w14:paraId="2E236D25" w14:textId="77777777" w:rsidTr="001F4142">
        <w:trPr>
          <w:trHeight w:val="255"/>
        </w:trPr>
        <w:tc>
          <w:tcPr>
            <w:tcW w:w="1696" w:type="dxa"/>
            <w:noWrap/>
            <w:hideMark/>
          </w:tcPr>
          <w:p w14:paraId="12A63FA7" w14:textId="77777777" w:rsidR="009218F1" w:rsidRPr="00F873AB" w:rsidRDefault="009218F1" w:rsidP="001F4142">
            <w:pPr>
              <w:pStyle w:val="Tabletext"/>
            </w:pPr>
            <w:r w:rsidRPr="00F873AB">
              <w:t>Arterial insufficiency ulcers</w:t>
            </w:r>
          </w:p>
        </w:tc>
        <w:tc>
          <w:tcPr>
            <w:tcW w:w="567" w:type="dxa"/>
            <w:noWrap/>
            <w:hideMark/>
          </w:tcPr>
          <w:p w14:paraId="0EE49A3A" w14:textId="77777777" w:rsidR="009218F1" w:rsidRPr="00F873AB" w:rsidRDefault="009218F1" w:rsidP="001F4142">
            <w:pPr>
              <w:pStyle w:val="Tabletext"/>
            </w:pPr>
            <w:r w:rsidRPr="00F873AB">
              <w:t>G</w:t>
            </w:r>
          </w:p>
        </w:tc>
        <w:tc>
          <w:tcPr>
            <w:tcW w:w="709" w:type="dxa"/>
            <w:noWrap/>
            <w:hideMark/>
          </w:tcPr>
          <w:p w14:paraId="72FD4B27" w14:textId="77777777" w:rsidR="009218F1" w:rsidRPr="00F873AB" w:rsidRDefault="009218F1" w:rsidP="001F4142">
            <w:pPr>
              <w:pStyle w:val="Tabletext"/>
            </w:pPr>
            <w:r w:rsidRPr="00F873AB">
              <w:rPr>
                <w:rFonts w:cs="Calibri"/>
                <w:color w:val="000000"/>
              </w:rPr>
              <w:t>8</w:t>
            </w:r>
          </w:p>
        </w:tc>
        <w:tc>
          <w:tcPr>
            <w:tcW w:w="709" w:type="dxa"/>
            <w:noWrap/>
            <w:hideMark/>
          </w:tcPr>
          <w:p w14:paraId="7A391E2F" w14:textId="77777777" w:rsidR="009218F1" w:rsidRPr="00F873AB" w:rsidRDefault="009218F1" w:rsidP="001F4142">
            <w:pPr>
              <w:pStyle w:val="Tabletext"/>
            </w:pPr>
            <w:r w:rsidRPr="00F873AB">
              <w:rPr>
                <w:rFonts w:cs="Calibri"/>
                <w:color w:val="000000"/>
              </w:rPr>
              <w:t>8</w:t>
            </w:r>
          </w:p>
        </w:tc>
        <w:tc>
          <w:tcPr>
            <w:tcW w:w="709" w:type="dxa"/>
            <w:noWrap/>
            <w:hideMark/>
          </w:tcPr>
          <w:p w14:paraId="7C47FD90" w14:textId="77777777" w:rsidR="009218F1" w:rsidRPr="00F873AB" w:rsidRDefault="009218F1" w:rsidP="001F4142">
            <w:pPr>
              <w:pStyle w:val="Tabletext"/>
            </w:pPr>
            <w:r w:rsidRPr="00F873AB">
              <w:rPr>
                <w:rFonts w:cs="Calibri"/>
                <w:color w:val="000000"/>
              </w:rPr>
              <w:t>9</w:t>
            </w:r>
          </w:p>
        </w:tc>
        <w:tc>
          <w:tcPr>
            <w:tcW w:w="708" w:type="dxa"/>
            <w:noWrap/>
            <w:hideMark/>
          </w:tcPr>
          <w:p w14:paraId="70D76D54" w14:textId="77777777" w:rsidR="009218F1" w:rsidRPr="00F873AB" w:rsidRDefault="009218F1" w:rsidP="001F4142">
            <w:pPr>
              <w:pStyle w:val="Tabletext"/>
            </w:pPr>
            <w:r w:rsidRPr="00F873AB">
              <w:rPr>
                <w:rFonts w:cs="Calibri"/>
                <w:color w:val="000000"/>
              </w:rPr>
              <w:t>9</w:t>
            </w:r>
          </w:p>
        </w:tc>
        <w:tc>
          <w:tcPr>
            <w:tcW w:w="709" w:type="dxa"/>
            <w:noWrap/>
            <w:hideMark/>
          </w:tcPr>
          <w:p w14:paraId="138A1EA3" w14:textId="77777777" w:rsidR="009218F1" w:rsidRPr="00F873AB" w:rsidRDefault="009218F1" w:rsidP="001F4142">
            <w:pPr>
              <w:pStyle w:val="Tabletext"/>
            </w:pPr>
            <w:r w:rsidRPr="00F873AB">
              <w:rPr>
                <w:rFonts w:cs="Calibri"/>
                <w:color w:val="000000"/>
              </w:rPr>
              <w:t>9</w:t>
            </w:r>
          </w:p>
        </w:tc>
        <w:tc>
          <w:tcPr>
            <w:tcW w:w="3260" w:type="dxa"/>
            <w:noWrap/>
            <w:hideMark/>
          </w:tcPr>
          <w:p w14:paraId="34C61514" w14:textId="77777777" w:rsidR="009218F1" w:rsidRPr="00F873AB" w:rsidRDefault="009218F1" w:rsidP="001F4142">
            <w:pPr>
              <w:pStyle w:val="Tabletext"/>
            </w:pPr>
            <w:r>
              <w:t>1% projected a</w:t>
            </w:r>
            <w:r w:rsidRPr="00F873AB">
              <w:t xml:space="preserve">doption </w:t>
            </w:r>
            <w:r w:rsidRPr="00E722EE">
              <w:t>(Table 71) x estimated eligible patients (Table 70)</w:t>
            </w:r>
          </w:p>
        </w:tc>
      </w:tr>
      <w:tr w:rsidR="009218F1" w:rsidRPr="00F873AB" w14:paraId="641D1DD0" w14:textId="77777777" w:rsidTr="001F4142">
        <w:trPr>
          <w:trHeight w:val="255"/>
        </w:trPr>
        <w:tc>
          <w:tcPr>
            <w:tcW w:w="1696" w:type="dxa"/>
            <w:tcBorders>
              <w:bottom w:val="single" w:sz="4" w:space="0" w:color="auto"/>
            </w:tcBorders>
            <w:noWrap/>
            <w:hideMark/>
          </w:tcPr>
          <w:p w14:paraId="201EE5DB" w14:textId="77777777" w:rsidR="009218F1" w:rsidRPr="00F873AB" w:rsidRDefault="009218F1" w:rsidP="001F4142">
            <w:pPr>
              <w:pStyle w:val="Tabletext"/>
            </w:pPr>
            <w:r>
              <w:t>DFU</w:t>
            </w:r>
          </w:p>
        </w:tc>
        <w:tc>
          <w:tcPr>
            <w:tcW w:w="567" w:type="dxa"/>
            <w:tcBorders>
              <w:bottom w:val="single" w:sz="4" w:space="0" w:color="auto"/>
            </w:tcBorders>
            <w:noWrap/>
            <w:hideMark/>
          </w:tcPr>
          <w:p w14:paraId="5C64CBFD" w14:textId="77777777" w:rsidR="009218F1" w:rsidRPr="00F873AB" w:rsidRDefault="009218F1" w:rsidP="001F4142">
            <w:pPr>
              <w:pStyle w:val="Tabletext"/>
            </w:pPr>
            <w:r w:rsidRPr="00F873AB">
              <w:t>H</w:t>
            </w:r>
          </w:p>
        </w:tc>
        <w:tc>
          <w:tcPr>
            <w:tcW w:w="709" w:type="dxa"/>
            <w:tcBorders>
              <w:bottom w:val="single" w:sz="4" w:space="0" w:color="auto"/>
            </w:tcBorders>
            <w:noWrap/>
            <w:hideMark/>
          </w:tcPr>
          <w:p w14:paraId="21F2830D" w14:textId="77777777" w:rsidR="009218F1" w:rsidRPr="00F873AB" w:rsidRDefault="009218F1" w:rsidP="001F4142">
            <w:pPr>
              <w:pStyle w:val="Tabletext"/>
            </w:pPr>
            <w:r w:rsidRPr="00F873AB">
              <w:rPr>
                <w:rFonts w:cs="Calibri"/>
                <w:color w:val="000000"/>
              </w:rPr>
              <w:t>104</w:t>
            </w:r>
          </w:p>
        </w:tc>
        <w:tc>
          <w:tcPr>
            <w:tcW w:w="709" w:type="dxa"/>
            <w:tcBorders>
              <w:bottom w:val="single" w:sz="4" w:space="0" w:color="auto"/>
            </w:tcBorders>
            <w:noWrap/>
            <w:hideMark/>
          </w:tcPr>
          <w:p w14:paraId="6F9A50E7" w14:textId="77777777" w:rsidR="009218F1" w:rsidRPr="00F873AB" w:rsidRDefault="009218F1" w:rsidP="001F4142">
            <w:pPr>
              <w:pStyle w:val="Tabletext"/>
            </w:pPr>
            <w:r w:rsidRPr="00F873AB">
              <w:rPr>
                <w:rFonts w:cs="Calibri"/>
                <w:color w:val="000000"/>
              </w:rPr>
              <w:t>105</w:t>
            </w:r>
          </w:p>
        </w:tc>
        <w:tc>
          <w:tcPr>
            <w:tcW w:w="709" w:type="dxa"/>
            <w:tcBorders>
              <w:bottom w:val="single" w:sz="4" w:space="0" w:color="auto"/>
            </w:tcBorders>
            <w:noWrap/>
            <w:hideMark/>
          </w:tcPr>
          <w:p w14:paraId="0E1E9D31" w14:textId="77777777" w:rsidR="009218F1" w:rsidRPr="00F873AB" w:rsidRDefault="009218F1" w:rsidP="001F4142">
            <w:pPr>
              <w:pStyle w:val="Tabletext"/>
            </w:pPr>
            <w:r w:rsidRPr="00F873AB">
              <w:rPr>
                <w:rFonts w:cs="Calibri"/>
                <w:color w:val="000000"/>
              </w:rPr>
              <w:t>107</w:t>
            </w:r>
          </w:p>
        </w:tc>
        <w:tc>
          <w:tcPr>
            <w:tcW w:w="708" w:type="dxa"/>
            <w:tcBorders>
              <w:bottom w:val="single" w:sz="4" w:space="0" w:color="auto"/>
            </w:tcBorders>
            <w:noWrap/>
            <w:hideMark/>
          </w:tcPr>
          <w:p w14:paraId="47810A3C" w14:textId="77777777" w:rsidR="009218F1" w:rsidRPr="00F873AB" w:rsidRDefault="009218F1" w:rsidP="001F4142">
            <w:pPr>
              <w:pStyle w:val="Tabletext"/>
            </w:pPr>
            <w:r w:rsidRPr="00F873AB">
              <w:rPr>
                <w:rFonts w:cs="Calibri"/>
                <w:color w:val="000000"/>
              </w:rPr>
              <w:t>108</w:t>
            </w:r>
          </w:p>
        </w:tc>
        <w:tc>
          <w:tcPr>
            <w:tcW w:w="709" w:type="dxa"/>
            <w:tcBorders>
              <w:bottom w:val="single" w:sz="4" w:space="0" w:color="auto"/>
            </w:tcBorders>
            <w:noWrap/>
            <w:hideMark/>
          </w:tcPr>
          <w:p w14:paraId="3C728ACC" w14:textId="77777777" w:rsidR="009218F1" w:rsidRPr="00F873AB" w:rsidRDefault="009218F1" w:rsidP="001F4142">
            <w:pPr>
              <w:pStyle w:val="Tabletext"/>
            </w:pPr>
            <w:r w:rsidRPr="00F873AB">
              <w:rPr>
                <w:rFonts w:cs="Calibri"/>
                <w:color w:val="000000"/>
              </w:rPr>
              <w:t>110</w:t>
            </w:r>
          </w:p>
        </w:tc>
        <w:tc>
          <w:tcPr>
            <w:tcW w:w="3260" w:type="dxa"/>
            <w:tcBorders>
              <w:bottom w:val="single" w:sz="4" w:space="0" w:color="auto"/>
            </w:tcBorders>
            <w:noWrap/>
            <w:hideMark/>
          </w:tcPr>
          <w:p w14:paraId="11437646" w14:textId="77777777" w:rsidR="009218F1" w:rsidRPr="00F873AB" w:rsidRDefault="009218F1" w:rsidP="001F4142">
            <w:pPr>
              <w:pStyle w:val="Tabletext"/>
            </w:pPr>
            <w:r>
              <w:t>4% projected a</w:t>
            </w:r>
            <w:r w:rsidRPr="00F873AB">
              <w:t xml:space="preserve">doption </w:t>
            </w:r>
            <w:r w:rsidRPr="00E722EE">
              <w:t>(Table 71) x estimated eligible patients (Table 70)</w:t>
            </w:r>
          </w:p>
        </w:tc>
      </w:tr>
      <w:tr w:rsidR="009218F1" w:rsidRPr="00F873AB" w14:paraId="2AFC4EB7" w14:textId="77777777" w:rsidTr="001F4142">
        <w:trPr>
          <w:trHeight w:val="255"/>
        </w:trPr>
        <w:tc>
          <w:tcPr>
            <w:tcW w:w="1696" w:type="dxa"/>
            <w:tcBorders>
              <w:right w:val="nil"/>
            </w:tcBorders>
            <w:noWrap/>
            <w:hideMark/>
          </w:tcPr>
          <w:p w14:paraId="4C0DB238" w14:textId="77777777" w:rsidR="009218F1" w:rsidRPr="00F873AB" w:rsidRDefault="009218F1" w:rsidP="001F4142">
            <w:pPr>
              <w:pStyle w:val="Tabletext"/>
              <w:rPr>
                <w:b/>
                <w:bCs/>
              </w:rPr>
            </w:pPr>
            <w:r w:rsidRPr="00F873AB">
              <w:rPr>
                <w:b/>
                <w:bCs/>
              </w:rPr>
              <w:t>Acute wounds</w:t>
            </w:r>
          </w:p>
        </w:tc>
        <w:tc>
          <w:tcPr>
            <w:tcW w:w="567" w:type="dxa"/>
            <w:tcBorders>
              <w:left w:val="nil"/>
              <w:right w:val="nil"/>
            </w:tcBorders>
            <w:noWrap/>
            <w:hideMark/>
          </w:tcPr>
          <w:p w14:paraId="447AD946" w14:textId="77777777" w:rsidR="009218F1" w:rsidRPr="00F873AB" w:rsidRDefault="009218F1" w:rsidP="001F4142">
            <w:pPr>
              <w:pStyle w:val="Tabletext"/>
              <w:rPr>
                <w:b/>
                <w:bCs/>
              </w:rPr>
            </w:pPr>
            <w:r w:rsidRPr="00F873AB">
              <w:rPr>
                <w:b/>
                <w:bCs/>
              </w:rPr>
              <w:t> </w:t>
            </w:r>
          </w:p>
        </w:tc>
        <w:tc>
          <w:tcPr>
            <w:tcW w:w="709" w:type="dxa"/>
            <w:tcBorders>
              <w:left w:val="nil"/>
              <w:right w:val="nil"/>
            </w:tcBorders>
            <w:noWrap/>
            <w:hideMark/>
          </w:tcPr>
          <w:p w14:paraId="37EE1E7C" w14:textId="77777777" w:rsidR="009218F1" w:rsidRPr="00F873AB" w:rsidRDefault="009218F1" w:rsidP="001F4142">
            <w:pPr>
              <w:pStyle w:val="Tabletext"/>
              <w:rPr>
                <w:b/>
                <w:bCs/>
              </w:rPr>
            </w:pPr>
            <w:r w:rsidRPr="00F873AB">
              <w:rPr>
                <w:b/>
                <w:bCs/>
              </w:rPr>
              <w:t> </w:t>
            </w:r>
          </w:p>
        </w:tc>
        <w:tc>
          <w:tcPr>
            <w:tcW w:w="709" w:type="dxa"/>
            <w:tcBorders>
              <w:left w:val="nil"/>
              <w:right w:val="nil"/>
            </w:tcBorders>
            <w:noWrap/>
            <w:hideMark/>
          </w:tcPr>
          <w:p w14:paraId="45143C89" w14:textId="77777777" w:rsidR="009218F1" w:rsidRPr="00F873AB" w:rsidRDefault="009218F1" w:rsidP="001F4142">
            <w:pPr>
              <w:pStyle w:val="Tabletext"/>
              <w:rPr>
                <w:b/>
                <w:bCs/>
              </w:rPr>
            </w:pPr>
            <w:r w:rsidRPr="00F873AB">
              <w:rPr>
                <w:b/>
                <w:bCs/>
              </w:rPr>
              <w:t> </w:t>
            </w:r>
          </w:p>
        </w:tc>
        <w:tc>
          <w:tcPr>
            <w:tcW w:w="709" w:type="dxa"/>
            <w:tcBorders>
              <w:left w:val="nil"/>
              <w:right w:val="nil"/>
            </w:tcBorders>
            <w:noWrap/>
            <w:hideMark/>
          </w:tcPr>
          <w:p w14:paraId="3463242B" w14:textId="77777777" w:rsidR="009218F1" w:rsidRPr="00F873AB" w:rsidRDefault="009218F1" w:rsidP="001F4142">
            <w:pPr>
              <w:pStyle w:val="Tabletext"/>
              <w:rPr>
                <w:b/>
                <w:bCs/>
              </w:rPr>
            </w:pPr>
            <w:r w:rsidRPr="00F873AB">
              <w:rPr>
                <w:b/>
                <w:bCs/>
              </w:rPr>
              <w:t> </w:t>
            </w:r>
          </w:p>
        </w:tc>
        <w:tc>
          <w:tcPr>
            <w:tcW w:w="708" w:type="dxa"/>
            <w:tcBorders>
              <w:left w:val="nil"/>
              <w:right w:val="nil"/>
            </w:tcBorders>
            <w:noWrap/>
            <w:hideMark/>
          </w:tcPr>
          <w:p w14:paraId="5A6F5BA3" w14:textId="77777777" w:rsidR="009218F1" w:rsidRPr="00F873AB" w:rsidRDefault="009218F1" w:rsidP="001F4142">
            <w:pPr>
              <w:pStyle w:val="Tabletext"/>
              <w:rPr>
                <w:b/>
                <w:bCs/>
              </w:rPr>
            </w:pPr>
            <w:r w:rsidRPr="00F873AB">
              <w:rPr>
                <w:b/>
                <w:bCs/>
              </w:rPr>
              <w:t> </w:t>
            </w:r>
          </w:p>
        </w:tc>
        <w:tc>
          <w:tcPr>
            <w:tcW w:w="709" w:type="dxa"/>
            <w:tcBorders>
              <w:left w:val="nil"/>
              <w:right w:val="nil"/>
            </w:tcBorders>
            <w:noWrap/>
            <w:hideMark/>
          </w:tcPr>
          <w:p w14:paraId="7D1B6A22" w14:textId="77777777" w:rsidR="009218F1" w:rsidRPr="00F873AB" w:rsidRDefault="009218F1" w:rsidP="001F4142">
            <w:pPr>
              <w:pStyle w:val="Tabletext"/>
              <w:rPr>
                <w:b/>
                <w:bCs/>
              </w:rPr>
            </w:pPr>
            <w:r w:rsidRPr="00F873AB">
              <w:rPr>
                <w:b/>
                <w:bCs/>
              </w:rPr>
              <w:t> </w:t>
            </w:r>
          </w:p>
        </w:tc>
        <w:tc>
          <w:tcPr>
            <w:tcW w:w="3260" w:type="dxa"/>
            <w:tcBorders>
              <w:left w:val="nil"/>
            </w:tcBorders>
            <w:noWrap/>
            <w:hideMark/>
          </w:tcPr>
          <w:p w14:paraId="1FC3861A" w14:textId="77777777" w:rsidR="009218F1" w:rsidRPr="00F873AB" w:rsidRDefault="009218F1" w:rsidP="001F4142">
            <w:pPr>
              <w:pStyle w:val="Tabletext"/>
              <w:rPr>
                <w:b/>
                <w:bCs/>
              </w:rPr>
            </w:pPr>
            <w:r w:rsidRPr="00F873AB">
              <w:rPr>
                <w:b/>
                <w:bCs/>
              </w:rPr>
              <w:t> </w:t>
            </w:r>
          </w:p>
        </w:tc>
      </w:tr>
      <w:tr w:rsidR="009218F1" w:rsidRPr="00F873AB" w14:paraId="3E1E913E" w14:textId="77777777" w:rsidTr="001F4142">
        <w:trPr>
          <w:trHeight w:val="255"/>
        </w:trPr>
        <w:tc>
          <w:tcPr>
            <w:tcW w:w="1696" w:type="dxa"/>
            <w:noWrap/>
            <w:hideMark/>
          </w:tcPr>
          <w:p w14:paraId="2C648FF5" w14:textId="77777777" w:rsidR="009218F1" w:rsidRPr="00F873AB" w:rsidRDefault="009218F1" w:rsidP="001F4142">
            <w:pPr>
              <w:pStyle w:val="Tabletext"/>
            </w:pPr>
            <w:r w:rsidRPr="00F873AB">
              <w:t xml:space="preserve">Burns with dermal substitute </w:t>
            </w:r>
          </w:p>
        </w:tc>
        <w:tc>
          <w:tcPr>
            <w:tcW w:w="567" w:type="dxa"/>
            <w:noWrap/>
            <w:hideMark/>
          </w:tcPr>
          <w:p w14:paraId="28F37CCD" w14:textId="77777777" w:rsidR="009218F1" w:rsidRPr="00F873AB" w:rsidRDefault="009218F1" w:rsidP="001F4142">
            <w:pPr>
              <w:pStyle w:val="Tabletext"/>
            </w:pPr>
            <w:r w:rsidRPr="00F873AB">
              <w:t>I</w:t>
            </w:r>
          </w:p>
        </w:tc>
        <w:tc>
          <w:tcPr>
            <w:tcW w:w="709" w:type="dxa"/>
            <w:noWrap/>
            <w:hideMark/>
          </w:tcPr>
          <w:p w14:paraId="2007934D" w14:textId="77777777" w:rsidR="009218F1" w:rsidRPr="00F873AB" w:rsidRDefault="009218F1" w:rsidP="001F4142">
            <w:pPr>
              <w:pStyle w:val="Tabletext"/>
            </w:pPr>
            <w:r w:rsidRPr="00F873AB">
              <w:rPr>
                <w:rFonts w:cs="Calibri"/>
                <w:color w:val="000000"/>
              </w:rPr>
              <w:t>12</w:t>
            </w:r>
          </w:p>
        </w:tc>
        <w:tc>
          <w:tcPr>
            <w:tcW w:w="709" w:type="dxa"/>
            <w:noWrap/>
            <w:hideMark/>
          </w:tcPr>
          <w:p w14:paraId="5DAAA7BE" w14:textId="77777777" w:rsidR="009218F1" w:rsidRPr="00F873AB" w:rsidRDefault="009218F1" w:rsidP="001F4142">
            <w:pPr>
              <w:pStyle w:val="Tabletext"/>
            </w:pPr>
            <w:r w:rsidRPr="00F873AB">
              <w:rPr>
                <w:rFonts w:cs="Calibri"/>
                <w:color w:val="000000"/>
              </w:rPr>
              <w:t>13</w:t>
            </w:r>
          </w:p>
        </w:tc>
        <w:tc>
          <w:tcPr>
            <w:tcW w:w="709" w:type="dxa"/>
            <w:noWrap/>
            <w:hideMark/>
          </w:tcPr>
          <w:p w14:paraId="76F21BC1" w14:textId="77777777" w:rsidR="009218F1" w:rsidRPr="00F873AB" w:rsidRDefault="009218F1" w:rsidP="001F4142">
            <w:pPr>
              <w:pStyle w:val="Tabletext"/>
            </w:pPr>
            <w:r w:rsidRPr="00F873AB">
              <w:rPr>
                <w:rFonts w:cs="Calibri"/>
                <w:color w:val="000000"/>
              </w:rPr>
              <w:t>13</w:t>
            </w:r>
          </w:p>
        </w:tc>
        <w:tc>
          <w:tcPr>
            <w:tcW w:w="708" w:type="dxa"/>
            <w:noWrap/>
            <w:hideMark/>
          </w:tcPr>
          <w:p w14:paraId="411FC55B" w14:textId="77777777" w:rsidR="009218F1" w:rsidRPr="00F873AB" w:rsidRDefault="009218F1" w:rsidP="001F4142">
            <w:pPr>
              <w:pStyle w:val="Tabletext"/>
            </w:pPr>
            <w:r w:rsidRPr="00F873AB">
              <w:rPr>
                <w:rFonts w:cs="Calibri"/>
                <w:color w:val="000000"/>
              </w:rPr>
              <w:t>13</w:t>
            </w:r>
          </w:p>
        </w:tc>
        <w:tc>
          <w:tcPr>
            <w:tcW w:w="709" w:type="dxa"/>
            <w:noWrap/>
            <w:hideMark/>
          </w:tcPr>
          <w:p w14:paraId="7AE312D7" w14:textId="77777777" w:rsidR="009218F1" w:rsidRPr="00F873AB" w:rsidRDefault="009218F1" w:rsidP="001F4142">
            <w:pPr>
              <w:pStyle w:val="Tabletext"/>
            </w:pPr>
            <w:r w:rsidRPr="00F873AB">
              <w:rPr>
                <w:rFonts w:cs="Calibri"/>
                <w:color w:val="000000"/>
              </w:rPr>
              <w:t>13</w:t>
            </w:r>
          </w:p>
        </w:tc>
        <w:tc>
          <w:tcPr>
            <w:tcW w:w="3260" w:type="dxa"/>
            <w:noWrap/>
            <w:hideMark/>
          </w:tcPr>
          <w:p w14:paraId="7456B9B0" w14:textId="77777777" w:rsidR="009218F1" w:rsidRPr="00F873AB" w:rsidRDefault="009218F1" w:rsidP="001F4142">
            <w:pPr>
              <w:pStyle w:val="Tabletext"/>
            </w:pPr>
            <w:r>
              <w:t>10% projected a</w:t>
            </w:r>
            <w:r w:rsidRPr="00F873AB">
              <w:t xml:space="preserve">doption </w:t>
            </w:r>
            <w:r w:rsidRPr="00E722EE">
              <w:t>(Table 71) x estimated eligible patients (Table 70)</w:t>
            </w:r>
          </w:p>
        </w:tc>
      </w:tr>
      <w:tr w:rsidR="009218F1" w:rsidRPr="00F873AB" w14:paraId="42DDE455" w14:textId="77777777" w:rsidTr="001F4142">
        <w:trPr>
          <w:trHeight w:val="255"/>
        </w:trPr>
        <w:tc>
          <w:tcPr>
            <w:tcW w:w="1696" w:type="dxa"/>
            <w:noWrap/>
            <w:hideMark/>
          </w:tcPr>
          <w:p w14:paraId="35B6DE8D" w14:textId="77777777" w:rsidR="009218F1" w:rsidRPr="00F873AB" w:rsidRDefault="009218F1" w:rsidP="001F4142">
            <w:pPr>
              <w:pStyle w:val="Tabletext"/>
            </w:pPr>
            <w:r w:rsidRPr="00F873AB">
              <w:t>Patients with a graft donor site wound</w:t>
            </w:r>
          </w:p>
        </w:tc>
        <w:tc>
          <w:tcPr>
            <w:tcW w:w="567" w:type="dxa"/>
            <w:noWrap/>
            <w:hideMark/>
          </w:tcPr>
          <w:p w14:paraId="438497B2" w14:textId="77777777" w:rsidR="009218F1" w:rsidRPr="00F873AB" w:rsidRDefault="009218F1" w:rsidP="001F4142">
            <w:pPr>
              <w:pStyle w:val="Tabletext"/>
            </w:pPr>
            <w:r w:rsidRPr="00F873AB">
              <w:t>J</w:t>
            </w:r>
          </w:p>
        </w:tc>
        <w:tc>
          <w:tcPr>
            <w:tcW w:w="709" w:type="dxa"/>
            <w:noWrap/>
            <w:hideMark/>
          </w:tcPr>
          <w:p w14:paraId="50BC64A6" w14:textId="77777777" w:rsidR="009218F1" w:rsidRPr="00F873AB" w:rsidRDefault="009218F1" w:rsidP="001F4142">
            <w:pPr>
              <w:pStyle w:val="Tabletext"/>
            </w:pPr>
            <w:r w:rsidRPr="00F873AB">
              <w:rPr>
                <w:rFonts w:cs="Calibri"/>
                <w:color w:val="000000"/>
              </w:rPr>
              <w:t>12</w:t>
            </w:r>
          </w:p>
        </w:tc>
        <w:tc>
          <w:tcPr>
            <w:tcW w:w="709" w:type="dxa"/>
            <w:noWrap/>
            <w:hideMark/>
          </w:tcPr>
          <w:p w14:paraId="666E1E1A" w14:textId="77777777" w:rsidR="009218F1" w:rsidRPr="00F873AB" w:rsidRDefault="009218F1" w:rsidP="001F4142">
            <w:pPr>
              <w:pStyle w:val="Tabletext"/>
            </w:pPr>
            <w:r w:rsidRPr="00F873AB">
              <w:rPr>
                <w:rFonts w:cs="Calibri"/>
                <w:color w:val="000000"/>
              </w:rPr>
              <w:t>13</w:t>
            </w:r>
          </w:p>
        </w:tc>
        <w:tc>
          <w:tcPr>
            <w:tcW w:w="709" w:type="dxa"/>
            <w:noWrap/>
            <w:hideMark/>
          </w:tcPr>
          <w:p w14:paraId="2985B792" w14:textId="77777777" w:rsidR="009218F1" w:rsidRPr="00F873AB" w:rsidRDefault="009218F1" w:rsidP="001F4142">
            <w:pPr>
              <w:pStyle w:val="Tabletext"/>
            </w:pPr>
            <w:r w:rsidRPr="00F873AB">
              <w:rPr>
                <w:rFonts w:cs="Calibri"/>
                <w:color w:val="000000"/>
              </w:rPr>
              <w:t>13</w:t>
            </w:r>
          </w:p>
        </w:tc>
        <w:tc>
          <w:tcPr>
            <w:tcW w:w="708" w:type="dxa"/>
            <w:noWrap/>
            <w:hideMark/>
          </w:tcPr>
          <w:p w14:paraId="09E013A4" w14:textId="77777777" w:rsidR="009218F1" w:rsidRPr="00F873AB" w:rsidRDefault="009218F1" w:rsidP="001F4142">
            <w:pPr>
              <w:pStyle w:val="Tabletext"/>
            </w:pPr>
            <w:r w:rsidRPr="00F873AB">
              <w:rPr>
                <w:rFonts w:cs="Calibri"/>
                <w:color w:val="000000"/>
              </w:rPr>
              <w:t>13</w:t>
            </w:r>
          </w:p>
        </w:tc>
        <w:tc>
          <w:tcPr>
            <w:tcW w:w="709" w:type="dxa"/>
            <w:noWrap/>
            <w:hideMark/>
          </w:tcPr>
          <w:p w14:paraId="745E2582" w14:textId="77777777" w:rsidR="009218F1" w:rsidRPr="00F873AB" w:rsidRDefault="009218F1" w:rsidP="001F4142">
            <w:pPr>
              <w:pStyle w:val="Tabletext"/>
            </w:pPr>
            <w:r w:rsidRPr="00F873AB">
              <w:rPr>
                <w:rFonts w:cs="Calibri"/>
                <w:color w:val="000000"/>
              </w:rPr>
              <w:t>13</w:t>
            </w:r>
          </w:p>
        </w:tc>
        <w:tc>
          <w:tcPr>
            <w:tcW w:w="3260" w:type="dxa"/>
            <w:noWrap/>
            <w:hideMark/>
          </w:tcPr>
          <w:p w14:paraId="5AD1EF80" w14:textId="77777777" w:rsidR="009218F1" w:rsidRPr="00F873AB" w:rsidRDefault="009218F1" w:rsidP="001F4142">
            <w:pPr>
              <w:pStyle w:val="Tabletext"/>
            </w:pPr>
            <w:r>
              <w:t>10% projected a</w:t>
            </w:r>
            <w:r w:rsidRPr="00F873AB">
              <w:t xml:space="preserve">doption </w:t>
            </w:r>
            <w:r w:rsidRPr="00E722EE">
              <w:t>(Table 71) x estimated eligible patients (Table 70)</w:t>
            </w:r>
          </w:p>
        </w:tc>
      </w:tr>
      <w:tr w:rsidR="009218F1" w:rsidRPr="00F873AB" w14:paraId="2AB2EF35" w14:textId="77777777" w:rsidTr="001F4142">
        <w:trPr>
          <w:trHeight w:val="255"/>
        </w:trPr>
        <w:tc>
          <w:tcPr>
            <w:tcW w:w="1696" w:type="dxa"/>
            <w:noWrap/>
            <w:hideMark/>
          </w:tcPr>
          <w:p w14:paraId="558D5AC2" w14:textId="77777777" w:rsidR="009218F1" w:rsidRPr="00F873AB" w:rsidRDefault="009218F1" w:rsidP="001F4142">
            <w:pPr>
              <w:pStyle w:val="Tabletext"/>
            </w:pPr>
            <w:r w:rsidRPr="00F873AB">
              <w:t>Patients requiring skin graft fixators</w:t>
            </w:r>
          </w:p>
        </w:tc>
        <w:tc>
          <w:tcPr>
            <w:tcW w:w="567" w:type="dxa"/>
            <w:noWrap/>
            <w:hideMark/>
          </w:tcPr>
          <w:p w14:paraId="2ADFA210" w14:textId="77777777" w:rsidR="009218F1" w:rsidRPr="00F873AB" w:rsidRDefault="009218F1" w:rsidP="001F4142">
            <w:pPr>
              <w:pStyle w:val="Tabletext"/>
            </w:pPr>
            <w:r w:rsidRPr="00F873AB">
              <w:t>K</w:t>
            </w:r>
          </w:p>
        </w:tc>
        <w:tc>
          <w:tcPr>
            <w:tcW w:w="709" w:type="dxa"/>
            <w:noWrap/>
            <w:hideMark/>
          </w:tcPr>
          <w:p w14:paraId="605914A1" w14:textId="77777777" w:rsidR="009218F1" w:rsidRPr="00F873AB" w:rsidRDefault="009218F1" w:rsidP="001F4142">
            <w:pPr>
              <w:pStyle w:val="Tabletext"/>
            </w:pPr>
            <w:r w:rsidRPr="00F873AB">
              <w:rPr>
                <w:rFonts w:cs="Calibri"/>
                <w:color w:val="000000"/>
              </w:rPr>
              <w:t>12</w:t>
            </w:r>
          </w:p>
        </w:tc>
        <w:tc>
          <w:tcPr>
            <w:tcW w:w="709" w:type="dxa"/>
            <w:noWrap/>
            <w:hideMark/>
          </w:tcPr>
          <w:p w14:paraId="54795601" w14:textId="77777777" w:rsidR="009218F1" w:rsidRPr="00F873AB" w:rsidRDefault="009218F1" w:rsidP="001F4142">
            <w:pPr>
              <w:pStyle w:val="Tabletext"/>
            </w:pPr>
            <w:r w:rsidRPr="00F873AB">
              <w:rPr>
                <w:rFonts w:cs="Calibri"/>
                <w:color w:val="000000"/>
              </w:rPr>
              <w:t>13</w:t>
            </w:r>
          </w:p>
        </w:tc>
        <w:tc>
          <w:tcPr>
            <w:tcW w:w="709" w:type="dxa"/>
            <w:noWrap/>
            <w:hideMark/>
          </w:tcPr>
          <w:p w14:paraId="4DE54552" w14:textId="77777777" w:rsidR="009218F1" w:rsidRPr="00F873AB" w:rsidRDefault="009218F1" w:rsidP="001F4142">
            <w:pPr>
              <w:pStyle w:val="Tabletext"/>
            </w:pPr>
            <w:r w:rsidRPr="00F873AB">
              <w:rPr>
                <w:rFonts w:cs="Calibri"/>
                <w:color w:val="000000"/>
              </w:rPr>
              <w:t>13</w:t>
            </w:r>
          </w:p>
        </w:tc>
        <w:tc>
          <w:tcPr>
            <w:tcW w:w="708" w:type="dxa"/>
            <w:noWrap/>
            <w:hideMark/>
          </w:tcPr>
          <w:p w14:paraId="6FA13646" w14:textId="77777777" w:rsidR="009218F1" w:rsidRPr="00F873AB" w:rsidRDefault="009218F1" w:rsidP="001F4142">
            <w:pPr>
              <w:pStyle w:val="Tabletext"/>
            </w:pPr>
            <w:r w:rsidRPr="00F873AB">
              <w:rPr>
                <w:rFonts w:cs="Calibri"/>
                <w:color w:val="000000"/>
              </w:rPr>
              <w:t>13</w:t>
            </w:r>
          </w:p>
        </w:tc>
        <w:tc>
          <w:tcPr>
            <w:tcW w:w="709" w:type="dxa"/>
            <w:noWrap/>
            <w:hideMark/>
          </w:tcPr>
          <w:p w14:paraId="16AC1351" w14:textId="77777777" w:rsidR="009218F1" w:rsidRPr="00F873AB" w:rsidRDefault="009218F1" w:rsidP="001F4142">
            <w:pPr>
              <w:pStyle w:val="Tabletext"/>
            </w:pPr>
            <w:r w:rsidRPr="00F873AB">
              <w:rPr>
                <w:rFonts w:cs="Calibri"/>
                <w:color w:val="000000"/>
              </w:rPr>
              <w:t>13</w:t>
            </w:r>
          </w:p>
        </w:tc>
        <w:tc>
          <w:tcPr>
            <w:tcW w:w="3260" w:type="dxa"/>
            <w:noWrap/>
            <w:hideMark/>
          </w:tcPr>
          <w:p w14:paraId="626DD5E0" w14:textId="77777777" w:rsidR="009218F1" w:rsidRPr="00F873AB" w:rsidRDefault="009218F1" w:rsidP="001F4142">
            <w:pPr>
              <w:pStyle w:val="Tabletext"/>
            </w:pPr>
            <w:r>
              <w:t>10% projected a</w:t>
            </w:r>
            <w:r w:rsidRPr="00F873AB">
              <w:t xml:space="preserve">doption </w:t>
            </w:r>
            <w:r w:rsidRPr="00E722EE">
              <w:t>(Table 71) x estimated eligible patients (Table 70)</w:t>
            </w:r>
          </w:p>
        </w:tc>
      </w:tr>
      <w:tr w:rsidR="009218F1" w:rsidRPr="00F873AB" w14:paraId="11A5F875" w14:textId="77777777" w:rsidTr="001F4142">
        <w:trPr>
          <w:trHeight w:val="255"/>
        </w:trPr>
        <w:tc>
          <w:tcPr>
            <w:tcW w:w="1696" w:type="dxa"/>
            <w:tcBorders>
              <w:bottom w:val="single" w:sz="4" w:space="0" w:color="auto"/>
            </w:tcBorders>
            <w:noWrap/>
            <w:hideMark/>
          </w:tcPr>
          <w:p w14:paraId="2D8F8F42" w14:textId="77777777" w:rsidR="009218F1" w:rsidRPr="00F873AB" w:rsidRDefault="009218F1" w:rsidP="001F4142">
            <w:pPr>
              <w:pStyle w:val="Tabletext"/>
            </w:pPr>
            <w:r w:rsidRPr="00F873AB">
              <w:t>Total</w:t>
            </w:r>
          </w:p>
        </w:tc>
        <w:tc>
          <w:tcPr>
            <w:tcW w:w="567" w:type="dxa"/>
            <w:tcBorders>
              <w:bottom w:val="single" w:sz="4" w:space="0" w:color="auto"/>
            </w:tcBorders>
            <w:noWrap/>
            <w:hideMark/>
          </w:tcPr>
          <w:p w14:paraId="7777A9FE" w14:textId="77777777" w:rsidR="009218F1" w:rsidRPr="00F873AB" w:rsidRDefault="009218F1" w:rsidP="001F4142">
            <w:pPr>
              <w:pStyle w:val="Tabletext"/>
            </w:pPr>
            <w:r w:rsidRPr="00F873AB">
              <w:t>L</w:t>
            </w:r>
          </w:p>
        </w:tc>
        <w:tc>
          <w:tcPr>
            <w:tcW w:w="709" w:type="dxa"/>
            <w:tcBorders>
              <w:bottom w:val="single" w:sz="4" w:space="0" w:color="auto"/>
            </w:tcBorders>
            <w:noWrap/>
            <w:hideMark/>
          </w:tcPr>
          <w:p w14:paraId="44C17F5E" w14:textId="77777777" w:rsidR="009218F1" w:rsidRPr="00F873AB" w:rsidRDefault="009218F1" w:rsidP="001F4142">
            <w:pPr>
              <w:pStyle w:val="Tabletext"/>
            </w:pPr>
            <w:r w:rsidRPr="00F873AB">
              <w:rPr>
                <w:rFonts w:cs="Calibri"/>
                <w:b/>
                <w:bCs/>
                <w:color w:val="000000"/>
              </w:rPr>
              <w:t>508</w:t>
            </w:r>
          </w:p>
        </w:tc>
        <w:tc>
          <w:tcPr>
            <w:tcW w:w="709" w:type="dxa"/>
            <w:tcBorders>
              <w:bottom w:val="single" w:sz="4" w:space="0" w:color="auto"/>
            </w:tcBorders>
            <w:noWrap/>
            <w:hideMark/>
          </w:tcPr>
          <w:p w14:paraId="4E4009FF" w14:textId="77777777" w:rsidR="009218F1" w:rsidRPr="00F873AB" w:rsidRDefault="009218F1" w:rsidP="001F4142">
            <w:pPr>
              <w:pStyle w:val="Tabletext"/>
            </w:pPr>
            <w:r w:rsidRPr="00F873AB">
              <w:rPr>
                <w:rFonts w:cs="Calibri"/>
                <w:b/>
                <w:bCs/>
                <w:color w:val="000000"/>
              </w:rPr>
              <w:t>515</w:t>
            </w:r>
          </w:p>
        </w:tc>
        <w:tc>
          <w:tcPr>
            <w:tcW w:w="709" w:type="dxa"/>
            <w:tcBorders>
              <w:bottom w:val="single" w:sz="4" w:space="0" w:color="auto"/>
            </w:tcBorders>
            <w:noWrap/>
            <w:hideMark/>
          </w:tcPr>
          <w:p w14:paraId="09CC551B" w14:textId="77777777" w:rsidR="009218F1" w:rsidRPr="00F873AB" w:rsidRDefault="009218F1" w:rsidP="001F4142">
            <w:pPr>
              <w:pStyle w:val="Tabletext"/>
            </w:pPr>
            <w:r w:rsidRPr="00F873AB">
              <w:rPr>
                <w:rFonts w:cs="Calibri"/>
                <w:b/>
                <w:bCs/>
                <w:color w:val="000000"/>
              </w:rPr>
              <w:t>522</w:t>
            </w:r>
          </w:p>
        </w:tc>
        <w:tc>
          <w:tcPr>
            <w:tcW w:w="708" w:type="dxa"/>
            <w:tcBorders>
              <w:bottom w:val="single" w:sz="4" w:space="0" w:color="auto"/>
            </w:tcBorders>
            <w:noWrap/>
            <w:hideMark/>
          </w:tcPr>
          <w:p w14:paraId="7EE99BA3" w14:textId="77777777" w:rsidR="009218F1" w:rsidRPr="00F873AB" w:rsidRDefault="009218F1" w:rsidP="001F4142">
            <w:pPr>
              <w:pStyle w:val="Tabletext"/>
            </w:pPr>
            <w:r w:rsidRPr="00F873AB">
              <w:rPr>
                <w:rFonts w:cs="Calibri"/>
                <w:b/>
                <w:bCs/>
                <w:color w:val="000000"/>
              </w:rPr>
              <w:t>530</w:t>
            </w:r>
          </w:p>
        </w:tc>
        <w:tc>
          <w:tcPr>
            <w:tcW w:w="709" w:type="dxa"/>
            <w:tcBorders>
              <w:bottom w:val="single" w:sz="4" w:space="0" w:color="auto"/>
            </w:tcBorders>
            <w:noWrap/>
            <w:hideMark/>
          </w:tcPr>
          <w:p w14:paraId="6304AA35" w14:textId="77777777" w:rsidR="009218F1" w:rsidRPr="00F873AB" w:rsidRDefault="009218F1" w:rsidP="001F4142">
            <w:pPr>
              <w:pStyle w:val="Tabletext"/>
            </w:pPr>
            <w:r w:rsidRPr="00F873AB">
              <w:rPr>
                <w:rFonts w:cs="Calibri"/>
                <w:b/>
                <w:bCs/>
                <w:color w:val="000000"/>
              </w:rPr>
              <w:t>537</w:t>
            </w:r>
          </w:p>
        </w:tc>
        <w:tc>
          <w:tcPr>
            <w:tcW w:w="3260" w:type="dxa"/>
            <w:tcBorders>
              <w:bottom w:val="single" w:sz="4" w:space="0" w:color="auto"/>
            </w:tcBorders>
            <w:noWrap/>
            <w:hideMark/>
          </w:tcPr>
          <w:p w14:paraId="4502A5F8" w14:textId="77777777" w:rsidR="009218F1" w:rsidRPr="00F873AB" w:rsidRDefault="009218F1" w:rsidP="001F4142">
            <w:pPr>
              <w:pStyle w:val="Tabletext"/>
            </w:pPr>
            <w:r w:rsidRPr="00F873AB">
              <w:t> </w:t>
            </w:r>
          </w:p>
        </w:tc>
      </w:tr>
      <w:tr w:rsidR="009218F1" w:rsidRPr="00F873AB" w14:paraId="0C1C8EEC" w14:textId="77777777" w:rsidTr="001F4142">
        <w:trPr>
          <w:trHeight w:val="255"/>
        </w:trPr>
        <w:tc>
          <w:tcPr>
            <w:tcW w:w="1696" w:type="dxa"/>
            <w:tcBorders>
              <w:bottom w:val="nil"/>
              <w:right w:val="nil"/>
            </w:tcBorders>
            <w:noWrap/>
          </w:tcPr>
          <w:p w14:paraId="2739606B" w14:textId="77777777" w:rsidR="009218F1" w:rsidRPr="00F873AB" w:rsidRDefault="009218F1" w:rsidP="001F4142">
            <w:pPr>
              <w:pStyle w:val="Tabletext"/>
            </w:pPr>
            <w:r w:rsidRPr="00F873AB">
              <w:rPr>
                <w:b/>
                <w:bCs/>
              </w:rPr>
              <w:t>Without PL listing of AM </w:t>
            </w:r>
          </w:p>
        </w:tc>
        <w:tc>
          <w:tcPr>
            <w:tcW w:w="567" w:type="dxa"/>
            <w:tcBorders>
              <w:left w:val="nil"/>
              <w:bottom w:val="nil"/>
              <w:right w:val="nil"/>
            </w:tcBorders>
            <w:noWrap/>
          </w:tcPr>
          <w:p w14:paraId="5F34C063" w14:textId="77777777" w:rsidR="009218F1" w:rsidRPr="00F873AB" w:rsidRDefault="009218F1" w:rsidP="001F4142">
            <w:pPr>
              <w:pStyle w:val="Tabletext"/>
            </w:pPr>
          </w:p>
        </w:tc>
        <w:tc>
          <w:tcPr>
            <w:tcW w:w="709" w:type="dxa"/>
            <w:tcBorders>
              <w:left w:val="nil"/>
              <w:bottom w:val="nil"/>
              <w:right w:val="nil"/>
            </w:tcBorders>
            <w:noWrap/>
          </w:tcPr>
          <w:p w14:paraId="05C575CD" w14:textId="77777777" w:rsidR="009218F1" w:rsidRPr="00F873AB" w:rsidRDefault="009218F1" w:rsidP="001F4142">
            <w:pPr>
              <w:pStyle w:val="Tabletext"/>
            </w:pPr>
          </w:p>
        </w:tc>
        <w:tc>
          <w:tcPr>
            <w:tcW w:w="709" w:type="dxa"/>
            <w:tcBorders>
              <w:left w:val="nil"/>
              <w:bottom w:val="nil"/>
              <w:right w:val="nil"/>
            </w:tcBorders>
            <w:noWrap/>
          </w:tcPr>
          <w:p w14:paraId="0344F92A" w14:textId="77777777" w:rsidR="009218F1" w:rsidRPr="00F873AB" w:rsidRDefault="009218F1" w:rsidP="001F4142">
            <w:pPr>
              <w:pStyle w:val="Tabletext"/>
            </w:pPr>
          </w:p>
        </w:tc>
        <w:tc>
          <w:tcPr>
            <w:tcW w:w="709" w:type="dxa"/>
            <w:tcBorders>
              <w:left w:val="nil"/>
              <w:bottom w:val="nil"/>
              <w:right w:val="nil"/>
            </w:tcBorders>
            <w:noWrap/>
          </w:tcPr>
          <w:p w14:paraId="081782DF" w14:textId="77777777" w:rsidR="009218F1" w:rsidRPr="00F873AB" w:rsidRDefault="009218F1" w:rsidP="001F4142">
            <w:pPr>
              <w:pStyle w:val="Tabletext"/>
            </w:pPr>
          </w:p>
        </w:tc>
        <w:tc>
          <w:tcPr>
            <w:tcW w:w="708" w:type="dxa"/>
            <w:tcBorders>
              <w:left w:val="nil"/>
              <w:bottom w:val="nil"/>
              <w:right w:val="nil"/>
            </w:tcBorders>
            <w:noWrap/>
          </w:tcPr>
          <w:p w14:paraId="09046ADA" w14:textId="77777777" w:rsidR="009218F1" w:rsidRPr="00F873AB" w:rsidRDefault="009218F1" w:rsidP="001F4142">
            <w:pPr>
              <w:pStyle w:val="Tabletext"/>
            </w:pPr>
          </w:p>
        </w:tc>
        <w:tc>
          <w:tcPr>
            <w:tcW w:w="709" w:type="dxa"/>
            <w:tcBorders>
              <w:left w:val="nil"/>
              <w:bottom w:val="nil"/>
              <w:right w:val="nil"/>
            </w:tcBorders>
            <w:noWrap/>
          </w:tcPr>
          <w:p w14:paraId="0983DC65" w14:textId="77777777" w:rsidR="009218F1" w:rsidRPr="00F873AB" w:rsidRDefault="009218F1" w:rsidP="001F4142">
            <w:pPr>
              <w:pStyle w:val="Tabletext"/>
            </w:pPr>
          </w:p>
        </w:tc>
        <w:tc>
          <w:tcPr>
            <w:tcW w:w="3260" w:type="dxa"/>
            <w:tcBorders>
              <w:left w:val="nil"/>
              <w:bottom w:val="nil"/>
            </w:tcBorders>
            <w:noWrap/>
          </w:tcPr>
          <w:p w14:paraId="22AAC38C" w14:textId="77777777" w:rsidR="009218F1" w:rsidRPr="00F873AB" w:rsidRDefault="009218F1" w:rsidP="001F4142">
            <w:pPr>
              <w:pStyle w:val="Tabletext"/>
            </w:pPr>
          </w:p>
        </w:tc>
      </w:tr>
      <w:tr w:rsidR="009218F1" w:rsidRPr="00F873AB" w14:paraId="47547FAF" w14:textId="77777777" w:rsidTr="001F4142">
        <w:trPr>
          <w:trHeight w:val="255"/>
        </w:trPr>
        <w:tc>
          <w:tcPr>
            <w:tcW w:w="1696" w:type="dxa"/>
            <w:tcBorders>
              <w:top w:val="nil"/>
              <w:right w:val="nil"/>
            </w:tcBorders>
            <w:noWrap/>
          </w:tcPr>
          <w:p w14:paraId="3EA39963" w14:textId="77777777" w:rsidR="009218F1" w:rsidRPr="00F873AB" w:rsidRDefault="009218F1" w:rsidP="001F4142">
            <w:pPr>
              <w:pStyle w:val="Tabletext"/>
            </w:pPr>
            <w:r w:rsidRPr="00F873AB">
              <w:rPr>
                <w:b/>
                <w:bCs/>
              </w:rPr>
              <w:t>Acute ophthalmic conditions</w:t>
            </w:r>
          </w:p>
        </w:tc>
        <w:tc>
          <w:tcPr>
            <w:tcW w:w="567" w:type="dxa"/>
            <w:tcBorders>
              <w:top w:val="nil"/>
              <w:left w:val="nil"/>
              <w:right w:val="nil"/>
            </w:tcBorders>
            <w:noWrap/>
          </w:tcPr>
          <w:p w14:paraId="25403C27" w14:textId="77777777" w:rsidR="009218F1" w:rsidRPr="00F873AB" w:rsidRDefault="009218F1" w:rsidP="001F4142">
            <w:pPr>
              <w:pStyle w:val="Tabletext"/>
            </w:pPr>
          </w:p>
        </w:tc>
        <w:tc>
          <w:tcPr>
            <w:tcW w:w="709" w:type="dxa"/>
            <w:tcBorders>
              <w:top w:val="nil"/>
              <w:left w:val="nil"/>
              <w:right w:val="nil"/>
            </w:tcBorders>
            <w:noWrap/>
          </w:tcPr>
          <w:p w14:paraId="2C506369" w14:textId="77777777" w:rsidR="009218F1" w:rsidRPr="00F873AB" w:rsidRDefault="009218F1" w:rsidP="001F4142">
            <w:pPr>
              <w:pStyle w:val="Tabletext"/>
            </w:pPr>
          </w:p>
        </w:tc>
        <w:tc>
          <w:tcPr>
            <w:tcW w:w="709" w:type="dxa"/>
            <w:tcBorders>
              <w:top w:val="nil"/>
              <w:left w:val="nil"/>
              <w:right w:val="nil"/>
            </w:tcBorders>
            <w:noWrap/>
          </w:tcPr>
          <w:p w14:paraId="23027250" w14:textId="77777777" w:rsidR="009218F1" w:rsidRPr="00F873AB" w:rsidRDefault="009218F1" w:rsidP="001F4142">
            <w:pPr>
              <w:pStyle w:val="Tabletext"/>
            </w:pPr>
          </w:p>
        </w:tc>
        <w:tc>
          <w:tcPr>
            <w:tcW w:w="709" w:type="dxa"/>
            <w:tcBorders>
              <w:top w:val="nil"/>
              <w:left w:val="nil"/>
              <w:right w:val="nil"/>
            </w:tcBorders>
            <w:noWrap/>
          </w:tcPr>
          <w:p w14:paraId="2FE81F43" w14:textId="77777777" w:rsidR="009218F1" w:rsidRPr="00F873AB" w:rsidRDefault="009218F1" w:rsidP="001F4142">
            <w:pPr>
              <w:pStyle w:val="Tabletext"/>
            </w:pPr>
          </w:p>
        </w:tc>
        <w:tc>
          <w:tcPr>
            <w:tcW w:w="708" w:type="dxa"/>
            <w:tcBorders>
              <w:top w:val="nil"/>
              <w:left w:val="nil"/>
              <w:right w:val="nil"/>
            </w:tcBorders>
            <w:noWrap/>
          </w:tcPr>
          <w:p w14:paraId="770409A7" w14:textId="77777777" w:rsidR="009218F1" w:rsidRPr="00F873AB" w:rsidRDefault="009218F1" w:rsidP="001F4142">
            <w:pPr>
              <w:pStyle w:val="Tabletext"/>
            </w:pPr>
          </w:p>
        </w:tc>
        <w:tc>
          <w:tcPr>
            <w:tcW w:w="709" w:type="dxa"/>
            <w:tcBorders>
              <w:top w:val="nil"/>
              <w:left w:val="nil"/>
              <w:right w:val="nil"/>
            </w:tcBorders>
            <w:noWrap/>
          </w:tcPr>
          <w:p w14:paraId="70F35456" w14:textId="77777777" w:rsidR="009218F1" w:rsidRPr="00F873AB" w:rsidRDefault="009218F1" w:rsidP="001F4142">
            <w:pPr>
              <w:pStyle w:val="Tabletext"/>
            </w:pPr>
          </w:p>
        </w:tc>
        <w:tc>
          <w:tcPr>
            <w:tcW w:w="3260" w:type="dxa"/>
            <w:tcBorders>
              <w:top w:val="nil"/>
              <w:left w:val="nil"/>
            </w:tcBorders>
            <w:noWrap/>
          </w:tcPr>
          <w:p w14:paraId="41F74D12" w14:textId="77777777" w:rsidR="009218F1" w:rsidRPr="00F873AB" w:rsidRDefault="009218F1" w:rsidP="001F4142">
            <w:pPr>
              <w:pStyle w:val="Tabletext"/>
            </w:pPr>
          </w:p>
        </w:tc>
      </w:tr>
      <w:tr w:rsidR="009218F1" w:rsidRPr="00F873AB" w14:paraId="693F58E8" w14:textId="77777777" w:rsidTr="001F4142">
        <w:trPr>
          <w:trHeight w:val="255"/>
        </w:trPr>
        <w:tc>
          <w:tcPr>
            <w:tcW w:w="1696" w:type="dxa"/>
            <w:noWrap/>
            <w:hideMark/>
          </w:tcPr>
          <w:p w14:paraId="0FB335BE" w14:textId="77777777" w:rsidR="009218F1" w:rsidRPr="00F873AB" w:rsidRDefault="009218F1" w:rsidP="001F4142">
            <w:pPr>
              <w:pStyle w:val="Tabletext"/>
            </w:pPr>
            <w:r w:rsidRPr="00F873AB">
              <w:t>Total</w:t>
            </w:r>
          </w:p>
        </w:tc>
        <w:tc>
          <w:tcPr>
            <w:tcW w:w="567" w:type="dxa"/>
            <w:noWrap/>
            <w:hideMark/>
          </w:tcPr>
          <w:p w14:paraId="69217357" w14:textId="77777777" w:rsidR="009218F1" w:rsidRPr="00F873AB" w:rsidRDefault="009218F1" w:rsidP="001F4142">
            <w:pPr>
              <w:pStyle w:val="Tabletext"/>
            </w:pPr>
            <w:r w:rsidRPr="00F873AB">
              <w:t>M</w:t>
            </w:r>
          </w:p>
        </w:tc>
        <w:tc>
          <w:tcPr>
            <w:tcW w:w="709" w:type="dxa"/>
            <w:noWrap/>
            <w:hideMark/>
          </w:tcPr>
          <w:p w14:paraId="4352CF16" w14:textId="77777777" w:rsidR="009218F1" w:rsidRPr="00F873AB" w:rsidRDefault="009218F1" w:rsidP="001F4142">
            <w:pPr>
              <w:pStyle w:val="Tabletext"/>
            </w:pPr>
            <w:r w:rsidRPr="00F873AB">
              <w:t>150</w:t>
            </w:r>
          </w:p>
        </w:tc>
        <w:tc>
          <w:tcPr>
            <w:tcW w:w="709" w:type="dxa"/>
            <w:noWrap/>
            <w:hideMark/>
          </w:tcPr>
          <w:p w14:paraId="5ADF49D8" w14:textId="77777777" w:rsidR="009218F1" w:rsidRPr="00F873AB" w:rsidRDefault="009218F1" w:rsidP="001F4142">
            <w:pPr>
              <w:pStyle w:val="Tabletext"/>
            </w:pPr>
            <w:r w:rsidRPr="00F873AB">
              <w:t>150</w:t>
            </w:r>
          </w:p>
        </w:tc>
        <w:tc>
          <w:tcPr>
            <w:tcW w:w="709" w:type="dxa"/>
            <w:noWrap/>
            <w:hideMark/>
          </w:tcPr>
          <w:p w14:paraId="4320CEEB" w14:textId="77777777" w:rsidR="009218F1" w:rsidRPr="00F873AB" w:rsidRDefault="009218F1" w:rsidP="001F4142">
            <w:pPr>
              <w:pStyle w:val="Tabletext"/>
            </w:pPr>
            <w:r w:rsidRPr="00F873AB">
              <w:t>150</w:t>
            </w:r>
          </w:p>
        </w:tc>
        <w:tc>
          <w:tcPr>
            <w:tcW w:w="708" w:type="dxa"/>
            <w:noWrap/>
            <w:hideMark/>
          </w:tcPr>
          <w:p w14:paraId="5CAED2FA" w14:textId="77777777" w:rsidR="009218F1" w:rsidRPr="00F873AB" w:rsidRDefault="009218F1" w:rsidP="001F4142">
            <w:pPr>
              <w:pStyle w:val="Tabletext"/>
            </w:pPr>
            <w:r w:rsidRPr="00F873AB">
              <w:t>150</w:t>
            </w:r>
          </w:p>
        </w:tc>
        <w:tc>
          <w:tcPr>
            <w:tcW w:w="709" w:type="dxa"/>
            <w:noWrap/>
            <w:hideMark/>
          </w:tcPr>
          <w:p w14:paraId="39E0B735" w14:textId="77777777" w:rsidR="009218F1" w:rsidRPr="00F873AB" w:rsidRDefault="009218F1" w:rsidP="001F4142">
            <w:pPr>
              <w:pStyle w:val="Tabletext"/>
            </w:pPr>
            <w:r w:rsidRPr="00F873AB">
              <w:t>150</w:t>
            </w:r>
          </w:p>
        </w:tc>
        <w:tc>
          <w:tcPr>
            <w:tcW w:w="3260" w:type="dxa"/>
            <w:noWrap/>
            <w:hideMark/>
          </w:tcPr>
          <w:p w14:paraId="7CE145CA" w14:textId="77777777" w:rsidR="009218F1" w:rsidRPr="00E722EE" w:rsidRDefault="009218F1" w:rsidP="001F4142">
            <w:pPr>
              <w:pStyle w:val="Tabletext"/>
              <w:rPr>
                <w:i/>
              </w:rPr>
            </w:pPr>
            <w:r w:rsidRPr="00E722EE">
              <w:rPr>
                <w:i/>
              </w:rPr>
              <w:t>Based on applicant advice that 150 grafts were released in 2019 for ophthalmic conditions</w:t>
            </w:r>
          </w:p>
        </w:tc>
      </w:tr>
    </w:tbl>
    <w:p w14:paraId="3E42A64E" w14:textId="77777777" w:rsidR="009218F1" w:rsidRPr="00C21A1B" w:rsidRDefault="009218F1" w:rsidP="00AB5515">
      <w:pPr>
        <w:pStyle w:val="Tablenotes"/>
      </w:pPr>
      <w:r w:rsidRPr="00C21A1B">
        <w:t xml:space="preserve">Source: Table 72, p170 of the DCAR with adoption rates from Table 71, p170 of the DCAR. </w:t>
      </w:r>
    </w:p>
    <w:p w14:paraId="1DF2D900" w14:textId="77777777" w:rsidR="009218F1" w:rsidRPr="00F873AB" w:rsidRDefault="009218F1" w:rsidP="00AB5515">
      <w:pPr>
        <w:pStyle w:val="Tablenotes"/>
      </w:pPr>
      <w:r w:rsidRPr="00C21A1B">
        <w:t>Abbreviations:</w:t>
      </w:r>
      <w:r w:rsidRPr="00D354AE">
        <w:t xml:space="preserve"> AM</w:t>
      </w:r>
      <w:r>
        <w:t xml:space="preserve"> </w:t>
      </w:r>
      <w:r w:rsidRPr="00D354AE">
        <w:t>=</w:t>
      </w:r>
      <w:r>
        <w:t xml:space="preserve"> </w:t>
      </w:r>
      <w:r w:rsidRPr="00D354AE">
        <w:t>amnion membrane</w:t>
      </w:r>
      <w:r>
        <w:t>,</w:t>
      </w:r>
      <w:r w:rsidRPr="00D354AE">
        <w:t xml:space="preserve"> DFU</w:t>
      </w:r>
      <w:r>
        <w:t xml:space="preserve"> </w:t>
      </w:r>
      <w:r w:rsidRPr="00D354AE">
        <w:t>= diabetic foot ulcers</w:t>
      </w:r>
      <w:r>
        <w:t>,</w:t>
      </w:r>
      <w:r w:rsidRPr="00D354AE">
        <w:t xml:space="preserve"> PL</w:t>
      </w:r>
      <w:r>
        <w:t xml:space="preserve"> </w:t>
      </w:r>
      <w:r w:rsidRPr="00D354AE">
        <w:t xml:space="preserve">= </w:t>
      </w:r>
      <w:proofErr w:type="spellStart"/>
      <w:r w:rsidRPr="00D354AE">
        <w:t>Prothesis</w:t>
      </w:r>
      <w:proofErr w:type="spellEnd"/>
      <w:r w:rsidRPr="00D354AE">
        <w:t xml:space="preserve"> List, TEN</w:t>
      </w:r>
      <w:r>
        <w:t xml:space="preserve"> </w:t>
      </w:r>
      <w:r w:rsidRPr="00D354AE">
        <w:t>= toxic epidermal necrolysis, SJS</w:t>
      </w:r>
      <w:r>
        <w:t xml:space="preserve"> </w:t>
      </w:r>
      <w:r w:rsidRPr="00D354AE">
        <w:t xml:space="preserve">= </w:t>
      </w:r>
      <w:proofErr w:type="gramStart"/>
      <w:r w:rsidRPr="00D354AE">
        <w:t>Stevens-Johnson Syndrome</w:t>
      </w:r>
      <w:proofErr w:type="gramEnd"/>
    </w:p>
    <w:p w14:paraId="122D0EB6" w14:textId="6E2DFF60" w:rsidR="00AB5515" w:rsidRDefault="009218F1" w:rsidP="00AB5515">
      <w:pPr>
        <w:spacing w:before="240"/>
      </w:pPr>
      <w:r>
        <w:t xml:space="preserve">The predicted </w:t>
      </w:r>
      <w:r w:rsidRPr="003C06B4">
        <w:t xml:space="preserve">financial </w:t>
      </w:r>
      <w:r w:rsidRPr="00C46160">
        <w:t>impact of AM listing on the</w:t>
      </w:r>
      <w:r>
        <w:t xml:space="preserve"> MBS and</w:t>
      </w:r>
      <w:r w:rsidRPr="00C46160">
        <w:t xml:space="preserve"> PL</w:t>
      </w:r>
      <w:r>
        <w:t xml:space="preserve"> is shown in </w:t>
      </w:r>
      <w:r>
        <w:fldChar w:fldCharType="begin"/>
      </w:r>
      <w:r>
        <w:instrText xml:space="preserve"> REF _Ref65162020 \h </w:instrText>
      </w:r>
      <w:r>
        <w:fldChar w:fldCharType="separate"/>
      </w:r>
      <w:r w:rsidRPr="00C46160">
        <w:t xml:space="preserve">Table </w:t>
      </w:r>
      <w:r>
        <w:rPr>
          <w:noProof/>
        </w:rPr>
        <w:t>11</w:t>
      </w:r>
      <w:r>
        <w:fldChar w:fldCharType="end"/>
      </w:r>
      <w:r w:rsidRPr="00C46160">
        <w:t>.</w:t>
      </w:r>
      <w:r>
        <w:t xml:space="preserve"> The average price for cryopreserved AM proposed by the a</w:t>
      </w:r>
      <w:r w:rsidRPr="00196100">
        <w:t>pplicant was $28.93 per cm</w:t>
      </w:r>
      <w:r w:rsidRPr="00196100">
        <w:rPr>
          <w:vertAlign w:val="superscript"/>
        </w:rPr>
        <w:t>2</w:t>
      </w:r>
      <w:r w:rsidRPr="00196100">
        <w:t xml:space="preserve">. </w:t>
      </w:r>
      <w:r>
        <w:t>The D</w:t>
      </w:r>
      <w:r w:rsidR="00665817">
        <w:t>CA</w:t>
      </w:r>
      <w:r>
        <w:t xml:space="preserve">R noted this </w:t>
      </w:r>
      <w:r w:rsidRPr="00196100">
        <w:t>is less than that of dehydrated AM, where the price per cm</w:t>
      </w:r>
      <w:r w:rsidRPr="00196100">
        <w:rPr>
          <w:vertAlign w:val="superscript"/>
        </w:rPr>
        <w:t>2</w:t>
      </w:r>
      <w:r w:rsidRPr="00196100">
        <w:t xml:space="preserve"> varies from $313 to $106 depending on product size.</w:t>
      </w:r>
      <w:r>
        <w:t xml:space="preserve"> </w:t>
      </w:r>
      <w:r w:rsidRPr="00196100">
        <w:t xml:space="preserve">The base analysis assumed one AM was used per eye </w:t>
      </w:r>
      <w:r>
        <w:t>and per</w:t>
      </w:r>
      <w:r w:rsidRPr="00196100">
        <w:t xml:space="preserve"> acute wound patients</w:t>
      </w:r>
      <w:r>
        <w:t>,</w:t>
      </w:r>
      <w:r w:rsidRPr="00196100">
        <w:t xml:space="preserve"> and 2-5 </w:t>
      </w:r>
      <w:r>
        <w:t>AM was used per</w:t>
      </w:r>
      <w:r w:rsidRPr="00196100">
        <w:t xml:space="preserve"> chronic wound patients.</w:t>
      </w:r>
      <w:r w:rsidR="00AB5515">
        <w:br w:type="page"/>
      </w:r>
    </w:p>
    <w:p w14:paraId="659A277E" w14:textId="77777777" w:rsidR="009218F1" w:rsidRPr="00C46160" w:rsidRDefault="009218F1" w:rsidP="009218F1">
      <w:pPr>
        <w:pStyle w:val="Caption"/>
      </w:pPr>
      <w:bookmarkStart w:id="60" w:name="_Ref65162020"/>
      <w:bookmarkStart w:id="61" w:name="_Ref56683258"/>
      <w:bookmarkStart w:id="62" w:name="_Toc57024207"/>
      <w:bookmarkStart w:id="63" w:name="_Toc59311954"/>
      <w:r w:rsidRPr="00C46160">
        <w:lastRenderedPageBreak/>
        <w:t xml:space="preserve">Table </w:t>
      </w:r>
      <w:r w:rsidRPr="00C46160">
        <w:rPr>
          <w:noProof/>
        </w:rPr>
        <w:fldChar w:fldCharType="begin"/>
      </w:r>
      <w:r w:rsidRPr="00C46160">
        <w:rPr>
          <w:noProof/>
        </w:rPr>
        <w:instrText xml:space="preserve"> SEQ Table \* ARABIC </w:instrText>
      </w:r>
      <w:r w:rsidRPr="00C46160">
        <w:rPr>
          <w:noProof/>
        </w:rPr>
        <w:fldChar w:fldCharType="separate"/>
      </w:r>
      <w:r>
        <w:rPr>
          <w:noProof/>
        </w:rPr>
        <w:t>11</w:t>
      </w:r>
      <w:r w:rsidRPr="00C46160">
        <w:rPr>
          <w:noProof/>
        </w:rPr>
        <w:fldChar w:fldCharType="end"/>
      </w:r>
      <w:bookmarkEnd w:id="60"/>
      <w:r>
        <w:tab/>
      </w:r>
      <w:r w:rsidRPr="00C46160">
        <w:t>Combined budget impact of AM listing, 2021–2025</w:t>
      </w:r>
      <w:bookmarkEnd w:id="61"/>
      <w:bookmarkEnd w:id="62"/>
      <w:bookmarkEnd w:id="63"/>
    </w:p>
    <w:tbl>
      <w:tblPr>
        <w:tblStyle w:val="TableGrid5"/>
        <w:tblW w:w="5000" w:type="pct"/>
        <w:tblLook w:val="04A0" w:firstRow="1" w:lastRow="0" w:firstColumn="1" w:lastColumn="0" w:noHBand="0" w:noVBand="1"/>
        <w:tblCaption w:val="Table 11 Combined budget impact of AM listing, 2021–2025"/>
      </w:tblPr>
      <w:tblGrid>
        <w:gridCol w:w="2776"/>
        <w:gridCol w:w="1153"/>
        <w:gridCol w:w="1153"/>
        <w:gridCol w:w="1152"/>
        <w:gridCol w:w="1154"/>
        <w:gridCol w:w="1628"/>
      </w:tblGrid>
      <w:tr w:rsidR="009218F1" w:rsidRPr="00C46160" w14:paraId="66EBD758" w14:textId="77777777" w:rsidTr="001F4142">
        <w:trPr>
          <w:trHeight w:val="255"/>
          <w:tblHeader/>
        </w:trPr>
        <w:tc>
          <w:tcPr>
            <w:tcW w:w="1539" w:type="pct"/>
            <w:tcBorders>
              <w:bottom w:val="single" w:sz="4" w:space="0" w:color="auto"/>
            </w:tcBorders>
            <w:noWrap/>
            <w:hideMark/>
          </w:tcPr>
          <w:p w14:paraId="65EA02A2" w14:textId="77777777" w:rsidR="009218F1" w:rsidRPr="00C46160" w:rsidRDefault="009218F1" w:rsidP="001F4142">
            <w:pPr>
              <w:pStyle w:val="Tabletext"/>
              <w:rPr>
                <w:b/>
                <w:bCs/>
              </w:rPr>
            </w:pPr>
          </w:p>
        </w:tc>
        <w:tc>
          <w:tcPr>
            <w:tcW w:w="639" w:type="pct"/>
            <w:tcBorders>
              <w:bottom w:val="single" w:sz="4" w:space="0" w:color="auto"/>
            </w:tcBorders>
            <w:noWrap/>
            <w:hideMark/>
          </w:tcPr>
          <w:p w14:paraId="5D73F656" w14:textId="77777777" w:rsidR="009218F1" w:rsidRPr="00C46160" w:rsidRDefault="009218F1" w:rsidP="001F4142">
            <w:pPr>
              <w:pStyle w:val="Tabletext"/>
              <w:rPr>
                <w:b/>
                <w:bCs/>
              </w:rPr>
            </w:pPr>
            <w:r w:rsidRPr="00C46160">
              <w:rPr>
                <w:b/>
                <w:bCs/>
              </w:rPr>
              <w:t>2021</w:t>
            </w:r>
          </w:p>
        </w:tc>
        <w:tc>
          <w:tcPr>
            <w:tcW w:w="639" w:type="pct"/>
            <w:tcBorders>
              <w:bottom w:val="single" w:sz="4" w:space="0" w:color="auto"/>
            </w:tcBorders>
            <w:noWrap/>
            <w:hideMark/>
          </w:tcPr>
          <w:p w14:paraId="44BE3A40" w14:textId="77777777" w:rsidR="009218F1" w:rsidRPr="00C46160" w:rsidRDefault="009218F1" w:rsidP="001F4142">
            <w:pPr>
              <w:pStyle w:val="Tabletext"/>
              <w:rPr>
                <w:b/>
                <w:bCs/>
              </w:rPr>
            </w:pPr>
            <w:r w:rsidRPr="00C46160">
              <w:rPr>
                <w:b/>
                <w:bCs/>
              </w:rPr>
              <w:t>2022</w:t>
            </w:r>
          </w:p>
        </w:tc>
        <w:tc>
          <w:tcPr>
            <w:tcW w:w="639" w:type="pct"/>
            <w:tcBorders>
              <w:bottom w:val="single" w:sz="4" w:space="0" w:color="auto"/>
            </w:tcBorders>
            <w:noWrap/>
            <w:hideMark/>
          </w:tcPr>
          <w:p w14:paraId="50CD9080" w14:textId="77777777" w:rsidR="009218F1" w:rsidRPr="00C46160" w:rsidRDefault="009218F1" w:rsidP="001F4142">
            <w:pPr>
              <w:pStyle w:val="Tabletext"/>
              <w:rPr>
                <w:b/>
                <w:bCs/>
              </w:rPr>
            </w:pPr>
            <w:r w:rsidRPr="00C46160">
              <w:rPr>
                <w:b/>
                <w:bCs/>
              </w:rPr>
              <w:t>2023</w:t>
            </w:r>
          </w:p>
        </w:tc>
        <w:tc>
          <w:tcPr>
            <w:tcW w:w="640" w:type="pct"/>
            <w:tcBorders>
              <w:bottom w:val="single" w:sz="4" w:space="0" w:color="auto"/>
            </w:tcBorders>
            <w:noWrap/>
            <w:hideMark/>
          </w:tcPr>
          <w:p w14:paraId="792D63E0" w14:textId="77777777" w:rsidR="009218F1" w:rsidRPr="00C46160" w:rsidRDefault="009218F1" w:rsidP="001F4142">
            <w:pPr>
              <w:pStyle w:val="Tabletext"/>
              <w:rPr>
                <w:b/>
                <w:bCs/>
              </w:rPr>
            </w:pPr>
            <w:r w:rsidRPr="00C46160">
              <w:rPr>
                <w:b/>
                <w:bCs/>
              </w:rPr>
              <w:t>2024</w:t>
            </w:r>
          </w:p>
        </w:tc>
        <w:tc>
          <w:tcPr>
            <w:tcW w:w="903" w:type="pct"/>
            <w:tcBorders>
              <w:bottom w:val="single" w:sz="4" w:space="0" w:color="auto"/>
            </w:tcBorders>
            <w:noWrap/>
            <w:hideMark/>
          </w:tcPr>
          <w:p w14:paraId="5D5D7F5C" w14:textId="77777777" w:rsidR="009218F1" w:rsidRPr="00C46160" w:rsidRDefault="009218F1" w:rsidP="001F4142">
            <w:pPr>
              <w:pStyle w:val="Tabletext"/>
              <w:rPr>
                <w:b/>
                <w:bCs/>
              </w:rPr>
            </w:pPr>
            <w:r w:rsidRPr="00C46160">
              <w:rPr>
                <w:b/>
                <w:bCs/>
              </w:rPr>
              <w:t>2025</w:t>
            </w:r>
          </w:p>
        </w:tc>
      </w:tr>
      <w:tr w:rsidR="009218F1" w:rsidRPr="00C46160" w14:paraId="7E2E377E" w14:textId="77777777" w:rsidTr="001F4142">
        <w:trPr>
          <w:trHeight w:val="255"/>
        </w:trPr>
        <w:tc>
          <w:tcPr>
            <w:tcW w:w="1539" w:type="pct"/>
            <w:tcBorders>
              <w:right w:val="nil"/>
            </w:tcBorders>
            <w:shd w:val="clear" w:color="auto" w:fill="auto"/>
            <w:noWrap/>
            <w:hideMark/>
          </w:tcPr>
          <w:p w14:paraId="00B12C88" w14:textId="77777777" w:rsidR="009218F1" w:rsidRPr="00C46160" w:rsidRDefault="009218F1" w:rsidP="001F4142">
            <w:pPr>
              <w:pStyle w:val="Tabletext"/>
              <w:rPr>
                <w:b/>
                <w:bCs/>
              </w:rPr>
            </w:pPr>
            <w:r w:rsidRPr="00C46160">
              <w:rPr>
                <w:b/>
                <w:bCs/>
              </w:rPr>
              <w:t>PL Costs</w:t>
            </w:r>
          </w:p>
        </w:tc>
        <w:tc>
          <w:tcPr>
            <w:tcW w:w="639" w:type="pct"/>
            <w:tcBorders>
              <w:left w:val="nil"/>
              <w:right w:val="nil"/>
            </w:tcBorders>
            <w:shd w:val="clear" w:color="auto" w:fill="auto"/>
            <w:noWrap/>
          </w:tcPr>
          <w:p w14:paraId="2805FD8D" w14:textId="77777777" w:rsidR="009218F1" w:rsidRPr="00C46160" w:rsidRDefault="009218F1" w:rsidP="001F4142">
            <w:pPr>
              <w:pStyle w:val="Tabletext"/>
              <w:rPr>
                <w:b/>
                <w:bCs/>
              </w:rPr>
            </w:pPr>
          </w:p>
        </w:tc>
        <w:tc>
          <w:tcPr>
            <w:tcW w:w="639" w:type="pct"/>
            <w:tcBorders>
              <w:left w:val="nil"/>
              <w:right w:val="nil"/>
            </w:tcBorders>
            <w:shd w:val="clear" w:color="auto" w:fill="auto"/>
            <w:noWrap/>
          </w:tcPr>
          <w:p w14:paraId="08DCE125" w14:textId="77777777" w:rsidR="009218F1" w:rsidRPr="00C46160" w:rsidRDefault="009218F1" w:rsidP="001F4142">
            <w:pPr>
              <w:pStyle w:val="Tabletext"/>
              <w:rPr>
                <w:b/>
                <w:bCs/>
              </w:rPr>
            </w:pPr>
          </w:p>
        </w:tc>
        <w:tc>
          <w:tcPr>
            <w:tcW w:w="639" w:type="pct"/>
            <w:tcBorders>
              <w:left w:val="nil"/>
              <w:right w:val="nil"/>
            </w:tcBorders>
            <w:shd w:val="clear" w:color="auto" w:fill="auto"/>
            <w:noWrap/>
          </w:tcPr>
          <w:p w14:paraId="1CB5FC08" w14:textId="77777777" w:rsidR="009218F1" w:rsidRPr="00C46160" w:rsidRDefault="009218F1" w:rsidP="001F4142">
            <w:pPr>
              <w:pStyle w:val="Tabletext"/>
              <w:rPr>
                <w:b/>
                <w:bCs/>
              </w:rPr>
            </w:pPr>
          </w:p>
        </w:tc>
        <w:tc>
          <w:tcPr>
            <w:tcW w:w="640" w:type="pct"/>
            <w:tcBorders>
              <w:left w:val="nil"/>
              <w:right w:val="nil"/>
            </w:tcBorders>
            <w:shd w:val="clear" w:color="auto" w:fill="auto"/>
            <w:noWrap/>
          </w:tcPr>
          <w:p w14:paraId="0C9287DA" w14:textId="77777777" w:rsidR="009218F1" w:rsidRPr="00C46160" w:rsidRDefault="009218F1" w:rsidP="001F4142">
            <w:pPr>
              <w:pStyle w:val="Tabletext"/>
              <w:rPr>
                <w:b/>
                <w:bCs/>
              </w:rPr>
            </w:pPr>
          </w:p>
        </w:tc>
        <w:tc>
          <w:tcPr>
            <w:tcW w:w="903" w:type="pct"/>
            <w:tcBorders>
              <w:left w:val="nil"/>
            </w:tcBorders>
            <w:shd w:val="clear" w:color="auto" w:fill="auto"/>
            <w:noWrap/>
          </w:tcPr>
          <w:p w14:paraId="6C727638" w14:textId="77777777" w:rsidR="009218F1" w:rsidRPr="00C46160" w:rsidRDefault="009218F1" w:rsidP="001F4142">
            <w:pPr>
              <w:pStyle w:val="Tabletext"/>
              <w:rPr>
                <w:b/>
                <w:bCs/>
              </w:rPr>
            </w:pPr>
          </w:p>
        </w:tc>
      </w:tr>
      <w:tr w:rsidR="009218F1" w:rsidRPr="00C46160" w14:paraId="20F3C19C" w14:textId="77777777" w:rsidTr="001F4142">
        <w:trPr>
          <w:trHeight w:val="255"/>
        </w:trPr>
        <w:tc>
          <w:tcPr>
            <w:tcW w:w="1539" w:type="pct"/>
            <w:shd w:val="clear" w:color="auto" w:fill="auto"/>
            <w:noWrap/>
            <w:hideMark/>
          </w:tcPr>
          <w:p w14:paraId="4E13C9A5" w14:textId="77777777" w:rsidR="009218F1" w:rsidRPr="00B91AFD" w:rsidRDefault="009218F1" w:rsidP="001F4142">
            <w:pPr>
              <w:pStyle w:val="Tabletext"/>
              <w:rPr>
                <w:i/>
                <w:vertAlign w:val="superscript"/>
              </w:rPr>
            </w:pPr>
            <w:r w:rsidRPr="00C46160">
              <w:t xml:space="preserve">Acute ophthalmic </w:t>
            </w:r>
            <w:proofErr w:type="spellStart"/>
            <w:r w:rsidRPr="00C46160">
              <w:t>conditions</w:t>
            </w:r>
            <w:r>
              <w:rPr>
                <w:i/>
                <w:vertAlign w:val="superscript"/>
              </w:rPr>
              <w:t>a</w:t>
            </w:r>
            <w:proofErr w:type="spellEnd"/>
          </w:p>
        </w:tc>
        <w:tc>
          <w:tcPr>
            <w:tcW w:w="639" w:type="pct"/>
            <w:shd w:val="clear" w:color="auto" w:fill="auto"/>
            <w:noWrap/>
            <w:hideMark/>
          </w:tcPr>
          <w:p w14:paraId="682B95EE" w14:textId="77777777" w:rsidR="009218F1" w:rsidRPr="00C46160" w:rsidRDefault="009218F1" w:rsidP="001F4142">
            <w:pPr>
              <w:pStyle w:val="Tabletext"/>
            </w:pPr>
            <w:r>
              <w:t>$</w:t>
            </w:r>
            <w:r w:rsidRPr="00C46160">
              <w:t xml:space="preserve">153,266 </w:t>
            </w:r>
          </w:p>
        </w:tc>
        <w:tc>
          <w:tcPr>
            <w:tcW w:w="639" w:type="pct"/>
            <w:shd w:val="clear" w:color="auto" w:fill="auto"/>
            <w:noWrap/>
            <w:hideMark/>
          </w:tcPr>
          <w:p w14:paraId="6B23C73D" w14:textId="77777777" w:rsidR="009218F1" w:rsidRPr="00C46160" w:rsidRDefault="009218F1" w:rsidP="001F4142">
            <w:pPr>
              <w:pStyle w:val="Tabletext"/>
            </w:pPr>
            <w:r>
              <w:t>$</w:t>
            </w:r>
            <w:r w:rsidRPr="00C46160">
              <w:t xml:space="preserve">155,411 </w:t>
            </w:r>
          </w:p>
        </w:tc>
        <w:tc>
          <w:tcPr>
            <w:tcW w:w="639" w:type="pct"/>
            <w:shd w:val="clear" w:color="auto" w:fill="auto"/>
            <w:noWrap/>
            <w:hideMark/>
          </w:tcPr>
          <w:p w14:paraId="569F720F" w14:textId="77777777" w:rsidR="009218F1" w:rsidRPr="00C46160" w:rsidRDefault="009218F1" w:rsidP="001F4142">
            <w:pPr>
              <w:pStyle w:val="Tabletext"/>
            </w:pPr>
            <w:r>
              <w:t>$</w:t>
            </w:r>
            <w:r w:rsidRPr="00C46160">
              <w:t xml:space="preserve">157,587 </w:t>
            </w:r>
          </w:p>
        </w:tc>
        <w:tc>
          <w:tcPr>
            <w:tcW w:w="640" w:type="pct"/>
            <w:shd w:val="clear" w:color="auto" w:fill="auto"/>
            <w:noWrap/>
            <w:hideMark/>
          </w:tcPr>
          <w:p w14:paraId="3DE78FE0" w14:textId="77777777" w:rsidR="009218F1" w:rsidRPr="00C46160" w:rsidRDefault="009218F1" w:rsidP="001F4142">
            <w:pPr>
              <w:pStyle w:val="Tabletext"/>
            </w:pPr>
            <w:r>
              <w:t>$</w:t>
            </w:r>
            <w:r w:rsidRPr="00C46160">
              <w:t xml:space="preserve">159,793 </w:t>
            </w:r>
          </w:p>
        </w:tc>
        <w:tc>
          <w:tcPr>
            <w:tcW w:w="903" w:type="pct"/>
            <w:shd w:val="clear" w:color="auto" w:fill="auto"/>
            <w:noWrap/>
            <w:hideMark/>
          </w:tcPr>
          <w:p w14:paraId="778769D3" w14:textId="77777777" w:rsidR="009218F1" w:rsidRPr="00C46160" w:rsidRDefault="009218F1" w:rsidP="001F4142">
            <w:pPr>
              <w:pStyle w:val="Tabletext"/>
            </w:pPr>
            <w:r>
              <w:t>$</w:t>
            </w:r>
            <w:r w:rsidRPr="00C46160">
              <w:t xml:space="preserve">162,030 </w:t>
            </w:r>
          </w:p>
        </w:tc>
      </w:tr>
      <w:tr w:rsidR="009218F1" w:rsidRPr="00C46160" w14:paraId="771E4FD4" w14:textId="77777777" w:rsidTr="001F4142">
        <w:trPr>
          <w:trHeight w:val="255"/>
        </w:trPr>
        <w:tc>
          <w:tcPr>
            <w:tcW w:w="1539" w:type="pct"/>
            <w:shd w:val="clear" w:color="auto" w:fill="auto"/>
            <w:noWrap/>
            <w:hideMark/>
          </w:tcPr>
          <w:p w14:paraId="42573E2F" w14:textId="77777777" w:rsidR="009218F1" w:rsidRPr="00B91AFD" w:rsidRDefault="009218F1" w:rsidP="001F4142">
            <w:pPr>
              <w:pStyle w:val="Tabletext"/>
              <w:rPr>
                <w:i/>
                <w:vertAlign w:val="superscript"/>
              </w:rPr>
            </w:pPr>
            <w:r w:rsidRPr="00C46160">
              <w:t xml:space="preserve">Chronic </w:t>
            </w:r>
            <w:proofErr w:type="spellStart"/>
            <w:r w:rsidRPr="00C46160">
              <w:t>wounds</w:t>
            </w:r>
            <w:r>
              <w:rPr>
                <w:i/>
                <w:vertAlign w:val="superscript"/>
              </w:rPr>
              <w:t>b</w:t>
            </w:r>
            <w:proofErr w:type="spellEnd"/>
          </w:p>
        </w:tc>
        <w:tc>
          <w:tcPr>
            <w:tcW w:w="639" w:type="pct"/>
            <w:shd w:val="clear" w:color="auto" w:fill="auto"/>
            <w:noWrap/>
            <w:hideMark/>
          </w:tcPr>
          <w:p w14:paraId="27F979FA" w14:textId="77777777" w:rsidR="009218F1" w:rsidRPr="00C46160" w:rsidRDefault="009218F1" w:rsidP="001F4142">
            <w:pPr>
              <w:pStyle w:val="Tabletext"/>
            </w:pPr>
            <w:r>
              <w:t>$</w:t>
            </w:r>
            <w:r w:rsidRPr="00C46160">
              <w:t xml:space="preserve">419,250 </w:t>
            </w:r>
          </w:p>
        </w:tc>
        <w:tc>
          <w:tcPr>
            <w:tcW w:w="639" w:type="pct"/>
            <w:shd w:val="clear" w:color="auto" w:fill="auto"/>
            <w:noWrap/>
            <w:hideMark/>
          </w:tcPr>
          <w:p w14:paraId="28C92AB0" w14:textId="77777777" w:rsidR="009218F1" w:rsidRPr="00C46160" w:rsidRDefault="009218F1" w:rsidP="001F4142">
            <w:pPr>
              <w:pStyle w:val="Tabletext"/>
            </w:pPr>
            <w:r>
              <w:t>$</w:t>
            </w:r>
            <w:r w:rsidRPr="00C46160">
              <w:t xml:space="preserve">425,119 </w:t>
            </w:r>
          </w:p>
        </w:tc>
        <w:tc>
          <w:tcPr>
            <w:tcW w:w="639" w:type="pct"/>
            <w:shd w:val="clear" w:color="auto" w:fill="auto"/>
            <w:noWrap/>
            <w:hideMark/>
          </w:tcPr>
          <w:p w14:paraId="487764A0" w14:textId="77777777" w:rsidR="009218F1" w:rsidRPr="00C46160" w:rsidRDefault="009218F1" w:rsidP="001F4142">
            <w:pPr>
              <w:pStyle w:val="Tabletext"/>
            </w:pPr>
            <w:r>
              <w:t>$</w:t>
            </w:r>
            <w:r w:rsidRPr="00C46160">
              <w:t xml:space="preserve">431,071 </w:t>
            </w:r>
          </w:p>
        </w:tc>
        <w:tc>
          <w:tcPr>
            <w:tcW w:w="640" w:type="pct"/>
            <w:shd w:val="clear" w:color="auto" w:fill="auto"/>
            <w:noWrap/>
            <w:hideMark/>
          </w:tcPr>
          <w:p w14:paraId="275C1AEE" w14:textId="77777777" w:rsidR="009218F1" w:rsidRPr="00C46160" w:rsidRDefault="009218F1" w:rsidP="001F4142">
            <w:pPr>
              <w:pStyle w:val="Tabletext"/>
            </w:pPr>
            <w:r>
              <w:t>$</w:t>
            </w:r>
            <w:r w:rsidRPr="00C46160">
              <w:t xml:space="preserve">437,106 </w:t>
            </w:r>
          </w:p>
        </w:tc>
        <w:tc>
          <w:tcPr>
            <w:tcW w:w="903" w:type="pct"/>
            <w:shd w:val="clear" w:color="auto" w:fill="auto"/>
            <w:noWrap/>
            <w:hideMark/>
          </w:tcPr>
          <w:p w14:paraId="1381D6E8" w14:textId="77777777" w:rsidR="009218F1" w:rsidRPr="00C46160" w:rsidRDefault="009218F1" w:rsidP="001F4142">
            <w:pPr>
              <w:pStyle w:val="Tabletext"/>
            </w:pPr>
            <w:r>
              <w:t>$</w:t>
            </w:r>
            <w:r w:rsidRPr="00C46160">
              <w:t xml:space="preserve">443,225 </w:t>
            </w:r>
          </w:p>
        </w:tc>
      </w:tr>
      <w:tr w:rsidR="009218F1" w:rsidRPr="00C46160" w14:paraId="05B5ABC8" w14:textId="77777777" w:rsidTr="001F4142">
        <w:trPr>
          <w:trHeight w:val="300"/>
        </w:trPr>
        <w:tc>
          <w:tcPr>
            <w:tcW w:w="1539" w:type="pct"/>
            <w:shd w:val="clear" w:color="auto" w:fill="auto"/>
            <w:noWrap/>
            <w:hideMark/>
          </w:tcPr>
          <w:p w14:paraId="60E97824" w14:textId="77777777" w:rsidR="009218F1" w:rsidRPr="00B91AFD" w:rsidRDefault="009218F1" w:rsidP="001F4142">
            <w:pPr>
              <w:pStyle w:val="Tabletext"/>
              <w:rPr>
                <w:vertAlign w:val="superscript"/>
              </w:rPr>
            </w:pPr>
            <w:r w:rsidRPr="00C46160">
              <w:t xml:space="preserve">Acute </w:t>
            </w:r>
            <w:proofErr w:type="spellStart"/>
            <w:r w:rsidRPr="00C46160">
              <w:t>wounds</w:t>
            </w:r>
            <w:r w:rsidRPr="00B91AFD">
              <w:rPr>
                <w:i/>
                <w:vertAlign w:val="superscript"/>
              </w:rPr>
              <w:t>a</w:t>
            </w:r>
            <w:r>
              <w:rPr>
                <w:i/>
                <w:vertAlign w:val="superscript"/>
              </w:rPr>
              <w:t>,c</w:t>
            </w:r>
            <w:proofErr w:type="spellEnd"/>
          </w:p>
        </w:tc>
        <w:tc>
          <w:tcPr>
            <w:tcW w:w="639" w:type="pct"/>
            <w:shd w:val="clear" w:color="auto" w:fill="auto"/>
            <w:noWrap/>
            <w:hideMark/>
          </w:tcPr>
          <w:p w14:paraId="77B2EE4B" w14:textId="77777777" w:rsidR="009218F1" w:rsidRPr="00C46160" w:rsidRDefault="009218F1" w:rsidP="001F4142">
            <w:pPr>
              <w:pStyle w:val="Tabletext"/>
            </w:pPr>
            <w:r>
              <w:t>$</w:t>
            </w:r>
            <w:r w:rsidRPr="00C46160">
              <w:t xml:space="preserve">94,469 </w:t>
            </w:r>
          </w:p>
        </w:tc>
        <w:tc>
          <w:tcPr>
            <w:tcW w:w="639" w:type="pct"/>
            <w:shd w:val="clear" w:color="auto" w:fill="auto"/>
            <w:noWrap/>
            <w:hideMark/>
          </w:tcPr>
          <w:p w14:paraId="266C9EB2" w14:textId="77777777" w:rsidR="009218F1" w:rsidRPr="00C46160" w:rsidRDefault="009218F1" w:rsidP="001F4142">
            <w:pPr>
              <w:pStyle w:val="Tabletext"/>
            </w:pPr>
            <w:r>
              <w:t>$</w:t>
            </w:r>
            <w:r w:rsidRPr="00C46160">
              <w:t xml:space="preserve">95,792 </w:t>
            </w:r>
          </w:p>
        </w:tc>
        <w:tc>
          <w:tcPr>
            <w:tcW w:w="639" w:type="pct"/>
            <w:shd w:val="clear" w:color="auto" w:fill="auto"/>
            <w:noWrap/>
            <w:hideMark/>
          </w:tcPr>
          <w:p w14:paraId="3010D86C" w14:textId="77777777" w:rsidR="009218F1" w:rsidRPr="00C46160" w:rsidRDefault="009218F1" w:rsidP="001F4142">
            <w:pPr>
              <w:pStyle w:val="Tabletext"/>
            </w:pPr>
            <w:r>
              <w:t>$</w:t>
            </w:r>
            <w:r w:rsidRPr="00C46160">
              <w:t xml:space="preserve">97,133 </w:t>
            </w:r>
          </w:p>
        </w:tc>
        <w:tc>
          <w:tcPr>
            <w:tcW w:w="640" w:type="pct"/>
            <w:shd w:val="clear" w:color="auto" w:fill="auto"/>
            <w:noWrap/>
            <w:hideMark/>
          </w:tcPr>
          <w:p w14:paraId="114B8533" w14:textId="77777777" w:rsidR="009218F1" w:rsidRPr="00C46160" w:rsidRDefault="009218F1" w:rsidP="001F4142">
            <w:pPr>
              <w:pStyle w:val="Tabletext"/>
            </w:pPr>
            <w:r>
              <w:t>$</w:t>
            </w:r>
            <w:r w:rsidRPr="00C46160">
              <w:t xml:space="preserve">98,493 </w:t>
            </w:r>
          </w:p>
        </w:tc>
        <w:tc>
          <w:tcPr>
            <w:tcW w:w="903" w:type="pct"/>
            <w:shd w:val="clear" w:color="auto" w:fill="auto"/>
            <w:noWrap/>
            <w:hideMark/>
          </w:tcPr>
          <w:p w14:paraId="1941A077" w14:textId="77777777" w:rsidR="009218F1" w:rsidRPr="00C46160" w:rsidRDefault="009218F1" w:rsidP="001F4142">
            <w:pPr>
              <w:pStyle w:val="Tabletext"/>
            </w:pPr>
            <w:r>
              <w:t>$</w:t>
            </w:r>
            <w:r w:rsidRPr="00C46160">
              <w:t xml:space="preserve">99,872 </w:t>
            </w:r>
          </w:p>
        </w:tc>
      </w:tr>
      <w:tr w:rsidR="009218F1" w:rsidRPr="00C46160" w14:paraId="72B8FC1B" w14:textId="77777777" w:rsidTr="001F4142">
        <w:trPr>
          <w:trHeight w:val="300"/>
        </w:trPr>
        <w:tc>
          <w:tcPr>
            <w:tcW w:w="1539" w:type="pct"/>
            <w:tcBorders>
              <w:bottom w:val="single" w:sz="4" w:space="0" w:color="auto"/>
            </w:tcBorders>
            <w:shd w:val="clear" w:color="auto" w:fill="auto"/>
            <w:noWrap/>
            <w:hideMark/>
          </w:tcPr>
          <w:p w14:paraId="258BD420" w14:textId="77777777" w:rsidR="009218F1" w:rsidRPr="00C46160" w:rsidRDefault="009218F1" w:rsidP="001F4142">
            <w:pPr>
              <w:pStyle w:val="Tabletext"/>
            </w:pPr>
            <w:r w:rsidRPr="00C46160">
              <w:t>Subtotal</w:t>
            </w:r>
          </w:p>
        </w:tc>
        <w:tc>
          <w:tcPr>
            <w:tcW w:w="639" w:type="pct"/>
            <w:tcBorders>
              <w:bottom w:val="single" w:sz="4" w:space="0" w:color="auto"/>
            </w:tcBorders>
            <w:shd w:val="clear" w:color="auto" w:fill="auto"/>
            <w:noWrap/>
            <w:hideMark/>
          </w:tcPr>
          <w:p w14:paraId="00559982" w14:textId="77777777" w:rsidR="009218F1" w:rsidRPr="00C46160" w:rsidRDefault="009218F1" w:rsidP="001F4142">
            <w:pPr>
              <w:pStyle w:val="Tabletext"/>
            </w:pPr>
            <w:r>
              <w:t>$</w:t>
            </w:r>
            <w:r w:rsidRPr="00C46160">
              <w:t xml:space="preserve">666,985 </w:t>
            </w:r>
          </w:p>
        </w:tc>
        <w:tc>
          <w:tcPr>
            <w:tcW w:w="639" w:type="pct"/>
            <w:tcBorders>
              <w:bottom w:val="single" w:sz="4" w:space="0" w:color="auto"/>
            </w:tcBorders>
            <w:shd w:val="clear" w:color="auto" w:fill="auto"/>
            <w:noWrap/>
            <w:hideMark/>
          </w:tcPr>
          <w:p w14:paraId="6EEEC772" w14:textId="77777777" w:rsidR="009218F1" w:rsidRPr="00C46160" w:rsidRDefault="009218F1" w:rsidP="001F4142">
            <w:pPr>
              <w:pStyle w:val="Tabletext"/>
            </w:pPr>
            <w:r>
              <w:t>$</w:t>
            </w:r>
            <w:r w:rsidRPr="00C46160">
              <w:t xml:space="preserve">676,322 </w:t>
            </w:r>
          </w:p>
        </w:tc>
        <w:tc>
          <w:tcPr>
            <w:tcW w:w="639" w:type="pct"/>
            <w:tcBorders>
              <w:bottom w:val="single" w:sz="4" w:space="0" w:color="auto"/>
            </w:tcBorders>
            <w:shd w:val="clear" w:color="auto" w:fill="auto"/>
            <w:noWrap/>
            <w:hideMark/>
          </w:tcPr>
          <w:p w14:paraId="59665B99" w14:textId="77777777" w:rsidR="009218F1" w:rsidRPr="00C46160" w:rsidRDefault="009218F1" w:rsidP="001F4142">
            <w:pPr>
              <w:pStyle w:val="Tabletext"/>
            </w:pPr>
            <w:r>
              <w:t>$</w:t>
            </w:r>
            <w:r w:rsidRPr="00C46160">
              <w:t xml:space="preserve">685,791 </w:t>
            </w:r>
          </w:p>
        </w:tc>
        <w:tc>
          <w:tcPr>
            <w:tcW w:w="640" w:type="pct"/>
            <w:tcBorders>
              <w:bottom w:val="single" w:sz="4" w:space="0" w:color="auto"/>
            </w:tcBorders>
            <w:shd w:val="clear" w:color="auto" w:fill="auto"/>
            <w:noWrap/>
            <w:hideMark/>
          </w:tcPr>
          <w:p w14:paraId="46D4D61F" w14:textId="77777777" w:rsidR="009218F1" w:rsidRPr="00C46160" w:rsidRDefault="009218F1" w:rsidP="001F4142">
            <w:pPr>
              <w:pStyle w:val="Tabletext"/>
            </w:pPr>
            <w:r>
              <w:t>$</w:t>
            </w:r>
            <w:r w:rsidRPr="00C46160">
              <w:t xml:space="preserve">695,392 </w:t>
            </w:r>
          </w:p>
        </w:tc>
        <w:tc>
          <w:tcPr>
            <w:tcW w:w="903" w:type="pct"/>
            <w:tcBorders>
              <w:bottom w:val="single" w:sz="4" w:space="0" w:color="auto"/>
            </w:tcBorders>
            <w:shd w:val="clear" w:color="auto" w:fill="auto"/>
            <w:noWrap/>
            <w:hideMark/>
          </w:tcPr>
          <w:p w14:paraId="6E273F6C" w14:textId="77777777" w:rsidR="009218F1" w:rsidRPr="00C46160" w:rsidRDefault="009218F1" w:rsidP="001F4142">
            <w:pPr>
              <w:pStyle w:val="Tabletext"/>
            </w:pPr>
            <w:r>
              <w:t>$</w:t>
            </w:r>
            <w:r w:rsidRPr="00C46160">
              <w:t xml:space="preserve">705,127 </w:t>
            </w:r>
          </w:p>
        </w:tc>
      </w:tr>
      <w:tr w:rsidR="009218F1" w:rsidRPr="00C46160" w14:paraId="6B0B06F4" w14:textId="77777777" w:rsidTr="001F4142">
        <w:trPr>
          <w:trHeight w:val="255"/>
        </w:trPr>
        <w:tc>
          <w:tcPr>
            <w:tcW w:w="1539" w:type="pct"/>
            <w:tcBorders>
              <w:right w:val="nil"/>
            </w:tcBorders>
            <w:shd w:val="clear" w:color="auto" w:fill="auto"/>
            <w:noWrap/>
            <w:hideMark/>
          </w:tcPr>
          <w:p w14:paraId="3DAC8AF9" w14:textId="77777777" w:rsidR="009218F1" w:rsidRPr="00C46160" w:rsidRDefault="009218F1" w:rsidP="001F4142">
            <w:pPr>
              <w:pStyle w:val="Tabletext"/>
              <w:rPr>
                <w:b/>
                <w:bCs/>
              </w:rPr>
            </w:pPr>
            <w:r w:rsidRPr="00C46160">
              <w:rPr>
                <w:b/>
                <w:bCs/>
              </w:rPr>
              <w:t>MBS Costs</w:t>
            </w:r>
          </w:p>
        </w:tc>
        <w:tc>
          <w:tcPr>
            <w:tcW w:w="639" w:type="pct"/>
            <w:tcBorders>
              <w:left w:val="nil"/>
              <w:right w:val="nil"/>
            </w:tcBorders>
            <w:shd w:val="clear" w:color="auto" w:fill="auto"/>
            <w:noWrap/>
          </w:tcPr>
          <w:p w14:paraId="1F5C5357" w14:textId="77777777" w:rsidR="009218F1" w:rsidRPr="00C46160" w:rsidRDefault="009218F1" w:rsidP="001F4142">
            <w:pPr>
              <w:pStyle w:val="Tabletext"/>
              <w:rPr>
                <w:b/>
                <w:bCs/>
              </w:rPr>
            </w:pPr>
            <w:r w:rsidRPr="00C46160">
              <w:rPr>
                <w:b/>
                <w:bCs/>
              </w:rPr>
              <w:t> </w:t>
            </w:r>
          </w:p>
        </w:tc>
        <w:tc>
          <w:tcPr>
            <w:tcW w:w="639" w:type="pct"/>
            <w:tcBorders>
              <w:left w:val="nil"/>
              <w:right w:val="nil"/>
            </w:tcBorders>
            <w:shd w:val="clear" w:color="auto" w:fill="auto"/>
            <w:noWrap/>
          </w:tcPr>
          <w:p w14:paraId="33F60520" w14:textId="77777777" w:rsidR="009218F1" w:rsidRPr="00C46160" w:rsidRDefault="009218F1" w:rsidP="001F4142">
            <w:pPr>
              <w:pStyle w:val="Tabletext"/>
              <w:rPr>
                <w:b/>
                <w:bCs/>
              </w:rPr>
            </w:pPr>
            <w:r w:rsidRPr="00C46160">
              <w:rPr>
                <w:b/>
                <w:bCs/>
              </w:rPr>
              <w:t> </w:t>
            </w:r>
          </w:p>
        </w:tc>
        <w:tc>
          <w:tcPr>
            <w:tcW w:w="639" w:type="pct"/>
            <w:tcBorders>
              <w:left w:val="nil"/>
              <w:right w:val="nil"/>
            </w:tcBorders>
            <w:shd w:val="clear" w:color="auto" w:fill="auto"/>
            <w:noWrap/>
          </w:tcPr>
          <w:p w14:paraId="002F7246" w14:textId="77777777" w:rsidR="009218F1" w:rsidRPr="00C46160" w:rsidRDefault="009218F1" w:rsidP="001F4142">
            <w:pPr>
              <w:pStyle w:val="Tabletext"/>
              <w:rPr>
                <w:b/>
                <w:bCs/>
              </w:rPr>
            </w:pPr>
            <w:r w:rsidRPr="00C46160">
              <w:rPr>
                <w:b/>
                <w:bCs/>
              </w:rPr>
              <w:t> </w:t>
            </w:r>
          </w:p>
        </w:tc>
        <w:tc>
          <w:tcPr>
            <w:tcW w:w="640" w:type="pct"/>
            <w:tcBorders>
              <w:left w:val="nil"/>
              <w:right w:val="nil"/>
            </w:tcBorders>
            <w:shd w:val="clear" w:color="auto" w:fill="auto"/>
            <w:noWrap/>
          </w:tcPr>
          <w:p w14:paraId="373F8C25" w14:textId="77777777" w:rsidR="009218F1" w:rsidRPr="00C46160" w:rsidRDefault="009218F1" w:rsidP="001F4142">
            <w:pPr>
              <w:pStyle w:val="Tabletext"/>
              <w:rPr>
                <w:b/>
                <w:bCs/>
              </w:rPr>
            </w:pPr>
            <w:r w:rsidRPr="00C46160">
              <w:rPr>
                <w:b/>
                <w:bCs/>
              </w:rPr>
              <w:t> </w:t>
            </w:r>
          </w:p>
        </w:tc>
        <w:tc>
          <w:tcPr>
            <w:tcW w:w="903" w:type="pct"/>
            <w:tcBorders>
              <w:left w:val="nil"/>
            </w:tcBorders>
            <w:shd w:val="clear" w:color="auto" w:fill="auto"/>
            <w:noWrap/>
          </w:tcPr>
          <w:p w14:paraId="1BF0416F" w14:textId="77777777" w:rsidR="009218F1" w:rsidRPr="00C46160" w:rsidRDefault="009218F1" w:rsidP="001F4142">
            <w:pPr>
              <w:pStyle w:val="Tabletext"/>
              <w:rPr>
                <w:b/>
                <w:bCs/>
              </w:rPr>
            </w:pPr>
            <w:r w:rsidRPr="00C46160">
              <w:rPr>
                <w:b/>
                <w:bCs/>
              </w:rPr>
              <w:t> </w:t>
            </w:r>
          </w:p>
        </w:tc>
      </w:tr>
      <w:tr w:rsidR="009218F1" w:rsidRPr="00C46160" w14:paraId="6CBAF2D9" w14:textId="77777777" w:rsidTr="001F4142">
        <w:trPr>
          <w:trHeight w:val="255"/>
        </w:trPr>
        <w:tc>
          <w:tcPr>
            <w:tcW w:w="1539" w:type="pct"/>
            <w:noWrap/>
            <w:hideMark/>
          </w:tcPr>
          <w:p w14:paraId="2116B15C" w14:textId="77777777" w:rsidR="009218F1" w:rsidRPr="00C46160" w:rsidRDefault="009218F1" w:rsidP="001F4142">
            <w:pPr>
              <w:pStyle w:val="Tabletext"/>
            </w:pPr>
            <w:r w:rsidRPr="00C46160">
              <w:t>AM with listing</w:t>
            </w:r>
            <w:r>
              <w:t>†</w:t>
            </w:r>
            <w:r w:rsidRPr="00C46160">
              <w:t xml:space="preserve"> </w:t>
            </w:r>
          </w:p>
        </w:tc>
        <w:tc>
          <w:tcPr>
            <w:tcW w:w="639" w:type="pct"/>
            <w:noWrap/>
            <w:hideMark/>
          </w:tcPr>
          <w:p w14:paraId="7E9ECD7E" w14:textId="77777777" w:rsidR="009218F1" w:rsidRPr="00C46160" w:rsidRDefault="009218F1" w:rsidP="001F4142">
            <w:pPr>
              <w:pStyle w:val="Tabletext"/>
            </w:pPr>
            <w:r w:rsidRPr="00C46160">
              <w:t>-</w:t>
            </w:r>
            <w:r>
              <w:t>$</w:t>
            </w:r>
            <w:r w:rsidRPr="00C46160">
              <w:t xml:space="preserve">54,810 </w:t>
            </w:r>
          </w:p>
        </w:tc>
        <w:tc>
          <w:tcPr>
            <w:tcW w:w="639" w:type="pct"/>
            <w:noWrap/>
            <w:hideMark/>
          </w:tcPr>
          <w:p w14:paraId="2D3E4805" w14:textId="77777777" w:rsidR="009218F1" w:rsidRPr="00C46160" w:rsidRDefault="009218F1" w:rsidP="001F4142">
            <w:pPr>
              <w:pStyle w:val="Tabletext"/>
            </w:pPr>
            <w:r w:rsidRPr="00C46160">
              <w:t>-</w:t>
            </w:r>
            <w:r>
              <w:t>$</w:t>
            </w:r>
            <w:r w:rsidRPr="00C46160">
              <w:t xml:space="preserve">55,577 </w:t>
            </w:r>
          </w:p>
        </w:tc>
        <w:tc>
          <w:tcPr>
            <w:tcW w:w="639" w:type="pct"/>
            <w:noWrap/>
            <w:hideMark/>
          </w:tcPr>
          <w:p w14:paraId="495DBB5C" w14:textId="77777777" w:rsidR="009218F1" w:rsidRPr="00C46160" w:rsidRDefault="009218F1" w:rsidP="001F4142">
            <w:pPr>
              <w:pStyle w:val="Tabletext"/>
            </w:pPr>
            <w:r w:rsidRPr="00C46160">
              <w:t>-</w:t>
            </w:r>
            <w:r>
              <w:t>$</w:t>
            </w:r>
            <w:r w:rsidRPr="00C46160">
              <w:t xml:space="preserve">56,355 </w:t>
            </w:r>
          </w:p>
        </w:tc>
        <w:tc>
          <w:tcPr>
            <w:tcW w:w="640" w:type="pct"/>
            <w:noWrap/>
            <w:hideMark/>
          </w:tcPr>
          <w:p w14:paraId="2BE9A691" w14:textId="77777777" w:rsidR="009218F1" w:rsidRPr="00C46160" w:rsidRDefault="009218F1" w:rsidP="001F4142">
            <w:pPr>
              <w:pStyle w:val="Tabletext"/>
            </w:pPr>
            <w:r w:rsidRPr="00C46160">
              <w:t>-</w:t>
            </w:r>
            <w:r>
              <w:t>$</w:t>
            </w:r>
            <w:r w:rsidRPr="00C46160">
              <w:t xml:space="preserve">57,144 </w:t>
            </w:r>
          </w:p>
        </w:tc>
        <w:tc>
          <w:tcPr>
            <w:tcW w:w="903" w:type="pct"/>
            <w:noWrap/>
            <w:hideMark/>
          </w:tcPr>
          <w:p w14:paraId="3DA7E2F7" w14:textId="77777777" w:rsidR="009218F1" w:rsidRPr="00C46160" w:rsidRDefault="009218F1" w:rsidP="001F4142">
            <w:pPr>
              <w:pStyle w:val="Tabletext"/>
            </w:pPr>
            <w:r w:rsidRPr="00C46160">
              <w:t>-</w:t>
            </w:r>
            <w:r>
              <w:t>$</w:t>
            </w:r>
            <w:r w:rsidRPr="00C46160">
              <w:t xml:space="preserve">57,944 </w:t>
            </w:r>
          </w:p>
        </w:tc>
      </w:tr>
      <w:tr w:rsidR="009218F1" w:rsidRPr="007E731D" w14:paraId="72373F21" w14:textId="77777777" w:rsidTr="001F4142">
        <w:trPr>
          <w:trHeight w:val="300"/>
        </w:trPr>
        <w:tc>
          <w:tcPr>
            <w:tcW w:w="1539" w:type="pct"/>
            <w:noWrap/>
            <w:hideMark/>
          </w:tcPr>
          <w:p w14:paraId="5B0355DB" w14:textId="77777777" w:rsidR="009218F1" w:rsidRPr="00C46160" w:rsidRDefault="009218F1" w:rsidP="001F4142">
            <w:pPr>
              <w:pStyle w:val="Tabletext"/>
            </w:pPr>
            <w:r w:rsidRPr="00C46160">
              <w:t>Total MBS and PL</w:t>
            </w:r>
          </w:p>
        </w:tc>
        <w:tc>
          <w:tcPr>
            <w:tcW w:w="639" w:type="pct"/>
            <w:noWrap/>
            <w:hideMark/>
          </w:tcPr>
          <w:p w14:paraId="2A01A979" w14:textId="77777777" w:rsidR="009218F1" w:rsidRPr="00C46160" w:rsidRDefault="009218F1" w:rsidP="001F4142">
            <w:pPr>
              <w:pStyle w:val="Tabletext"/>
            </w:pPr>
            <w:r>
              <w:t>$</w:t>
            </w:r>
            <w:r w:rsidRPr="00C46160">
              <w:t xml:space="preserve">612,175 </w:t>
            </w:r>
          </w:p>
        </w:tc>
        <w:tc>
          <w:tcPr>
            <w:tcW w:w="639" w:type="pct"/>
            <w:noWrap/>
            <w:hideMark/>
          </w:tcPr>
          <w:p w14:paraId="1CCF448D" w14:textId="77777777" w:rsidR="009218F1" w:rsidRPr="00C46160" w:rsidRDefault="009218F1" w:rsidP="001F4142">
            <w:pPr>
              <w:pStyle w:val="Tabletext"/>
            </w:pPr>
            <w:r>
              <w:t>$</w:t>
            </w:r>
            <w:r w:rsidRPr="00C46160">
              <w:t xml:space="preserve">620,745 </w:t>
            </w:r>
          </w:p>
        </w:tc>
        <w:tc>
          <w:tcPr>
            <w:tcW w:w="639" w:type="pct"/>
            <w:noWrap/>
            <w:hideMark/>
          </w:tcPr>
          <w:p w14:paraId="56859489" w14:textId="77777777" w:rsidR="009218F1" w:rsidRPr="00C46160" w:rsidRDefault="009218F1" w:rsidP="001F4142">
            <w:pPr>
              <w:pStyle w:val="Tabletext"/>
            </w:pPr>
            <w:r>
              <w:t>$</w:t>
            </w:r>
            <w:r w:rsidRPr="00C46160">
              <w:t xml:space="preserve">629,436 </w:t>
            </w:r>
          </w:p>
        </w:tc>
        <w:tc>
          <w:tcPr>
            <w:tcW w:w="640" w:type="pct"/>
            <w:noWrap/>
            <w:hideMark/>
          </w:tcPr>
          <w:p w14:paraId="5DA03844" w14:textId="77777777" w:rsidR="009218F1" w:rsidRPr="00C46160" w:rsidRDefault="009218F1" w:rsidP="001F4142">
            <w:pPr>
              <w:pStyle w:val="Tabletext"/>
            </w:pPr>
            <w:r>
              <w:t>$</w:t>
            </w:r>
            <w:r w:rsidRPr="00C46160">
              <w:t xml:space="preserve">638,248 </w:t>
            </w:r>
          </w:p>
        </w:tc>
        <w:tc>
          <w:tcPr>
            <w:tcW w:w="903" w:type="pct"/>
            <w:noWrap/>
            <w:hideMark/>
          </w:tcPr>
          <w:p w14:paraId="669B6324" w14:textId="77777777" w:rsidR="009218F1" w:rsidRPr="00C46160" w:rsidRDefault="009218F1" w:rsidP="001F4142">
            <w:pPr>
              <w:pStyle w:val="Tabletext"/>
            </w:pPr>
            <w:r>
              <w:t>$</w:t>
            </w:r>
            <w:r w:rsidRPr="00C46160">
              <w:t xml:space="preserve">647,183 </w:t>
            </w:r>
          </w:p>
        </w:tc>
      </w:tr>
    </w:tbl>
    <w:p w14:paraId="4C7DDA23" w14:textId="77777777" w:rsidR="009218F1" w:rsidRPr="002800B5" w:rsidRDefault="009218F1" w:rsidP="00AB5515">
      <w:pPr>
        <w:pStyle w:val="Tablenotes"/>
      </w:pPr>
      <w:r w:rsidRPr="007810A8">
        <w:t>Source: Table 7, p14 of the DCAR</w:t>
      </w:r>
      <w:r>
        <w:t xml:space="preserve"> and footnotes added in by Department, informed from Table 73, pp171-172; Table 74, pp172-173; and Table 76, p175 of the DCAR</w:t>
      </w:r>
    </w:p>
    <w:p w14:paraId="13264204" w14:textId="77777777" w:rsidR="009218F1" w:rsidRDefault="009218F1" w:rsidP="00AB5515">
      <w:pPr>
        <w:pStyle w:val="Tablenotes"/>
      </w:pPr>
      <w:r w:rsidRPr="007810A8">
        <w:t>Abbreviation:</w:t>
      </w:r>
      <w:r>
        <w:t xml:space="preserve"> PL = prosthesis list; MBS = Medicare Benefit Scheme; AM = amnion membrane</w:t>
      </w:r>
    </w:p>
    <w:p w14:paraId="3DBF4A00" w14:textId="77777777" w:rsidR="009218F1" w:rsidRDefault="009218F1" w:rsidP="00AB5515">
      <w:pPr>
        <w:pStyle w:val="Tablenotes"/>
      </w:pPr>
      <w:r w:rsidRPr="007810A8">
        <w:t>Note:</w:t>
      </w:r>
      <w:r>
        <w:t xml:space="preserve"> † = the</w:t>
      </w:r>
      <w:r w:rsidRPr="00EE5D24">
        <w:t xml:space="preserve"> cost offsets</w:t>
      </w:r>
      <w:r>
        <w:t xml:space="preserve"> </w:t>
      </w:r>
      <w:r w:rsidRPr="00EE5D24">
        <w:t>to MBS with funding AM are due to less repeat dressings with AM (i.e. better wound healing)</w:t>
      </w:r>
    </w:p>
    <w:p w14:paraId="6E86C4D4" w14:textId="77777777" w:rsidR="009218F1" w:rsidRDefault="009218F1" w:rsidP="00AB5515">
      <w:pPr>
        <w:pStyle w:val="Tablenotes"/>
      </w:pPr>
      <w:proofErr w:type="gramStart"/>
      <w:r w:rsidRPr="002800B5">
        <w:rPr>
          <w:vertAlign w:val="superscript"/>
        </w:rPr>
        <w:t>a</w:t>
      </w:r>
      <w:proofErr w:type="gramEnd"/>
      <w:r w:rsidRPr="002800B5">
        <w:rPr>
          <w:vertAlign w:val="superscript"/>
        </w:rPr>
        <w:t xml:space="preserve"> </w:t>
      </w:r>
      <w:r>
        <w:t>Based on clinical feedback, the DCAR assumed 1 AM graft per patient for this population</w:t>
      </w:r>
    </w:p>
    <w:p w14:paraId="4339E942" w14:textId="77777777" w:rsidR="009218F1" w:rsidRDefault="009218F1" w:rsidP="00AB5515">
      <w:pPr>
        <w:pStyle w:val="Tablenotes"/>
      </w:pPr>
      <w:proofErr w:type="spellStart"/>
      <w:proofErr w:type="gramStart"/>
      <w:r>
        <w:rPr>
          <w:vertAlign w:val="superscript"/>
        </w:rPr>
        <w:t>b</w:t>
      </w:r>
      <w:r>
        <w:t>Based</w:t>
      </w:r>
      <w:proofErr w:type="spellEnd"/>
      <w:proofErr w:type="gramEnd"/>
      <w:r>
        <w:t xml:space="preserve"> on clinical feedback, the DCAR assumed 2 AM grafts per patient  for venous ulcer and arterial ulcer subpopulations and 5 for diabetic foot ulcers (DFU) subpopulation from key DFU trial reported 3-6 grafts per healed DFU</w:t>
      </w:r>
    </w:p>
    <w:p w14:paraId="1FB666B7" w14:textId="77777777" w:rsidR="009218F1" w:rsidRPr="00975859" w:rsidRDefault="009218F1" w:rsidP="00AB5515">
      <w:pPr>
        <w:pStyle w:val="Tablenotes"/>
      </w:pPr>
      <w:proofErr w:type="spellStart"/>
      <w:proofErr w:type="gramStart"/>
      <w:r>
        <w:rPr>
          <w:vertAlign w:val="superscript"/>
        </w:rPr>
        <w:t>c</w:t>
      </w:r>
      <w:r>
        <w:t>The</w:t>
      </w:r>
      <w:proofErr w:type="spellEnd"/>
      <w:proofErr w:type="gramEnd"/>
      <w:r>
        <w:t xml:space="preserve"> DCAR also estimated there would be some substitution of AM for other dermal products (</w:t>
      </w:r>
      <w:proofErr w:type="spellStart"/>
      <w:r>
        <w:t>Novosorb</w:t>
      </w:r>
      <w:proofErr w:type="spellEnd"/>
      <w:r>
        <w:t xml:space="preserve"> with PL benefit of $1,112) would occur  </w:t>
      </w:r>
    </w:p>
    <w:p w14:paraId="23785859" w14:textId="65BA9C4A" w:rsidR="00AB5515" w:rsidRPr="00AB5515" w:rsidRDefault="009218F1" w:rsidP="00AB5515">
      <w:pPr>
        <w:spacing w:before="240" w:after="240"/>
      </w:pPr>
      <w:r>
        <w:t>The DCAR sensitivity analyses indicated that results</w:t>
      </w:r>
      <w:r w:rsidRPr="009A6609">
        <w:t xml:space="preserve"> are most sensitive to the </w:t>
      </w:r>
      <w:r>
        <w:t xml:space="preserve">price of AM, </w:t>
      </w:r>
      <w:r w:rsidRPr="009A6609">
        <w:t xml:space="preserve">estimated number of DFU patients, </w:t>
      </w:r>
      <w:r>
        <w:t xml:space="preserve">and </w:t>
      </w:r>
      <w:r w:rsidRPr="009A6609">
        <w:t>graft</w:t>
      </w:r>
      <w:r>
        <w:t>s</w:t>
      </w:r>
      <w:r w:rsidRPr="009A6609">
        <w:t xml:space="preserve"> </w:t>
      </w:r>
      <w:r>
        <w:t xml:space="preserve">used </w:t>
      </w:r>
      <w:r w:rsidRPr="009A6609">
        <w:t xml:space="preserve">per </w:t>
      </w:r>
      <w:r>
        <w:t xml:space="preserve">healed </w:t>
      </w:r>
      <w:r w:rsidRPr="009A6609">
        <w:t>wound</w:t>
      </w:r>
      <w:r>
        <w:t xml:space="preserve"> (</w:t>
      </w:r>
      <w:r>
        <w:fldChar w:fldCharType="begin"/>
      </w:r>
      <w:r>
        <w:instrText xml:space="preserve"> REF _Ref493500706 \h </w:instrText>
      </w:r>
      <w:r>
        <w:fldChar w:fldCharType="separate"/>
      </w:r>
      <w:r w:rsidRPr="007973D1">
        <w:t xml:space="preserve">Table </w:t>
      </w:r>
      <w:r>
        <w:rPr>
          <w:noProof/>
        </w:rPr>
        <w:t>12</w:t>
      </w:r>
      <w:r>
        <w:fldChar w:fldCharType="end"/>
      </w:r>
      <w:r>
        <w:t>)</w:t>
      </w:r>
      <w:r w:rsidRPr="009A6609">
        <w:t>.</w:t>
      </w:r>
      <w:bookmarkStart w:id="64" w:name="_Ref493500706"/>
      <w:bookmarkStart w:id="65" w:name="_Toc442872206"/>
      <w:bookmarkStart w:id="66" w:name="_Toc492753473"/>
      <w:bookmarkStart w:id="67" w:name="_Toc25848517"/>
      <w:bookmarkStart w:id="68" w:name="_Toc58917242"/>
      <w:bookmarkStart w:id="69" w:name="_Toc59312025"/>
      <w:r w:rsidR="00AB5515">
        <w:br w:type="page"/>
      </w:r>
    </w:p>
    <w:p w14:paraId="5BB3BC3A" w14:textId="2D5EA8A4" w:rsidR="009218F1" w:rsidRDefault="009218F1" w:rsidP="00AB5515">
      <w:pPr>
        <w:pStyle w:val="TableHeading"/>
        <w:ind w:left="0" w:firstLine="0"/>
      </w:pPr>
      <w:r w:rsidRPr="007973D1">
        <w:lastRenderedPageBreak/>
        <w:t xml:space="preserve">Table </w:t>
      </w:r>
      <w:r w:rsidRPr="007973D1">
        <w:fldChar w:fldCharType="begin"/>
      </w:r>
      <w:r w:rsidRPr="007973D1">
        <w:instrText xml:space="preserve"> SEQ Table \* ARABIC </w:instrText>
      </w:r>
      <w:r w:rsidRPr="007973D1">
        <w:fldChar w:fldCharType="separate"/>
      </w:r>
      <w:r>
        <w:t>12</w:t>
      </w:r>
      <w:r w:rsidRPr="007973D1">
        <w:fldChar w:fldCharType="end"/>
      </w:r>
      <w:bookmarkEnd w:id="64"/>
      <w:r>
        <w:tab/>
      </w:r>
      <w:r w:rsidRPr="007973D1">
        <w:t>Net PL cost sensitivity analysis</w:t>
      </w:r>
      <w:bookmarkEnd w:id="65"/>
      <w:bookmarkEnd w:id="66"/>
      <w:bookmarkEnd w:id="67"/>
      <w:bookmarkEnd w:id="68"/>
      <w:bookmarkEnd w:id="69"/>
    </w:p>
    <w:tbl>
      <w:tblPr>
        <w:tblStyle w:val="OPTUMTableNormal"/>
        <w:tblW w:w="9067" w:type="dxa"/>
        <w:tblLayout w:type="fixed"/>
        <w:tblLook w:val="04A0" w:firstRow="1" w:lastRow="0" w:firstColumn="1" w:lastColumn="0" w:noHBand="0" w:noVBand="1"/>
        <w:tblCaption w:val="Table 12 Net PL cost sensitivity analysis"/>
      </w:tblPr>
      <w:tblGrid>
        <w:gridCol w:w="3397"/>
        <w:gridCol w:w="1021"/>
        <w:gridCol w:w="1162"/>
        <w:gridCol w:w="1162"/>
        <w:gridCol w:w="1162"/>
        <w:gridCol w:w="1163"/>
      </w:tblGrid>
      <w:tr w:rsidR="009218F1" w:rsidRPr="0021454D" w14:paraId="07C449E2" w14:textId="77777777" w:rsidTr="00567A4B">
        <w:trPr>
          <w:cnfStyle w:val="100000000000" w:firstRow="1" w:lastRow="0" w:firstColumn="0" w:lastColumn="0" w:oddVBand="0" w:evenVBand="0" w:oddHBand="0" w:evenHBand="0" w:firstRowFirstColumn="0" w:firstRowLastColumn="0" w:lastRowFirstColumn="0" w:lastRowLastColumn="0"/>
          <w:trHeight w:val="20"/>
          <w:tblHeader/>
        </w:trPr>
        <w:tc>
          <w:tcPr>
            <w:tcW w:w="3397" w:type="dxa"/>
            <w:noWrap/>
            <w:hideMark/>
          </w:tcPr>
          <w:p w14:paraId="1948D184" w14:textId="77777777" w:rsidR="009218F1" w:rsidRPr="007973D1" w:rsidRDefault="009218F1" w:rsidP="001F4142">
            <w:pPr>
              <w:pStyle w:val="Tabletext"/>
            </w:pPr>
            <w:r w:rsidRPr="007973D1">
              <w:t> </w:t>
            </w:r>
          </w:p>
        </w:tc>
        <w:tc>
          <w:tcPr>
            <w:tcW w:w="1021" w:type="dxa"/>
            <w:noWrap/>
            <w:hideMark/>
          </w:tcPr>
          <w:p w14:paraId="199A83A1" w14:textId="77777777" w:rsidR="009218F1" w:rsidRPr="0021454D" w:rsidRDefault="009218F1" w:rsidP="001F4142">
            <w:pPr>
              <w:pStyle w:val="Tabletext"/>
              <w:rPr>
                <w:b/>
                <w:bCs/>
              </w:rPr>
            </w:pPr>
            <w:r w:rsidRPr="0021454D">
              <w:rPr>
                <w:b/>
                <w:bCs/>
              </w:rPr>
              <w:t>2021</w:t>
            </w:r>
          </w:p>
        </w:tc>
        <w:tc>
          <w:tcPr>
            <w:tcW w:w="1162" w:type="dxa"/>
            <w:noWrap/>
            <w:hideMark/>
          </w:tcPr>
          <w:p w14:paraId="57B886B0" w14:textId="77777777" w:rsidR="009218F1" w:rsidRPr="0021454D" w:rsidRDefault="009218F1" w:rsidP="001F4142">
            <w:pPr>
              <w:pStyle w:val="Tabletext"/>
              <w:rPr>
                <w:b/>
                <w:bCs/>
              </w:rPr>
            </w:pPr>
            <w:r w:rsidRPr="0021454D">
              <w:rPr>
                <w:b/>
                <w:bCs/>
              </w:rPr>
              <w:t>2022</w:t>
            </w:r>
          </w:p>
        </w:tc>
        <w:tc>
          <w:tcPr>
            <w:tcW w:w="1162" w:type="dxa"/>
            <w:noWrap/>
            <w:hideMark/>
          </w:tcPr>
          <w:p w14:paraId="5D13E78D" w14:textId="77777777" w:rsidR="009218F1" w:rsidRPr="0021454D" w:rsidRDefault="009218F1" w:rsidP="001F4142">
            <w:pPr>
              <w:pStyle w:val="Tabletext"/>
              <w:rPr>
                <w:b/>
                <w:bCs/>
              </w:rPr>
            </w:pPr>
            <w:r w:rsidRPr="0021454D">
              <w:rPr>
                <w:b/>
                <w:bCs/>
              </w:rPr>
              <w:t>2023</w:t>
            </w:r>
          </w:p>
        </w:tc>
        <w:tc>
          <w:tcPr>
            <w:tcW w:w="1162" w:type="dxa"/>
            <w:noWrap/>
            <w:hideMark/>
          </w:tcPr>
          <w:p w14:paraId="5FA6EF5A" w14:textId="77777777" w:rsidR="009218F1" w:rsidRPr="0021454D" w:rsidRDefault="009218F1" w:rsidP="001F4142">
            <w:pPr>
              <w:pStyle w:val="Tabletext"/>
              <w:rPr>
                <w:b/>
                <w:bCs/>
              </w:rPr>
            </w:pPr>
            <w:r w:rsidRPr="0021454D">
              <w:rPr>
                <w:b/>
                <w:bCs/>
              </w:rPr>
              <w:t>2024</w:t>
            </w:r>
          </w:p>
        </w:tc>
        <w:tc>
          <w:tcPr>
            <w:tcW w:w="1163" w:type="dxa"/>
            <w:noWrap/>
            <w:hideMark/>
          </w:tcPr>
          <w:p w14:paraId="22393573" w14:textId="77777777" w:rsidR="009218F1" w:rsidRPr="0021454D" w:rsidRDefault="009218F1" w:rsidP="001F4142">
            <w:pPr>
              <w:pStyle w:val="Tabletext"/>
              <w:rPr>
                <w:b/>
                <w:bCs/>
              </w:rPr>
            </w:pPr>
            <w:r w:rsidRPr="0021454D">
              <w:rPr>
                <w:b/>
                <w:bCs/>
              </w:rPr>
              <w:t>2025</w:t>
            </w:r>
          </w:p>
        </w:tc>
      </w:tr>
      <w:tr w:rsidR="009218F1" w:rsidRPr="0021454D" w14:paraId="46A3B655" w14:textId="77777777" w:rsidTr="001F4142">
        <w:trPr>
          <w:trHeight w:val="20"/>
        </w:trPr>
        <w:tc>
          <w:tcPr>
            <w:tcW w:w="3397" w:type="dxa"/>
            <w:noWrap/>
          </w:tcPr>
          <w:p w14:paraId="1053130F" w14:textId="77777777" w:rsidR="009218F1" w:rsidRPr="0021454D" w:rsidRDefault="009218F1" w:rsidP="001F4142">
            <w:pPr>
              <w:pStyle w:val="Tabletext"/>
              <w:rPr>
                <w:b/>
                <w:bCs/>
                <w:noProof/>
              </w:rPr>
            </w:pPr>
            <w:r w:rsidRPr="0021454D">
              <w:rPr>
                <w:b/>
                <w:bCs/>
                <w:noProof/>
              </w:rPr>
              <w:t>Base Case PL</w:t>
            </w:r>
          </w:p>
        </w:tc>
        <w:tc>
          <w:tcPr>
            <w:tcW w:w="1021" w:type="dxa"/>
            <w:noWrap/>
          </w:tcPr>
          <w:p w14:paraId="5E0EE384" w14:textId="77777777" w:rsidR="009218F1" w:rsidRPr="0021454D" w:rsidRDefault="009218F1" w:rsidP="001F4142">
            <w:pPr>
              <w:pStyle w:val="Tabletext"/>
              <w:rPr>
                <w:b/>
                <w:bCs/>
              </w:rPr>
            </w:pPr>
            <w:r w:rsidRPr="0021454D">
              <w:rPr>
                <w:rFonts w:cs="Calibri"/>
                <w:b/>
                <w:bCs/>
              </w:rPr>
              <w:t>666,985</w:t>
            </w:r>
          </w:p>
        </w:tc>
        <w:tc>
          <w:tcPr>
            <w:tcW w:w="1162" w:type="dxa"/>
            <w:noWrap/>
          </w:tcPr>
          <w:p w14:paraId="7C3B1A36" w14:textId="77777777" w:rsidR="009218F1" w:rsidRPr="0021454D" w:rsidRDefault="009218F1" w:rsidP="001F4142">
            <w:pPr>
              <w:pStyle w:val="Tabletext"/>
              <w:rPr>
                <w:b/>
                <w:bCs/>
              </w:rPr>
            </w:pPr>
            <w:r w:rsidRPr="0021454D">
              <w:rPr>
                <w:rFonts w:cs="Calibri"/>
                <w:b/>
                <w:bCs/>
              </w:rPr>
              <w:t>676,322</w:t>
            </w:r>
          </w:p>
        </w:tc>
        <w:tc>
          <w:tcPr>
            <w:tcW w:w="1162" w:type="dxa"/>
            <w:noWrap/>
          </w:tcPr>
          <w:p w14:paraId="026992F7" w14:textId="77777777" w:rsidR="009218F1" w:rsidRPr="0021454D" w:rsidRDefault="009218F1" w:rsidP="001F4142">
            <w:pPr>
              <w:pStyle w:val="Tabletext"/>
              <w:rPr>
                <w:b/>
                <w:bCs/>
              </w:rPr>
            </w:pPr>
            <w:r w:rsidRPr="0021454D">
              <w:rPr>
                <w:rFonts w:cs="Calibri"/>
                <w:b/>
                <w:bCs/>
              </w:rPr>
              <w:t>685,791</w:t>
            </w:r>
          </w:p>
        </w:tc>
        <w:tc>
          <w:tcPr>
            <w:tcW w:w="1162" w:type="dxa"/>
            <w:noWrap/>
          </w:tcPr>
          <w:p w14:paraId="2737BF43" w14:textId="77777777" w:rsidR="009218F1" w:rsidRPr="0021454D" w:rsidRDefault="009218F1" w:rsidP="001F4142">
            <w:pPr>
              <w:pStyle w:val="Tabletext"/>
              <w:rPr>
                <w:b/>
                <w:bCs/>
              </w:rPr>
            </w:pPr>
            <w:r w:rsidRPr="0021454D">
              <w:rPr>
                <w:rFonts w:cs="Calibri"/>
                <w:b/>
                <w:bCs/>
              </w:rPr>
              <w:t>695,392</w:t>
            </w:r>
          </w:p>
        </w:tc>
        <w:tc>
          <w:tcPr>
            <w:tcW w:w="1163" w:type="dxa"/>
            <w:noWrap/>
          </w:tcPr>
          <w:p w14:paraId="20B1234B" w14:textId="77777777" w:rsidR="009218F1" w:rsidRPr="0021454D" w:rsidRDefault="009218F1" w:rsidP="001F4142">
            <w:pPr>
              <w:pStyle w:val="Tabletext"/>
              <w:rPr>
                <w:b/>
                <w:bCs/>
              </w:rPr>
            </w:pPr>
            <w:r w:rsidRPr="0021454D">
              <w:rPr>
                <w:rFonts w:cs="Calibri"/>
                <w:b/>
                <w:bCs/>
              </w:rPr>
              <w:t>705,127</w:t>
            </w:r>
          </w:p>
        </w:tc>
      </w:tr>
      <w:tr w:rsidR="009218F1" w:rsidRPr="0021454D" w14:paraId="2D1C925F" w14:textId="77777777" w:rsidTr="001F4142">
        <w:trPr>
          <w:trHeight w:val="20"/>
        </w:trPr>
        <w:tc>
          <w:tcPr>
            <w:tcW w:w="3397" w:type="dxa"/>
            <w:noWrap/>
          </w:tcPr>
          <w:p w14:paraId="1196BCAA" w14:textId="77777777" w:rsidR="009218F1" w:rsidRPr="0021454D" w:rsidRDefault="009218F1" w:rsidP="001F4142">
            <w:pPr>
              <w:pStyle w:val="Tabletext"/>
              <w:rPr>
                <w:b/>
                <w:bCs/>
                <w:noProof/>
              </w:rPr>
            </w:pPr>
            <w:r w:rsidRPr="0021454D">
              <w:rPr>
                <w:b/>
                <w:bCs/>
                <w:noProof/>
              </w:rPr>
              <w:t>Burden of Disease</w:t>
            </w:r>
          </w:p>
        </w:tc>
        <w:tc>
          <w:tcPr>
            <w:tcW w:w="1021" w:type="dxa"/>
            <w:noWrap/>
          </w:tcPr>
          <w:p w14:paraId="5ED07ACE" w14:textId="77777777" w:rsidR="009218F1" w:rsidRPr="0021454D" w:rsidRDefault="009218F1" w:rsidP="001F4142">
            <w:pPr>
              <w:pStyle w:val="Tabletext"/>
              <w:rPr>
                <w:b/>
                <w:bCs/>
              </w:rPr>
            </w:pPr>
            <w:r w:rsidRPr="0021454D">
              <w:rPr>
                <w:rFonts w:cs="Calibri"/>
              </w:rPr>
              <w:t> </w:t>
            </w:r>
          </w:p>
        </w:tc>
        <w:tc>
          <w:tcPr>
            <w:tcW w:w="1162" w:type="dxa"/>
            <w:noWrap/>
          </w:tcPr>
          <w:p w14:paraId="7F0421C0" w14:textId="77777777" w:rsidR="009218F1" w:rsidRPr="0021454D" w:rsidRDefault="009218F1" w:rsidP="001F4142">
            <w:pPr>
              <w:pStyle w:val="Tabletext"/>
              <w:rPr>
                <w:b/>
                <w:bCs/>
              </w:rPr>
            </w:pPr>
            <w:r w:rsidRPr="0021454D">
              <w:rPr>
                <w:rFonts w:cs="Calibri"/>
              </w:rPr>
              <w:t> </w:t>
            </w:r>
          </w:p>
        </w:tc>
        <w:tc>
          <w:tcPr>
            <w:tcW w:w="1162" w:type="dxa"/>
            <w:noWrap/>
          </w:tcPr>
          <w:p w14:paraId="5C8FB8B0" w14:textId="77777777" w:rsidR="009218F1" w:rsidRPr="0021454D" w:rsidRDefault="009218F1" w:rsidP="001F4142">
            <w:pPr>
              <w:pStyle w:val="Tabletext"/>
              <w:rPr>
                <w:b/>
                <w:bCs/>
              </w:rPr>
            </w:pPr>
            <w:r w:rsidRPr="0021454D">
              <w:rPr>
                <w:rFonts w:cs="Calibri"/>
              </w:rPr>
              <w:t> </w:t>
            </w:r>
          </w:p>
        </w:tc>
        <w:tc>
          <w:tcPr>
            <w:tcW w:w="1162" w:type="dxa"/>
            <w:noWrap/>
          </w:tcPr>
          <w:p w14:paraId="10AD0E2F" w14:textId="77777777" w:rsidR="009218F1" w:rsidRPr="0021454D" w:rsidRDefault="009218F1" w:rsidP="001F4142">
            <w:pPr>
              <w:pStyle w:val="Tabletext"/>
              <w:rPr>
                <w:b/>
                <w:bCs/>
              </w:rPr>
            </w:pPr>
            <w:r w:rsidRPr="0021454D">
              <w:rPr>
                <w:rFonts w:cs="Calibri"/>
              </w:rPr>
              <w:t> </w:t>
            </w:r>
          </w:p>
        </w:tc>
        <w:tc>
          <w:tcPr>
            <w:tcW w:w="1163" w:type="dxa"/>
            <w:noWrap/>
          </w:tcPr>
          <w:p w14:paraId="5A05D72C" w14:textId="77777777" w:rsidR="009218F1" w:rsidRPr="0021454D" w:rsidRDefault="009218F1" w:rsidP="001F4142">
            <w:pPr>
              <w:pStyle w:val="Tabletext"/>
              <w:rPr>
                <w:b/>
                <w:bCs/>
              </w:rPr>
            </w:pPr>
            <w:r w:rsidRPr="0021454D">
              <w:rPr>
                <w:rFonts w:cs="Calibri"/>
              </w:rPr>
              <w:t> </w:t>
            </w:r>
          </w:p>
        </w:tc>
      </w:tr>
      <w:tr w:rsidR="009218F1" w:rsidRPr="0021454D" w14:paraId="320B3DEA" w14:textId="77777777" w:rsidTr="001F4142">
        <w:trPr>
          <w:trHeight w:val="20"/>
        </w:trPr>
        <w:tc>
          <w:tcPr>
            <w:tcW w:w="3397" w:type="dxa"/>
            <w:noWrap/>
          </w:tcPr>
          <w:p w14:paraId="3C2802C1" w14:textId="77777777" w:rsidR="009218F1" w:rsidRPr="0021454D" w:rsidRDefault="009218F1" w:rsidP="001F4142">
            <w:pPr>
              <w:pStyle w:val="Tabletext"/>
            </w:pPr>
            <w:r w:rsidRPr="0021454D">
              <w:rPr>
                <w:noProof/>
              </w:rPr>
              <w:t>Eye burns prevalence 7.5% increase</w:t>
            </w:r>
          </w:p>
        </w:tc>
        <w:tc>
          <w:tcPr>
            <w:tcW w:w="1021" w:type="dxa"/>
            <w:noWrap/>
          </w:tcPr>
          <w:p w14:paraId="65FE8173" w14:textId="77777777" w:rsidR="009218F1" w:rsidRPr="0021454D" w:rsidRDefault="009218F1" w:rsidP="001F4142">
            <w:pPr>
              <w:pStyle w:val="Tabletext"/>
            </w:pPr>
            <w:r w:rsidRPr="0021454D">
              <w:rPr>
                <w:rFonts w:cs="Calibri"/>
              </w:rPr>
              <w:t>669,836</w:t>
            </w:r>
          </w:p>
        </w:tc>
        <w:tc>
          <w:tcPr>
            <w:tcW w:w="1162" w:type="dxa"/>
            <w:noWrap/>
          </w:tcPr>
          <w:p w14:paraId="6FB902B9" w14:textId="77777777" w:rsidR="009218F1" w:rsidRPr="0021454D" w:rsidRDefault="009218F1" w:rsidP="001F4142">
            <w:pPr>
              <w:pStyle w:val="Tabletext"/>
            </w:pPr>
            <w:r w:rsidRPr="0021454D">
              <w:rPr>
                <w:rFonts w:cs="Calibri"/>
              </w:rPr>
              <w:t>679,214</w:t>
            </w:r>
          </w:p>
        </w:tc>
        <w:tc>
          <w:tcPr>
            <w:tcW w:w="1162" w:type="dxa"/>
            <w:noWrap/>
          </w:tcPr>
          <w:p w14:paraId="27AA6D44" w14:textId="77777777" w:rsidR="009218F1" w:rsidRPr="0021454D" w:rsidRDefault="009218F1" w:rsidP="001F4142">
            <w:pPr>
              <w:pStyle w:val="Tabletext"/>
            </w:pPr>
            <w:r w:rsidRPr="0021454D">
              <w:rPr>
                <w:rFonts w:cs="Calibri"/>
              </w:rPr>
              <w:t>688,723</w:t>
            </w:r>
          </w:p>
        </w:tc>
        <w:tc>
          <w:tcPr>
            <w:tcW w:w="1162" w:type="dxa"/>
            <w:noWrap/>
          </w:tcPr>
          <w:p w14:paraId="502E9F7F" w14:textId="77777777" w:rsidR="009218F1" w:rsidRPr="0021454D" w:rsidRDefault="009218F1" w:rsidP="001F4142">
            <w:pPr>
              <w:pStyle w:val="Tabletext"/>
            </w:pPr>
            <w:r w:rsidRPr="0021454D">
              <w:rPr>
                <w:rFonts w:cs="Calibri"/>
              </w:rPr>
              <w:t>698,365</w:t>
            </w:r>
          </w:p>
        </w:tc>
        <w:tc>
          <w:tcPr>
            <w:tcW w:w="1163" w:type="dxa"/>
            <w:noWrap/>
          </w:tcPr>
          <w:p w14:paraId="27A9A427" w14:textId="77777777" w:rsidR="009218F1" w:rsidRPr="0021454D" w:rsidRDefault="009218F1" w:rsidP="001F4142">
            <w:pPr>
              <w:pStyle w:val="Tabletext"/>
            </w:pPr>
            <w:r w:rsidRPr="0021454D">
              <w:rPr>
                <w:rFonts w:cs="Calibri"/>
              </w:rPr>
              <w:t>708,142</w:t>
            </w:r>
          </w:p>
        </w:tc>
      </w:tr>
      <w:tr w:rsidR="009218F1" w:rsidRPr="0021454D" w14:paraId="1E7B6D65" w14:textId="77777777" w:rsidTr="001F4142">
        <w:trPr>
          <w:trHeight w:val="20"/>
        </w:trPr>
        <w:tc>
          <w:tcPr>
            <w:tcW w:w="3397" w:type="dxa"/>
            <w:noWrap/>
          </w:tcPr>
          <w:p w14:paraId="74531A5D" w14:textId="77777777" w:rsidR="009218F1" w:rsidRPr="0021454D" w:rsidRDefault="009218F1" w:rsidP="001F4142">
            <w:pPr>
              <w:pStyle w:val="Tabletext"/>
            </w:pPr>
            <w:r w:rsidRPr="0021454D">
              <w:rPr>
                <w:noProof/>
              </w:rPr>
              <w:t>Pterygium prevalence 7.5% increase</w:t>
            </w:r>
          </w:p>
        </w:tc>
        <w:tc>
          <w:tcPr>
            <w:tcW w:w="1021" w:type="dxa"/>
            <w:noWrap/>
          </w:tcPr>
          <w:p w14:paraId="33275241" w14:textId="77777777" w:rsidR="009218F1" w:rsidRPr="0021454D" w:rsidRDefault="009218F1" w:rsidP="001F4142">
            <w:pPr>
              <w:pStyle w:val="Tabletext"/>
            </w:pPr>
            <w:r w:rsidRPr="0021454D">
              <w:rPr>
                <w:rFonts w:cs="Calibri"/>
              </w:rPr>
              <w:t>672,067</w:t>
            </w:r>
          </w:p>
        </w:tc>
        <w:tc>
          <w:tcPr>
            <w:tcW w:w="1162" w:type="dxa"/>
            <w:noWrap/>
          </w:tcPr>
          <w:p w14:paraId="068B53D2" w14:textId="77777777" w:rsidR="009218F1" w:rsidRPr="0021454D" w:rsidRDefault="009218F1" w:rsidP="001F4142">
            <w:pPr>
              <w:pStyle w:val="Tabletext"/>
            </w:pPr>
            <w:r w:rsidRPr="0021454D">
              <w:rPr>
                <w:rFonts w:cs="Calibri"/>
              </w:rPr>
              <w:t>681,476</w:t>
            </w:r>
          </w:p>
        </w:tc>
        <w:tc>
          <w:tcPr>
            <w:tcW w:w="1162" w:type="dxa"/>
            <w:noWrap/>
          </w:tcPr>
          <w:p w14:paraId="2A1B485A" w14:textId="77777777" w:rsidR="009218F1" w:rsidRPr="0021454D" w:rsidRDefault="009218F1" w:rsidP="001F4142">
            <w:pPr>
              <w:pStyle w:val="Tabletext"/>
            </w:pPr>
            <w:r w:rsidRPr="0021454D">
              <w:rPr>
                <w:rFonts w:cs="Calibri"/>
              </w:rPr>
              <w:t>691,017</w:t>
            </w:r>
          </w:p>
        </w:tc>
        <w:tc>
          <w:tcPr>
            <w:tcW w:w="1162" w:type="dxa"/>
            <w:noWrap/>
          </w:tcPr>
          <w:p w14:paraId="73B36CD9" w14:textId="77777777" w:rsidR="009218F1" w:rsidRPr="0021454D" w:rsidRDefault="009218F1" w:rsidP="001F4142">
            <w:pPr>
              <w:pStyle w:val="Tabletext"/>
            </w:pPr>
            <w:r w:rsidRPr="0021454D">
              <w:rPr>
                <w:rFonts w:cs="Calibri"/>
              </w:rPr>
              <w:t>700,691</w:t>
            </w:r>
          </w:p>
        </w:tc>
        <w:tc>
          <w:tcPr>
            <w:tcW w:w="1163" w:type="dxa"/>
            <w:noWrap/>
          </w:tcPr>
          <w:p w14:paraId="4563BDF6" w14:textId="77777777" w:rsidR="009218F1" w:rsidRPr="0021454D" w:rsidRDefault="009218F1" w:rsidP="001F4142">
            <w:pPr>
              <w:pStyle w:val="Tabletext"/>
            </w:pPr>
            <w:r w:rsidRPr="0021454D">
              <w:rPr>
                <w:rFonts w:cs="Calibri"/>
              </w:rPr>
              <w:t>710,501</w:t>
            </w:r>
          </w:p>
        </w:tc>
      </w:tr>
      <w:tr w:rsidR="009218F1" w:rsidRPr="0021454D" w14:paraId="18427627" w14:textId="77777777" w:rsidTr="001F4142">
        <w:trPr>
          <w:trHeight w:val="20"/>
        </w:trPr>
        <w:tc>
          <w:tcPr>
            <w:tcW w:w="3397" w:type="dxa"/>
            <w:noWrap/>
          </w:tcPr>
          <w:p w14:paraId="00208C2B" w14:textId="77777777" w:rsidR="009218F1" w:rsidRPr="0021454D" w:rsidRDefault="009218F1" w:rsidP="001F4142">
            <w:pPr>
              <w:pStyle w:val="Tabletext"/>
            </w:pPr>
            <w:r w:rsidRPr="0021454D">
              <w:rPr>
                <w:noProof/>
              </w:rPr>
              <w:t>DFU prevalence 7.5%</w:t>
            </w:r>
          </w:p>
        </w:tc>
        <w:tc>
          <w:tcPr>
            <w:tcW w:w="1021" w:type="dxa"/>
            <w:noWrap/>
          </w:tcPr>
          <w:p w14:paraId="7BAE043E" w14:textId="77777777" w:rsidR="009218F1" w:rsidRPr="0021454D" w:rsidRDefault="009218F1" w:rsidP="001F4142">
            <w:pPr>
              <w:pStyle w:val="Tabletext"/>
            </w:pPr>
            <w:r w:rsidRPr="0021454D">
              <w:rPr>
                <w:rFonts w:cs="Calibri"/>
              </w:rPr>
              <w:t>689,573</w:t>
            </w:r>
          </w:p>
        </w:tc>
        <w:tc>
          <w:tcPr>
            <w:tcW w:w="1162" w:type="dxa"/>
            <w:noWrap/>
          </w:tcPr>
          <w:p w14:paraId="5DE5A852" w14:textId="77777777" w:rsidR="009218F1" w:rsidRPr="0021454D" w:rsidRDefault="009218F1" w:rsidP="001F4142">
            <w:pPr>
              <w:pStyle w:val="Tabletext"/>
            </w:pPr>
            <w:r w:rsidRPr="0021454D">
              <w:rPr>
                <w:rFonts w:cs="Calibri"/>
              </w:rPr>
              <w:t>699,227</w:t>
            </w:r>
          </w:p>
        </w:tc>
        <w:tc>
          <w:tcPr>
            <w:tcW w:w="1162" w:type="dxa"/>
            <w:noWrap/>
          </w:tcPr>
          <w:p w14:paraId="4E774C4C" w14:textId="77777777" w:rsidR="009218F1" w:rsidRPr="0021454D" w:rsidRDefault="009218F1" w:rsidP="001F4142">
            <w:pPr>
              <w:pStyle w:val="Tabletext"/>
            </w:pPr>
            <w:r w:rsidRPr="0021454D">
              <w:rPr>
                <w:rFonts w:cs="Calibri"/>
              </w:rPr>
              <w:t>709,017</w:t>
            </w:r>
          </w:p>
        </w:tc>
        <w:tc>
          <w:tcPr>
            <w:tcW w:w="1162" w:type="dxa"/>
            <w:noWrap/>
          </w:tcPr>
          <w:p w14:paraId="51B6D8C6" w14:textId="77777777" w:rsidR="009218F1" w:rsidRPr="0021454D" w:rsidRDefault="009218F1" w:rsidP="001F4142">
            <w:pPr>
              <w:pStyle w:val="Tabletext"/>
            </w:pPr>
            <w:r w:rsidRPr="0021454D">
              <w:rPr>
                <w:rFonts w:cs="Calibri"/>
              </w:rPr>
              <w:t>718,943</w:t>
            </w:r>
          </w:p>
        </w:tc>
        <w:tc>
          <w:tcPr>
            <w:tcW w:w="1163" w:type="dxa"/>
            <w:noWrap/>
          </w:tcPr>
          <w:p w14:paraId="6EA7039C" w14:textId="77777777" w:rsidR="009218F1" w:rsidRPr="0021454D" w:rsidRDefault="009218F1" w:rsidP="001F4142">
            <w:pPr>
              <w:pStyle w:val="Tabletext"/>
            </w:pPr>
            <w:r w:rsidRPr="0021454D">
              <w:rPr>
                <w:rFonts w:cs="Calibri"/>
              </w:rPr>
              <w:t>729,008</w:t>
            </w:r>
          </w:p>
        </w:tc>
      </w:tr>
      <w:tr w:rsidR="009218F1" w:rsidRPr="0021454D" w14:paraId="6BF9A7EF" w14:textId="77777777" w:rsidTr="001F4142">
        <w:trPr>
          <w:trHeight w:val="20"/>
        </w:trPr>
        <w:tc>
          <w:tcPr>
            <w:tcW w:w="3397" w:type="dxa"/>
            <w:noWrap/>
          </w:tcPr>
          <w:p w14:paraId="48BB8105" w14:textId="77777777" w:rsidR="009218F1" w:rsidRPr="0021454D" w:rsidRDefault="009218F1" w:rsidP="001F4142">
            <w:pPr>
              <w:pStyle w:val="Tabletext"/>
            </w:pPr>
            <w:r w:rsidRPr="0021454D">
              <w:rPr>
                <w:noProof/>
              </w:rPr>
              <w:t>Burns dermal substitute prevalence 7.5%</w:t>
            </w:r>
          </w:p>
        </w:tc>
        <w:tc>
          <w:tcPr>
            <w:tcW w:w="1021" w:type="dxa"/>
            <w:noWrap/>
          </w:tcPr>
          <w:p w14:paraId="5C518843" w14:textId="77777777" w:rsidR="009218F1" w:rsidRPr="0021454D" w:rsidRDefault="009218F1" w:rsidP="001F4142">
            <w:pPr>
              <w:pStyle w:val="Tabletext"/>
            </w:pPr>
            <w:r w:rsidRPr="0021454D">
              <w:rPr>
                <w:rFonts w:cs="Calibri"/>
              </w:rPr>
              <w:t>668,652</w:t>
            </w:r>
          </w:p>
        </w:tc>
        <w:tc>
          <w:tcPr>
            <w:tcW w:w="1162" w:type="dxa"/>
            <w:noWrap/>
          </w:tcPr>
          <w:p w14:paraId="3EE55E50" w14:textId="77777777" w:rsidR="009218F1" w:rsidRPr="0021454D" w:rsidRDefault="009218F1" w:rsidP="001F4142">
            <w:pPr>
              <w:pStyle w:val="Tabletext"/>
            </w:pPr>
            <w:r w:rsidRPr="0021454D">
              <w:rPr>
                <w:rFonts w:cs="Calibri"/>
              </w:rPr>
              <w:t>678,013</w:t>
            </w:r>
          </w:p>
        </w:tc>
        <w:tc>
          <w:tcPr>
            <w:tcW w:w="1162" w:type="dxa"/>
            <w:noWrap/>
          </w:tcPr>
          <w:p w14:paraId="005FF317" w14:textId="77777777" w:rsidR="009218F1" w:rsidRPr="0021454D" w:rsidRDefault="009218F1" w:rsidP="001F4142">
            <w:pPr>
              <w:pStyle w:val="Tabletext"/>
            </w:pPr>
            <w:r w:rsidRPr="0021454D">
              <w:rPr>
                <w:rFonts w:cs="Calibri"/>
              </w:rPr>
              <w:t>687,505</w:t>
            </w:r>
          </w:p>
        </w:tc>
        <w:tc>
          <w:tcPr>
            <w:tcW w:w="1162" w:type="dxa"/>
            <w:noWrap/>
          </w:tcPr>
          <w:p w14:paraId="7BFD6C87" w14:textId="77777777" w:rsidR="009218F1" w:rsidRPr="0021454D" w:rsidRDefault="009218F1" w:rsidP="001F4142">
            <w:pPr>
              <w:pStyle w:val="Tabletext"/>
            </w:pPr>
            <w:r w:rsidRPr="0021454D">
              <w:rPr>
                <w:rFonts w:cs="Calibri"/>
              </w:rPr>
              <w:t>697,131</w:t>
            </w:r>
          </w:p>
        </w:tc>
        <w:tc>
          <w:tcPr>
            <w:tcW w:w="1163" w:type="dxa"/>
            <w:noWrap/>
          </w:tcPr>
          <w:p w14:paraId="44397992" w14:textId="77777777" w:rsidR="009218F1" w:rsidRPr="0021454D" w:rsidRDefault="009218F1" w:rsidP="001F4142">
            <w:pPr>
              <w:pStyle w:val="Tabletext"/>
            </w:pPr>
            <w:r w:rsidRPr="0021454D">
              <w:rPr>
                <w:rFonts w:cs="Calibri"/>
              </w:rPr>
              <w:t>706,890</w:t>
            </w:r>
          </w:p>
        </w:tc>
      </w:tr>
      <w:tr w:rsidR="009218F1" w:rsidRPr="0021454D" w14:paraId="27B48705" w14:textId="77777777" w:rsidTr="001F4142">
        <w:trPr>
          <w:trHeight w:val="20"/>
        </w:trPr>
        <w:tc>
          <w:tcPr>
            <w:tcW w:w="3397" w:type="dxa"/>
            <w:noWrap/>
          </w:tcPr>
          <w:p w14:paraId="63AC6A1E" w14:textId="77777777" w:rsidR="009218F1" w:rsidRPr="0021454D" w:rsidRDefault="009218F1" w:rsidP="001F4142">
            <w:pPr>
              <w:pStyle w:val="Tabletext"/>
            </w:pPr>
            <w:r w:rsidRPr="0021454D">
              <w:rPr>
                <w:b/>
                <w:bCs/>
                <w:noProof/>
              </w:rPr>
              <w:t>Uptake</w:t>
            </w:r>
          </w:p>
        </w:tc>
        <w:tc>
          <w:tcPr>
            <w:tcW w:w="1021" w:type="dxa"/>
            <w:noWrap/>
          </w:tcPr>
          <w:p w14:paraId="686FE91F" w14:textId="77777777" w:rsidR="009218F1" w:rsidRPr="0021454D" w:rsidRDefault="009218F1" w:rsidP="001F4142">
            <w:pPr>
              <w:pStyle w:val="Tabletext"/>
            </w:pPr>
            <w:r w:rsidRPr="0021454D">
              <w:rPr>
                <w:rFonts w:cs="Calibri"/>
              </w:rPr>
              <w:t> </w:t>
            </w:r>
          </w:p>
        </w:tc>
        <w:tc>
          <w:tcPr>
            <w:tcW w:w="1162" w:type="dxa"/>
            <w:noWrap/>
          </w:tcPr>
          <w:p w14:paraId="284F3D81" w14:textId="77777777" w:rsidR="009218F1" w:rsidRPr="0021454D" w:rsidRDefault="009218F1" w:rsidP="001F4142">
            <w:pPr>
              <w:pStyle w:val="Tabletext"/>
            </w:pPr>
            <w:r w:rsidRPr="0021454D">
              <w:rPr>
                <w:rFonts w:cs="Calibri"/>
              </w:rPr>
              <w:t> </w:t>
            </w:r>
          </w:p>
        </w:tc>
        <w:tc>
          <w:tcPr>
            <w:tcW w:w="1162" w:type="dxa"/>
            <w:noWrap/>
          </w:tcPr>
          <w:p w14:paraId="02F73F48" w14:textId="77777777" w:rsidR="009218F1" w:rsidRPr="0021454D" w:rsidRDefault="009218F1" w:rsidP="001F4142">
            <w:pPr>
              <w:pStyle w:val="Tabletext"/>
            </w:pPr>
            <w:r w:rsidRPr="0021454D">
              <w:rPr>
                <w:rFonts w:cs="Calibri"/>
              </w:rPr>
              <w:t> </w:t>
            </w:r>
          </w:p>
        </w:tc>
        <w:tc>
          <w:tcPr>
            <w:tcW w:w="1162" w:type="dxa"/>
            <w:noWrap/>
          </w:tcPr>
          <w:p w14:paraId="62435039" w14:textId="77777777" w:rsidR="009218F1" w:rsidRPr="0021454D" w:rsidRDefault="009218F1" w:rsidP="001F4142">
            <w:pPr>
              <w:pStyle w:val="Tabletext"/>
            </w:pPr>
            <w:r w:rsidRPr="0021454D">
              <w:rPr>
                <w:rFonts w:cs="Calibri"/>
              </w:rPr>
              <w:t> </w:t>
            </w:r>
          </w:p>
        </w:tc>
        <w:tc>
          <w:tcPr>
            <w:tcW w:w="1163" w:type="dxa"/>
            <w:noWrap/>
          </w:tcPr>
          <w:p w14:paraId="4B6974D9" w14:textId="77777777" w:rsidR="009218F1" w:rsidRPr="0021454D" w:rsidRDefault="009218F1" w:rsidP="001F4142">
            <w:pPr>
              <w:pStyle w:val="Tabletext"/>
            </w:pPr>
            <w:r w:rsidRPr="0021454D">
              <w:rPr>
                <w:rFonts w:cs="Calibri"/>
              </w:rPr>
              <w:t> </w:t>
            </w:r>
          </w:p>
        </w:tc>
      </w:tr>
      <w:tr w:rsidR="009218F1" w:rsidRPr="0021454D" w:rsidDel="007E6304" w14:paraId="339F270E" w14:textId="77777777" w:rsidTr="001F4142">
        <w:trPr>
          <w:trHeight w:val="20"/>
        </w:trPr>
        <w:tc>
          <w:tcPr>
            <w:tcW w:w="3397" w:type="dxa"/>
            <w:noWrap/>
          </w:tcPr>
          <w:p w14:paraId="53AC8AA8" w14:textId="77777777" w:rsidR="009218F1" w:rsidRPr="0021454D" w:rsidRDefault="009218F1" w:rsidP="001F4142">
            <w:pPr>
              <w:pStyle w:val="Tabletext"/>
              <w:rPr>
                <w:noProof/>
              </w:rPr>
            </w:pPr>
            <w:r w:rsidRPr="0021454D">
              <w:rPr>
                <w:color w:val="000000"/>
              </w:rPr>
              <w:t>Eye Burns (50%)</w:t>
            </w:r>
          </w:p>
        </w:tc>
        <w:tc>
          <w:tcPr>
            <w:tcW w:w="1021" w:type="dxa"/>
            <w:noWrap/>
          </w:tcPr>
          <w:p w14:paraId="1D501F95" w14:textId="77777777" w:rsidR="009218F1" w:rsidRPr="0021454D" w:rsidDel="007E6304" w:rsidRDefault="009218F1" w:rsidP="001F4142">
            <w:pPr>
              <w:pStyle w:val="Tabletext"/>
            </w:pPr>
            <w:r w:rsidRPr="0021454D">
              <w:rPr>
                <w:rFonts w:cs="Calibri"/>
              </w:rPr>
              <w:t>704,633</w:t>
            </w:r>
          </w:p>
        </w:tc>
        <w:tc>
          <w:tcPr>
            <w:tcW w:w="1162" w:type="dxa"/>
            <w:noWrap/>
          </w:tcPr>
          <w:p w14:paraId="25D854B9" w14:textId="77777777" w:rsidR="009218F1" w:rsidRPr="0021454D" w:rsidDel="007E6304" w:rsidRDefault="009218F1" w:rsidP="001F4142">
            <w:pPr>
              <w:pStyle w:val="Tabletext"/>
            </w:pPr>
            <w:r w:rsidRPr="0021454D">
              <w:rPr>
                <w:rFonts w:cs="Calibri"/>
              </w:rPr>
              <w:t>714,498</w:t>
            </w:r>
          </w:p>
        </w:tc>
        <w:tc>
          <w:tcPr>
            <w:tcW w:w="1162" w:type="dxa"/>
            <w:noWrap/>
          </w:tcPr>
          <w:p w14:paraId="7736FC85" w14:textId="77777777" w:rsidR="009218F1" w:rsidRPr="0021454D" w:rsidDel="007E6304" w:rsidRDefault="009218F1" w:rsidP="001F4142">
            <w:pPr>
              <w:pStyle w:val="Tabletext"/>
            </w:pPr>
            <w:r w:rsidRPr="0021454D">
              <w:rPr>
                <w:rFonts w:cs="Calibri"/>
              </w:rPr>
              <w:t>724,501</w:t>
            </w:r>
          </w:p>
        </w:tc>
        <w:tc>
          <w:tcPr>
            <w:tcW w:w="1162" w:type="dxa"/>
            <w:noWrap/>
          </w:tcPr>
          <w:p w14:paraId="138266D1" w14:textId="77777777" w:rsidR="009218F1" w:rsidRPr="0021454D" w:rsidDel="007E6304" w:rsidRDefault="009218F1" w:rsidP="001F4142">
            <w:pPr>
              <w:pStyle w:val="Tabletext"/>
            </w:pPr>
            <w:r w:rsidRPr="0021454D">
              <w:rPr>
                <w:rFonts w:cs="Calibri"/>
              </w:rPr>
              <w:t>734,644</w:t>
            </w:r>
          </w:p>
        </w:tc>
        <w:tc>
          <w:tcPr>
            <w:tcW w:w="1163" w:type="dxa"/>
            <w:noWrap/>
          </w:tcPr>
          <w:p w14:paraId="0CAF1401" w14:textId="77777777" w:rsidR="009218F1" w:rsidRPr="0021454D" w:rsidDel="007E6304" w:rsidRDefault="009218F1" w:rsidP="001F4142">
            <w:pPr>
              <w:pStyle w:val="Tabletext"/>
            </w:pPr>
            <w:r w:rsidRPr="0021454D">
              <w:rPr>
                <w:rFonts w:cs="Calibri"/>
              </w:rPr>
              <w:t>744,929</w:t>
            </w:r>
          </w:p>
        </w:tc>
      </w:tr>
      <w:tr w:rsidR="009218F1" w:rsidRPr="0021454D" w:rsidDel="007E6304" w14:paraId="1B3B0E96" w14:textId="77777777" w:rsidTr="001F4142">
        <w:trPr>
          <w:trHeight w:val="20"/>
        </w:trPr>
        <w:tc>
          <w:tcPr>
            <w:tcW w:w="3397" w:type="dxa"/>
            <w:noWrap/>
          </w:tcPr>
          <w:p w14:paraId="7BAA22DE" w14:textId="77777777" w:rsidR="009218F1" w:rsidRPr="0021454D" w:rsidRDefault="009218F1" w:rsidP="001F4142">
            <w:pPr>
              <w:pStyle w:val="Tabletext"/>
              <w:rPr>
                <w:noProof/>
              </w:rPr>
            </w:pPr>
            <w:r w:rsidRPr="0021454D">
              <w:rPr>
                <w:color w:val="000000"/>
              </w:rPr>
              <w:t>SJS and TEN (10%)</w:t>
            </w:r>
          </w:p>
        </w:tc>
        <w:tc>
          <w:tcPr>
            <w:tcW w:w="1021" w:type="dxa"/>
            <w:noWrap/>
          </w:tcPr>
          <w:p w14:paraId="4908963C" w14:textId="77777777" w:rsidR="009218F1" w:rsidRPr="0021454D" w:rsidDel="007E6304" w:rsidRDefault="009218F1" w:rsidP="001F4142">
            <w:pPr>
              <w:pStyle w:val="Tabletext"/>
            </w:pPr>
            <w:r w:rsidRPr="0021454D">
              <w:rPr>
                <w:rFonts w:cs="Calibri"/>
              </w:rPr>
              <w:t>668,491</w:t>
            </w:r>
          </w:p>
        </w:tc>
        <w:tc>
          <w:tcPr>
            <w:tcW w:w="1162" w:type="dxa"/>
            <w:noWrap/>
          </w:tcPr>
          <w:p w14:paraId="697851BD" w14:textId="77777777" w:rsidR="009218F1" w:rsidRPr="0021454D" w:rsidDel="007E6304" w:rsidRDefault="009218F1" w:rsidP="001F4142">
            <w:pPr>
              <w:pStyle w:val="Tabletext"/>
            </w:pPr>
            <w:r w:rsidRPr="0021454D">
              <w:rPr>
                <w:rFonts w:cs="Calibri"/>
              </w:rPr>
              <w:t>677,849</w:t>
            </w:r>
          </w:p>
        </w:tc>
        <w:tc>
          <w:tcPr>
            <w:tcW w:w="1162" w:type="dxa"/>
            <w:noWrap/>
          </w:tcPr>
          <w:p w14:paraId="47E4A69D" w14:textId="77777777" w:rsidR="009218F1" w:rsidRPr="0021454D" w:rsidDel="007E6304" w:rsidRDefault="009218F1" w:rsidP="001F4142">
            <w:pPr>
              <w:pStyle w:val="Tabletext"/>
            </w:pPr>
            <w:r w:rsidRPr="0021454D">
              <w:rPr>
                <w:rFonts w:cs="Calibri"/>
              </w:rPr>
              <w:t>687,339</w:t>
            </w:r>
          </w:p>
        </w:tc>
        <w:tc>
          <w:tcPr>
            <w:tcW w:w="1162" w:type="dxa"/>
            <w:noWrap/>
          </w:tcPr>
          <w:p w14:paraId="29D89E8B" w14:textId="77777777" w:rsidR="009218F1" w:rsidRPr="0021454D" w:rsidDel="007E6304" w:rsidRDefault="009218F1" w:rsidP="001F4142">
            <w:pPr>
              <w:pStyle w:val="Tabletext"/>
            </w:pPr>
            <w:r w:rsidRPr="0021454D">
              <w:rPr>
                <w:rFonts w:cs="Calibri"/>
              </w:rPr>
              <w:t>696,962</w:t>
            </w:r>
          </w:p>
        </w:tc>
        <w:tc>
          <w:tcPr>
            <w:tcW w:w="1163" w:type="dxa"/>
            <w:noWrap/>
          </w:tcPr>
          <w:p w14:paraId="7646F53D" w14:textId="77777777" w:rsidR="009218F1" w:rsidRPr="0021454D" w:rsidDel="007E6304" w:rsidRDefault="009218F1" w:rsidP="001F4142">
            <w:pPr>
              <w:pStyle w:val="Tabletext"/>
            </w:pPr>
            <w:r w:rsidRPr="0021454D">
              <w:rPr>
                <w:rFonts w:cs="Calibri"/>
              </w:rPr>
              <w:t>706,719</w:t>
            </w:r>
          </w:p>
        </w:tc>
      </w:tr>
      <w:tr w:rsidR="009218F1" w:rsidRPr="0021454D" w:rsidDel="007E6304" w14:paraId="42495891" w14:textId="77777777" w:rsidTr="001F4142">
        <w:trPr>
          <w:trHeight w:val="20"/>
        </w:trPr>
        <w:tc>
          <w:tcPr>
            <w:tcW w:w="3397" w:type="dxa"/>
            <w:noWrap/>
          </w:tcPr>
          <w:p w14:paraId="43AB59D9" w14:textId="77777777" w:rsidR="009218F1" w:rsidRPr="0021454D" w:rsidRDefault="009218F1" w:rsidP="001F4142">
            <w:pPr>
              <w:pStyle w:val="Tabletext"/>
              <w:rPr>
                <w:noProof/>
              </w:rPr>
            </w:pPr>
            <w:proofErr w:type="spellStart"/>
            <w:r w:rsidRPr="0021454D">
              <w:rPr>
                <w:color w:val="000000"/>
              </w:rPr>
              <w:t>Pterygium</w:t>
            </w:r>
            <w:proofErr w:type="spellEnd"/>
            <w:r w:rsidRPr="0021454D">
              <w:rPr>
                <w:color w:val="000000"/>
              </w:rPr>
              <w:t xml:space="preserve"> (2%)</w:t>
            </w:r>
          </w:p>
        </w:tc>
        <w:tc>
          <w:tcPr>
            <w:tcW w:w="1021" w:type="dxa"/>
            <w:noWrap/>
          </w:tcPr>
          <w:p w14:paraId="1FA2AD01" w14:textId="77777777" w:rsidR="009218F1" w:rsidRPr="0021454D" w:rsidDel="007E6304" w:rsidRDefault="009218F1" w:rsidP="001F4142">
            <w:pPr>
              <w:pStyle w:val="Tabletext"/>
            </w:pPr>
            <w:r w:rsidRPr="0021454D">
              <w:rPr>
                <w:rFonts w:cs="Calibri"/>
              </w:rPr>
              <w:t>721,198</w:t>
            </w:r>
          </w:p>
        </w:tc>
        <w:tc>
          <w:tcPr>
            <w:tcW w:w="1162" w:type="dxa"/>
            <w:noWrap/>
          </w:tcPr>
          <w:p w14:paraId="3ED3CAAB" w14:textId="77777777" w:rsidR="009218F1" w:rsidRPr="0021454D" w:rsidDel="007E6304" w:rsidRDefault="009218F1" w:rsidP="001F4142">
            <w:pPr>
              <w:pStyle w:val="Tabletext"/>
            </w:pPr>
            <w:r w:rsidRPr="0021454D">
              <w:rPr>
                <w:rFonts w:cs="Calibri"/>
              </w:rPr>
              <w:t>731,295</w:t>
            </w:r>
          </w:p>
        </w:tc>
        <w:tc>
          <w:tcPr>
            <w:tcW w:w="1162" w:type="dxa"/>
            <w:noWrap/>
          </w:tcPr>
          <w:p w14:paraId="5E12CAA6" w14:textId="77777777" w:rsidR="009218F1" w:rsidRPr="0021454D" w:rsidDel="007E6304" w:rsidRDefault="009218F1" w:rsidP="001F4142">
            <w:pPr>
              <w:pStyle w:val="Tabletext"/>
            </w:pPr>
            <w:r w:rsidRPr="0021454D">
              <w:rPr>
                <w:rFonts w:cs="Calibri"/>
              </w:rPr>
              <w:t>741,533</w:t>
            </w:r>
          </w:p>
        </w:tc>
        <w:tc>
          <w:tcPr>
            <w:tcW w:w="1162" w:type="dxa"/>
            <w:noWrap/>
          </w:tcPr>
          <w:p w14:paraId="11F53BEB" w14:textId="77777777" w:rsidR="009218F1" w:rsidRPr="0021454D" w:rsidDel="007E6304" w:rsidRDefault="009218F1" w:rsidP="001F4142">
            <w:pPr>
              <w:pStyle w:val="Tabletext"/>
            </w:pPr>
            <w:r w:rsidRPr="0021454D">
              <w:rPr>
                <w:rFonts w:cs="Calibri"/>
              </w:rPr>
              <w:t>751,914</w:t>
            </w:r>
          </w:p>
        </w:tc>
        <w:tc>
          <w:tcPr>
            <w:tcW w:w="1163" w:type="dxa"/>
            <w:noWrap/>
          </w:tcPr>
          <w:p w14:paraId="08085248" w14:textId="77777777" w:rsidR="009218F1" w:rsidRPr="0021454D" w:rsidDel="007E6304" w:rsidRDefault="009218F1" w:rsidP="001F4142">
            <w:pPr>
              <w:pStyle w:val="Tabletext"/>
            </w:pPr>
            <w:r w:rsidRPr="0021454D">
              <w:rPr>
                <w:rFonts w:cs="Calibri"/>
              </w:rPr>
              <w:t>762,441</w:t>
            </w:r>
          </w:p>
        </w:tc>
      </w:tr>
      <w:tr w:rsidR="009218F1" w:rsidRPr="0021454D" w:rsidDel="007E6304" w14:paraId="62C3BE9C" w14:textId="77777777" w:rsidTr="001F4142">
        <w:trPr>
          <w:trHeight w:val="20"/>
        </w:trPr>
        <w:tc>
          <w:tcPr>
            <w:tcW w:w="3397" w:type="dxa"/>
            <w:noWrap/>
          </w:tcPr>
          <w:p w14:paraId="12D7864D" w14:textId="77777777" w:rsidR="009218F1" w:rsidRPr="0021454D" w:rsidRDefault="009218F1" w:rsidP="001F4142">
            <w:pPr>
              <w:pStyle w:val="Tabletext"/>
              <w:rPr>
                <w:noProof/>
              </w:rPr>
            </w:pPr>
            <w:r w:rsidRPr="0021454D">
              <w:rPr>
                <w:color w:val="000000"/>
              </w:rPr>
              <w:t>Corneal removal surgery (10%)</w:t>
            </w:r>
          </w:p>
        </w:tc>
        <w:tc>
          <w:tcPr>
            <w:tcW w:w="1021" w:type="dxa"/>
            <w:noWrap/>
          </w:tcPr>
          <w:p w14:paraId="7147E05B" w14:textId="77777777" w:rsidR="009218F1" w:rsidRPr="0021454D" w:rsidDel="007E6304" w:rsidRDefault="009218F1" w:rsidP="001F4142">
            <w:pPr>
              <w:pStyle w:val="Tabletext"/>
            </w:pPr>
            <w:r w:rsidRPr="0021454D">
              <w:rPr>
                <w:rFonts w:cs="Calibri"/>
              </w:rPr>
              <w:t>712,162</w:t>
            </w:r>
          </w:p>
        </w:tc>
        <w:tc>
          <w:tcPr>
            <w:tcW w:w="1162" w:type="dxa"/>
            <w:noWrap/>
          </w:tcPr>
          <w:p w14:paraId="6D76FF96" w14:textId="77777777" w:rsidR="009218F1" w:rsidRPr="0021454D" w:rsidDel="007E6304" w:rsidRDefault="009218F1" w:rsidP="001F4142">
            <w:pPr>
              <w:pStyle w:val="Tabletext"/>
            </w:pPr>
            <w:r w:rsidRPr="0021454D">
              <w:rPr>
                <w:rFonts w:cs="Calibri"/>
              </w:rPr>
              <w:t>722,133</w:t>
            </w:r>
          </w:p>
        </w:tc>
        <w:tc>
          <w:tcPr>
            <w:tcW w:w="1162" w:type="dxa"/>
            <w:noWrap/>
          </w:tcPr>
          <w:p w14:paraId="09381981" w14:textId="77777777" w:rsidR="009218F1" w:rsidRPr="0021454D" w:rsidDel="007E6304" w:rsidRDefault="009218F1" w:rsidP="001F4142">
            <w:pPr>
              <w:pStyle w:val="Tabletext"/>
            </w:pPr>
            <w:r w:rsidRPr="0021454D">
              <w:rPr>
                <w:rFonts w:cs="Calibri"/>
              </w:rPr>
              <w:t>732,242</w:t>
            </w:r>
          </w:p>
        </w:tc>
        <w:tc>
          <w:tcPr>
            <w:tcW w:w="1162" w:type="dxa"/>
            <w:noWrap/>
          </w:tcPr>
          <w:p w14:paraId="48370EA7" w14:textId="77777777" w:rsidR="009218F1" w:rsidRPr="0021454D" w:rsidDel="007E6304" w:rsidRDefault="009218F1" w:rsidP="001F4142">
            <w:pPr>
              <w:pStyle w:val="Tabletext"/>
            </w:pPr>
            <w:r w:rsidRPr="0021454D">
              <w:rPr>
                <w:rFonts w:cs="Calibri"/>
              </w:rPr>
              <w:t>742,494</w:t>
            </w:r>
          </w:p>
        </w:tc>
        <w:tc>
          <w:tcPr>
            <w:tcW w:w="1163" w:type="dxa"/>
            <w:noWrap/>
          </w:tcPr>
          <w:p w14:paraId="0339FDA1" w14:textId="77777777" w:rsidR="009218F1" w:rsidRPr="0021454D" w:rsidDel="007E6304" w:rsidRDefault="009218F1" w:rsidP="001F4142">
            <w:pPr>
              <w:pStyle w:val="Tabletext"/>
            </w:pPr>
            <w:r w:rsidRPr="0021454D">
              <w:rPr>
                <w:rFonts w:cs="Calibri"/>
              </w:rPr>
              <w:t>752,889</w:t>
            </w:r>
          </w:p>
        </w:tc>
      </w:tr>
      <w:tr w:rsidR="009218F1" w:rsidRPr="0021454D" w:rsidDel="007E6304" w14:paraId="2BC9FF41" w14:textId="77777777" w:rsidTr="001F4142">
        <w:trPr>
          <w:trHeight w:val="20"/>
        </w:trPr>
        <w:tc>
          <w:tcPr>
            <w:tcW w:w="3397" w:type="dxa"/>
            <w:noWrap/>
          </w:tcPr>
          <w:p w14:paraId="0A745E90" w14:textId="77777777" w:rsidR="009218F1" w:rsidRPr="0021454D" w:rsidRDefault="009218F1" w:rsidP="001F4142">
            <w:pPr>
              <w:pStyle w:val="Tabletext"/>
              <w:rPr>
                <w:noProof/>
              </w:rPr>
            </w:pPr>
            <w:r w:rsidRPr="0021454D">
              <w:rPr>
                <w:color w:val="000000"/>
              </w:rPr>
              <w:t>Refractory ophthalmic wound (10%)</w:t>
            </w:r>
          </w:p>
        </w:tc>
        <w:tc>
          <w:tcPr>
            <w:tcW w:w="1021" w:type="dxa"/>
            <w:noWrap/>
          </w:tcPr>
          <w:p w14:paraId="2D5C7668" w14:textId="77777777" w:rsidR="009218F1" w:rsidRPr="0021454D" w:rsidDel="007E6304" w:rsidRDefault="009218F1" w:rsidP="001F4142">
            <w:pPr>
              <w:pStyle w:val="Tabletext"/>
            </w:pPr>
            <w:r w:rsidRPr="0021454D">
              <w:rPr>
                <w:rFonts w:cs="Calibri"/>
              </w:rPr>
              <w:t>683,211</w:t>
            </w:r>
          </w:p>
        </w:tc>
        <w:tc>
          <w:tcPr>
            <w:tcW w:w="1162" w:type="dxa"/>
            <w:noWrap/>
          </w:tcPr>
          <w:p w14:paraId="4F37412E" w14:textId="77777777" w:rsidR="009218F1" w:rsidRPr="0021454D" w:rsidDel="007E6304" w:rsidRDefault="009218F1" w:rsidP="001F4142">
            <w:pPr>
              <w:pStyle w:val="Tabletext"/>
            </w:pPr>
            <w:r w:rsidRPr="0021454D">
              <w:rPr>
                <w:rFonts w:cs="Calibri"/>
              </w:rPr>
              <w:t>692,776</w:t>
            </w:r>
          </w:p>
        </w:tc>
        <w:tc>
          <w:tcPr>
            <w:tcW w:w="1162" w:type="dxa"/>
            <w:noWrap/>
          </w:tcPr>
          <w:p w14:paraId="15CC73E8" w14:textId="77777777" w:rsidR="009218F1" w:rsidRPr="0021454D" w:rsidDel="007E6304" w:rsidRDefault="009218F1" w:rsidP="001F4142">
            <w:pPr>
              <w:pStyle w:val="Tabletext"/>
            </w:pPr>
            <w:r w:rsidRPr="0021454D">
              <w:rPr>
                <w:rFonts w:cs="Calibri"/>
              </w:rPr>
              <w:t>702,475</w:t>
            </w:r>
          </w:p>
        </w:tc>
        <w:tc>
          <w:tcPr>
            <w:tcW w:w="1162" w:type="dxa"/>
            <w:noWrap/>
          </w:tcPr>
          <w:p w14:paraId="5F8737DD" w14:textId="77777777" w:rsidR="009218F1" w:rsidRPr="0021454D" w:rsidDel="007E6304" w:rsidRDefault="009218F1" w:rsidP="001F4142">
            <w:pPr>
              <w:pStyle w:val="Tabletext"/>
            </w:pPr>
            <w:r w:rsidRPr="0021454D">
              <w:rPr>
                <w:rFonts w:cs="Calibri"/>
              </w:rPr>
              <w:t>712,309</w:t>
            </w:r>
          </w:p>
        </w:tc>
        <w:tc>
          <w:tcPr>
            <w:tcW w:w="1163" w:type="dxa"/>
            <w:noWrap/>
          </w:tcPr>
          <w:p w14:paraId="6176F60B" w14:textId="77777777" w:rsidR="009218F1" w:rsidRPr="0021454D" w:rsidDel="007E6304" w:rsidRDefault="009218F1" w:rsidP="001F4142">
            <w:pPr>
              <w:pStyle w:val="Tabletext"/>
            </w:pPr>
            <w:r w:rsidRPr="0021454D">
              <w:rPr>
                <w:rFonts w:cs="Calibri"/>
              </w:rPr>
              <w:t>722,282</w:t>
            </w:r>
          </w:p>
        </w:tc>
      </w:tr>
      <w:tr w:rsidR="009218F1" w:rsidRPr="0021454D" w:rsidDel="007E6304" w14:paraId="39E48509" w14:textId="77777777" w:rsidTr="001F4142">
        <w:trPr>
          <w:trHeight w:val="20"/>
        </w:trPr>
        <w:tc>
          <w:tcPr>
            <w:tcW w:w="3397" w:type="dxa"/>
            <w:noWrap/>
          </w:tcPr>
          <w:p w14:paraId="7F5232BB" w14:textId="77777777" w:rsidR="009218F1" w:rsidRPr="0021454D" w:rsidRDefault="009218F1" w:rsidP="001F4142">
            <w:pPr>
              <w:pStyle w:val="Tabletext"/>
            </w:pPr>
            <w:r w:rsidRPr="0021454D">
              <w:rPr>
                <w:color w:val="000000"/>
              </w:rPr>
              <w:t>Venous insufficiency ulcers (2%)</w:t>
            </w:r>
          </w:p>
        </w:tc>
        <w:tc>
          <w:tcPr>
            <w:tcW w:w="1021" w:type="dxa"/>
            <w:noWrap/>
          </w:tcPr>
          <w:p w14:paraId="0F713323" w14:textId="77777777" w:rsidR="009218F1" w:rsidRPr="0021454D" w:rsidDel="007E6304" w:rsidRDefault="009218F1" w:rsidP="001F4142">
            <w:pPr>
              <w:pStyle w:val="Tabletext"/>
            </w:pPr>
            <w:r w:rsidRPr="0021454D">
              <w:rPr>
                <w:rFonts w:cs="Calibri"/>
              </w:rPr>
              <w:t>775,411</w:t>
            </w:r>
          </w:p>
        </w:tc>
        <w:tc>
          <w:tcPr>
            <w:tcW w:w="1162" w:type="dxa"/>
            <w:noWrap/>
          </w:tcPr>
          <w:p w14:paraId="04C37B4B" w14:textId="77777777" w:rsidR="009218F1" w:rsidRPr="0021454D" w:rsidDel="007E6304" w:rsidRDefault="009218F1" w:rsidP="001F4142">
            <w:pPr>
              <w:pStyle w:val="Tabletext"/>
            </w:pPr>
            <w:r w:rsidRPr="0021454D">
              <w:rPr>
                <w:rFonts w:cs="Calibri"/>
              </w:rPr>
              <w:t>786,267</w:t>
            </w:r>
          </w:p>
        </w:tc>
        <w:tc>
          <w:tcPr>
            <w:tcW w:w="1162" w:type="dxa"/>
            <w:noWrap/>
          </w:tcPr>
          <w:p w14:paraId="5A5D9ADA" w14:textId="77777777" w:rsidR="009218F1" w:rsidRPr="0021454D" w:rsidDel="007E6304" w:rsidRDefault="009218F1" w:rsidP="001F4142">
            <w:pPr>
              <w:pStyle w:val="Tabletext"/>
            </w:pPr>
            <w:r w:rsidRPr="0021454D">
              <w:rPr>
                <w:rFonts w:cs="Calibri"/>
              </w:rPr>
              <w:t>797,275</w:t>
            </w:r>
          </w:p>
        </w:tc>
        <w:tc>
          <w:tcPr>
            <w:tcW w:w="1162" w:type="dxa"/>
            <w:noWrap/>
          </w:tcPr>
          <w:p w14:paraId="540A7649" w14:textId="77777777" w:rsidR="009218F1" w:rsidRPr="0021454D" w:rsidDel="007E6304" w:rsidRDefault="009218F1" w:rsidP="001F4142">
            <w:pPr>
              <w:pStyle w:val="Tabletext"/>
            </w:pPr>
            <w:r w:rsidRPr="0021454D">
              <w:rPr>
                <w:rFonts w:cs="Calibri"/>
              </w:rPr>
              <w:t>808,437</w:t>
            </w:r>
          </w:p>
        </w:tc>
        <w:tc>
          <w:tcPr>
            <w:tcW w:w="1163" w:type="dxa"/>
            <w:noWrap/>
          </w:tcPr>
          <w:p w14:paraId="3068A73C" w14:textId="77777777" w:rsidR="009218F1" w:rsidRPr="0021454D" w:rsidDel="007E6304" w:rsidRDefault="009218F1" w:rsidP="001F4142">
            <w:pPr>
              <w:pStyle w:val="Tabletext"/>
            </w:pPr>
            <w:r w:rsidRPr="0021454D">
              <w:rPr>
                <w:rFonts w:cs="Calibri"/>
              </w:rPr>
              <w:t>819,755</w:t>
            </w:r>
          </w:p>
        </w:tc>
      </w:tr>
      <w:tr w:rsidR="009218F1" w:rsidRPr="0021454D" w14:paraId="6C74CF51" w14:textId="77777777" w:rsidTr="001F4142">
        <w:trPr>
          <w:trHeight w:val="20"/>
        </w:trPr>
        <w:tc>
          <w:tcPr>
            <w:tcW w:w="3397" w:type="dxa"/>
            <w:noWrap/>
          </w:tcPr>
          <w:p w14:paraId="0ED074C0" w14:textId="77777777" w:rsidR="009218F1" w:rsidRPr="0021454D" w:rsidRDefault="009218F1" w:rsidP="001F4142">
            <w:pPr>
              <w:pStyle w:val="Tabletext"/>
            </w:pPr>
            <w:r w:rsidRPr="0021454D">
              <w:rPr>
                <w:color w:val="000000"/>
              </w:rPr>
              <w:t>Arterial insufficiency ulcers (2%)</w:t>
            </w:r>
          </w:p>
        </w:tc>
        <w:tc>
          <w:tcPr>
            <w:tcW w:w="1021" w:type="dxa"/>
            <w:noWrap/>
          </w:tcPr>
          <w:p w14:paraId="6E1BB25A" w14:textId="77777777" w:rsidR="009218F1" w:rsidRPr="0021454D" w:rsidRDefault="009218F1" w:rsidP="001F4142">
            <w:pPr>
              <w:pStyle w:val="Tabletext"/>
            </w:pPr>
            <w:r w:rsidRPr="0021454D">
              <w:rPr>
                <w:rFonts w:cs="Calibri"/>
              </w:rPr>
              <w:t>676,623</w:t>
            </w:r>
          </w:p>
        </w:tc>
        <w:tc>
          <w:tcPr>
            <w:tcW w:w="1162" w:type="dxa"/>
            <w:noWrap/>
          </w:tcPr>
          <w:p w14:paraId="37962746" w14:textId="77777777" w:rsidR="009218F1" w:rsidRPr="0021454D" w:rsidRDefault="009218F1" w:rsidP="001F4142">
            <w:pPr>
              <w:pStyle w:val="Tabletext"/>
            </w:pPr>
            <w:r w:rsidRPr="0021454D">
              <w:rPr>
                <w:rFonts w:cs="Calibri"/>
              </w:rPr>
              <w:t>686,095</w:t>
            </w:r>
          </w:p>
        </w:tc>
        <w:tc>
          <w:tcPr>
            <w:tcW w:w="1162" w:type="dxa"/>
            <w:noWrap/>
          </w:tcPr>
          <w:p w14:paraId="166D7695" w14:textId="77777777" w:rsidR="009218F1" w:rsidRPr="0021454D" w:rsidRDefault="009218F1" w:rsidP="001F4142">
            <w:pPr>
              <w:pStyle w:val="Tabletext"/>
            </w:pPr>
            <w:r w:rsidRPr="0021454D">
              <w:rPr>
                <w:rFonts w:cs="Calibri"/>
              </w:rPr>
              <w:t>695,701</w:t>
            </w:r>
          </w:p>
        </w:tc>
        <w:tc>
          <w:tcPr>
            <w:tcW w:w="1162" w:type="dxa"/>
            <w:noWrap/>
          </w:tcPr>
          <w:p w14:paraId="006AF6EB" w14:textId="77777777" w:rsidR="009218F1" w:rsidRPr="0021454D" w:rsidRDefault="009218F1" w:rsidP="001F4142">
            <w:pPr>
              <w:pStyle w:val="Tabletext"/>
            </w:pPr>
            <w:r w:rsidRPr="0021454D">
              <w:rPr>
                <w:rFonts w:cs="Calibri"/>
              </w:rPr>
              <w:t>705,440</w:t>
            </w:r>
          </w:p>
        </w:tc>
        <w:tc>
          <w:tcPr>
            <w:tcW w:w="1163" w:type="dxa"/>
            <w:noWrap/>
          </w:tcPr>
          <w:p w14:paraId="228F3F1C" w14:textId="77777777" w:rsidR="009218F1" w:rsidRPr="0021454D" w:rsidRDefault="009218F1" w:rsidP="001F4142">
            <w:pPr>
              <w:pStyle w:val="Tabletext"/>
            </w:pPr>
            <w:r w:rsidRPr="0021454D">
              <w:rPr>
                <w:rFonts w:cs="Calibri"/>
              </w:rPr>
              <w:t>715,317</w:t>
            </w:r>
          </w:p>
        </w:tc>
      </w:tr>
      <w:tr w:rsidR="009218F1" w:rsidRPr="0021454D" w14:paraId="0B0637BB" w14:textId="77777777" w:rsidTr="001F4142">
        <w:trPr>
          <w:trHeight w:val="20"/>
        </w:trPr>
        <w:tc>
          <w:tcPr>
            <w:tcW w:w="3397" w:type="dxa"/>
            <w:noWrap/>
          </w:tcPr>
          <w:p w14:paraId="584239F8" w14:textId="77777777" w:rsidR="009218F1" w:rsidRPr="0021454D" w:rsidRDefault="009218F1" w:rsidP="001F4142">
            <w:pPr>
              <w:pStyle w:val="Tabletext"/>
            </w:pPr>
            <w:r w:rsidRPr="0021454D">
              <w:rPr>
                <w:color w:val="000000"/>
              </w:rPr>
              <w:t>DFU (5%)</w:t>
            </w:r>
          </w:p>
        </w:tc>
        <w:tc>
          <w:tcPr>
            <w:tcW w:w="1021" w:type="dxa"/>
            <w:noWrap/>
          </w:tcPr>
          <w:p w14:paraId="7FB6B1BC" w14:textId="77777777" w:rsidR="009218F1" w:rsidRPr="0021454D" w:rsidRDefault="009218F1" w:rsidP="001F4142">
            <w:pPr>
              <w:pStyle w:val="Tabletext"/>
            </w:pPr>
            <w:r w:rsidRPr="0021454D">
              <w:rPr>
                <w:rFonts w:cs="Calibri"/>
              </w:rPr>
              <w:t>742,281</w:t>
            </w:r>
          </w:p>
        </w:tc>
        <w:tc>
          <w:tcPr>
            <w:tcW w:w="1162" w:type="dxa"/>
            <w:noWrap/>
          </w:tcPr>
          <w:p w14:paraId="1ECD86EA" w14:textId="77777777" w:rsidR="009218F1" w:rsidRPr="0021454D" w:rsidRDefault="009218F1" w:rsidP="001F4142">
            <w:pPr>
              <w:pStyle w:val="Tabletext"/>
            </w:pPr>
            <w:r w:rsidRPr="0021454D">
              <w:rPr>
                <w:rFonts w:cs="Calibri"/>
              </w:rPr>
              <w:t>752,673</w:t>
            </w:r>
          </w:p>
        </w:tc>
        <w:tc>
          <w:tcPr>
            <w:tcW w:w="1162" w:type="dxa"/>
            <w:noWrap/>
          </w:tcPr>
          <w:p w14:paraId="4DBD7E2C" w14:textId="77777777" w:rsidR="009218F1" w:rsidRPr="0021454D" w:rsidRDefault="009218F1" w:rsidP="001F4142">
            <w:pPr>
              <w:pStyle w:val="Tabletext"/>
            </w:pPr>
            <w:r w:rsidRPr="0021454D">
              <w:rPr>
                <w:rFonts w:cs="Calibri"/>
              </w:rPr>
              <w:t>763,210</w:t>
            </w:r>
          </w:p>
        </w:tc>
        <w:tc>
          <w:tcPr>
            <w:tcW w:w="1162" w:type="dxa"/>
            <w:noWrap/>
          </w:tcPr>
          <w:p w14:paraId="799E3C8A" w14:textId="77777777" w:rsidR="009218F1" w:rsidRPr="0021454D" w:rsidRDefault="009218F1" w:rsidP="001F4142">
            <w:pPr>
              <w:pStyle w:val="Tabletext"/>
            </w:pPr>
            <w:r w:rsidRPr="0021454D">
              <w:rPr>
                <w:rFonts w:cs="Calibri"/>
              </w:rPr>
              <w:t>773,895</w:t>
            </w:r>
          </w:p>
        </w:tc>
        <w:tc>
          <w:tcPr>
            <w:tcW w:w="1163" w:type="dxa"/>
            <w:noWrap/>
          </w:tcPr>
          <w:p w14:paraId="4685832D" w14:textId="77777777" w:rsidR="009218F1" w:rsidRPr="0021454D" w:rsidRDefault="009218F1" w:rsidP="001F4142">
            <w:pPr>
              <w:pStyle w:val="Tabletext"/>
            </w:pPr>
            <w:r w:rsidRPr="0021454D">
              <w:rPr>
                <w:rFonts w:cs="Calibri"/>
              </w:rPr>
              <w:t>784,730</w:t>
            </w:r>
          </w:p>
        </w:tc>
      </w:tr>
      <w:tr w:rsidR="009218F1" w:rsidRPr="0021454D" w14:paraId="4D434778" w14:textId="77777777" w:rsidTr="001F4142">
        <w:trPr>
          <w:trHeight w:val="20"/>
        </w:trPr>
        <w:tc>
          <w:tcPr>
            <w:tcW w:w="3397" w:type="dxa"/>
            <w:noWrap/>
          </w:tcPr>
          <w:p w14:paraId="0894C75F" w14:textId="77777777" w:rsidR="009218F1" w:rsidRPr="0021454D" w:rsidRDefault="009218F1" w:rsidP="001F4142">
            <w:pPr>
              <w:pStyle w:val="Tabletext"/>
            </w:pPr>
            <w:r w:rsidRPr="0021454D">
              <w:rPr>
                <w:color w:val="000000"/>
              </w:rPr>
              <w:t>Burns dermal substitute (20%)</w:t>
            </w:r>
          </w:p>
        </w:tc>
        <w:tc>
          <w:tcPr>
            <w:tcW w:w="1021" w:type="dxa"/>
            <w:noWrap/>
          </w:tcPr>
          <w:p w14:paraId="4EB13119" w14:textId="77777777" w:rsidR="009218F1" w:rsidRPr="0021454D" w:rsidRDefault="009218F1" w:rsidP="001F4142">
            <w:pPr>
              <w:pStyle w:val="Tabletext"/>
            </w:pPr>
            <w:r w:rsidRPr="0021454D">
              <w:rPr>
                <w:rFonts w:cs="Calibri"/>
              </w:rPr>
              <w:t>689,219</w:t>
            </w:r>
          </w:p>
        </w:tc>
        <w:tc>
          <w:tcPr>
            <w:tcW w:w="1162" w:type="dxa"/>
            <w:noWrap/>
          </w:tcPr>
          <w:p w14:paraId="7EB55EA6" w14:textId="77777777" w:rsidR="009218F1" w:rsidRPr="0021454D" w:rsidRDefault="009218F1" w:rsidP="001F4142">
            <w:pPr>
              <w:pStyle w:val="Tabletext"/>
            </w:pPr>
            <w:r w:rsidRPr="0021454D">
              <w:rPr>
                <w:rFonts w:cs="Calibri"/>
              </w:rPr>
              <w:t>698,868</w:t>
            </w:r>
          </w:p>
        </w:tc>
        <w:tc>
          <w:tcPr>
            <w:tcW w:w="1162" w:type="dxa"/>
            <w:noWrap/>
          </w:tcPr>
          <w:p w14:paraId="0EFD0CF4" w14:textId="77777777" w:rsidR="009218F1" w:rsidRPr="0021454D" w:rsidRDefault="009218F1" w:rsidP="001F4142">
            <w:pPr>
              <w:pStyle w:val="Tabletext"/>
            </w:pPr>
            <w:r w:rsidRPr="0021454D">
              <w:rPr>
                <w:rFonts w:cs="Calibri"/>
              </w:rPr>
              <w:t>708,652</w:t>
            </w:r>
          </w:p>
        </w:tc>
        <w:tc>
          <w:tcPr>
            <w:tcW w:w="1162" w:type="dxa"/>
            <w:noWrap/>
          </w:tcPr>
          <w:p w14:paraId="1CE6AFDB" w14:textId="77777777" w:rsidR="009218F1" w:rsidRPr="0021454D" w:rsidRDefault="009218F1" w:rsidP="001F4142">
            <w:pPr>
              <w:pStyle w:val="Tabletext"/>
            </w:pPr>
            <w:r w:rsidRPr="0021454D">
              <w:rPr>
                <w:rFonts w:cs="Calibri"/>
              </w:rPr>
              <w:t>718,574</w:t>
            </w:r>
          </w:p>
        </w:tc>
        <w:tc>
          <w:tcPr>
            <w:tcW w:w="1163" w:type="dxa"/>
            <w:noWrap/>
          </w:tcPr>
          <w:p w14:paraId="58F51569" w14:textId="77777777" w:rsidR="009218F1" w:rsidRPr="0021454D" w:rsidRDefault="009218F1" w:rsidP="001F4142">
            <w:pPr>
              <w:pStyle w:val="Tabletext"/>
            </w:pPr>
            <w:r w:rsidRPr="0021454D">
              <w:rPr>
                <w:rFonts w:cs="Calibri"/>
              </w:rPr>
              <w:t>728,634</w:t>
            </w:r>
          </w:p>
        </w:tc>
      </w:tr>
      <w:tr w:rsidR="009218F1" w:rsidRPr="0021454D" w14:paraId="49E9CEE7" w14:textId="77777777" w:rsidTr="001F4142">
        <w:trPr>
          <w:trHeight w:val="20"/>
        </w:trPr>
        <w:tc>
          <w:tcPr>
            <w:tcW w:w="3397" w:type="dxa"/>
            <w:noWrap/>
          </w:tcPr>
          <w:p w14:paraId="291996C5" w14:textId="77777777" w:rsidR="009218F1" w:rsidRPr="0021454D" w:rsidRDefault="009218F1" w:rsidP="001F4142">
            <w:pPr>
              <w:pStyle w:val="Tabletext"/>
            </w:pPr>
            <w:r w:rsidRPr="0021454D">
              <w:rPr>
                <w:color w:val="000000"/>
              </w:rPr>
              <w:t>Graft donor site wound (20%)</w:t>
            </w:r>
          </w:p>
        </w:tc>
        <w:tc>
          <w:tcPr>
            <w:tcW w:w="1021" w:type="dxa"/>
            <w:noWrap/>
          </w:tcPr>
          <w:p w14:paraId="55B9C4AE" w14:textId="77777777" w:rsidR="009218F1" w:rsidRPr="0021454D" w:rsidRDefault="009218F1" w:rsidP="001F4142">
            <w:pPr>
              <w:pStyle w:val="Tabletext"/>
            </w:pPr>
            <w:r w:rsidRPr="0021454D">
              <w:rPr>
                <w:rFonts w:cs="Calibri"/>
              </w:rPr>
              <w:t>703,102</w:t>
            </w:r>
          </w:p>
        </w:tc>
        <w:tc>
          <w:tcPr>
            <w:tcW w:w="1162" w:type="dxa"/>
            <w:noWrap/>
          </w:tcPr>
          <w:p w14:paraId="52BB1B21" w14:textId="77777777" w:rsidR="009218F1" w:rsidRPr="0021454D" w:rsidRDefault="009218F1" w:rsidP="001F4142">
            <w:pPr>
              <w:pStyle w:val="Tabletext"/>
            </w:pPr>
            <w:r w:rsidRPr="0021454D">
              <w:rPr>
                <w:rFonts w:cs="Calibri"/>
              </w:rPr>
              <w:t>712,945</w:t>
            </w:r>
          </w:p>
        </w:tc>
        <w:tc>
          <w:tcPr>
            <w:tcW w:w="1162" w:type="dxa"/>
            <w:noWrap/>
          </w:tcPr>
          <w:p w14:paraId="6F0CAB9C" w14:textId="77777777" w:rsidR="009218F1" w:rsidRPr="0021454D" w:rsidRDefault="009218F1" w:rsidP="001F4142">
            <w:pPr>
              <w:pStyle w:val="Tabletext"/>
            </w:pPr>
            <w:r w:rsidRPr="0021454D">
              <w:rPr>
                <w:rFonts w:cs="Calibri"/>
              </w:rPr>
              <w:t>722,926</w:t>
            </w:r>
          </w:p>
        </w:tc>
        <w:tc>
          <w:tcPr>
            <w:tcW w:w="1162" w:type="dxa"/>
            <w:noWrap/>
          </w:tcPr>
          <w:p w14:paraId="54206BB8" w14:textId="77777777" w:rsidR="009218F1" w:rsidRPr="0021454D" w:rsidRDefault="009218F1" w:rsidP="001F4142">
            <w:pPr>
              <w:pStyle w:val="Tabletext"/>
            </w:pPr>
            <w:r w:rsidRPr="0021454D">
              <w:rPr>
                <w:rFonts w:cs="Calibri"/>
              </w:rPr>
              <w:t>733,047</w:t>
            </w:r>
          </w:p>
        </w:tc>
        <w:tc>
          <w:tcPr>
            <w:tcW w:w="1163" w:type="dxa"/>
            <w:noWrap/>
          </w:tcPr>
          <w:p w14:paraId="7AD148FB" w14:textId="77777777" w:rsidR="009218F1" w:rsidRPr="0021454D" w:rsidRDefault="009218F1" w:rsidP="001F4142">
            <w:pPr>
              <w:pStyle w:val="Tabletext"/>
            </w:pPr>
            <w:r w:rsidRPr="0021454D">
              <w:rPr>
                <w:rFonts w:cs="Calibri"/>
              </w:rPr>
              <w:t>743,310</w:t>
            </w:r>
          </w:p>
        </w:tc>
      </w:tr>
      <w:tr w:rsidR="009218F1" w:rsidRPr="0021454D" w:rsidDel="007E6304" w14:paraId="4D7A14F1" w14:textId="77777777" w:rsidTr="001F4142">
        <w:trPr>
          <w:trHeight w:val="20"/>
        </w:trPr>
        <w:tc>
          <w:tcPr>
            <w:tcW w:w="3397" w:type="dxa"/>
            <w:noWrap/>
          </w:tcPr>
          <w:p w14:paraId="29B3485D" w14:textId="77777777" w:rsidR="009218F1" w:rsidRPr="0021454D" w:rsidRDefault="009218F1" w:rsidP="001F4142">
            <w:pPr>
              <w:pStyle w:val="Tabletext"/>
            </w:pPr>
            <w:r w:rsidRPr="0021454D">
              <w:rPr>
                <w:color w:val="000000"/>
              </w:rPr>
              <w:t>Skin graft fixators (20%)</w:t>
            </w:r>
          </w:p>
        </w:tc>
        <w:tc>
          <w:tcPr>
            <w:tcW w:w="1021" w:type="dxa"/>
            <w:noWrap/>
          </w:tcPr>
          <w:p w14:paraId="5DEBE675" w14:textId="77777777" w:rsidR="009218F1" w:rsidRPr="0021454D" w:rsidDel="007E6304" w:rsidRDefault="009218F1" w:rsidP="001F4142">
            <w:pPr>
              <w:pStyle w:val="Tabletext"/>
            </w:pPr>
            <w:r w:rsidRPr="0021454D">
              <w:rPr>
                <w:rFonts w:cs="Calibri"/>
              </w:rPr>
              <w:t>703,102</w:t>
            </w:r>
          </w:p>
        </w:tc>
        <w:tc>
          <w:tcPr>
            <w:tcW w:w="1162" w:type="dxa"/>
            <w:noWrap/>
          </w:tcPr>
          <w:p w14:paraId="3DF50C11" w14:textId="77777777" w:rsidR="009218F1" w:rsidRPr="0021454D" w:rsidDel="007E6304" w:rsidRDefault="009218F1" w:rsidP="001F4142">
            <w:pPr>
              <w:pStyle w:val="Tabletext"/>
            </w:pPr>
            <w:r w:rsidRPr="0021454D">
              <w:rPr>
                <w:rFonts w:cs="Calibri"/>
              </w:rPr>
              <w:t>712,945</w:t>
            </w:r>
          </w:p>
        </w:tc>
        <w:tc>
          <w:tcPr>
            <w:tcW w:w="1162" w:type="dxa"/>
            <w:noWrap/>
          </w:tcPr>
          <w:p w14:paraId="7CDCC1C9" w14:textId="77777777" w:rsidR="009218F1" w:rsidRPr="0021454D" w:rsidDel="007E6304" w:rsidRDefault="009218F1" w:rsidP="001F4142">
            <w:pPr>
              <w:pStyle w:val="Tabletext"/>
            </w:pPr>
            <w:r w:rsidRPr="0021454D">
              <w:rPr>
                <w:rFonts w:cs="Calibri"/>
              </w:rPr>
              <w:t>722,926</w:t>
            </w:r>
          </w:p>
        </w:tc>
        <w:tc>
          <w:tcPr>
            <w:tcW w:w="1162" w:type="dxa"/>
            <w:noWrap/>
          </w:tcPr>
          <w:p w14:paraId="3C034583" w14:textId="77777777" w:rsidR="009218F1" w:rsidRPr="0021454D" w:rsidDel="007E6304" w:rsidRDefault="009218F1" w:rsidP="001F4142">
            <w:pPr>
              <w:pStyle w:val="Tabletext"/>
            </w:pPr>
            <w:r w:rsidRPr="0021454D">
              <w:rPr>
                <w:rFonts w:cs="Calibri"/>
              </w:rPr>
              <w:t>733,047</w:t>
            </w:r>
          </w:p>
        </w:tc>
        <w:tc>
          <w:tcPr>
            <w:tcW w:w="1163" w:type="dxa"/>
            <w:noWrap/>
          </w:tcPr>
          <w:p w14:paraId="648E986A" w14:textId="77777777" w:rsidR="009218F1" w:rsidRPr="0021454D" w:rsidDel="007E6304" w:rsidRDefault="009218F1" w:rsidP="001F4142">
            <w:pPr>
              <w:pStyle w:val="Tabletext"/>
            </w:pPr>
            <w:r w:rsidRPr="0021454D">
              <w:rPr>
                <w:rFonts w:cs="Calibri"/>
              </w:rPr>
              <w:t>743,310</w:t>
            </w:r>
          </w:p>
        </w:tc>
      </w:tr>
      <w:tr w:rsidR="009218F1" w:rsidRPr="0021454D" w14:paraId="507B8542" w14:textId="77777777" w:rsidTr="001F4142">
        <w:trPr>
          <w:trHeight w:val="20"/>
        </w:trPr>
        <w:tc>
          <w:tcPr>
            <w:tcW w:w="3397" w:type="dxa"/>
            <w:noWrap/>
          </w:tcPr>
          <w:p w14:paraId="5F8233BF" w14:textId="77777777" w:rsidR="009218F1" w:rsidRPr="0021454D" w:rsidRDefault="009218F1" w:rsidP="001F4142">
            <w:pPr>
              <w:pStyle w:val="Tabletext"/>
              <w:rPr>
                <w:b/>
                <w:bCs/>
                <w:noProof/>
              </w:rPr>
            </w:pPr>
            <w:r w:rsidRPr="0021454D">
              <w:rPr>
                <w:b/>
                <w:bCs/>
                <w:noProof/>
              </w:rPr>
              <w:t>Cost of AM</w:t>
            </w:r>
          </w:p>
        </w:tc>
        <w:tc>
          <w:tcPr>
            <w:tcW w:w="1021" w:type="dxa"/>
            <w:noWrap/>
          </w:tcPr>
          <w:p w14:paraId="21080A32" w14:textId="77777777" w:rsidR="009218F1" w:rsidRPr="0021454D" w:rsidRDefault="009218F1" w:rsidP="001F4142">
            <w:pPr>
              <w:pStyle w:val="Tabletext"/>
            </w:pPr>
            <w:r w:rsidRPr="0021454D">
              <w:rPr>
                <w:rFonts w:cs="Calibri"/>
              </w:rPr>
              <w:t> </w:t>
            </w:r>
          </w:p>
        </w:tc>
        <w:tc>
          <w:tcPr>
            <w:tcW w:w="1162" w:type="dxa"/>
            <w:noWrap/>
          </w:tcPr>
          <w:p w14:paraId="4C7BD18B" w14:textId="77777777" w:rsidR="009218F1" w:rsidRPr="0021454D" w:rsidRDefault="009218F1" w:rsidP="001F4142">
            <w:pPr>
              <w:pStyle w:val="Tabletext"/>
            </w:pPr>
            <w:r w:rsidRPr="0021454D">
              <w:rPr>
                <w:rFonts w:cs="Calibri"/>
              </w:rPr>
              <w:t> </w:t>
            </w:r>
          </w:p>
        </w:tc>
        <w:tc>
          <w:tcPr>
            <w:tcW w:w="1162" w:type="dxa"/>
            <w:noWrap/>
          </w:tcPr>
          <w:p w14:paraId="45228FDF" w14:textId="77777777" w:rsidR="009218F1" w:rsidRPr="0021454D" w:rsidRDefault="009218F1" w:rsidP="001F4142">
            <w:pPr>
              <w:pStyle w:val="Tabletext"/>
            </w:pPr>
            <w:r w:rsidRPr="0021454D">
              <w:rPr>
                <w:rFonts w:cs="Calibri"/>
              </w:rPr>
              <w:t> </w:t>
            </w:r>
          </w:p>
        </w:tc>
        <w:tc>
          <w:tcPr>
            <w:tcW w:w="1162" w:type="dxa"/>
            <w:noWrap/>
          </w:tcPr>
          <w:p w14:paraId="59F637B3" w14:textId="77777777" w:rsidR="009218F1" w:rsidRPr="0021454D" w:rsidRDefault="009218F1" w:rsidP="001F4142">
            <w:pPr>
              <w:pStyle w:val="Tabletext"/>
            </w:pPr>
            <w:r w:rsidRPr="0021454D">
              <w:rPr>
                <w:rFonts w:cs="Calibri"/>
              </w:rPr>
              <w:t> </w:t>
            </w:r>
          </w:p>
        </w:tc>
        <w:tc>
          <w:tcPr>
            <w:tcW w:w="1163" w:type="dxa"/>
            <w:noWrap/>
          </w:tcPr>
          <w:p w14:paraId="55C3B820" w14:textId="77777777" w:rsidR="009218F1" w:rsidRPr="0021454D" w:rsidRDefault="009218F1" w:rsidP="001F4142">
            <w:pPr>
              <w:pStyle w:val="Tabletext"/>
            </w:pPr>
            <w:r w:rsidRPr="0021454D">
              <w:rPr>
                <w:rFonts w:cs="Calibri"/>
              </w:rPr>
              <w:t> </w:t>
            </w:r>
          </w:p>
        </w:tc>
      </w:tr>
      <w:tr w:rsidR="009218F1" w:rsidRPr="0021454D" w:rsidDel="007E6304" w14:paraId="58A7713E" w14:textId="77777777" w:rsidTr="001F4142">
        <w:trPr>
          <w:trHeight w:val="20"/>
        </w:trPr>
        <w:tc>
          <w:tcPr>
            <w:tcW w:w="3397" w:type="dxa"/>
            <w:noWrap/>
          </w:tcPr>
          <w:p w14:paraId="2DB40274" w14:textId="77777777" w:rsidR="009218F1" w:rsidRPr="0021454D" w:rsidRDefault="009218F1" w:rsidP="001F4142">
            <w:pPr>
              <w:pStyle w:val="Tabletext"/>
              <w:rPr>
                <w:noProof/>
              </w:rPr>
            </w:pPr>
            <w:r w:rsidRPr="0021454D">
              <w:rPr>
                <w:noProof/>
              </w:rPr>
              <w:t>Epifix</w:t>
            </w:r>
          </w:p>
        </w:tc>
        <w:tc>
          <w:tcPr>
            <w:tcW w:w="1021" w:type="dxa"/>
            <w:noWrap/>
          </w:tcPr>
          <w:p w14:paraId="6DCEEEEF" w14:textId="77777777" w:rsidR="009218F1" w:rsidRPr="0021454D" w:rsidDel="007E6304" w:rsidRDefault="009218F1" w:rsidP="001F4142">
            <w:pPr>
              <w:pStyle w:val="Tabletext"/>
            </w:pPr>
            <w:r w:rsidRPr="0021454D">
              <w:rPr>
                <w:rFonts w:cs="Calibri"/>
              </w:rPr>
              <w:t>4,071,321</w:t>
            </w:r>
          </w:p>
        </w:tc>
        <w:tc>
          <w:tcPr>
            <w:tcW w:w="1162" w:type="dxa"/>
            <w:noWrap/>
          </w:tcPr>
          <w:p w14:paraId="36B13C03" w14:textId="77777777" w:rsidR="009218F1" w:rsidRPr="0021454D" w:rsidDel="007E6304" w:rsidRDefault="009218F1" w:rsidP="001F4142">
            <w:pPr>
              <w:pStyle w:val="Tabletext"/>
            </w:pPr>
            <w:r w:rsidRPr="0021454D">
              <w:rPr>
                <w:rFonts w:cs="Calibri"/>
              </w:rPr>
              <w:t>4,128,319</w:t>
            </w:r>
          </w:p>
        </w:tc>
        <w:tc>
          <w:tcPr>
            <w:tcW w:w="1162" w:type="dxa"/>
            <w:noWrap/>
          </w:tcPr>
          <w:p w14:paraId="48581C3A" w14:textId="77777777" w:rsidR="009218F1" w:rsidRPr="0021454D" w:rsidDel="007E6304" w:rsidRDefault="009218F1" w:rsidP="001F4142">
            <w:pPr>
              <w:pStyle w:val="Tabletext"/>
            </w:pPr>
            <w:r w:rsidRPr="0021454D">
              <w:rPr>
                <w:rFonts w:cs="Calibri"/>
              </w:rPr>
              <w:t>4,186,115</w:t>
            </w:r>
          </w:p>
        </w:tc>
        <w:tc>
          <w:tcPr>
            <w:tcW w:w="1162" w:type="dxa"/>
            <w:noWrap/>
          </w:tcPr>
          <w:p w14:paraId="773FAE70" w14:textId="77777777" w:rsidR="009218F1" w:rsidRPr="0021454D" w:rsidDel="007E6304" w:rsidRDefault="009218F1" w:rsidP="001F4142">
            <w:pPr>
              <w:pStyle w:val="Tabletext"/>
            </w:pPr>
            <w:r w:rsidRPr="0021454D">
              <w:rPr>
                <w:rFonts w:cs="Calibri"/>
              </w:rPr>
              <w:t>4,244,721</w:t>
            </w:r>
          </w:p>
        </w:tc>
        <w:tc>
          <w:tcPr>
            <w:tcW w:w="1163" w:type="dxa"/>
            <w:noWrap/>
          </w:tcPr>
          <w:p w14:paraId="611408EE" w14:textId="77777777" w:rsidR="009218F1" w:rsidRPr="0021454D" w:rsidDel="007E6304" w:rsidRDefault="009218F1" w:rsidP="001F4142">
            <w:pPr>
              <w:pStyle w:val="Tabletext"/>
            </w:pPr>
            <w:r w:rsidRPr="0021454D">
              <w:rPr>
                <w:rFonts w:cs="Calibri"/>
              </w:rPr>
              <w:t>4,304,147</w:t>
            </w:r>
          </w:p>
        </w:tc>
      </w:tr>
      <w:tr w:rsidR="009218F1" w:rsidRPr="0021454D" w:rsidDel="007E6304" w14:paraId="1FA267A6" w14:textId="77777777" w:rsidTr="001F4142">
        <w:trPr>
          <w:trHeight w:val="20"/>
        </w:trPr>
        <w:tc>
          <w:tcPr>
            <w:tcW w:w="3397" w:type="dxa"/>
            <w:noWrap/>
          </w:tcPr>
          <w:p w14:paraId="2AB04F1C" w14:textId="77777777" w:rsidR="009218F1" w:rsidRPr="0021454D" w:rsidRDefault="009218F1" w:rsidP="001F4142">
            <w:pPr>
              <w:pStyle w:val="Tabletext"/>
              <w:rPr>
                <w:noProof/>
              </w:rPr>
            </w:pPr>
            <w:r w:rsidRPr="0021454D">
              <w:rPr>
                <w:noProof/>
              </w:rPr>
              <w:t>Bigger wound</w:t>
            </w:r>
          </w:p>
        </w:tc>
        <w:tc>
          <w:tcPr>
            <w:tcW w:w="1021" w:type="dxa"/>
            <w:noWrap/>
          </w:tcPr>
          <w:p w14:paraId="48D7BB1D" w14:textId="77777777" w:rsidR="009218F1" w:rsidRPr="0021454D" w:rsidDel="007E6304" w:rsidRDefault="009218F1" w:rsidP="001F4142">
            <w:pPr>
              <w:pStyle w:val="Tabletext"/>
            </w:pPr>
            <w:r w:rsidRPr="0021454D">
              <w:rPr>
                <w:rFonts w:cs="Calibri"/>
              </w:rPr>
              <w:t>1,518,069</w:t>
            </w:r>
          </w:p>
        </w:tc>
        <w:tc>
          <w:tcPr>
            <w:tcW w:w="1162" w:type="dxa"/>
            <w:noWrap/>
          </w:tcPr>
          <w:p w14:paraId="17322E7D" w14:textId="77777777" w:rsidR="009218F1" w:rsidRPr="0021454D" w:rsidDel="007E6304" w:rsidRDefault="009218F1" w:rsidP="001F4142">
            <w:pPr>
              <w:pStyle w:val="Tabletext"/>
            </w:pPr>
            <w:r w:rsidRPr="0021454D">
              <w:rPr>
                <w:rFonts w:cs="Calibri"/>
              </w:rPr>
              <w:t>1,539,322</w:t>
            </w:r>
          </w:p>
        </w:tc>
        <w:tc>
          <w:tcPr>
            <w:tcW w:w="1162" w:type="dxa"/>
            <w:noWrap/>
          </w:tcPr>
          <w:p w14:paraId="7B2E3AE9" w14:textId="77777777" w:rsidR="009218F1" w:rsidRPr="0021454D" w:rsidDel="007E6304" w:rsidRDefault="009218F1" w:rsidP="001F4142">
            <w:pPr>
              <w:pStyle w:val="Tabletext"/>
            </w:pPr>
            <w:r w:rsidRPr="0021454D">
              <w:rPr>
                <w:rFonts w:cs="Calibri"/>
              </w:rPr>
              <w:t>1,560,872</w:t>
            </w:r>
          </w:p>
        </w:tc>
        <w:tc>
          <w:tcPr>
            <w:tcW w:w="1162" w:type="dxa"/>
            <w:noWrap/>
          </w:tcPr>
          <w:p w14:paraId="3797041E" w14:textId="77777777" w:rsidR="009218F1" w:rsidRPr="0021454D" w:rsidDel="007E6304" w:rsidRDefault="009218F1" w:rsidP="001F4142">
            <w:pPr>
              <w:pStyle w:val="Tabletext"/>
            </w:pPr>
            <w:r w:rsidRPr="0021454D">
              <w:rPr>
                <w:rFonts w:cs="Calibri"/>
              </w:rPr>
              <w:t>1,582,724</w:t>
            </w:r>
          </w:p>
        </w:tc>
        <w:tc>
          <w:tcPr>
            <w:tcW w:w="1163" w:type="dxa"/>
            <w:noWrap/>
          </w:tcPr>
          <w:p w14:paraId="3785B5F6" w14:textId="77777777" w:rsidR="009218F1" w:rsidRPr="0021454D" w:rsidDel="007E6304" w:rsidRDefault="009218F1" w:rsidP="001F4142">
            <w:pPr>
              <w:pStyle w:val="Tabletext"/>
            </w:pPr>
            <w:r w:rsidRPr="0021454D">
              <w:rPr>
                <w:rFonts w:cs="Calibri"/>
              </w:rPr>
              <w:t>1,604,882</w:t>
            </w:r>
          </w:p>
        </w:tc>
      </w:tr>
      <w:tr w:rsidR="009218F1" w:rsidRPr="0021454D" w:rsidDel="007E6304" w14:paraId="60541CBF" w14:textId="77777777" w:rsidTr="001F4142">
        <w:trPr>
          <w:trHeight w:val="20"/>
        </w:trPr>
        <w:tc>
          <w:tcPr>
            <w:tcW w:w="3397" w:type="dxa"/>
            <w:noWrap/>
          </w:tcPr>
          <w:p w14:paraId="346F1782" w14:textId="77777777" w:rsidR="009218F1" w:rsidRPr="0021454D" w:rsidRDefault="009218F1" w:rsidP="001F4142">
            <w:pPr>
              <w:pStyle w:val="Tabletext"/>
              <w:rPr>
                <w:b/>
                <w:bCs/>
                <w:noProof/>
              </w:rPr>
            </w:pPr>
            <w:r w:rsidRPr="0021454D">
              <w:rPr>
                <w:b/>
                <w:bCs/>
                <w:noProof/>
              </w:rPr>
              <w:t>Grafts per wound</w:t>
            </w:r>
          </w:p>
        </w:tc>
        <w:tc>
          <w:tcPr>
            <w:tcW w:w="1021" w:type="dxa"/>
            <w:noWrap/>
          </w:tcPr>
          <w:p w14:paraId="24E5A5A7" w14:textId="77777777" w:rsidR="009218F1" w:rsidRPr="0021454D" w:rsidDel="007E6304" w:rsidRDefault="009218F1" w:rsidP="001F4142">
            <w:pPr>
              <w:pStyle w:val="Tabletext"/>
              <w:rPr>
                <w:b/>
                <w:bCs/>
              </w:rPr>
            </w:pPr>
            <w:r w:rsidRPr="0021454D">
              <w:rPr>
                <w:rFonts w:cs="Calibri"/>
              </w:rPr>
              <w:t> </w:t>
            </w:r>
          </w:p>
        </w:tc>
        <w:tc>
          <w:tcPr>
            <w:tcW w:w="1162" w:type="dxa"/>
            <w:noWrap/>
          </w:tcPr>
          <w:p w14:paraId="1910BFD4" w14:textId="77777777" w:rsidR="009218F1" w:rsidRPr="0021454D" w:rsidDel="007E6304" w:rsidRDefault="009218F1" w:rsidP="001F4142">
            <w:pPr>
              <w:pStyle w:val="Tabletext"/>
              <w:rPr>
                <w:b/>
                <w:bCs/>
              </w:rPr>
            </w:pPr>
            <w:r w:rsidRPr="0021454D">
              <w:rPr>
                <w:rFonts w:cs="Calibri"/>
              </w:rPr>
              <w:t> </w:t>
            </w:r>
          </w:p>
        </w:tc>
        <w:tc>
          <w:tcPr>
            <w:tcW w:w="1162" w:type="dxa"/>
            <w:noWrap/>
          </w:tcPr>
          <w:p w14:paraId="329BD86C" w14:textId="77777777" w:rsidR="009218F1" w:rsidRPr="0021454D" w:rsidDel="007E6304" w:rsidRDefault="009218F1" w:rsidP="001F4142">
            <w:pPr>
              <w:pStyle w:val="Tabletext"/>
              <w:rPr>
                <w:b/>
                <w:bCs/>
              </w:rPr>
            </w:pPr>
            <w:r w:rsidRPr="0021454D">
              <w:rPr>
                <w:rFonts w:cs="Calibri"/>
              </w:rPr>
              <w:t> </w:t>
            </w:r>
          </w:p>
        </w:tc>
        <w:tc>
          <w:tcPr>
            <w:tcW w:w="1162" w:type="dxa"/>
            <w:noWrap/>
          </w:tcPr>
          <w:p w14:paraId="1FCA67C0" w14:textId="77777777" w:rsidR="009218F1" w:rsidRPr="0021454D" w:rsidDel="007E6304" w:rsidRDefault="009218F1" w:rsidP="001F4142">
            <w:pPr>
              <w:pStyle w:val="Tabletext"/>
              <w:rPr>
                <w:b/>
                <w:bCs/>
              </w:rPr>
            </w:pPr>
            <w:r w:rsidRPr="0021454D">
              <w:rPr>
                <w:rFonts w:cs="Calibri"/>
              </w:rPr>
              <w:t> </w:t>
            </w:r>
          </w:p>
        </w:tc>
        <w:tc>
          <w:tcPr>
            <w:tcW w:w="1163" w:type="dxa"/>
            <w:noWrap/>
          </w:tcPr>
          <w:p w14:paraId="32FAF34A" w14:textId="77777777" w:rsidR="009218F1" w:rsidRPr="0021454D" w:rsidDel="007E6304" w:rsidRDefault="009218F1" w:rsidP="001F4142">
            <w:pPr>
              <w:pStyle w:val="Tabletext"/>
              <w:rPr>
                <w:b/>
                <w:bCs/>
              </w:rPr>
            </w:pPr>
            <w:r w:rsidRPr="0021454D">
              <w:rPr>
                <w:rFonts w:cs="Calibri"/>
              </w:rPr>
              <w:t> </w:t>
            </w:r>
          </w:p>
        </w:tc>
      </w:tr>
      <w:tr w:rsidR="009218F1" w:rsidRPr="0021454D" w:rsidDel="007E6304" w14:paraId="1BC61FB2" w14:textId="77777777" w:rsidTr="001F4142">
        <w:trPr>
          <w:trHeight w:val="20"/>
        </w:trPr>
        <w:tc>
          <w:tcPr>
            <w:tcW w:w="3397" w:type="dxa"/>
            <w:noWrap/>
          </w:tcPr>
          <w:p w14:paraId="15DFB470" w14:textId="77777777" w:rsidR="009218F1" w:rsidRPr="0021454D" w:rsidRDefault="009218F1" w:rsidP="001F4142">
            <w:pPr>
              <w:pStyle w:val="Tabletext"/>
              <w:rPr>
                <w:noProof/>
              </w:rPr>
            </w:pPr>
            <w:r w:rsidRPr="0021454D">
              <w:rPr>
                <w:noProof/>
              </w:rPr>
              <w:t>Eye and acute, 2 per wound</w:t>
            </w:r>
          </w:p>
        </w:tc>
        <w:tc>
          <w:tcPr>
            <w:tcW w:w="1021" w:type="dxa"/>
            <w:noWrap/>
          </w:tcPr>
          <w:p w14:paraId="4219F97D" w14:textId="77777777" w:rsidR="009218F1" w:rsidRPr="0021454D" w:rsidDel="007E6304" w:rsidRDefault="009218F1" w:rsidP="001F4142">
            <w:pPr>
              <w:pStyle w:val="Tabletext"/>
            </w:pPr>
            <w:r w:rsidRPr="0021454D">
              <w:rPr>
                <w:rFonts w:cs="Calibri"/>
              </w:rPr>
              <w:t>914,719</w:t>
            </w:r>
          </w:p>
        </w:tc>
        <w:tc>
          <w:tcPr>
            <w:tcW w:w="1162" w:type="dxa"/>
            <w:noWrap/>
          </w:tcPr>
          <w:p w14:paraId="79851137" w14:textId="77777777" w:rsidR="009218F1" w:rsidRPr="0021454D" w:rsidDel="007E6304" w:rsidRDefault="009218F1" w:rsidP="001F4142">
            <w:pPr>
              <w:pStyle w:val="Tabletext"/>
            </w:pPr>
            <w:r w:rsidRPr="0021454D">
              <w:rPr>
                <w:rFonts w:cs="Calibri"/>
              </w:rPr>
              <w:t>927,525</w:t>
            </w:r>
          </w:p>
        </w:tc>
        <w:tc>
          <w:tcPr>
            <w:tcW w:w="1162" w:type="dxa"/>
            <w:noWrap/>
          </w:tcPr>
          <w:p w14:paraId="00F25EE6" w14:textId="77777777" w:rsidR="009218F1" w:rsidRPr="0021454D" w:rsidDel="007E6304" w:rsidRDefault="009218F1" w:rsidP="001F4142">
            <w:pPr>
              <w:pStyle w:val="Tabletext"/>
            </w:pPr>
            <w:r w:rsidRPr="0021454D">
              <w:rPr>
                <w:rFonts w:cs="Calibri"/>
              </w:rPr>
              <w:t>940,511</w:t>
            </w:r>
          </w:p>
        </w:tc>
        <w:tc>
          <w:tcPr>
            <w:tcW w:w="1162" w:type="dxa"/>
            <w:noWrap/>
          </w:tcPr>
          <w:p w14:paraId="6D2F5107" w14:textId="77777777" w:rsidR="009218F1" w:rsidRPr="0021454D" w:rsidDel="007E6304" w:rsidRDefault="009218F1" w:rsidP="001F4142">
            <w:pPr>
              <w:pStyle w:val="Tabletext"/>
            </w:pPr>
            <w:r w:rsidRPr="0021454D">
              <w:rPr>
                <w:rFonts w:cs="Calibri"/>
              </w:rPr>
              <w:t>953,678</w:t>
            </w:r>
          </w:p>
        </w:tc>
        <w:tc>
          <w:tcPr>
            <w:tcW w:w="1163" w:type="dxa"/>
            <w:noWrap/>
          </w:tcPr>
          <w:p w14:paraId="4B447194" w14:textId="77777777" w:rsidR="009218F1" w:rsidRPr="0021454D" w:rsidDel="007E6304" w:rsidRDefault="009218F1" w:rsidP="001F4142">
            <w:pPr>
              <w:pStyle w:val="Tabletext"/>
            </w:pPr>
            <w:r w:rsidRPr="0021454D">
              <w:rPr>
                <w:rFonts w:cs="Calibri"/>
              </w:rPr>
              <w:t>967,029</w:t>
            </w:r>
          </w:p>
        </w:tc>
      </w:tr>
      <w:tr w:rsidR="009218F1" w:rsidRPr="0021454D" w:rsidDel="007E6304" w14:paraId="471BABBD" w14:textId="77777777" w:rsidTr="001F4142">
        <w:trPr>
          <w:trHeight w:val="20"/>
        </w:trPr>
        <w:tc>
          <w:tcPr>
            <w:tcW w:w="3397" w:type="dxa"/>
            <w:noWrap/>
          </w:tcPr>
          <w:p w14:paraId="1ABABCD8" w14:textId="77777777" w:rsidR="009218F1" w:rsidRPr="0021454D" w:rsidRDefault="009218F1" w:rsidP="001F4142">
            <w:pPr>
              <w:pStyle w:val="Tabletext"/>
              <w:rPr>
                <w:noProof/>
              </w:rPr>
            </w:pPr>
            <w:r w:rsidRPr="0021454D">
              <w:rPr>
                <w:noProof/>
              </w:rPr>
              <w:t>DFU 3 per wound</w:t>
            </w:r>
          </w:p>
        </w:tc>
        <w:tc>
          <w:tcPr>
            <w:tcW w:w="1021" w:type="dxa"/>
            <w:noWrap/>
          </w:tcPr>
          <w:p w14:paraId="08EB6165" w14:textId="77777777" w:rsidR="009218F1" w:rsidRPr="0021454D" w:rsidDel="007E6304" w:rsidRDefault="009218F1" w:rsidP="001F4142">
            <w:pPr>
              <w:pStyle w:val="Tabletext"/>
            </w:pPr>
            <w:r w:rsidRPr="0021454D">
              <w:rPr>
                <w:rFonts w:cs="Calibri"/>
              </w:rPr>
              <w:t>546,510</w:t>
            </w:r>
          </w:p>
        </w:tc>
        <w:tc>
          <w:tcPr>
            <w:tcW w:w="1162" w:type="dxa"/>
            <w:noWrap/>
          </w:tcPr>
          <w:p w14:paraId="490418A3" w14:textId="77777777" w:rsidR="009218F1" w:rsidRPr="0021454D" w:rsidDel="007E6304" w:rsidRDefault="009218F1" w:rsidP="001F4142">
            <w:pPr>
              <w:pStyle w:val="Tabletext"/>
            </w:pPr>
            <w:r w:rsidRPr="0021454D">
              <w:rPr>
                <w:rFonts w:cs="Calibri"/>
              </w:rPr>
              <w:t>554,162</w:t>
            </w:r>
          </w:p>
        </w:tc>
        <w:tc>
          <w:tcPr>
            <w:tcW w:w="1162" w:type="dxa"/>
            <w:noWrap/>
          </w:tcPr>
          <w:p w14:paraId="3D3200DA" w14:textId="77777777" w:rsidR="009218F1" w:rsidRPr="0021454D" w:rsidDel="007E6304" w:rsidRDefault="009218F1" w:rsidP="001F4142">
            <w:pPr>
              <w:pStyle w:val="Tabletext"/>
            </w:pPr>
            <w:r w:rsidRPr="0021454D">
              <w:rPr>
                <w:rFonts w:cs="Calibri"/>
              </w:rPr>
              <w:t>561,920</w:t>
            </w:r>
          </w:p>
        </w:tc>
        <w:tc>
          <w:tcPr>
            <w:tcW w:w="1162" w:type="dxa"/>
            <w:noWrap/>
          </w:tcPr>
          <w:p w14:paraId="42578AA7" w14:textId="77777777" w:rsidR="009218F1" w:rsidRPr="0021454D" w:rsidDel="007E6304" w:rsidRDefault="009218F1" w:rsidP="001F4142">
            <w:pPr>
              <w:pStyle w:val="Tabletext"/>
            </w:pPr>
            <w:r w:rsidRPr="0021454D">
              <w:rPr>
                <w:rFonts w:cs="Calibri"/>
              </w:rPr>
              <w:t>569,787</w:t>
            </w:r>
          </w:p>
        </w:tc>
        <w:tc>
          <w:tcPr>
            <w:tcW w:w="1163" w:type="dxa"/>
            <w:noWrap/>
          </w:tcPr>
          <w:p w14:paraId="336F123E" w14:textId="77777777" w:rsidR="009218F1" w:rsidRPr="0021454D" w:rsidDel="007E6304" w:rsidRDefault="009218F1" w:rsidP="001F4142">
            <w:pPr>
              <w:pStyle w:val="Tabletext"/>
            </w:pPr>
            <w:r w:rsidRPr="0021454D">
              <w:rPr>
                <w:rFonts w:cs="Calibri"/>
              </w:rPr>
              <w:t>577,764</w:t>
            </w:r>
          </w:p>
        </w:tc>
      </w:tr>
      <w:tr w:rsidR="009218F1" w:rsidRPr="007973D1" w:rsidDel="007E6304" w14:paraId="7BF243D1" w14:textId="77777777" w:rsidTr="001F4142">
        <w:trPr>
          <w:trHeight w:val="20"/>
        </w:trPr>
        <w:tc>
          <w:tcPr>
            <w:tcW w:w="3397" w:type="dxa"/>
            <w:noWrap/>
          </w:tcPr>
          <w:p w14:paraId="0B985BFD" w14:textId="77777777" w:rsidR="009218F1" w:rsidRPr="0021454D" w:rsidRDefault="009218F1" w:rsidP="001F4142">
            <w:pPr>
              <w:pStyle w:val="Tabletext"/>
              <w:rPr>
                <w:noProof/>
              </w:rPr>
            </w:pPr>
            <w:r w:rsidRPr="0021454D">
              <w:rPr>
                <w:noProof/>
              </w:rPr>
              <w:t>DFU 6 per wound</w:t>
            </w:r>
          </w:p>
        </w:tc>
        <w:tc>
          <w:tcPr>
            <w:tcW w:w="1021" w:type="dxa"/>
            <w:noWrap/>
          </w:tcPr>
          <w:p w14:paraId="6F0DA2B8" w14:textId="77777777" w:rsidR="009218F1" w:rsidRPr="0021454D" w:rsidDel="007E6304" w:rsidRDefault="009218F1" w:rsidP="001F4142">
            <w:pPr>
              <w:pStyle w:val="Tabletext"/>
            </w:pPr>
            <w:r w:rsidRPr="0021454D">
              <w:rPr>
                <w:rFonts w:cs="Calibri"/>
              </w:rPr>
              <w:t>727,222</w:t>
            </w:r>
          </w:p>
        </w:tc>
        <w:tc>
          <w:tcPr>
            <w:tcW w:w="1162" w:type="dxa"/>
            <w:noWrap/>
          </w:tcPr>
          <w:p w14:paraId="79285451" w14:textId="77777777" w:rsidR="009218F1" w:rsidRPr="0021454D" w:rsidDel="007E6304" w:rsidRDefault="009218F1" w:rsidP="001F4142">
            <w:pPr>
              <w:pStyle w:val="Tabletext"/>
            </w:pPr>
            <w:r w:rsidRPr="0021454D">
              <w:rPr>
                <w:rFonts w:cs="Calibri"/>
              </w:rPr>
              <w:t>737,403</w:t>
            </w:r>
          </w:p>
        </w:tc>
        <w:tc>
          <w:tcPr>
            <w:tcW w:w="1162" w:type="dxa"/>
            <w:noWrap/>
          </w:tcPr>
          <w:p w14:paraId="1B37A1C9" w14:textId="77777777" w:rsidR="009218F1" w:rsidRPr="0021454D" w:rsidDel="007E6304" w:rsidRDefault="009218F1" w:rsidP="001F4142">
            <w:pPr>
              <w:pStyle w:val="Tabletext"/>
            </w:pPr>
            <w:r w:rsidRPr="0021454D">
              <w:rPr>
                <w:rFonts w:cs="Calibri"/>
              </w:rPr>
              <w:t>747,726</w:t>
            </w:r>
          </w:p>
        </w:tc>
        <w:tc>
          <w:tcPr>
            <w:tcW w:w="1162" w:type="dxa"/>
            <w:noWrap/>
          </w:tcPr>
          <w:p w14:paraId="40466753" w14:textId="77777777" w:rsidR="009218F1" w:rsidRPr="0021454D" w:rsidDel="007E6304" w:rsidRDefault="009218F1" w:rsidP="001F4142">
            <w:pPr>
              <w:pStyle w:val="Tabletext"/>
            </w:pPr>
            <w:r w:rsidRPr="0021454D">
              <w:rPr>
                <w:rFonts w:cs="Calibri"/>
              </w:rPr>
              <w:t>758,195</w:t>
            </w:r>
          </w:p>
        </w:tc>
        <w:tc>
          <w:tcPr>
            <w:tcW w:w="1163" w:type="dxa"/>
            <w:noWrap/>
          </w:tcPr>
          <w:p w14:paraId="67F6A3AE" w14:textId="77777777" w:rsidR="009218F1" w:rsidRPr="0021454D" w:rsidDel="007E6304" w:rsidRDefault="009218F1" w:rsidP="001F4142">
            <w:pPr>
              <w:pStyle w:val="Tabletext"/>
            </w:pPr>
            <w:r w:rsidRPr="0021454D">
              <w:rPr>
                <w:rFonts w:cs="Calibri"/>
              </w:rPr>
              <w:t>768,809</w:t>
            </w:r>
          </w:p>
        </w:tc>
      </w:tr>
    </w:tbl>
    <w:p w14:paraId="1820A190" w14:textId="77777777" w:rsidR="009218F1" w:rsidRPr="002460D3" w:rsidRDefault="009218F1" w:rsidP="00AB5515">
      <w:pPr>
        <w:pStyle w:val="Tablenotes"/>
      </w:pPr>
      <w:r w:rsidRPr="002460D3">
        <w:t>Source: Table 78, p176 of the DCAR</w:t>
      </w:r>
    </w:p>
    <w:p w14:paraId="7208B9D6" w14:textId="2D4BD2EC" w:rsidR="00AB5515" w:rsidRPr="00AB5515" w:rsidRDefault="009218F1" w:rsidP="00AB5515">
      <w:pPr>
        <w:pStyle w:val="Tablenotes"/>
      </w:pPr>
      <w:r w:rsidRPr="002460D3">
        <w:t>Abbreviations:</w:t>
      </w:r>
      <w:r w:rsidRPr="00321079">
        <w:t xml:space="preserve"> </w:t>
      </w:r>
      <w:r>
        <w:t xml:space="preserve">DFU = </w:t>
      </w:r>
      <w:r>
        <w:rPr>
          <w:noProof/>
        </w:rPr>
        <w:t>d</w:t>
      </w:r>
      <w:r w:rsidRPr="00F905EA">
        <w:rPr>
          <w:noProof/>
        </w:rPr>
        <w:t>iabetic foot ulcer</w:t>
      </w:r>
      <w:r>
        <w:rPr>
          <w:noProof/>
        </w:rPr>
        <w:t>,</w:t>
      </w:r>
      <w:r w:rsidRPr="00F905EA">
        <w:rPr>
          <w:noProof/>
        </w:rPr>
        <w:t xml:space="preserve"> </w:t>
      </w:r>
      <w:r w:rsidRPr="00321079">
        <w:t>TEN</w:t>
      </w:r>
      <w:r>
        <w:t xml:space="preserve"> </w:t>
      </w:r>
      <w:r w:rsidRPr="00321079">
        <w:t>=</w:t>
      </w:r>
      <w:r>
        <w:t xml:space="preserve"> </w:t>
      </w:r>
      <w:r w:rsidRPr="00321079">
        <w:t>toxic epidermal necrolysis, SJS</w:t>
      </w:r>
      <w:r>
        <w:t xml:space="preserve"> </w:t>
      </w:r>
      <w:r w:rsidRPr="00321079">
        <w:t xml:space="preserve">= </w:t>
      </w:r>
      <w:proofErr w:type="gramStart"/>
      <w:r w:rsidRPr="00321079">
        <w:t>Stevens-Johnson Syndrome</w:t>
      </w:r>
      <w:proofErr w:type="gramEnd"/>
      <w:r>
        <w:t>; PL = prosthesis list</w:t>
      </w:r>
      <w:r w:rsidR="00AB5515">
        <w:br w:type="page"/>
      </w:r>
    </w:p>
    <w:p w14:paraId="3733AD92" w14:textId="77777777" w:rsidR="009218F1" w:rsidRPr="00567A4B" w:rsidRDefault="006A0D97" w:rsidP="009218F1">
      <w:pPr>
        <w:pStyle w:val="Heading1"/>
      </w:pPr>
      <w:r w:rsidRPr="00F715D1">
        <w:lastRenderedPageBreak/>
        <w:t>Key issues from ESC for MSAC</w:t>
      </w:r>
    </w:p>
    <w:tbl>
      <w:tblPr>
        <w:tblStyle w:val="TableGrid"/>
        <w:tblW w:w="0" w:type="auto"/>
        <w:tblLook w:val="04A0" w:firstRow="1" w:lastRow="0" w:firstColumn="1" w:lastColumn="0" w:noHBand="0" w:noVBand="1"/>
        <w:tblCaption w:val="ESC key issue ESC advice to MSAC"/>
        <w:tblDescription w:val="Sumamry of ESC issues"/>
      </w:tblPr>
      <w:tblGrid>
        <w:gridCol w:w="2547"/>
        <w:gridCol w:w="6469"/>
      </w:tblGrid>
      <w:tr w:rsidR="009218F1" w:rsidRPr="000478D7" w14:paraId="02240DBF" w14:textId="77777777" w:rsidTr="00567A4B">
        <w:trPr>
          <w:tblHeader/>
        </w:trPr>
        <w:tc>
          <w:tcPr>
            <w:tcW w:w="2547" w:type="dxa"/>
          </w:tcPr>
          <w:p w14:paraId="5496808C" w14:textId="77777777" w:rsidR="009218F1" w:rsidRPr="00D11CEB" w:rsidRDefault="009218F1" w:rsidP="001F4142">
            <w:pPr>
              <w:pStyle w:val="TableHeading"/>
              <w:keepNext w:val="0"/>
              <w:rPr>
                <w:rFonts w:ascii="Times New Roman" w:hAnsi="Times New Roman" w:cs="Times New Roman"/>
              </w:rPr>
            </w:pPr>
            <w:r w:rsidRPr="00D11CEB">
              <w:rPr>
                <w:rFonts w:ascii="Times New Roman" w:hAnsi="Times New Roman" w:cs="Times New Roman"/>
              </w:rPr>
              <w:t>ESC key issue</w:t>
            </w:r>
          </w:p>
        </w:tc>
        <w:tc>
          <w:tcPr>
            <w:tcW w:w="6469" w:type="dxa"/>
          </w:tcPr>
          <w:p w14:paraId="2CCE51C7" w14:textId="77777777" w:rsidR="009218F1" w:rsidRPr="00D11CEB" w:rsidRDefault="009218F1" w:rsidP="001F4142">
            <w:pPr>
              <w:pStyle w:val="TableHeading"/>
              <w:keepNext w:val="0"/>
              <w:rPr>
                <w:rFonts w:ascii="Times New Roman" w:hAnsi="Times New Roman" w:cs="Times New Roman"/>
              </w:rPr>
            </w:pPr>
            <w:r w:rsidRPr="00D11CEB">
              <w:rPr>
                <w:rFonts w:ascii="Times New Roman" w:hAnsi="Times New Roman" w:cs="Times New Roman"/>
              </w:rPr>
              <w:t>ESC advice to MSAC</w:t>
            </w:r>
          </w:p>
        </w:tc>
      </w:tr>
      <w:tr w:rsidR="009218F1" w:rsidRPr="000478D7" w14:paraId="6E3AC172" w14:textId="77777777" w:rsidTr="001F4142">
        <w:tc>
          <w:tcPr>
            <w:tcW w:w="2547" w:type="dxa"/>
          </w:tcPr>
          <w:p w14:paraId="3C3012AE" w14:textId="77777777" w:rsidR="009218F1" w:rsidRPr="00D11CEB" w:rsidRDefault="009218F1" w:rsidP="001F4142">
            <w:pPr>
              <w:pStyle w:val="TableText0"/>
              <w:keepNext w:val="0"/>
            </w:pPr>
            <w:r w:rsidRPr="00D11CEB">
              <w:t>Certainty of evidence and risk of bias</w:t>
            </w:r>
          </w:p>
        </w:tc>
        <w:tc>
          <w:tcPr>
            <w:tcW w:w="6469" w:type="dxa"/>
          </w:tcPr>
          <w:p w14:paraId="1B498331" w14:textId="77777777" w:rsidR="009218F1" w:rsidRPr="00D11CEB" w:rsidRDefault="009218F1" w:rsidP="001F4142">
            <w:pPr>
              <w:pStyle w:val="TableText0"/>
              <w:keepNext w:val="0"/>
            </w:pPr>
            <w:r w:rsidRPr="00D11CEB">
              <w:t>The certainty of the clinical evidence using GRADE was very low for Population 1, up to moderate for Population 2 and low for Population 3. Risk of bias followed a similar pattern.</w:t>
            </w:r>
          </w:p>
        </w:tc>
      </w:tr>
      <w:tr w:rsidR="009218F1" w:rsidRPr="000478D7" w14:paraId="3CA6F314" w14:textId="77777777" w:rsidTr="001F4142">
        <w:tc>
          <w:tcPr>
            <w:tcW w:w="2547" w:type="dxa"/>
          </w:tcPr>
          <w:p w14:paraId="5F1C19AA" w14:textId="77777777" w:rsidR="009218F1" w:rsidRPr="00D11CEB" w:rsidRDefault="009218F1" w:rsidP="001F4142">
            <w:pPr>
              <w:pStyle w:val="TableText0"/>
              <w:keepNext w:val="0"/>
            </w:pPr>
            <w:r>
              <w:t xml:space="preserve">Heterogeneous patient </w:t>
            </w:r>
            <w:r w:rsidRPr="00D11CEB">
              <w:t>populations</w:t>
            </w:r>
            <w:r>
              <w:t>/</w:t>
            </w:r>
            <w:r w:rsidRPr="00D11CEB">
              <w:t xml:space="preserve">subpopulations </w:t>
            </w:r>
            <w:r>
              <w:t xml:space="preserve">and </w:t>
            </w:r>
            <w:r w:rsidRPr="00D11CEB">
              <w:t>comparators where standard of care was defined differently</w:t>
            </w:r>
          </w:p>
        </w:tc>
        <w:tc>
          <w:tcPr>
            <w:tcW w:w="6469" w:type="dxa"/>
          </w:tcPr>
          <w:p w14:paraId="54117449" w14:textId="77777777" w:rsidR="009218F1" w:rsidRPr="00D11CEB" w:rsidRDefault="009218F1" w:rsidP="001F4142">
            <w:pPr>
              <w:pStyle w:val="TableText0"/>
              <w:keepNext w:val="0"/>
            </w:pPr>
            <w:r w:rsidRPr="00D11CEB">
              <w:t>Difficulty comparing clinical results across different subpopulations prevented meta-analyses for some outcomes. This was particularly prominent in Population 1 and compounded AM’s inconsistent effectiveness and safety for this population. Limited or absent clinical data meant that some subpopulations were not investigated.</w:t>
            </w:r>
          </w:p>
        </w:tc>
      </w:tr>
      <w:tr w:rsidR="009218F1" w:rsidRPr="000478D7" w14:paraId="0543802D" w14:textId="77777777" w:rsidTr="001F4142">
        <w:tc>
          <w:tcPr>
            <w:tcW w:w="2547" w:type="dxa"/>
          </w:tcPr>
          <w:p w14:paraId="6BC828F2" w14:textId="77777777" w:rsidR="009218F1" w:rsidRPr="00D11CEB" w:rsidRDefault="009218F1" w:rsidP="001F4142">
            <w:pPr>
              <w:pStyle w:val="TableText0"/>
              <w:keepNext w:val="0"/>
            </w:pPr>
            <w:r w:rsidRPr="00D11CEB">
              <w:t>Safety and effectiveness</w:t>
            </w:r>
          </w:p>
        </w:tc>
        <w:tc>
          <w:tcPr>
            <w:tcW w:w="6469" w:type="dxa"/>
          </w:tcPr>
          <w:p w14:paraId="78D7AE38" w14:textId="77777777" w:rsidR="009218F1" w:rsidRPr="00D11CEB" w:rsidRDefault="009218F1" w:rsidP="001F4142">
            <w:pPr>
              <w:pStyle w:val="TableText0"/>
              <w:keepNext w:val="0"/>
            </w:pPr>
            <w:r w:rsidRPr="00D11CEB">
              <w:t>Overall, AM treatment seems to be at least as safe as and more effective than standard of care as its comparator across the three populations. However, incremental clinical benefit size varies significantly across the three population</w:t>
            </w:r>
            <w:r>
              <w:t xml:space="preserve">s </w:t>
            </w:r>
            <w:r w:rsidRPr="00D11CEB">
              <w:t>and between subpopulations.</w:t>
            </w:r>
          </w:p>
        </w:tc>
      </w:tr>
      <w:tr w:rsidR="009218F1" w:rsidRPr="000478D7" w14:paraId="17F8C2DB" w14:textId="77777777" w:rsidTr="001F4142">
        <w:tc>
          <w:tcPr>
            <w:tcW w:w="2547" w:type="dxa"/>
          </w:tcPr>
          <w:p w14:paraId="0998EC22" w14:textId="77777777" w:rsidR="009218F1" w:rsidRPr="00D11CEB" w:rsidRDefault="009218F1" w:rsidP="001F4142">
            <w:pPr>
              <w:pStyle w:val="TableText0"/>
              <w:keepNext w:val="0"/>
            </w:pPr>
            <w:r w:rsidRPr="00D11CEB">
              <w:t>Long-term safety</w:t>
            </w:r>
          </w:p>
        </w:tc>
        <w:tc>
          <w:tcPr>
            <w:tcW w:w="6469" w:type="dxa"/>
          </w:tcPr>
          <w:p w14:paraId="4AA78727" w14:textId="77777777" w:rsidR="009218F1" w:rsidRPr="00D11CEB" w:rsidRDefault="009218F1" w:rsidP="001F4142">
            <w:pPr>
              <w:pStyle w:val="TableText0"/>
              <w:keepNext w:val="0"/>
            </w:pPr>
            <w:r w:rsidRPr="00D11CEB">
              <w:t>Patient follow-up across all the included trials was relatively short. The maximum length of follow-up for studies in Population 1 was up to 12 months, Population 2 up to 12 weeks, and Population 3 up to 3 weeks, depending on the characteristics of populations and wound types.</w:t>
            </w:r>
          </w:p>
        </w:tc>
      </w:tr>
      <w:tr w:rsidR="009218F1" w:rsidRPr="000478D7" w14:paraId="0398EC76" w14:textId="77777777" w:rsidTr="001F4142">
        <w:tc>
          <w:tcPr>
            <w:tcW w:w="2547" w:type="dxa"/>
          </w:tcPr>
          <w:p w14:paraId="3D57FD50" w14:textId="77777777" w:rsidR="009218F1" w:rsidRPr="00D11CEB" w:rsidRDefault="009218F1" w:rsidP="001F4142">
            <w:pPr>
              <w:pStyle w:val="TableText0"/>
              <w:keepNext w:val="0"/>
            </w:pPr>
            <w:r w:rsidRPr="00D11CEB">
              <w:t>Cost of the product</w:t>
            </w:r>
          </w:p>
        </w:tc>
        <w:tc>
          <w:tcPr>
            <w:tcW w:w="6469" w:type="dxa"/>
          </w:tcPr>
          <w:p w14:paraId="739DB0EA" w14:textId="77777777" w:rsidR="009218F1" w:rsidRPr="00D11CEB" w:rsidRDefault="009218F1" w:rsidP="001F4142">
            <w:pPr>
              <w:pStyle w:val="TableText0"/>
              <w:keepNext w:val="0"/>
            </w:pPr>
            <w:r w:rsidRPr="00D11CEB">
              <w:t xml:space="preserve">Cost used in the model is $579 for a 5 cm circle of AM. Use of larger </w:t>
            </w:r>
            <w:r>
              <w:t>AM grafts</w:t>
            </w:r>
            <w:r w:rsidRPr="00D11CEB">
              <w:t xml:space="preserve"> would increase the cost. Costs could be reduced by using smaller </w:t>
            </w:r>
            <w:r>
              <w:t>AM grafts</w:t>
            </w:r>
            <w:r w:rsidRPr="00D11CEB">
              <w:t xml:space="preserve"> for ophthalmic conditions.</w:t>
            </w:r>
          </w:p>
        </w:tc>
      </w:tr>
      <w:tr w:rsidR="009218F1" w:rsidRPr="000478D7" w14:paraId="43987D45" w14:textId="77777777" w:rsidTr="001F4142">
        <w:tc>
          <w:tcPr>
            <w:tcW w:w="2547" w:type="dxa"/>
          </w:tcPr>
          <w:p w14:paraId="1CB40A44" w14:textId="77777777" w:rsidR="009218F1" w:rsidRPr="00D11CEB" w:rsidRDefault="009218F1" w:rsidP="001F4142">
            <w:pPr>
              <w:pStyle w:val="TableText0"/>
              <w:keepNext w:val="0"/>
            </w:pPr>
            <w:r w:rsidRPr="00D11CEB">
              <w:t>Economic evidence</w:t>
            </w:r>
          </w:p>
        </w:tc>
        <w:tc>
          <w:tcPr>
            <w:tcW w:w="6469" w:type="dxa"/>
          </w:tcPr>
          <w:p w14:paraId="41FA8A4D" w14:textId="77777777" w:rsidR="009218F1" w:rsidRPr="00D11CEB" w:rsidRDefault="009218F1" w:rsidP="001F4142">
            <w:pPr>
              <w:pStyle w:val="TableText0"/>
              <w:keepNext w:val="0"/>
            </w:pPr>
            <w:r w:rsidRPr="00D11CEB">
              <w:t>Economic evidence is provided for one indication only</w:t>
            </w:r>
            <w:r>
              <w:t>- AM for treating DFU (population 2)</w:t>
            </w:r>
            <w:r w:rsidRPr="00D11CEB">
              <w:t>.</w:t>
            </w:r>
            <w:r>
              <w:t xml:space="preserve"> In this subpopulation, the ICER was high ($97,870) at the more appropriate time horizon of 1 year.</w:t>
            </w:r>
            <w:r w:rsidRPr="00D11CEB">
              <w:t xml:space="preserve"> </w:t>
            </w:r>
            <w:r>
              <w:t>Furthermore, i</w:t>
            </w:r>
            <w:r w:rsidRPr="00D11CEB">
              <w:t>t is uncertain how cost-effective AM is in other settings.</w:t>
            </w:r>
          </w:p>
        </w:tc>
      </w:tr>
      <w:tr w:rsidR="009218F1" w:rsidRPr="000478D7" w14:paraId="6326A18C" w14:textId="77777777" w:rsidTr="001F4142">
        <w:tc>
          <w:tcPr>
            <w:tcW w:w="2547" w:type="dxa"/>
          </w:tcPr>
          <w:p w14:paraId="4C0A9CFA" w14:textId="77777777" w:rsidR="009218F1" w:rsidRPr="00D11CEB" w:rsidRDefault="009218F1" w:rsidP="001F4142">
            <w:pPr>
              <w:pStyle w:val="TableText0"/>
              <w:keepNext w:val="0"/>
            </w:pPr>
            <w:r w:rsidRPr="00D11CEB">
              <w:t>Uptake</w:t>
            </w:r>
          </w:p>
        </w:tc>
        <w:tc>
          <w:tcPr>
            <w:tcW w:w="6469" w:type="dxa"/>
          </w:tcPr>
          <w:p w14:paraId="4E3505A6" w14:textId="77777777" w:rsidR="009218F1" w:rsidRPr="00D11CEB" w:rsidRDefault="009218F1" w:rsidP="001F4142">
            <w:pPr>
              <w:pStyle w:val="TableText0"/>
              <w:keepNext w:val="0"/>
            </w:pPr>
            <w:r w:rsidRPr="00D11CEB">
              <w:t>Uptake estimates are highly uncertain. The potential population is likely to be underestimated for ulcers and eye conditions.</w:t>
            </w:r>
          </w:p>
        </w:tc>
      </w:tr>
      <w:tr w:rsidR="009218F1" w:rsidRPr="000478D7" w14:paraId="284387F4" w14:textId="77777777" w:rsidTr="001F4142">
        <w:tc>
          <w:tcPr>
            <w:tcW w:w="2547" w:type="dxa"/>
          </w:tcPr>
          <w:p w14:paraId="5C105572" w14:textId="77777777" w:rsidR="009218F1" w:rsidRPr="00D11CEB" w:rsidRDefault="009218F1" w:rsidP="001F4142">
            <w:pPr>
              <w:pStyle w:val="TableText0"/>
              <w:keepNext w:val="0"/>
            </w:pPr>
            <w:r w:rsidRPr="00D11CEB">
              <w:t>Usage</w:t>
            </w:r>
          </w:p>
        </w:tc>
        <w:tc>
          <w:tcPr>
            <w:tcW w:w="6469" w:type="dxa"/>
          </w:tcPr>
          <w:p w14:paraId="79AACB3B" w14:textId="77777777" w:rsidR="009218F1" w:rsidRPr="00D11CEB" w:rsidRDefault="009218F1" w:rsidP="001F4142">
            <w:pPr>
              <w:pStyle w:val="TableText0"/>
              <w:keepNext w:val="0"/>
            </w:pPr>
            <w:r>
              <w:rPr>
                <w:color w:val="auto"/>
              </w:rPr>
              <w:t xml:space="preserve">PL benefits for AM will only apply if used as part of a hospital or hospital-substitute treatment which </w:t>
            </w:r>
            <w:r w:rsidRPr="001313C6">
              <w:rPr>
                <w:color w:val="auto"/>
              </w:rPr>
              <w:t>could have unintended consequences where patients are admitted to gain access to this treatment</w:t>
            </w:r>
            <w:r w:rsidRPr="00BA0BC5">
              <w:rPr>
                <w:color w:val="auto"/>
              </w:rPr>
              <w:t>.</w:t>
            </w:r>
            <w:r w:rsidRPr="00D11CEB">
              <w:t xml:space="preserve"> Treatments are required weekly – diabetic foot ulcers require approximately 5 applications. These would not all be performed in the hospital setting. If not limited to hospitals, the types of professionals who are able to access AM should be considered with regard to equity and patient </w:t>
            </w:r>
            <w:r>
              <w:t>adherence</w:t>
            </w:r>
            <w:r w:rsidRPr="00D11CEB">
              <w:t xml:space="preserve"> with treatment.</w:t>
            </w:r>
          </w:p>
        </w:tc>
      </w:tr>
    </w:tbl>
    <w:p w14:paraId="41C3564F" w14:textId="77777777" w:rsidR="009218F1" w:rsidRPr="00D11CEB" w:rsidRDefault="009218F1" w:rsidP="009218F1">
      <w:pPr>
        <w:pStyle w:val="Heading2"/>
        <w:spacing w:before="240" w:after="240"/>
        <w:rPr>
          <w:rFonts w:ascii="Arial" w:hAnsi="Arial" w:cs="Arial"/>
          <w:b w:val="0"/>
          <w:i/>
        </w:rPr>
      </w:pPr>
      <w:r w:rsidRPr="00D11CEB">
        <w:rPr>
          <w:rFonts w:ascii="Arial" w:hAnsi="Arial" w:cs="Arial"/>
        </w:rPr>
        <w:t>ESC discussion</w:t>
      </w:r>
    </w:p>
    <w:p w14:paraId="7DD2F727" w14:textId="11A84B1A" w:rsidR="009218F1" w:rsidRDefault="009218F1" w:rsidP="009218F1">
      <w:r>
        <w:t xml:space="preserve">ESC noted that AM (cryopreserved or dehydrated) would be used under a range of existing Medicare Benefits Schedule (MBS) items, as determined by clinicians. </w:t>
      </w:r>
    </w:p>
    <w:p w14:paraId="0F254ABB" w14:textId="16B0736D" w:rsidR="009218F1" w:rsidRDefault="009218F1" w:rsidP="00AB5515">
      <w:pPr>
        <w:spacing w:before="240"/>
      </w:pPr>
      <w:r>
        <w:t>ESC noted that AM is proposed to treat wounds across three broad populations:</w:t>
      </w:r>
    </w:p>
    <w:p w14:paraId="24B09B7C" w14:textId="77777777" w:rsidR="009218F1" w:rsidRDefault="009218F1" w:rsidP="009218F1">
      <w:pPr>
        <w:pStyle w:val="Bullet"/>
      </w:pPr>
      <w:r>
        <w:t xml:space="preserve">Population 1 – first-line treatment for ophthalmic conditions where cells on the corneal surface are disrupted (e.g. </w:t>
      </w:r>
      <w:proofErr w:type="spellStart"/>
      <w:r>
        <w:t>pterygium</w:t>
      </w:r>
      <w:proofErr w:type="spellEnd"/>
      <w:r>
        <w:t>, burns, Stevens–Johnson syndrome and toxic epidermal necrolysis [TEN]), and second-line treatment for other corneal wounds that have failed to heal</w:t>
      </w:r>
    </w:p>
    <w:p w14:paraId="2649BCB0" w14:textId="77777777" w:rsidR="009218F1" w:rsidRDefault="009218F1" w:rsidP="009218F1">
      <w:pPr>
        <w:pStyle w:val="Bullet"/>
      </w:pPr>
      <w:r>
        <w:t>Population 2 – chronic ulcers (unresponsive to treatment using standard care for at least 12 weeks; includes venous and arterial insufficiency ulcers, and diabetic foot ulcers)</w:t>
      </w:r>
    </w:p>
    <w:p w14:paraId="75D88134" w14:textId="77777777" w:rsidR="009218F1" w:rsidRDefault="009218F1" w:rsidP="009218F1">
      <w:pPr>
        <w:pStyle w:val="BulletLast"/>
      </w:pPr>
      <w:r>
        <w:t>Population 3 – acute wounds such as burns, graft donor sites, wounds that require a skin graft fixator, and TEN.</w:t>
      </w:r>
    </w:p>
    <w:p w14:paraId="0DE19CDB" w14:textId="77777777" w:rsidR="009218F1" w:rsidRDefault="009218F1" w:rsidP="009218F1">
      <w:r>
        <w:lastRenderedPageBreak/>
        <w:t>ESC noted that the populations were complex with each population containing several subpopulations. Further, while standard of care (SOC) is the nominated comparator for all three populations, the definition and context for SOC differs for each population and subpopulation, further increasing the complexity. This resulted in 10 different clinical management algorithms. ESC noted a synthetic dermal cover developed in South Australia, could also have been included as a comparator for Population 3. ESC noted that AM delivery settings may also differ between populations or subpopulations, for example, AM treatment of chronic skin ulcers may occur in the community or in hospital.</w:t>
      </w:r>
    </w:p>
    <w:p w14:paraId="19C413FE" w14:textId="1C5E4F0B" w:rsidR="009218F1" w:rsidRDefault="009218F1" w:rsidP="00AB5515">
      <w:pPr>
        <w:spacing w:before="240"/>
      </w:pPr>
      <w:r>
        <w:t xml:space="preserve">ESC noted the consultation feedback from the </w:t>
      </w:r>
      <w:r w:rsidRPr="00336733">
        <w:t>Royal Australian and New Zealand College of Ophthalmologists</w:t>
      </w:r>
      <w:r>
        <w:t>,</w:t>
      </w:r>
      <w:r w:rsidRPr="00336733">
        <w:t xml:space="preserve"> which supported the application and noted that </w:t>
      </w:r>
      <w:r>
        <w:t>AM</w:t>
      </w:r>
      <w:r w:rsidRPr="00336733">
        <w:t xml:space="preserve"> products would also be beneficial in the community setting to avoid hospital admission.</w:t>
      </w:r>
      <w:r>
        <w:t xml:space="preserve"> Consumer input questioned whether TEN should be included in the application, given the rarity of the condition and high mortality rate. ESC considered that TEN is usually an emergency condition and it would be appropriate for AM to be available as a treatment option.</w:t>
      </w:r>
    </w:p>
    <w:p w14:paraId="303E5125" w14:textId="616E6DD9" w:rsidR="009218F1" w:rsidRDefault="009218F1" w:rsidP="00AB5515">
      <w:pPr>
        <w:spacing w:before="240"/>
      </w:pPr>
      <w:r>
        <w:t>ESC noted the application claimed that AM has non-inferior safety for all three populations compared to SOC, and that AM has superior efficacy (Population 1 &amp; 2) / non-inferior efficacy (Population 3) compared to SOC. ESC noted that the application also made clinical claims regarding the efficacy of cryopreserved AM compared to dehydrated and other forms of AM. However, due to the lack of direct evidence, comparison of the relative efficacy of cryopreserved AM versus dehydrated AM, and whether cryopreserved AM is non-inferior to other forms of AM was not able to be assessed.</w:t>
      </w:r>
    </w:p>
    <w:p w14:paraId="7E259E53" w14:textId="479F7819" w:rsidR="009218F1" w:rsidRDefault="009218F1" w:rsidP="00AB5515">
      <w:pPr>
        <w:spacing w:before="240"/>
      </w:pPr>
      <w:r>
        <w:t xml:space="preserve">For Population 1, ESC noted the evidence consisted of 15 randomised clinical trials (RCT) that pertained to </w:t>
      </w:r>
      <w:proofErr w:type="spellStart"/>
      <w:r>
        <w:t>ptergium</w:t>
      </w:r>
      <w:proofErr w:type="spellEnd"/>
      <w:r>
        <w:t xml:space="preserve"> surgeries (k=7), ocular burns injuries (k=3) and other ophthalmic subpopulations (k=5). However, the quality of evidence was very low, with a high risk of bias and significant variations in study characteristics across the subpopulations. ESC agreed with PASC that the use of AM in acute ophthalmic conditions (e.g. trauma) should be considered separately to its use in chronic conditions. ESC noted that the evidence suggested that AM use in patients with ocular conditions is safe. In most cases, AM treatment was reported to be equally as effective as SOC however; ESC noted that effectiveness was highly dependent on the subpopulation of patients. Further, some studies reported that AM use was not appropriate or not recommended for certain ophthalmic conditions, including </w:t>
      </w:r>
      <w:proofErr w:type="spellStart"/>
      <w:r w:rsidRPr="005B5DA4">
        <w:t>pterygium</w:t>
      </w:r>
      <w:proofErr w:type="spellEnd"/>
      <w:r w:rsidRPr="005B5DA4">
        <w:t xml:space="preserve"> due to increased recurrence, scleral thinning </w:t>
      </w:r>
      <w:r>
        <w:t>a</w:t>
      </w:r>
      <w:r w:rsidRPr="005B5DA4">
        <w:t xml:space="preserve">fter </w:t>
      </w:r>
      <w:proofErr w:type="spellStart"/>
      <w:r w:rsidRPr="005B5DA4">
        <w:t>pterygium</w:t>
      </w:r>
      <w:proofErr w:type="spellEnd"/>
      <w:r w:rsidRPr="005B5DA4">
        <w:t xml:space="preserve"> surgery with beta therapy, </w:t>
      </w:r>
      <w:r>
        <w:t>and patients</w:t>
      </w:r>
      <w:r w:rsidRPr="005B5DA4">
        <w:t xml:space="preserve"> with non-viral infectious keratitis with cases of perforation</w:t>
      </w:r>
      <w:r>
        <w:t>. ESC was unable to determine from the data whether AM should be indicated for all patients undergoing surgical corneal removal or only a subgroup undergoing extensive removal. Overall, ESC considered the safety and effectiveness data for Population 1 was inconsistent, and therefore ESC was uncertain whether AM has non-inferior safety and superior efficacy compared to SOC for all ophthalmic conditions included in Population 1. However, there may be subpopulation(s) within Population 1 where AM has non-inferior safety and superior efficacy compared to SOC.</w:t>
      </w:r>
    </w:p>
    <w:p w14:paraId="6BC2C2D7" w14:textId="5EEF1BC1" w:rsidR="009218F1" w:rsidRDefault="009218F1" w:rsidP="00AB5515">
      <w:pPr>
        <w:spacing w:before="240"/>
      </w:pPr>
      <w:r>
        <w:t>For Population 2, ESC noted the evidence consisted of 14 RCTs that pertained to diabetic foot ulcers (DFU: k=9), venous leg ulcers (VLU; k=3) and other chronic ulcers (k=2). However, the quality of evidence was very low to moderate, with some risk of bias.</w:t>
      </w:r>
      <w:r w:rsidRPr="00AE7B57">
        <w:t xml:space="preserve"> </w:t>
      </w:r>
      <w:r>
        <w:t xml:space="preserve">ESC noted that only Population 2 had clinical data of sufficient quality for meta-analysis, and that the evidence suggested there were no major safety concerns for AM therapy in patients with DFUs or VLUs. The evidence suggested AM was more effective than SOC for patients with DFU or VLU for all reported outcomes, except for recurrence in the VLU subpopulation, for </w:t>
      </w:r>
      <w:r>
        <w:lastRenderedPageBreak/>
        <w:t xml:space="preserve">which no evidence was found. ESC noted that, on average, patients with DFUs used five AM grafts, whereas patients with VLUs used one AM graft. </w:t>
      </w:r>
    </w:p>
    <w:p w14:paraId="510C1446" w14:textId="57912B2A" w:rsidR="009218F1" w:rsidRDefault="009218F1" w:rsidP="00AB5515">
      <w:pPr>
        <w:spacing w:before="240"/>
      </w:pPr>
      <w:r>
        <w:t>For Population 3, ESC noted the evidence consisted of eight RCTs that reported on the application of AM to graft site donor wounds (k=5), burns requiring dermal substitutes before skin grafting (k=3) and wounds requiring skin graft fixation (k=1). ESC noted the quality of evidence was low, with a high risk of bias. ESC noted no mortalities or severe adverse events were reported when using AM, and that the rate of safety issues was lower for AM compared to the comparator. The evidence suggested that AM is safe for treatment of acute wounds, including burns. Most RCTs claimed that AM is a superior dressing to its comparators, but some recommended further studies to evaluate the efficacy of AM for acute wound healing.</w:t>
      </w:r>
    </w:p>
    <w:p w14:paraId="64F77E00" w14:textId="07514A41" w:rsidR="009218F1" w:rsidRDefault="009218F1" w:rsidP="00AB5515">
      <w:pPr>
        <w:spacing w:before="240"/>
      </w:pPr>
      <w:r>
        <w:t xml:space="preserve">ESC noted the lack of long-term safety data for all populations. </w:t>
      </w:r>
      <w:r w:rsidRPr="000B5EA4">
        <w:t>The maximum length of follow</w:t>
      </w:r>
      <w:r>
        <w:t>-</w:t>
      </w:r>
      <w:r w:rsidRPr="000B5EA4">
        <w:t xml:space="preserve">up for studies in Population </w:t>
      </w:r>
      <w:r>
        <w:t xml:space="preserve">1 was up to 12 months, Population 2 up to 12 weeks, and Population 3 up to 3 weeks, </w:t>
      </w:r>
      <w:r w:rsidRPr="000B5EA4">
        <w:t>depending on the characteristics of populations and wound types</w:t>
      </w:r>
      <w:r>
        <w:t xml:space="preserve">. ESC considered that the </w:t>
      </w:r>
      <w:r w:rsidRPr="00AE7B57">
        <w:t>long-term safety profile of AM should be monitored</w:t>
      </w:r>
      <w:r>
        <w:t xml:space="preserve"> over time.</w:t>
      </w:r>
    </w:p>
    <w:p w14:paraId="5AE9844C" w14:textId="59B5407E" w:rsidR="009218F1" w:rsidRDefault="009218F1" w:rsidP="00AB5515">
      <w:pPr>
        <w:spacing w:before="240"/>
      </w:pPr>
      <w:r>
        <w:t>ESC noted that economic analysis was limited to a cost-utility analysis comparing AM with SOC in the DFU subpopulation (Population 2), as this was the subpopulation with the highest quality evidence and largest impact. ESC considered that it was difficult to assess the cost-effectiveness of AM when the economic modelling is limited to only one population. ESC suggested a cost-consequence analysis (CCA) for the other populations and subpopulations could provide MSAC with an indication of the economic impact for each population and subpopulation. The Department advises that a CCA will be provided for June ESC 2021 meeting.</w:t>
      </w:r>
    </w:p>
    <w:p w14:paraId="51E06244" w14:textId="7262CE01" w:rsidR="009218F1" w:rsidRDefault="009218F1" w:rsidP="00AB5515">
      <w:pPr>
        <w:spacing w:before="240"/>
      </w:pPr>
      <w:r>
        <w:t xml:space="preserve">ESC noted that the proposed </w:t>
      </w:r>
      <w:r w:rsidR="005A54F9">
        <w:t xml:space="preserve">cost </w:t>
      </w:r>
      <w:r>
        <w:t>of AM varies by the size of the product, based on a unit price of $28.93/cm</w:t>
      </w:r>
      <w:r>
        <w:rPr>
          <w:vertAlign w:val="superscript"/>
        </w:rPr>
        <w:t>2</w:t>
      </w:r>
      <w:r>
        <w:t>, and that the c</w:t>
      </w:r>
      <w:r w:rsidRPr="00796E04">
        <w:t xml:space="preserve">ost used in the model is $579 for a 5 cm circle of AM. </w:t>
      </w:r>
      <w:r>
        <w:t>ESC noted that a</w:t>
      </w:r>
      <w:r w:rsidRPr="00796E04">
        <w:t xml:space="preserve">s </w:t>
      </w:r>
      <w:r>
        <w:t>AM</w:t>
      </w:r>
      <w:r w:rsidRPr="00796E04">
        <w:t xml:space="preserve"> is human tissue proposed for listing on Part B of the Prostheses List, it must comply with relevant State and Territory legislation regarding the sale of human tissue. This means that the benefit for a human tissue item is set at an amount that recovers the costs involved in supplying the human tissue to the patient (i.e. does not generate a profit).</w:t>
      </w:r>
      <w:r>
        <w:t xml:space="preserve"> However, ESC queried the lack of breakdown for costs, in particular the costs for pathology testing (i.e. what tests and costs are included) and staffing. For transparency and clarity in how these costs were derived, ESC advised that, if possible, the applicant should provide MSAC with a breakdown for these along with confirmation of where the costs of cryopreservation and storage has been included. ESC noted that the smallest size of AM (5 cm diameter circle) may be too large for ophthalmic conditions, and wastage could be reduced if a smaller size were available. ESC also noted that </w:t>
      </w:r>
      <w:hyperlink r:id="rId22" w:history="1">
        <w:r w:rsidRPr="00696C2E">
          <w:rPr>
            <w:rStyle w:val="Hyperlink"/>
          </w:rPr>
          <w:t>2 x 2 cm</w:t>
        </w:r>
        <w:r w:rsidRPr="00696C2E">
          <w:rPr>
            <w:rStyle w:val="Hyperlink"/>
            <w:vertAlign w:val="superscript"/>
          </w:rPr>
          <w:t>2</w:t>
        </w:r>
        <w:r w:rsidRPr="00696C2E">
          <w:rPr>
            <w:rStyle w:val="Hyperlink"/>
          </w:rPr>
          <w:t xml:space="preserve"> AM grafts</w:t>
        </w:r>
      </w:hyperlink>
      <w:r>
        <w:t xml:space="preserve"> are used for ophthalmic indications in the National Health System (NHS), UK.</w:t>
      </w:r>
    </w:p>
    <w:p w14:paraId="6CF0A0C3" w14:textId="457AE36D" w:rsidR="009218F1" w:rsidRDefault="009218F1" w:rsidP="00AB5515">
      <w:pPr>
        <w:spacing w:before="240"/>
      </w:pPr>
      <w:r>
        <w:t>ESC noted that the economic model comparing AM with SOC was based on a published Australian cost-effectiveness model (Cheng et al. 2017</w:t>
      </w:r>
      <w:r>
        <w:rPr>
          <w:rStyle w:val="FootnoteReference"/>
        </w:rPr>
        <w:footnoteReference w:id="6"/>
      </w:r>
      <w:r>
        <w:t xml:space="preserve">) comparing optimal care </w:t>
      </w:r>
      <w:r w:rsidRPr="000C143E">
        <w:t xml:space="preserve">with usual care for </w:t>
      </w:r>
      <w:r>
        <w:t>DFU</w:t>
      </w:r>
      <w:r w:rsidRPr="000C143E">
        <w:t xml:space="preserve"> patients</w:t>
      </w:r>
      <w:r>
        <w:t>. ESC considered that the model structure and variables were appropriate, and that translation issues were dealt with appropriately. ESC noted that the model outcomes were driven by the rate of healed ulcers (11% for AM compared with 4% for SOC) and serious adverse events (which were twice as high for SOC).</w:t>
      </w:r>
    </w:p>
    <w:p w14:paraId="49D81020" w14:textId="2F7ECA64" w:rsidR="009218F1" w:rsidRDefault="009218F1" w:rsidP="00AB5515">
      <w:pPr>
        <w:spacing w:before="240"/>
      </w:pPr>
      <w:r>
        <w:t xml:space="preserve">ESC noted that the incremental cost-effectiveness ratio (ICER) was $511,045; however, this was based on a time horizon of 12 weeks (clinical trial data), which ESC did not consider to be long enough. The department contracted assessment report (DCAR) used a 5-year </w:t>
      </w:r>
      <w:r>
        <w:lastRenderedPageBreak/>
        <w:t>timeframe (ICER = $18,322) as the base case model, consistent with the Cheng et al. 2017 and to reflect the natural history of diabetes progression. However, due to the short trial follow-up, ESC considered that a 1-year timeframe would be more appropriate as the base case, noting that the ICER would be much higher at $97, 870. Sensitivity analyses showed the ICER was sensitive to price and wound size (larger wounds require more AM grafts).</w:t>
      </w:r>
    </w:p>
    <w:p w14:paraId="7B9FDD3D" w14:textId="30EECB1C" w:rsidR="009218F1" w:rsidRDefault="009218F1" w:rsidP="00AB5515">
      <w:pPr>
        <w:spacing w:before="240"/>
      </w:pPr>
      <w:r>
        <w:t>The application used an epidemiological approach for each subpopulation for the financial and budgetary impacts. ESC noted that uptake did not change over time, and considered that uptake of 1–4% for skin ulcers was likely to be underestimated. ESC considered the uptake estimates to be highly uncertain. ESC considered that the costs to the PL may be underestimated because the costs had only accounted for use of five AM grafts for diabetic foot ulcers based on average number of AM grafts used in a 12 week trial, but these wounds would require weekly dressing and in clinical practice may take months to heal and may relapse, potentially requiring many more AM grafts.</w:t>
      </w:r>
    </w:p>
    <w:p w14:paraId="3384D902" w14:textId="77B174E0" w:rsidR="006A0D97" w:rsidRPr="009218F1" w:rsidRDefault="009218F1" w:rsidP="00AB5515">
      <w:pPr>
        <w:spacing w:before="240"/>
      </w:pPr>
      <w:r>
        <w:t xml:space="preserve">ESC noted concerns from the policy area that uptake of AM is likely to be considerable if the products are listed on the PL, and the lack of comparators on the PL will likely result in additional expenditure for private health insurers. ESC noted there is the potential for patients to be admitted to hospital in order for PL benefits for AM to be claimed, rather than being treated in the community where the patient would incur out-of-pocket costs for AM, and that this may </w:t>
      </w:r>
      <w:r w:rsidRPr="00D11CEB">
        <w:t>have unintended consequences where patients are admitted to gain access to this treatment</w:t>
      </w:r>
      <w:r>
        <w:t>. In addition, ESC noted that AM is currently being used in Australia by optometrists, indicating that its use may be wider than in-hospital only. ESC considered that this raised equity issues, in that patients should not be treated differently for the same condition if they are inpatients or outpatients, nor should they be treated differently if they consult a general practitioner, specialist, optometrist, nurse or podiatrist for the same condition.</w:t>
      </w:r>
    </w:p>
    <w:p w14:paraId="0A85F20E" w14:textId="77777777" w:rsidR="00D90A38" w:rsidRPr="00F715D1" w:rsidRDefault="00BC1364" w:rsidP="00F715D1">
      <w:pPr>
        <w:pStyle w:val="Heading1"/>
      </w:pPr>
      <w:r w:rsidRPr="00F715D1">
        <w:t>Other significant factors</w:t>
      </w:r>
    </w:p>
    <w:p w14:paraId="4FA3ABC5" w14:textId="77777777" w:rsidR="00BC1364" w:rsidRPr="009218F1" w:rsidRDefault="00BC1364" w:rsidP="00F715D1">
      <w:pPr>
        <w:spacing w:after="240"/>
        <w:rPr>
          <w:szCs w:val="24"/>
        </w:rPr>
      </w:pPr>
      <w:r w:rsidRPr="009218F1">
        <w:rPr>
          <w:szCs w:val="24"/>
        </w:rPr>
        <w:t>Nil</w:t>
      </w:r>
      <w:r w:rsidR="009218F1">
        <w:rPr>
          <w:szCs w:val="24"/>
        </w:rPr>
        <w:t>.</w:t>
      </w:r>
    </w:p>
    <w:p w14:paraId="5501969B"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5405F98B" w14:textId="0D55BA0C" w:rsidR="0006462C" w:rsidRPr="0052198A" w:rsidRDefault="0006462C" w:rsidP="0006462C">
      <w:pPr>
        <w:rPr>
          <w:sz w:val="22"/>
          <w:szCs w:val="22"/>
          <w:lang w:eastAsia="en-US"/>
        </w:rPr>
      </w:pPr>
      <w:r w:rsidRPr="0052198A">
        <w:rPr>
          <w:szCs w:val="24"/>
        </w:rPr>
        <w:t xml:space="preserve">The NSW Tissue Bank </w:t>
      </w:r>
      <w:r w:rsidRPr="0052198A">
        <w:t>would like to take the opportunity to respond on the outcome:</w:t>
      </w:r>
    </w:p>
    <w:p w14:paraId="323D76FA" w14:textId="2912D2B8" w:rsidR="0006462C" w:rsidRPr="0052198A" w:rsidRDefault="0006462C" w:rsidP="0006462C">
      <w:pPr>
        <w:numPr>
          <w:ilvl w:val="0"/>
          <w:numId w:val="21"/>
        </w:numPr>
        <w:spacing w:before="100" w:beforeAutospacing="1" w:after="100" w:afterAutospacing="1"/>
      </w:pPr>
      <w:r w:rsidRPr="0052198A">
        <w:t xml:space="preserve">Large randomised controlled studies are yet to be conducted for the </w:t>
      </w:r>
      <w:r w:rsidR="0052198A">
        <w:t>three (</w:t>
      </w:r>
      <w:r w:rsidRPr="0052198A">
        <w:t>3</w:t>
      </w:r>
      <w:r w:rsidR="0052198A">
        <w:t xml:space="preserve">) </w:t>
      </w:r>
      <w:r w:rsidRPr="0052198A">
        <w:t>populations. In the studies presented, the controlled studies show equal to better improvement with AM compared to current treatments; no study shows a negative or worse outcome. The NSW Tissue Bank is keen to support clinical groups to perform studies in this area but often the patient populations such as Stevens</w:t>
      </w:r>
      <w:r w:rsidR="0052198A">
        <w:t>-</w:t>
      </w:r>
      <w:r w:rsidRPr="0052198A">
        <w:t xml:space="preserve">Johnsons </w:t>
      </w:r>
      <w:r w:rsidR="0052198A">
        <w:t>S</w:t>
      </w:r>
      <w:r w:rsidRPr="0052198A">
        <w:t xml:space="preserve">yndrome are rare and difficult to conduct.  </w:t>
      </w:r>
    </w:p>
    <w:p w14:paraId="7B0A1BC6" w14:textId="7CBE4D94" w:rsidR="0006462C" w:rsidRPr="0052198A" w:rsidRDefault="0006462C" w:rsidP="0006462C">
      <w:pPr>
        <w:numPr>
          <w:ilvl w:val="0"/>
          <w:numId w:val="21"/>
        </w:numPr>
        <w:spacing w:before="100" w:beforeAutospacing="1" w:after="100" w:afterAutospacing="1"/>
      </w:pPr>
      <w:r w:rsidRPr="0052198A">
        <w:t>The committee is correct in the heterogeneity of patient subpopulations. This is very much a circumstance where AM is being used across a lot of chronic diseases as there are few other treatments with high efficacy, or the treatments available are much more expensive than AM. Further studies will be able to support this benefit, but we reiterate that the AM treatment is invariably equal to or better than current standards across all groups.</w:t>
      </w:r>
    </w:p>
    <w:p w14:paraId="4DD87BA8" w14:textId="665468FF" w:rsidR="0006462C" w:rsidRPr="0052198A" w:rsidRDefault="0006462C" w:rsidP="0006462C">
      <w:pPr>
        <w:numPr>
          <w:ilvl w:val="0"/>
          <w:numId w:val="21"/>
        </w:numPr>
        <w:spacing w:before="100" w:beforeAutospacing="1" w:after="100" w:afterAutospacing="1"/>
      </w:pPr>
      <w:r w:rsidRPr="0052198A">
        <w:t>There is a discrepancy in the key points and discussion section of the ESC minutes regarding the long</w:t>
      </w:r>
      <w:r w:rsidR="0052198A">
        <w:t>-</w:t>
      </w:r>
      <w:r w:rsidRPr="0052198A">
        <w:t>term safety data for all populations. AM is a biological dressing which breaks down to be replaced by a patient’s own tissue after 12 weeks; AMT usually breaks down in 3 weeks. As such, studies have not focussed on long</w:t>
      </w:r>
      <w:r w:rsidR="0052198A">
        <w:t>-</w:t>
      </w:r>
      <w:r w:rsidRPr="0052198A">
        <w:t xml:space="preserve">term </w:t>
      </w:r>
      <w:r w:rsidRPr="0052198A">
        <w:lastRenderedPageBreak/>
        <w:t xml:space="preserve">effects and safety but on the primary outcome - usually wound healing. Given the biological mechanism of AM, long term safety issues are not scientifically expected except for transmission of infectious agents that is mitigated by donor screening (medical and social history assessment), safety testing (serology, </w:t>
      </w:r>
      <w:r w:rsidR="004F127A">
        <w:t>nucleic acid testing</w:t>
      </w:r>
      <w:r w:rsidRPr="0052198A">
        <w:t>, micro sampling) and tissue processing (bioburden reduction measures).</w:t>
      </w:r>
    </w:p>
    <w:p w14:paraId="1EF16FD3" w14:textId="67A5D980" w:rsidR="0006462C" w:rsidRPr="00D65623" w:rsidRDefault="0006462C" w:rsidP="00D65623">
      <w:pPr>
        <w:numPr>
          <w:ilvl w:val="0"/>
          <w:numId w:val="21"/>
        </w:numPr>
        <w:spacing w:before="100" w:beforeAutospacing="1" w:after="100" w:afterAutospacing="1"/>
      </w:pPr>
      <w:r w:rsidRPr="0052198A">
        <w:t>Cost of product- a 5cm</w:t>
      </w:r>
      <w:r w:rsidRPr="0052198A">
        <w:rPr>
          <w:vertAlign w:val="superscript"/>
        </w:rPr>
        <w:t>2</w:t>
      </w:r>
      <w:r w:rsidRPr="0052198A">
        <w:t xml:space="preserve"> AM disc is costed for $578.57, the most common preparation for ocular use. The committee noted the NHS utilises a 2x2cm</w:t>
      </w:r>
      <w:r w:rsidRPr="0052198A">
        <w:rPr>
          <w:vertAlign w:val="superscript"/>
        </w:rPr>
        <w:t>2</w:t>
      </w:r>
      <w:r w:rsidRPr="0052198A">
        <w:t xml:space="preserve"> graft. This would cover the cornea alone. Most surgeons prefer the larger size due to the ability to select the best section for the transplant and ability to double or triple the layering on the ocular surface. The medical directors (ophthalmic surgeons) of the NSW Tissue Bank recommend the larger size be retained as it increases the utility of the tissue, we are not limited by tissue supply and the cost benefit of a smaller piece will be minimal as the major cost is tissue preparation. AM is not wasted by surgeons but the excess trimmed after complete coverage achieved</w:t>
      </w:r>
      <w:r w:rsidR="00204AD1" w:rsidRPr="0052198A">
        <w:t>.</w:t>
      </w:r>
    </w:p>
    <w:p w14:paraId="28C32F37" w14:textId="77777777" w:rsidR="00BC1364" w:rsidRPr="00F715D1" w:rsidRDefault="00271F18" w:rsidP="00F715D1">
      <w:pPr>
        <w:pStyle w:val="Heading1"/>
      </w:pPr>
      <w:r w:rsidRPr="00F715D1">
        <w:t>Further information on MSAC</w:t>
      </w:r>
    </w:p>
    <w:p w14:paraId="62F7252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3"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24"/>
      <w:headerReference w:type="default" r:id="rId25"/>
      <w:footerReference w:type="even" r:id="rId26"/>
      <w:footerReference w:type="default" r:id="rId27"/>
      <w:headerReference w:type="first" r:id="rId28"/>
      <w:footerReference w:type="first" r:id="rId2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ED75D" w14:textId="77777777" w:rsidR="00204AD1" w:rsidRDefault="00204AD1" w:rsidP="00065623">
      <w:r>
        <w:separator/>
      </w:r>
    </w:p>
  </w:endnote>
  <w:endnote w:type="continuationSeparator" w:id="0">
    <w:p w14:paraId="3725B8AF" w14:textId="77777777" w:rsidR="00204AD1" w:rsidRDefault="00204AD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C070" w14:textId="77777777" w:rsidR="00E74D9F" w:rsidRDefault="00E74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9E6A043" w14:textId="4A9F18F5" w:rsidR="00204AD1" w:rsidRDefault="00204AD1">
        <w:pPr>
          <w:pStyle w:val="Footer"/>
          <w:jc w:val="right"/>
        </w:pPr>
        <w:r>
          <w:fldChar w:fldCharType="begin"/>
        </w:r>
        <w:r>
          <w:instrText xml:space="preserve"> PAGE   \* MERGEFORMAT </w:instrText>
        </w:r>
        <w:r>
          <w:fldChar w:fldCharType="separate"/>
        </w:r>
        <w:r w:rsidR="00444F7B">
          <w:rPr>
            <w:noProof/>
          </w:rPr>
          <w:t>32</w:t>
        </w:r>
        <w:r>
          <w:rPr>
            <w:noProof/>
          </w:rPr>
          <w:fldChar w:fldCharType="end"/>
        </w:r>
      </w:p>
    </w:sdtContent>
  </w:sdt>
  <w:p w14:paraId="3F9EEB9A" w14:textId="77777777" w:rsidR="00204AD1" w:rsidRDefault="00204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3153" w14:textId="77777777" w:rsidR="00E74D9F" w:rsidRDefault="00E74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98098" w14:textId="77777777" w:rsidR="00204AD1" w:rsidRDefault="00204AD1" w:rsidP="00065623">
      <w:r>
        <w:separator/>
      </w:r>
    </w:p>
  </w:footnote>
  <w:footnote w:type="continuationSeparator" w:id="0">
    <w:p w14:paraId="24047C13" w14:textId="77777777" w:rsidR="00204AD1" w:rsidRDefault="00204AD1" w:rsidP="00065623">
      <w:r>
        <w:continuationSeparator/>
      </w:r>
    </w:p>
  </w:footnote>
  <w:footnote w:id="1">
    <w:p w14:paraId="623260D3" w14:textId="2F43973C" w:rsidR="00204AD1" w:rsidRDefault="00204AD1">
      <w:pPr>
        <w:pStyle w:val="FootnoteText"/>
      </w:pPr>
      <w:r>
        <w:rPr>
          <w:rStyle w:val="FootnoteReference"/>
        </w:rPr>
        <w:footnoteRef/>
      </w:r>
      <w:r>
        <w:t xml:space="preserve"> </w:t>
      </w:r>
      <w:hyperlink r:id="rId1" w:history="1">
        <w:r w:rsidRPr="002B4E70">
          <w:rPr>
            <w:rStyle w:val="Hyperlink"/>
          </w:rPr>
          <w:t>NCT04457752</w:t>
        </w:r>
      </w:hyperlink>
      <w:r>
        <w:t xml:space="preserve"> and </w:t>
      </w:r>
      <w:hyperlink r:id="rId2" w:history="1">
        <w:r w:rsidRPr="002B4E70">
          <w:rPr>
            <w:rStyle w:val="Hyperlink"/>
          </w:rPr>
          <w:t>NCT02929056</w:t>
        </w:r>
      </w:hyperlink>
    </w:p>
  </w:footnote>
  <w:footnote w:id="2">
    <w:p w14:paraId="6EA35EFB" w14:textId="77777777" w:rsidR="00204AD1" w:rsidRDefault="00204AD1" w:rsidP="00D62BE8">
      <w:pPr>
        <w:pStyle w:val="FootnoteText"/>
      </w:pPr>
      <w:r>
        <w:rPr>
          <w:rStyle w:val="FootnoteReference"/>
        </w:rPr>
        <w:footnoteRef/>
      </w:r>
      <w:r>
        <w:t xml:space="preserve"> </w:t>
      </w:r>
      <w:hyperlink r:id="rId3" w:history="1">
        <w:r w:rsidRPr="002B4E70">
          <w:rPr>
            <w:rStyle w:val="Hyperlink"/>
          </w:rPr>
          <w:t>NCT04457752</w:t>
        </w:r>
      </w:hyperlink>
      <w:r>
        <w:t xml:space="preserve"> and </w:t>
      </w:r>
      <w:hyperlink r:id="rId4" w:history="1">
        <w:r w:rsidRPr="002B4E70">
          <w:rPr>
            <w:rStyle w:val="Hyperlink"/>
          </w:rPr>
          <w:t>NCT02929056</w:t>
        </w:r>
      </w:hyperlink>
    </w:p>
  </w:footnote>
  <w:footnote w:id="3">
    <w:p w14:paraId="2FAF7DFE" w14:textId="77777777" w:rsidR="00204AD1" w:rsidRDefault="00204AD1" w:rsidP="008F6E4D">
      <w:pPr>
        <w:pStyle w:val="FootnoteText"/>
      </w:pPr>
      <w:r>
        <w:rPr>
          <w:rStyle w:val="FootnoteReference"/>
        </w:rPr>
        <w:footnoteRef/>
      </w:r>
      <w:r>
        <w:t xml:space="preserve"> </w:t>
      </w:r>
      <w:proofErr w:type="spellStart"/>
      <w:r w:rsidRPr="00714709">
        <w:t>Aihw</w:t>
      </w:r>
      <w:proofErr w:type="spellEnd"/>
      <w:r w:rsidRPr="00714709">
        <w:t>. 2019. Procedures Data Cubes, Procedures and healthcare interventions (ACHI 10th edition), Australia, 2017-18 [Online]. Australian Institute of Health and Welfare. Available: https://www.aihw.gov.au/reports/hospitals/procedures-data-cubes/contents/data-cubes [Accessed 16 March 2020]</w:t>
      </w:r>
    </w:p>
  </w:footnote>
  <w:footnote w:id="4">
    <w:p w14:paraId="7A814938" w14:textId="77777777" w:rsidR="00204AD1" w:rsidRDefault="00204AD1" w:rsidP="009218F1">
      <w:pPr>
        <w:pStyle w:val="FootnoteText"/>
      </w:pPr>
      <w:r>
        <w:rPr>
          <w:rStyle w:val="FootnoteReference"/>
        </w:rPr>
        <w:footnoteRef/>
      </w:r>
      <w:r>
        <w:t xml:space="preserve"> </w:t>
      </w:r>
      <w:proofErr w:type="spellStart"/>
      <w:r w:rsidRPr="00767375">
        <w:t>Zelen</w:t>
      </w:r>
      <w:proofErr w:type="spellEnd"/>
      <w:r w:rsidRPr="00767375">
        <w:t xml:space="preserve"> et al. 2016, </w:t>
      </w:r>
      <w:proofErr w:type="spellStart"/>
      <w:r w:rsidRPr="00767375">
        <w:t>Lavery</w:t>
      </w:r>
      <w:proofErr w:type="spellEnd"/>
      <w:r w:rsidRPr="00767375">
        <w:t xml:space="preserve"> et al. 2014, </w:t>
      </w:r>
      <w:proofErr w:type="spellStart"/>
      <w:r>
        <w:t>DiDomenico</w:t>
      </w:r>
      <w:proofErr w:type="spellEnd"/>
      <w:r>
        <w:t xml:space="preserve"> et al. 2018 and </w:t>
      </w:r>
      <w:proofErr w:type="spellStart"/>
      <w:r>
        <w:t>Tettelbach</w:t>
      </w:r>
      <w:proofErr w:type="spellEnd"/>
      <w:r>
        <w:t xml:space="preserve"> et al. 2019</w:t>
      </w:r>
    </w:p>
  </w:footnote>
  <w:footnote w:id="5">
    <w:p w14:paraId="4CE2E247" w14:textId="77777777" w:rsidR="00204AD1" w:rsidRDefault="00204AD1" w:rsidP="009218F1">
      <w:pPr>
        <w:pStyle w:val="FootnoteText"/>
      </w:pPr>
      <w:r>
        <w:rPr>
          <w:rStyle w:val="FootnoteReference"/>
        </w:rPr>
        <w:footnoteRef/>
      </w:r>
      <w:r>
        <w:t xml:space="preserve"> </w:t>
      </w:r>
      <w:r w:rsidRPr="00345A60">
        <w:t>Cheng, Q</w:t>
      </w:r>
      <w:r>
        <w:t xml:space="preserve"> et al. (</w:t>
      </w:r>
      <w:r w:rsidRPr="00345A60">
        <w:t>2017</w:t>
      </w:r>
      <w:r>
        <w:t>)</w:t>
      </w:r>
      <w:r w:rsidRPr="00345A60">
        <w:t xml:space="preserve"> </w:t>
      </w:r>
      <w:r w:rsidRPr="00ED04D5">
        <w:rPr>
          <w:i/>
        </w:rPr>
        <w:t>International Wound Journal</w:t>
      </w:r>
      <w:r>
        <w:t>. 14(</w:t>
      </w:r>
      <w:r w:rsidRPr="00345A60">
        <w:t>4</w:t>
      </w:r>
      <w:r>
        <w:t>):</w:t>
      </w:r>
      <w:r w:rsidRPr="00345A60">
        <w:t>616-28.</w:t>
      </w:r>
    </w:p>
  </w:footnote>
  <w:footnote w:id="6">
    <w:p w14:paraId="370F9E3A" w14:textId="77777777" w:rsidR="00204AD1" w:rsidRDefault="00204AD1" w:rsidP="009218F1">
      <w:pPr>
        <w:pStyle w:val="FootnoteText"/>
      </w:pPr>
      <w:r>
        <w:rPr>
          <w:rStyle w:val="FootnoteReference"/>
        </w:rPr>
        <w:footnoteRef/>
      </w:r>
      <w:r>
        <w:t xml:space="preserve"> </w:t>
      </w:r>
      <w:r w:rsidRPr="00345A60">
        <w:t>Cheng, Q</w:t>
      </w:r>
      <w:r>
        <w:t xml:space="preserve"> et al. (</w:t>
      </w:r>
      <w:r w:rsidRPr="00345A60">
        <w:t>2017</w:t>
      </w:r>
      <w:r>
        <w:t>)</w:t>
      </w:r>
      <w:r w:rsidRPr="00345A60">
        <w:t xml:space="preserve"> </w:t>
      </w:r>
      <w:r w:rsidRPr="00ED04D5">
        <w:rPr>
          <w:i/>
        </w:rPr>
        <w:t>International Wound Journal</w:t>
      </w:r>
      <w:r>
        <w:t>. 14(</w:t>
      </w:r>
      <w:r w:rsidRPr="00345A60">
        <w:t>4</w:t>
      </w:r>
      <w:r>
        <w:t>):</w:t>
      </w:r>
      <w:r w:rsidRPr="00345A60">
        <w:t>616-28.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D96A" w14:textId="77777777" w:rsidR="00E74D9F" w:rsidRDefault="00E74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26E8" w14:textId="77777777" w:rsidR="00E74D9F" w:rsidRDefault="00E74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5D34" w14:textId="77777777" w:rsidR="00E74D9F" w:rsidRDefault="00E7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39D"/>
    <w:multiLevelType w:val="hybridMultilevel"/>
    <w:tmpl w:val="B21440E8"/>
    <w:lvl w:ilvl="0" w:tplc="A8DEE610">
      <w:numFmt w:val="bullet"/>
      <w:lvlText w:val="•"/>
      <w:lvlJc w:val="left"/>
      <w:pPr>
        <w:ind w:left="785" w:hanging="360"/>
      </w:pPr>
      <w:rPr>
        <w:rFonts w:ascii="Times New Roman" w:eastAsia="Times New Roman" w:hAnsi="Times New Roman"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07742F5B"/>
    <w:multiLevelType w:val="hybridMultilevel"/>
    <w:tmpl w:val="02D05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F66DC"/>
    <w:multiLevelType w:val="multilevel"/>
    <w:tmpl w:val="9D344A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D55758"/>
    <w:multiLevelType w:val="hybridMultilevel"/>
    <w:tmpl w:val="050AA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F2932"/>
    <w:multiLevelType w:val="hybridMultilevel"/>
    <w:tmpl w:val="2B6A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36D61"/>
    <w:multiLevelType w:val="hybridMultilevel"/>
    <w:tmpl w:val="D12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F3527"/>
    <w:multiLevelType w:val="hybridMultilevel"/>
    <w:tmpl w:val="8A9E321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694835"/>
    <w:multiLevelType w:val="hybridMultilevel"/>
    <w:tmpl w:val="ADA2B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E37AC"/>
    <w:multiLevelType w:val="hybridMultilevel"/>
    <w:tmpl w:val="88F80B18"/>
    <w:lvl w:ilvl="0" w:tplc="A8DEE6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3" w15:restartNumberingAfterBreak="0">
    <w:nsid w:val="4F4A0B1F"/>
    <w:multiLevelType w:val="hybridMultilevel"/>
    <w:tmpl w:val="8B6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411A8"/>
    <w:multiLevelType w:val="hybridMultilevel"/>
    <w:tmpl w:val="25E8A3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191C26"/>
    <w:multiLevelType w:val="hybridMultilevel"/>
    <w:tmpl w:val="0E821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7A7E8E"/>
    <w:multiLevelType w:val="hybridMultilevel"/>
    <w:tmpl w:val="C6DC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065EA"/>
    <w:multiLevelType w:val="hybridMultilevel"/>
    <w:tmpl w:val="B734F52E"/>
    <w:lvl w:ilvl="0" w:tplc="C4B855B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3280AC1"/>
    <w:multiLevelType w:val="hybridMultilevel"/>
    <w:tmpl w:val="5A2A87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FC5583"/>
    <w:multiLevelType w:val="hybridMultilevel"/>
    <w:tmpl w:val="7938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D20AD2"/>
    <w:multiLevelType w:val="hybridMultilevel"/>
    <w:tmpl w:val="FB08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16"/>
  </w:num>
  <w:num w:numId="6">
    <w:abstractNumId w:val="21"/>
  </w:num>
  <w:num w:numId="7">
    <w:abstractNumId w:val="18"/>
  </w:num>
  <w:num w:numId="8">
    <w:abstractNumId w:val="5"/>
  </w:num>
  <w:num w:numId="9">
    <w:abstractNumId w:val="6"/>
  </w:num>
  <w:num w:numId="10">
    <w:abstractNumId w:val="19"/>
  </w:num>
  <w:num w:numId="11">
    <w:abstractNumId w:val="12"/>
  </w:num>
  <w:num w:numId="12">
    <w:abstractNumId w:val="8"/>
  </w:num>
  <w:num w:numId="13">
    <w:abstractNumId w:val="14"/>
  </w:num>
  <w:num w:numId="14">
    <w:abstractNumId w:val="3"/>
  </w:num>
  <w:num w:numId="15">
    <w:abstractNumId w:val="15"/>
  </w:num>
  <w:num w:numId="16">
    <w:abstractNumId w:val="1"/>
  </w:num>
  <w:num w:numId="17">
    <w:abstractNumId w:val="13"/>
  </w:num>
  <w:num w:numId="18">
    <w:abstractNumId w:val="7"/>
  </w:num>
  <w:num w:numId="19">
    <w:abstractNumId w:val="20"/>
  </w:num>
  <w:num w:numId="20">
    <w:abstractNumId w:val="9"/>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36CA"/>
    <w:rsid w:val="000317F2"/>
    <w:rsid w:val="000436B8"/>
    <w:rsid w:val="0004553E"/>
    <w:rsid w:val="000468C2"/>
    <w:rsid w:val="00047606"/>
    <w:rsid w:val="0005362B"/>
    <w:rsid w:val="0006462C"/>
    <w:rsid w:val="00065623"/>
    <w:rsid w:val="000663AA"/>
    <w:rsid w:val="000756B9"/>
    <w:rsid w:val="00084ACB"/>
    <w:rsid w:val="00096B67"/>
    <w:rsid w:val="00096DAF"/>
    <w:rsid w:val="000A66AD"/>
    <w:rsid w:val="000B4CDA"/>
    <w:rsid w:val="000C2F47"/>
    <w:rsid w:val="000D2B9A"/>
    <w:rsid w:val="000D6C00"/>
    <w:rsid w:val="000E4E04"/>
    <w:rsid w:val="000E6425"/>
    <w:rsid w:val="000F14B4"/>
    <w:rsid w:val="000F75DF"/>
    <w:rsid w:val="001018E3"/>
    <w:rsid w:val="001023DC"/>
    <w:rsid w:val="0011481F"/>
    <w:rsid w:val="001328FA"/>
    <w:rsid w:val="00147AAF"/>
    <w:rsid w:val="001552C0"/>
    <w:rsid w:val="001640B1"/>
    <w:rsid w:val="0018435E"/>
    <w:rsid w:val="001A59F8"/>
    <w:rsid w:val="001B499E"/>
    <w:rsid w:val="001D28DC"/>
    <w:rsid w:val="001F4142"/>
    <w:rsid w:val="002041A1"/>
    <w:rsid w:val="00204AD1"/>
    <w:rsid w:val="002054F0"/>
    <w:rsid w:val="0021765D"/>
    <w:rsid w:val="0022043C"/>
    <w:rsid w:val="00230D6B"/>
    <w:rsid w:val="00232068"/>
    <w:rsid w:val="002330F2"/>
    <w:rsid w:val="00237B03"/>
    <w:rsid w:val="00243D9E"/>
    <w:rsid w:val="00251D71"/>
    <w:rsid w:val="00253B66"/>
    <w:rsid w:val="00261DF1"/>
    <w:rsid w:val="00271F18"/>
    <w:rsid w:val="00282779"/>
    <w:rsid w:val="0028334D"/>
    <w:rsid w:val="002B4E70"/>
    <w:rsid w:val="002B7FFA"/>
    <w:rsid w:val="002C2BCF"/>
    <w:rsid w:val="002E64FD"/>
    <w:rsid w:val="002F279D"/>
    <w:rsid w:val="002F43B8"/>
    <w:rsid w:val="002F7B7D"/>
    <w:rsid w:val="003150EA"/>
    <w:rsid w:val="00336856"/>
    <w:rsid w:val="0034554D"/>
    <w:rsid w:val="00351E72"/>
    <w:rsid w:val="00352224"/>
    <w:rsid w:val="0035585B"/>
    <w:rsid w:val="003671E6"/>
    <w:rsid w:val="00384272"/>
    <w:rsid w:val="00386D67"/>
    <w:rsid w:val="00387C50"/>
    <w:rsid w:val="003945B8"/>
    <w:rsid w:val="0039694E"/>
    <w:rsid w:val="003B1BAE"/>
    <w:rsid w:val="003C6DC9"/>
    <w:rsid w:val="003D45BF"/>
    <w:rsid w:val="003D7F29"/>
    <w:rsid w:val="003E7991"/>
    <w:rsid w:val="00405A6B"/>
    <w:rsid w:val="00406F2D"/>
    <w:rsid w:val="00407B1F"/>
    <w:rsid w:val="0041184F"/>
    <w:rsid w:val="00414C57"/>
    <w:rsid w:val="0041758C"/>
    <w:rsid w:val="00444F7B"/>
    <w:rsid w:val="004539DE"/>
    <w:rsid w:val="00463816"/>
    <w:rsid w:val="00472C3A"/>
    <w:rsid w:val="004967B0"/>
    <w:rsid w:val="004A2CF1"/>
    <w:rsid w:val="004A4D40"/>
    <w:rsid w:val="004C3035"/>
    <w:rsid w:val="004C307F"/>
    <w:rsid w:val="004E4BA8"/>
    <w:rsid w:val="004F127A"/>
    <w:rsid w:val="004F340F"/>
    <w:rsid w:val="004F7B7C"/>
    <w:rsid w:val="0050331F"/>
    <w:rsid w:val="00505B52"/>
    <w:rsid w:val="0052198A"/>
    <w:rsid w:val="0052243D"/>
    <w:rsid w:val="00532435"/>
    <w:rsid w:val="005454D2"/>
    <w:rsid w:val="00550354"/>
    <w:rsid w:val="00567460"/>
    <w:rsid w:val="00567A4B"/>
    <w:rsid w:val="00571236"/>
    <w:rsid w:val="005953A1"/>
    <w:rsid w:val="005A4362"/>
    <w:rsid w:val="005A54F9"/>
    <w:rsid w:val="005B5434"/>
    <w:rsid w:val="005D0332"/>
    <w:rsid w:val="005D0D8C"/>
    <w:rsid w:val="005E2B84"/>
    <w:rsid w:val="0060589D"/>
    <w:rsid w:val="0062227B"/>
    <w:rsid w:val="0062330D"/>
    <w:rsid w:val="00650B96"/>
    <w:rsid w:val="006630F1"/>
    <w:rsid w:val="00665817"/>
    <w:rsid w:val="00673664"/>
    <w:rsid w:val="006776AE"/>
    <w:rsid w:val="006A0D97"/>
    <w:rsid w:val="006A5B44"/>
    <w:rsid w:val="006A7EA6"/>
    <w:rsid w:val="006B1F86"/>
    <w:rsid w:val="006C0A91"/>
    <w:rsid w:val="006D132D"/>
    <w:rsid w:val="007054BB"/>
    <w:rsid w:val="00707064"/>
    <w:rsid w:val="00730683"/>
    <w:rsid w:val="007462BD"/>
    <w:rsid w:val="0075261F"/>
    <w:rsid w:val="0075468E"/>
    <w:rsid w:val="00755ED9"/>
    <w:rsid w:val="007665D8"/>
    <w:rsid w:val="00766E36"/>
    <w:rsid w:val="007765F4"/>
    <w:rsid w:val="00776633"/>
    <w:rsid w:val="00784D53"/>
    <w:rsid w:val="00792B87"/>
    <w:rsid w:val="00793D2C"/>
    <w:rsid w:val="00797797"/>
    <w:rsid w:val="007A63C9"/>
    <w:rsid w:val="007B1E52"/>
    <w:rsid w:val="007B32D1"/>
    <w:rsid w:val="007B7095"/>
    <w:rsid w:val="007D075C"/>
    <w:rsid w:val="007D24E1"/>
    <w:rsid w:val="007D6288"/>
    <w:rsid w:val="007D63F2"/>
    <w:rsid w:val="007E4DA0"/>
    <w:rsid w:val="007E67A8"/>
    <w:rsid w:val="007F4CE9"/>
    <w:rsid w:val="007F4E20"/>
    <w:rsid w:val="00822C7E"/>
    <w:rsid w:val="0083024F"/>
    <w:rsid w:val="008337C3"/>
    <w:rsid w:val="00847060"/>
    <w:rsid w:val="00847A36"/>
    <w:rsid w:val="00856A33"/>
    <w:rsid w:val="00860914"/>
    <w:rsid w:val="008863EA"/>
    <w:rsid w:val="008924EB"/>
    <w:rsid w:val="00892620"/>
    <w:rsid w:val="008B6824"/>
    <w:rsid w:val="008C085D"/>
    <w:rsid w:val="008C778E"/>
    <w:rsid w:val="008C7D37"/>
    <w:rsid w:val="008D1722"/>
    <w:rsid w:val="008D5885"/>
    <w:rsid w:val="008F6E4D"/>
    <w:rsid w:val="009218F1"/>
    <w:rsid w:val="00923FA2"/>
    <w:rsid w:val="009242B1"/>
    <w:rsid w:val="00926B7E"/>
    <w:rsid w:val="0096060D"/>
    <w:rsid w:val="00974A50"/>
    <w:rsid w:val="0097585A"/>
    <w:rsid w:val="009924B0"/>
    <w:rsid w:val="009942C9"/>
    <w:rsid w:val="009B35C4"/>
    <w:rsid w:val="009C630A"/>
    <w:rsid w:val="009E0D98"/>
    <w:rsid w:val="00A068A1"/>
    <w:rsid w:val="00A1207D"/>
    <w:rsid w:val="00A12FD8"/>
    <w:rsid w:val="00A16209"/>
    <w:rsid w:val="00A346FC"/>
    <w:rsid w:val="00A458EF"/>
    <w:rsid w:val="00A46D77"/>
    <w:rsid w:val="00A52352"/>
    <w:rsid w:val="00A6376C"/>
    <w:rsid w:val="00A703C1"/>
    <w:rsid w:val="00A846F2"/>
    <w:rsid w:val="00A84F93"/>
    <w:rsid w:val="00AB1AC5"/>
    <w:rsid w:val="00AB3BFC"/>
    <w:rsid w:val="00AB5515"/>
    <w:rsid w:val="00AC4F2E"/>
    <w:rsid w:val="00AC6461"/>
    <w:rsid w:val="00AD0C37"/>
    <w:rsid w:val="00AD385F"/>
    <w:rsid w:val="00AE6E2A"/>
    <w:rsid w:val="00B016ED"/>
    <w:rsid w:val="00B03EAB"/>
    <w:rsid w:val="00B27ED3"/>
    <w:rsid w:val="00B31E9C"/>
    <w:rsid w:val="00B35595"/>
    <w:rsid w:val="00B51C6D"/>
    <w:rsid w:val="00B57167"/>
    <w:rsid w:val="00B739A4"/>
    <w:rsid w:val="00B77318"/>
    <w:rsid w:val="00B83DD2"/>
    <w:rsid w:val="00B86D64"/>
    <w:rsid w:val="00B90EB7"/>
    <w:rsid w:val="00BA0EDA"/>
    <w:rsid w:val="00BA4AC5"/>
    <w:rsid w:val="00BC1364"/>
    <w:rsid w:val="00BC2667"/>
    <w:rsid w:val="00BC5394"/>
    <w:rsid w:val="00BC7DE9"/>
    <w:rsid w:val="00BD256E"/>
    <w:rsid w:val="00BE14B2"/>
    <w:rsid w:val="00BE1A3C"/>
    <w:rsid w:val="00BF297C"/>
    <w:rsid w:val="00BF479B"/>
    <w:rsid w:val="00C02577"/>
    <w:rsid w:val="00C06B0B"/>
    <w:rsid w:val="00C204FB"/>
    <w:rsid w:val="00C20BEE"/>
    <w:rsid w:val="00C2158D"/>
    <w:rsid w:val="00C33EC2"/>
    <w:rsid w:val="00C35DF3"/>
    <w:rsid w:val="00C41EF9"/>
    <w:rsid w:val="00C67DD2"/>
    <w:rsid w:val="00C725CB"/>
    <w:rsid w:val="00C76F5C"/>
    <w:rsid w:val="00C86B26"/>
    <w:rsid w:val="00C96BAD"/>
    <w:rsid w:val="00CA6944"/>
    <w:rsid w:val="00CB0F8E"/>
    <w:rsid w:val="00CB7E7D"/>
    <w:rsid w:val="00CC2911"/>
    <w:rsid w:val="00CF0C6D"/>
    <w:rsid w:val="00CF3B2C"/>
    <w:rsid w:val="00CF4E81"/>
    <w:rsid w:val="00CF7307"/>
    <w:rsid w:val="00CF7C68"/>
    <w:rsid w:val="00D067C3"/>
    <w:rsid w:val="00D124FA"/>
    <w:rsid w:val="00D340DE"/>
    <w:rsid w:val="00D37E64"/>
    <w:rsid w:val="00D4651D"/>
    <w:rsid w:val="00D55723"/>
    <w:rsid w:val="00D62BE8"/>
    <w:rsid w:val="00D62FAD"/>
    <w:rsid w:val="00D62FDD"/>
    <w:rsid w:val="00D64355"/>
    <w:rsid w:val="00D65623"/>
    <w:rsid w:val="00D70450"/>
    <w:rsid w:val="00D83BFD"/>
    <w:rsid w:val="00D90A38"/>
    <w:rsid w:val="00D919C8"/>
    <w:rsid w:val="00D95739"/>
    <w:rsid w:val="00DA0515"/>
    <w:rsid w:val="00DA171E"/>
    <w:rsid w:val="00DA56AA"/>
    <w:rsid w:val="00DB5833"/>
    <w:rsid w:val="00DC434A"/>
    <w:rsid w:val="00DD2858"/>
    <w:rsid w:val="00DF489D"/>
    <w:rsid w:val="00DF65BF"/>
    <w:rsid w:val="00E03E33"/>
    <w:rsid w:val="00E059E0"/>
    <w:rsid w:val="00E15768"/>
    <w:rsid w:val="00E3642A"/>
    <w:rsid w:val="00E415C4"/>
    <w:rsid w:val="00E418DB"/>
    <w:rsid w:val="00E50016"/>
    <w:rsid w:val="00E50EAA"/>
    <w:rsid w:val="00E656D6"/>
    <w:rsid w:val="00E67554"/>
    <w:rsid w:val="00E74D9F"/>
    <w:rsid w:val="00E977EE"/>
    <w:rsid w:val="00EA090D"/>
    <w:rsid w:val="00EA2F24"/>
    <w:rsid w:val="00EA5C0E"/>
    <w:rsid w:val="00EA67A2"/>
    <w:rsid w:val="00EB630F"/>
    <w:rsid w:val="00EB6B6F"/>
    <w:rsid w:val="00EC4F98"/>
    <w:rsid w:val="00ED0884"/>
    <w:rsid w:val="00EE0692"/>
    <w:rsid w:val="00EE7139"/>
    <w:rsid w:val="00F04CB1"/>
    <w:rsid w:val="00F05888"/>
    <w:rsid w:val="00F10FFC"/>
    <w:rsid w:val="00F12F02"/>
    <w:rsid w:val="00F23A0D"/>
    <w:rsid w:val="00F27C8E"/>
    <w:rsid w:val="00F32E0D"/>
    <w:rsid w:val="00F35134"/>
    <w:rsid w:val="00F37B9C"/>
    <w:rsid w:val="00F41812"/>
    <w:rsid w:val="00F56D7F"/>
    <w:rsid w:val="00F715D1"/>
    <w:rsid w:val="00F72715"/>
    <w:rsid w:val="00F73333"/>
    <w:rsid w:val="00F91C45"/>
    <w:rsid w:val="00F95D8F"/>
    <w:rsid w:val="00FA6333"/>
    <w:rsid w:val="00FB350A"/>
    <w:rsid w:val="00FB4C5D"/>
    <w:rsid w:val="00FC0313"/>
    <w:rsid w:val="00FE1C3F"/>
    <w:rsid w:val="00FE731D"/>
    <w:rsid w:val="00FF0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B9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
    <w:qFormat/>
    <w:rsid w:val="00A846F2"/>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locked/>
    <w:rsid w:val="008F6E4D"/>
    <w:pPr>
      <w:autoSpaceDE w:val="0"/>
      <w:autoSpaceDN w:val="0"/>
      <w:adjustRightInd w:val="0"/>
      <w:outlineLvl w:val="1"/>
    </w:pPr>
    <w:rPr>
      <w:b/>
    </w:rPr>
  </w:style>
  <w:style w:type="paragraph" w:styleId="Heading3">
    <w:name w:val="heading 3"/>
    <w:basedOn w:val="Heading2"/>
    <w:next w:val="Normal"/>
    <w:link w:val="Heading3Char"/>
    <w:uiPriority w:val="9"/>
    <w:unhideWhenUsed/>
    <w:qFormat/>
    <w:locked/>
    <w:rsid w:val="008F6E4D"/>
    <w:pPr>
      <w:outlineLvl w:val="2"/>
    </w:pPr>
    <w:rPr>
      <w:b w:val="0"/>
      <w:i/>
    </w:rPr>
  </w:style>
  <w:style w:type="paragraph" w:styleId="Heading4">
    <w:name w:val="heading 4"/>
    <w:basedOn w:val="Normal"/>
    <w:next w:val="Normal"/>
    <w:link w:val="Heading4Char"/>
    <w:uiPriority w:val="9"/>
    <w:semiHidden/>
    <w:unhideWhenUsed/>
    <w:qFormat/>
    <w:locked/>
    <w:rsid w:val="006058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ES Paragraph,PBAC ES Paragraph,PBAC normal 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8F6E4D"/>
    <w:rPr>
      <w:rFonts w:eastAsia="Times New Roman"/>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3D45BF"/>
    <w:rPr>
      <w:rFonts w:eastAsia="Times New Roman"/>
      <w:sz w:val="24"/>
      <w:szCs w:val="20"/>
    </w:rPr>
  </w:style>
  <w:style w:type="paragraph" w:customStyle="1" w:styleId="Tabletext">
    <w:name w:val="Table text"/>
    <w:basedOn w:val="Normal"/>
    <w:link w:val="TabletextChar"/>
    <w:qFormat/>
    <w:rsid w:val="003D45BF"/>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3D45BF"/>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FigureHeading"/>
    <w:basedOn w:val="Normal"/>
    <w:next w:val="Normal"/>
    <w:link w:val="CaptionChar"/>
    <w:uiPriority w:val="99"/>
    <w:unhideWhenUsed/>
    <w:qFormat/>
    <w:locked/>
    <w:rsid w:val="003D45BF"/>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FigureHeading Char"/>
    <w:basedOn w:val="DefaultParagraphFont"/>
    <w:link w:val="Caption"/>
    <w:uiPriority w:val="99"/>
    <w:rsid w:val="003D45BF"/>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AB5515"/>
    <w:pPr>
      <w:widowControl w:val="0"/>
      <w:contextualSpacing/>
      <w:jc w:val="both"/>
    </w:pPr>
    <w:rPr>
      <w:rFonts w:ascii="Arial Narrow" w:hAnsi="Arial Narrow" w:cs="Arial"/>
      <w:bCs/>
      <w:snapToGrid w:val="0"/>
      <w:sz w:val="18"/>
      <w:lang w:eastAsia="en-US"/>
    </w:rPr>
  </w:style>
  <w:style w:type="character" w:customStyle="1" w:styleId="TablenotesChar">
    <w:name w:val="Tablenotes Char"/>
    <w:basedOn w:val="DefaultParagraphFont"/>
    <w:link w:val="Tablenotes"/>
    <w:rsid w:val="00AB5515"/>
    <w:rPr>
      <w:rFonts w:ascii="Arial Narrow" w:eastAsia="Times New Roman" w:hAnsi="Arial Narrow" w:cs="Arial"/>
      <w:bCs/>
      <w:snapToGrid w:val="0"/>
      <w:sz w:val="18"/>
      <w:szCs w:val="20"/>
      <w:lang w:eastAsia="en-US"/>
    </w:rPr>
  </w:style>
  <w:style w:type="character" w:customStyle="1" w:styleId="Heading3Char">
    <w:name w:val="Heading 3 Char"/>
    <w:basedOn w:val="DefaultParagraphFont"/>
    <w:link w:val="Heading3"/>
    <w:uiPriority w:val="9"/>
    <w:rsid w:val="008F6E4D"/>
    <w:rPr>
      <w:rFonts w:eastAsia="Times New Roman"/>
      <w:i/>
      <w:sz w:val="24"/>
      <w:szCs w:val="20"/>
    </w:rPr>
  </w:style>
  <w:style w:type="character" w:customStyle="1" w:styleId="Heading4Char">
    <w:name w:val="Heading 4 Char"/>
    <w:basedOn w:val="DefaultParagraphFont"/>
    <w:link w:val="Heading4"/>
    <w:uiPriority w:val="9"/>
    <w:semiHidden/>
    <w:rsid w:val="0060589D"/>
    <w:rPr>
      <w:rFonts w:asciiTheme="majorHAnsi" w:eastAsiaTheme="majorEastAsia" w:hAnsiTheme="majorHAnsi" w:cstheme="majorBidi"/>
      <w:b/>
      <w:bCs/>
      <w:i/>
      <w:iCs/>
      <w:color w:val="4F81BD" w:themeColor="accent1"/>
      <w:sz w:val="24"/>
      <w:szCs w:val="20"/>
    </w:rPr>
  </w:style>
  <w:style w:type="paragraph" w:customStyle="1" w:styleId="Table">
    <w:name w:val="Table"/>
    <w:basedOn w:val="Normal"/>
    <w:link w:val="TableChar"/>
    <w:qFormat/>
    <w:rsid w:val="0060589D"/>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60589D"/>
    <w:rPr>
      <w:rFonts w:ascii="Candara" w:eastAsiaTheme="majorEastAsia" w:hAnsi="Candara" w:cstheme="majorBidi"/>
      <w:sz w:val="20"/>
      <w:lang w:eastAsia="en-US" w:bidi="en-US"/>
    </w:rPr>
  </w:style>
  <w:style w:type="paragraph" w:customStyle="1" w:styleId="TableCentre">
    <w:name w:val="Table Centre"/>
    <w:basedOn w:val="Table"/>
    <w:uiPriority w:val="99"/>
    <w:qFormat/>
    <w:rsid w:val="0060589D"/>
    <w:pPr>
      <w:jc w:val="center"/>
    </w:pPr>
  </w:style>
  <w:style w:type="paragraph" w:customStyle="1" w:styleId="Tabletextbold">
    <w:name w:val="Table text bold"/>
    <w:basedOn w:val="Normal"/>
    <w:link w:val="TabletextboldChar"/>
    <w:rsid w:val="0060589D"/>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60589D"/>
    <w:rPr>
      <w:rFonts w:ascii="Arial Narrow" w:eastAsia="Times New Roman" w:hAnsi="Arial Narrow" w:cs="Arial"/>
      <w:b/>
      <w:sz w:val="20"/>
      <w:szCs w:val="20"/>
      <w:lang w:eastAsia="en-US"/>
    </w:rPr>
  </w:style>
  <w:style w:type="paragraph" w:customStyle="1" w:styleId="ESHeading2">
    <w:name w:val="ES Heading 2"/>
    <w:basedOn w:val="Heading2"/>
    <w:link w:val="ESHeading2Char"/>
    <w:rsid w:val="0060589D"/>
    <w:pPr>
      <w:keepNext/>
      <w:autoSpaceDE/>
      <w:autoSpaceDN/>
      <w:adjustRightInd/>
      <w:ind w:left="576" w:hanging="576"/>
      <w:jc w:val="both"/>
    </w:pPr>
    <w:rPr>
      <w:rFonts w:ascii="Garamond" w:hAnsi="Garamond"/>
      <w:b w:val="0"/>
      <w:bCs/>
      <w:i/>
      <w:iCs/>
      <w:szCs w:val="28"/>
    </w:rPr>
  </w:style>
  <w:style w:type="character" w:customStyle="1" w:styleId="ESHeading2Char">
    <w:name w:val="ES Heading 2 Char"/>
    <w:basedOn w:val="Heading2Char"/>
    <w:link w:val="ESHeading2"/>
    <w:rsid w:val="0060589D"/>
    <w:rPr>
      <w:rFonts w:ascii="Garamond" w:eastAsia="Times New Roman" w:hAnsi="Garamond"/>
      <w:b w:val="0"/>
      <w:bCs/>
      <w:i/>
      <w:iCs/>
      <w:sz w:val="24"/>
      <w:szCs w:val="28"/>
    </w:rPr>
  </w:style>
  <w:style w:type="table" w:customStyle="1" w:styleId="Submissiontemplate2">
    <w:name w:val="Submission template2"/>
    <w:basedOn w:val="TableNormal"/>
    <w:uiPriority w:val="99"/>
    <w:rsid w:val="0060589D"/>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Emphasis">
    <w:name w:val="Emphasis"/>
    <w:uiPriority w:val="20"/>
    <w:qFormat/>
    <w:locked/>
    <w:rsid w:val="0060589D"/>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60589D"/>
    <w:pPr>
      <w:jc w:val="left"/>
    </w:pPr>
  </w:style>
  <w:style w:type="character" w:customStyle="1" w:styleId="TabletextboldleftChar">
    <w:name w:val="Table text bold left Char"/>
    <w:basedOn w:val="TabletextboldChar"/>
    <w:link w:val="Tabletextboldleft"/>
    <w:rsid w:val="0060589D"/>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60589D"/>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60589D"/>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60589D"/>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60589D"/>
    <w:pPr>
      <w:jc w:val="center"/>
    </w:pPr>
  </w:style>
  <w:style w:type="character" w:customStyle="1" w:styleId="TabletextcentredChar">
    <w:name w:val="Table text centred Char"/>
    <w:basedOn w:val="TabletextChar"/>
    <w:link w:val="Tabletextcentred"/>
    <w:rsid w:val="0060589D"/>
    <w:rPr>
      <w:rFonts w:ascii="Arial Narrow" w:eastAsia="Times New Roman" w:hAnsi="Arial Narrow"/>
      <w:sz w:val="20"/>
      <w:szCs w:val="24"/>
      <w:lang w:eastAsia="en-US"/>
    </w:rPr>
  </w:style>
  <w:style w:type="character" w:customStyle="1" w:styleId="TableBold">
    <w:name w:val="Table Bold"/>
    <w:uiPriority w:val="4"/>
    <w:qFormat/>
    <w:rsid w:val="0060589D"/>
    <w:rPr>
      <w:rFonts w:ascii="Calibri" w:hAnsi="Calibri" w:hint="default"/>
      <w:b/>
      <w:bCs w:val="0"/>
      <w:sz w:val="20"/>
      <w:lang w:val="en-AU"/>
    </w:rPr>
  </w:style>
  <w:style w:type="table" w:customStyle="1" w:styleId="TableGrid12">
    <w:name w:val="Table Grid12"/>
    <w:basedOn w:val="TableNormal"/>
    <w:next w:val="TableGrid"/>
    <w:uiPriority w:val="59"/>
    <w:rsid w:val="0060589D"/>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60589D"/>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60589D"/>
    <w:rPr>
      <w:rFonts w:ascii="Arial" w:eastAsia="Times New Roman" w:hAnsi="Arial" w:cs="Arial"/>
      <w:color w:val="3366FF"/>
      <w:sz w:val="24"/>
      <w:szCs w:val="24"/>
    </w:rPr>
  </w:style>
  <w:style w:type="paragraph" w:styleId="NoSpacing">
    <w:name w:val="No Spacing"/>
    <w:uiPriority w:val="1"/>
    <w:qFormat/>
    <w:rsid w:val="0060589D"/>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60589D"/>
    <w:pPr>
      <w:numPr>
        <w:numId w:val="11"/>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60589D"/>
    <w:pPr>
      <w:widowControl w:val="0"/>
    </w:pPr>
    <w:rPr>
      <w:snapToGrid w:val="0"/>
      <w:sz w:val="20"/>
      <w:lang w:val="en-US" w:eastAsia="en-US"/>
    </w:rPr>
  </w:style>
  <w:style w:type="character" w:customStyle="1" w:styleId="EndnoteTextChar">
    <w:name w:val="Endnote Text Char"/>
    <w:basedOn w:val="DefaultParagraphFont"/>
    <w:link w:val="EndnoteText"/>
    <w:rsid w:val="0060589D"/>
    <w:rPr>
      <w:rFonts w:eastAsia="Times New Roman"/>
      <w:snapToGrid w:val="0"/>
      <w:sz w:val="20"/>
      <w:szCs w:val="20"/>
      <w:lang w:val="en-US" w:eastAsia="en-US"/>
    </w:rPr>
  </w:style>
  <w:style w:type="character" w:styleId="EndnoteReference">
    <w:name w:val="endnote reference"/>
    <w:basedOn w:val="DefaultParagraphFont"/>
    <w:rsid w:val="0060589D"/>
    <w:rPr>
      <w:vertAlign w:val="superscript"/>
    </w:rPr>
  </w:style>
  <w:style w:type="character" w:customStyle="1" w:styleId="SmallBold">
    <w:name w:val="Small Bold"/>
    <w:basedOn w:val="DefaultParagraphFont"/>
    <w:uiPriority w:val="4"/>
    <w:qFormat/>
    <w:rsid w:val="0060589D"/>
    <w:rPr>
      <w:rFonts w:ascii="Candara" w:hAnsi="Candara"/>
      <w:b/>
      <w:sz w:val="20"/>
      <w:lang w:val="en-AU"/>
    </w:rPr>
  </w:style>
  <w:style w:type="table" w:customStyle="1" w:styleId="Submissiontemplate">
    <w:name w:val="Submission template"/>
    <w:basedOn w:val="TableNormal"/>
    <w:uiPriority w:val="99"/>
    <w:rsid w:val="0060589D"/>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Heading">
    <w:name w:val="TableHeading"/>
    <w:basedOn w:val="Normal"/>
    <w:link w:val="TableHeadingChar"/>
    <w:qFormat/>
    <w:rsid w:val="0060589D"/>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60589D"/>
    <w:rPr>
      <w:rFonts w:ascii="Arial Narrow" w:eastAsia="Times New Roman" w:hAnsi="Arial Narrow" w:cs="Tahoma"/>
      <w:b/>
      <w:noProof/>
      <w:sz w:val="20"/>
      <w:szCs w:val="20"/>
    </w:rPr>
  </w:style>
  <w:style w:type="table" w:customStyle="1" w:styleId="TableGrid2">
    <w:name w:val="Table Grid2"/>
    <w:basedOn w:val="TableNormal"/>
    <w:next w:val="TableGrid"/>
    <w:rsid w:val="0060589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60589D"/>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60589D"/>
    <w:rPr>
      <w:rFonts w:ascii="Arial Narrow" w:eastAsia="Times New Roman" w:hAnsi="Arial Narrow" w:cs="Arial"/>
      <w:snapToGrid w:val="0"/>
      <w:sz w:val="18"/>
      <w:szCs w:val="20"/>
      <w:lang w:eastAsia="en-US"/>
    </w:rPr>
  </w:style>
  <w:style w:type="numbering" w:customStyle="1" w:styleId="Heading1a">
    <w:name w:val="Heading 1a"/>
    <w:basedOn w:val="NoList"/>
    <w:uiPriority w:val="99"/>
    <w:rsid w:val="0060589D"/>
    <w:pPr>
      <w:numPr>
        <w:numId w:val="12"/>
      </w:numPr>
    </w:pPr>
  </w:style>
  <w:style w:type="paragraph" w:customStyle="1" w:styleId="Tabletext-left">
    <w:name w:val="Table text - left"/>
    <w:basedOn w:val="Normal"/>
    <w:link w:val="Tabletext-leftChar"/>
    <w:rsid w:val="0060589D"/>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60589D"/>
    <w:rPr>
      <w:rFonts w:asciiTheme="minorHAnsi" w:eastAsia="Times New Roman" w:hAnsiTheme="minorHAnsi" w:cs="Arial"/>
      <w:sz w:val="20"/>
      <w:szCs w:val="20"/>
      <w:lang w:eastAsia="en-US"/>
    </w:rPr>
  </w:style>
  <w:style w:type="table" w:customStyle="1" w:styleId="TableGrid9">
    <w:name w:val="Table Grid9"/>
    <w:basedOn w:val="TableNormal"/>
    <w:next w:val="TableGrid"/>
    <w:uiPriority w:val="39"/>
    <w:rsid w:val="0060589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589D"/>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table" w:customStyle="1" w:styleId="OPTUMTableNormal">
    <w:name w:val="OPTUM Table Normal"/>
    <w:basedOn w:val="TableNormal"/>
    <w:rsid w:val="0060589D"/>
    <w:pPr>
      <w:spacing w:before="40" w:after="20"/>
    </w:pPr>
    <w:rPr>
      <w:rFonts w:ascii="Calibri" w:eastAsia="SimSu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label">
    <w:name w:val="label"/>
    <w:basedOn w:val="DefaultParagraphFont"/>
    <w:rsid w:val="0060589D"/>
  </w:style>
  <w:style w:type="character" w:customStyle="1" w:styleId="quality-text">
    <w:name w:val="quality-text"/>
    <w:basedOn w:val="DefaultParagraphFont"/>
    <w:rsid w:val="0060589D"/>
  </w:style>
  <w:style w:type="character" w:customStyle="1" w:styleId="comma">
    <w:name w:val="comma"/>
    <w:basedOn w:val="DefaultParagraphFont"/>
    <w:rsid w:val="0060589D"/>
  </w:style>
  <w:style w:type="character" w:customStyle="1" w:styleId="cell">
    <w:name w:val="cell"/>
    <w:basedOn w:val="DefaultParagraphFont"/>
    <w:rsid w:val="0060589D"/>
  </w:style>
  <w:style w:type="character" w:customStyle="1" w:styleId="block">
    <w:name w:val="block"/>
    <w:basedOn w:val="DefaultParagraphFont"/>
    <w:rsid w:val="0060589D"/>
  </w:style>
  <w:style w:type="character" w:customStyle="1" w:styleId="cell-value">
    <w:name w:val="cell-value"/>
    <w:basedOn w:val="DefaultParagraphFont"/>
    <w:rsid w:val="0060589D"/>
  </w:style>
  <w:style w:type="paragraph" w:customStyle="1" w:styleId="Tablenote">
    <w:name w:val="Table note"/>
    <w:basedOn w:val="Tabletext"/>
    <w:rsid w:val="0060589D"/>
    <w:pPr>
      <w:spacing w:before="0" w:after="0"/>
      <w:ind w:left="28"/>
      <w:contextualSpacing/>
    </w:pPr>
    <w:rPr>
      <w:rFonts w:eastAsia="SimSun" w:cs="Tahoma"/>
      <w:szCs w:val="20"/>
      <w:lang w:eastAsia="en-AU"/>
    </w:rPr>
  </w:style>
  <w:style w:type="paragraph" w:customStyle="1" w:styleId="BodyTextSTD">
    <w:name w:val="Body Text STD"/>
    <w:basedOn w:val="Normal"/>
    <w:link w:val="BodyTextSTDChar"/>
    <w:qFormat/>
    <w:rsid w:val="0060589D"/>
    <w:pPr>
      <w:spacing w:after="120" w:line="312" w:lineRule="auto"/>
      <w:contextualSpacing/>
      <w:jc w:val="both"/>
    </w:pPr>
    <w:rPr>
      <w:rFonts w:ascii="Calibri" w:eastAsia="SimSun" w:hAnsi="Calibri" w:cs="Tahoma"/>
      <w:sz w:val="22"/>
      <w:szCs w:val="22"/>
    </w:rPr>
  </w:style>
  <w:style w:type="character" w:customStyle="1" w:styleId="BodyTextSTDChar">
    <w:name w:val="Body Text STD Char"/>
    <w:basedOn w:val="DefaultParagraphFont"/>
    <w:link w:val="BodyTextSTD"/>
    <w:rsid w:val="0060589D"/>
    <w:rPr>
      <w:rFonts w:ascii="Calibri" w:eastAsia="SimSun" w:hAnsi="Calibri" w:cs="Tahoma"/>
    </w:rPr>
  </w:style>
  <w:style w:type="table" w:customStyle="1" w:styleId="TableGrid5">
    <w:name w:val="Table Grid5"/>
    <w:basedOn w:val="TableNormal"/>
    <w:next w:val="TableGrid"/>
    <w:uiPriority w:val="39"/>
    <w:rsid w:val="0060589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60589D"/>
    <w:pPr>
      <w:keepNext/>
      <w:spacing w:before="60" w:after="60"/>
    </w:pPr>
    <w:rPr>
      <w:color w:val="000000"/>
      <w:sz w:val="21"/>
      <w:szCs w:val="21"/>
    </w:rPr>
  </w:style>
  <w:style w:type="paragraph" w:customStyle="1" w:styleId="BulletBeforeDash">
    <w:name w:val="BulletBeforeDash"/>
    <w:basedOn w:val="Normal"/>
    <w:rsid w:val="0060589D"/>
    <w:pPr>
      <w:numPr>
        <w:numId w:val="19"/>
      </w:numPr>
      <w:ind w:left="720"/>
    </w:pPr>
    <w:rPr>
      <w:color w:val="000000"/>
    </w:rPr>
  </w:style>
  <w:style w:type="paragraph" w:customStyle="1" w:styleId="Bullet">
    <w:name w:val="Bullet"/>
    <w:basedOn w:val="BulletBeforeDash"/>
    <w:qFormat/>
    <w:rsid w:val="0060589D"/>
    <w:pPr>
      <w:spacing w:after="120"/>
    </w:pPr>
  </w:style>
  <w:style w:type="paragraph" w:customStyle="1" w:styleId="BulletLast">
    <w:name w:val="BulletLast"/>
    <w:basedOn w:val="Bullet"/>
    <w:qFormat/>
    <w:rsid w:val="0060589D"/>
    <w:pPr>
      <w:spacing w:after="240"/>
    </w:pPr>
  </w:style>
  <w:style w:type="paragraph" w:customStyle="1" w:styleId="NormalBeforeBullet">
    <w:name w:val="NormalBeforeBullet"/>
    <w:basedOn w:val="Normal"/>
    <w:qFormat/>
    <w:rsid w:val="0060589D"/>
    <w:pPr>
      <w:keepNext/>
      <w:spacing w:after="120"/>
    </w:pPr>
    <w:rPr>
      <w:color w:val="000000"/>
    </w:rPr>
  </w:style>
  <w:style w:type="paragraph" w:styleId="Revision">
    <w:name w:val="Revision"/>
    <w:hidden/>
    <w:uiPriority w:val="99"/>
    <w:semiHidden/>
    <w:rsid w:val="0060589D"/>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5833">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20745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1608-public"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www.legislation.gov.au/Series/F2013L00854" TargetMode="External"/><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hart" Target="charts/chart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557-publi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msac.gov.au/" TargetMode="External"/><Relationship Id="rId28" Type="http://schemas.openxmlformats.org/officeDocument/2006/relationships/header" Target="header3.xml"/><Relationship Id="rId10" Type="http://schemas.openxmlformats.org/officeDocument/2006/relationships/hyperlink" Target="http://www.msac.gov.au/internet/msac/publishing.nsf/Content/1556-public" TargetMode="Externa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emf"/><Relationship Id="rId22" Type="http://schemas.openxmlformats.org/officeDocument/2006/relationships/hyperlink" Target="https://www.nhsbt.nhs.uk/tissue-and-eye-services/products/eyes/amniotic-membran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linicaltrials.gov/ct2/show/NCT04457752" TargetMode="External"/><Relationship Id="rId2" Type="http://schemas.openxmlformats.org/officeDocument/2006/relationships/hyperlink" Target="https://clinicaltrials.gov/ct2/show/NCT02929056" TargetMode="External"/><Relationship Id="rId1" Type="http://schemas.openxmlformats.org/officeDocument/2006/relationships/hyperlink" Target="https://clinicaltrials.gov/ct2/show/NCT04457752" TargetMode="External"/><Relationship Id="rId4" Type="http://schemas.openxmlformats.org/officeDocument/2006/relationships/hyperlink" Target="https://clinicaltrials.gov/ct2/show/NCT0292905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llege%20Surgeons\Amnion%20membrane\Report\AM_DFU_Economic_202012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llege%20Surgeons\Amnion%20membrane\Report\AM_DFU_Economic_2020121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666719601226321"/>
          <c:y val="0.1406314521772038"/>
          <c:w val="0.35894536712322728"/>
          <c:h val="0.72088764946048411"/>
        </c:manualLayout>
      </c:layout>
      <c:barChart>
        <c:barDir val="bar"/>
        <c:grouping val="clustered"/>
        <c:varyColors val="0"/>
        <c:ser>
          <c:idx val="0"/>
          <c:order val="0"/>
          <c:spPr>
            <a:solidFill>
              <a:schemeClr val="accent1">
                <a:lumMod val="75000"/>
              </a:schemeClr>
            </a:solidFill>
            <a:ln>
              <a:noFill/>
            </a:ln>
            <a:effectLst/>
          </c:spPr>
          <c:invertIfNegative val="0"/>
          <c:cat>
            <c:strRef>
              <c:f>Tornado!$C$7:$C$23</c:f>
              <c:strCache>
                <c:ptCount val="17"/>
                <c:pt idx="0">
                  <c:v>Discount rate 5%   (0.035 / 0.07)</c:v>
                </c:pt>
                <c:pt idx="1">
                  <c:v>Utility, Uncomplicated DFU, 0.75   (0.9 / 0.6)</c:v>
                </c:pt>
                <c:pt idx="2">
                  <c:v>Utility, No DFU, 0.84   (1 / 0.672)</c:v>
                </c:pt>
                <c:pt idx="3">
                  <c:v>Utility, Complicated DFU + Infection, 0.7   (0.84 / 0.56)</c:v>
                </c:pt>
                <c:pt idx="4">
                  <c:v>Utility, Post Minor Amputation, 0.68   (0.816 / 0.544)</c:v>
                </c:pt>
                <c:pt idx="5">
                  <c:v>Utility, Post Minor Amputation + Infection, 0.59   (0.708 / 0.472)</c:v>
                </c:pt>
                <c:pt idx="6">
                  <c:v>Utility, Post Major Amputation, 0.62   (0.744 / 0.496)</c:v>
                </c:pt>
                <c:pt idx="7">
                  <c:v>Cost Complicated DFU + Infection   (947 / 774)</c:v>
                </c:pt>
                <c:pt idx="8">
                  <c:v>Cost Minor amputation   (17569 / 14374)</c:v>
                </c:pt>
                <c:pt idx="9">
                  <c:v>Cost Major amputation   (44865 / 36708)</c:v>
                </c:pt>
                <c:pt idx="10">
                  <c:v>Cost Minor amputation + Infected   (39558 / 32365)</c:v>
                </c:pt>
                <c:pt idx="11">
                  <c:v>AM, Uncomplicated DFU=&gt;No DFU   (0.25 / 0.077)</c:v>
                </c:pt>
                <c:pt idx="12">
                  <c:v>SoC, Uncomplicated DFU=&gt;No DFU   (0.058 / 0.019)</c:v>
                </c:pt>
                <c:pt idx="13">
                  <c:v>AM, Uncomplicated DFU=&gt;Major Adverse event   (0.0009 / 0)</c:v>
                </c:pt>
                <c:pt idx="14">
                  <c:v>SoC, Uncomplicated DFU=&gt;Major Adverse event   (0.0197 / 0.0015)</c:v>
                </c:pt>
                <c:pt idx="15">
                  <c:v>Dehydrated amnion </c:v>
                </c:pt>
                <c:pt idx="16">
                  <c:v>Larger wound size</c:v>
                </c:pt>
              </c:strCache>
            </c:strRef>
          </c:cat>
          <c:val>
            <c:numRef>
              <c:f>Tornado!$D$7:$D$23</c:f>
              <c:numCache>
                <c:formatCode>_-* #,##0_-;\-* #,##0_-;_-* "-"??_-;_-@_-</c:formatCode>
                <c:ptCount val="17"/>
                <c:pt idx="0">
                  <c:v>17212</c:v>
                </c:pt>
                <c:pt idx="1">
                  <c:v>261671</c:v>
                </c:pt>
                <c:pt idx="2">
                  <c:v>7501</c:v>
                </c:pt>
                <c:pt idx="3">
                  <c:v>25162</c:v>
                </c:pt>
                <c:pt idx="4">
                  <c:v>19839</c:v>
                </c:pt>
                <c:pt idx="5">
                  <c:v>18433</c:v>
                </c:pt>
                <c:pt idx="6">
                  <c:v>18971</c:v>
                </c:pt>
                <c:pt idx="7">
                  <c:v>18071</c:v>
                </c:pt>
                <c:pt idx="8">
                  <c:v>17822</c:v>
                </c:pt>
                <c:pt idx="9">
                  <c:v>17847</c:v>
                </c:pt>
                <c:pt idx="10">
                  <c:v>18023</c:v>
                </c:pt>
                <c:pt idx="12">
                  <c:v>124954</c:v>
                </c:pt>
                <c:pt idx="13">
                  <c:v>124954</c:v>
                </c:pt>
                <c:pt idx="14">
                  <c:v>25957</c:v>
                </c:pt>
              </c:numCache>
            </c:numRef>
          </c:val>
          <c:extLst>
            <c:ext xmlns:c16="http://schemas.microsoft.com/office/drawing/2014/chart" uri="{C3380CC4-5D6E-409C-BE32-E72D297353CC}">
              <c16:uniqueId val="{00000000-47D4-410E-B2B7-A50364225113}"/>
            </c:ext>
          </c:extLst>
        </c:ser>
        <c:ser>
          <c:idx val="1"/>
          <c:order val="1"/>
          <c:spPr>
            <a:solidFill>
              <a:schemeClr val="accent1">
                <a:lumMod val="75000"/>
              </a:schemeClr>
            </a:solidFill>
            <a:ln>
              <a:noFill/>
            </a:ln>
            <a:effectLst/>
          </c:spPr>
          <c:invertIfNegative val="0"/>
          <c:cat>
            <c:strRef>
              <c:f>Tornado!$C$7:$C$23</c:f>
              <c:strCache>
                <c:ptCount val="17"/>
                <c:pt idx="0">
                  <c:v>Discount rate 5%   (0.035 / 0.07)</c:v>
                </c:pt>
                <c:pt idx="1">
                  <c:v>Utility, Uncomplicated DFU, 0.75   (0.9 / 0.6)</c:v>
                </c:pt>
                <c:pt idx="2">
                  <c:v>Utility, No DFU, 0.84   (1 / 0.672)</c:v>
                </c:pt>
                <c:pt idx="3">
                  <c:v>Utility, Complicated DFU + Infection, 0.7   (0.84 / 0.56)</c:v>
                </c:pt>
                <c:pt idx="4">
                  <c:v>Utility, Post Minor Amputation, 0.68   (0.816 / 0.544)</c:v>
                </c:pt>
                <c:pt idx="5">
                  <c:v>Utility, Post Minor Amputation + Infection, 0.59   (0.708 / 0.472)</c:v>
                </c:pt>
                <c:pt idx="6">
                  <c:v>Utility, Post Major Amputation, 0.62   (0.744 / 0.496)</c:v>
                </c:pt>
                <c:pt idx="7">
                  <c:v>Cost Complicated DFU + Infection   (947 / 774)</c:v>
                </c:pt>
                <c:pt idx="8">
                  <c:v>Cost Minor amputation   (17569 / 14374)</c:v>
                </c:pt>
                <c:pt idx="9">
                  <c:v>Cost Major amputation   (44865 / 36708)</c:v>
                </c:pt>
                <c:pt idx="10">
                  <c:v>Cost Minor amputation + Infected   (39558 / 32365)</c:v>
                </c:pt>
                <c:pt idx="11">
                  <c:v>AM, Uncomplicated DFU=&gt;No DFU   (0.25 / 0.077)</c:v>
                </c:pt>
                <c:pt idx="12">
                  <c:v>SoC, Uncomplicated DFU=&gt;No DFU   (0.058 / 0.019)</c:v>
                </c:pt>
                <c:pt idx="13">
                  <c:v>AM, Uncomplicated DFU=&gt;Major Adverse event   (0.0009 / 0)</c:v>
                </c:pt>
                <c:pt idx="14">
                  <c:v>SoC, Uncomplicated DFU=&gt;Major Adverse event   (0.0197 / 0.0015)</c:v>
                </c:pt>
                <c:pt idx="15">
                  <c:v>Dehydrated amnion </c:v>
                </c:pt>
                <c:pt idx="16">
                  <c:v>Larger wound size</c:v>
                </c:pt>
              </c:strCache>
            </c:strRef>
          </c:cat>
          <c:val>
            <c:numRef>
              <c:f>Tornado!$E$7:$E$23</c:f>
              <c:numCache>
                <c:formatCode>_-* #,##0_-;\-* #,##0_-;_-* "-"??_-;_-@_-</c:formatCode>
                <c:ptCount val="17"/>
                <c:pt idx="0">
                  <c:v>19628</c:v>
                </c:pt>
                <c:pt idx="1">
                  <c:v>9493</c:v>
                </c:pt>
                <c:pt idx="3">
                  <c:v>14406</c:v>
                </c:pt>
                <c:pt idx="4">
                  <c:v>17020</c:v>
                </c:pt>
                <c:pt idx="5">
                  <c:v>18211</c:v>
                </c:pt>
                <c:pt idx="6">
                  <c:v>17715</c:v>
                </c:pt>
                <c:pt idx="7">
                  <c:v>18572</c:v>
                </c:pt>
                <c:pt idx="8">
                  <c:v>18822</c:v>
                </c:pt>
                <c:pt idx="9">
                  <c:v>18796</c:v>
                </c:pt>
                <c:pt idx="10">
                  <c:v>18628</c:v>
                </c:pt>
                <c:pt idx="11">
                  <c:v>174478</c:v>
                </c:pt>
                <c:pt idx="14">
                  <c:v>6053</c:v>
                </c:pt>
                <c:pt idx="15">
                  <c:v>404753</c:v>
                </c:pt>
                <c:pt idx="16">
                  <c:v>277093</c:v>
                </c:pt>
              </c:numCache>
            </c:numRef>
          </c:val>
          <c:extLst>
            <c:ext xmlns:c16="http://schemas.microsoft.com/office/drawing/2014/chart" uri="{C3380CC4-5D6E-409C-BE32-E72D297353CC}">
              <c16:uniqueId val="{00000001-47D4-410E-B2B7-A50364225113}"/>
            </c:ext>
          </c:extLst>
        </c:ser>
        <c:dLbls>
          <c:showLegendKey val="0"/>
          <c:showVal val="0"/>
          <c:showCatName val="0"/>
          <c:showSerName val="0"/>
          <c:showPercent val="0"/>
          <c:showBubbleSize val="0"/>
        </c:dLbls>
        <c:gapWidth val="182"/>
        <c:overlap val="100"/>
        <c:axId val="795575464"/>
        <c:axId val="795575856"/>
      </c:barChart>
      <c:catAx>
        <c:axId val="79557546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95575856"/>
        <c:crossesAt val="15000"/>
        <c:auto val="1"/>
        <c:lblAlgn val="ctr"/>
        <c:lblOffset val="100"/>
        <c:noMultiLvlLbl val="0"/>
      </c:catAx>
      <c:valAx>
        <c:axId val="795575856"/>
        <c:scaling>
          <c:orientation val="minMax"/>
          <c:max val="400000"/>
          <c:min val="-1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ICER</a:t>
                </a:r>
              </a:p>
            </c:rich>
          </c:tx>
          <c:layout>
            <c:manualLayout>
              <c:xMode val="edge"/>
              <c:yMode val="edge"/>
              <c:x val="8.9551864840424322E-2"/>
              <c:y val="0.916759496685204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_-* #,##0_-;\-* #,##0_-;_-* &quot;-&quot;??_-;_-@_-" sourceLinked="1"/>
        <c:majorTickMark val="none"/>
        <c:minorTickMark val="none"/>
        <c:tickLblPos val="nextTo"/>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95575464"/>
        <c:crosses val="autoZero"/>
        <c:crossBetween val="between"/>
        <c:majorUnit val="100000"/>
        <c:minorUnit val="10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42646573151865"/>
          <c:y val="9.0608361454818154E-2"/>
          <c:w val="0.80401800768281451"/>
          <c:h val="0.70618203974503191"/>
        </c:manualLayout>
      </c:layout>
      <c:lineChart>
        <c:grouping val="standard"/>
        <c:varyColors val="0"/>
        <c:ser>
          <c:idx val="1"/>
          <c:order val="0"/>
          <c:spPr>
            <a:ln w="28575" cap="rnd">
              <a:solidFill>
                <a:schemeClr val="accent2"/>
              </a:solidFill>
              <a:round/>
            </a:ln>
            <a:effectLst/>
          </c:spPr>
          <c:marker>
            <c:symbol val="none"/>
          </c:marker>
          <c:val>
            <c:numRef>
              <c:f>AM!$BI$8:$BI$267</c:f>
              <c:numCache>
                <c:formatCode>#,##0</c:formatCode>
                <c:ptCount val="260"/>
                <c:pt idx="0">
                  <c:v>7601490.4762621047</c:v>
                </c:pt>
                <c:pt idx="1">
                  <c:v>3714799.6348176226</c:v>
                </c:pt>
                <c:pt idx="2">
                  <c:v>2422487.2229074733</c:v>
                </c:pt>
                <c:pt idx="3">
                  <c:v>1778375.7899774434</c:v>
                </c:pt>
                <c:pt idx="4">
                  <c:v>1393422.4686805494</c:v>
                </c:pt>
                <c:pt idx="5">
                  <c:v>1137991.0533986522</c:v>
                </c:pt>
                <c:pt idx="6">
                  <c:v>956536.80235427804</c:v>
                </c:pt>
                <c:pt idx="7">
                  <c:v>821292.12810000707</c:v>
                </c:pt>
                <c:pt idx="8">
                  <c:v>716832.35985668574</c:v>
                </c:pt>
                <c:pt idx="9">
                  <c:v>633903.31415880984</c:v>
                </c:pt>
                <c:pt idx="10">
                  <c:v>566616.12462438748</c:v>
                </c:pt>
                <c:pt idx="11">
                  <c:v>511044.85933998047</c:v>
                </c:pt>
                <c:pt idx="12">
                  <c:v>464471.48460854951</c:v>
                </c:pt>
                <c:pt idx="13">
                  <c:v>424954.46087074588</c:v>
                </c:pt>
                <c:pt idx="14">
                  <c:v>391069.9231282465</c:v>
                </c:pt>
                <c:pt idx="15">
                  <c:v>361749.93041739881</c:v>
                </c:pt>
                <c:pt idx="16">
                  <c:v>336177.80953165988</c:v>
                </c:pt>
                <c:pt idx="17">
                  <c:v>313718.38676126534</c:v>
                </c:pt>
                <c:pt idx="18">
                  <c:v>293870.25246574904</c:v>
                </c:pt>
                <c:pt idx="19">
                  <c:v>276232.3459564175</c:v>
                </c:pt>
                <c:pt idx="20">
                  <c:v>260480.08661340873</c:v>
                </c:pt>
                <c:pt idx="21">
                  <c:v>246348.01339988789</c:v>
                </c:pt>
                <c:pt idx="22">
                  <c:v>233616.95170974825</c:v>
                </c:pt>
                <c:pt idx="23">
                  <c:v>222104.38692964066</c:v>
                </c:pt>
                <c:pt idx="24">
                  <c:v>211657.14675643927</c:v>
                </c:pt>
                <c:pt idx="25">
                  <c:v>202145.77065054612</c:v>
                </c:pt>
                <c:pt idx="26">
                  <c:v>193460.12902125847</c:v>
                </c:pt>
                <c:pt idx="27">
                  <c:v>185505.9797366875</c:v>
                </c:pt>
                <c:pt idx="28">
                  <c:v>178202.23574968849</c:v>
                </c:pt>
                <c:pt idx="29">
                  <c:v>171478.7779665509</c:v>
                </c:pt>
                <c:pt idx="30">
                  <c:v>165274.69030056766</c:v>
                </c:pt>
                <c:pt idx="31">
                  <c:v>159536.82462368259</c:v>
                </c:pt>
                <c:pt idx="32">
                  <c:v>154218.62570633172</c:v>
                </c:pt>
                <c:pt idx="33">
                  <c:v>149279.16268754919</c:v>
                </c:pt>
                <c:pt idx="34">
                  <c:v>144682.3258375224</c:v>
                </c:pt>
                <c:pt idx="35">
                  <c:v>140396.15653873971</c:v>
                </c:pt>
                <c:pt idx="36">
                  <c:v>136392.28534590578</c:v>
                </c:pt>
                <c:pt idx="37">
                  <c:v>132645.45827582307</c:v>
                </c:pt>
                <c:pt idx="38">
                  <c:v>129133.1355479107</c:v>
                </c:pt>
                <c:pt idx="39">
                  <c:v>125835.15014945006</c:v>
                </c:pt>
                <c:pt idx="40">
                  <c:v>122733.41606053073</c:v>
                </c:pt>
                <c:pt idx="41">
                  <c:v>119811.67790701085</c:v>
                </c:pt>
                <c:pt idx="42">
                  <c:v>117055.29533834157</c:v>
                </c:pt>
                <c:pt idx="43">
                  <c:v>114451.05664292637</c:v>
                </c:pt>
                <c:pt idx="44">
                  <c:v>111987.01708630158</c:v>
                </c:pt>
                <c:pt idx="45">
                  <c:v>109652.35823978278</c:v>
                </c:pt>
                <c:pt idx="46">
                  <c:v>107437.26519982331</c:v>
                </c:pt>
                <c:pt idx="47">
                  <c:v>105332.8191123768</c:v>
                </c:pt>
                <c:pt idx="48">
                  <c:v>103330.90283632449</c:v>
                </c:pt>
                <c:pt idx="49">
                  <c:v>101424.11792431604</c:v>
                </c:pt>
                <c:pt idx="50">
                  <c:v>99605.711383049056</c:v>
                </c:pt>
                <c:pt idx="51">
                  <c:v>97869.510909714852</c:v>
                </c:pt>
                <c:pt idx="52">
                  <c:v>96209.867496305495</c:v>
                </c:pt>
                <c:pt idx="53">
                  <c:v>94621.604456095767</c:v>
                </c:pt>
                <c:pt idx="54">
                  <c:v>93099.972062729881</c:v>
                </c:pt>
                <c:pt idx="55">
                  <c:v>91640.60710671611</c:v>
                </c:pt>
                <c:pt idx="56">
                  <c:v>90239.496770558209</c:v>
                </c:pt>
                <c:pt idx="57">
                  <c:v>88892.946305326986</c:v>
                </c:pt>
                <c:pt idx="58">
                  <c:v>87597.550060699155</c:v>
                </c:pt>
                <c:pt idx="59">
                  <c:v>86350.165479446689</c:v>
                </c:pt>
                <c:pt idx="60">
                  <c:v>85147.889717672151</c:v>
                </c:pt>
                <c:pt idx="61">
                  <c:v>83988.038595212871</c:v>
                </c:pt>
                <c:pt idx="62">
                  <c:v>82868.127617642531</c:v>
                </c:pt>
                <c:pt idx="63">
                  <c:v>81785.854843187699</c:v>
                </c:pt>
                <c:pt idx="64">
                  <c:v>80739.085395400849</c:v>
                </c:pt>
                <c:pt idx="65">
                  <c:v>79725.837446259975</c:v>
                </c:pt>
                <c:pt idx="66">
                  <c:v>78744.269515037799</c:v>
                </c:pt>
                <c:pt idx="67">
                  <c:v>77792.668946261882</c:v>
                </c:pt>
                <c:pt idx="68">
                  <c:v>76869.441445762975</c:v>
                </c:pt>
                <c:pt idx="69">
                  <c:v>75973.101567498292</c:v>
                </c:pt>
                <c:pt idx="70">
                  <c:v>75102.264055816195</c:v>
                </c:pt>
                <c:pt idx="71">
                  <c:v>74255.635958349871</c:v>
                </c:pt>
                <c:pt idx="72">
                  <c:v>73432.009433951098</c:v>
                </c:pt>
                <c:pt idx="73">
                  <c:v>72630.255188226161</c:v>
                </c:pt>
                <c:pt idx="74">
                  <c:v>71849.316476386724</c:v>
                </c:pt>
                <c:pt idx="75">
                  <c:v>71088.203619490145</c:v>
                </c:pt>
                <c:pt idx="76">
                  <c:v>70345.988985731106</c:v>
                </c:pt>
                <c:pt idx="77">
                  <c:v>69621.802393429796</c:v>
                </c:pt>
                <c:pt idx="78">
                  <c:v>68914.82689677304</c:v>
                </c:pt>
                <c:pt idx="79">
                  <c:v>68224.294919284846</c:v>
                </c:pt>
                <c:pt idx="80">
                  <c:v>67549.484703495051</c:v>
                </c:pt>
                <c:pt idx="81">
                  <c:v>66889.717048395454</c:v>
                </c:pt>
                <c:pt idx="82">
                  <c:v>66244.352309044974</c:v>
                </c:pt>
                <c:pt idx="83">
                  <c:v>65612.787635168439</c:v>
                </c:pt>
                <c:pt idx="84">
                  <c:v>64994.454427828176</c:v>
                </c:pt>
                <c:pt idx="85">
                  <c:v>64388.815995225057</c:v>
                </c:pt>
                <c:pt idx="86">
                  <c:v>63795.365390479586</c:v>
                </c:pt>
                <c:pt idx="87">
                  <c:v>63213.623415850074</c:v>
                </c:pt>
                <c:pt idx="88">
                  <c:v>62643.13677927859</c:v>
                </c:pt>
                <c:pt idx="89">
                  <c:v>62083.476390460637</c:v>
                </c:pt>
                <c:pt idx="90">
                  <c:v>61534.235784799996</c:v>
                </c:pt>
                <c:pt idx="91">
                  <c:v>60995.029664659509</c:v>
                </c:pt>
                <c:pt idx="92">
                  <c:v>60465.492548279282</c:v>
                </c:pt>
                <c:pt idx="93">
                  <c:v>59945.277517581373</c:v>
                </c:pt>
                <c:pt idx="94">
                  <c:v>59434.055056864228</c:v>
                </c:pt>
                <c:pt idx="95">
                  <c:v>58931.511975085828</c:v>
                </c:pt>
                <c:pt idx="96">
                  <c:v>58437.350405079502</c:v>
                </c:pt>
                <c:pt idx="97">
                  <c:v>57951.286873610014</c:v>
                </c:pt>
                <c:pt idx="98">
                  <c:v>57473.051436713409</c:v>
                </c:pt>
                <c:pt idx="99">
                  <c:v>57002.386875227909</c:v>
                </c:pt>
                <c:pt idx="100">
                  <c:v>56539.047945859944</c:v>
                </c:pt>
                <c:pt idx="101">
                  <c:v>56082.800683520698</c:v>
                </c:pt>
                <c:pt idx="102">
                  <c:v>55633.421751019057</c:v>
                </c:pt>
                <c:pt idx="103">
                  <c:v>55190.697832532023</c:v>
                </c:pt>
                <c:pt idx="104">
                  <c:v>54754.425067556491</c:v>
                </c:pt>
                <c:pt idx="105">
                  <c:v>54324.40852232511</c:v>
                </c:pt>
                <c:pt idx="106">
                  <c:v>53900.461695909122</c:v>
                </c:pt>
                <c:pt idx="107">
                  <c:v>53482.406058458466</c:v>
                </c:pt>
                <c:pt idx="108">
                  <c:v>53070.070619230981</c:v>
                </c:pt>
                <c:pt idx="109">
                  <c:v>52663.291522252352</c:v>
                </c:pt>
                <c:pt idx="110">
                  <c:v>52261.911667617343</c:v>
                </c:pt>
                <c:pt idx="111">
                  <c:v>51865.780356600699</c:v>
                </c:pt>
                <c:pt idx="112">
                  <c:v>51474.752958887315</c:v>
                </c:pt>
                <c:pt idx="113">
                  <c:v>51088.690600367161</c:v>
                </c:pt>
                <c:pt idx="114">
                  <c:v>50707.459870052422</c:v>
                </c:pt>
                <c:pt idx="115">
                  <c:v>50330.932544793461</c:v>
                </c:pt>
                <c:pt idx="116">
                  <c:v>49958.985330565265</c:v>
                </c:pt>
                <c:pt idx="117">
                  <c:v>49591.499619190537</c:v>
                </c:pt>
                <c:pt idx="118">
                  <c:v>49228.361259453959</c:v>
                </c:pt>
                <c:pt idx="119">
                  <c:v>48869.460341632082</c:v>
                </c:pt>
                <c:pt idx="120">
                  <c:v>48514.690994547658</c:v>
                </c:pt>
                <c:pt idx="121">
                  <c:v>48163.951194311114</c:v>
                </c:pt>
                <c:pt idx="122">
                  <c:v>47817.142583981105</c:v>
                </c:pt>
                <c:pt idx="123">
                  <c:v>47474.170303430263</c:v>
                </c:pt>
                <c:pt idx="124">
                  <c:v>47134.942828750289</c:v>
                </c:pt>
                <c:pt idx="125">
                  <c:v>46799.371820584362</c:v>
                </c:pt>
                <c:pt idx="126">
                  <c:v>46467.371980813856</c:v>
                </c:pt>
                <c:pt idx="127">
                  <c:v>46138.8609170688</c:v>
                </c:pt>
                <c:pt idx="128">
                  <c:v>45813.759014569747</c:v>
                </c:pt>
                <c:pt idx="129">
                  <c:v>45491.989314842067</c:v>
                </c:pt>
                <c:pt idx="130">
                  <c:v>45173.477400874675</c:v>
                </c:pt>
                <c:pt idx="131">
                  <c:v>44858.151288328743</c:v>
                </c:pt>
                <c:pt idx="132">
                  <c:v>44545.941322423525</c:v>
                </c:pt>
                <c:pt idx="133">
                  <c:v>44236.780080157689</c:v>
                </c:pt>
                <c:pt idx="134">
                  <c:v>43930.602277541751</c:v>
                </c:pt>
                <c:pt idx="135">
                  <c:v>43627.34468154535</c:v>
                </c:pt>
                <c:pt idx="136">
                  <c:v>43326.946026477715</c:v>
                </c:pt>
                <c:pt idx="137">
                  <c:v>43029.346934541274</c:v>
                </c:pt>
                <c:pt idx="138">
                  <c:v>42734.489840314884</c:v>
                </c:pt>
                <c:pt idx="139">
                  <c:v>42442.31891893829</c:v>
                </c:pt>
                <c:pt idx="140">
                  <c:v>42152.780017786972</c:v>
                </c:pt>
                <c:pt idx="141">
                  <c:v>41865.820591435717</c:v>
                </c:pt>
                <c:pt idx="142">
                  <c:v>41581.389639727393</c:v>
                </c:pt>
                <c:pt idx="143">
                  <c:v>41299.437648771396</c:v>
                </c:pt>
                <c:pt idx="144">
                  <c:v>41019.916534707962</c:v>
                </c:pt>
                <c:pt idx="145">
                  <c:v>40742.779590087775</c:v>
                </c:pt>
                <c:pt idx="146">
                  <c:v>40467.981432721179</c:v>
                </c:pt>
                <c:pt idx="147">
                  <c:v>40195.477956863382</c:v>
                </c:pt>
                <c:pt idx="148">
                  <c:v>39925.226286611331</c:v>
                </c:pt>
                <c:pt idx="149">
                  <c:v>39657.184731391339</c:v>
                </c:pt>
                <c:pt idx="150">
                  <c:v>39391.312743427305</c:v>
                </c:pt>
                <c:pt idx="151">
                  <c:v>39127.570877086888</c:v>
                </c:pt>
                <c:pt idx="152">
                  <c:v>38865.920750005411</c:v>
                </c:pt>
                <c:pt idx="153">
                  <c:v>38606.325005895778</c:v>
                </c:pt>
                <c:pt idx="154">
                  <c:v>38348.747278957089</c:v>
                </c:pt>
                <c:pt idx="155">
                  <c:v>38093.152159804544</c:v>
                </c:pt>
                <c:pt idx="156">
                  <c:v>37839.505162836824</c:v>
                </c:pt>
                <c:pt idx="157">
                  <c:v>37587.772694972846</c:v>
                </c:pt>
                <c:pt idx="158">
                  <c:v>37337.922025692074</c:v>
                </c:pt>
                <c:pt idx="159">
                  <c:v>37089.92125830696</c:v>
                </c:pt>
                <c:pt idx="160">
                  <c:v>36843.739302413102</c:v>
                </c:pt>
                <c:pt idx="161">
                  <c:v>36599.345847458513</c:v>
                </c:pt>
                <c:pt idx="162">
                  <c:v>36356.711337375396</c:v>
                </c:pt>
                <c:pt idx="163">
                  <c:v>36115.806946227014</c:v>
                </c:pt>
                <c:pt idx="164">
                  <c:v>35876.604554818608</c:v>
                </c:pt>
                <c:pt idx="165">
                  <c:v>35639.076728229506</c:v>
                </c:pt>
                <c:pt idx="166">
                  <c:v>35403.196694220285</c:v>
                </c:pt>
                <c:pt idx="167">
                  <c:v>35168.938322476861</c:v>
                </c:pt>
                <c:pt idx="168">
                  <c:v>34936.276104652265</c:v>
                </c:pt>
                <c:pt idx="169">
                  <c:v>34705.185135169297</c:v>
                </c:pt>
                <c:pt idx="170">
                  <c:v>34475.641092749247</c:v>
                </c:pt>
                <c:pt idx="171">
                  <c:v>34247.620222634672</c:v>
                </c:pt>
                <c:pt idx="172">
                  <c:v>34021.099319474917</c:v>
                </c:pt>
                <c:pt idx="173">
                  <c:v>33796.055710845671</c:v>
                </c:pt>
                <c:pt idx="174">
                  <c:v>33572.467241372673</c:v>
                </c:pt>
                <c:pt idx="175">
                  <c:v>33350.312257435973</c:v>
                </c:pt>
                <c:pt idx="176">
                  <c:v>33129.569592426713</c:v>
                </c:pt>
                <c:pt idx="177">
                  <c:v>32910.218552535436</c:v>
                </c:pt>
                <c:pt idx="178">
                  <c:v>32692.238903046455</c:v>
                </c:pt>
                <c:pt idx="179">
                  <c:v>32475.610855118975</c:v>
                </c:pt>
                <c:pt idx="180">
                  <c:v>32260.315053033308</c:v>
                </c:pt>
                <c:pt idx="181">
                  <c:v>32046.332561883493</c:v>
                </c:pt>
                <c:pt idx="182">
                  <c:v>31833.644855696773</c:v>
                </c:pt>
                <c:pt idx="183">
                  <c:v>31622.233805962955</c:v>
                </c:pt>
                <c:pt idx="184">
                  <c:v>31412.081670557913</c:v>
                </c:pt>
                <c:pt idx="185">
                  <c:v>31203.171083042362</c:v>
                </c:pt>
                <c:pt idx="186">
                  <c:v>30995.485042323933</c:v>
                </c:pt>
                <c:pt idx="187">
                  <c:v>30789.00690266618</c:v>
                </c:pt>
                <c:pt idx="188">
                  <c:v>30583.720364030753</c:v>
                </c:pt>
                <c:pt idx="189">
                  <c:v>30379.609462740336</c:v>
                </c:pt>
                <c:pt idx="190">
                  <c:v>30176.658562448814</c:v>
                </c:pt>
                <c:pt idx="191">
                  <c:v>29974.852345408217</c:v>
                </c:pt>
                <c:pt idx="192">
                  <c:v>29774.175804018781</c:v>
                </c:pt>
                <c:pt idx="193">
                  <c:v>29574.61423265261</c:v>
                </c:pt>
                <c:pt idx="194">
                  <c:v>29376.153219741122</c:v>
                </c:pt>
                <c:pt idx="195">
                  <c:v>29178.778640113858</c:v>
                </c:pt>
                <c:pt idx="196">
                  <c:v>28982.476647581665</c:v>
                </c:pt>
                <c:pt idx="197">
                  <c:v>28787.233667754092</c:v>
                </c:pt>
                <c:pt idx="198">
                  <c:v>28593.036391081499</c:v>
                </c:pt>
                <c:pt idx="199">
                  <c:v>28399.87176611523</c:v>
                </c:pt>
                <c:pt idx="200">
                  <c:v>28207.726992975578</c:v>
                </c:pt>
                <c:pt idx="201">
                  <c:v>28016.589517023258</c:v>
                </c:pt>
                <c:pt idx="202">
                  <c:v>27826.447022722525</c:v>
                </c:pt>
                <c:pt idx="203">
                  <c:v>27637.287427693584</c:v>
                </c:pt>
                <c:pt idx="204">
                  <c:v>27449.098876943477</c:v>
                </c:pt>
                <c:pt idx="205">
                  <c:v>27261.869737273028</c:v>
                </c:pt>
                <c:pt idx="206">
                  <c:v>27075.58859184938</c:v>
                </c:pt>
                <c:pt idx="207">
                  <c:v>26890.244234941794</c:v>
                </c:pt>
                <c:pt idx="208">
                  <c:v>26705.825666813023</c:v>
                </c:pt>
                <c:pt idx="209">
                  <c:v>26522.32208876163</c:v>
                </c:pt>
                <c:pt idx="210">
                  <c:v>26339.722898309388</c:v>
                </c:pt>
                <c:pt idx="211">
                  <c:v>26158.017684529754</c:v>
                </c:pt>
                <c:pt idx="212">
                  <c:v>25977.196223511339</c:v>
                </c:pt>
                <c:pt idx="213">
                  <c:v>25797.248473952553</c:v>
                </c:pt>
                <c:pt idx="214">
                  <c:v>25618.164572883212</c:v>
                </c:pt>
                <c:pt idx="215">
                  <c:v>25439.934831507686</c:v>
                </c:pt>
                <c:pt idx="216">
                  <c:v>25262.549731166833</c:v>
                </c:pt>
                <c:pt idx="217">
                  <c:v>25085.999919413687</c:v>
                </c:pt>
                <c:pt idx="218">
                  <c:v>24910.276206200069</c:v>
                </c:pt>
                <c:pt idx="219">
                  <c:v>24735.369560169529</c:v>
                </c:pt>
                <c:pt idx="220">
                  <c:v>24561.271105053838</c:v>
                </c:pt>
                <c:pt idx="221">
                  <c:v>24387.972116168803</c:v>
                </c:pt>
                <c:pt idx="222">
                  <c:v>24215.464017007802</c:v>
                </c:pt>
                <c:pt idx="223">
                  <c:v>24043.738375927729</c:v>
                </c:pt>
                <c:pt idx="224">
                  <c:v>23872.786902925913</c:v>
                </c:pt>
                <c:pt idx="225">
                  <c:v>23702.601446504847</c:v>
                </c:pt>
                <c:pt idx="226">
                  <c:v>23533.173990621177</c:v>
                </c:pt>
                <c:pt idx="227">
                  <c:v>23364.496651717156</c:v>
                </c:pt>
                <c:pt idx="228">
                  <c:v>23196.561675831679</c:v>
                </c:pt>
                <c:pt idx="229">
                  <c:v>23029.361435787847</c:v>
                </c:pt>
                <c:pt idx="230">
                  <c:v>22862.888428455863</c:v>
                </c:pt>
                <c:pt idx="231">
                  <c:v>22697.135272087547</c:v>
                </c:pt>
                <c:pt idx="232">
                  <c:v>22532.094703721341</c:v>
                </c:pt>
                <c:pt idx="233">
                  <c:v>22367.759576654826</c:v>
                </c:pt>
                <c:pt idx="234">
                  <c:v>22204.122857983373</c:v>
                </c:pt>
                <c:pt idx="235">
                  <c:v>22041.177626202432</c:v>
                </c:pt>
                <c:pt idx="236">
                  <c:v>21878.917068871939</c:v>
                </c:pt>
                <c:pt idx="237">
                  <c:v>21717.334480339923</c:v>
                </c:pt>
                <c:pt idx="238">
                  <c:v>21556.423259525116</c:v>
                </c:pt>
                <c:pt idx="239">
                  <c:v>21396.176907755918</c:v>
                </c:pt>
                <c:pt idx="240">
                  <c:v>21236.589026663321</c:v>
                </c:pt>
                <c:pt idx="241">
                  <c:v>21077.6533161279</c:v>
                </c:pt>
                <c:pt idx="242">
                  <c:v>20919.363572278085</c:v>
                </c:pt>
                <c:pt idx="243">
                  <c:v>20761.713685537783</c:v>
                </c:pt>
                <c:pt idx="244">
                  <c:v>20604.697638723766</c:v>
                </c:pt>
                <c:pt idx="245">
                  <c:v>20448.309505188816</c:v>
                </c:pt>
                <c:pt idx="246">
                  <c:v>20292.543447011896</c:v>
                </c:pt>
                <c:pt idx="247">
                  <c:v>20137.393713232188</c:v>
                </c:pt>
                <c:pt idx="248">
                  <c:v>19982.85463812594</c:v>
                </c:pt>
                <c:pt idx="249">
                  <c:v>19828.920639526048</c:v>
                </c:pt>
                <c:pt idx="250">
                  <c:v>19675.586217181739</c:v>
                </c:pt>
                <c:pt idx="251">
                  <c:v>19522.845951157859</c:v>
                </c:pt>
                <c:pt idx="252">
                  <c:v>19370.694500273312</c:v>
                </c:pt>
                <c:pt idx="253">
                  <c:v>19219.126600575535</c:v>
                </c:pt>
                <c:pt idx="254">
                  <c:v>19068.137063852875</c:v>
                </c:pt>
                <c:pt idx="255">
                  <c:v>18917.720776180849</c:v>
                </c:pt>
                <c:pt idx="256">
                  <c:v>18767.872696503473</c:v>
                </c:pt>
                <c:pt idx="257">
                  <c:v>18618.587855248112</c:v>
                </c:pt>
                <c:pt idx="258">
                  <c:v>18469.86135297186</c:v>
                </c:pt>
                <c:pt idx="259">
                  <c:v>18321.68835904056</c:v>
                </c:pt>
              </c:numCache>
            </c:numRef>
          </c:val>
          <c:smooth val="0"/>
          <c:extLst>
            <c:ext xmlns:c16="http://schemas.microsoft.com/office/drawing/2014/chart" uri="{C3380CC4-5D6E-409C-BE32-E72D297353CC}">
              <c16:uniqueId val="{00000000-5A24-4712-93DB-318185DE28A3}"/>
            </c:ext>
          </c:extLst>
        </c:ser>
        <c:dLbls>
          <c:showLegendKey val="0"/>
          <c:showVal val="0"/>
          <c:showCatName val="0"/>
          <c:showSerName val="0"/>
          <c:showPercent val="0"/>
          <c:showBubbleSize val="0"/>
        </c:dLbls>
        <c:smooth val="0"/>
        <c:axId val="795576248"/>
        <c:axId val="795573504"/>
      </c:lineChart>
      <c:catAx>
        <c:axId val="795576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Weeks</a:t>
                </a:r>
              </a:p>
            </c:rich>
          </c:tx>
          <c:layout>
            <c:manualLayout>
              <c:xMode val="edge"/>
              <c:yMode val="edge"/>
              <c:x val="0.83200500599676697"/>
              <c:y val="0.880910511186101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573504"/>
        <c:crosses val="autoZero"/>
        <c:auto val="1"/>
        <c:lblAlgn val="ctr"/>
        <c:lblOffset val="100"/>
        <c:tickLblSkip val="20"/>
        <c:tickMarkSkip val="20"/>
        <c:noMultiLvlLbl val="0"/>
      </c:catAx>
      <c:valAx>
        <c:axId val="795573504"/>
        <c:scaling>
          <c:orientation val="minMax"/>
          <c:max val="1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ICER</a:t>
                </a:r>
              </a:p>
            </c:rich>
          </c:tx>
          <c:layout>
            <c:manualLayout>
              <c:xMode val="edge"/>
              <c:yMode val="edge"/>
              <c:x val="2.4898402600337211E-2"/>
              <c:y val="0.395753030871141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5576248"/>
        <c:crosses val="autoZero"/>
        <c:crossBetween val="between"/>
        <c:majorUnit val="1000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E45AC-F329-4FD5-AE1F-BDBDA30E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11821</Words>
  <Characters>69537</Characters>
  <Application>Microsoft Office Word</Application>
  <DocSecurity>0</DocSecurity>
  <Lines>2107</Lines>
  <Paragraphs>1291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2021-06-06T23:18:00Z</dcterms:created>
  <dcterms:modified xsi:type="dcterms:W3CDTF">2021-06-07T22:58:00Z</dcterms:modified>
</cp:coreProperties>
</file>