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5F7A" w14:textId="77777777" w:rsidR="00E44B80" w:rsidRPr="00F637B3" w:rsidRDefault="00E44B80" w:rsidP="00E44B80">
      <w:pPr>
        <w:jc w:val="center"/>
        <w:rPr>
          <w:b/>
          <w:szCs w:val="20"/>
        </w:rPr>
      </w:pPr>
      <w:r w:rsidRPr="00F637B3">
        <w:rPr>
          <w:b/>
          <w:noProof/>
          <w:szCs w:val="20"/>
          <w:lang w:eastAsia="en-AU"/>
        </w:rPr>
        <w:drawing>
          <wp:inline distT="0" distB="0" distL="0" distR="0" wp14:anchorId="48932D28" wp14:editId="51382322">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5069C65" w14:textId="491FFB7A" w:rsidR="008B2610" w:rsidRDefault="001E343B" w:rsidP="00F971CC">
      <w:pPr>
        <w:pStyle w:val="Title"/>
        <w:spacing w:before="2600"/>
      </w:pPr>
      <w:r>
        <w:t xml:space="preserve">MSAC </w:t>
      </w:r>
      <w:r w:rsidR="008B2610" w:rsidRPr="001906CD">
        <w:t xml:space="preserve">Application </w:t>
      </w:r>
      <w:r>
        <w:t>1674</w:t>
      </w:r>
    </w:p>
    <w:p w14:paraId="29AA96B3" w14:textId="77777777" w:rsidR="0056015F" w:rsidRDefault="0056015F" w:rsidP="0056015F"/>
    <w:p w14:paraId="106419DC" w14:textId="76A66CA3" w:rsidR="0056015F" w:rsidRPr="0056015F" w:rsidRDefault="00D82AB9" w:rsidP="001E343B">
      <w:pPr>
        <w:pStyle w:val="TitleBlue"/>
        <w:spacing w:before="720" w:after="720"/>
      </w:pPr>
      <w:r>
        <w:t xml:space="preserve">Dostarlimab </w:t>
      </w:r>
      <w:r w:rsidR="00E86852">
        <w:t xml:space="preserve">in mismatch repair deficient </w:t>
      </w:r>
      <w:r w:rsidR="00834A92">
        <w:t>recurrent or advanced endometrial cancer</w:t>
      </w:r>
    </w:p>
    <w:p w14:paraId="098166EC"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44562C8C"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8F7D545"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6BD8CD0" w14:textId="77777777" w:rsidR="009F5758" w:rsidRPr="00154B00" w:rsidRDefault="009F5758" w:rsidP="003F7CB9">
      <w:pPr>
        <w:spacing w:before="0" w:after="0"/>
      </w:pPr>
    </w:p>
    <w:p w14:paraId="00CFCBC0"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3EC84377"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3D10759"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5139B7A"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C406F5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4EFD06AB"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43984">
        <w:t>GlaxoSmithKline</w:t>
      </w:r>
    </w:p>
    <w:p w14:paraId="5BF5BDD6" w14:textId="345B61BB"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1E343B" w:rsidRPr="001E343B">
        <w:rPr>
          <w:b/>
        </w:rPr>
        <w:t>REDACTED</w:t>
      </w:r>
    </w:p>
    <w:p w14:paraId="7D80B446" w14:textId="78E48758"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1E343B" w:rsidRPr="001E343B">
        <w:rPr>
          <w:b/>
        </w:rPr>
        <w:t>REDACTED</w:t>
      </w:r>
    </w:p>
    <w:p w14:paraId="4D90D318" w14:textId="77777777" w:rsidR="00C171FB" w:rsidRPr="00C171FB" w:rsidRDefault="00C171FB" w:rsidP="00C171FB"/>
    <w:p w14:paraId="47FF2EB0" w14:textId="310F6CE8" w:rsidR="00C171FB" w:rsidRPr="00C171FB" w:rsidRDefault="00C171FB" w:rsidP="00C171FB">
      <w:pPr>
        <w:rPr>
          <w:b/>
        </w:rPr>
      </w:pPr>
      <w:r>
        <w:rPr>
          <w:b/>
        </w:rPr>
        <w:t xml:space="preserve">Primary contact name: </w:t>
      </w:r>
      <w:r w:rsidR="001E343B" w:rsidRPr="001E343B">
        <w:rPr>
          <w:b/>
        </w:rPr>
        <w:t>REDACTED</w:t>
      </w:r>
    </w:p>
    <w:p w14:paraId="23AEF027"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93FD65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43984">
        <w:t>NA</w:t>
      </w:r>
    </w:p>
    <w:p w14:paraId="710DCC92" w14:textId="08422D98"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1E343B" w:rsidRPr="001E343B">
        <w:rPr>
          <w:b/>
        </w:rPr>
        <w:t>REDACTED</w:t>
      </w:r>
    </w:p>
    <w:p w14:paraId="396DF380" w14:textId="24806EE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1E343B" w:rsidRPr="001E343B">
        <w:rPr>
          <w:b/>
        </w:rPr>
        <w:t>REDACTED</w:t>
      </w:r>
    </w:p>
    <w:p w14:paraId="4A235615" w14:textId="77777777" w:rsidR="00C171FB" w:rsidRDefault="00C171FB" w:rsidP="00C171FB">
      <w:pPr>
        <w:rPr>
          <w:b/>
        </w:rPr>
      </w:pPr>
    </w:p>
    <w:p w14:paraId="48AA42A3" w14:textId="18823F13" w:rsidR="00C171FB" w:rsidRPr="00C171FB" w:rsidRDefault="00C171FB" w:rsidP="00C171FB">
      <w:pPr>
        <w:rPr>
          <w:b/>
        </w:rPr>
      </w:pPr>
      <w:r>
        <w:rPr>
          <w:b/>
        </w:rPr>
        <w:t xml:space="preserve">Alternative contact name: </w:t>
      </w:r>
      <w:r w:rsidR="001E343B" w:rsidRPr="001E343B">
        <w:rPr>
          <w:b/>
        </w:rPr>
        <w:t>REDACTED</w:t>
      </w:r>
    </w:p>
    <w:p w14:paraId="46CB4D58"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062F28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43984">
        <w:t>NA</w:t>
      </w:r>
    </w:p>
    <w:p w14:paraId="6EFFCCEF" w14:textId="28C81176"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1E343B" w:rsidRPr="001E343B">
        <w:rPr>
          <w:b/>
        </w:rPr>
        <w:t>REDACTED</w:t>
      </w:r>
    </w:p>
    <w:p w14:paraId="6665D220" w14:textId="625D1D1A" w:rsidR="00C171FB" w:rsidRDefault="00C171FB" w:rsidP="00C171FB">
      <w:pPr>
        <w:pBdr>
          <w:top w:val="single" w:sz="4" w:space="1" w:color="auto"/>
          <w:left w:val="single" w:sz="4" w:space="4" w:color="auto"/>
          <w:bottom w:val="single" w:sz="4" w:space="1" w:color="auto"/>
          <w:right w:val="single" w:sz="4" w:space="4" w:color="auto"/>
        </w:pBdr>
      </w:pPr>
      <w:r>
        <w:t>Email:</w:t>
      </w:r>
      <w:r w:rsidR="00043984">
        <w:t xml:space="preserve"> </w:t>
      </w:r>
      <w:r w:rsidR="001E343B" w:rsidRPr="001E343B">
        <w:rPr>
          <w:b/>
        </w:rPr>
        <w:t>REDACTED</w:t>
      </w:r>
    </w:p>
    <w:p w14:paraId="6B3B1407" w14:textId="77777777" w:rsidR="00C171FB" w:rsidRPr="00C171FB" w:rsidRDefault="00C171FB" w:rsidP="00C171FB"/>
    <w:p w14:paraId="547C3ACA" w14:textId="77777777" w:rsidR="00534C5F" w:rsidRPr="00154B00" w:rsidRDefault="00494011" w:rsidP="004A0BF4">
      <w:pPr>
        <w:pStyle w:val="Heading2"/>
      </w:pPr>
      <w:r>
        <w:t xml:space="preserve">(a) </w:t>
      </w:r>
      <w:r w:rsidR="00534C5F">
        <w:t>Are you a lobbyist acting on behalf of an Applicant?</w:t>
      </w:r>
    </w:p>
    <w:p w14:paraId="3CE8471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315F0">
        <w:rPr>
          <w:szCs w:val="20"/>
        </w:rPr>
      </w:r>
      <w:r w:rsidR="00D315F0">
        <w:rPr>
          <w:szCs w:val="20"/>
        </w:rPr>
        <w:fldChar w:fldCharType="separate"/>
      </w:r>
      <w:r w:rsidRPr="00753C44">
        <w:rPr>
          <w:szCs w:val="20"/>
        </w:rPr>
        <w:fldChar w:fldCharType="end"/>
      </w:r>
      <w:r>
        <w:rPr>
          <w:szCs w:val="20"/>
        </w:rPr>
        <w:t xml:space="preserve"> Yes</w:t>
      </w:r>
    </w:p>
    <w:p w14:paraId="35FC839E" w14:textId="77777777" w:rsidR="00A6491A" w:rsidRPr="00753C44" w:rsidRDefault="00043984"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D315F0">
        <w:rPr>
          <w:szCs w:val="20"/>
        </w:rPr>
      </w:r>
      <w:r w:rsidR="00D315F0">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33520FB4"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6E3134E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315F0">
        <w:rPr>
          <w:szCs w:val="20"/>
        </w:rPr>
      </w:r>
      <w:r w:rsidR="00D315F0">
        <w:rPr>
          <w:szCs w:val="20"/>
        </w:rPr>
        <w:fldChar w:fldCharType="separate"/>
      </w:r>
      <w:r w:rsidRPr="00753C44">
        <w:rPr>
          <w:szCs w:val="20"/>
        </w:rPr>
        <w:fldChar w:fldCharType="end"/>
      </w:r>
      <w:r>
        <w:rPr>
          <w:szCs w:val="20"/>
        </w:rPr>
        <w:t xml:space="preserve"> Yes</w:t>
      </w:r>
    </w:p>
    <w:p w14:paraId="70C814FA" w14:textId="7D018180" w:rsidR="00A6491A" w:rsidRPr="00753C44" w:rsidRDefault="00624B4F"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6D9B388" w14:textId="77777777" w:rsidR="00E04FB3" w:rsidRDefault="00E04FB3" w:rsidP="005C333E">
      <w:pPr>
        <w:spacing w:before="0" w:after="0"/>
        <w:ind w:left="426"/>
        <w:rPr>
          <w:b/>
          <w:szCs w:val="20"/>
        </w:rPr>
      </w:pPr>
      <w:r w:rsidRPr="00154B00">
        <w:rPr>
          <w:b/>
          <w:szCs w:val="20"/>
        </w:rPr>
        <w:br w:type="page"/>
      </w:r>
    </w:p>
    <w:p w14:paraId="28C933DC"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2940144" w14:textId="4640B9F9" w:rsidR="005B2D54" w:rsidRDefault="005B2D54" w:rsidP="005B2D54">
      <w:pPr>
        <w:pStyle w:val="Heading2"/>
        <w:numPr>
          <w:ilvl w:val="0"/>
          <w:numId w:val="0"/>
        </w:numPr>
      </w:pPr>
      <w:r>
        <w:t>BACKGROUND</w:t>
      </w:r>
    </w:p>
    <w:p w14:paraId="39E2B130" w14:textId="2E971952" w:rsidR="00333F90" w:rsidRDefault="00672647" w:rsidP="005B2D54">
      <w:pPr>
        <w:autoSpaceDE w:val="0"/>
        <w:autoSpaceDN w:val="0"/>
        <w:adjustRightInd w:val="0"/>
        <w:spacing w:before="0" w:after="0"/>
        <w:ind w:left="284"/>
        <w:rPr>
          <w:lang w:val="en-GB"/>
        </w:rPr>
      </w:pPr>
      <w:r w:rsidRPr="00C72B96">
        <w:rPr>
          <w:lang w:val="en-GB"/>
        </w:rPr>
        <w:t>Endometrial</w:t>
      </w:r>
      <w:r w:rsidR="00C72B96" w:rsidRPr="00C72B96">
        <w:rPr>
          <w:lang w:val="en-GB"/>
        </w:rPr>
        <w:t xml:space="preserve"> </w:t>
      </w:r>
      <w:r w:rsidRPr="00C72B96">
        <w:rPr>
          <w:lang w:val="en-GB"/>
        </w:rPr>
        <w:t xml:space="preserve">cancer </w:t>
      </w:r>
      <w:r w:rsidR="00DF308A">
        <w:rPr>
          <w:lang w:val="en-GB"/>
        </w:rPr>
        <w:t xml:space="preserve">(EC) </w:t>
      </w:r>
      <w:r w:rsidRPr="00C72B96">
        <w:rPr>
          <w:lang w:val="en-GB"/>
        </w:rPr>
        <w:t>is a malignancy of the endometrium,</w:t>
      </w:r>
      <w:r w:rsidR="00C72B96" w:rsidRPr="00C72B96">
        <w:rPr>
          <w:lang w:val="en-GB"/>
        </w:rPr>
        <w:t xml:space="preserve"> </w:t>
      </w:r>
      <w:r w:rsidRPr="00C72B96">
        <w:rPr>
          <w:lang w:val="en-GB"/>
        </w:rPr>
        <w:t>the inner lining</w:t>
      </w:r>
      <w:r w:rsidR="00C72B96" w:rsidRPr="00C72B96">
        <w:rPr>
          <w:lang w:val="en-GB"/>
        </w:rPr>
        <w:t xml:space="preserve"> </w:t>
      </w:r>
      <w:r w:rsidRPr="00C72B96">
        <w:rPr>
          <w:lang w:val="en-GB"/>
        </w:rPr>
        <w:t>of the</w:t>
      </w:r>
      <w:r w:rsidR="00C72B96" w:rsidRPr="00C72B96">
        <w:rPr>
          <w:lang w:val="en-GB"/>
        </w:rPr>
        <w:t xml:space="preserve"> </w:t>
      </w:r>
      <w:r w:rsidRPr="00C72B96">
        <w:rPr>
          <w:lang w:val="en-GB"/>
        </w:rPr>
        <w:t>uterus (uterine corpus)</w:t>
      </w:r>
      <w:r w:rsidR="00C72B96" w:rsidRPr="00C72B96">
        <w:rPr>
          <w:lang w:val="en-GB"/>
        </w:rPr>
        <w:t xml:space="preserve">.  </w:t>
      </w:r>
    </w:p>
    <w:p w14:paraId="46921129" w14:textId="77777777" w:rsidR="00333F90" w:rsidRDefault="00333F90" w:rsidP="005B2D54">
      <w:pPr>
        <w:autoSpaceDE w:val="0"/>
        <w:autoSpaceDN w:val="0"/>
        <w:adjustRightInd w:val="0"/>
        <w:spacing w:before="0" w:after="0"/>
        <w:ind w:left="284"/>
        <w:rPr>
          <w:lang w:val="en-GB"/>
        </w:rPr>
      </w:pPr>
    </w:p>
    <w:p w14:paraId="161C43D8" w14:textId="27CE1F5F" w:rsidR="00FC1F07" w:rsidRDefault="00CC1BCB" w:rsidP="00C76085">
      <w:pPr>
        <w:autoSpaceDE w:val="0"/>
        <w:autoSpaceDN w:val="0"/>
        <w:adjustRightInd w:val="0"/>
        <w:spacing w:before="0" w:after="0"/>
        <w:ind w:left="284"/>
      </w:pPr>
      <w:r w:rsidRPr="00CC1BCB">
        <w:rPr>
          <w:lang w:val="en-GB"/>
        </w:rPr>
        <w:t>Because most endometrial cancers are symptomatic, the majority are diagnosed early (~80% at stage I) when the cancer is still confined to the uterus. Early diagnosis is associated with a good prognosis: 70% of localised cases (confined to the primary site; also referred to as stage I) can be cured with surgery, and their 5-year survival rate is 95%</w:t>
      </w:r>
      <w:r>
        <w:rPr>
          <w:lang w:val="en-GB"/>
        </w:rPr>
        <w:t>.</w:t>
      </w:r>
      <w:r w:rsidRPr="00CC1BCB">
        <w:rPr>
          <w:lang w:val="en-GB"/>
        </w:rPr>
        <w:t xml:space="preserve"> Despite a good prognosis, patients diagnosed with localised disease are at risk of recurrence. Patients diagnosed with advanced disease, while only representing approximately 9% of cases at diagnosis, have a poor prognosis, with 5-year survival rates as low as 17%.</w:t>
      </w:r>
      <w:r w:rsidR="00E1724C">
        <w:rPr>
          <w:lang w:val="en-GB"/>
        </w:rPr>
        <w:t xml:space="preserve"> </w:t>
      </w:r>
      <w:r w:rsidR="005B2D54" w:rsidRPr="00524FF9">
        <w:t>Second-line</w:t>
      </w:r>
      <w:r w:rsidR="00934476">
        <w:t xml:space="preserve"> (2L)</w:t>
      </w:r>
      <w:r w:rsidR="005B2D54" w:rsidRPr="00524FF9">
        <w:t xml:space="preserve"> treatment for recurrent or advanced endometrial cancer is an area of unmet medical need. </w:t>
      </w:r>
    </w:p>
    <w:p w14:paraId="640B2312" w14:textId="77777777" w:rsidR="00FC1F07" w:rsidRDefault="00FC1F07" w:rsidP="00C76085">
      <w:pPr>
        <w:autoSpaceDE w:val="0"/>
        <w:autoSpaceDN w:val="0"/>
        <w:adjustRightInd w:val="0"/>
        <w:spacing w:before="0" w:after="0"/>
        <w:ind w:left="284"/>
      </w:pPr>
    </w:p>
    <w:p w14:paraId="26AD91E5" w14:textId="775E14A0" w:rsidR="00FC1F07" w:rsidRDefault="00FC1F07" w:rsidP="00C76085">
      <w:pPr>
        <w:autoSpaceDE w:val="0"/>
        <w:autoSpaceDN w:val="0"/>
        <w:adjustRightInd w:val="0"/>
        <w:spacing w:before="0" w:after="0"/>
        <w:ind w:left="284"/>
      </w:pPr>
      <w:r>
        <w:t>T</w:t>
      </w:r>
      <w:r w:rsidRPr="00FC1F07">
        <w:t>he DNA mismatch repair (MMR) system is a mechanism utilised to restore DNA integrity after mismatch errors have occurred. In normal tissue, the MMR system recognises and repairs base mismatches that occur during DNA replication</w:t>
      </w:r>
      <w:r>
        <w:t>.</w:t>
      </w:r>
      <w:r w:rsidRPr="00FC1F07">
        <w:t xml:space="preserve"> This process is controlled by 4 genes, including MLH1, MSH2, MSH6, and PMS2. Inactivation in any one of these genes results in deficiency of the MMR system. This deficiency of MMR (dMMR) function can be a result of hereditary gene mutation (as in Lynch syndrome), spontaneous mutation of the MMR gene in tumours, or methylation of the MMR gene, both seen in sporadic dMMR endometrial cancer.</w:t>
      </w:r>
    </w:p>
    <w:p w14:paraId="6F4A412C" w14:textId="77777777" w:rsidR="00FB0008" w:rsidRDefault="00FB0008" w:rsidP="00C76085">
      <w:pPr>
        <w:autoSpaceDE w:val="0"/>
        <w:autoSpaceDN w:val="0"/>
        <w:adjustRightInd w:val="0"/>
        <w:spacing w:before="0" w:after="0"/>
        <w:ind w:left="284"/>
      </w:pPr>
    </w:p>
    <w:p w14:paraId="52A9D052" w14:textId="3456DF8A" w:rsidR="005B2D54" w:rsidRDefault="005B2D54" w:rsidP="00C76085">
      <w:pPr>
        <w:autoSpaceDE w:val="0"/>
        <w:autoSpaceDN w:val="0"/>
        <w:adjustRightInd w:val="0"/>
        <w:spacing w:before="0" w:after="0"/>
        <w:ind w:left="284"/>
      </w:pPr>
      <w:r w:rsidRPr="00524FF9">
        <w:t xml:space="preserve">Comprehensive genomic and transcriptomic analysis of endometrial cancers have defined a subgroup of </w:t>
      </w:r>
      <w:r w:rsidR="00524FF9" w:rsidRPr="00524FF9">
        <w:t>tumours</w:t>
      </w:r>
      <w:r w:rsidRPr="00524FF9">
        <w:t xml:space="preserve"> that present with a high frequency of somatic mutations that are attributable to defects in mismatch repair.  </w:t>
      </w:r>
      <w:r w:rsidR="005C1565" w:rsidRPr="005C1565">
        <w:t>Endometrial cancer has the highest rate of dMMR/MSI-H across all cancer types</w:t>
      </w:r>
      <w:r w:rsidR="005C1565">
        <w:t xml:space="preserve">.  </w:t>
      </w:r>
      <w:r w:rsidRPr="00524FF9">
        <w:t xml:space="preserve">A subgroup of endometrial cancers present with defects in MMR are considered microsatellite instability -high (MSI-H).  A common and established method to categorize </w:t>
      </w:r>
      <w:r w:rsidR="00524FF9" w:rsidRPr="00524FF9">
        <w:t>tumours</w:t>
      </w:r>
      <w:r w:rsidRPr="00524FF9">
        <w:t xml:space="preserve"> and to test for the presence of the MSI-H phenotype is by assessing the expression of the four MMR proteins using an immunohistochemistry (IHC) assay. Loss of expression of at least 1 MMR protein in this assay will result in the </w:t>
      </w:r>
      <w:r w:rsidR="00524FF9" w:rsidRPr="00524FF9">
        <w:t>tumour</w:t>
      </w:r>
      <w:r w:rsidRPr="00524FF9">
        <w:t xml:space="preserve"> being called dMMR with a phenotype of MSI-H.</w:t>
      </w:r>
    </w:p>
    <w:p w14:paraId="03CA8069" w14:textId="0AACF65E" w:rsidR="008340D7" w:rsidRDefault="008340D7" w:rsidP="00C76085">
      <w:pPr>
        <w:autoSpaceDE w:val="0"/>
        <w:autoSpaceDN w:val="0"/>
        <w:adjustRightInd w:val="0"/>
        <w:spacing w:before="0" w:after="0"/>
        <w:ind w:left="284"/>
      </w:pPr>
    </w:p>
    <w:p w14:paraId="28742CCC" w14:textId="08D6A663" w:rsidR="008340D7" w:rsidRDefault="008340D7" w:rsidP="00C76085">
      <w:pPr>
        <w:autoSpaceDE w:val="0"/>
        <w:autoSpaceDN w:val="0"/>
        <w:adjustRightInd w:val="0"/>
        <w:spacing w:before="0" w:after="0"/>
        <w:ind w:left="284"/>
        <w:rPr>
          <w:lang w:val="en-GB"/>
        </w:rPr>
      </w:pPr>
      <w:r>
        <w:rPr>
          <w:lang w:val="en-GB"/>
        </w:rPr>
        <w:t>S</w:t>
      </w:r>
      <w:r w:rsidRPr="008340D7">
        <w:rPr>
          <w:lang w:val="en-GB"/>
        </w:rPr>
        <w:t>everal systematic literature reviews have shown that the current chemotherapies used do not offer better or worse treatment outcomes, including overall survival (OS), progression-free survival (PFS), disease-free survival (DFS), recurrence, and tumour response, in endometrial cancer patients with this specific subset of tumour. As such, the prognostic value of dMMR/MSI-H remains unclear based on the current literature findings.</w:t>
      </w:r>
    </w:p>
    <w:p w14:paraId="2B6E043E" w14:textId="36A59BA9" w:rsidR="001265BB" w:rsidRDefault="001265BB" w:rsidP="00C76085">
      <w:pPr>
        <w:autoSpaceDE w:val="0"/>
        <w:autoSpaceDN w:val="0"/>
        <w:adjustRightInd w:val="0"/>
        <w:spacing w:before="0" w:after="0"/>
        <w:ind w:left="284"/>
        <w:rPr>
          <w:lang w:val="en-GB"/>
        </w:rPr>
      </w:pPr>
    </w:p>
    <w:p w14:paraId="0A5173C5" w14:textId="236295B4" w:rsidR="001265BB" w:rsidRDefault="001265BB" w:rsidP="001265BB">
      <w:pPr>
        <w:autoSpaceDE w:val="0"/>
        <w:autoSpaceDN w:val="0"/>
        <w:adjustRightInd w:val="0"/>
        <w:spacing w:before="0" w:after="0"/>
        <w:ind w:left="284"/>
        <w:rPr>
          <w:lang w:val="en-GB"/>
        </w:rPr>
      </w:pPr>
      <w:r w:rsidRPr="001265BB">
        <w:rPr>
          <w:lang w:val="en-GB"/>
        </w:rPr>
        <w:t>dMMR or MSI-H endometrial tumours have an elevated mutation burden leading to the expression of unique tumour antigens, or neoantigens, infiltration of T-cell lymphocytes, and overexpression of PD-L1 in the tumour and microenvironment. dMMR/MSI-H status is predictive of clinical benefit from PD-1 inhibitors that block PD-1’s interaction with its ligands, restoring cytotoxic T-cell activity and freeing the T-cell to kill the tumour cell.</w:t>
      </w:r>
    </w:p>
    <w:p w14:paraId="1815D7E9" w14:textId="1908BDFE" w:rsidR="00154E64" w:rsidRDefault="00154E64" w:rsidP="001265BB">
      <w:pPr>
        <w:autoSpaceDE w:val="0"/>
        <w:autoSpaceDN w:val="0"/>
        <w:adjustRightInd w:val="0"/>
        <w:spacing w:before="0" w:after="0"/>
        <w:ind w:left="284"/>
        <w:rPr>
          <w:lang w:val="en-GB"/>
        </w:rPr>
      </w:pPr>
    </w:p>
    <w:p w14:paraId="7F6D8386" w14:textId="5221140D" w:rsidR="00154E64" w:rsidRDefault="003B5C63" w:rsidP="003B5C63">
      <w:pPr>
        <w:autoSpaceDE w:val="0"/>
        <w:autoSpaceDN w:val="0"/>
        <w:adjustRightInd w:val="0"/>
        <w:spacing w:before="0" w:after="0"/>
        <w:ind w:left="284"/>
        <w:rPr>
          <w:lang w:val="en-GB"/>
        </w:rPr>
      </w:pPr>
      <w:r w:rsidRPr="003B5C63">
        <w:rPr>
          <w:lang w:val="en-GB"/>
        </w:rPr>
        <w:t>Dostarlimab is a humanised, monoclonal antibody of the immunoglobulin G4 isotype that binds to PD-1, resulting in inhibition of binding to PD-L1 and PD-L2. This results in the release of inhibition of PD-1 pathway-mediated immune responses</w:t>
      </w:r>
      <w:r w:rsidR="007614C3">
        <w:rPr>
          <w:lang w:val="en-GB"/>
        </w:rPr>
        <w:t>.</w:t>
      </w:r>
      <w:r w:rsidR="00EB0A81">
        <w:rPr>
          <w:lang w:val="en-GB"/>
        </w:rPr>
        <w:t xml:space="preserve">  GSK intend to register </w:t>
      </w:r>
      <w:r w:rsidR="00EB0A81" w:rsidRPr="00EB0A81">
        <w:rPr>
          <w:lang w:val="en-GB"/>
        </w:rPr>
        <w:t>dostarlimab</w:t>
      </w:r>
      <w:r w:rsidR="00EB0A81">
        <w:rPr>
          <w:lang w:val="en-GB"/>
        </w:rPr>
        <w:t xml:space="preserve"> </w:t>
      </w:r>
      <w:r w:rsidR="00F5738A">
        <w:rPr>
          <w:lang w:val="en-GB"/>
        </w:rPr>
        <w:t xml:space="preserve">for use </w:t>
      </w:r>
      <w:r w:rsidR="00EB0A81" w:rsidRPr="00EB0A81">
        <w:rPr>
          <w:lang w:val="en-GB"/>
        </w:rPr>
        <w:t>as monotherapy for</w:t>
      </w:r>
      <w:r w:rsidR="00F5738A">
        <w:rPr>
          <w:lang w:val="en-GB"/>
        </w:rPr>
        <w:t xml:space="preserve"> </w:t>
      </w:r>
      <w:r w:rsidR="00EB0A81" w:rsidRPr="00EB0A81">
        <w:rPr>
          <w:lang w:val="en-GB"/>
        </w:rPr>
        <w:t>the treatment of adult patients with recurrent or advanced</w:t>
      </w:r>
      <w:r w:rsidR="00F5738A">
        <w:rPr>
          <w:lang w:val="en-GB"/>
        </w:rPr>
        <w:t xml:space="preserve"> </w:t>
      </w:r>
      <w:r w:rsidR="00EB0A81" w:rsidRPr="00EB0A81">
        <w:rPr>
          <w:lang w:val="en-GB"/>
        </w:rPr>
        <w:t>dMMR/MSI-H endometrial cancer that has progressed on or following prior treatment with a platinum-containing regimen</w:t>
      </w:r>
      <w:r w:rsidR="00284BDD">
        <w:rPr>
          <w:lang w:val="en-GB"/>
        </w:rPr>
        <w:t xml:space="preserve"> utilising results from the GARNET study.</w:t>
      </w:r>
    </w:p>
    <w:p w14:paraId="5A0B2757" w14:textId="77777777" w:rsidR="00101BDD" w:rsidRDefault="00101BDD" w:rsidP="003B5C63">
      <w:pPr>
        <w:autoSpaceDE w:val="0"/>
        <w:autoSpaceDN w:val="0"/>
        <w:adjustRightInd w:val="0"/>
        <w:spacing w:before="0" w:after="0"/>
        <w:ind w:left="284"/>
        <w:rPr>
          <w:lang w:val="en-GB"/>
        </w:rPr>
      </w:pPr>
    </w:p>
    <w:p w14:paraId="0F141DBA" w14:textId="77777777" w:rsidR="00101BDD" w:rsidRDefault="00101BDD" w:rsidP="003B5C63">
      <w:pPr>
        <w:autoSpaceDE w:val="0"/>
        <w:autoSpaceDN w:val="0"/>
        <w:adjustRightInd w:val="0"/>
        <w:spacing w:before="0" w:after="0"/>
        <w:ind w:left="284"/>
      </w:pPr>
      <w:r w:rsidRPr="00101BDD">
        <w:rPr>
          <w:lang w:val="en-US"/>
        </w:rPr>
        <w:t>The GARNET study of dostarlimab was the largest prospective evaluation to date of an</w:t>
      </w:r>
      <w:r>
        <w:rPr>
          <w:lang w:val="en-US"/>
        </w:rPr>
        <w:t xml:space="preserve"> </w:t>
      </w:r>
      <w:r w:rsidRPr="00101BDD">
        <w:rPr>
          <w:lang w:val="en-US"/>
        </w:rPr>
        <w:t>anti-PD-1/L1</w:t>
      </w:r>
      <w:r>
        <w:rPr>
          <w:lang w:val="en-US"/>
        </w:rPr>
        <w:t xml:space="preserve"> </w:t>
      </w:r>
      <w:r w:rsidRPr="00101BDD">
        <w:rPr>
          <w:lang w:val="en-US"/>
        </w:rPr>
        <w:t>agent as monotherapy in patients with advanced or recurrent endometrial cancer who had progressed on or after prior platinum-based therapy</w:t>
      </w:r>
      <w:r>
        <w:t xml:space="preserve">. </w:t>
      </w:r>
    </w:p>
    <w:p w14:paraId="51D1CA08" w14:textId="77777777" w:rsidR="00101BDD" w:rsidRDefault="00101BDD" w:rsidP="003B5C63">
      <w:pPr>
        <w:autoSpaceDE w:val="0"/>
        <w:autoSpaceDN w:val="0"/>
        <w:adjustRightInd w:val="0"/>
        <w:spacing w:before="0" w:after="0"/>
        <w:ind w:left="284"/>
      </w:pPr>
    </w:p>
    <w:p w14:paraId="2BC1E11F" w14:textId="7E9EA568" w:rsidR="00101BDD" w:rsidRDefault="00101BDD" w:rsidP="003B5C63">
      <w:pPr>
        <w:autoSpaceDE w:val="0"/>
        <w:autoSpaceDN w:val="0"/>
        <w:adjustRightInd w:val="0"/>
        <w:spacing w:before="0" w:after="0"/>
        <w:ind w:left="284"/>
      </w:pPr>
      <w:r w:rsidRPr="00101BDD">
        <w:t>Dostarlimab demonstrated a durable response in the dMMR/MSI-H cohort</w:t>
      </w:r>
      <w:r>
        <w:t xml:space="preserve"> </w:t>
      </w:r>
      <w:r w:rsidRPr="00101BDD">
        <w:t>with</w:t>
      </w:r>
      <w:r>
        <w:t xml:space="preserve"> </w:t>
      </w:r>
      <w:r w:rsidRPr="00101BDD">
        <w:t>an</w:t>
      </w:r>
      <w:r>
        <w:t xml:space="preserve"> </w:t>
      </w:r>
      <w:r w:rsidRPr="00101BDD">
        <w:t>overall response rate (ORR)</w:t>
      </w:r>
      <w:r>
        <w:t xml:space="preserve"> </w:t>
      </w:r>
      <w:r w:rsidRPr="00101BDD">
        <w:t>of</w:t>
      </w:r>
      <w:r>
        <w:t xml:space="preserve"> </w:t>
      </w:r>
      <w:r w:rsidR="00304A4B">
        <w:t>44.7</w:t>
      </w:r>
      <w:r w:rsidR="00155606">
        <w:t>%</w:t>
      </w:r>
      <w:r w:rsidR="00161544">
        <w:t xml:space="preserve"> </w:t>
      </w:r>
      <w:r w:rsidRPr="00101BDD">
        <w:t>(median duration of response</w:t>
      </w:r>
      <w:r w:rsidR="00DB790C">
        <w:t xml:space="preserve"> </w:t>
      </w:r>
      <w:r w:rsidRPr="00101BDD">
        <w:t>[DOR]</w:t>
      </w:r>
      <w:r w:rsidR="00DB790C">
        <w:t xml:space="preserve"> </w:t>
      </w:r>
      <w:r w:rsidRPr="00101BDD">
        <w:t>was not reached) and a disease control rate (DCR) of</w:t>
      </w:r>
      <w:r w:rsidR="00DB790C">
        <w:t xml:space="preserve"> </w:t>
      </w:r>
      <w:r w:rsidRPr="00101BDD">
        <w:t>57.</w:t>
      </w:r>
      <w:r w:rsidR="00304A4B">
        <w:t>3</w:t>
      </w:r>
      <w:r w:rsidRPr="00101BDD">
        <w:t>%</w:t>
      </w:r>
      <w:r w:rsidR="00DB790C">
        <w:t>.</w:t>
      </w:r>
    </w:p>
    <w:p w14:paraId="13525997" w14:textId="77777777" w:rsidR="00DB790C" w:rsidRDefault="00DB790C" w:rsidP="003B5C63">
      <w:pPr>
        <w:autoSpaceDE w:val="0"/>
        <w:autoSpaceDN w:val="0"/>
        <w:adjustRightInd w:val="0"/>
        <w:spacing w:before="0" w:after="0"/>
        <w:ind w:left="284"/>
        <w:rPr>
          <w:lang w:val="en-GB"/>
        </w:rPr>
      </w:pPr>
    </w:p>
    <w:p w14:paraId="39635EC0" w14:textId="0C140FAF" w:rsidR="00284BDD" w:rsidRDefault="00C959E1" w:rsidP="003B5C63">
      <w:pPr>
        <w:autoSpaceDE w:val="0"/>
        <w:autoSpaceDN w:val="0"/>
        <w:adjustRightInd w:val="0"/>
        <w:spacing w:before="0" w:after="0"/>
        <w:ind w:left="284"/>
        <w:rPr>
          <w:lang w:val="en-GB"/>
        </w:rPr>
      </w:pPr>
      <w:r w:rsidRPr="00C959E1">
        <w:rPr>
          <w:lang w:val="en-GB"/>
        </w:rPr>
        <w:t xml:space="preserve">Dostarlimab </w:t>
      </w:r>
      <w:r>
        <w:rPr>
          <w:lang w:val="en-GB"/>
        </w:rPr>
        <w:t xml:space="preserve">was </w:t>
      </w:r>
      <w:r w:rsidRPr="00C959E1">
        <w:rPr>
          <w:lang w:val="en-GB"/>
        </w:rPr>
        <w:t>generally</w:t>
      </w:r>
      <w:r>
        <w:rPr>
          <w:lang w:val="en-GB"/>
        </w:rPr>
        <w:t xml:space="preserve"> </w:t>
      </w:r>
      <w:r w:rsidRPr="00C959E1">
        <w:rPr>
          <w:lang w:val="en-GB"/>
        </w:rPr>
        <w:t>well tolerated with</w:t>
      </w:r>
      <w:r>
        <w:rPr>
          <w:lang w:val="en-GB"/>
        </w:rPr>
        <w:t xml:space="preserve"> </w:t>
      </w:r>
      <w:r w:rsidRPr="00C959E1">
        <w:rPr>
          <w:lang w:val="en-GB"/>
        </w:rPr>
        <w:t>a</w:t>
      </w:r>
      <w:r>
        <w:rPr>
          <w:lang w:val="en-GB"/>
        </w:rPr>
        <w:t xml:space="preserve"> </w:t>
      </w:r>
      <w:r w:rsidRPr="00C959E1">
        <w:rPr>
          <w:lang w:val="en-GB"/>
        </w:rPr>
        <w:t>manageable</w:t>
      </w:r>
      <w:r>
        <w:rPr>
          <w:lang w:val="en-GB"/>
        </w:rPr>
        <w:t xml:space="preserve"> </w:t>
      </w:r>
      <w:r w:rsidRPr="00C959E1">
        <w:rPr>
          <w:lang w:val="en-GB"/>
        </w:rPr>
        <w:t>adverse events</w:t>
      </w:r>
      <w:r>
        <w:rPr>
          <w:lang w:val="en-GB"/>
        </w:rPr>
        <w:t xml:space="preserve"> </w:t>
      </w:r>
      <w:r w:rsidRPr="00C959E1">
        <w:rPr>
          <w:lang w:val="en-GB"/>
        </w:rPr>
        <w:t>profile; the most common treatment-emergent adverse events (TEAEs) observed in GARNET were diarrhoea, asthenia, fatigue and nausea,</w:t>
      </w:r>
      <w:r>
        <w:rPr>
          <w:lang w:val="en-GB"/>
        </w:rPr>
        <w:t xml:space="preserve"> </w:t>
      </w:r>
      <w:r w:rsidRPr="00C959E1">
        <w:rPr>
          <w:lang w:val="en-GB"/>
        </w:rPr>
        <w:t>and the occurrence of serious TEAEs (≥Grade 3) was low (</w:t>
      </w:r>
      <w:r w:rsidR="00AA722E">
        <w:rPr>
          <w:lang w:val="en-GB"/>
        </w:rPr>
        <w:t>11.5</w:t>
      </w:r>
      <w:r w:rsidRPr="00C959E1">
        <w:rPr>
          <w:lang w:val="en-GB"/>
        </w:rPr>
        <w:t>%) with a low discontinuation rate (</w:t>
      </w:r>
      <w:r w:rsidR="009E2EA3" w:rsidRPr="009E2EA3">
        <w:rPr>
          <w:b/>
          <w:lang w:val="en-GB"/>
        </w:rPr>
        <w:t>REDACTED</w:t>
      </w:r>
      <w:r w:rsidRPr="00C959E1">
        <w:rPr>
          <w:lang w:val="en-GB"/>
        </w:rPr>
        <w:t>).</w:t>
      </w:r>
      <w:r w:rsidR="00A26E41">
        <w:rPr>
          <w:lang w:val="en-GB"/>
        </w:rPr>
        <w:t xml:space="preserve"> </w:t>
      </w:r>
      <w:r w:rsidRPr="00C959E1">
        <w:rPr>
          <w:lang w:val="en-GB"/>
        </w:rPr>
        <w:t xml:space="preserve"> No deaths were associated with dostarlimab</w:t>
      </w:r>
      <w:r w:rsidR="00A26E41">
        <w:rPr>
          <w:lang w:val="en-GB"/>
        </w:rPr>
        <w:t>.</w:t>
      </w:r>
    </w:p>
    <w:p w14:paraId="13032EDD" w14:textId="7FBFDAFF" w:rsidR="00457131" w:rsidRDefault="00457131" w:rsidP="003B5C63">
      <w:pPr>
        <w:autoSpaceDE w:val="0"/>
        <w:autoSpaceDN w:val="0"/>
        <w:adjustRightInd w:val="0"/>
        <w:spacing w:before="0" w:after="0"/>
        <w:ind w:left="284"/>
        <w:rPr>
          <w:lang w:val="en-GB"/>
        </w:rPr>
      </w:pPr>
    </w:p>
    <w:p w14:paraId="1171B7EE" w14:textId="236686F3" w:rsidR="005B2D54" w:rsidRPr="001E343B" w:rsidRDefault="00457131" w:rsidP="001E343B">
      <w:pPr>
        <w:autoSpaceDE w:val="0"/>
        <w:autoSpaceDN w:val="0"/>
        <w:adjustRightInd w:val="0"/>
        <w:spacing w:before="0" w:after="0"/>
        <w:ind w:left="284"/>
        <w:rPr>
          <w:lang w:val="en-GB"/>
        </w:rPr>
      </w:pPr>
      <w:r>
        <w:rPr>
          <w:lang w:val="en-GB"/>
        </w:rPr>
        <w:t xml:space="preserve">GSK notes that </w:t>
      </w:r>
      <w:r w:rsidR="002149DD">
        <w:rPr>
          <w:lang w:val="en-GB"/>
        </w:rPr>
        <w:t xml:space="preserve">dMMR testing in endometrial cancer </w:t>
      </w:r>
      <w:r w:rsidR="00536A2B">
        <w:rPr>
          <w:lang w:val="en-GB"/>
        </w:rPr>
        <w:t xml:space="preserve">for treatment with </w:t>
      </w:r>
      <w:r w:rsidR="00E0425E">
        <w:rPr>
          <w:lang w:val="en-GB"/>
        </w:rPr>
        <w:t xml:space="preserve">an anti-PD-/L1 agent </w:t>
      </w:r>
      <w:r w:rsidR="002149DD">
        <w:rPr>
          <w:lang w:val="en-GB"/>
        </w:rPr>
        <w:t>has been considered as part of another application to MSAC (</w:t>
      </w:r>
      <w:r w:rsidR="00FA76EC">
        <w:rPr>
          <w:lang w:val="en-GB"/>
        </w:rPr>
        <w:t xml:space="preserve">Application 1508) which has a ratified PICO.  </w:t>
      </w:r>
      <w:r w:rsidR="00E0425E">
        <w:rPr>
          <w:lang w:val="en-GB"/>
        </w:rPr>
        <w:t xml:space="preserve">GSK believes this PICO could be adjusted to be limited to </w:t>
      </w:r>
      <w:r w:rsidR="004A16B5">
        <w:rPr>
          <w:lang w:val="en-GB"/>
        </w:rPr>
        <w:t>endometrial cancer and provides it as an attachment</w:t>
      </w:r>
      <w:r w:rsidR="00281522">
        <w:rPr>
          <w:lang w:val="en-GB"/>
        </w:rPr>
        <w:t xml:space="preserve"> for reference</w:t>
      </w:r>
      <w:r w:rsidR="004A16B5">
        <w:rPr>
          <w:lang w:val="en-GB"/>
        </w:rPr>
        <w:t>.</w:t>
      </w:r>
    </w:p>
    <w:p w14:paraId="49D75564" w14:textId="1EA31CC9" w:rsidR="000B3CD0" w:rsidRDefault="000B3CD0" w:rsidP="00730C04">
      <w:pPr>
        <w:pStyle w:val="Heading2"/>
      </w:pPr>
      <w:r w:rsidRPr="00154B00">
        <w:t>Application title</w:t>
      </w:r>
      <w:r w:rsidR="00A8732C">
        <w:t xml:space="preserve"> </w:t>
      </w:r>
    </w:p>
    <w:p w14:paraId="64F3A854" w14:textId="2F77E775" w:rsidR="009056C5" w:rsidRPr="009056C5" w:rsidRDefault="00C011D4" w:rsidP="00A6491A">
      <w:pPr>
        <w:ind w:left="284"/>
      </w:pPr>
      <w:r>
        <w:t>Dostarlimab in mismatch repair deficient (</w:t>
      </w:r>
      <w:r w:rsidR="00043984">
        <w:t>dMMR</w:t>
      </w:r>
      <w:r w:rsidR="00530E8B">
        <w:t>) recurrent or advanced endometrial cancer</w:t>
      </w:r>
    </w:p>
    <w:p w14:paraId="728D97E6"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BD835EC" w14:textId="30713B80" w:rsidR="000C7F82" w:rsidRPr="00604AB7" w:rsidRDefault="000372C5" w:rsidP="00137E94">
      <w:pPr>
        <w:autoSpaceDE w:val="0"/>
        <w:autoSpaceDN w:val="0"/>
        <w:adjustRightInd w:val="0"/>
        <w:spacing w:before="0" w:after="0"/>
        <w:ind w:left="284"/>
      </w:pPr>
      <w:r w:rsidRPr="00604AB7">
        <w:t>Patients with</w:t>
      </w:r>
      <w:r w:rsidR="004243F8" w:rsidRPr="00604AB7">
        <w:t xml:space="preserve"> </w:t>
      </w:r>
      <w:r w:rsidR="001C0538" w:rsidRPr="00604AB7">
        <w:t xml:space="preserve">recurrent or advanced endometrial cancer </w:t>
      </w:r>
      <w:r w:rsidR="00604AB7" w:rsidRPr="00604AB7">
        <w:t>which are mismatch repair deficient (dMMR) who have progressed following prior treatment.</w:t>
      </w:r>
    </w:p>
    <w:p w14:paraId="25745F5E" w14:textId="0F438028" w:rsidR="000955E7" w:rsidRDefault="000955E7" w:rsidP="00A7173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C7B729C" w14:textId="022EEA7C" w:rsidR="00CB12EC" w:rsidRPr="00CB12EC" w:rsidRDefault="00F325C7" w:rsidP="00A6491A">
      <w:pPr>
        <w:ind w:left="284"/>
      </w:pPr>
      <w:r>
        <w:t xml:space="preserve">Immunohistochemistry (IHC) test for identification of Mismatch Repair Deficiency (dMMR) for access to dostarlimab in patients with </w:t>
      </w:r>
      <w:r w:rsidR="00154962">
        <w:t>recurrent or advanced endometrial cancer.</w:t>
      </w:r>
    </w:p>
    <w:p w14:paraId="26E8C63B"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B098D24" w14:textId="024C7EDC" w:rsidR="00753C44" w:rsidRDefault="00A169F8"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D315F0">
        <w:rPr>
          <w:szCs w:val="20"/>
        </w:rPr>
      </w:r>
      <w:r w:rsidR="00D315F0">
        <w:rPr>
          <w:szCs w:val="20"/>
        </w:rPr>
        <w:fldChar w:fldCharType="separate"/>
      </w:r>
      <w:r>
        <w:rPr>
          <w:szCs w:val="20"/>
        </w:rPr>
        <w:fldChar w:fldCharType="end"/>
      </w:r>
      <w:bookmarkEnd w:id="2"/>
      <w:r w:rsidR="006B6390">
        <w:rPr>
          <w:szCs w:val="20"/>
        </w:rPr>
        <w:t xml:space="preserve"> Yes</w:t>
      </w:r>
    </w:p>
    <w:p w14:paraId="48787166" w14:textId="0838FDA2" w:rsidR="00753C44" w:rsidRPr="00753C44" w:rsidRDefault="00A169F8"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B6390">
        <w:rPr>
          <w:szCs w:val="20"/>
        </w:rPr>
        <w:t xml:space="preserve"> No</w:t>
      </w:r>
      <w:r w:rsidR="00753C44" w:rsidRPr="00753C44">
        <w:rPr>
          <w:szCs w:val="20"/>
        </w:rPr>
        <w:t xml:space="preserve">  </w:t>
      </w:r>
    </w:p>
    <w:p w14:paraId="4FA32F4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25A36E6" w14:textId="31C1870A" w:rsidR="00753C44" w:rsidRDefault="003A76C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19F8E98D"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315F0">
        <w:rPr>
          <w:szCs w:val="20"/>
        </w:rPr>
      </w:r>
      <w:r w:rsidR="00D315F0">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7D24917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EECD0B3" w14:textId="33AC288E" w:rsidR="003D795C" w:rsidRPr="00CB12EC" w:rsidRDefault="002B768D" w:rsidP="00A6491A">
      <w:pPr>
        <w:ind w:left="284"/>
      </w:pPr>
      <w:r>
        <w:t xml:space="preserve">MBS Item # </w:t>
      </w:r>
      <w:r w:rsidR="004D5FEB">
        <w:t>72847</w:t>
      </w:r>
      <w:r w:rsidR="00464DA6">
        <w:t xml:space="preserve"> – IHC testing for MMR is already performed in most pathology centres under this MBS item number</w:t>
      </w:r>
      <w:r w:rsidR="003C0487">
        <w:t>.  This item could be amended for testing for eligibility for dostarlimab.</w:t>
      </w:r>
    </w:p>
    <w:p w14:paraId="5E0F60D5"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F02A45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7366A891" w14:textId="057E4FA2" w:rsidR="002A270B" w:rsidRPr="004A263B" w:rsidRDefault="00263437"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445DA72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7E2735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56F80D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41AF50DD" w14:textId="1E2BE546" w:rsidR="002A270B" w:rsidRPr="004A263B" w:rsidRDefault="00263437"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7DBDF90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C08BF4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315F0">
        <w:rPr>
          <w:b/>
          <w:szCs w:val="20"/>
        </w:rPr>
      </w:r>
      <w:r w:rsidR="00D315F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769F6A0C" w14:textId="1C6E7295" w:rsidR="002A270B" w:rsidRDefault="001107EA" w:rsidP="004A263B">
      <w:pPr>
        <w:pStyle w:val="ListParagraph"/>
        <w:numPr>
          <w:ilvl w:val="0"/>
          <w:numId w:val="34"/>
        </w:numPr>
        <w:ind w:left="851" w:hanging="425"/>
        <w:rPr>
          <w:rStyle w:val="Strong"/>
        </w:rPr>
      </w:pPr>
      <w:r>
        <w:rPr>
          <w:b/>
          <w:szCs w:val="20"/>
        </w:rPr>
        <w:fldChar w:fldCharType="begin">
          <w:ffData>
            <w:name w:val=""/>
            <w:enabled/>
            <w:calcOnExit w:val="0"/>
            <w:checkBox>
              <w:sizeAuto/>
              <w:default w:val="0"/>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5CB44B6A" w14:textId="355567D3" w:rsidR="002A270B" w:rsidRPr="00CB12EC" w:rsidRDefault="002A270B" w:rsidP="00A6491A">
      <w:pPr>
        <w:ind w:left="284"/>
      </w:pPr>
    </w:p>
    <w:p w14:paraId="6A18B8DF" w14:textId="77777777" w:rsidR="001E343B" w:rsidRDefault="001E343B">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0BBE017F" w14:textId="2F0B9325"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34C0C6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315F0">
        <w:rPr>
          <w:b/>
          <w:szCs w:val="20"/>
        </w:rPr>
      </w:r>
      <w:r w:rsidR="00D315F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78485C9"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315F0">
        <w:rPr>
          <w:b/>
          <w:szCs w:val="20"/>
        </w:rPr>
      </w:r>
      <w:r w:rsidR="00D315F0">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620D5CF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315F0">
        <w:rPr>
          <w:b/>
          <w:szCs w:val="20"/>
        </w:rPr>
      </w:r>
      <w:r w:rsidR="00D315F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5B44D9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315F0">
        <w:rPr>
          <w:b/>
          <w:szCs w:val="20"/>
        </w:rPr>
      </w:r>
      <w:r w:rsidR="00D315F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11270BA"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B7B709B" w14:textId="28A43BF6" w:rsidR="000A5B32" w:rsidRDefault="00A169F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0A5B32" w:rsidRPr="000A5B32">
        <w:rPr>
          <w:szCs w:val="20"/>
        </w:rPr>
        <w:t xml:space="preserve"> Yes</w:t>
      </w:r>
    </w:p>
    <w:p w14:paraId="699BA666" w14:textId="553F5CD0" w:rsidR="00626365" w:rsidRDefault="00A169F8" w:rsidP="00626365">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0A5B32" w:rsidRPr="000A5B32">
        <w:rPr>
          <w:szCs w:val="20"/>
        </w:rPr>
        <w:t xml:space="preserve"> No</w:t>
      </w:r>
    </w:p>
    <w:p w14:paraId="5419661E"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6D6F5FD7"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4BCBE3A" w14:textId="508EB398" w:rsidR="000A5B32" w:rsidRPr="00855944" w:rsidRDefault="007F5E95" w:rsidP="00A6491A">
      <w:pPr>
        <w:ind w:left="284"/>
        <w:rPr>
          <w:rStyle w:val="Strong"/>
        </w:rPr>
      </w:pPr>
      <w:r>
        <w:t xml:space="preserve">PBS funding will be sought for dostarlimab treatment of </w:t>
      </w:r>
      <w:r w:rsidR="004D3443">
        <w:t xml:space="preserve">patients with </w:t>
      </w:r>
      <w:r>
        <w:t>endometrial cancer wh</w:t>
      </w:r>
      <w:r w:rsidR="004D3443">
        <w:t xml:space="preserve">ich are </w:t>
      </w:r>
      <w:r w:rsidR="000D41A4">
        <w:t>mismatch repair deficient (dMMR) who have progressed following prior treatment</w:t>
      </w:r>
      <w:r w:rsidR="0046553D">
        <w:t>.</w:t>
      </w:r>
    </w:p>
    <w:p w14:paraId="37DAB27A" w14:textId="77777777" w:rsidR="000B3CD0" w:rsidRDefault="000B3CD0" w:rsidP="00730C04">
      <w:pPr>
        <w:pStyle w:val="Heading2"/>
      </w:pPr>
      <w:r w:rsidRPr="00154B00">
        <w:t>What is the type of service:</w:t>
      </w:r>
    </w:p>
    <w:p w14:paraId="5BFDD26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Therapeutic medical service</w:t>
      </w:r>
    </w:p>
    <w:p w14:paraId="337CA7D5" w14:textId="77777777" w:rsidR="00A6594E" w:rsidRDefault="005D006F"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A6594E" w:rsidRPr="0027105F">
        <w:rPr>
          <w:b/>
          <w:szCs w:val="20"/>
        </w:rPr>
        <w:t xml:space="preserve"> </w:t>
      </w:r>
      <w:r w:rsidR="00A6594E">
        <w:t>Investigative medical service</w:t>
      </w:r>
    </w:p>
    <w:p w14:paraId="503F72F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Single consultation medical service</w:t>
      </w:r>
    </w:p>
    <w:p w14:paraId="2D2B413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Global consultation medical service</w:t>
      </w:r>
    </w:p>
    <w:p w14:paraId="6F724EC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Allied health service</w:t>
      </w:r>
    </w:p>
    <w:p w14:paraId="0F45C433" w14:textId="77777777" w:rsidR="00A6594E" w:rsidRDefault="005D006F"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A6594E" w:rsidRPr="0027105F">
        <w:rPr>
          <w:b/>
          <w:szCs w:val="20"/>
        </w:rPr>
        <w:t xml:space="preserve"> </w:t>
      </w:r>
      <w:r w:rsidR="00A6594E">
        <w:t>Co-dependent technology</w:t>
      </w:r>
    </w:p>
    <w:p w14:paraId="0284952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Hybrid health technology</w:t>
      </w:r>
    </w:p>
    <w:p w14:paraId="335A8442"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290AD5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315F0">
        <w:rPr>
          <w:b/>
          <w:szCs w:val="20"/>
        </w:rPr>
      </w:r>
      <w:r w:rsidR="00D315F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3560F5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315F0">
        <w:rPr>
          <w:b/>
          <w:szCs w:val="20"/>
        </w:rPr>
      </w:r>
      <w:r w:rsidR="00D315F0">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7981DD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315F0">
        <w:rPr>
          <w:b/>
          <w:szCs w:val="20"/>
        </w:rPr>
      </w:r>
      <w:r w:rsidR="00D315F0">
        <w:rPr>
          <w:b/>
          <w:szCs w:val="20"/>
        </w:rPr>
        <w:fldChar w:fldCharType="separate"/>
      </w:r>
      <w:r w:rsidRPr="00AF4466">
        <w:rPr>
          <w:b/>
          <w:szCs w:val="20"/>
        </w:rPr>
        <w:fldChar w:fldCharType="end"/>
      </w:r>
      <w:r w:rsidRPr="00AF4466">
        <w:rPr>
          <w:b/>
          <w:szCs w:val="20"/>
        </w:rPr>
        <w:t xml:space="preserve"> </w:t>
      </w:r>
      <w:r>
        <w:t>Provides information about prognosis</w:t>
      </w:r>
    </w:p>
    <w:p w14:paraId="31BD2CF3" w14:textId="77777777" w:rsidR="00A6594E" w:rsidRDefault="005D006F"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1724570"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315F0">
        <w:rPr>
          <w:b/>
          <w:szCs w:val="20"/>
        </w:rPr>
      </w:r>
      <w:r w:rsidR="00D315F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7DEA763"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3C868AB" w14:textId="41A0684C" w:rsidR="00FE16C1" w:rsidRDefault="0046553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FE16C1" w:rsidRPr="0027105F">
        <w:rPr>
          <w:b/>
          <w:szCs w:val="20"/>
        </w:rPr>
        <w:t xml:space="preserve"> </w:t>
      </w:r>
      <w:r w:rsidR="00FE16C1">
        <w:t>Pharmaceutical / Biological</w:t>
      </w:r>
    </w:p>
    <w:p w14:paraId="0A642A9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315F0">
        <w:rPr>
          <w:b/>
          <w:szCs w:val="20"/>
        </w:rPr>
      </w:r>
      <w:r w:rsidR="00D315F0">
        <w:rPr>
          <w:b/>
          <w:szCs w:val="20"/>
        </w:rPr>
        <w:fldChar w:fldCharType="separate"/>
      </w:r>
      <w:r w:rsidRPr="0027105F">
        <w:rPr>
          <w:b/>
          <w:szCs w:val="20"/>
        </w:rPr>
        <w:fldChar w:fldCharType="end"/>
      </w:r>
      <w:r w:rsidRPr="0027105F">
        <w:rPr>
          <w:b/>
          <w:szCs w:val="20"/>
        </w:rPr>
        <w:t xml:space="preserve"> </w:t>
      </w:r>
      <w:r>
        <w:t>Prosthesis or device</w:t>
      </w:r>
    </w:p>
    <w:p w14:paraId="3FC27464" w14:textId="5D3373F5" w:rsidR="00FE16C1" w:rsidRPr="00FE16C1" w:rsidRDefault="0046553D"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D315F0">
        <w:rPr>
          <w:b/>
          <w:szCs w:val="20"/>
        </w:rPr>
      </w:r>
      <w:r w:rsidR="00D315F0">
        <w:rPr>
          <w:b/>
          <w:szCs w:val="20"/>
        </w:rPr>
        <w:fldChar w:fldCharType="separate"/>
      </w:r>
      <w:r>
        <w:rPr>
          <w:b/>
          <w:szCs w:val="20"/>
        </w:rPr>
        <w:fldChar w:fldCharType="end"/>
      </w:r>
      <w:r w:rsidR="00FE16C1" w:rsidRPr="0027105F">
        <w:rPr>
          <w:b/>
          <w:szCs w:val="20"/>
        </w:rPr>
        <w:t xml:space="preserve"> </w:t>
      </w:r>
      <w:r w:rsidR="00FE16C1">
        <w:t>No</w:t>
      </w:r>
    </w:p>
    <w:p w14:paraId="21F7E723"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E6AF624"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sidRPr="000A5B32">
        <w:rPr>
          <w:szCs w:val="20"/>
        </w:rPr>
        <w:t xml:space="preserve"> Yes</w:t>
      </w:r>
    </w:p>
    <w:p w14:paraId="2871A769" w14:textId="77777777" w:rsidR="00FE16C1" w:rsidRPr="00FE16C1" w:rsidRDefault="005D006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FE16C1">
        <w:rPr>
          <w:szCs w:val="20"/>
        </w:rPr>
        <w:t xml:space="preserve"> No  </w:t>
      </w:r>
    </w:p>
    <w:p w14:paraId="2B3022F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A69C095"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60DBF37"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86D6577" w14:textId="77777777" w:rsidR="001E6919" w:rsidRDefault="005D006F"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1E6919">
        <w:rPr>
          <w:szCs w:val="20"/>
        </w:rPr>
        <w:t xml:space="preserve"> No</w:t>
      </w:r>
    </w:p>
    <w:p w14:paraId="5FC122EB"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F6567EB" w14:textId="707F7E98" w:rsidR="001E6958" w:rsidRDefault="001E6958" w:rsidP="00A6491A">
      <w:pPr>
        <w:spacing w:before="0" w:after="0"/>
        <w:ind w:left="284"/>
      </w:pPr>
      <w:r>
        <w:t xml:space="preserve">Trade name: </w:t>
      </w:r>
      <w:r w:rsidR="00A57D91">
        <w:t>Not determined as yet</w:t>
      </w:r>
    </w:p>
    <w:p w14:paraId="40504DFB" w14:textId="09147527" w:rsidR="001E6958" w:rsidRPr="001E6958" w:rsidRDefault="001E6958" w:rsidP="00A6491A">
      <w:pPr>
        <w:spacing w:before="0" w:after="0"/>
        <w:ind w:left="284"/>
      </w:pPr>
      <w:r>
        <w:t xml:space="preserve">Generic name: </w:t>
      </w:r>
      <w:r w:rsidR="00A57D91">
        <w:t>Dostarlimab</w:t>
      </w:r>
    </w:p>
    <w:p w14:paraId="153D2FD2" w14:textId="77777777" w:rsidR="001E343B" w:rsidRDefault="001E343B">
      <w:pPr>
        <w:spacing w:before="0" w:after="200" w:line="276" w:lineRule="auto"/>
        <w:rPr>
          <w:b/>
          <w:szCs w:val="20"/>
        </w:rPr>
      </w:pPr>
      <w:r>
        <w:br w:type="page"/>
      </w:r>
    </w:p>
    <w:p w14:paraId="63CC6515" w14:textId="6AECB088"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10D5CAC" w14:textId="6159A527" w:rsidR="004F5804" w:rsidRPr="00DA1B8F" w:rsidRDefault="001E343B" w:rsidP="001E343B">
      <w:pPr>
        <w:spacing w:before="0" w:after="0"/>
        <w:ind w:left="284" w:firstLine="76"/>
        <w:rPr>
          <w:b/>
          <w:bCs/>
          <w:szCs w:val="20"/>
        </w:rPr>
      </w:pPr>
      <w:r>
        <w:rPr>
          <w:szCs w:val="20"/>
        </w:rPr>
        <w:t>N/A</w:t>
      </w:r>
    </w:p>
    <w:p w14:paraId="43ABA9F6"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4243ACB6" w14:textId="2E219430" w:rsidR="009939DC" w:rsidRDefault="001E343B" w:rsidP="001E343B">
      <w:pPr>
        <w:ind w:left="360"/>
      </w:pPr>
      <w:r>
        <w:t>N/A</w:t>
      </w:r>
    </w:p>
    <w:p w14:paraId="39458FBE" w14:textId="1AB80DD4"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1F74786" w14:textId="62E1673D" w:rsidR="00B03A3B" w:rsidRPr="001E343B" w:rsidRDefault="001E343B" w:rsidP="001E343B">
      <w:pPr>
        <w:ind w:firstLine="360"/>
        <w:rPr>
          <w:bCs/>
        </w:rPr>
      </w:pPr>
      <w:r w:rsidRPr="001E343B">
        <w:rPr>
          <w:bCs/>
        </w:rPr>
        <w:t>N/A</w:t>
      </w:r>
    </w:p>
    <w:p w14:paraId="43B89E56" w14:textId="451B12D5" w:rsidR="00016B6E"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AAE409C" w14:textId="3F8F45A8" w:rsidR="002627F6" w:rsidRPr="001E343B" w:rsidRDefault="001E343B" w:rsidP="001E343B">
      <w:pPr>
        <w:ind w:firstLine="360"/>
        <w:rPr>
          <w:bCs/>
        </w:rPr>
      </w:pPr>
      <w:r w:rsidRPr="001E343B">
        <w:rPr>
          <w:bCs/>
        </w:rPr>
        <w:t>N/A</w:t>
      </w:r>
    </w:p>
    <w:p w14:paraId="3668F9FF"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44B7909" w14:textId="15CEFC91" w:rsidR="00016B6E" w:rsidRPr="001E343B" w:rsidRDefault="001E343B" w:rsidP="001E343B">
      <w:pPr>
        <w:ind w:left="284" w:firstLine="76"/>
        <w:rPr>
          <w:bCs/>
        </w:rPr>
      </w:pPr>
      <w:r w:rsidRPr="001E343B">
        <w:rPr>
          <w:bCs/>
        </w:rPr>
        <w:t>N/A</w:t>
      </w:r>
    </w:p>
    <w:p w14:paraId="0E6F4077"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4002553" w14:textId="45325E9F" w:rsidR="00F301F1" w:rsidRPr="00855944" w:rsidRDefault="001E343B" w:rsidP="001E343B">
      <w:pPr>
        <w:spacing w:before="0" w:after="0"/>
        <w:ind w:left="284" w:firstLine="76"/>
      </w:pPr>
      <w:r>
        <w:t>N/A</w:t>
      </w:r>
      <w:r w:rsidR="00F301F1" w:rsidRPr="00855944">
        <w:br w:type="page"/>
      </w:r>
    </w:p>
    <w:p w14:paraId="04A4B60D"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1A87321A" w14:textId="5C053ABB" w:rsidR="003248C1" w:rsidRDefault="003248C1" w:rsidP="00DF7256">
      <w:pPr>
        <w:pStyle w:val="Heading2"/>
        <w:numPr>
          <w:ilvl w:val="0"/>
          <w:numId w:val="0"/>
        </w:numPr>
        <w:ind w:left="284"/>
      </w:pPr>
      <w:r>
        <w:t xml:space="preserve">GSK is proposing that </w:t>
      </w:r>
      <w:r w:rsidR="004B0CFB">
        <w:t>clinicians</w:t>
      </w:r>
      <w:r>
        <w:t xml:space="preserve"> use the same dMMR antibody clo</w:t>
      </w:r>
      <w:r w:rsidR="00E625F2">
        <w:t xml:space="preserve">nes that they use for </w:t>
      </w:r>
      <w:r w:rsidR="00F324F0">
        <w:t>endometrial cancer and colorectal cancer.  Examples of clones that are used in Australia include:</w:t>
      </w:r>
    </w:p>
    <w:p w14:paraId="2E41D686" w14:textId="77777777" w:rsidR="00DF7256" w:rsidRPr="00C44E55" w:rsidRDefault="00DF7256" w:rsidP="00DF7256">
      <w:pPr>
        <w:pStyle w:val="ListParagraph"/>
        <w:numPr>
          <w:ilvl w:val="0"/>
          <w:numId w:val="37"/>
        </w:numPr>
        <w:spacing w:before="0" w:after="200" w:line="276" w:lineRule="auto"/>
        <w:rPr>
          <w:b/>
          <w:szCs w:val="20"/>
        </w:rPr>
      </w:pPr>
      <w:r w:rsidRPr="00C44E55">
        <w:rPr>
          <w:b/>
          <w:szCs w:val="20"/>
        </w:rPr>
        <w:t>MLH1- ES05 (Dako)</w:t>
      </w:r>
    </w:p>
    <w:p w14:paraId="2ECFA434" w14:textId="77777777" w:rsidR="00DF7256" w:rsidRPr="00C44E55" w:rsidRDefault="00DF7256" w:rsidP="00DF7256">
      <w:pPr>
        <w:pStyle w:val="ListParagraph"/>
        <w:numPr>
          <w:ilvl w:val="0"/>
          <w:numId w:val="37"/>
        </w:numPr>
        <w:spacing w:before="0" w:after="200" w:line="276" w:lineRule="auto"/>
        <w:rPr>
          <w:b/>
          <w:szCs w:val="20"/>
        </w:rPr>
      </w:pPr>
      <w:r w:rsidRPr="00C44E55">
        <w:rPr>
          <w:b/>
          <w:szCs w:val="20"/>
        </w:rPr>
        <w:t>MSH2- G219-1129 (Ventana)</w:t>
      </w:r>
    </w:p>
    <w:p w14:paraId="6EDB2A57" w14:textId="77777777" w:rsidR="00DF7256" w:rsidRPr="00C44E55" w:rsidRDefault="00DF7256" w:rsidP="00DF7256">
      <w:pPr>
        <w:pStyle w:val="ListParagraph"/>
        <w:numPr>
          <w:ilvl w:val="0"/>
          <w:numId w:val="37"/>
        </w:numPr>
        <w:spacing w:before="0" w:after="200" w:line="276" w:lineRule="auto"/>
        <w:rPr>
          <w:b/>
          <w:szCs w:val="20"/>
        </w:rPr>
      </w:pPr>
      <w:r w:rsidRPr="00C44E55">
        <w:rPr>
          <w:b/>
          <w:szCs w:val="20"/>
        </w:rPr>
        <w:t>MSH6 – 44 (BD Biosciences)</w:t>
      </w:r>
    </w:p>
    <w:p w14:paraId="68F4486F" w14:textId="1623BBC3" w:rsidR="00DF7256" w:rsidRDefault="00DF7256" w:rsidP="00DF7256">
      <w:pPr>
        <w:pStyle w:val="ListParagraph"/>
        <w:numPr>
          <w:ilvl w:val="0"/>
          <w:numId w:val="37"/>
        </w:numPr>
        <w:spacing w:before="0" w:after="200" w:line="276" w:lineRule="auto"/>
        <w:rPr>
          <w:b/>
          <w:szCs w:val="20"/>
        </w:rPr>
      </w:pPr>
      <w:r w:rsidRPr="00C44E55">
        <w:rPr>
          <w:b/>
          <w:szCs w:val="20"/>
        </w:rPr>
        <w:t>PMS2 – EPR3947 (Ventana)</w:t>
      </w:r>
    </w:p>
    <w:p w14:paraId="73E6F3D0" w14:textId="06A0C0E9" w:rsidR="00DF7256" w:rsidRPr="00DF7256" w:rsidRDefault="00DF7256" w:rsidP="00DF7256">
      <w:pPr>
        <w:spacing w:before="0" w:after="200" w:line="276" w:lineRule="auto"/>
        <w:ind w:left="284"/>
        <w:rPr>
          <w:b/>
          <w:szCs w:val="20"/>
        </w:rPr>
      </w:pPr>
      <w:r>
        <w:rPr>
          <w:b/>
          <w:szCs w:val="20"/>
        </w:rPr>
        <w:t xml:space="preserve">GSK is not planning to commercialise a new dMMR test.  Hence the remainder of part 3 </w:t>
      </w:r>
      <w:r w:rsidR="004C2EA1">
        <w:rPr>
          <w:b/>
          <w:szCs w:val="20"/>
        </w:rPr>
        <w:t>has not been completed.</w:t>
      </w:r>
    </w:p>
    <w:p w14:paraId="3DE8BC7B" w14:textId="4F99D4D4"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B55A3B6" w14:textId="2C240BF8" w:rsidR="00A26343" w:rsidRPr="00A26343" w:rsidRDefault="001E343B" w:rsidP="00DE155F">
      <w:pPr>
        <w:spacing w:before="0" w:after="0"/>
        <w:ind w:left="1701" w:hanging="1417"/>
        <w:rPr>
          <w:szCs w:val="20"/>
        </w:rPr>
      </w:pPr>
      <w:r>
        <w:rPr>
          <w:szCs w:val="20"/>
        </w:rPr>
        <w:t>N/A</w:t>
      </w:r>
    </w:p>
    <w:p w14:paraId="0F765A55"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A7420DB"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sidRPr="000A5B32">
        <w:rPr>
          <w:szCs w:val="20"/>
        </w:rPr>
        <w:t xml:space="preserve"> </w:t>
      </w:r>
      <w:r w:rsidRPr="00615F42">
        <w:rPr>
          <w:szCs w:val="20"/>
        </w:rPr>
        <w:t>Class III</w:t>
      </w:r>
    </w:p>
    <w:p w14:paraId="641D5151"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sidRPr="000A5B32">
        <w:rPr>
          <w:szCs w:val="20"/>
        </w:rPr>
        <w:t xml:space="preserve"> </w:t>
      </w:r>
      <w:r w:rsidRPr="00615F42">
        <w:rPr>
          <w:szCs w:val="20"/>
        </w:rPr>
        <w:t>AIMD</w:t>
      </w:r>
    </w:p>
    <w:p w14:paraId="53C56F82" w14:textId="77777777" w:rsidR="005E2CE3" w:rsidRPr="00154B00" w:rsidRDefault="005D006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15F42" w:rsidRPr="000A5B32">
        <w:rPr>
          <w:szCs w:val="20"/>
        </w:rPr>
        <w:t xml:space="preserve"> </w:t>
      </w:r>
      <w:r w:rsidR="00615F42" w:rsidRPr="00615F42">
        <w:rPr>
          <w:szCs w:val="20"/>
        </w:rPr>
        <w:t>N/A</w:t>
      </w:r>
    </w:p>
    <w:p w14:paraId="5853BB52"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F46249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0F75D1F" w14:textId="77777777" w:rsidR="003421AE" w:rsidRPr="00615F42" w:rsidRDefault="005D006F"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15F42">
        <w:rPr>
          <w:szCs w:val="20"/>
        </w:rPr>
        <w:t xml:space="preserve"> No</w:t>
      </w:r>
    </w:p>
    <w:p w14:paraId="0CBC500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2F579169" w14:textId="2E82B3CA" w:rsidR="0043654D" w:rsidRDefault="004D5658"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43654D">
        <w:rPr>
          <w:szCs w:val="20"/>
        </w:rPr>
        <w:t xml:space="preserve"> Yes (if yes, please provide details below)</w:t>
      </w:r>
    </w:p>
    <w:p w14:paraId="4D7233B3" w14:textId="72C6D92F" w:rsidR="0043654D" w:rsidRDefault="004D5658"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43654D">
        <w:rPr>
          <w:szCs w:val="20"/>
        </w:rPr>
        <w:t xml:space="preserve"> No</w:t>
      </w:r>
    </w:p>
    <w:p w14:paraId="3136299A" w14:textId="77777777" w:rsidR="0043654D" w:rsidRPr="00615F42" w:rsidRDefault="0043654D" w:rsidP="0043654D">
      <w:pPr>
        <w:spacing w:before="0" w:after="0"/>
        <w:ind w:left="284"/>
        <w:rPr>
          <w:b/>
          <w:szCs w:val="20"/>
        </w:rPr>
      </w:pPr>
    </w:p>
    <w:p w14:paraId="05E6CF0B" w14:textId="04D76DB2"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DD1450">
        <w:rPr>
          <w:szCs w:val="20"/>
        </w:rPr>
        <w:t xml:space="preserve"> 343608</w:t>
      </w:r>
      <w:r w:rsidR="003E3864">
        <w:rPr>
          <w:szCs w:val="20"/>
        </w:rPr>
        <w:t xml:space="preserve">, </w:t>
      </w:r>
      <w:r w:rsidR="00010DFA">
        <w:rPr>
          <w:szCs w:val="20"/>
        </w:rPr>
        <w:t>343607,</w:t>
      </w:r>
      <w:r w:rsidR="00E841F4">
        <w:rPr>
          <w:szCs w:val="20"/>
        </w:rPr>
        <w:t xml:space="preserve"> </w:t>
      </w:r>
      <w:r w:rsidR="00523B1F">
        <w:rPr>
          <w:szCs w:val="20"/>
        </w:rPr>
        <w:t>32</w:t>
      </w:r>
      <w:r w:rsidR="003F6F71">
        <w:rPr>
          <w:szCs w:val="20"/>
        </w:rPr>
        <w:t xml:space="preserve">4144, </w:t>
      </w:r>
      <w:r w:rsidR="00AE14AA">
        <w:rPr>
          <w:szCs w:val="20"/>
        </w:rPr>
        <w:t xml:space="preserve">287144, </w:t>
      </w:r>
      <w:r w:rsidR="00347F13">
        <w:rPr>
          <w:szCs w:val="20"/>
        </w:rPr>
        <w:t>283317</w:t>
      </w:r>
      <w:r w:rsidR="0043191A">
        <w:rPr>
          <w:szCs w:val="20"/>
        </w:rPr>
        <w:t>,</w:t>
      </w:r>
      <w:r>
        <w:rPr>
          <w:szCs w:val="20"/>
        </w:rPr>
        <w:t xml:space="preserve"> </w:t>
      </w:r>
      <w:r w:rsidR="00F549DC" w:rsidRPr="00F549DC">
        <w:t>279628, 269420, 240833, 239099, 216549, 248292, 224218, 175635, 262536, 183436, 229929, 240833, 224829, 224373, 214553, 212747, 208140, 178442</w:t>
      </w:r>
    </w:p>
    <w:p w14:paraId="4AC16572" w14:textId="77777777" w:rsidR="005F17AE" w:rsidRDefault="0043654D" w:rsidP="0043654D">
      <w:pPr>
        <w:spacing w:before="0" w:after="0"/>
        <w:ind w:left="284"/>
      </w:pPr>
      <w:r w:rsidRPr="0043654D">
        <w:rPr>
          <w:szCs w:val="20"/>
        </w:rPr>
        <w:t>TGA approved purpose(s), if applicable:</w:t>
      </w:r>
      <w:r>
        <w:rPr>
          <w:szCs w:val="20"/>
        </w:rPr>
        <w:t xml:space="preserve">  </w:t>
      </w:r>
      <w:r w:rsidR="005F17AE" w:rsidRPr="005F17AE">
        <w:t>To be used in histology and cytology to provide information about the presence and localisation of specific proteins and antigens present in histological tissue sections, cytological smears and fluids</w:t>
      </w:r>
      <w:r w:rsidR="005F17AE">
        <w:t>.</w:t>
      </w:r>
    </w:p>
    <w:p w14:paraId="3B6F2890" w14:textId="77777777" w:rsidR="005F17AE" w:rsidRDefault="005F17AE" w:rsidP="0043654D">
      <w:pPr>
        <w:spacing w:before="0" w:after="0"/>
        <w:ind w:left="284"/>
      </w:pPr>
    </w:p>
    <w:p w14:paraId="08E4C329" w14:textId="72EF03F8" w:rsidR="00F301F1" w:rsidRPr="0043654D" w:rsidRDefault="005F17AE" w:rsidP="0043654D">
      <w:pPr>
        <w:spacing w:before="0" w:after="0"/>
        <w:ind w:left="284"/>
        <w:rPr>
          <w:szCs w:val="20"/>
        </w:rPr>
      </w:pPr>
      <w:r w:rsidRPr="005F17AE">
        <w:t>(Please note that all of the above registered tests have approval to be used for IHC testing of tissue section proteins.  As</w:t>
      </w:r>
      <w:r w:rsidR="00CE1ED8">
        <w:t xml:space="preserve"> GSK</w:t>
      </w:r>
      <w:r w:rsidRPr="005F17AE">
        <w:t xml:space="preserve"> is not pairing with a specific test manufacturer, we have left the response to this question broad to accommodate different laboratory practices. However, this does not necessarily mean that all of these tests will be used in practice.)</w:t>
      </w:r>
    </w:p>
    <w:p w14:paraId="4B1FB764"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781BF540" w14:textId="0D0C49BF" w:rsidR="0047581D" w:rsidRPr="0047581D" w:rsidRDefault="001E343B" w:rsidP="0047581D">
      <w:pPr>
        <w:spacing w:before="0" w:after="0"/>
        <w:rPr>
          <w:szCs w:val="20"/>
        </w:rPr>
      </w:pPr>
      <w:r>
        <w:rPr>
          <w:szCs w:val="20"/>
        </w:rPr>
        <w:t>N/A</w:t>
      </w:r>
    </w:p>
    <w:p w14:paraId="0920EB4C"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5A57427" w14:textId="162B87DB" w:rsidR="000A110D" w:rsidRDefault="001E343B" w:rsidP="001E343B">
      <w:pPr>
        <w:spacing w:before="0" w:after="0"/>
        <w:ind w:left="284"/>
        <w:rPr>
          <w:szCs w:val="20"/>
        </w:rPr>
      </w:pPr>
      <w:r>
        <w:rPr>
          <w:szCs w:val="20"/>
        </w:rPr>
        <w:t>N/A</w:t>
      </w:r>
    </w:p>
    <w:p w14:paraId="40228742"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07ABCE97"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652121A3"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0" w:type="auto"/>
        <w:tblLayout w:type="fixed"/>
        <w:tblLook w:val="04A0" w:firstRow="1" w:lastRow="0" w:firstColumn="1" w:lastColumn="0" w:noHBand="0" w:noVBand="1"/>
        <w:tblCaption w:val="Summary of Evidence - Published"/>
      </w:tblPr>
      <w:tblGrid>
        <w:gridCol w:w="857"/>
        <w:gridCol w:w="1690"/>
        <w:gridCol w:w="2268"/>
        <w:gridCol w:w="4111"/>
        <w:gridCol w:w="2835"/>
        <w:gridCol w:w="2187"/>
      </w:tblGrid>
      <w:tr w:rsidR="00B51A0B" w14:paraId="2624460B" w14:textId="77777777" w:rsidTr="00B3185E">
        <w:trPr>
          <w:cantSplit/>
          <w:tblHeader/>
        </w:trPr>
        <w:tc>
          <w:tcPr>
            <w:tcW w:w="857" w:type="dxa"/>
          </w:tcPr>
          <w:p w14:paraId="43145F8D" w14:textId="77777777" w:rsidR="00DD308E" w:rsidRDefault="00DD308E" w:rsidP="00855944">
            <w:pPr>
              <w:pStyle w:val="TableHEADER"/>
            </w:pPr>
          </w:p>
        </w:tc>
        <w:tc>
          <w:tcPr>
            <w:tcW w:w="1690" w:type="dxa"/>
          </w:tcPr>
          <w:p w14:paraId="7FA28F4B" w14:textId="019FA32E" w:rsidR="00DD308E" w:rsidRDefault="001E343B" w:rsidP="00855944">
            <w:pPr>
              <w:pStyle w:val="TableHEADER"/>
            </w:pPr>
            <w:r>
              <w:t>Type of study design</w:t>
            </w:r>
          </w:p>
        </w:tc>
        <w:tc>
          <w:tcPr>
            <w:tcW w:w="2268" w:type="dxa"/>
          </w:tcPr>
          <w:p w14:paraId="1A601FBE" w14:textId="1D8DC144" w:rsidR="00DD308E" w:rsidRDefault="00DD308E" w:rsidP="001E343B">
            <w:pPr>
              <w:pStyle w:val="TableHEADER"/>
            </w:pPr>
            <w:r>
              <w:t xml:space="preserve">Title of journal article or research project </w:t>
            </w:r>
          </w:p>
        </w:tc>
        <w:tc>
          <w:tcPr>
            <w:tcW w:w="4111" w:type="dxa"/>
          </w:tcPr>
          <w:p w14:paraId="74AE7A49" w14:textId="44612310" w:rsidR="00DD308E" w:rsidRDefault="00DD308E" w:rsidP="001E343B">
            <w:pPr>
              <w:pStyle w:val="TableHEADER"/>
            </w:pPr>
            <w:r>
              <w:t xml:space="preserve">Short description of research </w:t>
            </w:r>
          </w:p>
        </w:tc>
        <w:tc>
          <w:tcPr>
            <w:tcW w:w="2835" w:type="dxa"/>
          </w:tcPr>
          <w:p w14:paraId="6496408C" w14:textId="77777777" w:rsidR="00DD308E" w:rsidRDefault="00DD308E" w:rsidP="00855944">
            <w:pPr>
              <w:pStyle w:val="TableHEADER"/>
            </w:pPr>
            <w:r w:rsidRPr="00E82F54">
              <w:t xml:space="preserve">Website link to </w:t>
            </w:r>
            <w:r>
              <w:t>journal article or research (if available)</w:t>
            </w:r>
          </w:p>
        </w:tc>
        <w:tc>
          <w:tcPr>
            <w:tcW w:w="2187" w:type="dxa"/>
          </w:tcPr>
          <w:p w14:paraId="733728C7" w14:textId="2089845E" w:rsidR="00DD308E" w:rsidRDefault="00DD308E" w:rsidP="001E343B">
            <w:pPr>
              <w:pStyle w:val="TableHEADER"/>
            </w:pPr>
            <w:r w:rsidRPr="00E82F54">
              <w:t>Date</w:t>
            </w:r>
            <w:r>
              <w:t xml:space="preserve"> of publication</w:t>
            </w:r>
          </w:p>
        </w:tc>
      </w:tr>
      <w:tr w:rsidR="00B51A0B" w14:paraId="33CAE347" w14:textId="77777777" w:rsidTr="00B3185E">
        <w:trPr>
          <w:cantSplit/>
        </w:trPr>
        <w:tc>
          <w:tcPr>
            <w:tcW w:w="857" w:type="dxa"/>
          </w:tcPr>
          <w:p w14:paraId="589FCF43" w14:textId="77777777" w:rsidR="00DD308E" w:rsidRPr="00965B6B" w:rsidRDefault="00DD308E" w:rsidP="00DD308E">
            <w:pPr>
              <w:rPr>
                <w:szCs w:val="20"/>
              </w:rPr>
            </w:pPr>
            <w:r w:rsidRPr="00965B6B">
              <w:rPr>
                <w:szCs w:val="20"/>
              </w:rPr>
              <w:t>1</w:t>
            </w:r>
            <w:r>
              <w:rPr>
                <w:szCs w:val="20"/>
              </w:rPr>
              <w:t>.</w:t>
            </w:r>
          </w:p>
        </w:tc>
        <w:tc>
          <w:tcPr>
            <w:tcW w:w="1690" w:type="dxa"/>
          </w:tcPr>
          <w:p w14:paraId="05DF312F" w14:textId="746CD048" w:rsidR="00DD308E" w:rsidRDefault="00C05E78" w:rsidP="00DD308E">
            <w:pPr>
              <w:rPr>
                <w:b/>
                <w:szCs w:val="20"/>
              </w:rPr>
            </w:pPr>
            <w:r>
              <w:t>Review</w:t>
            </w:r>
          </w:p>
        </w:tc>
        <w:tc>
          <w:tcPr>
            <w:tcW w:w="2268" w:type="dxa"/>
          </w:tcPr>
          <w:p w14:paraId="5E6E8481" w14:textId="06B1A10F" w:rsidR="00AB230B" w:rsidRPr="00AB230B" w:rsidRDefault="00C05E78" w:rsidP="00DD308E">
            <w:pPr>
              <w:rPr>
                <w:bCs/>
                <w:szCs w:val="20"/>
              </w:rPr>
            </w:pPr>
            <w:r>
              <w:t xml:space="preserve">A review of the current testing methodologies for </w:t>
            </w:r>
            <w:r w:rsidR="00C6181D">
              <w:t>the detection of mismatch repair deficiency in tumours</w:t>
            </w:r>
          </w:p>
        </w:tc>
        <w:tc>
          <w:tcPr>
            <w:tcW w:w="4111" w:type="dxa"/>
          </w:tcPr>
          <w:p w14:paraId="50DE3E0D" w14:textId="050DA0B6" w:rsidR="007D0C4E" w:rsidRDefault="00FC1ADC" w:rsidP="00DD308E">
            <w:pPr>
              <w:rPr>
                <w:b/>
                <w:szCs w:val="20"/>
              </w:rPr>
            </w:pPr>
            <w:r>
              <w:t xml:space="preserve">A summary of the key issues underlying the science, evidence and uncertainties </w:t>
            </w:r>
            <w:r w:rsidR="00031387">
              <w:t>regarding</w:t>
            </w:r>
            <w:r>
              <w:t xml:space="preserve"> the use of microsatellite instability (MSI) </w:t>
            </w:r>
            <w:r w:rsidR="00031387">
              <w:t>testing</w:t>
            </w:r>
            <w:r>
              <w:t xml:space="preserve"> and immunohis</w:t>
            </w:r>
            <w:r w:rsidR="00031387">
              <w:t>tochemical analysis for the detection cancers of mismatch repair deficiency (dMMR) in the Australian setting.</w:t>
            </w:r>
          </w:p>
        </w:tc>
        <w:tc>
          <w:tcPr>
            <w:tcW w:w="2835" w:type="dxa"/>
          </w:tcPr>
          <w:p w14:paraId="78FF55DB" w14:textId="184A2123" w:rsidR="00DD308E" w:rsidRPr="00E82F54" w:rsidRDefault="00D315F0" w:rsidP="00DD308E">
            <w:pPr>
              <w:rPr>
                <w:b/>
                <w:szCs w:val="20"/>
              </w:rPr>
            </w:pPr>
            <w:hyperlink r:id="rId12" w:history="1">
              <w:r w:rsidR="00537A06">
                <w:rPr>
                  <w:rStyle w:val="Hyperlink"/>
                </w:rPr>
                <w:t>link</w:t>
              </w:r>
            </w:hyperlink>
            <w:r w:rsidR="00537A06">
              <w:t xml:space="preserve"> to MSAC Review paper</w:t>
            </w:r>
          </w:p>
        </w:tc>
        <w:tc>
          <w:tcPr>
            <w:tcW w:w="2187" w:type="dxa"/>
          </w:tcPr>
          <w:p w14:paraId="768DAA4A" w14:textId="1DBF96D9" w:rsidR="00DD308E" w:rsidRPr="00E82F54" w:rsidRDefault="0053529C" w:rsidP="00DD308E">
            <w:pPr>
              <w:rPr>
                <w:b/>
                <w:szCs w:val="20"/>
              </w:rPr>
            </w:pPr>
            <w:r>
              <w:t>January 2020</w:t>
            </w:r>
          </w:p>
        </w:tc>
      </w:tr>
      <w:tr w:rsidR="00B51A0B" w14:paraId="7EF22F04" w14:textId="77777777" w:rsidTr="00B3185E">
        <w:trPr>
          <w:cantSplit/>
        </w:trPr>
        <w:tc>
          <w:tcPr>
            <w:tcW w:w="857" w:type="dxa"/>
          </w:tcPr>
          <w:p w14:paraId="0CFD586D" w14:textId="7BFCFC49" w:rsidR="00D256A4" w:rsidRPr="00965B6B" w:rsidRDefault="00D256A4" w:rsidP="00D256A4">
            <w:pPr>
              <w:rPr>
                <w:szCs w:val="20"/>
              </w:rPr>
            </w:pPr>
            <w:r>
              <w:rPr>
                <w:szCs w:val="20"/>
              </w:rPr>
              <w:t>2.</w:t>
            </w:r>
          </w:p>
        </w:tc>
        <w:tc>
          <w:tcPr>
            <w:tcW w:w="1690" w:type="dxa"/>
          </w:tcPr>
          <w:p w14:paraId="6E36027F" w14:textId="7FF1FB6C" w:rsidR="00D256A4" w:rsidRDefault="00D256A4" w:rsidP="00D256A4">
            <w:r w:rsidRPr="000E2507">
              <w:t>Single arm (Phase I)</w:t>
            </w:r>
          </w:p>
        </w:tc>
        <w:tc>
          <w:tcPr>
            <w:tcW w:w="2268" w:type="dxa"/>
          </w:tcPr>
          <w:p w14:paraId="25BDDDC8" w14:textId="67A614C7" w:rsidR="00FC462F" w:rsidRDefault="00C71530" w:rsidP="00D256A4">
            <w:r>
              <w:t xml:space="preserve">Clinical activity and safety of the anti-programmed death 1 monoclonal antibody dosarlimab for </w:t>
            </w:r>
            <w:r w:rsidR="00F92421">
              <w:t>patients</w:t>
            </w:r>
            <w:r>
              <w:t xml:space="preserve"> with recurre</w:t>
            </w:r>
            <w:r w:rsidR="00FC462F">
              <w:t>nt or advanced mismatch repair-deficient endometrial cancer. A non-randomized phase 1 clinical trial.</w:t>
            </w:r>
          </w:p>
          <w:p w14:paraId="290AA51E" w14:textId="1D1B35F1" w:rsidR="00D256A4" w:rsidRDefault="00D256A4" w:rsidP="00F92421">
            <w:r>
              <w:t>GARNET</w:t>
            </w:r>
            <w:r w:rsidR="00F92421">
              <w:t xml:space="preserve"> </w:t>
            </w:r>
            <w:r>
              <w:t>(NCT02715284)</w:t>
            </w:r>
          </w:p>
        </w:tc>
        <w:tc>
          <w:tcPr>
            <w:tcW w:w="4111" w:type="dxa"/>
          </w:tcPr>
          <w:p w14:paraId="55BE55EB" w14:textId="77777777" w:rsidR="00D256A4" w:rsidRDefault="00D256A4" w:rsidP="00D256A4">
            <w:r>
              <w:t>Part 2B: Cohort A1</w:t>
            </w:r>
          </w:p>
          <w:p w14:paraId="01F2FA15" w14:textId="77777777" w:rsidR="00D256A4" w:rsidRDefault="00D256A4" w:rsidP="00D256A4">
            <w:r>
              <w:t>Design: Phase I</w:t>
            </w:r>
          </w:p>
          <w:p w14:paraId="6170A5B5" w14:textId="2B3A9BF7" w:rsidR="00D256A4" w:rsidRDefault="00D256A4" w:rsidP="00D256A4">
            <w:r>
              <w:t xml:space="preserve">Intervention: Dostarlimab (TSR-042), MSI testing </w:t>
            </w:r>
            <w:r w:rsidR="00206322">
              <w:t>was</w:t>
            </w:r>
            <w:r>
              <w:t xml:space="preserve"> undertaken by IHC</w:t>
            </w:r>
            <w:r w:rsidR="00206322">
              <w:t xml:space="preserve"> </w:t>
            </w:r>
          </w:p>
          <w:p w14:paraId="186D47CB" w14:textId="7B451399" w:rsidR="00D256A4" w:rsidRDefault="00D256A4" w:rsidP="00D256A4">
            <w:r>
              <w:t xml:space="preserve">Population: participants with mismatch repair deficient microsatellite instability high (dMMR) endometrial cancer who have progressed on or after platinum doublet therapy. Participants have received no more than 2 lines of anti-cancer therapy for recurrent or advanced (Stage </w:t>
            </w:r>
            <w:r w:rsidR="00D0147F">
              <w:rPr>
                <w:rFonts w:ascii="Times New Roman" w:hAnsi="Times New Roman" w:cs="Times New Roman"/>
              </w:rPr>
              <w:t>≥</w:t>
            </w:r>
            <w:r>
              <w:t xml:space="preserve"> IIIB) disease.</w:t>
            </w:r>
          </w:p>
        </w:tc>
        <w:tc>
          <w:tcPr>
            <w:tcW w:w="2835" w:type="dxa"/>
          </w:tcPr>
          <w:p w14:paraId="18791C4F" w14:textId="77777777" w:rsidR="00350615" w:rsidRPr="006A6CB4" w:rsidRDefault="00350615" w:rsidP="00350615">
            <w:pPr>
              <w:rPr>
                <w:rFonts w:cstheme="minorHAnsi"/>
                <w:color w:val="1F3BFF"/>
                <w:szCs w:val="20"/>
              </w:rPr>
            </w:pPr>
            <w:r w:rsidRPr="006A6CB4">
              <w:rPr>
                <w:rFonts w:cstheme="minorHAnsi"/>
                <w:i/>
                <w:iCs/>
                <w:color w:val="000000"/>
                <w:szCs w:val="20"/>
              </w:rPr>
              <w:t>JAMA Oncol</w:t>
            </w:r>
            <w:r w:rsidRPr="006A6CB4">
              <w:rPr>
                <w:rFonts w:cstheme="minorHAnsi"/>
                <w:color w:val="000000"/>
                <w:szCs w:val="20"/>
              </w:rPr>
              <w:t>. 2020;6(11):1766-1772. doi:</w:t>
            </w:r>
            <w:r w:rsidRPr="006A6CB4">
              <w:rPr>
                <w:rFonts w:cstheme="minorHAnsi"/>
                <w:color w:val="1F3BFF"/>
                <w:szCs w:val="20"/>
              </w:rPr>
              <w:t>10.1001/jamaoncol.2020.4515</w:t>
            </w:r>
          </w:p>
          <w:p w14:paraId="3367ECB2" w14:textId="25BF4CD1" w:rsidR="00D256A4" w:rsidRDefault="00D315F0" w:rsidP="00D256A4">
            <w:hyperlink r:id="rId13" w:history="1">
              <w:r w:rsidR="006C0A09" w:rsidRPr="00242136">
                <w:rPr>
                  <w:rStyle w:val="Hyperlink"/>
                </w:rPr>
                <w:t>link</w:t>
              </w:r>
            </w:hyperlink>
          </w:p>
        </w:tc>
        <w:tc>
          <w:tcPr>
            <w:tcW w:w="2187" w:type="dxa"/>
          </w:tcPr>
          <w:p w14:paraId="34F03A1D" w14:textId="2FF8594A" w:rsidR="00D256A4" w:rsidRDefault="008367D2" w:rsidP="00D256A4">
            <w:r>
              <w:t>October 1, 2020</w:t>
            </w:r>
          </w:p>
        </w:tc>
      </w:tr>
      <w:tr w:rsidR="00B51A0B" w14:paraId="2F5654FF" w14:textId="77777777" w:rsidTr="00B3185E">
        <w:trPr>
          <w:cantSplit/>
        </w:trPr>
        <w:tc>
          <w:tcPr>
            <w:tcW w:w="857" w:type="dxa"/>
          </w:tcPr>
          <w:p w14:paraId="03317268" w14:textId="77777777" w:rsidR="00E96F88" w:rsidRDefault="00E96F88" w:rsidP="00E96F88">
            <w:pPr>
              <w:rPr>
                <w:szCs w:val="20"/>
              </w:rPr>
            </w:pPr>
          </w:p>
        </w:tc>
        <w:tc>
          <w:tcPr>
            <w:tcW w:w="1690" w:type="dxa"/>
            <w:shd w:val="clear" w:color="auto" w:fill="auto"/>
          </w:tcPr>
          <w:p w14:paraId="1AFEB85B" w14:textId="31A2388D" w:rsidR="00E96F88" w:rsidRPr="000E2507" w:rsidRDefault="00E96F88" w:rsidP="00E96F88">
            <w:r w:rsidRPr="006300A0">
              <w:t>Clinical guidelines</w:t>
            </w:r>
          </w:p>
        </w:tc>
        <w:tc>
          <w:tcPr>
            <w:tcW w:w="2268" w:type="dxa"/>
            <w:shd w:val="clear" w:color="auto" w:fill="auto"/>
          </w:tcPr>
          <w:p w14:paraId="38F333DB" w14:textId="37603817" w:rsidR="00E96F88" w:rsidRDefault="00E96F88" w:rsidP="00E96F88">
            <w:r w:rsidRPr="006300A0">
              <w:t>Various</w:t>
            </w:r>
          </w:p>
        </w:tc>
        <w:tc>
          <w:tcPr>
            <w:tcW w:w="4111" w:type="dxa"/>
            <w:shd w:val="clear" w:color="auto" w:fill="auto"/>
          </w:tcPr>
          <w:p w14:paraId="65193D43" w14:textId="01548D0C" w:rsidR="00E96F88" w:rsidRDefault="00E96F88" w:rsidP="00E96F88">
            <w:r w:rsidRPr="006300A0">
              <w:t>A number of Guidelines provide recommendations for dMMR testing.  Overall, strong recommendations exist for CRC, endometrial, and ovarian cancers, with additional recommendations where red flag criteria for Lynch Syndrome is met. See Appendix for specific advice.</w:t>
            </w:r>
          </w:p>
        </w:tc>
        <w:tc>
          <w:tcPr>
            <w:tcW w:w="2835" w:type="dxa"/>
            <w:shd w:val="clear" w:color="auto" w:fill="auto"/>
          </w:tcPr>
          <w:p w14:paraId="23B3ABCD" w14:textId="00A84FBA" w:rsidR="00E96F88" w:rsidRPr="006300A0" w:rsidRDefault="00D315F0" w:rsidP="00E96F88">
            <w:pPr>
              <w:rPr>
                <w:rFonts w:cstheme="minorHAnsi"/>
                <w:szCs w:val="20"/>
              </w:rPr>
            </w:pPr>
            <w:hyperlink r:id="rId14" w:history="1">
              <w:r w:rsidR="005B4017" w:rsidRPr="006300A0">
                <w:rPr>
                  <w:rStyle w:val="Hyperlink"/>
                  <w:rFonts w:cstheme="minorHAnsi"/>
                  <w:szCs w:val="20"/>
                </w:rPr>
                <w:t>www.rcpa.edu.au</w:t>
              </w:r>
            </w:hyperlink>
            <w:hyperlink r:id="rId15" w:tooltip="Link to RCPA website" w:history="1"/>
          </w:p>
          <w:p w14:paraId="145011FA" w14:textId="1622BA88" w:rsidR="00E96F88" w:rsidRPr="006300A0" w:rsidRDefault="00D315F0" w:rsidP="00E96F88">
            <w:pPr>
              <w:rPr>
                <w:rFonts w:ascii="Arial" w:hAnsi="Arial" w:cs="Arial"/>
                <w:sz w:val="18"/>
                <w:szCs w:val="18"/>
              </w:rPr>
            </w:pPr>
            <w:hyperlink r:id="rId16" w:history="1">
              <w:r w:rsidR="00130A30" w:rsidRPr="006300A0">
                <w:rPr>
                  <w:rStyle w:val="Hyperlink"/>
                  <w:rFonts w:cstheme="minorHAnsi"/>
                  <w:szCs w:val="20"/>
                </w:rPr>
                <w:t>NCCN Guidelines</w:t>
              </w:r>
            </w:hyperlink>
          </w:p>
        </w:tc>
        <w:tc>
          <w:tcPr>
            <w:tcW w:w="2187" w:type="dxa"/>
            <w:shd w:val="clear" w:color="auto" w:fill="auto"/>
          </w:tcPr>
          <w:p w14:paraId="5ECE671B" w14:textId="77777777" w:rsidR="00E96F88" w:rsidRDefault="00E96F88" w:rsidP="00E96F88"/>
        </w:tc>
      </w:tr>
      <w:tr w:rsidR="00B51A0B" w14:paraId="07900A5D" w14:textId="77777777" w:rsidTr="00B3185E">
        <w:trPr>
          <w:cantSplit/>
        </w:trPr>
        <w:tc>
          <w:tcPr>
            <w:tcW w:w="857" w:type="dxa"/>
          </w:tcPr>
          <w:p w14:paraId="5D021492" w14:textId="77777777" w:rsidR="00D10F6F" w:rsidRDefault="00D10F6F" w:rsidP="00E96F88">
            <w:pPr>
              <w:rPr>
                <w:szCs w:val="20"/>
              </w:rPr>
            </w:pPr>
          </w:p>
        </w:tc>
        <w:tc>
          <w:tcPr>
            <w:tcW w:w="1690" w:type="dxa"/>
            <w:shd w:val="clear" w:color="auto" w:fill="auto"/>
          </w:tcPr>
          <w:p w14:paraId="33DBFAD5" w14:textId="0465D9D9" w:rsidR="00D10F6F" w:rsidRPr="006300A0" w:rsidRDefault="00CD3FC4" w:rsidP="00E96F88">
            <w:r>
              <w:t>Analysis of endometrial cancers using IHC and MSI methods.</w:t>
            </w:r>
          </w:p>
        </w:tc>
        <w:tc>
          <w:tcPr>
            <w:tcW w:w="2268" w:type="dxa"/>
            <w:shd w:val="clear" w:color="auto" w:fill="auto"/>
          </w:tcPr>
          <w:p w14:paraId="19329665" w14:textId="7C2CD90B" w:rsidR="00D10F6F" w:rsidRPr="006300A0" w:rsidRDefault="0067140C" w:rsidP="0067140C">
            <w:r w:rsidRPr="0067140C">
              <w:t>Stelloo E, Jansen A, Osse E, et al. Practical guidance for mismatch repair deficiency testing in</w:t>
            </w:r>
            <w:r>
              <w:t xml:space="preserve"> </w:t>
            </w:r>
            <w:r w:rsidRPr="0067140C">
              <w:t>endometrial cancer.</w:t>
            </w:r>
          </w:p>
        </w:tc>
        <w:tc>
          <w:tcPr>
            <w:tcW w:w="4111" w:type="dxa"/>
            <w:shd w:val="clear" w:color="auto" w:fill="auto"/>
          </w:tcPr>
          <w:p w14:paraId="44C07270" w14:textId="5E2018A9" w:rsidR="00D10F6F" w:rsidRPr="006300A0" w:rsidRDefault="00D222B1" w:rsidP="00E96F88">
            <w:r>
              <w:t>T</w:t>
            </w:r>
            <w:r w:rsidRPr="00D222B1">
              <w:t>he aim of this study was to define the optimal approach for MMR-deficiency testing and to clarify discrepancies between microsatellite instability (MSI) analysis and immunohistochemical (IHC) analysis of MMR protein expression.</w:t>
            </w:r>
            <w:r w:rsidR="000062B9">
              <w:t xml:space="preserve">  Found that M</w:t>
            </w:r>
            <w:r w:rsidR="00605712">
              <w:t>SI and IHC analysis are highly concordant and an IHC approach is sufficient for determining MMR</w:t>
            </w:r>
            <w:r w:rsidR="00186A9B">
              <w:t>-deficiency in endometrial cancer.</w:t>
            </w:r>
          </w:p>
        </w:tc>
        <w:tc>
          <w:tcPr>
            <w:tcW w:w="2835" w:type="dxa"/>
            <w:shd w:val="clear" w:color="auto" w:fill="auto"/>
          </w:tcPr>
          <w:p w14:paraId="35FB17FA" w14:textId="0D0A2D9A" w:rsidR="00D10F6F" w:rsidRDefault="00D315F0" w:rsidP="00E96F88">
            <w:hyperlink r:id="rId17" w:history="1">
              <w:r w:rsidR="0067140C" w:rsidRPr="001C3C07">
                <w:rPr>
                  <w:rStyle w:val="Hyperlink"/>
                </w:rPr>
                <w:t>Ann Oncol. 2017;28(1):96-102. doi: 10.1093/annonc/mdw542</w:t>
              </w:r>
            </w:hyperlink>
          </w:p>
          <w:p w14:paraId="25F3130C" w14:textId="143E52CC" w:rsidR="00EF3925" w:rsidRPr="006300A0" w:rsidRDefault="00EF3925" w:rsidP="00E96F88">
            <w:pPr>
              <w:rPr>
                <w:rFonts w:cstheme="minorHAnsi"/>
                <w:szCs w:val="20"/>
              </w:rPr>
            </w:pPr>
          </w:p>
        </w:tc>
        <w:tc>
          <w:tcPr>
            <w:tcW w:w="2187" w:type="dxa"/>
            <w:shd w:val="clear" w:color="auto" w:fill="auto"/>
          </w:tcPr>
          <w:p w14:paraId="792E7D76" w14:textId="4499A51F" w:rsidR="00D10F6F" w:rsidRDefault="00813071" w:rsidP="00E96F88">
            <w:r>
              <w:t xml:space="preserve">1 January </w:t>
            </w:r>
            <w:r w:rsidR="00C66826">
              <w:t>2017</w:t>
            </w:r>
          </w:p>
        </w:tc>
      </w:tr>
      <w:tr w:rsidR="00B51A0B" w14:paraId="75F21C28" w14:textId="77777777" w:rsidTr="00B3185E">
        <w:trPr>
          <w:cantSplit/>
        </w:trPr>
        <w:tc>
          <w:tcPr>
            <w:tcW w:w="857" w:type="dxa"/>
          </w:tcPr>
          <w:p w14:paraId="1E63E262" w14:textId="77777777" w:rsidR="001B1581" w:rsidRDefault="001B1581" w:rsidP="00E96F88">
            <w:pPr>
              <w:rPr>
                <w:szCs w:val="20"/>
              </w:rPr>
            </w:pPr>
          </w:p>
        </w:tc>
        <w:tc>
          <w:tcPr>
            <w:tcW w:w="1690" w:type="dxa"/>
            <w:shd w:val="clear" w:color="auto" w:fill="auto"/>
          </w:tcPr>
          <w:p w14:paraId="78F08A90" w14:textId="0FA66E5F" w:rsidR="001B1581" w:rsidRPr="006300A0" w:rsidRDefault="006C0958" w:rsidP="00E96F88">
            <w:r>
              <w:t>Comment</w:t>
            </w:r>
            <w:r w:rsidR="00F46873">
              <w:t xml:space="preserve"> on Stelloo et al 2017</w:t>
            </w:r>
          </w:p>
        </w:tc>
        <w:tc>
          <w:tcPr>
            <w:tcW w:w="2268" w:type="dxa"/>
            <w:shd w:val="clear" w:color="auto" w:fill="auto"/>
          </w:tcPr>
          <w:p w14:paraId="3F00A2A9" w14:textId="5F8F780D" w:rsidR="001B1581" w:rsidRDefault="001B1581" w:rsidP="00EC4282">
            <w:pPr>
              <w:autoSpaceDE w:val="0"/>
              <w:autoSpaceDN w:val="0"/>
              <w:adjustRightInd w:val="0"/>
              <w:spacing w:before="0" w:after="0"/>
            </w:pPr>
            <w:r>
              <w:t xml:space="preserve">Powell </w:t>
            </w:r>
            <w:r w:rsidR="00D22F88">
              <w:t>2017</w:t>
            </w:r>
            <w:r w:rsidR="00EC4282">
              <w:t xml:space="preserve">.  </w:t>
            </w:r>
            <w:r w:rsidR="00EC4282" w:rsidRPr="00EC4282">
              <w:rPr>
                <w:rFonts w:eastAsia="CIDFont+F6" w:cstheme="minorHAnsi"/>
                <w:szCs w:val="20"/>
              </w:rPr>
              <w:t>Immunohistochemistry to determine mismatch repair-deficiency in endometrial</w:t>
            </w:r>
            <w:r w:rsidR="00EC4282">
              <w:rPr>
                <w:rFonts w:eastAsia="CIDFont+F6" w:cstheme="minorHAnsi"/>
                <w:szCs w:val="20"/>
              </w:rPr>
              <w:t xml:space="preserve"> </w:t>
            </w:r>
            <w:r w:rsidR="00EC4282" w:rsidRPr="00EC4282">
              <w:rPr>
                <w:rFonts w:eastAsia="CIDFont+F6" w:cstheme="minorHAnsi"/>
                <w:szCs w:val="20"/>
              </w:rPr>
              <w:t xml:space="preserve">cancer: the appropriate standard. </w:t>
            </w:r>
          </w:p>
        </w:tc>
        <w:tc>
          <w:tcPr>
            <w:tcW w:w="4111" w:type="dxa"/>
            <w:shd w:val="clear" w:color="auto" w:fill="auto"/>
          </w:tcPr>
          <w:p w14:paraId="166CFA0D" w14:textId="3BE66B88" w:rsidR="001B1581" w:rsidRPr="006300A0" w:rsidRDefault="00CF5143" w:rsidP="00E96F88">
            <w:r>
              <w:t xml:space="preserve">Comment on the research by Stelloo.  States that IHC is the appropriate standard for establishing mismatch repair </w:t>
            </w:r>
            <w:r w:rsidR="00972AA6">
              <w:t xml:space="preserve">in endometrial cancer.  Also states that </w:t>
            </w:r>
            <w:r w:rsidR="00C66826">
              <w:t xml:space="preserve">MMR status has not consistently been shown to have a prognostic or predictive value for patients with endometrial cancer </w:t>
            </w:r>
          </w:p>
        </w:tc>
        <w:tc>
          <w:tcPr>
            <w:tcW w:w="2835" w:type="dxa"/>
            <w:shd w:val="clear" w:color="auto" w:fill="auto"/>
          </w:tcPr>
          <w:p w14:paraId="6DC1713A" w14:textId="778C4844" w:rsidR="001B1581" w:rsidRPr="006300A0" w:rsidRDefault="00D315F0" w:rsidP="00E96F88">
            <w:pPr>
              <w:rPr>
                <w:rFonts w:cstheme="minorHAnsi"/>
                <w:szCs w:val="20"/>
              </w:rPr>
            </w:pPr>
            <w:hyperlink r:id="rId18" w:history="1">
              <w:r w:rsidR="00EC4282" w:rsidRPr="00C10719">
                <w:rPr>
                  <w:rStyle w:val="Hyperlink"/>
                  <w:rFonts w:eastAsia="CIDFont+F6" w:cstheme="minorHAnsi"/>
                  <w:szCs w:val="20"/>
                </w:rPr>
                <w:t>Annals of Oncology 2017;28(1): 9-10</w:t>
              </w:r>
            </w:hyperlink>
            <w:r w:rsidR="00EC4282" w:rsidRPr="00EC4282">
              <w:rPr>
                <w:rFonts w:eastAsia="CIDFont+F6" w:cstheme="minorHAnsi"/>
                <w:szCs w:val="20"/>
              </w:rPr>
              <w:t>.</w:t>
            </w:r>
          </w:p>
        </w:tc>
        <w:tc>
          <w:tcPr>
            <w:tcW w:w="2187" w:type="dxa"/>
            <w:shd w:val="clear" w:color="auto" w:fill="auto"/>
          </w:tcPr>
          <w:p w14:paraId="3121BA3A" w14:textId="7AB370A4" w:rsidR="001B1581" w:rsidRDefault="00813071" w:rsidP="00E96F88">
            <w:r>
              <w:t>1 January 2017</w:t>
            </w:r>
          </w:p>
        </w:tc>
      </w:tr>
      <w:tr w:rsidR="00B51A0B" w14:paraId="22710ECA" w14:textId="77777777" w:rsidTr="00B3185E">
        <w:trPr>
          <w:cantSplit/>
        </w:trPr>
        <w:tc>
          <w:tcPr>
            <w:tcW w:w="857" w:type="dxa"/>
          </w:tcPr>
          <w:p w14:paraId="1313506E" w14:textId="77777777" w:rsidR="002C55B2" w:rsidRDefault="002C55B2" w:rsidP="00E96F88">
            <w:pPr>
              <w:rPr>
                <w:szCs w:val="20"/>
              </w:rPr>
            </w:pPr>
          </w:p>
        </w:tc>
        <w:tc>
          <w:tcPr>
            <w:tcW w:w="1690" w:type="dxa"/>
            <w:shd w:val="clear" w:color="auto" w:fill="auto"/>
          </w:tcPr>
          <w:p w14:paraId="670158FC" w14:textId="7FAED866" w:rsidR="002C55B2" w:rsidRDefault="00846E0B" w:rsidP="00E96F88">
            <w:r>
              <w:t>Prospective, single centre cohort study</w:t>
            </w:r>
          </w:p>
        </w:tc>
        <w:tc>
          <w:tcPr>
            <w:tcW w:w="2268" w:type="dxa"/>
            <w:shd w:val="clear" w:color="auto" w:fill="auto"/>
          </w:tcPr>
          <w:p w14:paraId="39BFB143" w14:textId="3453B329" w:rsidR="002C55B2" w:rsidRDefault="006F0F21" w:rsidP="00EC4282">
            <w:pPr>
              <w:autoSpaceDE w:val="0"/>
              <w:autoSpaceDN w:val="0"/>
              <w:adjustRightInd w:val="0"/>
              <w:spacing w:before="0" w:after="0"/>
            </w:pPr>
            <w:r>
              <w:t xml:space="preserve">Mismatch repair deficiency identifies patients </w:t>
            </w:r>
            <w:r w:rsidR="009A1164">
              <w:t>with high-intermediate-risk (HIR) endometrioid endometrial cancer at the highest risk of recurrence: A prognostic biomarker.</w:t>
            </w:r>
          </w:p>
        </w:tc>
        <w:tc>
          <w:tcPr>
            <w:tcW w:w="4111" w:type="dxa"/>
            <w:shd w:val="clear" w:color="auto" w:fill="auto"/>
          </w:tcPr>
          <w:p w14:paraId="0A001888" w14:textId="72CD9906" w:rsidR="002C55B2" w:rsidRPr="006300A0" w:rsidRDefault="008F566D" w:rsidP="00E96F88">
            <w:r>
              <w:t>A</w:t>
            </w:r>
            <w:r w:rsidRPr="008F566D">
              <w:t>ssess</w:t>
            </w:r>
            <w:r>
              <w:t>ment of</w:t>
            </w:r>
            <w:r w:rsidRPr="008F566D">
              <w:t xml:space="preserve"> the correlation between mismatch repair (MMR) status, disease recurrence patterns, and recurrence‐free survival (RFS) in patients with high‐intermediate–risk (HIR) endometrioid endometrial cancer (EEC).</w:t>
            </w:r>
          </w:p>
        </w:tc>
        <w:tc>
          <w:tcPr>
            <w:tcW w:w="2835" w:type="dxa"/>
            <w:shd w:val="clear" w:color="auto" w:fill="auto"/>
          </w:tcPr>
          <w:p w14:paraId="27C744F9" w14:textId="77777777" w:rsidR="002C55B2" w:rsidRDefault="00D02954" w:rsidP="00E96F88">
            <w:pPr>
              <w:rPr>
                <w:rFonts w:eastAsia="CIDFont+F6" w:cstheme="minorHAnsi"/>
                <w:szCs w:val="20"/>
              </w:rPr>
            </w:pPr>
            <w:r>
              <w:rPr>
                <w:rFonts w:eastAsia="CIDFont+F6" w:cstheme="minorHAnsi"/>
                <w:szCs w:val="20"/>
              </w:rPr>
              <w:t>Backes et al 2019</w:t>
            </w:r>
          </w:p>
          <w:p w14:paraId="40B9CDEE" w14:textId="63A3E7BD" w:rsidR="004E4708" w:rsidRDefault="00D315F0" w:rsidP="00E96F88">
            <w:pPr>
              <w:rPr>
                <w:rFonts w:eastAsia="CIDFont+F6" w:cstheme="minorHAnsi"/>
                <w:szCs w:val="20"/>
              </w:rPr>
            </w:pPr>
            <w:hyperlink r:id="rId19" w:history="1">
              <w:r w:rsidR="004E4708" w:rsidRPr="00167DDE">
                <w:rPr>
                  <w:rStyle w:val="Hyperlink"/>
                  <w:rFonts w:eastAsia="CIDFont+F6" w:cstheme="minorHAnsi"/>
                  <w:szCs w:val="20"/>
                </w:rPr>
                <w:t>https://doi.org/10.1002/cncr.31901</w:t>
              </w:r>
            </w:hyperlink>
          </w:p>
        </w:tc>
        <w:tc>
          <w:tcPr>
            <w:tcW w:w="2187" w:type="dxa"/>
            <w:shd w:val="clear" w:color="auto" w:fill="auto"/>
          </w:tcPr>
          <w:p w14:paraId="331E09F7" w14:textId="77777777" w:rsidR="002C55B2" w:rsidRDefault="002C55B2" w:rsidP="00E96F88"/>
        </w:tc>
      </w:tr>
      <w:tr w:rsidR="00B51A0B" w14:paraId="148B0213" w14:textId="77777777" w:rsidTr="00B3185E">
        <w:trPr>
          <w:cantSplit/>
        </w:trPr>
        <w:tc>
          <w:tcPr>
            <w:tcW w:w="857" w:type="dxa"/>
          </w:tcPr>
          <w:p w14:paraId="39F59368" w14:textId="77777777" w:rsidR="00D02954" w:rsidRDefault="00D02954" w:rsidP="00E96F88">
            <w:pPr>
              <w:rPr>
                <w:szCs w:val="20"/>
              </w:rPr>
            </w:pPr>
          </w:p>
        </w:tc>
        <w:tc>
          <w:tcPr>
            <w:tcW w:w="1690" w:type="dxa"/>
            <w:shd w:val="clear" w:color="auto" w:fill="auto"/>
          </w:tcPr>
          <w:p w14:paraId="1D24BE7F" w14:textId="4F4797E0" w:rsidR="00D02954" w:rsidRDefault="00D02954" w:rsidP="00E96F88">
            <w:r>
              <w:t>Retrospective, multicentre cohort study.</w:t>
            </w:r>
          </w:p>
        </w:tc>
        <w:tc>
          <w:tcPr>
            <w:tcW w:w="2268" w:type="dxa"/>
            <w:shd w:val="clear" w:color="auto" w:fill="auto"/>
          </w:tcPr>
          <w:p w14:paraId="25ACCD14" w14:textId="001F2E6D" w:rsidR="00D02954" w:rsidRDefault="00435D2B" w:rsidP="00EC4282">
            <w:pPr>
              <w:autoSpaceDE w:val="0"/>
              <w:autoSpaceDN w:val="0"/>
              <w:adjustRightInd w:val="0"/>
              <w:spacing w:before="0" w:after="0"/>
            </w:pPr>
            <w:r>
              <w:t xml:space="preserve">Mismatch repair deficiency as a predictor of adjuvant radiotherapy response in endometrioid endometrial carcinoma. </w:t>
            </w:r>
          </w:p>
        </w:tc>
        <w:tc>
          <w:tcPr>
            <w:tcW w:w="4111" w:type="dxa"/>
            <w:shd w:val="clear" w:color="auto" w:fill="auto"/>
          </w:tcPr>
          <w:p w14:paraId="714441EB" w14:textId="5687FE21" w:rsidR="00D02954" w:rsidRPr="006300A0" w:rsidRDefault="007647D1" w:rsidP="00E96F88">
            <w:r>
              <w:t xml:space="preserve">Investigation of the predictive value of MMR status in terms of survival benefit after </w:t>
            </w:r>
            <w:r w:rsidR="00F306AA">
              <w:t>adjuvant</w:t>
            </w:r>
            <w:r>
              <w:t xml:space="preserve"> radiotherapy in patients with </w:t>
            </w:r>
            <w:r w:rsidR="005B625B">
              <w:t xml:space="preserve">stage1B/II, grade 3 endometrial cancer.  </w:t>
            </w:r>
            <w:r w:rsidR="00B47E68">
              <w:t>The study demonstrated the predictive ability of MMR IHC to ident</w:t>
            </w:r>
            <w:r w:rsidR="006B3700">
              <w:t>ify women who likely have increased benefit from radiotherapy.</w:t>
            </w:r>
          </w:p>
        </w:tc>
        <w:tc>
          <w:tcPr>
            <w:tcW w:w="2835" w:type="dxa"/>
            <w:shd w:val="clear" w:color="auto" w:fill="auto"/>
          </w:tcPr>
          <w:p w14:paraId="51F70088" w14:textId="29759A0D" w:rsidR="00D02954" w:rsidRDefault="00BE3483" w:rsidP="00E96F88">
            <w:pPr>
              <w:rPr>
                <w:rFonts w:eastAsia="CIDFont+F6" w:cstheme="minorHAnsi"/>
                <w:szCs w:val="20"/>
              </w:rPr>
            </w:pPr>
            <w:r>
              <w:rPr>
                <w:rFonts w:eastAsia="CIDFont+F6" w:cstheme="minorHAnsi"/>
                <w:szCs w:val="20"/>
              </w:rPr>
              <w:t>Kommos</w:t>
            </w:r>
            <w:r w:rsidR="00D847D6">
              <w:rPr>
                <w:rFonts w:eastAsia="CIDFont+F6" w:cstheme="minorHAnsi"/>
                <w:szCs w:val="20"/>
              </w:rPr>
              <w:t>s</w:t>
            </w:r>
            <w:r>
              <w:rPr>
                <w:rFonts w:eastAsia="CIDFont+F6" w:cstheme="minorHAnsi"/>
                <w:szCs w:val="20"/>
              </w:rPr>
              <w:t xml:space="preserve"> et al 2019</w:t>
            </w:r>
          </w:p>
          <w:p w14:paraId="62A1C36A" w14:textId="4FA70317" w:rsidR="00860C12" w:rsidRDefault="00D315F0" w:rsidP="00E96F88">
            <w:pPr>
              <w:rPr>
                <w:rFonts w:eastAsia="CIDFont+F6" w:cstheme="minorHAnsi"/>
                <w:szCs w:val="20"/>
              </w:rPr>
            </w:pPr>
            <w:hyperlink r:id="rId20" w:history="1">
              <w:r w:rsidR="00BD03FD" w:rsidRPr="006F6A28">
                <w:rPr>
                  <w:rStyle w:val="Hyperlink"/>
                  <w:rFonts w:eastAsia="CIDFont+F6" w:cstheme="minorHAnsi"/>
                  <w:szCs w:val="20"/>
                </w:rPr>
                <w:t>https://ascopubs.org/doi/abs/10.1200/JCO.2019.37.15_suppl.5586</w:t>
              </w:r>
            </w:hyperlink>
            <w:r w:rsidR="00BD03FD">
              <w:rPr>
                <w:rFonts w:eastAsia="CIDFont+F6" w:cstheme="minorHAnsi"/>
                <w:szCs w:val="20"/>
              </w:rPr>
              <w:t xml:space="preserve"> </w:t>
            </w:r>
          </w:p>
        </w:tc>
        <w:tc>
          <w:tcPr>
            <w:tcW w:w="2187" w:type="dxa"/>
            <w:shd w:val="clear" w:color="auto" w:fill="auto"/>
          </w:tcPr>
          <w:p w14:paraId="72D29AD6" w14:textId="5B7E47ED" w:rsidR="00D02954" w:rsidRDefault="000D4C97" w:rsidP="00E96F88">
            <w:r>
              <w:t>2019</w:t>
            </w:r>
          </w:p>
        </w:tc>
      </w:tr>
      <w:tr w:rsidR="000250D2" w:rsidRPr="004E181B" w14:paraId="090103F1" w14:textId="77777777" w:rsidTr="00B3185E">
        <w:trPr>
          <w:cantSplit/>
        </w:trPr>
        <w:tc>
          <w:tcPr>
            <w:tcW w:w="857" w:type="dxa"/>
          </w:tcPr>
          <w:p w14:paraId="71AC31D2" w14:textId="77777777" w:rsidR="000250D2" w:rsidRPr="004E181B" w:rsidRDefault="000250D2" w:rsidP="00E96F88">
            <w:pPr>
              <w:rPr>
                <w:rFonts w:cstheme="minorHAnsi"/>
                <w:szCs w:val="20"/>
              </w:rPr>
            </w:pPr>
          </w:p>
        </w:tc>
        <w:tc>
          <w:tcPr>
            <w:tcW w:w="1690" w:type="dxa"/>
            <w:shd w:val="clear" w:color="auto" w:fill="auto"/>
          </w:tcPr>
          <w:p w14:paraId="7600372D" w14:textId="5A5EA726" w:rsidR="000250D2" w:rsidRPr="004E181B" w:rsidRDefault="005210F2" w:rsidP="00E96F88">
            <w:pPr>
              <w:rPr>
                <w:rFonts w:cstheme="minorHAnsi"/>
                <w:szCs w:val="20"/>
              </w:rPr>
            </w:pPr>
            <w:r>
              <w:rPr>
                <w:rFonts w:cstheme="minorHAnsi"/>
                <w:szCs w:val="20"/>
              </w:rPr>
              <w:t>Retrospective</w:t>
            </w:r>
            <w:r w:rsidR="00D65334">
              <w:rPr>
                <w:rFonts w:cstheme="minorHAnsi"/>
                <w:szCs w:val="20"/>
              </w:rPr>
              <w:t xml:space="preserve">, </w:t>
            </w:r>
            <w:r w:rsidR="00EC61E2">
              <w:rPr>
                <w:rFonts w:cstheme="minorHAnsi"/>
                <w:szCs w:val="20"/>
              </w:rPr>
              <w:t>multi-</w:t>
            </w:r>
            <w:r w:rsidR="00D65334">
              <w:rPr>
                <w:rFonts w:cstheme="minorHAnsi"/>
                <w:szCs w:val="20"/>
              </w:rPr>
              <w:t>centre cohort study</w:t>
            </w:r>
          </w:p>
        </w:tc>
        <w:tc>
          <w:tcPr>
            <w:tcW w:w="2268" w:type="dxa"/>
            <w:shd w:val="clear" w:color="auto" w:fill="auto"/>
          </w:tcPr>
          <w:p w14:paraId="0151BD27" w14:textId="19CC76EC" w:rsidR="000250D2" w:rsidRPr="004E181B" w:rsidRDefault="00B9149F" w:rsidP="00905083">
            <w:pPr>
              <w:autoSpaceDE w:val="0"/>
              <w:autoSpaceDN w:val="0"/>
              <w:adjustRightInd w:val="0"/>
              <w:rPr>
                <w:rFonts w:cstheme="minorHAnsi"/>
                <w:szCs w:val="20"/>
              </w:rPr>
            </w:pPr>
            <w:r w:rsidRPr="00B9149F">
              <w:rPr>
                <w:rFonts w:cstheme="minorHAnsi"/>
                <w:szCs w:val="20"/>
              </w:rPr>
              <w:t>Mismatch repair deficiency and aberrations in the Notch and Hedgehog pathways are of prognostic value in patients with endometrial cancer.</w:t>
            </w:r>
          </w:p>
        </w:tc>
        <w:tc>
          <w:tcPr>
            <w:tcW w:w="4111" w:type="dxa"/>
            <w:shd w:val="clear" w:color="auto" w:fill="auto"/>
          </w:tcPr>
          <w:p w14:paraId="37D221C3" w14:textId="39D2C59D" w:rsidR="000250D2" w:rsidRPr="00B35711" w:rsidRDefault="00B35711" w:rsidP="00130FEB">
            <w:pPr>
              <w:rPr>
                <w:rFonts w:cstheme="minorHAnsi"/>
                <w:bCs/>
                <w:szCs w:val="20"/>
              </w:rPr>
            </w:pPr>
            <w:r>
              <w:rPr>
                <w:rFonts w:cstheme="minorHAnsi"/>
                <w:bCs/>
                <w:szCs w:val="20"/>
              </w:rPr>
              <w:t>S</w:t>
            </w:r>
            <w:r w:rsidRPr="00B35711">
              <w:rPr>
                <w:rFonts w:cstheme="minorHAnsi"/>
                <w:bCs/>
                <w:szCs w:val="20"/>
              </w:rPr>
              <w:t>how that MMRd was associated with significant better survival but not with decreased risk for relapse</w:t>
            </w:r>
            <w:r>
              <w:rPr>
                <w:rFonts w:cstheme="minorHAnsi"/>
                <w:bCs/>
                <w:szCs w:val="20"/>
              </w:rPr>
              <w:t>.</w:t>
            </w:r>
          </w:p>
        </w:tc>
        <w:tc>
          <w:tcPr>
            <w:tcW w:w="2835" w:type="dxa"/>
            <w:shd w:val="clear" w:color="auto" w:fill="auto"/>
          </w:tcPr>
          <w:p w14:paraId="7DFFBCC8" w14:textId="2E355A42" w:rsidR="000250D2" w:rsidRDefault="00B9149F" w:rsidP="00E96F88">
            <w:pPr>
              <w:rPr>
                <w:rFonts w:eastAsia="CIDFont+F6" w:cstheme="minorHAnsi"/>
                <w:szCs w:val="20"/>
              </w:rPr>
            </w:pPr>
            <w:r w:rsidRPr="00B9149F">
              <w:rPr>
                <w:rFonts w:eastAsia="CIDFont+F6" w:cstheme="minorHAnsi"/>
                <w:szCs w:val="20"/>
              </w:rPr>
              <w:t>Polychronidou</w:t>
            </w:r>
            <w:r w:rsidR="005F7C5B">
              <w:rPr>
                <w:rFonts w:eastAsia="CIDFont+F6" w:cstheme="minorHAnsi"/>
                <w:szCs w:val="20"/>
              </w:rPr>
              <w:t xml:space="preserve"> et al</w:t>
            </w:r>
            <w:r>
              <w:rPr>
                <w:rFonts w:eastAsia="CIDFont+F6" w:cstheme="minorHAnsi"/>
                <w:szCs w:val="20"/>
              </w:rPr>
              <w:t xml:space="preserve"> 2018</w:t>
            </w:r>
          </w:p>
          <w:p w14:paraId="57CC394A" w14:textId="77777777" w:rsidR="005F7C5B" w:rsidRDefault="005F7C5B" w:rsidP="00E96F88">
            <w:pPr>
              <w:rPr>
                <w:rFonts w:eastAsia="CIDFont+F6" w:cstheme="minorHAnsi"/>
                <w:szCs w:val="20"/>
              </w:rPr>
            </w:pPr>
          </w:p>
          <w:p w14:paraId="13661035" w14:textId="3791787A" w:rsidR="005F7C5B" w:rsidRPr="004E181B" w:rsidRDefault="00D315F0" w:rsidP="00E96F88">
            <w:pPr>
              <w:rPr>
                <w:rFonts w:eastAsia="CIDFont+F6" w:cstheme="minorHAnsi"/>
                <w:szCs w:val="20"/>
              </w:rPr>
            </w:pPr>
            <w:hyperlink r:id="rId21" w:history="1">
              <w:r w:rsidR="005F7C5B" w:rsidRPr="006F6A28">
                <w:rPr>
                  <w:rStyle w:val="Hyperlink"/>
                  <w:rFonts w:eastAsia="CIDFont+F6" w:cstheme="minorHAnsi"/>
                  <w:szCs w:val="20"/>
                </w:rPr>
                <w:t>https://doi.org/10.1371/journal.pone.0208221</w:t>
              </w:r>
            </w:hyperlink>
            <w:r w:rsidR="005F7C5B">
              <w:rPr>
                <w:rFonts w:eastAsia="CIDFont+F6" w:cstheme="minorHAnsi"/>
                <w:szCs w:val="20"/>
              </w:rPr>
              <w:t xml:space="preserve"> </w:t>
            </w:r>
          </w:p>
        </w:tc>
        <w:tc>
          <w:tcPr>
            <w:tcW w:w="2187" w:type="dxa"/>
            <w:shd w:val="clear" w:color="auto" w:fill="auto"/>
          </w:tcPr>
          <w:p w14:paraId="4D888271" w14:textId="18B3E126" w:rsidR="000250D2" w:rsidRPr="004E181B" w:rsidRDefault="00B9149F" w:rsidP="00E96F88">
            <w:pPr>
              <w:rPr>
                <w:rFonts w:cstheme="minorHAnsi"/>
                <w:szCs w:val="20"/>
              </w:rPr>
            </w:pPr>
            <w:r>
              <w:rPr>
                <w:rFonts w:cstheme="minorHAnsi"/>
                <w:szCs w:val="20"/>
              </w:rPr>
              <w:t>2018</w:t>
            </w:r>
          </w:p>
        </w:tc>
      </w:tr>
      <w:tr w:rsidR="000250D2" w:rsidRPr="004E181B" w14:paraId="33A758EA" w14:textId="77777777" w:rsidTr="00B3185E">
        <w:trPr>
          <w:cantSplit/>
        </w:trPr>
        <w:tc>
          <w:tcPr>
            <w:tcW w:w="857" w:type="dxa"/>
          </w:tcPr>
          <w:p w14:paraId="28E42DE1" w14:textId="77777777" w:rsidR="000250D2" w:rsidRPr="004E181B" w:rsidRDefault="000250D2" w:rsidP="00E96F88">
            <w:pPr>
              <w:rPr>
                <w:rFonts w:cstheme="minorHAnsi"/>
                <w:szCs w:val="20"/>
              </w:rPr>
            </w:pPr>
          </w:p>
        </w:tc>
        <w:tc>
          <w:tcPr>
            <w:tcW w:w="1690" w:type="dxa"/>
            <w:shd w:val="clear" w:color="auto" w:fill="auto"/>
          </w:tcPr>
          <w:p w14:paraId="54C0E5DB" w14:textId="0CE6AD87" w:rsidR="000250D2" w:rsidRPr="004E181B" w:rsidRDefault="00020C1B" w:rsidP="00E96F88">
            <w:pPr>
              <w:rPr>
                <w:rFonts w:cstheme="minorHAnsi"/>
                <w:szCs w:val="20"/>
              </w:rPr>
            </w:pPr>
            <w:r>
              <w:rPr>
                <w:rFonts w:cstheme="minorHAnsi"/>
                <w:szCs w:val="20"/>
              </w:rPr>
              <w:t>Retrospective multicentre cohort study</w:t>
            </w:r>
          </w:p>
        </w:tc>
        <w:tc>
          <w:tcPr>
            <w:tcW w:w="2268" w:type="dxa"/>
            <w:shd w:val="clear" w:color="auto" w:fill="auto"/>
          </w:tcPr>
          <w:p w14:paraId="073EE997" w14:textId="082845BB" w:rsidR="000250D2" w:rsidRPr="004E181B" w:rsidRDefault="00D9624B" w:rsidP="00905083">
            <w:pPr>
              <w:autoSpaceDE w:val="0"/>
              <w:autoSpaceDN w:val="0"/>
              <w:adjustRightInd w:val="0"/>
              <w:rPr>
                <w:rFonts w:cstheme="minorHAnsi"/>
                <w:szCs w:val="20"/>
              </w:rPr>
            </w:pPr>
            <w:r w:rsidRPr="00D9624B">
              <w:rPr>
                <w:rFonts w:cstheme="minorHAnsi"/>
                <w:szCs w:val="20"/>
              </w:rPr>
              <w:t>Mismatch repair deficiency as a predictive marker for response to adjuvant radiotherapy in endometrial cancer.</w:t>
            </w:r>
          </w:p>
        </w:tc>
        <w:tc>
          <w:tcPr>
            <w:tcW w:w="4111" w:type="dxa"/>
            <w:shd w:val="clear" w:color="auto" w:fill="auto"/>
          </w:tcPr>
          <w:p w14:paraId="5136D47E" w14:textId="62D5A51F" w:rsidR="003F28C2" w:rsidRPr="006341B5" w:rsidRDefault="003F28C2" w:rsidP="003F28C2">
            <w:pPr>
              <w:rPr>
                <w:rFonts w:cstheme="minorHAnsi"/>
                <w:bCs/>
                <w:szCs w:val="20"/>
              </w:rPr>
            </w:pPr>
            <w:r w:rsidRPr="006341B5">
              <w:rPr>
                <w:rFonts w:cstheme="minorHAnsi"/>
                <w:bCs/>
                <w:szCs w:val="20"/>
              </w:rPr>
              <w:t xml:space="preserve">Radiotherapy improved survival in patients with MMR-deficient </w:t>
            </w:r>
            <w:r w:rsidR="006341B5">
              <w:rPr>
                <w:rFonts w:cstheme="minorHAnsi"/>
                <w:bCs/>
                <w:szCs w:val="20"/>
              </w:rPr>
              <w:t>EC</w:t>
            </w:r>
            <w:r w:rsidRPr="006341B5">
              <w:rPr>
                <w:rFonts w:cstheme="minorHAnsi"/>
                <w:bCs/>
                <w:szCs w:val="20"/>
              </w:rPr>
              <w:t>.</w:t>
            </w:r>
          </w:p>
          <w:p w14:paraId="2E5750DD" w14:textId="77777777" w:rsidR="003F28C2" w:rsidRPr="006341B5" w:rsidRDefault="003F28C2" w:rsidP="003F28C2">
            <w:pPr>
              <w:rPr>
                <w:rFonts w:cstheme="minorHAnsi"/>
                <w:bCs/>
                <w:szCs w:val="20"/>
              </w:rPr>
            </w:pPr>
            <w:r w:rsidRPr="006341B5">
              <w:rPr>
                <w:rFonts w:cstheme="minorHAnsi"/>
                <w:bCs/>
                <w:szCs w:val="20"/>
              </w:rPr>
              <w:t>Patients with MMR-proficient ECs did not experience improved survival after radiotherapy.</w:t>
            </w:r>
          </w:p>
          <w:p w14:paraId="1393EFF8" w14:textId="43D07C8C" w:rsidR="000250D2" w:rsidRPr="004E181B" w:rsidRDefault="003F28C2" w:rsidP="003F28C2">
            <w:pPr>
              <w:rPr>
                <w:rFonts w:cstheme="minorHAnsi"/>
                <w:b/>
                <w:szCs w:val="20"/>
              </w:rPr>
            </w:pPr>
            <w:r w:rsidRPr="006341B5">
              <w:rPr>
                <w:rFonts w:cstheme="minorHAnsi"/>
                <w:bCs/>
                <w:szCs w:val="20"/>
              </w:rPr>
              <w:t>MMR status could be used to select patients that benefit most from adjuvant radiotherapy.</w:t>
            </w:r>
          </w:p>
        </w:tc>
        <w:tc>
          <w:tcPr>
            <w:tcW w:w="2835" w:type="dxa"/>
            <w:shd w:val="clear" w:color="auto" w:fill="auto"/>
          </w:tcPr>
          <w:p w14:paraId="5E600DD3" w14:textId="21366C7D" w:rsidR="00020C1B" w:rsidRDefault="00020C1B" w:rsidP="00E96F88">
            <w:pPr>
              <w:rPr>
                <w:rFonts w:eastAsia="CIDFont+F6" w:cstheme="minorHAnsi"/>
                <w:szCs w:val="20"/>
              </w:rPr>
            </w:pPr>
            <w:r>
              <w:rPr>
                <w:rFonts w:eastAsia="CIDFont+F6" w:cstheme="minorHAnsi"/>
                <w:szCs w:val="20"/>
              </w:rPr>
              <w:t>Reijnen et al 2019</w:t>
            </w:r>
          </w:p>
          <w:p w14:paraId="2D69B3B8" w14:textId="6DED28C3" w:rsidR="000250D2" w:rsidRPr="004E181B" w:rsidRDefault="00D315F0" w:rsidP="00E96F88">
            <w:pPr>
              <w:rPr>
                <w:rFonts w:eastAsia="CIDFont+F6" w:cstheme="minorHAnsi"/>
                <w:szCs w:val="20"/>
              </w:rPr>
            </w:pPr>
            <w:hyperlink r:id="rId22" w:history="1">
              <w:r w:rsidR="00020C1B" w:rsidRPr="006F6A28">
                <w:rPr>
                  <w:rStyle w:val="Hyperlink"/>
                  <w:rFonts w:eastAsia="CIDFont+F6" w:cstheme="minorHAnsi"/>
                  <w:szCs w:val="20"/>
                </w:rPr>
                <w:t>https://www.sciencedirect.com/science/article/pii/S0090825819302707</w:t>
              </w:r>
            </w:hyperlink>
            <w:r w:rsidR="00F81574">
              <w:rPr>
                <w:rFonts w:eastAsia="CIDFont+F6" w:cstheme="minorHAnsi"/>
                <w:szCs w:val="20"/>
              </w:rPr>
              <w:t xml:space="preserve"> </w:t>
            </w:r>
          </w:p>
        </w:tc>
        <w:tc>
          <w:tcPr>
            <w:tcW w:w="2187" w:type="dxa"/>
            <w:shd w:val="clear" w:color="auto" w:fill="auto"/>
          </w:tcPr>
          <w:p w14:paraId="4B205D47" w14:textId="3243BB9E" w:rsidR="000250D2" w:rsidRPr="004E181B" w:rsidRDefault="00020C1B" w:rsidP="00E96F88">
            <w:pPr>
              <w:rPr>
                <w:rFonts w:cstheme="minorHAnsi"/>
                <w:szCs w:val="20"/>
              </w:rPr>
            </w:pPr>
            <w:r>
              <w:rPr>
                <w:rFonts w:cstheme="minorHAnsi"/>
                <w:szCs w:val="20"/>
              </w:rPr>
              <w:t>2019</w:t>
            </w:r>
          </w:p>
        </w:tc>
      </w:tr>
      <w:tr w:rsidR="00422766" w:rsidRPr="004E181B" w14:paraId="28C76DEF" w14:textId="77777777" w:rsidTr="00B3185E">
        <w:trPr>
          <w:cantSplit/>
        </w:trPr>
        <w:tc>
          <w:tcPr>
            <w:tcW w:w="857" w:type="dxa"/>
          </w:tcPr>
          <w:p w14:paraId="7B515AA2" w14:textId="77777777" w:rsidR="00422766" w:rsidRPr="004E181B" w:rsidRDefault="00422766" w:rsidP="00E96F88">
            <w:pPr>
              <w:rPr>
                <w:rFonts w:cstheme="minorHAnsi"/>
                <w:szCs w:val="20"/>
              </w:rPr>
            </w:pPr>
          </w:p>
        </w:tc>
        <w:tc>
          <w:tcPr>
            <w:tcW w:w="1690" w:type="dxa"/>
            <w:shd w:val="clear" w:color="auto" w:fill="auto"/>
          </w:tcPr>
          <w:p w14:paraId="7B0EF2D5" w14:textId="40EEA87E" w:rsidR="00422766" w:rsidRPr="004E181B" w:rsidRDefault="00E33ED5" w:rsidP="00E96F88">
            <w:pPr>
              <w:rPr>
                <w:rFonts w:cstheme="minorHAnsi"/>
                <w:szCs w:val="20"/>
              </w:rPr>
            </w:pPr>
            <w:r>
              <w:rPr>
                <w:rFonts w:cstheme="minorHAnsi"/>
                <w:szCs w:val="20"/>
              </w:rPr>
              <w:t>Retrospective single centre cohort study.</w:t>
            </w:r>
          </w:p>
        </w:tc>
        <w:tc>
          <w:tcPr>
            <w:tcW w:w="2268" w:type="dxa"/>
            <w:shd w:val="clear" w:color="auto" w:fill="auto"/>
          </w:tcPr>
          <w:p w14:paraId="0786CA7F" w14:textId="68228FBA" w:rsidR="00422766" w:rsidRPr="004E181B" w:rsidRDefault="001F320D" w:rsidP="00905083">
            <w:pPr>
              <w:autoSpaceDE w:val="0"/>
              <w:autoSpaceDN w:val="0"/>
              <w:adjustRightInd w:val="0"/>
              <w:rPr>
                <w:rFonts w:cstheme="minorHAnsi"/>
                <w:szCs w:val="20"/>
              </w:rPr>
            </w:pPr>
            <w:r w:rsidRPr="001F320D">
              <w:rPr>
                <w:rFonts w:cstheme="minorHAnsi"/>
                <w:szCs w:val="20"/>
              </w:rPr>
              <w:t>Lack of association between deficient mismatch repair expression and outcome in endometrial carcinomas of the endometrioid type.</w:t>
            </w:r>
          </w:p>
        </w:tc>
        <w:tc>
          <w:tcPr>
            <w:tcW w:w="4111" w:type="dxa"/>
            <w:shd w:val="clear" w:color="auto" w:fill="auto"/>
          </w:tcPr>
          <w:p w14:paraId="64C37259" w14:textId="77777777" w:rsidR="00EE1AA5" w:rsidRPr="00EE1AA5" w:rsidRDefault="00EE1AA5" w:rsidP="00EE1AA5">
            <w:pPr>
              <w:rPr>
                <w:rFonts w:cstheme="minorHAnsi"/>
                <w:bCs/>
                <w:szCs w:val="20"/>
              </w:rPr>
            </w:pPr>
            <w:r w:rsidRPr="00EE1AA5">
              <w:rPr>
                <w:rFonts w:cstheme="minorHAnsi"/>
                <w:bCs/>
                <w:szCs w:val="20"/>
              </w:rPr>
              <w:t>Deficient mismatch repair is not associated with outcome in endometrioid carcinomas.</w:t>
            </w:r>
          </w:p>
          <w:p w14:paraId="407BA6CC" w14:textId="77777777" w:rsidR="00422766" w:rsidRDefault="00EE1AA5" w:rsidP="00EE1AA5">
            <w:pPr>
              <w:rPr>
                <w:rFonts w:cstheme="minorHAnsi"/>
                <w:bCs/>
                <w:szCs w:val="20"/>
              </w:rPr>
            </w:pPr>
            <w:r w:rsidRPr="00EE1AA5">
              <w:rPr>
                <w:rFonts w:cstheme="minorHAnsi"/>
                <w:bCs/>
                <w:szCs w:val="20"/>
              </w:rPr>
              <w:t>Mismatch repair deficiency is not associated with outcome in FIGO stage subgroups.</w:t>
            </w:r>
          </w:p>
          <w:p w14:paraId="59131A04" w14:textId="29E7DAC4" w:rsidR="00A17D83" w:rsidRPr="00EE1AA5" w:rsidRDefault="00A17D83" w:rsidP="00EE1AA5">
            <w:pPr>
              <w:rPr>
                <w:rFonts w:cstheme="minorHAnsi"/>
                <w:bCs/>
                <w:szCs w:val="20"/>
              </w:rPr>
            </w:pPr>
            <w:r w:rsidRPr="00A17D83">
              <w:rPr>
                <w:rFonts w:cstheme="minorHAnsi"/>
                <w:bCs/>
                <w:szCs w:val="20"/>
              </w:rPr>
              <w:t>MMR deficiency does not seem to be a good prognostic marker in endometrioid type endometrial carcinomas.</w:t>
            </w:r>
          </w:p>
        </w:tc>
        <w:tc>
          <w:tcPr>
            <w:tcW w:w="2835" w:type="dxa"/>
            <w:shd w:val="clear" w:color="auto" w:fill="auto"/>
          </w:tcPr>
          <w:p w14:paraId="6D1A5F84" w14:textId="40736A06" w:rsidR="00E33ED5" w:rsidRDefault="00E33ED5" w:rsidP="00E96F88">
            <w:pPr>
              <w:rPr>
                <w:rFonts w:eastAsia="CIDFont+F6" w:cstheme="minorHAnsi"/>
                <w:szCs w:val="20"/>
              </w:rPr>
            </w:pPr>
            <w:r>
              <w:rPr>
                <w:rFonts w:eastAsia="CIDFont+F6" w:cstheme="minorHAnsi"/>
                <w:szCs w:val="20"/>
              </w:rPr>
              <w:t>Ruiz et al 2014</w:t>
            </w:r>
          </w:p>
          <w:p w14:paraId="4CD9E7EA" w14:textId="30737598" w:rsidR="00422766" w:rsidRPr="004E181B" w:rsidRDefault="00D315F0" w:rsidP="00E96F88">
            <w:pPr>
              <w:rPr>
                <w:rFonts w:eastAsia="CIDFont+F6" w:cstheme="minorHAnsi"/>
                <w:szCs w:val="20"/>
              </w:rPr>
            </w:pPr>
            <w:hyperlink r:id="rId23" w:history="1">
              <w:r w:rsidR="00E33ED5" w:rsidRPr="006F6A28">
                <w:rPr>
                  <w:rStyle w:val="Hyperlink"/>
                  <w:rFonts w:eastAsia="CIDFont+F6" w:cstheme="minorHAnsi"/>
                  <w:szCs w:val="20"/>
                </w:rPr>
                <w:t>https://www.sciencedirect.com/science/article/pii/S0090825814009147</w:t>
              </w:r>
            </w:hyperlink>
            <w:r w:rsidR="001F320D">
              <w:rPr>
                <w:rFonts w:eastAsia="CIDFont+F6" w:cstheme="minorHAnsi"/>
                <w:szCs w:val="20"/>
              </w:rPr>
              <w:t xml:space="preserve"> </w:t>
            </w:r>
          </w:p>
        </w:tc>
        <w:tc>
          <w:tcPr>
            <w:tcW w:w="2187" w:type="dxa"/>
            <w:shd w:val="clear" w:color="auto" w:fill="auto"/>
          </w:tcPr>
          <w:p w14:paraId="5EA2DB64" w14:textId="0273FB50" w:rsidR="00422766" w:rsidRPr="004E181B" w:rsidRDefault="00E33ED5" w:rsidP="00E96F88">
            <w:pPr>
              <w:rPr>
                <w:rFonts w:cstheme="minorHAnsi"/>
                <w:szCs w:val="20"/>
              </w:rPr>
            </w:pPr>
            <w:r>
              <w:rPr>
                <w:rFonts w:cstheme="minorHAnsi"/>
                <w:szCs w:val="20"/>
              </w:rPr>
              <w:t>2014</w:t>
            </w:r>
          </w:p>
        </w:tc>
      </w:tr>
      <w:tr w:rsidR="00422766" w:rsidRPr="004E181B" w14:paraId="13B7F4D6" w14:textId="77777777" w:rsidTr="00B3185E">
        <w:trPr>
          <w:cantSplit/>
        </w:trPr>
        <w:tc>
          <w:tcPr>
            <w:tcW w:w="857" w:type="dxa"/>
          </w:tcPr>
          <w:p w14:paraId="0130A6D0" w14:textId="77777777" w:rsidR="00422766" w:rsidRPr="004E181B" w:rsidRDefault="00422766" w:rsidP="00E96F88">
            <w:pPr>
              <w:rPr>
                <w:rFonts w:cstheme="minorHAnsi"/>
                <w:szCs w:val="20"/>
              </w:rPr>
            </w:pPr>
          </w:p>
        </w:tc>
        <w:tc>
          <w:tcPr>
            <w:tcW w:w="1690" w:type="dxa"/>
            <w:shd w:val="clear" w:color="auto" w:fill="auto"/>
          </w:tcPr>
          <w:p w14:paraId="427C1CB4" w14:textId="2212B927" w:rsidR="00422766" w:rsidRPr="004E181B" w:rsidRDefault="00FF44C5" w:rsidP="00E96F88">
            <w:pPr>
              <w:rPr>
                <w:rFonts w:cstheme="minorHAnsi"/>
                <w:szCs w:val="20"/>
              </w:rPr>
            </w:pPr>
            <w:r>
              <w:rPr>
                <w:rFonts w:cstheme="minorHAnsi"/>
                <w:szCs w:val="20"/>
              </w:rPr>
              <w:t>Retrospective multicentre cohort study</w:t>
            </w:r>
          </w:p>
        </w:tc>
        <w:tc>
          <w:tcPr>
            <w:tcW w:w="2268" w:type="dxa"/>
            <w:shd w:val="clear" w:color="auto" w:fill="auto"/>
          </w:tcPr>
          <w:p w14:paraId="2E660680" w14:textId="6C01083C" w:rsidR="00422766" w:rsidRPr="004E181B" w:rsidRDefault="00FF44C5" w:rsidP="00905083">
            <w:pPr>
              <w:autoSpaceDE w:val="0"/>
              <w:autoSpaceDN w:val="0"/>
              <w:adjustRightInd w:val="0"/>
              <w:rPr>
                <w:rFonts w:cstheme="minorHAnsi"/>
                <w:szCs w:val="20"/>
              </w:rPr>
            </w:pPr>
            <w:r w:rsidRPr="00FF44C5">
              <w:rPr>
                <w:rFonts w:cstheme="minorHAnsi"/>
                <w:szCs w:val="20"/>
              </w:rPr>
              <w:t>Endometrial cancer risk and survival by tumor MMR status</w:t>
            </w:r>
          </w:p>
        </w:tc>
        <w:tc>
          <w:tcPr>
            <w:tcW w:w="4111" w:type="dxa"/>
            <w:shd w:val="clear" w:color="auto" w:fill="auto"/>
          </w:tcPr>
          <w:p w14:paraId="1B142B07" w14:textId="0EA565D3" w:rsidR="00422766" w:rsidRPr="005F6ECB" w:rsidRDefault="005A10FB" w:rsidP="00130FEB">
            <w:pPr>
              <w:rPr>
                <w:rFonts w:cstheme="minorHAnsi"/>
                <w:bCs/>
                <w:szCs w:val="20"/>
              </w:rPr>
            </w:pPr>
            <w:r>
              <w:rPr>
                <w:rFonts w:cstheme="minorHAnsi"/>
                <w:bCs/>
                <w:szCs w:val="20"/>
              </w:rPr>
              <w:t xml:space="preserve">Assessment of the </w:t>
            </w:r>
            <w:r w:rsidR="00FA45D1">
              <w:rPr>
                <w:rFonts w:cstheme="minorHAnsi"/>
                <w:bCs/>
                <w:szCs w:val="20"/>
              </w:rPr>
              <w:t xml:space="preserve">association between tumor MMR status and the risk of developing EC and survival following a diagnosis of EC.  </w:t>
            </w:r>
            <w:r w:rsidR="00FF2BB0">
              <w:rPr>
                <w:rFonts w:cstheme="minorHAnsi"/>
                <w:bCs/>
                <w:szCs w:val="20"/>
              </w:rPr>
              <w:t xml:space="preserve">Risk of EC was not associated with MMR status.  </w:t>
            </w:r>
            <w:r w:rsidR="00FB2428">
              <w:rPr>
                <w:rFonts w:cstheme="minorHAnsi"/>
                <w:bCs/>
                <w:szCs w:val="20"/>
              </w:rPr>
              <w:t xml:space="preserve">Overall survival did not differ by tumor </w:t>
            </w:r>
            <w:r w:rsidR="00562279">
              <w:rPr>
                <w:rFonts w:cstheme="minorHAnsi"/>
                <w:bCs/>
                <w:szCs w:val="20"/>
              </w:rPr>
              <w:t xml:space="preserve">MMR status. Suggest that </w:t>
            </w:r>
            <w:r w:rsidR="00E30FF3">
              <w:rPr>
                <w:rFonts w:cstheme="minorHAnsi"/>
                <w:bCs/>
                <w:szCs w:val="20"/>
              </w:rPr>
              <w:t>patients with somatic MMRd have poorer EC-specific survival.</w:t>
            </w:r>
            <w:r w:rsidR="007061F3">
              <w:rPr>
                <w:rFonts w:cstheme="minorHAnsi"/>
                <w:bCs/>
                <w:szCs w:val="20"/>
              </w:rPr>
              <w:t xml:space="preserve"> </w:t>
            </w:r>
          </w:p>
        </w:tc>
        <w:tc>
          <w:tcPr>
            <w:tcW w:w="2835" w:type="dxa"/>
            <w:shd w:val="clear" w:color="auto" w:fill="auto"/>
          </w:tcPr>
          <w:p w14:paraId="7F3D0693" w14:textId="48A64AC1" w:rsidR="00EA5D88" w:rsidRDefault="00EA5D88" w:rsidP="00E96F88">
            <w:pPr>
              <w:rPr>
                <w:rFonts w:eastAsia="CIDFont+F6" w:cstheme="minorHAnsi"/>
                <w:szCs w:val="20"/>
              </w:rPr>
            </w:pPr>
            <w:r>
              <w:rPr>
                <w:rFonts w:eastAsia="CIDFont+F6" w:cstheme="minorHAnsi"/>
                <w:szCs w:val="20"/>
              </w:rPr>
              <w:t xml:space="preserve">Nagle et al </w:t>
            </w:r>
            <w:r w:rsidR="00FF44C5">
              <w:rPr>
                <w:rFonts w:eastAsia="CIDFont+F6" w:cstheme="minorHAnsi"/>
                <w:szCs w:val="20"/>
              </w:rPr>
              <w:t>2018</w:t>
            </w:r>
          </w:p>
          <w:p w14:paraId="6FC36CCE" w14:textId="56E73730" w:rsidR="00422766" w:rsidRPr="004E181B" w:rsidRDefault="00EA5D88" w:rsidP="00E96F88">
            <w:pPr>
              <w:rPr>
                <w:rFonts w:eastAsia="CIDFont+F6" w:cstheme="minorHAnsi"/>
                <w:szCs w:val="20"/>
              </w:rPr>
            </w:pPr>
            <w:r w:rsidRPr="00EA5D88">
              <w:rPr>
                <w:rFonts w:eastAsia="CIDFont+F6" w:cstheme="minorHAnsi"/>
                <w:szCs w:val="20"/>
              </w:rPr>
              <w:t>https://doi.org/10.3802/jgo.2018.29.e39</w:t>
            </w:r>
          </w:p>
        </w:tc>
        <w:tc>
          <w:tcPr>
            <w:tcW w:w="2187" w:type="dxa"/>
            <w:shd w:val="clear" w:color="auto" w:fill="auto"/>
          </w:tcPr>
          <w:p w14:paraId="3731FCB1" w14:textId="432D7EE3" w:rsidR="00422766" w:rsidRPr="004E181B" w:rsidRDefault="00FF44C5" w:rsidP="00E96F88">
            <w:pPr>
              <w:rPr>
                <w:rFonts w:cstheme="minorHAnsi"/>
                <w:szCs w:val="20"/>
              </w:rPr>
            </w:pPr>
            <w:r>
              <w:rPr>
                <w:rFonts w:cstheme="minorHAnsi"/>
                <w:szCs w:val="20"/>
              </w:rPr>
              <w:t>2018</w:t>
            </w:r>
          </w:p>
        </w:tc>
      </w:tr>
      <w:tr w:rsidR="00E30FF3" w:rsidRPr="004E181B" w14:paraId="3EC158FB" w14:textId="77777777" w:rsidTr="00B3185E">
        <w:trPr>
          <w:cantSplit/>
        </w:trPr>
        <w:tc>
          <w:tcPr>
            <w:tcW w:w="857" w:type="dxa"/>
          </w:tcPr>
          <w:p w14:paraId="3D3DD51D" w14:textId="77777777" w:rsidR="00E30FF3" w:rsidRPr="004E181B" w:rsidRDefault="00E30FF3" w:rsidP="00E96F88">
            <w:pPr>
              <w:rPr>
                <w:rFonts w:cstheme="minorHAnsi"/>
                <w:szCs w:val="20"/>
              </w:rPr>
            </w:pPr>
          </w:p>
        </w:tc>
        <w:tc>
          <w:tcPr>
            <w:tcW w:w="1690" w:type="dxa"/>
            <w:shd w:val="clear" w:color="auto" w:fill="auto"/>
          </w:tcPr>
          <w:p w14:paraId="08259CF8" w14:textId="5A14686F" w:rsidR="00E30FF3" w:rsidRPr="004E181B" w:rsidRDefault="00D33EBB" w:rsidP="00E96F88">
            <w:pPr>
              <w:rPr>
                <w:rFonts w:cstheme="minorHAnsi"/>
                <w:szCs w:val="20"/>
              </w:rPr>
            </w:pPr>
            <w:r>
              <w:rPr>
                <w:rFonts w:cstheme="minorHAnsi"/>
                <w:szCs w:val="20"/>
              </w:rPr>
              <w:t>Retrospective single centre cohort study</w:t>
            </w:r>
          </w:p>
        </w:tc>
        <w:tc>
          <w:tcPr>
            <w:tcW w:w="2268" w:type="dxa"/>
            <w:shd w:val="clear" w:color="auto" w:fill="auto"/>
          </w:tcPr>
          <w:p w14:paraId="26038AFF" w14:textId="7FD739A2" w:rsidR="00E30FF3" w:rsidRPr="004E181B" w:rsidRDefault="009D2818" w:rsidP="00905083">
            <w:pPr>
              <w:autoSpaceDE w:val="0"/>
              <w:autoSpaceDN w:val="0"/>
              <w:adjustRightInd w:val="0"/>
              <w:rPr>
                <w:rFonts w:cstheme="minorHAnsi"/>
                <w:szCs w:val="20"/>
              </w:rPr>
            </w:pPr>
            <w:r w:rsidRPr="009D2818">
              <w:rPr>
                <w:rFonts w:cstheme="minorHAnsi"/>
                <w:szCs w:val="20"/>
              </w:rPr>
              <w:t>Clinicopathologic implications of DNA mismatch repair status in endometrial carcinomas.</w:t>
            </w:r>
          </w:p>
        </w:tc>
        <w:tc>
          <w:tcPr>
            <w:tcW w:w="4111" w:type="dxa"/>
            <w:shd w:val="clear" w:color="auto" w:fill="auto"/>
          </w:tcPr>
          <w:p w14:paraId="70F81540" w14:textId="281FEBAA" w:rsidR="00E30FF3" w:rsidRPr="009D2E0D" w:rsidRDefault="00253B5D" w:rsidP="00130FEB">
            <w:pPr>
              <w:rPr>
                <w:rFonts w:cstheme="minorHAnsi"/>
                <w:bCs/>
                <w:szCs w:val="20"/>
              </w:rPr>
            </w:pPr>
            <w:r w:rsidRPr="009D2E0D">
              <w:rPr>
                <w:rFonts w:cstheme="minorHAnsi"/>
                <w:bCs/>
                <w:szCs w:val="20"/>
              </w:rPr>
              <w:t>Investigated the clinicopathologic significance of deficient MMR and Lynch syndrome presumed by MMR analyses in unselected endometrial carcinomas.</w:t>
            </w:r>
            <w:r w:rsidR="007D74BC" w:rsidRPr="009D2E0D">
              <w:rPr>
                <w:rFonts w:cstheme="minorHAnsi"/>
                <w:bCs/>
                <w:szCs w:val="20"/>
              </w:rPr>
              <w:t xml:space="preserve"> Clinicopathologic variables and prognosis were compared according to MMR status and sporadic/PLS classification.</w:t>
            </w:r>
            <w:r w:rsidR="009D2E0D" w:rsidRPr="009D2E0D">
              <w:rPr>
                <w:rFonts w:cstheme="minorHAnsi"/>
                <w:bCs/>
                <w:szCs w:val="20"/>
              </w:rPr>
              <w:t xml:space="preserve"> </w:t>
            </w:r>
            <w:r w:rsidR="00B3185E" w:rsidRPr="00B3185E">
              <w:rPr>
                <w:rFonts w:cstheme="minorHAnsi"/>
                <w:bCs/>
                <w:szCs w:val="20"/>
              </w:rPr>
              <w:t>Deficient MMR showed only trends towards favorable overall survival (OS) compared with intact MMR</w:t>
            </w:r>
          </w:p>
        </w:tc>
        <w:tc>
          <w:tcPr>
            <w:tcW w:w="2835" w:type="dxa"/>
            <w:shd w:val="clear" w:color="auto" w:fill="auto"/>
          </w:tcPr>
          <w:p w14:paraId="6D07036B" w14:textId="2E5166C7" w:rsidR="00ED5F55" w:rsidRDefault="00ED5F55" w:rsidP="00E96F88">
            <w:pPr>
              <w:rPr>
                <w:rFonts w:eastAsia="CIDFont+F6" w:cstheme="minorHAnsi"/>
                <w:szCs w:val="20"/>
              </w:rPr>
            </w:pPr>
            <w:r>
              <w:rPr>
                <w:rFonts w:eastAsia="CIDFont+F6" w:cstheme="minorHAnsi"/>
                <w:szCs w:val="20"/>
              </w:rPr>
              <w:t>Shikama et al 2016</w:t>
            </w:r>
          </w:p>
          <w:p w14:paraId="7854366D" w14:textId="793E7B24" w:rsidR="00E30FF3" w:rsidRPr="004E181B" w:rsidRDefault="00ED5F55" w:rsidP="00E96F88">
            <w:pPr>
              <w:rPr>
                <w:rFonts w:eastAsia="CIDFont+F6" w:cstheme="minorHAnsi"/>
                <w:szCs w:val="20"/>
              </w:rPr>
            </w:pPr>
            <w:r w:rsidRPr="00ED5F55">
              <w:rPr>
                <w:rFonts w:eastAsia="CIDFont+F6" w:cstheme="minorHAnsi"/>
                <w:szCs w:val="20"/>
              </w:rPr>
              <w:t>https://doi.org/10.1016/j.ygyno.2015.11.032</w:t>
            </w:r>
          </w:p>
        </w:tc>
        <w:tc>
          <w:tcPr>
            <w:tcW w:w="2187" w:type="dxa"/>
            <w:shd w:val="clear" w:color="auto" w:fill="auto"/>
          </w:tcPr>
          <w:p w14:paraId="51B8EF4E" w14:textId="640A951F" w:rsidR="00E30FF3" w:rsidRPr="004E181B" w:rsidRDefault="00ED5F55" w:rsidP="00E96F88">
            <w:pPr>
              <w:rPr>
                <w:rFonts w:cstheme="minorHAnsi"/>
                <w:szCs w:val="20"/>
              </w:rPr>
            </w:pPr>
            <w:r>
              <w:rPr>
                <w:rFonts w:cstheme="minorHAnsi"/>
                <w:szCs w:val="20"/>
              </w:rPr>
              <w:t>2016</w:t>
            </w:r>
          </w:p>
        </w:tc>
      </w:tr>
      <w:tr w:rsidR="00B51A0B" w:rsidRPr="004E181B" w14:paraId="5E2A9252" w14:textId="77777777" w:rsidTr="00B3185E">
        <w:trPr>
          <w:cantSplit/>
        </w:trPr>
        <w:tc>
          <w:tcPr>
            <w:tcW w:w="857" w:type="dxa"/>
          </w:tcPr>
          <w:p w14:paraId="2199C379" w14:textId="77777777" w:rsidR="00291B49" w:rsidRPr="004E181B" w:rsidRDefault="00291B49" w:rsidP="00E96F88">
            <w:pPr>
              <w:rPr>
                <w:rFonts w:cstheme="minorHAnsi"/>
                <w:szCs w:val="20"/>
              </w:rPr>
            </w:pPr>
          </w:p>
        </w:tc>
        <w:tc>
          <w:tcPr>
            <w:tcW w:w="1690" w:type="dxa"/>
            <w:shd w:val="clear" w:color="auto" w:fill="auto"/>
          </w:tcPr>
          <w:p w14:paraId="22ECC4F0" w14:textId="405D1184" w:rsidR="00291B49" w:rsidRPr="004E181B" w:rsidRDefault="00735685" w:rsidP="00E96F88">
            <w:pPr>
              <w:rPr>
                <w:rFonts w:cstheme="minorHAnsi"/>
                <w:szCs w:val="20"/>
              </w:rPr>
            </w:pPr>
            <w:r w:rsidRPr="004E181B">
              <w:rPr>
                <w:rFonts w:cstheme="minorHAnsi"/>
                <w:szCs w:val="20"/>
              </w:rPr>
              <w:t>Pathologist Survey</w:t>
            </w:r>
          </w:p>
        </w:tc>
        <w:tc>
          <w:tcPr>
            <w:tcW w:w="2268" w:type="dxa"/>
            <w:shd w:val="clear" w:color="auto" w:fill="auto"/>
          </w:tcPr>
          <w:p w14:paraId="454CD4E1" w14:textId="77777777" w:rsidR="00905083" w:rsidRPr="004E181B" w:rsidRDefault="00905083" w:rsidP="00905083">
            <w:pPr>
              <w:autoSpaceDE w:val="0"/>
              <w:autoSpaceDN w:val="0"/>
              <w:adjustRightInd w:val="0"/>
              <w:rPr>
                <w:rFonts w:cstheme="minorHAnsi"/>
                <w:szCs w:val="20"/>
              </w:rPr>
            </w:pPr>
            <w:r w:rsidRPr="004E181B">
              <w:rPr>
                <w:rFonts w:cstheme="minorHAnsi"/>
                <w:szCs w:val="20"/>
              </w:rPr>
              <w:t xml:space="preserve">Mascarenhas L et al. </w:t>
            </w:r>
          </w:p>
          <w:p w14:paraId="704BE5B4" w14:textId="60B80C64" w:rsidR="00291B49" w:rsidRPr="004E181B" w:rsidRDefault="00C82895" w:rsidP="00C82895">
            <w:pPr>
              <w:autoSpaceDE w:val="0"/>
              <w:autoSpaceDN w:val="0"/>
              <w:adjustRightInd w:val="0"/>
              <w:rPr>
                <w:rFonts w:cstheme="minorHAnsi"/>
                <w:szCs w:val="20"/>
              </w:rPr>
            </w:pPr>
            <w:r w:rsidRPr="004E181B">
              <w:rPr>
                <w:rFonts w:cstheme="minorHAnsi"/>
                <w:szCs w:val="20"/>
              </w:rPr>
              <w:t>Current mismatch repair deficiency tumor testing practices and capabilities: A survey of Australian pathology providers</w:t>
            </w:r>
          </w:p>
        </w:tc>
        <w:tc>
          <w:tcPr>
            <w:tcW w:w="4111" w:type="dxa"/>
            <w:shd w:val="clear" w:color="auto" w:fill="auto"/>
          </w:tcPr>
          <w:p w14:paraId="7F29C5EE" w14:textId="560133FA" w:rsidR="00130FEB" w:rsidRPr="004E181B" w:rsidRDefault="00130FEB" w:rsidP="00130FEB">
            <w:pPr>
              <w:rPr>
                <w:rFonts w:cstheme="minorHAnsi"/>
                <w:b/>
                <w:szCs w:val="20"/>
              </w:rPr>
            </w:pPr>
            <w:r w:rsidRPr="004E181B">
              <w:rPr>
                <w:rFonts w:cstheme="minorHAnsi"/>
                <w:b/>
                <w:szCs w:val="20"/>
              </w:rPr>
              <w:t xml:space="preserve">Design: </w:t>
            </w:r>
            <w:r w:rsidRPr="004E181B">
              <w:rPr>
                <w:rFonts w:cstheme="minorHAnsi"/>
                <w:szCs w:val="20"/>
              </w:rPr>
              <w:t>RCPA accredited laboratories in Australia were surveyed.</w:t>
            </w:r>
          </w:p>
          <w:p w14:paraId="009B3CDE" w14:textId="77777777" w:rsidR="00130FEB" w:rsidRPr="004E181B" w:rsidRDefault="00130FEB" w:rsidP="00130FEB">
            <w:pPr>
              <w:rPr>
                <w:rFonts w:cstheme="minorHAnsi"/>
                <w:szCs w:val="20"/>
              </w:rPr>
            </w:pPr>
            <w:r w:rsidRPr="004E181B">
              <w:rPr>
                <w:rFonts w:cstheme="minorHAnsi"/>
                <w:b/>
                <w:szCs w:val="20"/>
              </w:rPr>
              <w:t xml:space="preserve">Aim: </w:t>
            </w:r>
            <w:r w:rsidRPr="004E181B">
              <w:rPr>
                <w:rFonts w:cstheme="minorHAnsi"/>
                <w:szCs w:val="20"/>
              </w:rPr>
              <w:t>To survey the current availability of screening for CRC and endometrial cancer (EC) tumour dMMR.</w:t>
            </w:r>
          </w:p>
          <w:p w14:paraId="2AB82546" w14:textId="0E4B8E2A" w:rsidR="00291B49" w:rsidRPr="004E181B" w:rsidRDefault="00130FEB" w:rsidP="00130FEB">
            <w:pPr>
              <w:rPr>
                <w:rFonts w:cstheme="minorHAnsi"/>
                <w:szCs w:val="20"/>
              </w:rPr>
            </w:pPr>
            <w:r w:rsidRPr="004E181B">
              <w:rPr>
                <w:rFonts w:cstheme="minorHAnsi"/>
                <w:b/>
                <w:szCs w:val="20"/>
              </w:rPr>
              <w:t>Results:</w:t>
            </w:r>
            <w:r w:rsidRPr="004E181B">
              <w:rPr>
                <w:rFonts w:cstheme="minorHAnsi"/>
                <w:szCs w:val="20"/>
              </w:rPr>
              <w:t xml:space="preserve"> The response rate was </w:t>
            </w:r>
            <w:r w:rsidR="00286990" w:rsidRPr="004E181B">
              <w:rPr>
                <w:rFonts w:cstheme="minorHAnsi"/>
                <w:szCs w:val="20"/>
              </w:rPr>
              <w:t>80</w:t>
            </w:r>
            <w:r w:rsidRPr="004E181B">
              <w:rPr>
                <w:rFonts w:cstheme="minorHAnsi"/>
                <w:szCs w:val="20"/>
              </w:rPr>
              <w:t xml:space="preserve">%, with </w:t>
            </w:r>
            <w:r w:rsidR="00B96720" w:rsidRPr="004E181B">
              <w:rPr>
                <w:rFonts w:cstheme="minorHAnsi"/>
                <w:szCs w:val="20"/>
              </w:rPr>
              <w:t>95</w:t>
            </w:r>
            <w:r w:rsidRPr="004E181B">
              <w:rPr>
                <w:rFonts w:cstheme="minorHAnsi"/>
                <w:szCs w:val="20"/>
              </w:rPr>
              <w:t>% of laboratories conducting MMR IHC testing.</w:t>
            </w:r>
            <w:r w:rsidR="00F02E02" w:rsidRPr="004E181B">
              <w:rPr>
                <w:rFonts w:cstheme="minorHAnsi"/>
                <w:szCs w:val="20"/>
              </w:rPr>
              <w:t>37</w:t>
            </w:r>
            <w:r w:rsidRPr="004E181B">
              <w:rPr>
                <w:rFonts w:cstheme="minorHAnsi"/>
                <w:szCs w:val="20"/>
              </w:rPr>
              <w:t>% are screening endometrial cancer specimens for MMR</w:t>
            </w:r>
            <w:r w:rsidR="00F02E02" w:rsidRPr="004E181B">
              <w:rPr>
                <w:rFonts w:cstheme="minorHAnsi"/>
                <w:szCs w:val="20"/>
              </w:rPr>
              <w:t xml:space="preserve"> on clinician request, </w:t>
            </w:r>
            <w:r w:rsidR="004E181B" w:rsidRPr="004E181B">
              <w:rPr>
                <w:rFonts w:cstheme="minorHAnsi"/>
                <w:szCs w:val="20"/>
              </w:rPr>
              <w:t>27% on ‘red flag’ and 12% are screening all</w:t>
            </w:r>
            <w:r w:rsidRPr="004E181B">
              <w:rPr>
                <w:rFonts w:cstheme="minorHAnsi"/>
                <w:szCs w:val="20"/>
              </w:rPr>
              <w:t>.</w:t>
            </w:r>
          </w:p>
        </w:tc>
        <w:tc>
          <w:tcPr>
            <w:tcW w:w="2835" w:type="dxa"/>
            <w:shd w:val="clear" w:color="auto" w:fill="auto"/>
          </w:tcPr>
          <w:p w14:paraId="757AC412" w14:textId="0EB473DA" w:rsidR="00291B49" w:rsidRPr="004E181B" w:rsidRDefault="00664310" w:rsidP="00E96F88">
            <w:pPr>
              <w:rPr>
                <w:rFonts w:eastAsia="CIDFont+F6" w:cstheme="minorHAnsi"/>
                <w:szCs w:val="20"/>
              </w:rPr>
            </w:pPr>
            <w:r w:rsidRPr="004E181B">
              <w:rPr>
                <w:rFonts w:eastAsia="CIDFont+F6" w:cstheme="minorHAnsi"/>
                <w:szCs w:val="20"/>
              </w:rPr>
              <w:t>Asia-Pac J Clin Oncol 2018</w:t>
            </w:r>
            <w:r w:rsidR="009440B0" w:rsidRPr="004E181B">
              <w:rPr>
                <w:rFonts w:eastAsia="CIDFont+F6" w:cstheme="minorHAnsi"/>
                <w:szCs w:val="20"/>
              </w:rPr>
              <w:t xml:space="preserve">; 14:417-25.  </w:t>
            </w:r>
            <w:r w:rsidR="004A6D7C" w:rsidRPr="004E181B">
              <w:rPr>
                <w:rFonts w:eastAsia="CIDFont+F6" w:cstheme="minorHAnsi"/>
                <w:szCs w:val="20"/>
              </w:rPr>
              <w:t>DOI</w:t>
            </w:r>
            <w:r w:rsidR="009440B0" w:rsidRPr="004E181B">
              <w:rPr>
                <w:rFonts w:eastAsia="CIDFont+F6" w:cstheme="minorHAnsi"/>
                <w:szCs w:val="20"/>
              </w:rPr>
              <w:t>:</w:t>
            </w:r>
            <w:r w:rsidR="004A6D7C" w:rsidRPr="004E181B">
              <w:rPr>
                <w:rFonts w:eastAsia="CIDFont+F6" w:cstheme="minorHAnsi"/>
                <w:szCs w:val="20"/>
              </w:rPr>
              <w:t xml:space="preserve"> 10.1111/ajco.13076</w:t>
            </w:r>
          </w:p>
        </w:tc>
        <w:tc>
          <w:tcPr>
            <w:tcW w:w="2187" w:type="dxa"/>
            <w:shd w:val="clear" w:color="auto" w:fill="auto"/>
          </w:tcPr>
          <w:p w14:paraId="01C0D7FC" w14:textId="54036D0E" w:rsidR="00291B49" w:rsidRPr="004E181B" w:rsidRDefault="003B0EE7" w:rsidP="00E96F88">
            <w:pPr>
              <w:rPr>
                <w:rFonts w:cstheme="minorHAnsi"/>
                <w:szCs w:val="20"/>
              </w:rPr>
            </w:pPr>
            <w:r w:rsidRPr="004E181B">
              <w:rPr>
                <w:rFonts w:cstheme="minorHAnsi"/>
                <w:szCs w:val="20"/>
              </w:rPr>
              <w:t>7 October 2018</w:t>
            </w:r>
          </w:p>
        </w:tc>
      </w:tr>
    </w:tbl>
    <w:p w14:paraId="5AA36178"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790C1F24" w14:textId="420A556C" w:rsidR="004C49EF" w:rsidRPr="001E343B" w:rsidRDefault="001E343B" w:rsidP="004C49EF">
      <w:pPr>
        <w:spacing w:after="0"/>
        <w:ind w:left="426"/>
        <w:rPr>
          <w:szCs w:val="20"/>
        </w:rPr>
      </w:pPr>
      <w:r w:rsidRPr="001E343B">
        <w:rPr>
          <w:szCs w:val="20"/>
        </w:rPr>
        <w:t>None identified</w:t>
      </w:r>
    </w:p>
    <w:p w14:paraId="61139625"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7740333"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8AB9BBC"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BEE6DA3" w14:textId="77777777" w:rsidR="0085243C" w:rsidRDefault="0085243C" w:rsidP="00A727B6">
      <w:pPr>
        <w:ind w:left="426"/>
      </w:pPr>
      <w:r w:rsidRPr="0085243C">
        <w:t xml:space="preserve">Royal College of Pathologists  </w:t>
      </w:r>
    </w:p>
    <w:p w14:paraId="7A825DD3" w14:textId="6DC0BD38" w:rsidR="00A727B6" w:rsidRPr="00A727B6" w:rsidRDefault="0085243C" w:rsidP="00A727B6">
      <w:pPr>
        <w:ind w:left="426"/>
      </w:pPr>
      <w:r w:rsidRPr="0085243C">
        <w:t xml:space="preserve">(IHC testing of MMR is already undertaken under MBS item #72847, so we have not requested a letter of support to comment on the service or the fee.  </w:t>
      </w:r>
      <w:r w:rsidRPr="00A8145C">
        <w:t>Please refer to “</w:t>
      </w:r>
      <w:r w:rsidR="0003336C">
        <w:t>ENDOMETRIAL</w:t>
      </w:r>
      <w:r w:rsidRPr="00A8145C">
        <w:t xml:space="preserve"> CANCER STRUCTURED REPORTING PROTOCOL” for the College’s specific recommendations on dMMR IHC testing  [items G4.01-G4.02])</w:t>
      </w:r>
    </w:p>
    <w:p w14:paraId="76566262"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91DF635" w14:textId="53C3E6A6" w:rsidR="0022338B" w:rsidRDefault="0022338B" w:rsidP="00A727B6">
      <w:pPr>
        <w:ind w:left="426"/>
      </w:pPr>
      <w:r>
        <w:t>Medical Oncology Group of Australia (MOGA)</w:t>
      </w:r>
    </w:p>
    <w:p w14:paraId="5BAF549F" w14:textId="77777777" w:rsidR="00E82F54" w:rsidRPr="00154B00" w:rsidRDefault="00E82F54" w:rsidP="00530204">
      <w:pPr>
        <w:pStyle w:val="Heading2"/>
      </w:pPr>
      <w:r w:rsidRPr="00154B00">
        <w:t>List the consumer organisations relevant to the proposed medical service</w:t>
      </w:r>
      <w:r w:rsidR="00C12C5C">
        <w:t xml:space="preserve"> (</w:t>
      </w:r>
      <w:r w:rsidR="00C12C5C" w:rsidRPr="00CA616E">
        <w:t>please attach a letter of support for each consumer organisation nominated</w:t>
      </w:r>
      <w:r w:rsidR="00C12C5C">
        <w:t>)</w:t>
      </w:r>
      <w:r w:rsidR="00197D29">
        <w:t>:</w:t>
      </w:r>
    </w:p>
    <w:p w14:paraId="704E2FCD" w14:textId="726D7F0A" w:rsidR="00E82F54" w:rsidRDefault="00A65FB8" w:rsidP="00A727B6">
      <w:pPr>
        <w:ind w:left="426"/>
        <w:rPr>
          <w:szCs w:val="20"/>
        </w:rPr>
      </w:pPr>
      <w:r>
        <w:t xml:space="preserve">There a no </w:t>
      </w:r>
      <w:r w:rsidR="007C66FF">
        <w:t>associations specifically suppor</w:t>
      </w:r>
      <w:r w:rsidR="00EE69EE">
        <w:t xml:space="preserve">ting patients with endometrial cancer but some that generally support patients with cancer including </w:t>
      </w:r>
      <w:r w:rsidR="0073493E">
        <w:t>Cancer Australia and Cancer Council.</w:t>
      </w:r>
    </w:p>
    <w:p w14:paraId="028CB5BA"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B24438F" w14:textId="4CA8118C" w:rsidR="00EE6450" w:rsidRDefault="00FE3C6F" w:rsidP="00EE6450">
      <w:pPr>
        <w:ind w:left="426"/>
        <w:rPr>
          <w:szCs w:val="20"/>
        </w:rPr>
      </w:pPr>
      <w:r>
        <w:t>No</w:t>
      </w:r>
      <w:r w:rsidR="00787E4C">
        <w:t>t</w:t>
      </w:r>
      <w:r>
        <w:t xml:space="preserve"> applicable</w:t>
      </w:r>
      <w:r w:rsidR="00787E4C">
        <w:t xml:space="preserve"> – GSK is not aligning with a specific manufacturer of </w:t>
      </w:r>
      <w:r w:rsidR="005C739A">
        <w:t>IHC tests.</w:t>
      </w:r>
    </w:p>
    <w:p w14:paraId="6940BE7C" w14:textId="77777777" w:rsidR="00E82F54" w:rsidRPr="006E4A7A" w:rsidRDefault="00E82F54" w:rsidP="00530204">
      <w:pPr>
        <w:pStyle w:val="Heading2"/>
      </w:pPr>
      <w:r w:rsidRPr="006E4A7A">
        <w:t>Nominate two experts who could be approached about the proposed medical service and the current clinical management of the service(s):</w:t>
      </w:r>
    </w:p>
    <w:p w14:paraId="6A228DE1" w14:textId="77777777" w:rsidR="001E343B" w:rsidRDefault="001E343B" w:rsidP="00987ABE">
      <w:pPr>
        <w:ind w:left="426"/>
        <w:rPr>
          <w:szCs w:val="20"/>
        </w:rPr>
      </w:pPr>
    </w:p>
    <w:p w14:paraId="5350AB65" w14:textId="4FD64504" w:rsidR="00987ABE" w:rsidRPr="00987ABE" w:rsidRDefault="00987ABE" w:rsidP="00987ABE">
      <w:pPr>
        <w:ind w:left="426"/>
        <w:rPr>
          <w:szCs w:val="20"/>
        </w:rPr>
      </w:pPr>
      <w:r>
        <w:rPr>
          <w:szCs w:val="20"/>
        </w:rPr>
        <w:t xml:space="preserve">Name of expert 1: </w:t>
      </w:r>
      <w:r w:rsidR="001E343B" w:rsidRPr="001E343B">
        <w:rPr>
          <w:b/>
        </w:rPr>
        <w:t>REDACTED</w:t>
      </w:r>
    </w:p>
    <w:p w14:paraId="58CC11A4" w14:textId="4F92DA72" w:rsidR="00987ABE" w:rsidRPr="00987ABE" w:rsidRDefault="00987ABE" w:rsidP="00987ABE">
      <w:pPr>
        <w:ind w:left="426"/>
        <w:rPr>
          <w:szCs w:val="20"/>
        </w:rPr>
      </w:pPr>
      <w:r>
        <w:rPr>
          <w:szCs w:val="20"/>
        </w:rPr>
        <w:t xml:space="preserve">Telephone number(s): </w:t>
      </w:r>
      <w:r w:rsidR="001E343B" w:rsidRPr="001E343B">
        <w:rPr>
          <w:b/>
        </w:rPr>
        <w:t>REDACTED</w:t>
      </w:r>
    </w:p>
    <w:p w14:paraId="27CD9327" w14:textId="721707A0" w:rsidR="00987ABE" w:rsidRPr="00987ABE" w:rsidRDefault="00987ABE" w:rsidP="00987ABE">
      <w:pPr>
        <w:ind w:left="426"/>
        <w:rPr>
          <w:szCs w:val="20"/>
        </w:rPr>
      </w:pPr>
      <w:r>
        <w:rPr>
          <w:szCs w:val="20"/>
        </w:rPr>
        <w:t xml:space="preserve">Email address: </w:t>
      </w:r>
      <w:r w:rsidR="001E343B" w:rsidRPr="001E343B">
        <w:rPr>
          <w:b/>
          <w:lang w:val="en-US"/>
        </w:rPr>
        <w:t>REDACTED</w:t>
      </w:r>
    </w:p>
    <w:p w14:paraId="1492F917" w14:textId="4295F13F" w:rsidR="00987ABE" w:rsidRPr="00987ABE" w:rsidRDefault="00987ABE" w:rsidP="00987ABE">
      <w:pPr>
        <w:ind w:left="426"/>
        <w:rPr>
          <w:szCs w:val="20"/>
        </w:rPr>
      </w:pPr>
      <w:r>
        <w:rPr>
          <w:szCs w:val="20"/>
        </w:rPr>
        <w:t xml:space="preserve">Justification of expertise: </w:t>
      </w:r>
      <w:r w:rsidR="001E343B" w:rsidRPr="001E343B">
        <w:rPr>
          <w:rFonts w:ascii="Calibri" w:eastAsia="Calibri" w:hAnsi="Calibri" w:cs="Calibri"/>
          <w:b/>
          <w:szCs w:val="20"/>
        </w:rPr>
        <w:t>REDACTED</w:t>
      </w:r>
    </w:p>
    <w:p w14:paraId="57DECFC8" w14:textId="77777777" w:rsidR="001E343B" w:rsidRDefault="001E343B" w:rsidP="00987ABE">
      <w:pPr>
        <w:ind w:left="426"/>
        <w:rPr>
          <w:szCs w:val="20"/>
        </w:rPr>
      </w:pPr>
    </w:p>
    <w:p w14:paraId="481B7405" w14:textId="5B1BE2F6" w:rsidR="00987ABE" w:rsidRPr="00987ABE" w:rsidRDefault="00987ABE" w:rsidP="00987ABE">
      <w:pPr>
        <w:ind w:left="426"/>
        <w:rPr>
          <w:szCs w:val="20"/>
        </w:rPr>
      </w:pPr>
      <w:r>
        <w:rPr>
          <w:szCs w:val="20"/>
        </w:rPr>
        <w:t xml:space="preserve">Name of expert 2: </w:t>
      </w:r>
      <w:r w:rsidR="001E343B" w:rsidRPr="001E343B">
        <w:rPr>
          <w:b/>
        </w:rPr>
        <w:t>REDACTED</w:t>
      </w:r>
    </w:p>
    <w:p w14:paraId="603ED242" w14:textId="2F266F8B" w:rsidR="00987ABE" w:rsidRPr="00987ABE" w:rsidRDefault="00987ABE" w:rsidP="00987ABE">
      <w:pPr>
        <w:ind w:left="426"/>
        <w:rPr>
          <w:szCs w:val="20"/>
        </w:rPr>
      </w:pPr>
      <w:r>
        <w:rPr>
          <w:szCs w:val="20"/>
        </w:rPr>
        <w:t xml:space="preserve">Telephone number(s): </w:t>
      </w:r>
      <w:r w:rsidR="001E343B" w:rsidRPr="001E343B">
        <w:rPr>
          <w:rFonts w:cstheme="minorHAnsi"/>
          <w:b/>
          <w:color w:val="1A1A1A"/>
          <w:szCs w:val="20"/>
          <w:shd w:val="clear" w:color="auto" w:fill="FFFFFF"/>
        </w:rPr>
        <w:t>REDACTED</w:t>
      </w:r>
      <w:r w:rsidR="009E12AE" w:rsidRPr="009E12AE">
        <w:rPr>
          <w:sz w:val="16"/>
          <w:szCs w:val="16"/>
        </w:rPr>
        <w:t xml:space="preserve"> </w:t>
      </w:r>
    </w:p>
    <w:p w14:paraId="65152423" w14:textId="29E2ED97" w:rsidR="00987ABE" w:rsidRPr="00987ABE" w:rsidRDefault="00987ABE" w:rsidP="00987ABE">
      <w:pPr>
        <w:ind w:left="426"/>
        <w:rPr>
          <w:szCs w:val="20"/>
        </w:rPr>
      </w:pPr>
      <w:r>
        <w:rPr>
          <w:szCs w:val="20"/>
        </w:rPr>
        <w:t xml:space="preserve">Email address: </w:t>
      </w:r>
      <w:r w:rsidR="001E343B" w:rsidRPr="001E343B">
        <w:rPr>
          <w:b/>
        </w:rPr>
        <w:t>REDACTED</w:t>
      </w:r>
    </w:p>
    <w:p w14:paraId="77183DB6" w14:textId="7A2966E2" w:rsidR="00E82F54" w:rsidRPr="00154B00" w:rsidRDefault="00987ABE" w:rsidP="00987ABE">
      <w:pPr>
        <w:ind w:left="426"/>
        <w:rPr>
          <w:szCs w:val="20"/>
        </w:rPr>
      </w:pPr>
      <w:r>
        <w:rPr>
          <w:szCs w:val="20"/>
        </w:rPr>
        <w:t xml:space="preserve">Justification of expertise: </w:t>
      </w:r>
      <w:r w:rsidR="001E343B" w:rsidRPr="001E343B">
        <w:rPr>
          <w:b/>
        </w:rPr>
        <w:t>REDACTED</w:t>
      </w:r>
    </w:p>
    <w:p w14:paraId="780457A4" w14:textId="77777777" w:rsidR="00987ABE" w:rsidRDefault="00987ABE" w:rsidP="00E82F54">
      <w:pPr>
        <w:ind w:left="426"/>
        <w:rPr>
          <w:i/>
          <w:szCs w:val="20"/>
        </w:rPr>
      </w:pPr>
    </w:p>
    <w:p w14:paraId="59A31767"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60C5A8C0" w14:textId="77777777" w:rsidR="003433D1" w:rsidRDefault="003433D1">
      <w:pPr>
        <w:rPr>
          <w:b/>
          <w:sz w:val="32"/>
          <w:szCs w:val="32"/>
        </w:rPr>
      </w:pPr>
      <w:r>
        <w:rPr>
          <w:b/>
          <w:sz w:val="32"/>
          <w:szCs w:val="32"/>
        </w:rPr>
        <w:br w:type="page"/>
      </w:r>
    </w:p>
    <w:p w14:paraId="19E7C1E4"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B061022" w14:textId="77777777" w:rsidR="0021185D" w:rsidRPr="005C3AE7" w:rsidRDefault="005C3AE7" w:rsidP="001E343B">
      <w:pPr>
        <w:pStyle w:val="Subtitle"/>
        <w:ind w:left="0"/>
      </w:pPr>
      <w:r w:rsidRPr="005C3AE7">
        <w:t xml:space="preserve">PART 6a – </w:t>
      </w:r>
      <w:r w:rsidR="0021185D" w:rsidRPr="005C3AE7">
        <w:t>INFORMATION ABOUT THE PROPOSED POPULATION</w:t>
      </w:r>
    </w:p>
    <w:p w14:paraId="62A5CD0E"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7B16367" w14:textId="77777777" w:rsidR="00621CEF" w:rsidRDefault="0041244B" w:rsidP="00E357B9">
      <w:pPr>
        <w:ind w:left="426"/>
      </w:pPr>
      <w:r>
        <w:t xml:space="preserve">Endometrial cancer is the sixth most common type of malignancy diagnosed in women globally and the second most common gynaecological cancer. </w:t>
      </w:r>
      <w:r w:rsidR="0068085D">
        <w:t xml:space="preserve"> Be</w:t>
      </w:r>
      <w:r w:rsidR="007E0392">
        <w:t>cause most endometrial cancers are symptomatic, the majority are diagnosed early (</w:t>
      </w:r>
      <w:r w:rsidR="007E0392">
        <w:rPr>
          <w:rFonts w:cstheme="minorHAnsi"/>
        </w:rPr>
        <w:t>~</w:t>
      </w:r>
      <w:r w:rsidR="007E0392">
        <w:t>80% at sta</w:t>
      </w:r>
      <w:r w:rsidR="001D551E">
        <w:t xml:space="preserve">ge 1) when the </w:t>
      </w:r>
      <w:r w:rsidR="0073021A">
        <w:t>cancer</w:t>
      </w:r>
      <w:r w:rsidR="001D551E">
        <w:t xml:space="preserve"> is still confined to the uterus.  Early diagnosis is associated with good prognosis: 70% of localised </w:t>
      </w:r>
      <w:r w:rsidR="0073021A">
        <w:t>cases</w:t>
      </w:r>
      <w:r w:rsidR="001D551E">
        <w:t xml:space="preserve"> can be cured with </w:t>
      </w:r>
      <w:r w:rsidR="0073021A">
        <w:t xml:space="preserve">surgery and their 5-year survival rate is </w:t>
      </w:r>
      <w:r w:rsidR="00973003">
        <w:t xml:space="preserve">95%.  </w:t>
      </w:r>
      <w:r w:rsidR="00A016C5">
        <w:t>Despite</w:t>
      </w:r>
      <w:r w:rsidR="00973003">
        <w:t xml:space="preserve"> a good prognosis, patients diagnosed with</w:t>
      </w:r>
      <w:r w:rsidR="00423F13">
        <w:t xml:space="preserve"> local disease are at risk of recurrence.</w:t>
      </w:r>
      <w:r w:rsidR="00CC5631">
        <w:t xml:space="preserve"> </w:t>
      </w:r>
      <w:r w:rsidR="00973003">
        <w:t xml:space="preserve"> </w:t>
      </w:r>
    </w:p>
    <w:p w14:paraId="0DB870B9" w14:textId="08E3A68C" w:rsidR="002A6753" w:rsidRDefault="00621CEF" w:rsidP="00E357B9">
      <w:pPr>
        <w:ind w:left="426"/>
        <w:rPr>
          <w:szCs w:val="20"/>
        </w:rPr>
      </w:pPr>
      <w:r>
        <w:t xml:space="preserve">Despite treatment, an estimated 13-15% of patients with endometrial cancer </w:t>
      </w:r>
      <w:r w:rsidR="00474E47">
        <w:t>will</w:t>
      </w:r>
      <w:r>
        <w:t xml:space="preserve"> experience disease recurren</w:t>
      </w:r>
      <w:r w:rsidR="00474E47">
        <w:t xml:space="preserve">ce.  </w:t>
      </w:r>
      <w:r w:rsidR="00780095">
        <w:t xml:space="preserve">Advanced or recurrent disease is life-threatening and incurable, with a </w:t>
      </w:r>
      <w:r w:rsidR="00EF158A">
        <w:t>5-year</w:t>
      </w:r>
      <w:r w:rsidR="00780095">
        <w:t xml:space="preserve"> survival rate of </w:t>
      </w:r>
      <w:r w:rsidR="00780095">
        <w:rPr>
          <w:rFonts w:cstheme="minorHAnsi"/>
        </w:rPr>
        <w:t>~</w:t>
      </w:r>
      <w:r w:rsidR="00780095">
        <w:t xml:space="preserve">20%.  For those that relapse </w:t>
      </w:r>
      <w:r w:rsidR="00E94721">
        <w:t>on or after first-line platinum-based therapy, median life expectancy is less than 1 year.  Approximately</w:t>
      </w:r>
      <w:r w:rsidR="00031B26">
        <w:t xml:space="preserve"> 25% of endometrial cancers are dMMR </w:t>
      </w:r>
      <w:r w:rsidR="00EF158A">
        <w:t>and could be treated with dostarlimab.</w:t>
      </w:r>
      <w:r w:rsidR="00EF158A" w:rsidRPr="00154B00">
        <w:rPr>
          <w:szCs w:val="20"/>
        </w:rPr>
        <w:t xml:space="preserve"> </w:t>
      </w:r>
    </w:p>
    <w:p w14:paraId="7702E9E8" w14:textId="0E71BF7F" w:rsidR="00C945B4" w:rsidRDefault="00C945B4" w:rsidP="00E357B9">
      <w:pPr>
        <w:ind w:left="426"/>
        <w:rPr>
          <w:szCs w:val="20"/>
        </w:rPr>
      </w:pPr>
      <w:r>
        <w:rPr>
          <w:szCs w:val="20"/>
        </w:rPr>
        <w:t xml:space="preserve">The most common symptom associated with endometrial cancer is abnormal vaginal </w:t>
      </w:r>
      <w:r w:rsidR="00C80DC8">
        <w:rPr>
          <w:szCs w:val="20"/>
        </w:rPr>
        <w:t>bleeding</w:t>
      </w:r>
      <w:r>
        <w:rPr>
          <w:szCs w:val="20"/>
        </w:rPr>
        <w:t xml:space="preserve"> present in approximately 90% patients.  This includes a change in menstrual cycles, </w:t>
      </w:r>
      <w:r w:rsidR="00C80DC8">
        <w:rPr>
          <w:szCs w:val="20"/>
        </w:rPr>
        <w:t>bleeding</w:t>
      </w:r>
      <w:r>
        <w:rPr>
          <w:szCs w:val="20"/>
        </w:rPr>
        <w:t xml:space="preserve"> between menstrual cycles, or bleeding after menopause.  Additionally, non-bloody </w:t>
      </w:r>
      <w:r w:rsidR="00CF205A">
        <w:rPr>
          <w:szCs w:val="20"/>
        </w:rPr>
        <w:t>abnormal vaginal discharge may be a sign of endometrial cancer.  In advanced stages of endometrial cancer, other symptoms may be present, including pelvic pain during urination or intercourse, the presence of a mass, or unintentional w</w:t>
      </w:r>
      <w:r w:rsidR="00C80DC8">
        <w:rPr>
          <w:szCs w:val="20"/>
        </w:rPr>
        <w:t>eight loss.</w:t>
      </w:r>
    </w:p>
    <w:p w14:paraId="681444FB" w14:textId="77777777" w:rsidR="004822B4" w:rsidRPr="00154B00" w:rsidRDefault="004822B4" w:rsidP="00E357B9">
      <w:pPr>
        <w:ind w:left="426"/>
        <w:rPr>
          <w:szCs w:val="20"/>
        </w:rPr>
      </w:pPr>
    </w:p>
    <w:p w14:paraId="77C92C7D"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AC1683B" w14:textId="0F4AC6A0" w:rsidR="00D9623B" w:rsidRDefault="00D9623B" w:rsidP="00E924A3">
      <w:pPr>
        <w:spacing w:before="0" w:after="0"/>
        <w:ind w:left="425"/>
        <w:rPr>
          <w:bCs/>
        </w:rPr>
      </w:pPr>
      <w:r w:rsidRPr="0029327B">
        <w:rPr>
          <w:bCs/>
        </w:rPr>
        <w:t xml:space="preserve">The proposed patient population includes patients diagnosed with </w:t>
      </w:r>
      <w:r w:rsidR="00454141">
        <w:rPr>
          <w:bCs/>
        </w:rPr>
        <w:t xml:space="preserve">advanced or recurrent endometrial cancer </w:t>
      </w:r>
      <w:r w:rsidRPr="0029327B">
        <w:rPr>
          <w:bCs/>
        </w:rPr>
        <w:t>that have progressed following prior treatment.</w:t>
      </w:r>
    </w:p>
    <w:p w14:paraId="42B29D79" w14:textId="77777777" w:rsidR="00E924A3" w:rsidRPr="0029327B" w:rsidRDefault="00E924A3" w:rsidP="00E924A3">
      <w:pPr>
        <w:spacing w:before="0" w:after="0"/>
        <w:ind w:left="425"/>
        <w:rPr>
          <w:bCs/>
        </w:rPr>
      </w:pPr>
    </w:p>
    <w:p w14:paraId="08C87082" w14:textId="579D189C" w:rsidR="00D9623B" w:rsidRPr="00D9623B" w:rsidRDefault="00D9623B" w:rsidP="00E924A3">
      <w:pPr>
        <w:spacing w:before="0" w:after="0"/>
        <w:ind w:left="425"/>
        <w:rPr>
          <w:bCs/>
        </w:rPr>
      </w:pPr>
      <w:r w:rsidRPr="00D9623B">
        <w:rPr>
          <w:bCs/>
        </w:rPr>
        <w:t xml:space="preserve">The median age </w:t>
      </w:r>
      <w:r w:rsidR="000625ED">
        <w:rPr>
          <w:bCs/>
        </w:rPr>
        <w:t xml:space="preserve">at </w:t>
      </w:r>
      <w:r w:rsidR="005D531F">
        <w:rPr>
          <w:bCs/>
        </w:rPr>
        <w:t>diagnosis of endometrial cancer is 63 years old</w:t>
      </w:r>
      <w:r w:rsidRPr="00D9623B">
        <w:rPr>
          <w:bCs/>
        </w:rPr>
        <w:t xml:space="preserve"> from </w:t>
      </w:r>
      <w:r w:rsidR="006B4320">
        <w:rPr>
          <w:bCs/>
        </w:rPr>
        <w:t>15</w:t>
      </w:r>
      <w:r w:rsidRPr="00D9623B">
        <w:rPr>
          <w:bCs/>
        </w:rPr>
        <w:t xml:space="preserve"> to 100+.  Patients with hereditary dMMR (Lynch Syndrome) are likely to be younger, given their higher risk of developing certain cancers before 50 years of age</w:t>
      </w:r>
      <w:r w:rsidR="00427530">
        <w:rPr>
          <w:bCs/>
        </w:rPr>
        <w:t xml:space="preserve"> (Colombo</w:t>
      </w:r>
      <w:r w:rsidR="00E924A3">
        <w:rPr>
          <w:bCs/>
        </w:rPr>
        <w:t xml:space="preserve"> et al 2016</w:t>
      </w:r>
      <w:r w:rsidRPr="00D9623B">
        <w:rPr>
          <w:bCs/>
        </w:rPr>
        <w:t>).</w:t>
      </w:r>
    </w:p>
    <w:p w14:paraId="6FB7C20D" w14:textId="77777777" w:rsidR="00E924A3" w:rsidRDefault="00E924A3" w:rsidP="00E924A3">
      <w:pPr>
        <w:spacing w:before="0" w:after="0"/>
        <w:ind w:left="425"/>
        <w:rPr>
          <w:bCs/>
        </w:rPr>
      </w:pPr>
    </w:p>
    <w:p w14:paraId="2FD00DA1" w14:textId="59501162" w:rsidR="00D9623B" w:rsidRPr="00D9623B" w:rsidRDefault="00D9623B" w:rsidP="00E924A3">
      <w:pPr>
        <w:spacing w:before="0" w:after="0"/>
        <w:ind w:left="425"/>
        <w:rPr>
          <w:bCs/>
        </w:rPr>
      </w:pPr>
      <w:r w:rsidRPr="00D9623B">
        <w:rPr>
          <w:bCs/>
        </w:rPr>
        <w:t>In terms of presentation, patients with hereditary dMMR may initially be referred to a familial cancer clinical after a discussion of family history with their doctor and would then undergo dMMR testing.  Additional family members may be offered predictive testing to find out whether they too have Lynch syndrome (i.e. the same genetic mutation). If the result is positive, a surveillance plan will be drawn up to ensure any tumour is detected early.</w:t>
      </w:r>
    </w:p>
    <w:p w14:paraId="46B555B9" w14:textId="77777777" w:rsidR="00E924A3" w:rsidRDefault="00E924A3" w:rsidP="00E924A3">
      <w:pPr>
        <w:spacing w:before="0" w:after="0"/>
        <w:ind w:left="425"/>
        <w:rPr>
          <w:bCs/>
        </w:rPr>
      </w:pPr>
    </w:p>
    <w:p w14:paraId="5BA7A23E" w14:textId="17760E47" w:rsidR="00D9623B" w:rsidRPr="00D9623B" w:rsidRDefault="00D9623B" w:rsidP="00AE4E7C">
      <w:pPr>
        <w:spacing w:before="0" w:after="0"/>
        <w:ind w:left="425"/>
        <w:rPr>
          <w:bCs/>
        </w:rPr>
      </w:pPr>
      <w:r w:rsidRPr="00D9623B">
        <w:rPr>
          <w:bCs/>
        </w:rPr>
        <w:t xml:space="preserve">Patients who present with symptoms of </w:t>
      </w:r>
      <w:r w:rsidR="00374216">
        <w:rPr>
          <w:bCs/>
        </w:rPr>
        <w:t>endometrial cancer</w:t>
      </w:r>
      <w:r w:rsidRPr="00D9623B">
        <w:rPr>
          <w:bCs/>
        </w:rPr>
        <w:t xml:space="preserve"> will receive further investigations.  To identify metastases, computerised tomography (CT) scans, magnetic resonance imaging (MRI) scans, positron emission tomography (PET) scans, ultrasounds, and X-rays may also be undertaken.  Once diagnosed, many patients undergo surgery, with tissue from the resection tested by pathologists.  </w:t>
      </w:r>
      <w:r w:rsidR="00660C59">
        <w:rPr>
          <w:bCs/>
        </w:rPr>
        <w:t>T</w:t>
      </w:r>
      <w:r w:rsidRPr="00D9623B">
        <w:rPr>
          <w:bCs/>
        </w:rPr>
        <w:t xml:space="preserve">his testing </w:t>
      </w:r>
      <w:r w:rsidR="00660C59">
        <w:rPr>
          <w:bCs/>
        </w:rPr>
        <w:t xml:space="preserve">can </w:t>
      </w:r>
      <w:r w:rsidRPr="00D9623B">
        <w:rPr>
          <w:bCs/>
        </w:rPr>
        <w:t>include IHC for dMMR. If resected tissue is not available, biopsy tissue can also be used.   Biopsy material has been shown to be as reliable as resection specimen material in detecting a dMMR.</w:t>
      </w:r>
    </w:p>
    <w:p w14:paraId="367BD94E" w14:textId="77777777" w:rsidR="00AE4E7C" w:rsidRDefault="00AE4E7C" w:rsidP="00AE4E7C">
      <w:pPr>
        <w:spacing w:before="0" w:after="0"/>
        <w:ind w:left="425"/>
      </w:pPr>
    </w:p>
    <w:p w14:paraId="001F9F99" w14:textId="583A72AB" w:rsidR="001D4824" w:rsidRDefault="00D9623B" w:rsidP="00AE4E7C">
      <w:pPr>
        <w:spacing w:before="0" w:after="0"/>
        <w:ind w:left="425"/>
      </w:pPr>
      <w:r w:rsidRPr="00D9623B">
        <w:t>This treatment pathway is part of standard care in Australia, so the current management is not expected to change up to the point of referral for the service.</w:t>
      </w:r>
      <w:r w:rsidR="001D4824" w:rsidRPr="001D4824">
        <w:t xml:space="preserve"> </w:t>
      </w:r>
    </w:p>
    <w:p w14:paraId="554DEBE7" w14:textId="6054D52A" w:rsidR="001D4824" w:rsidRPr="00C469D4" w:rsidRDefault="00C469D4" w:rsidP="00AE4E7C">
      <w:pPr>
        <w:spacing w:before="0" w:after="0"/>
        <w:ind w:left="425"/>
        <w:rPr>
          <w:b/>
          <w:bCs/>
        </w:rPr>
      </w:pPr>
      <w:r w:rsidRPr="00C469D4">
        <w:rPr>
          <w:b/>
          <w:bCs/>
        </w:rPr>
        <w:lastRenderedPageBreak/>
        <w:t>Progression through endometrial cancer</w:t>
      </w:r>
    </w:p>
    <w:p w14:paraId="7BBCBBF4" w14:textId="21FB6A9D" w:rsidR="00AA5FDA" w:rsidRPr="00154B00" w:rsidRDefault="00C3747F" w:rsidP="00AE4E7C">
      <w:pPr>
        <w:spacing w:before="0" w:after="0"/>
        <w:ind w:left="425"/>
        <w:rPr>
          <w:szCs w:val="20"/>
        </w:rPr>
      </w:pPr>
      <w:r>
        <w:object w:dxaOrig="11310" w:dyaOrig="6750" w14:anchorId="6DC87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1.5pt;height:270pt;mso-position-vertical:absolute" o:ole="">
            <v:imagedata r:id="rId24" o:title=""/>
          </v:shape>
          <o:OLEObject Type="Embed" ProgID="Visio.Drawing.15" ShapeID="_x0000_i1025" DrawAspect="Content" ObjectID="_1683539045" r:id="rId25"/>
        </w:object>
      </w:r>
    </w:p>
    <w:p w14:paraId="12838C49"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BA97DBF" w14:textId="32D6999D" w:rsidR="00BC424B" w:rsidRDefault="007F75DB" w:rsidP="000856CE">
      <w:pPr>
        <w:spacing w:before="0" w:after="0"/>
        <w:ind w:left="425"/>
      </w:pPr>
      <w:r>
        <w:t xml:space="preserve">Patients receive an initial diagnosis work-up. </w:t>
      </w:r>
      <w:r w:rsidR="001D00A9">
        <w:t xml:space="preserve">Tissue would be obtained from scoping procedures or surgical resection if </w:t>
      </w:r>
      <w:r w:rsidR="00703791">
        <w:t>patients</w:t>
      </w:r>
      <w:r w:rsidR="00F65299">
        <w:t xml:space="preserve"> have received surgery and sent to the pathology laboratory for histology/staging and molecular testing.  For some patien</w:t>
      </w:r>
      <w:r w:rsidR="00B06FA3">
        <w:t>ts, MMR testing will be completed as part of this process.</w:t>
      </w:r>
    </w:p>
    <w:p w14:paraId="5A4DBB5B" w14:textId="77777777" w:rsidR="000856CE" w:rsidRDefault="000856CE" w:rsidP="000856CE">
      <w:pPr>
        <w:spacing w:before="0" w:after="0"/>
        <w:ind w:left="425"/>
      </w:pPr>
    </w:p>
    <w:p w14:paraId="020F3DB2" w14:textId="75AD254B" w:rsidR="00B06FA3" w:rsidRDefault="00B06FA3" w:rsidP="000856CE">
      <w:pPr>
        <w:spacing w:before="0" w:after="0"/>
        <w:ind w:left="425"/>
      </w:pPr>
      <w:r>
        <w:t>For the remain</w:t>
      </w:r>
      <w:r w:rsidR="009D36B1">
        <w:t>in</w:t>
      </w:r>
      <w:r>
        <w:t xml:space="preserve">g patients whose </w:t>
      </w:r>
      <w:r w:rsidR="009D36B1">
        <w:t>tumours</w:t>
      </w:r>
      <w:r>
        <w:t xml:space="preserve"> are not </w:t>
      </w:r>
      <w:r w:rsidR="0085470D">
        <w:t xml:space="preserve">already </w:t>
      </w:r>
      <w:r w:rsidR="009D36B1">
        <w:t>tested</w:t>
      </w:r>
      <w:r w:rsidR="0085470D">
        <w:t xml:space="preserve"> for dMMR, it is proposed that MMR testing is undertaken once the patients has progressed following prior treatment and thus become eligible for treatment with dostarlimab.</w:t>
      </w:r>
    </w:p>
    <w:p w14:paraId="0ADE1524" w14:textId="77777777" w:rsidR="000856CE" w:rsidRDefault="000856CE" w:rsidP="000856CE">
      <w:pPr>
        <w:spacing w:before="0" w:after="0"/>
        <w:ind w:left="425"/>
      </w:pPr>
    </w:p>
    <w:p w14:paraId="09189356" w14:textId="6BD068D1" w:rsidR="00A36751" w:rsidRDefault="00A36751" w:rsidP="000856CE">
      <w:pPr>
        <w:spacing w:before="0" w:after="0"/>
        <w:ind w:left="425"/>
      </w:pPr>
      <w:r>
        <w:t>Please refer to attachment 1</w:t>
      </w:r>
      <w:r w:rsidR="00901FB5">
        <w:t xml:space="preserve"> and 2</w:t>
      </w:r>
      <w:r>
        <w:t xml:space="preserve"> for the current and proposed clinical algorithms</w:t>
      </w:r>
      <w:r w:rsidR="00901FB5">
        <w:t>, respectively</w:t>
      </w:r>
      <w:r>
        <w:t>.</w:t>
      </w:r>
    </w:p>
    <w:p w14:paraId="1049EF31" w14:textId="77777777" w:rsidR="002A50FD" w:rsidRPr="00881F93" w:rsidRDefault="005C3AE7" w:rsidP="001E343B">
      <w:pPr>
        <w:pStyle w:val="Subtitle"/>
        <w:ind w:left="0"/>
      </w:pPr>
      <w:r>
        <w:t xml:space="preserve">PART 6b – </w:t>
      </w:r>
      <w:r w:rsidR="002A50FD" w:rsidRPr="00881F93">
        <w:t>INFORMATION ABOUT THE INTERVENTION</w:t>
      </w:r>
    </w:p>
    <w:p w14:paraId="7F69E65D"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CB78D80" w14:textId="3D4C9FE8" w:rsidR="002A50FD" w:rsidRDefault="00D424E7" w:rsidP="00E357B9">
      <w:pPr>
        <w:ind w:left="426"/>
        <w:rPr>
          <w:szCs w:val="20"/>
        </w:rPr>
      </w:pPr>
      <w:r>
        <w:rPr>
          <w:szCs w:val="20"/>
        </w:rPr>
        <w:t>The IHC method used antibodies directed against each MMR protein to detect the expression of the proteins in the tumour cells.  Tests are performed on formalin-fixed paraffin-embedded tumour tissue to identify one of four MMR proteins (MLH1, MSH2, MSH6 and PMS2).  Protein expression is scored pos</w:t>
      </w:r>
      <w:r w:rsidR="00A854FB">
        <w:rPr>
          <w:szCs w:val="20"/>
        </w:rPr>
        <w:t>itive if at least one cancer cell nucleus show</w:t>
      </w:r>
      <w:r w:rsidR="000C535F">
        <w:rPr>
          <w:szCs w:val="20"/>
        </w:rPr>
        <w:t>s</w:t>
      </w:r>
      <w:r w:rsidR="00A854FB">
        <w:rPr>
          <w:szCs w:val="20"/>
        </w:rPr>
        <w:t xml:space="preserve"> staining, negative if none of the tumour cells show staining with positive internal control, and not applicable if neither tumour nor stromal cells show protein expression.</w:t>
      </w:r>
    </w:p>
    <w:p w14:paraId="48BC29F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5A2A0A0" w14:textId="5996CEB6" w:rsidR="002A6753" w:rsidRPr="00154B00" w:rsidRDefault="0080738C" w:rsidP="00E357B9">
      <w:pPr>
        <w:ind w:left="426"/>
        <w:rPr>
          <w:szCs w:val="20"/>
        </w:rPr>
      </w:pPr>
      <w:r>
        <w:rPr>
          <w:szCs w:val="20"/>
        </w:rPr>
        <w:t>No</w:t>
      </w:r>
    </w:p>
    <w:p w14:paraId="7AF9074B"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E99BB1D" w14:textId="65139235" w:rsidR="00DF0C51" w:rsidRDefault="001E343B" w:rsidP="00E357B9">
      <w:pPr>
        <w:ind w:left="426"/>
        <w:rPr>
          <w:b/>
          <w:szCs w:val="20"/>
        </w:rPr>
      </w:pPr>
      <w:r>
        <w:t>N/A</w:t>
      </w:r>
    </w:p>
    <w:p w14:paraId="2AAC0C8C" w14:textId="77777777"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56A1580" w14:textId="046AA176" w:rsidR="00CC09D7" w:rsidRPr="00154B00" w:rsidRDefault="0080738C" w:rsidP="00E357B9">
      <w:pPr>
        <w:ind w:left="426"/>
        <w:rPr>
          <w:szCs w:val="20"/>
        </w:rPr>
      </w:pPr>
      <w:r>
        <w:t>Patients are expected to receive one test throughout the course of their disease.  Testing must be performed in an accredited laboratory by a certified pathologist.</w:t>
      </w:r>
    </w:p>
    <w:p w14:paraId="71C7A3A4"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2DDCA1C" w14:textId="6021CAF3" w:rsidR="00791C8D" w:rsidRPr="00154B00" w:rsidRDefault="007D29E7" w:rsidP="00884E69">
      <w:pPr>
        <w:ind w:left="426"/>
        <w:rPr>
          <w:szCs w:val="20"/>
        </w:rPr>
      </w:pPr>
      <w:r>
        <w:t xml:space="preserve">A biopsy or surgical resection is required to obtain tissue for the IHC test.  These procedures are </w:t>
      </w:r>
      <w:r w:rsidR="000B45E0">
        <w:t>part of standard management of endometrial cancer, so they would not be an additional burden to patients.</w:t>
      </w:r>
    </w:p>
    <w:p w14:paraId="619F4DA4"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77272A2" w14:textId="2192792C" w:rsidR="00B17E26" w:rsidRPr="00154B00" w:rsidRDefault="000B45E0" w:rsidP="00884E69">
      <w:pPr>
        <w:ind w:left="426"/>
        <w:rPr>
          <w:szCs w:val="20"/>
        </w:rPr>
      </w:pPr>
      <w:r>
        <w:t>Pathologists will be responsible for del</w:t>
      </w:r>
      <w:r w:rsidR="00E54755">
        <w:t>ivering the MMR IHC test.  If found to be dMMR, treatment with dostarlimab would be managed by medical oncologists.</w:t>
      </w:r>
    </w:p>
    <w:p w14:paraId="3CA47377"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BEE6211" w14:textId="095CC42D" w:rsidR="00B17E26" w:rsidRPr="00154B00" w:rsidRDefault="001E343B" w:rsidP="00884E69">
      <w:pPr>
        <w:ind w:left="426"/>
        <w:rPr>
          <w:szCs w:val="20"/>
        </w:rPr>
      </w:pPr>
      <w:r>
        <w:t>N/A</w:t>
      </w:r>
    </w:p>
    <w:p w14:paraId="5334E4BD"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F381A33" w14:textId="673CE0FA" w:rsidR="00EA0E25" w:rsidRPr="00154B00" w:rsidRDefault="00CC5B7B" w:rsidP="00BC424B">
      <w:pPr>
        <w:ind w:left="426"/>
        <w:rPr>
          <w:szCs w:val="20"/>
        </w:rPr>
      </w:pPr>
      <w:r>
        <w:t xml:space="preserve">Medical oncologists would request the MMR IHC test for the purposes of </w:t>
      </w:r>
      <w:r w:rsidR="008C1D1D">
        <w:t>dostarlimab</w:t>
      </w:r>
      <w:r>
        <w:t xml:space="preserve"> treatment, for the proportion of patients for whom MMR testing was not previously undertaken as part of routine care.</w:t>
      </w:r>
    </w:p>
    <w:p w14:paraId="1651F3D1"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10351DF" w14:textId="68793B62" w:rsidR="00EA0E25" w:rsidRPr="00B2665D" w:rsidRDefault="00B2665D" w:rsidP="0073597B">
      <w:pPr>
        <w:ind w:left="426"/>
        <w:rPr>
          <w:bCs/>
          <w:szCs w:val="20"/>
        </w:rPr>
      </w:pPr>
      <w:r w:rsidRPr="00B2665D">
        <w:rPr>
          <w:bCs/>
        </w:rPr>
        <w:t>IHC testing is a well-established technique in all major pathology labs. Most laboratories already perform the MMR IHC test, either routinely or based on clinician request. Testing must be performed in an accredited laboratory by a certified pathologist.  Laboratories should adhere to the Royal College of Pathologists of Australasia Structured Reporting Protocols.</w:t>
      </w:r>
    </w:p>
    <w:p w14:paraId="5768B3A6"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6C0C6C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0C96106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40089B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3B0688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Public outpatient clinic</w:t>
      </w:r>
    </w:p>
    <w:p w14:paraId="31A6F9A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Emergency Department</w:t>
      </w:r>
    </w:p>
    <w:p w14:paraId="6DC46A1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2327AA5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Private consulting rooms – specialist</w:t>
      </w:r>
    </w:p>
    <w:p w14:paraId="43BE69F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Private consulting rooms – other health practitioner (nurse or allied health)</w:t>
      </w:r>
    </w:p>
    <w:p w14:paraId="7AF37EC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A53303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Private day surgery clinic (non-admitted patient)</w:t>
      </w:r>
    </w:p>
    <w:p w14:paraId="146CC5E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Public day surgery clinic (admitted patient)</w:t>
      </w:r>
    </w:p>
    <w:p w14:paraId="2BF123A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Public day surgery clinic (non-admitted patient)</w:t>
      </w:r>
    </w:p>
    <w:p w14:paraId="5CF1BDB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Residential aged care facility</w:t>
      </w:r>
    </w:p>
    <w:p w14:paraId="410825F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Patient’s home</w:t>
      </w:r>
    </w:p>
    <w:p w14:paraId="70A4702E" w14:textId="232EA776" w:rsidR="000A478F" w:rsidRDefault="00873FD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0A478F">
        <w:rPr>
          <w:szCs w:val="20"/>
        </w:rPr>
        <w:t xml:space="preserve"> </w:t>
      </w:r>
      <w:r w:rsidR="000A478F">
        <w:t>Laboratory</w:t>
      </w:r>
    </w:p>
    <w:p w14:paraId="6F70888C"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315F0">
        <w:rPr>
          <w:szCs w:val="20"/>
        </w:rPr>
      </w:r>
      <w:r w:rsidR="00D315F0">
        <w:rPr>
          <w:szCs w:val="20"/>
        </w:rPr>
        <w:fldChar w:fldCharType="separate"/>
      </w:r>
      <w:r w:rsidRPr="000A5B32">
        <w:rPr>
          <w:szCs w:val="20"/>
        </w:rPr>
        <w:fldChar w:fldCharType="end"/>
      </w:r>
      <w:r>
        <w:rPr>
          <w:szCs w:val="20"/>
        </w:rPr>
        <w:t xml:space="preserve"> </w:t>
      </w:r>
      <w:r>
        <w:t>Other – please specify below</w:t>
      </w:r>
    </w:p>
    <w:p w14:paraId="0C63BA76"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8F4F65D" w14:textId="6290CFDE" w:rsidR="0073597B" w:rsidRDefault="001E343B" w:rsidP="0073597B">
      <w:pPr>
        <w:ind w:left="426"/>
        <w:rPr>
          <w:b/>
          <w:szCs w:val="20"/>
        </w:rPr>
      </w:pPr>
      <w:r>
        <w:t>N/A</w:t>
      </w:r>
    </w:p>
    <w:p w14:paraId="189C4227" w14:textId="77777777" w:rsidR="003E30FB" w:rsidRDefault="003E30FB" w:rsidP="00530204">
      <w:pPr>
        <w:pStyle w:val="Heading2"/>
      </w:pPr>
      <w:r>
        <w:t xml:space="preserve">Is the </w:t>
      </w:r>
      <w:r w:rsidRPr="001B29A1">
        <w:t>proposed</w:t>
      </w:r>
      <w:r>
        <w:t xml:space="preserve"> medical service intended to be entirely rendered in Australia?</w:t>
      </w:r>
    </w:p>
    <w:p w14:paraId="3DA28904" w14:textId="1B5CF869" w:rsidR="000A478F" w:rsidRDefault="00B63922"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0A478F">
        <w:rPr>
          <w:szCs w:val="20"/>
        </w:rPr>
        <w:t xml:space="preserve"> Yes</w:t>
      </w:r>
    </w:p>
    <w:p w14:paraId="1F6F36CC"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315F0">
        <w:rPr>
          <w:szCs w:val="20"/>
        </w:rPr>
      </w:r>
      <w:r w:rsidR="00D315F0">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A2BD8F2" w14:textId="383A1FCB" w:rsidR="000A478F" w:rsidRDefault="000A478F" w:rsidP="00881F93">
      <w:pPr>
        <w:rPr>
          <w:b/>
          <w:i/>
          <w:szCs w:val="20"/>
          <w:u w:val="single"/>
        </w:rPr>
      </w:pPr>
    </w:p>
    <w:p w14:paraId="7F2EA902" w14:textId="77777777" w:rsidR="00E60529" w:rsidRPr="00881F93" w:rsidRDefault="005C3AE7" w:rsidP="001E343B">
      <w:pPr>
        <w:pStyle w:val="Subtitle"/>
        <w:ind w:left="0"/>
      </w:pPr>
      <w:r>
        <w:t xml:space="preserve">PART 6c – </w:t>
      </w:r>
      <w:r w:rsidR="00E60529" w:rsidRPr="00881F93">
        <w:t>INFORMATION ABOUT THE COMPARATOR</w:t>
      </w:r>
      <w:r w:rsidR="00A83EC6" w:rsidRPr="00881F93">
        <w:t>(S)</w:t>
      </w:r>
    </w:p>
    <w:p w14:paraId="3C169D8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AA6EC62" w14:textId="516A0B21" w:rsidR="00E60529" w:rsidRDefault="002D0491" w:rsidP="001B29A1">
      <w:pPr>
        <w:ind w:left="426"/>
      </w:pPr>
      <w:r>
        <w:t>The compar</w:t>
      </w:r>
      <w:r w:rsidR="004B2C41">
        <w:t>ator</w:t>
      </w:r>
      <w:r>
        <w:t>s are:</w:t>
      </w:r>
    </w:p>
    <w:p w14:paraId="690D0CF9" w14:textId="7822EA39" w:rsidR="002D0491" w:rsidRDefault="00900496" w:rsidP="0082770C">
      <w:pPr>
        <w:pStyle w:val="ListParagraph"/>
        <w:numPr>
          <w:ilvl w:val="0"/>
          <w:numId w:val="38"/>
        </w:numPr>
        <w:rPr>
          <w:szCs w:val="20"/>
        </w:rPr>
      </w:pPr>
      <w:r w:rsidRPr="00BC07F5">
        <w:rPr>
          <w:b/>
          <w:bCs/>
          <w:szCs w:val="20"/>
        </w:rPr>
        <w:t>Diagnostic accuracy</w:t>
      </w:r>
      <w:r>
        <w:rPr>
          <w:szCs w:val="20"/>
        </w:rPr>
        <w:t xml:space="preserve"> </w:t>
      </w:r>
      <w:r w:rsidR="00AE0A02">
        <w:rPr>
          <w:szCs w:val="20"/>
        </w:rPr>
        <w:t>–</w:t>
      </w:r>
      <w:r>
        <w:rPr>
          <w:szCs w:val="20"/>
        </w:rPr>
        <w:t xml:space="preserve"> </w:t>
      </w:r>
      <w:r w:rsidR="00AE0A02">
        <w:rPr>
          <w:szCs w:val="20"/>
        </w:rPr>
        <w:t>IHC is the appropriate standard for establish mismatch repair in endom</w:t>
      </w:r>
      <w:r w:rsidR="00CA48A2">
        <w:rPr>
          <w:szCs w:val="20"/>
        </w:rPr>
        <w:t xml:space="preserve">etrial cancer, given the </w:t>
      </w:r>
      <w:r w:rsidR="00B114D8">
        <w:rPr>
          <w:szCs w:val="20"/>
        </w:rPr>
        <w:t>frequency</w:t>
      </w:r>
      <w:r w:rsidR="00CA48A2">
        <w:rPr>
          <w:szCs w:val="20"/>
        </w:rPr>
        <w:t xml:space="preserve"> of MSH6 </w:t>
      </w:r>
      <w:r w:rsidR="00B114D8">
        <w:rPr>
          <w:szCs w:val="20"/>
        </w:rPr>
        <w:t>and</w:t>
      </w:r>
      <w:r w:rsidR="00CA48A2">
        <w:rPr>
          <w:szCs w:val="20"/>
        </w:rPr>
        <w:t xml:space="preserve"> PMS2 mutations as a </w:t>
      </w:r>
      <w:r w:rsidR="00B114D8">
        <w:rPr>
          <w:szCs w:val="20"/>
        </w:rPr>
        <w:t>cause</w:t>
      </w:r>
      <w:r w:rsidR="00CA48A2">
        <w:rPr>
          <w:szCs w:val="20"/>
        </w:rPr>
        <w:t xml:space="preserve"> of dMMR </w:t>
      </w:r>
      <w:r w:rsidR="00B114D8">
        <w:rPr>
          <w:szCs w:val="20"/>
        </w:rPr>
        <w:t xml:space="preserve">in </w:t>
      </w:r>
      <w:r w:rsidR="00CA48A2">
        <w:rPr>
          <w:szCs w:val="20"/>
        </w:rPr>
        <w:t>endometrial cancer and Lynch syndrome (MSAC 2020</w:t>
      </w:r>
      <w:r w:rsidR="009F28D4">
        <w:rPr>
          <w:szCs w:val="20"/>
        </w:rPr>
        <w:t>).</w:t>
      </w:r>
      <w:r w:rsidR="00C10022">
        <w:rPr>
          <w:szCs w:val="20"/>
        </w:rPr>
        <w:t xml:space="preserve">  This supports </w:t>
      </w:r>
      <w:r w:rsidR="00B114D8">
        <w:rPr>
          <w:szCs w:val="20"/>
        </w:rPr>
        <w:t xml:space="preserve">that </w:t>
      </w:r>
      <w:r w:rsidR="00BC07F5">
        <w:rPr>
          <w:szCs w:val="20"/>
        </w:rPr>
        <w:t>no comparison is necessary.</w:t>
      </w:r>
    </w:p>
    <w:p w14:paraId="502D3098" w14:textId="07F0C4EC" w:rsidR="0082770C" w:rsidRDefault="00E1601C" w:rsidP="0082770C">
      <w:pPr>
        <w:pStyle w:val="ListParagraph"/>
        <w:numPr>
          <w:ilvl w:val="0"/>
          <w:numId w:val="38"/>
        </w:numPr>
        <w:rPr>
          <w:szCs w:val="20"/>
        </w:rPr>
      </w:pPr>
      <w:r w:rsidRPr="00BC07F5">
        <w:rPr>
          <w:b/>
          <w:bCs/>
          <w:szCs w:val="20"/>
        </w:rPr>
        <w:t>Therapeutic effectiveness</w:t>
      </w:r>
      <w:r>
        <w:rPr>
          <w:szCs w:val="20"/>
        </w:rPr>
        <w:t>: no ICH dMMR test</w:t>
      </w:r>
      <w:r w:rsidR="0063070E">
        <w:rPr>
          <w:szCs w:val="20"/>
        </w:rPr>
        <w:t>ing plus stand</w:t>
      </w:r>
      <w:r w:rsidR="008A2ABA">
        <w:rPr>
          <w:szCs w:val="20"/>
        </w:rPr>
        <w:t>ard</w:t>
      </w:r>
      <w:r w:rsidR="0063070E">
        <w:rPr>
          <w:szCs w:val="20"/>
        </w:rPr>
        <w:t xml:space="preserve"> of care second-line treatment options</w:t>
      </w:r>
      <w:r w:rsidR="0066699A">
        <w:rPr>
          <w:szCs w:val="20"/>
        </w:rPr>
        <w:t>.</w:t>
      </w:r>
    </w:p>
    <w:p w14:paraId="04E8B079" w14:textId="7E948986" w:rsidR="0096571F" w:rsidRDefault="00B114D8" w:rsidP="0096571F">
      <w:pPr>
        <w:ind w:left="360"/>
        <w:rPr>
          <w:szCs w:val="20"/>
        </w:rPr>
      </w:pPr>
      <w:r>
        <w:rPr>
          <w:szCs w:val="20"/>
        </w:rPr>
        <w:t xml:space="preserve">For comparison 2, </w:t>
      </w:r>
      <w:r w:rsidR="00B34BA3">
        <w:rPr>
          <w:szCs w:val="20"/>
        </w:rPr>
        <w:t>the</w:t>
      </w:r>
      <w:r w:rsidR="00801057">
        <w:rPr>
          <w:szCs w:val="20"/>
        </w:rPr>
        <w:t xml:space="preserve">rapeutic effectiveness </w:t>
      </w:r>
      <w:r w:rsidR="00A42F28">
        <w:rPr>
          <w:szCs w:val="20"/>
        </w:rPr>
        <w:t>of current clinical practice (IHC testing in some</w:t>
      </w:r>
      <w:r w:rsidR="00990302">
        <w:rPr>
          <w:szCs w:val="20"/>
        </w:rPr>
        <w:t xml:space="preserve"> 2L EC</w:t>
      </w:r>
      <w:r w:rsidR="00A42F28">
        <w:rPr>
          <w:szCs w:val="20"/>
        </w:rPr>
        <w:t xml:space="preserve"> patients + SoC in all patients) </w:t>
      </w:r>
      <w:r w:rsidR="00261F70">
        <w:rPr>
          <w:szCs w:val="20"/>
        </w:rPr>
        <w:t xml:space="preserve">to the proposed clinical practice (IHC testing in all </w:t>
      </w:r>
      <w:r w:rsidR="00990302">
        <w:rPr>
          <w:szCs w:val="20"/>
        </w:rPr>
        <w:t xml:space="preserve">2L EC </w:t>
      </w:r>
      <w:r w:rsidR="00261F70">
        <w:rPr>
          <w:szCs w:val="20"/>
        </w:rPr>
        <w:t xml:space="preserve">patients with dMMR patients treated with dostarlimab and </w:t>
      </w:r>
      <w:r w:rsidR="00152DE6">
        <w:rPr>
          <w:szCs w:val="20"/>
        </w:rPr>
        <w:t xml:space="preserve">all remaining patients receiving </w:t>
      </w:r>
      <w:r w:rsidR="001620BB">
        <w:rPr>
          <w:szCs w:val="20"/>
        </w:rPr>
        <w:t>standard of care</w:t>
      </w:r>
      <w:r w:rsidR="002A6415">
        <w:rPr>
          <w:szCs w:val="20"/>
        </w:rPr>
        <w:t>)</w:t>
      </w:r>
      <w:r w:rsidR="00CE6758">
        <w:rPr>
          <w:szCs w:val="20"/>
        </w:rPr>
        <w:t>.</w:t>
      </w:r>
    </w:p>
    <w:p w14:paraId="1D3265A9" w14:textId="6D9FCEA2" w:rsidR="008C63DD" w:rsidRPr="0096571F" w:rsidRDefault="002070DF" w:rsidP="0096571F">
      <w:pPr>
        <w:ind w:left="360"/>
        <w:rPr>
          <w:szCs w:val="20"/>
        </w:rPr>
      </w:pPr>
      <w:r>
        <w:rPr>
          <w:szCs w:val="20"/>
        </w:rPr>
        <w:t xml:space="preserve">Real world </w:t>
      </w:r>
      <w:r w:rsidR="006C0C2B">
        <w:rPr>
          <w:szCs w:val="20"/>
        </w:rPr>
        <w:t>data has been collected in the UK for outcomes from 2</w:t>
      </w:r>
      <w:r w:rsidR="006C0C2B" w:rsidRPr="006C0C2B">
        <w:rPr>
          <w:szCs w:val="20"/>
          <w:vertAlign w:val="superscript"/>
        </w:rPr>
        <w:t>nd</w:t>
      </w:r>
      <w:r w:rsidR="006C0C2B">
        <w:rPr>
          <w:szCs w:val="20"/>
        </w:rPr>
        <w:t>-line treatment which could be used as a comparator</w:t>
      </w:r>
      <w:r w:rsidR="00E56364">
        <w:rPr>
          <w:szCs w:val="20"/>
        </w:rPr>
        <w:t xml:space="preserve">. </w:t>
      </w:r>
      <w:r w:rsidR="001E343B" w:rsidRPr="001E343B">
        <w:rPr>
          <w:b/>
          <w:szCs w:val="20"/>
        </w:rPr>
        <w:t>REDACTED</w:t>
      </w:r>
      <w:r w:rsidR="00A3096B">
        <w:rPr>
          <w:szCs w:val="20"/>
        </w:rPr>
        <w:t xml:space="preserve"> </w:t>
      </w:r>
    </w:p>
    <w:p w14:paraId="00C7545B"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79FBD7FC" w14:textId="581F44F9" w:rsidR="006A1038" w:rsidRDefault="007351D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4D99CFD7" w14:textId="7F643CBB" w:rsidR="000159B9" w:rsidRDefault="007351D4"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6A1038">
        <w:rPr>
          <w:szCs w:val="20"/>
        </w:rPr>
        <w:t xml:space="preserve"> No  </w:t>
      </w:r>
    </w:p>
    <w:p w14:paraId="20C742B3" w14:textId="24AE0892" w:rsidR="000159B9" w:rsidRPr="00154B00" w:rsidRDefault="004A7622" w:rsidP="001B29A1">
      <w:pPr>
        <w:ind w:left="426"/>
        <w:rPr>
          <w:szCs w:val="20"/>
        </w:rPr>
      </w:pPr>
      <w:r w:rsidRPr="004A7622">
        <w:t>MBS Item # 72847</w:t>
      </w:r>
    </w:p>
    <w:p w14:paraId="17568D78"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6E7DF029" w14:textId="24E9C9A1" w:rsidR="003433D1" w:rsidRDefault="00121F83" w:rsidP="001B29A1">
      <w:pPr>
        <w:ind w:left="426"/>
      </w:pPr>
      <w:r>
        <w:t>Patients will undergo a single event of dMMR testing</w:t>
      </w:r>
      <w:r w:rsidR="007B2B94">
        <w:t xml:space="preserve">, either at the time of initial diagnostic work-up or </w:t>
      </w:r>
      <w:r w:rsidR="00F05B61">
        <w:t>on development of recurrent endometrial cancer.</w:t>
      </w:r>
    </w:p>
    <w:p w14:paraId="37E8DCF0" w14:textId="7D61DCB9" w:rsidR="00F05B61" w:rsidRDefault="0010029A" w:rsidP="001B29A1">
      <w:pPr>
        <w:ind w:left="426"/>
        <w:rPr>
          <w:bCs/>
          <w:szCs w:val="20"/>
          <w:lang w:val="en-GB"/>
        </w:rPr>
      </w:pPr>
      <w:r w:rsidRPr="0010029A">
        <w:rPr>
          <w:bCs/>
          <w:szCs w:val="20"/>
          <w:lang w:val="en-GB"/>
        </w:rPr>
        <w:t>Response rates in the setting of progression after first-line platinum-containing regimens are poor, and there is no standard of care.</w:t>
      </w:r>
      <w:r>
        <w:rPr>
          <w:bCs/>
          <w:szCs w:val="20"/>
          <w:lang w:val="en-GB"/>
        </w:rPr>
        <w:t xml:space="preserve">  </w:t>
      </w:r>
      <w:r w:rsidRPr="0010029A">
        <w:rPr>
          <w:bCs/>
          <w:szCs w:val="20"/>
          <w:lang w:val="en-GB"/>
        </w:rPr>
        <w:t>In general, use of chemotherapy in this setting is limited by low response rates and is associated with high rates of toxicity,</w:t>
      </w:r>
      <w:r>
        <w:rPr>
          <w:bCs/>
          <w:szCs w:val="20"/>
          <w:lang w:val="en-GB"/>
        </w:rPr>
        <w:t xml:space="preserve"> </w:t>
      </w:r>
      <w:r w:rsidRPr="0010029A">
        <w:rPr>
          <w:bCs/>
          <w:szCs w:val="20"/>
          <w:lang w:val="en-GB"/>
        </w:rPr>
        <w:t>such as</w:t>
      </w:r>
      <w:r>
        <w:rPr>
          <w:bCs/>
          <w:szCs w:val="20"/>
          <w:lang w:val="en-GB"/>
        </w:rPr>
        <w:t xml:space="preserve"> </w:t>
      </w:r>
      <w:r w:rsidRPr="0010029A">
        <w:rPr>
          <w:bCs/>
          <w:szCs w:val="20"/>
          <w:lang w:val="en-GB"/>
        </w:rPr>
        <w:t>cytopenias</w:t>
      </w:r>
      <w:r>
        <w:rPr>
          <w:bCs/>
          <w:szCs w:val="20"/>
          <w:lang w:val="en-GB"/>
        </w:rPr>
        <w:t xml:space="preserve"> </w:t>
      </w:r>
      <w:r w:rsidRPr="0010029A">
        <w:rPr>
          <w:bCs/>
          <w:szCs w:val="20"/>
          <w:lang w:val="en-GB"/>
        </w:rPr>
        <w:t>and neuropathies.</w:t>
      </w:r>
      <w:r>
        <w:rPr>
          <w:bCs/>
          <w:szCs w:val="20"/>
          <w:lang w:val="en-GB"/>
        </w:rPr>
        <w:t xml:space="preserve"> </w:t>
      </w:r>
      <w:r w:rsidRPr="0010029A">
        <w:rPr>
          <w:bCs/>
          <w:szCs w:val="20"/>
          <w:lang w:val="en-GB"/>
        </w:rPr>
        <w:t xml:space="preserve">Re-administrating </w:t>
      </w:r>
      <w:r w:rsidR="00164EBB">
        <w:rPr>
          <w:bCs/>
          <w:szCs w:val="20"/>
          <w:lang w:val="en-GB"/>
        </w:rPr>
        <w:t>carboplatin</w:t>
      </w:r>
      <w:r w:rsidR="00285184">
        <w:rPr>
          <w:bCs/>
          <w:szCs w:val="20"/>
          <w:lang w:val="en-GB"/>
        </w:rPr>
        <w:t xml:space="preserve"> and paclitaxel </w:t>
      </w:r>
      <w:r w:rsidRPr="0010029A">
        <w:rPr>
          <w:bCs/>
          <w:szCs w:val="20"/>
          <w:lang w:val="en-GB"/>
        </w:rPr>
        <w:t>may be appropriate in patients if there has been a substantial amount of time since the initial administration, usually greater than 6 months; alternatively, various single-agent or combination chemotherapies may be used. Examples of agents used as single or combination therapies include cisplatin, carboplatin, paclitaxel, doxorubicin, liposomal doxorubicin,</w:t>
      </w:r>
      <w:r w:rsidR="00285184">
        <w:rPr>
          <w:bCs/>
          <w:szCs w:val="20"/>
          <w:lang w:val="en-GB"/>
        </w:rPr>
        <w:t xml:space="preserve"> </w:t>
      </w:r>
      <w:r w:rsidRPr="0010029A">
        <w:rPr>
          <w:bCs/>
          <w:szCs w:val="20"/>
          <w:lang w:val="en-GB"/>
        </w:rPr>
        <w:t>ifosfamide, or topotecan.</w:t>
      </w:r>
      <w:r w:rsidR="00C40F5D">
        <w:rPr>
          <w:bCs/>
          <w:szCs w:val="20"/>
          <w:lang w:val="en-GB"/>
        </w:rPr>
        <w:t xml:space="preserve"> </w:t>
      </w:r>
      <w:r w:rsidR="00DF697D">
        <w:rPr>
          <w:bCs/>
          <w:szCs w:val="20"/>
          <w:lang w:val="en-GB"/>
        </w:rPr>
        <w:t xml:space="preserve"> </w:t>
      </w:r>
      <w:r w:rsidR="00C236BC">
        <w:rPr>
          <w:bCs/>
          <w:szCs w:val="20"/>
          <w:lang w:val="en-GB"/>
        </w:rPr>
        <w:t>The m</w:t>
      </w:r>
      <w:r w:rsidR="00DF697D">
        <w:rPr>
          <w:bCs/>
          <w:szCs w:val="20"/>
          <w:lang w:val="en-GB"/>
        </w:rPr>
        <w:t>ost common treatment is doxorubicin.</w:t>
      </w:r>
    </w:p>
    <w:p w14:paraId="4F98F24E" w14:textId="0DB2C59C" w:rsidR="00CD5EF5" w:rsidRDefault="00CD5EF5" w:rsidP="00CD5EF5">
      <w:pPr>
        <w:rPr>
          <w:bCs/>
          <w:szCs w:val="20"/>
          <w:lang w:val="en-GB"/>
        </w:rPr>
      </w:pPr>
    </w:p>
    <w:p w14:paraId="70733E3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027B95A"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315F0">
        <w:rPr>
          <w:szCs w:val="20"/>
        </w:rPr>
      </w:r>
      <w:r w:rsidR="00D315F0">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5EFE69AA" w14:textId="0303574B" w:rsidR="001B29A1" w:rsidRDefault="00B67A46"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612892E5"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6C9849DC" w14:textId="099BA451" w:rsidR="003433D1" w:rsidRPr="001B29A1" w:rsidRDefault="003433D1" w:rsidP="001B29A1">
      <w:pPr>
        <w:ind w:left="426"/>
        <w:rPr>
          <w:szCs w:val="20"/>
        </w:rPr>
      </w:pPr>
    </w:p>
    <w:p w14:paraId="295661A1" w14:textId="77777777"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2B3EA8E5" w14:textId="239FCE65" w:rsidR="00261302" w:rsidRDefault="00261302" w:rsidP="00261302">
      <w:pPr>
        <w:pStyle w:val="ListParagraph"/>
        <w:ind w:left="360"/>
        <w:rPr>
          <w:bCs/>
        </w:rPr>
      </w:pPr>
      <w:r w:rsidRPr="00261302">
        <w:rPr>
          <w:bCs/>
        </w:rPr>
        <w:t xml:space="preserve">If patients are found to be dMMR, they would receive treatment with </w:t>
      </w:r>
      <w:r>
        <w:rPr>
          <w:bCs/>
        </w:rPr>
        <w:t>dostarlimab</w:t>
      </w:r>
      <w:r w:rsidRPr="00261302">
        <w:rPr>
          <w:bCs/>
        </w:rPr>
        <w:t xml:space="preserve"> (</w:t>
      </w:r>
      <w:r w:rsidR="008C416D">
        <w:rPr>
          <w:bCs/>
        </w:rPr>
        <w:t>5</w:t>
      </w:r>
      <w:r w:rsidRPr="00261302">
        <w:rPr>
          <w:bCs/>
        </w:rPr>
        <w:t>00 mg IV every 3 weeks</w:t>
      </w:r>
      <w:r w:rsidR="00EC6A17">
        <w:rPr>
          <w:bCs/>
        </w:rPr>
        <w:t xml:space="preserve"> for the first 4 cycles followed by 1000mg every </w:t>
      </w:r>
      <w:r w:rsidR="001B2764">
        <w:rPr>
          <w:bCs/>
        </w:rPr>
        <w:t>6 weeks thereafter for up to 2 years</w:t>
      </w:r>
      <w:r w:rsidRPr="00261302">
        <w:rPr>
          <w:bCs/>
        </w:rPr>
        <w:t>).  All other patients would continue to receive standard management.</w:t>
      </w:r>
    </w:p>
    <w:p w14:paraId="44BDABDE" w14:textId="77777777" w:rsidR="001B2764" w:rsidRPr="00261302" w:rsidRDefault="001B2764" w:rsidP="00261302">
      <w:pPr>
        <w:pStyle w:val="ListParagraph"/>
        <w:ind w:left="360"/>
        <w:rPr>
          <w:bCs/>
        </w:rPr>
      </w:pPr>
    </w:p>
    <w:p w14:paraId="1DE22CAA" w14:textId="4B2DC641" w:rsidR="00261302" w:rsidRPr="00261302" w:rsidRDefault="00261302" w:rsidP="00261302">
      <w:pPr>
        <w:pStyle w:val="ListParagraph"/>
        <w:ind w:left="360"/>
        <w:rPr>
          <w:bCs/>
        </w:rPr>
      </w:pPr>
      <w:r w:rsidRPr="00261302">
        <w:rPr>
          <w:bCs/>
        </w:rPr>
        <w:t xml:space="preserve">It is hypothesised that treatment with </w:t>
      </w:r>
      <w:r w:rsidR="001B2764">
        <w:rPr>
          <w:bCs/>
        </w:rPr>
        <w:t>dostarlimab</w:t>
      </w:r>
      <w:r w:rsidRPr="00261302">
        <w:rPr>
          <w:bCs/>
        </w:rPr>
        <w:t xml:space="preserve"> will delay disease progression and mortality and may have a superior safety profile.  Therefore, healthcare resource utilisation in the following areas could potentially be reduced: </w:t>
      </w:r>
    </w:p>
    <w:p w14:paraId="08D83693" w14:textId="77777777" w:rsidR="00261302" w:rsidRPr="001B2764" w:rsidRDefault="00261302" w:rsidP="001B2764">
      <w:pPr>
        <w:pStyle w:val="ListParagraph"/>
        <w:numPr>
          <w:ilvl w:val="0"/>
          <w:numId w:val="41"/>
        </w:numPr>
        <w:rPr>
          <w:bCs/>
        </w:rPr>
      </w:pPr>
      <w:r w:rsidRPr="001B2764">
        <w:rPr>
          <w:bCs/>
        </w:rPr>
        <w:t>Adverse event related treatment;</w:t>
      </w:r>
    </w:p>
    <w:p w14:paraId="69B25D72" w14:textId="77777777" w:rsidR="00261302" w:rsidRPr="001B2764" w:rsidRDefault="00261302" w:rsidP="001B2764">
      <w:pPr>
        <w:pStyle w:val="ListParagraph"/>
        <w:numPr>
          <w:ilvl w:val="0"/>
          <w:numId w:val="41"/>
        </w:numPr>
        <w:rPr>
          <w:bCs/>
        </w:rPr>
      </w:pPr>
      <w:r w:rsidRPr="001B2764">
        <w:rPr>
          <w:bCs/>
        </w:rPr>
        <w:t>Ongoing disease management resource utilisation;</w:t>
      </w:r>
    </w:p>
    <w:p w14:paraId="7AB7D985" w14:textId="53B03128" w:rsidR="00261302" w:rsidRPr="001B2764" w:rsidRDefault="00261302" w:rsidP="001B2764">
      <w:pPr>
        <w:pStyle w:val="ListParagraph"/>
        <w:numPr>
          <w:ilvl w:val="0"/>
          <w:numId w:val="41"/>
        </w:numPr>
        <w:rPr>
          <w:bCs/>
        </w:rPr>
      </w:pPr>
      <w:r w:rsidRPr="001B2764">
        <w:rPr>
          <w:bCs/>
        </w:rPr>
        <w:t xml:space="preserve">Post-progression therapy; and  </w:t>
      </w:r>
    </w:p>
    <w:p w14:paraId="71EC15C2" w14:textId="7A20ADDC" w:rsidR="0054594B" w:rsidRPr="001B2764" w:rsidRDefault="00261302" w:rsidP="003C5C6E">
      <w:pPr>
        <w:pStyle w:val="ListParagraph"/>
        <w:numPr>
          <w:ilvl w:val="0"/>
          <w:numId w:val="41"/>
        </w:numPr>
        <w:rPr>
          <w:bCs/>
          <w:szCs w:val="20"/>
        </w:rPr>
      </w:pPr>
      <w:r w:rsidRPr="001B2764">
        <w:rPr>
          <w:bCs/>
        </w:rPr>
        <w:t>Palliative care costs.</w:t>
      </w:r>
    </w:p>
    <w:p w14:paraId="1D97B2F6" w14:textId="217C0776" w:rsidR="001B29A1" w:rsidRDefault="001B29A1" w:rsidP="00881F93">
      <w:pPr>
        <w:rPr>
          <w:b/>
          <w:i/>
          <w:szCs w:val="20"/>
          <w:u w:val="single"/>
        </w:rPr>
      </w:pPr>
    </w:p>
    <w:p w14:paraId="5FB95524" w14:textId="77777777" w:rsidR="00DF0D47" w:rsidRPr="00881F93" w:rsidRDefault="005C3AE7" w:rsidP="001E343B">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640434BF"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C5CFB03" w14:textId="07E24571" w:rsidR="005D3F5E" w:rsidRPr="005D3F5E" w:rsidRDefault="005D3F5E" w:rsidP="005D3F5E">
      <w:pPr>
        <w:ind w:left="426"/>
      </w:pPr>
      <w:r>
        <w:t xml:space="preserve">Testing </w:t>
      </w:r>
      <w:r w:rsidR="002C238E">
        <w:t xml:space="preserve">in all patients </w:t>
      </w:r>
      <w:r w:rsidR="004E3778">
        <w:t>+ d</w:t>
      </w:r>
      <w:r>
        <w:t xml:space="preserve">ostarlimab administered to </w:t>
      </w:r>
      <w:r w:rsidR="00B4711B">
        <w:t xml:space="preserve">dMMR patients and standard of care administered to the remainder </w:t>
      </w:r>
      <w:r>
        <w:t>provides superior effectiveness and safety when compared to no</w:t>
      </w:r>
      <w:r w:rsidR="004E3778">
        <w:t xml:space="preserve"> testing </w:t>
      </w:r>
      <w:r w:rsidR="00B4711B">
        <w:t xml:space="preserve">and standard of care administered to all </w:t>
      </w:r>
      <w:r w:rsidR="009A4B7B">
        <w:t>patients.</w:t>
      </w:r>
    </w:p>
    <w:p w14:paraId="106E18FE"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AC18B8F" w14:textId="5D0E538E" w:rsidR="001B29A1" w:rsidRPr="001B29A1" w:rsidRDefault="00B67A46"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315F0">
        <w:rPr>
          <w:szCs w:val="20"/>
        </w:rPr>
      </w:r>
      <w:r w:rsidR="00D315F0">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E13CB23"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315F0">
        <w:rPr>
          <w:szCs w:val="20"/>
        </w:rPr>
      </w:r>
      <w:r w:rsidR="00D315F0">
        <w:rPr>
          <w:szCs w:val="20"/>
        </w:rPr>
        <w:fldChar w:fldCharType="separate"/>
      </w:r>
      <w:r w:rsidRPr="001B29A1">
        <w:rPr>
          <w:szCs w:val="20"/>
        </w:rPr>
        <w:fldChar w:fldCharType="end"/>
      </w:r>
      <w:r w:rsidRPr="001B29A1">
        <w:rPr>
          <w:szCs w:val="20"/>
        </w:rPr>
        <w:t xml:space="preserve"> Non-inferiority</w:t>
      </w:r>
      <w:r w:rsidRPr="001B29A1">
        <w:rPr>
          <w:szCs w:val="20"/>
        </w:rPr>
        <w:tab/>
      </w:r>
    </w:p>
    <w:p w14:paraId="7864BD8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4BC8C122" w14:textId="452923BB"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564C919A" w14:textId="7D552A06" w:rsidR="009B66AC" w:rsidRDefault="009B66AC" w:rsidP="008F3BB5">
      <w:pPr>
        <w:pBdr>
          <w:top w:val="single" w:sz="4" w:space="1" w:color="auto"/>
          <w:left w:val="single" w:sz="4" w:space="4" w:color="auto"/>
          <w:bottom w:val="single" w:sz="4" w:space="1" w:color="auto"/>
          <w:right w:val="single" w:sz="4" w:space="4" w:color="auto"/>
        </w:pBdr>
        <w:spacing w:before="0" w:after="0"/>
      </w:pPr>
      <w:r>
        <w:t>-</w:t>
      </w:r>
      <w:r w:rsidR="00085F7C">
        <w:t>Serious adverse events</w:t>
      </w:r>
      <w:r w:rsidR="008F3BB5">
        <w:t xml:space="preserve"> (</w:t>
      </w:r>
      <w:r w:rsidR="004E5CF0">
        <w:t>any untoward medical occurrence that results in</w:t>
      </w:r>
      <w:r w:rsidR="001F0DFA">
        <w:t xml:space="preserve"> </w:t>
      </w:r>
      <w:r w:rsidR="004E5CF0">
        <w:t>death</w:t>
      </w:r>
      <w:r w:rsidR="001F0DFA">
        <w:t>, is</w:t>
      </w:r>
      <w:r w:rsidR="008F3BB5">
        <w:t xml:space="preserve"> life-threatening</w:t>
      </w:r>
      <w:r w:rsidR="0059390B">
        <w:t>, result in persistent of significant disability</w:t>
      </w:r>
      <w:r w:rsidR="001F0DFA">
        <w:t xml:space="preserve"> or incapacity</w:t>
      </w:r>
      <w:r w:rsidR="0059390B">
        <w:t>, result i</w:t>
      </w:r>
      <w:r w:rsidR="00623E28">
        <w:t xml:space="preserve">n or prolongs hospitalisation, </w:t>
      </w:r>
      <w:r w:rsidR="00C841EE">
        <w:t>is</w:t>
      </w:r>
      <w:r w:rsidR="00623E28">
        <w:t xml:space="preserve"> a congenital anomaly</w:t>
      </w:r>
      <w:r w:rsidR="00C0205D">
        <w:t>/birth defect, or other important medical event)</w:t>
      </w:r>
    </w:p>
    <w:p w14:paraId="4C7851E6" w14:textId="1A051E0E" w:rsidR="00085F7C" w:rsidRDefault="00085F7C" w:rsidP="008F3BB5">
      <w:pPr>
        <w:pBdr>
          <w:top w:val="single" w:sz="4" w:space="1" w:color="auto"/>
          <w:left w:val="single" w:sz="4" w:space="4" w:color="auto"/>
          <w:bottom w:val="single" w:sz="4" w:space="1" w:color="auto"/>
          <w:right w:val="single" w:sz="4" w:space="4" w:color="auto"/>
        </w:pBdr>
        <w:spacing w:before="0" w:after="0"/>
      </w:pPr>
      <w:r>
        <w:t>-Adverse events</w:t>
      </w:r>
    </w:p>
    <w:p w14:paraId="515EB7E1" w14:textId="0ADC3F32" w:rsidR="00085F7C" w:rsidRDefault="00085F7C" w:rsidP="008F3BB5">
      <w:pPr>
        <w:pBdr>
          <w:top w:val="single" w:sz="4" w:space="1" w:color="auto"/>
          <w:left w:val="single" w:sz="4" w:space="4" w:color="auto"/>
          <w:bottom w:val="single" w:sz="4" w:space="1" w:color="auto"/>
          <w:right w:val="single" w:sz="4" w:space="4" w:color="auto"/>
        </w:pBdr>
        <w:spacing w:before="0" w:after="0"/>
      </w:pPr>
      <w:r>
        <w:t>-Toxicities</w:t>
      </w:r>
    </w:p>
    <w:p w14:paraId="3E7111CB" w14:textId="67E63F50" w:rsidR="00085F7C" w:rsidRDefault="00085F7C" w:rsidP="008F3BB5">
      <w:pPr>
        <w:pBdr>
          <w:top w:val="single" w:sz="4" w:space="1" w:color="auto"/>
          <w:left w:val="single" w:sz="4" w:space="4" w:color="auto"/>
          <w:bottom w:val="single" w:sz="4" w:space="1" w:color="auto"/>
          <w:right w:val="single" w:sz="4" w:space="4" w:color="auto"/>
        </w:pBdr>
        <w:spacing w:before="0" w:after="0"/>
      </w:pPr>
      <w:r>
        <w:t>-Safety of the MMR IHC test (</w:t>
      </w:r>
      <w:r w:rsidR="008F3BB5">
        <w:t>including rates of re-biopsy required for testing</w:t>
      </w:r>
    </w:p>
    <w:p w14:paraId="52288AE2" w14:textId="633C55DC"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1CB6D0F6" w14:textId="12039BE3" w:rsidR="00887A1E" w:rsidRDefault="00887A1E" w:rsidP="00E77753">
      <w:pPr>
        <w:pBdr>
          <w:top w:val="single" w:sz="4" w:space="1" w:color="auto"/>
          <w:left w:val="single" w:sz="4" w:space="4" w:color="auto"/>
          <w:bottom w:val="single" w:sz="4" w:space="1" w:color="auto"/>
          <w:right w:val="single" w:sz="4" w:space="4" w:color="auto"/>
        </w:pBdr>
        <w:spacing w:before="0" w:after="0"/>
      </w:pPr>
      <w:r>
        <w:t>-</w:t>
      </w:r>
      <w:r w:rsidR="001D6F36">
        <w:t>progression free survival (PFS)</w:t>
      </w:r>
      <w:r w:rsidR="00B56A14">
        <w:t xml:space="preserve"> according to RECIST 1.1</w:t>
      </w:r>
    </w:p>
    <w:p w14:paraId="2F801AA6" w14:textId="73A36E70" w:rsidR="00D41548" w:rsidRDefault="00D41548" w:rsidP="00E77753">
      <w:pPr>
        <w:pBdr>
          <w:top w:val="single" w:sz="4" w:space="1" w:color="auto"/>
          <w:left w:val="single" w:sz="4" w:space="4" w:color="auto"/>
          <w:bottom w:val="single" w:sz="4" w:space="1" w:color="auto"/>
          <w:right w:val="single" w:sz="4" w:space="4" w:color="auto"/>
        </w:pBdr>
        <w:spacing w:before="0" w:after="0"/>
      </w:pPr>
      <w:r>
        <w:t>-Objective response rate (ORR) according to RECIST 1.1</w:t>
      </w:r>
    </w:p>
    <w:p w14:paraId="41F44D86" w14:textId="6EEE9D5B" w:rsidR="00B56A14" w:rsidRDefault="00864910" w:rsidP="00E77753">
      <w:pPr>
        <w:pBdr>
          <w:top w:val="single" w:sz="4" w:space="1" w:color="auto"/>
          <w:left w:val="single" w:sz="4" w:space="4" w:color="auto"/>
          <w:bottom w:val="single" w:sz="4" w:space="1" w:color="auto"/>
          <w:right w:val="single" w:sz="4" w:space="4" w:color="auto"/>
        </w:pBdr>
        <w:spacing w:before="0" w:after="0"/>
      </w:pPr>
      <w:r>
        <w:t>-Overall survival (OS)</w:t>
      </w:r>
    </w:p>
    <w:p w14:paraId="5317B0FB" w14:textId="28699CD6" w:rsidR="00864910" w:rsidRDefault="00B4234D" w:rsidP="00E77753">
      <w:pPr>
        <w:pBdr>
          <w:top w:val="single" w:sz="4" w:space="1" w:color="auto"/>
          <w:left w:val="single" w:sz="4" w:space="4" w:color="auto"/>
          <w:bottom w:val="single" w:sz="4" w:space="1" w:color="auto"/>
          <w:right w:val="single" w:sz="4" w:space="4" w:color="auto"/>
        </w:pBdr>
        <w:spacing w:before="0" w:after="0"/>
      </w:pPr>
      <w:r>
        <w:t xml:space="preserve">-Patient reported quality of life outcomes </w:t>
      </w:r>
    </w:p>
    <w:p w14:paraId="7864E8A0"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23D2AE0"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0FA2AAD2"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E7FECCA" w14:textId="7395F6F3" w:rsidR="006C74B1" w:rsidRPr="00154B00" w:rsidRDefault="00397D88" w:rsidP="00AE1188">
      <w:pPr>
        <w:ind w:left="426"/>
        <w:rPr>
          <w:szCs w:val="20"/>
        </w:rPr>
      </w:pPr>
      <w:r>
        <w:t xml:space="preserve">There were </w:t>
      </w:r>
      <w:r w:rsidR="00F0231D">
        <w:t>3</w:t>
      </w:r>
      <w:r w:rsidR="002F48ED">
        <w:t xml:space="preserve">115 cases of uterine cancer, </w:t>
      </w:r>
      <w:r w:rsidR="00AB2B63">
        <w:t>of which 92% would be</w:t>
      </w:r>
      <w:r w:rsidR="002F48ED">
        <w:t xml:space="preserve"> endometrial cancer, diagnosed in Australia in 2019</w:t>
      </w:r>
      <w:r w:rsidR="0057014B">
        <w:t xml:space="preserve"> (AIHW Cancer in Australia)</w:t>
      </w:r>
      <w:r w:rsidR="00642C4B">
        <w:t xml:space="preserve">.  Approximately </w:t>
      </w:r>
      <w:r w:rsidR="00F25DA8">
        <w:t>13</w:t>
      </w:r>
      <w:r w:rsidR="00642C4B">
        <w:t xml:space="preserve">% of endometrial cancers recur </w:t>
      </w:r>
      <w:r w:rsidR="00AF1D1A">
        <w:t>and 18% are diagnosed as advanced or metastatic</w:t>
      </w:r>
      <w:r w:rsidR="00DF7390">
        <w:t>.  Of these</w:t>
      </w:r>
      <w:r w:rsidR="00AF1D1A">
        <w:t xml:space="preserve"> approximately 70% will receive 1L treatment</w:t>
      </w:r>
      <w:r w:rsidR="00DF7390">
        <w:t xml:space="preserve"> which,</w:t>
      </w:r>
      <w:r w:rsidR="000C3F9C">
        <w:t xml:space="preserve"> on</w:t>
      </w:r>
      <w:r w:rsidR="00AF1D1A">
        <w:t xml:space="preserve"> recurrence approximately 40% will receive 2L treatment</w:t>
      </w:r>
      <w:r w:rsidR="006813D7">
        <w:t xml:space="preserve">. </w:t>
      </w:r>
      <w:r w:rsidR="000C3F9C">
        <w:t xml:space="preserve"> This results in approximately 250 </w:t>
      </w:r>
      <w:r w:rsidR="00BD0F21">
        <w:t>cases of EC treated 2L.</w:t>
      </w:r>
      <w:r w:rsidR="002E08A8">
        <w:t xml:space="preserve"> Approximately 30% of these cases will have previous IHC testing</w:t>
      </w:r>
      <w:r w:rsidR="004746FA">
        <w:t>.</w:t>
      </w:r>
    </w:p>
    <w:p w14:paraId="3CABEB8F"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A788F43" w14:textId="17257D29" w:rsidR="00382407" w:rsidRPr="00154B00" w:rsidRDefault="00460CA9" w:rsidP="00AE1188">
      <w:pPr>
        <w:ind w:left="426"/>
        <w:rPr>
          <w:szCs w:val="20"/>
        </w:rPr>
      </w:pPr>
      <w:r>
        <w:t xml:space="preserve">Patients would require only </w:t>
      </w:r>
      <w:r w:rsidR="00CF01AA">
        <w:t>1 test through the course of their disease.</w:t>
      </w:r>
    </w:p>
    <w:p w14:paraId="6E1CCDA9"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20AC1CE" w14:textId="189C637C" w:rsidR="00382407" w:rsidRPr="00154B00" w:rsidRDefault="00310960" w:rsidP="00AE1188">
      <w:pPr>
        <w:ind w:left="426"/>
        <w:rPr>
          <w:b/>
          <w:szCs w:val="20"/>
        </w:rPr>
      </w:pPr>
      <w:r>
        <w:t>The proposed medical service s</w:t>
      </w:r>
      <w:r w:rsidR="00F93BF3">
        <w:t>h</w:t>
      </w:r>
      <w:r>
        <w:t>ould only be required in year 1 (if the patient has not previously had a test or previous results are not available</w:t>
      </w:r>
    </w:p>
    <w:p w14:paraId="51B9EDF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4EA759E" w14:textId="42B0BDF8" w:rsidR="00AE1188" w:rsidRDefault="00AE7C09" w:rsidP="00AE1188">
      <w:pPr>
        <w:ind w:left="426"/>
        <w:rPr>
          <w:szCs w:val="20"/>
        </w:rPr>
      </w:pPr>
      <w:r>
        <w:t>A proportion of patients will already have undergone testing for dMMR as part of routine clinical practice</w:t>
      </w:r>
      <w:r w:rsidR="00DA3F46">
        <w:t xml:space="preserve"> and already occurs relatively frequently in endometrial cancer. </w:t>
      </w:r>
      <w:r w:rsidR="004A19A6">
        <w:t xml:space="preserve"> Approximately 30% of </w:t>
      </w:r>
      <w:r w:rsidR="0066048B">
        <w:t xml:space="preserve">cases will have had prior IHC testing since all suspected Lynch syndrome </w:t>
      </w:r>
      <w:r w:rsidR="008D2108">
        <w:t>cases should be tested.</w:t>
      </w:r>
      <w:r w:rsidR="008D2108" w:rsidRPr="00154B00">
        <w:rPr>
          <w:szCs w:val="20"/>
        </w:rPr>
        <w:t xml:space="preserve"> </w:t>
      </w:r>
    </w:p>
    <w:p w14:paraId="1174AB96" w14:textId="26538DD7" w:rsidR="008D2108" w:rsidRPr="00154B00" w:rsidRDefault="008D2108" w:rsidP="00AE1188">
      <w:pPr>
        <w:ind w:left="426"/>
        <w:rPr>
          <w:szCs w:val="20"/>
        </w:rPr>
      </w:pPr>
      <w:r>
        <w:rPr>
          <w:szCs w:val="20"/>
        </w:rPr>
        <w:t>Thus</w:t>
      </w:r>
      <w:r w:rsidR="00AF698E">
        <w:rPr>
          <w:szCs w:val="20"/>
        </w:rPr>
        <w:t xml:space="preserve"> </w:t>
      </w:r>
      <w:r w:rsidR="009E2EA3">
        <w:rPr>
          <w:szCs w:val="20"/>
        </w:rPr>
        <w:t>75</w:t>
      </w:r>
      <w:r w:rsidR="00AF698E">
        <w:rPr>
          <w:szCs w:val="20"/>
        </w:rPr>
        <w:t xml:space="preserve"> recurrent endometrial cancer cases will have had prior testing, leaving </w:t>
      </w:r>
      <w:r w:rsidR="009E2EA3">
        <w:rPr>
          <w:szCs w:val="20"/>
        </w:rPr>
        <w:t>17</w:t>
      </w:r>
      <w:r w:rsidR="006000C7">
        <w:rPr>
          <w:szCs w:val="20"/>
        </w:rPr>
        <w:t xml:space="preserve">5 cases requiring </w:t>
      </w:r>
      <w:r w:rsidR="00BA19FF">
        <w:rPr>
          <w:szCs w:val="20"/>
        </w:rPr>
        <w:t>additional IHC tests.</w:t>
      </w:r>
    </w:p>
    <w:p w14:paraId="11AF0F4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3EA11AE" w14:textId="1FCD5B9A" w:rsidR="001B171D" w:rsidRPr="00154B00" w:rsidRDefault="00442DFC" w:rsidP="00AE1188">
      <w:pPr>
        <w:ind w:left="426"/>
        <w:rPr>
          <w:szCs w:val="20"/>
        </w:rPr>
      </w:pPr>
      <w:r>
        <w:t>IHC MMR testing is routinely undertaken in Australian laboratories</w:t>
      </w:r>
      <w:r w:rsidR="00213888">
        <w:t>.  It is not envisaged th</w:t>
      </w:r>
      <w:r w:rsidR="00297979">
        <w:t xml:space="preserve">e small increase in tests necessary to identify patients with recurrent endometrial cancer will </w:t>
      </w:r>
      <w:r w:rsidR="00C271B9">
        <w:t>stre</w:t>
      </w:r>
      <w:r w:rsidR="00F57847">
        <w:t xml:space="preserve">tch the capabilities of these laboratories.  It is also unlikely that there will be leakage </w:t>
      </w:r>
      <w:r w:rsidR="00D056F3">
        <w:t xml:space="preserve">to other populations where the benefit of testing is limited to identifying recurrent endometrial cancer </w:t>
      </w:r>
      <w:r w:rsidR="00B70AF3">
        <w:t>which will benefit from treatment with dostarlimab.</w:t>
      </w:r>
    </w:p>
    <w:p w14:paraId="45B4EF7E" w14:textId="77777777" w:rsidR="003433D1" w:rsidRDefault="003433D1">
      <w:pPr>
        <w:rPr>
          <w:b/>
          <w:sz w:val="32"/>
          <w:szCs w:val="32"/>
        </w:rPr>
      </w:pPr>
      <w:r>
        <w:rPr>
          <w:b/>
          <w:sz w:val="32"/>
          <w:szCs w:val="32"/>
        </w:rPr>
        <w:br w:type="page"/>
      </w:r>
    </w:p>
    <w:p w14:paraId="49547FDA"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49B9A82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370F94E" w14:textId="0F1D4CCD" w:rsidR="00220691" w:rsidRPr="00220691" w:rsidRDefault="00220691" w:rsidP="00220691">
      <w:pPr>
        <w:ind w:left="426"/>
        <w:rPr>
          <w:bCs/>
        </w:rPr>
      </w:pPr>
      <w:r w:rsidRPr="00220691">
        <w:rPr>
          <w:bCs/>
        </w:rPr>
        <w:t>The MMR IHC is currently billed to MBS item 72847 (IHC with 4-6 antibodies).  The Medicare fee of $89.40 is not expected to change.</w:t>
      </w:r>
    </w:p>
    <w:p w14:paraId="7275F2AE" w14:textId="601907DD" w:rsidR="00951933" w:rsidRPr="00220691" w:rsidRDefault="00220691" w:rsidP="00220691">
      <w:pPr>
        <w:ind w:left="426"/>
        <w:rPr>
          <w:bCs/>
          <w:szCs w:val="20"/>
        </w:rPr>
      </w:pPr>
      <w:r w:rsidRPr="00220691">
        <w:rPr>
          <w:bCs/>
        </w:rPr>
        <w:t>For patients who already incur an MBS item for IHC testing, expanding the testing to include the 4 MMR proteins may result in a change in the distribution of utilisation of item numbers, with a shift towards item numbers 72849 (7-10 antibodies) and 72850 (11+ antibodies).</w:t>
      </w:r>
    </w:p>
    <w:p w14:paraId="31EBF4B9"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4182C42" w14:textId="67469B0E" w:rsidR="00951933" w:rsidRDefault="00115957" w:rsidP="00AE1188">
      <w:pPr>
        <w:ind w:left="426"/>
        <w:rPr>
          <w:b/>
          <w:szCs w:val="20"/>
        </w:rPr>
      </w:pPr>
      <w:r>
        <w:t>Based on t</w:t>
      </w:r>
      <w:r w:rsidR="00741693">
        <w:t xml:space="preserve">he time reported in previous applications for dMMR testing, a typical IHC MMR test takes </w:t>
      </w:r>
      <w:r w:rsidR="00A67DD2">
        <w:t>10 minutes to perform with results available within 24 hours.</w:t>
      </w:r>
    </w:p>
    <w:p w14:paraId="6E66ABA7" w14:textId="267AB5CB"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4C9CFC18" w14:textId="38C89A24" w:rsidR="00D10375" w:rsidRPr="00D10375" w:rsidRDefault="00D10375" w:rsidP="00D10375">
      <w:pPr>
        <w:ind w:left="360"/>
      </w:pPr>
      <w:r>
        <w:rPr>
          <w:szCs w:val="20"/>
        </w:rPr>
        <w:t>The current wording of item 72847 is adequate to define eligibility for dMMR testing.</w:t>
      </w:r>
    </w:p>
    <w:p w14:paraId="5E0CCC44" w14:textId="77777777" w:rsidR="00AE1188" w:rsidRDefault="00AE1188" w:rsidP="004A0BF4">
      <w:pPr>
        <w:pStyle w:val="Heading2"/>
        <w:numPr>
          <w:ilvl w:val="0"/>
          <w:numId w:val="0"/>
        </w:numPr>
        <w:ind w:left="360"/>
      </w:pPr>
      <w:r>
        <w:br w:type="page"/>
      </w:r>
    </w:p>
    <w:p w14:paraId="6A4DE7F3" w14:textId="137CAE34" w:rsidR="00451840" w:rsidRPr="00F814C7" w:rsidRDefault="00F73796" w:rsidP="00603D04">
      <w:pPr>
        <w:ind w:left="426"/>
        <w:rPr>
          <w:b/>
          <w:bCs/>
          <w:szCs w:val="20"/>
        </w:rPr>
      </w:pPr>
      <w:r w:rsidRPr="00F814C7">
        <w:rPr>
          <w:b/>
          <w:bCs/>
          <w:szCs w:val="20"/>
        </w:rPr>
        <w:lastRenderedPageBreak/>
        <w:t xml:space="preserve">ATTACHMENT 1 – Current </w:t>
      </w:r>
      <w:r w:rsidR="00FB32E6" w:rsidRPr="00F814C7">
        <w:rPr>
          <w:b/>
          <w:bCs/>
          <w:szCs w:val="20"/>
        </w:rPr>
        <w:t xml:space="preserve">clinical </w:t>
      </w:r>
      <w:r w:rsidRPr="00F814C7">
        <w:rPr>
          <w:b/>
          <w:bCs/>
          <w:szCs w:val="20"/>
        </w:rPr>
        <w:t>management</w:t>
      </w:r>
      <w:r w:rsidR="006108C1" w:rsidRPr="00F814C7">
        <w:rPr>
          <w:b/>
          <w:bCs/>
          <w:szCs w:val="20"/>
        </w:rPr>
        <w:t xml:space="preserve"> flowchart</w:t>
      </w:r>
    </w:p>
    <w:p w14:paraId="13A60A1E" w14:textId="527B41B9" w:rsidR="00B30F7B" w:rsidRDefault="009E2EA3" w:rsidP="00603D04">
      <w:pPr>
        <w:ind w:left="426"/>
      </w:pPr>
      <w:r w:rsidRPr="00880648">
        <w:rPr>
          <w:rFonts w:ascii="Calibri" w:eastAsia="Calibri" w:hAnsi="Calibri" w:cs="Times New Roman"/>
          <w:noProof/>
          <w:lang w:eastAsia="en-AU"/>
        </w:rPr>
        <w:drawing>
          <wp:inline distT="0" distB="0" distL="0" distR="0" wp14:anchorId="5D9528C7" wp14:editId="50AC49C2">
            <wp:extent cx="5314950" cy="4629150"/>
            <wp:effectExtent l="0" t="0" r="0" b="0"/>
            <wp:docPr id="4"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314950" cy="4629150"/>
                    </a:xfrm>
                    <a:prstGeom prst="rect">
                      <a:avLst/>
                    </a:prstGeom>
                    <a:noFill/>
                    <a:ln>
                      <a:noFill/>
                    </a:ln>
                  </pic:spPr>
                </pic:pic>
              </a:graphicData>
            </a:graphic>
          </wp:inline>
        </w:drawing>
      </w:r>
    </w:p>
    <w:p w14:paraId="25F73484" w14:textId="77777777" w:rsidR="00B30F7B" w:rsidRDefault="00B30F7B">
      <w:pPr>
        <w:spacing w:before="0" w:after="200" w:line="276" w:lineRule="auto"/>
      </w:pPr>
      <w:r>
        <w:br w:type="page"/>
      </w:r>
    </w:p>
    <w:p w14:paraId="41009B8E" w14:textId="2D0D4901" w:rsidR="009E34EE" w:rsidRPr="00F814C7" w:rsidRDefault="00B30F7B" w:rsidP="00603D04">
      <w:pPr>
        <w:ind w:left="426"/>
        <w:rPr>
          <w:b/>
          <w:bCs/>
        </w:rPr>
      </w:pPr>
      <w:r w:rsidRPr="00F814C7">
        <w:rPr>
          <w:b/>
          <w:bCs/>
          <w:szCs w:val="20"/>
        </w:rPr>
        <w:lastRenderedPageBreak/>
        <w:t xml:space="preserve">ATTACHMENT 2 – Proposed clinical management </w:t>
      </w:r>
      <w:r w:rsidR="009E34EE" w:rsidRPr="00F814C7">
        <w:rPr>
          <w:b/>
          <w:bCs/>
          <w:szCs w:val="20"/>
        </w:rPr>
        <w:t>flowchart</w:t>
      </w:r>
    </w:p>
    <w:p w14:paraId="0CE9943B" w14:textId="1401AFC1" w:rsidR="00BA7E8C" w:rsidRDefault="009E2EA3" w:rsidP="00603D04">
      <w:pPr>
        <w:ind w:left="426"/>
      </w:pPr>
      <w:r w:rsidRPr="00880648">
        <w:rPr>
          <w:rFonts w:ascii="Calibri" w:eastAsia="Calibri" w:hAnsi="Calibri" w:cs="Times New Roman"/>
          <w:noProof/>
          <w:lang w:eastAsia="en-AU"/>
        </w:rPr>
        <w:drawing>
          <wp:inline distT="0" distB="0" distL="0" distR="0" wp14:anchorId="1FC03271" wp14:editId="491CF555">
            <wp:extent cx="5314950" cy="4629150"/>
            <wp:effectExtent l="0" t="0" r="0" b="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314950" cy="4629150"/>
                    </a:xfrm>
                    <a:prstGeom prst="rect">
                      <a:avLst/>
                    </a:prstGeom>
                    <a:noFill/>
                    <a:ln>
                      <a:noFill/>
                    </a:ln>
                  </pic:spPr>
                </pic:pic>
              </a:graphicData>
            </a:graphic>
          </wp:inline>
        </w:drawing>
      </w:r>
    </w:p>
    <w:p w14:paraId="17FF91CF" w14:textId="77777777" w:rsidR="00BA7E8C" w:rsidRDefault="00BA7E8C">
      <w:pPr>
        <w:spacing w:before="0" w:after="200" w:line="276" w:lineRule="auto"/>
      </w:pPr>
      <w:r>
        <w:br w:type="page"/>
      </w:r>
    </w:p>
    <w:p w14:paraId="31BAD408" w14:textId="78375B89" w:rsidR="00AF0B86" w:rsidRDefault="00AF0B86" w:rsidP="00AF0B86">
      <w:pPr>
        <w:rPr>
          <w:b/>
          <w:bCs/>
        </w:rPr>
      </w:pPr>
      <w:r>
        <w:rPr>
          <w:b/>
          <w:bCs/>
        </w:rPr>
        <w:lastRenderedPageBreak/>
        <w:t>ATTACHMENT 3 – Proposed PICO</w:t>
      </w:r>
    </w:p>
    <w:p w14:paraId="27831AF7" w14:textId="5D481783" w:rsidR="00AF0B86" w:rsidRDefault="00AF0B86" w:rsidP="00AF0B86">
      <w:pPr>
        <w:rPr>
          <w:b/>
          <w:bCs/>
        </w:rPr>
      </w:pPr>
      <w:r w:rsidRPr="00172B5F">
        <w:rPr>
          <w:b/>
          <w:bCs/>
        </w:rPr>
        <w:t>DOSTARLIMAB – Co-dependent MSAC/PBAC submission</w:t>
      </w:r>
    </w:p>
    <w:p w14:paraId="6BAE2D53" w14:textId="77777777" w:rsidR="00AF0B86" w:rsidRDefault="00AF0B86" w:rsidP="00AF0B86">
      <w:pPr>
        <w:rPr>
          <w:rStyle w:val="Hyperlink"/>
        </w:rPr>
      </w:pPr>
      <w:r>
        <w:t xml:space="preserve">A PICO has been created for the pembrolizumab submission and is available here: </w:t>
      </w:r>
      <w:hyperlink r:id="rId28" w:history="1">
        <w:r w:rsidRPr="00172B5F">
          <w:rPr>
            <w:rStyle w:val="Hyperlink"/>
          </w:rPr>
          <w:t>1508_Ratified_PICO_accessible (1)</w:t>
        </w:r>
      </w:hyperlink>
      <w:r>
        <w:t xml:space="preserve">.  The pembrolizumab PICO informs much of this document. A position paper evaluating dMMR testing has since been created by MSAC as attached. </w:t>
      </w:r>
      <w:hyperlink r:id="rId29" w:history="1">
        <w:r w:rsidRPr="00172B5F">
          <w:rPr>
            <w:rStyle w:val="Hyperlink"/>
          </w:rPr>
          <w:t>C:\Users\mh48146\OneDrive - GSK\Documents\Dostarlimab\MSAC Review paper - detection of mismatch repair deficiencies.pdf</w:t>
        </w:r>
      </w:hyperlink>
      <w:r>
        <w:rPr>
          <w:rStyle w:val="Hyperlink"/>
        </w:rPr>
        <w:t>.</w:t>
      </w:r>
    </w:p>
    <w:p w14:paraId="140DC0D1" w14:textId="77777777" w:rsidR="00AF0B86" w:rsidRPr="00AF0B86" w:rsidRDefault="00AF0B86" w:rsidP="00AF0B86">
      <w:r w:rsidRPr="00AF0B86">
        <w:t>The MSAC review paper identifies that dMMR detection by IHC is well-established and validated in endometrial cancer conducted in many endometrial cancers, and that IHC testing is recommended to be performed on all endometrial specimens which might indicate Lynch syndrome, that IHC is the appropriate standard for establishing dMMR in endometrial cancer, and there is no consensus on dMMR for prognostic utility.</w:t>
      </w:r>
    </w:p>
    <w:p w14:paraId="6EAAC88C" w14:textId="77777777" w:rsidR="00AF0B86" w:rsidRDefault="00AF0B86" w:rsidP="00AF0B86">
      <w:r w:rsidRPr="00AF0B86">
        <w:t xml:space="preserve">This document has been created utilising information available through the above 2 papers.  </w:t>
      </w:r>
    </w:p>
    <w:p w14:paraId="28DC8CA9" w14:textId="77777777" w:rsidR="00AF0B86" w:rsidRPr="00AF0B86" w:rsidRDefault="00AF0B86" w:rsidP="00AF0B86">
      <w:pPr>
        <w:pStyle w:val="Heading2"/>
        <w:keepNext/>
        <w:keepLines/>
        <w:numPr>
          <w:ilvl w:val="0"/>
          <w:numId w:val="49"/>
        </w:numPr>
        <w:contextualSpacing w:val="0"/>
        <w:jc w:val="both"/>
        <w:rPr>
          <w:rFonts w:eastAsia="SimSun"/>
        </w:rPr>
      </w:pPr>
      <w:r w:rsidRPr="00D03612">
        <w:t>Summary of PICO/PPICO criteria to define the question(s) to be addressed in an Assessment Report to the Medical Services Advisory Committee (MSAC)</w:t>
      </w:r>
    </w:p>
    <w:p w14:paraId="300CF527" w14:textId="77777777" w:rsidR="00AF0B86" w:rsidRPr="007A0CF6" w:rsidRDefault="00AF0B86" w:rsidP="00AF0B86">
      <w:pPr>
        <w:jc w:val="both"/>
        <w:rPr>
          <w:rFonts w:eastAsia="SimSun"/>
          <w:szCs w:val="20"/>
        </w:rPr>
      </w:pPr>
      <w:r w:rsidRPr="007A0CF6">
        <w:rPr>
          <w:rFonts w:eastAsia="SimSun"/>
          <w:szCs w:val="20"/>
        </w:rPr>
        <w:t xml:space="preserve">If direct effectiveness of the intervention cannot be determined, a linked approach may be used. A summary of the PICO criteria to address these are provided below.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for linked evidence"/>
        <w:tblDescription w:val="this is used to define the question(s) to be addressed in an Assessment Report to the Medical Services Advisory Committee (MSAC)"/>
      </w:tblPr>
      <w:tblGrid>
        <w:gridCol w:w="1328"/>
        <w:gridCol w:w="7683"/>
      </w:tblGrid>
      <w:tr w:rsidR="00AF0B86" w:rsidRPr="007A0CF6" w14:paraId="6E355381" w14:textId="77777777" w:rsidTr="0069310B">
        <w:trPr>
          <w:tblHeader/>
        </w:trPr>
        <w:tc>
          <w:tcPr>
            <w:tcW w:w="737" w:type="pct"/>
            <w:tcBorders>
              <w:top w:val="single" w:sz="8" w:space="0" w:color="auto"/>
              <w:bottom w:val="single" w:sz="8" w:space="0" w:color="auto"/>
              <w:right w:val="single" w:sz="4" w:space="0" w:color="auto"/>
            </w:tcBorders>
            <w:shd w:val="clear" w:color="auto" w:fill="D9D9D9"/>
          </w:tcPr>
          <w:p w14:paraId="7C25B720" w14:textId="77777777" w:rsidR="00AF0B86" w:rsidRPr="007A0CF6" w:rsidRDefault="00AF0B86" w:rsidP="0069310B">
            <w:pPr>
              <w:spacing w:before="20" w:after="20"/>
              <w:rPr>
                <w:b/>
              </w:rPr>
            </w:pPr>
            <w:r w:rsidRPr="007A0CF6">
              <w:rPr>
                <w:b/>
              </w:rPr>
              <w:t>Component</w:t>
            </w:r>
          </w:p>
        </w:tc>
        <w:tc>
          <w:tcPr>
            <w:tcW w:w="4263" w:type="pct"/>
            <w:tcBorders>
              <w:top w:val="single" w:sz="4" w:space="0" w:color="auto"/>
              <w:left w:val="single" w:sz="4" w:space="0" w:color="auto"/>
              <w:bottom w:val="single" w:sz="4" w:space="0" w:color="auto"/>
              <w:right w:val="single" w:sz="4" w:space="0" w:color="auto"/>
            </w:tcBorders>
            <w:shd w:val="clear" w:color="auto" w:fill="D9D9D9"/>
          </w:tcPr>
          <w:p w14:paraId="4DEF3E49" w14:textId="77777777" w:rsidR="00AF0B86" w:rsidRPr="007A0CF6" w:rsidRDefault="00AF0B86" w:rsidP="0069310B">
            <w:pPr>
              <w:spacing w:before="20" w:after="20"/>
              <w:jc w:val="both"/>
              <w:rPr>
                <w:b/>
              </w:rPr>
            </w:pPr>
            <w:r w:rsidRPr="007A0CF6">
              <w:rPr>
                <w:b/>
              </w:rPr>
              <w:t>Description</w:t>
            </w:r>
          </w:p>
        </w:tc>
      </w:tr>
      <w:tr w:rsidR="00AF0B86" w:rsidRPr="007A0CF6" w14:paraId="018627B9" w14:textId="77777777" w:rsidTr="0069310B">
        <w:tc>
          <w:tcPr>
            <w:tcW w:w="737" w:type="pct"/>
            <w:tcBorders>
              <w:top w:val="single" w:sz="8" w:space="0" w:color="auto"/>
              <w:right w:val="single" w:sz="4" w:space="0" w:color="auto"/>
            </w:tcBorders>
          </w:tcPr>
          <w:p w14:paraId="0ED165AA" w14:textId="77777777" w:rsidR="00AF0B86" w:rsidRPr="007A0CF6" w:rsidRDefault="00AF0B86" w:rsidP="0069310B">
            <w:pPr>
              <w:spacing w:before="20" w:after="20"/>
              <w:rPr>
                <w:rFonts w:cs="Arial"/>
              </w:rPr>
            </w:pPr>
            <w:r w:rsidRPr="007A0CF6">
              <w:rPr>
                <w:rFonts w:cs="Arial"/>
              </w:rPr>
              <w:t>Patients</w:t>
            </w:r>
          </w:p>
        </w:tc>
        <w:tc>
          <w:tcPr>
            <w:tcW w:w="4263" w:type="pct"/>
            <w:tcBorders>
              <w:top w:val="single" w:sz="4" w:space="0" w:color="auto"/>
              <w:left w:val="single" w:sz="4" w:space="0" w:color="auto"/>
              <w:bottom w:val="single" w:sz="4" w:space="0" w:color="auto"/>
              <w:right w:val="single" w:sz="4" w:space="0" w:color="auto"/>
            </w:tcBorders>
          </w:tcPr>
          <w:p w14:paraId="1235F085" w14:textId="77777777" w:rsidR="00AF0B86" w:rsidRPr="007A0CF6" w:rsidRDefault="00AF0B86" w:rsidP="0069310B">
            <w:pPr>
              <w:spacing w:before="40" w:after="40"/>
              <w:rPr>
                <w:u w:val="single"/>
              </w:rPr>
            </w:pPr>
            <w:r w:rsidRPr="007A0CF6">
              <w:rPr>
                <w:u w:val="single"/>
              </w:rPr>
              <w:t>Testing population:</w:t>
            </w:r>
          </w:p>
          <w:p w14:paraId="3A58D5EA" w14:textId="5A61C8D0" w:rsidR="00AF0B86" w:rsidRPr="007A0CF6" w:rsidRDefault="00AF0B86" w:rsidP="0069310B">
            <w:pPr>
              <w:spacing w:before="40" w:after="40"/>
            </w:pPr>
            <w:r w:rsidRPr="007A0CF6">
              <w:t xml:space="preserve">Patients with </w:t>
            </w:r>
            <w:r w:rsidR="009E2EA3">
              <w:t>recurrent or advanced</w:t>
            </w:r>
            <w:r>
              <w:t xml:space="preserve"> endometrial cancer</w:t>
            </w:r>
            <w:r w:rsidRPr="007A0CF6">
              <w:t xml:space="preserve"> </w:t>
            </w:r>
            <w:r w:rsidRPr="00901F2B">
              <w:t xml:space="preserve">who </w:t>
            </w:r>
            <w:r w:rsidRPr="00EA6655">
              <w:t xml:space="preserve">have progressed following </w:t>
            </w:r>
            <w:r>
              <w:t>first-line</w:t>
            </w:r>
            <w:r w:rsidRPr="00EA6655">
              <w:t xml:space="preserve"> treatment and</w:t>
            </w:r>
            <w:r w:rsidRPr="007A0CF6">
              <w:t xml:space="preserve"> have not already been tested for </w:t>
            </w:r>
            <w:r w:rsidRPr="00901F2B">
              <w:t xml:space="preserve">mismatch repair </w:t>
            </w:r>
            <w:r>
              <w:t>(</w:t>
            </w:r>
            <w:r w:rsidRPr="007A0CF6">
              <w:t>MMR</w:t>
            </w:r>
            <w:r>
              <w:t>) deficiency (dMMR)</w:t>
            </w:r>
          </w:p>
          <w:p w14:paraId="7D13434D" w14:textId="77777777" w:rsidR="00AF0B86" w:rsidRPr="007A0CF6" w:rsidRDefault="00AF0B86" w:rsidP="0069310B">
            <w:pPr>
              <w:keepNext/>
              <w:spacing w:before="40" w:after="40"/>
              <w:rPr>
                <w:u w:val="single"/>
              </w:rPr>
            </w:pPr>
            <w:r w:rsidRPr="007A0CF6">
              <w:rPr>
                <w:u w:val="single"/>
              </w:rPr>
              <w:t>Treatment population:</w:t>
            </w:r>
          </w:p>
          <w:p w14:paraId="6709E43F" w14:textId="6A5B4072" w:rsidR="00AF0B86" w:rsidRPr="007A0CF6" w:rsidRDefault="00AF0B86" w:rsidP="00D315F0">
            <w:pPr>
              <w:spacing w:before="40" w:after="40"/>
            </w:pPr>
            <w:r w:rsidRPr="007A0CF6">
              <w:t xml:space="preserve">Patients with </w:t>
            </w:r>
            <w:r w:rsidR="009E2EA3">
              <w:t>recurrent or advanced</w:t>
            </w:r>
            <w:r w:rsidRPr="00B535F9">
              <w:t xml:space="preserve"> </w:t>
            </w:r>
            <w:bookmarkStart w:id="3" w:name="_GoBack"/>
            <w:bookmarkEnd w:id="3"/>
            <w:r>
              <w:t>endometrial cancer</w:t>
            </w:r>
            <w:r w:rsidRPr="007A0CF6">
              <w:t xml:space="preserve"> who have progressed following </w:t>
            </w:r>
            <w:r>
              <w:t>first-line treatment</w:t>
            </w:r>
          </w:p>
        </w:tc>
      </w:tr>
      <w:tr w:rsidR="00AF0B86" w:rsidRPr="007A0CF6" w14:paraId="3CE0C911" w14:textId="77777777" w:rsidTr="0069310B">
        <w:trPr>
          <w:trHeight w:val="475"/>
        </w:trPr>
        <w:tc>
          <w:tcPr>
            <w:tcW w:w="737" w:type="pct"/>
            <w:tcBorders>
              <w:top w:val="single" w:sz="8" w:space="0" w:color="auto"/>
              <w:right w:val="single" w:sz="4" w:space="0" w:color="auto"/>
            </w:tcBorders>
          </w:tcPr>
          <w:p w14:paraId="12AE87BA" w14:textId="77777777" w:rsidR="00AF0B86" w:rsidRPr="007A0CF6" w:rsidRDefault="00AF0B86" w:rsidP="0069310B">
            <w:pPr>
              <w:spacing w:before="20" w:after="20"/>
              <w:rPr>
                <w:rFonts w:cs="Arial"/>
              </w:rPr>
            </w:pPr>
            <w:r w:rsidRPr="007A0CF6">
              <w:rPr>
                <w:rFonts w:cs="Arial"/>
              </w:rPr>
              <w:t>Prior tests</w:t>
            </w:r>
          </w:p>
        </w:tc>
        <w:tc>
          <w:tcPr>
            <w:tcW w:w="4263" w:type="pct"/>
            <w:tcBorders>
              <w:top w:val="single" w:sz="4" w:space="0" w:color="auto"/>
              <w:left w:val="single" w:sz="4" w:space="0" w:color="auto"/>
              <w:bottom w:val="single" w:sz="4" w:space="0" w:color="auto"/>
              <w:right w:val="single" w:sz="4" w:space="0" w:color="auto"/>
            </w:tcBorders>
          </w:tcPr>
          <w:p w14:paraId="4C99A1CB" w14:textId="77777777" w:rsidR="00AF0B86" w:rsidRPr="007A0CF6" w:rsidRDefault="00AF0B86" w:rsidP="0069310B">
            <w:pPr>
              <w:spacing w:before="40" w:after="40"/>
              <w:rPr>
                <w:rFonts w:cs="Arial"/>
              </w:rPr>
            </w:pPr>
            <w:r w:rsidRPr="007A0CF6">
              <w:rPr>
                <w:rFonts w:cs="Arial"/>
              </w:rPr>
              <w:t>Routine histology, cytology and immunohistochemical (IHC) tests to confirm diagnosis and stage of tumour</w:t>
            </w:r>
          </w:p>
        </w:tc>
      </w:tr>
      <w:tr w:rsidR="00AF0B86" w:rsidRPr="007A0CF6" w14:paraId="6B902279" w14:textId="77777777" w:rsidTr="0069310B">
        <w:tc>
          <w:tcPr>
            <w:tcW w:w="737" w:type="pct"/>
            <w:tcBorders>
              <w:right w:val="single" w:sz="4" w:space="0" w:color="auto"/>
            </w:tcBorders>
          </w:tcPr>
          <w:p w14:paraId="168E6AF1" w14:textId="77777777" w:rsidR="00AF0B86" w:rsidRPr="007A0CF6" w:rsidRDefault="00AF0B86" w:rsidP="0069310B">
            <w:pPr>
              <w:spacing w:before="20" w:after="20"/>
              <w:rPr>
                <w:rFonts w:cs="Arial"/>
              </w:rPr>
            </w:pPr>
            <w:r w:rsidRPr="007A0CF6">
              <w:rPr>
                <w:rFonts w:cs="Arial"/>
              </w:rPr>
              <w:t>Intervention</w:t>
            </w:r>
          </w:p>
        </w:tc>
        <w:tc>
          <w:tcPr>
            <w:tcW w:w="4263" w:type="pct"/>
            <w:tcBorders>
              <w:top w:val="single" w:sz="4" w:space="0" w:color="auto"/>
              <w:left w:val="single" w:sz="4" w:space="0" w:color="auto"/>
              <w:bottom w:val="single" w:sz="4" w:space="0" w:color="auto"/>
              <w:right w:val="single" w:sz="4" w:space="0" w:color="auto"/>
            </w:tcBorders>
          </w:tcPr>
          <w:p w14:paraId="70A96A40" w14:textId="77777777" w:rsidR="00AF0B86" w:rsidRPr="007A0CF6" w:rsidRDefault="00AF0B86" w:rsidP="0069310B">
            <w:pPr>
              <w:spacing w:before="40" w:after="40"/>
            </w:pPr>
            <w:r w:rsidRPr="007A0CF6">
              <w:t xml:space="preserve">IHC </w:t>
            </w:r>
            <w:r>
              <w:t>d</w:t>
            </w:r>
            <w:r w:rsidRPr="007A0CF6">
              <w:t xml:space="preserve">MMR testing using antibodies directed against the four MMR proteins to detect a deficiency for eligibility for treatment with </w:t>
            </w:r>
            <w:r>
              <w:t>dostarlimab</w:t>
            </w:r>
            <w:r w:rsidRPr="007A0CF6">
              <w:t xml:space="preserve"> on progression </w:t>
            </w:r>
            <w:r>
              <w:t>after first-line treatment for</w:t>
            </w:r>
            <w:r w:rsidRPr="007A0CF6">
              <w:t xml:space="preserve"> </w:t>
            </w:r>
            <w:r>
              <w:t xml:space="preserve">unresectable or metastatic </w:t>
            </w:r>
            <w:r w:rsidRPr="007A0CF6">
              <w:t>disease</w:t>
            </w:r>
            <w:r w:rsidRPr="00EA6655">
              <w:t xml:space="preserve">, and standard of care in those </w:t>
            </w:r>
            <w:r>
              <w:t>who are</w:t>
            </w:r>
            <w:r w:rsidRPr="00EA6655">
              <w:t xml:space="preserve"> MMR proficient</w:t>
            </w:r>
          </w:p>
          <w:p w14:paraId="2E5E1D20" w14:textId="77777777" w:rsidR="00AF0B86" w:rsidRPr="007A0CF6" w:rsidRDefault="00AF0B86" w:rsidP="0069310B">
            <w:pPr>
              <w:spacing w:before="40" w:after="40"/>
            </w:pPr>
            <w:r w:rsidRPr="007A0CF6">
              <w:t xml:space="preserve">No IHC </w:t>
            </w:r>
            <w:r>
              <w:t>d</w:t>
            </w:r>
            <w:r w:rsidRPr="007A0CF6">
              <w:t xml:space="preserve">MMR testing plus </w:t>
            </w:r>
            <w:r>
              <w:t>dostarlimab</w:t>
            </w:r>
          </w:p>
        </w:tc>
      </w:tr>
      <w:tr w:rsidR="00AF0B86" w:rsidRPr="007A0CF6" w14:paraId="64B3BB39" w14:textId="77777777" w:rsidTr="0069310B">
        <w:tc>
          <w:tcPr>
            <w:tcW w:w="737" w:type="pct"/>
            <w:tcBorders>
              <w:right w:val="single" w:sz="4" w:space="0" w:color="auto"/>
            </w:tcBorders>
          </w:tcPr>
          <w:p w14:paraId="13877199" w14:textId="77777777" w:rsidR="00AF0B86" w:rsidRPr="007A0CF6" w:rsidRDefault="00AF0B86" w:rsidP="0069310B">
            <w:pPr>
              <w:spacing w:before="20" w:after="20"/>
              <w:rPr>
                <w:rFonts w:cs="Arial"/>
              </w:rPr>
            </w:pPr>
            <w:r w:rsidRPr="007A0CF6">
              <w:rPr>
                <w:rFonts w:cs="Arial"/>
              </w:rPr>
              <w:t>Reference standard</w:t>
            </w:r>
          </w:p>
        </w:tc>
        <w:tc>
          <w:tcPr>
            <w:tcW w:w="4263" w:type="pct"/>
            <w:tcBorders>
              <w:top w:val="single" w:sz="4" w:space="0" w:color="auto"/>
              <w:left w:val="single" w:sz="4" w:space="0" w:color="auto"/>
              <w:bottom w:val="single" w:sz="4" w:space="0" w:color="auto"/>
              <w:right w:val="single" w:sz="4" w:space="0" w:color="auto"/>
            </w:tcBorders>
          </w:tcPr>
          <w:p w14:paraId="4E1DB4F3" w14:textId="77777777" w:rsidR="00AF0B86" w:rsidRPr="002D119A" w:rsidRDefault="00AF0B86" w:rsidP="0069310B">
            <w:pPr>
              <w:spacing w:before="40" w:after="40"/>
            </w:pPr>
            <w:r w:rsidRPr="002D119A">
              <w:t xml:space="preserve">MSAC position paper suggests that IHC is the appropriate standard for establishing mismatch repair in endometrial cancer, given the frequency of MSH6 and PMS2 mutations as a cause of dMMR endometrial cancer and Lynch syndrome).  </w:t>
            </w:r>
          </w:p>
        </w:tc>
      </w:tr>
      <w:tr w:rsidR="00AF0B86" w:rsidRPr="007A0CF6" w14:paraId="1C9B2849" w14:textId="77777777" w:rsidTr="0069310B">
        <w:tc>
          <w:tcPr>
            <w:tcW w:w="737" w:type="pct"/>
            <w:tcBorders>
              <w:right w:val="single" w:sz="4" w:space="0" w:color="auto"/>
            </w:tcBorders>
          </w:tcPr>
          <w:p w14:paraId="5E225797" w14:textId="77777777" w:rsidR="00AF0B86" w:rsidRPr="007A0CF6" w:rsidRDefault="00AF0B86" w:rsidP="0069310B">
            <w:pPr>
              <w:spacing w:before="20" w:after="20"/>
              <w:rPr>
                <w:rFonts w:cs="Arial"/>
              </w:rPr>
            </w:pPr>
            <w:r w:rsidRPr="007A0CF6">
              <w:rPr>
                <w:rFonts w:cs="Arial"/>
              </w:rPr>
              <w:t>Comparator</w:t>
            </w:r>
          </w:p>
        </w:tc>
        <w:tc>
          <w:tcPr>
            <w:tcW w:w="4263" w:type="pct"/>
            <w:tcBorders>
              <w:top w:val="single" w:sz="4" w:space="0" w:color="auto"/>
              <w:left w:val="single" w:sz="4" w:space="0" w:color="auto"/>
              <w:bottom w:val="single" w:sz="4" w:space="0" w:color="auto"/>
              <w:right w:val="single" w:sz="4" w:space="0" w:color="auto"/>
            </w:tcBorders>
          </w:tcPr>
          <w:p w14:paraId="66872C8C" w14:textId="77777777" w:rsidR="00AF0B86" w:rsidRPr="007A0CF6" w:rsidRDefault="00AF0B86" w:rsidP="0069310B">
            <w:pPr>
              <w:spacing w:before="40" w:after="40"/>
            </w:pPr>
            <w:r w:rsidRPr="007A0CF6">
              <w:rPr>
                <w:b/>
              </w:rPr>
              <w:t>Diagnostic accuracy:</w:t>
            </w:r>
            <w:r w:rsidRPr="007A0CF6">
              <w:t xml:space="preserve"> </w:t>
            </w:r>
            <w:r>
              <w:t>M</w:t>
            </w:r>
            <w:r w:rsidRPr="005179FF">
              <w:t>ethylation specific multiple ligation</w:t>
            </w:r>
            <w:r>
              <w:t xml:space="preserve">-dependent probe amplification </w:t>
            </w:r>
            <w:r w:rsidRPr="007A0CF6">
              <w:t xml:space="preserve">to detect hyper-methylation </w:t>
            </w:r>
            <w:r>
              <w:t xml:space="preserve">of the </w:t>
            </w:r>
            <w:r w:rsidRPr="007A0CF6">
              <w:rPr>
                <w:i/>
              </w:rPr>
              <w:t>MLH1</w:t>
            </w:r>
            <w:r>
              <w:t xml:space="preserve"> gene promoter</w:t>
            </w:r>
          </w:p>
          <w:p w14:paraId="6AC4D7E4" w14:textId="77777777" w:rsidR="00AF0B86" w:rsidRPr="007A0CF6" w:rsidRDefault="00AF0B86" w:rsidP="0069310B">
            <w:pPr>
              <w:spacing w:before="40" w:after="40"/>
            </w:pPr>
            <w:r w:rsidRPr="007A0CF6">
              <w:rPr>
                <w:b/>
              </w:rPr>
              <w:t>Therapeutic effectiveness:</w:t>
            </w:r>
            <w:r w:rsidRPr="007A0CF6">
              <w:t xml:space="preserve"> no IHC </w:t>
            </w:r>
            <w:r>
              <w:t>d</w:t>
            </w:r>
            <w:r w:rsidRPr="007A0CF6">
              <w:t>MMR testing plus standard of care</w:t>
            </w:r>
            <w:r>
              <w:t xml:space="preserve"> second-line treatment options, or palliative care if no second-line treatment options are available.  </w:t>
            </w:r>
          </w:p>
        </w:tc>
      </w:tr>
      <w:tr w:rsidR="00AF0B86" w:rsidRPr="007A0CF6" w14:paraId="45A32DA1" w14:textId="77777777" w:rsidTr="0069310B">
        <w:tc>
          <w:tcPr>
            <w:tcW w:w="737" w:type="pct"/>
            <w:tcBorders>
              <w:right w:val="single" w:sz="4" w:space="0" w:color="auto"/>
            </w:tcBorders>
          </w:tcPr>
          <w:p w14:paraId="07654613" w14:textId="77777777" w:rsidR="00AF0B86" w:rsidRPr="007A0CF6" w:rsidRDefault="00AF0B86" w:rsidP="0069310B">
            <w:pPr>
              <w:spacing w:before="20" w:after="20"/>
              <w:rPr>
                <w:rFonts w:cs="Arial"/>
              </w:rPr>
            </w:pPr>
            <w:r w:rsidRPr="007A0CF6">
              <w:rPr>
                <w:rFonts w:cs="Arial"/>
              </w:rPr>
              <w:lastRenderedPageBreak/>
              <w:t>Outcomes</w:t>
            </w:r>
          </w:p>
        </w:tc>
        <w:tc>
          <w:tcPr>
            <w:tcW w:w="4263" w:type="pct"/>
            <w:tcBorders>
              <w:top w:val="single" w:sz="4" w:space="0" w:color="auto"/>
              <w:left w:val="single" w:sz="4" w:space="0" w:color="auto"/>
              <w:bottom w:val="single" w:sz="4" w:space="0" w:color="auto"/>
              <w:right w:val="single" w:sz="4" w:space="0" w:color="auto"/>
            </w:tcBorders>
          </w:tcPr>
          <w:p w14:paraId="533DFA4D" w14:textId="77777777" w:rsidR="00AF0B86" w:rsidRPr="007A0CF6" w:rsidRDefault="00AF0B86" w:rsidP="0069310B">
            <w:pPr>
              <w:keepNext/>
              <w:spacing w:before="40" w:after="40"/>
              <w:rPr>
                <w:rFonts w:eastAsia="SimSun"/>
                <w:szCs w:val="20"/>
              </w:rPr>
            </w:pPr>
            <w:r w:rsidRPr="007A0CF6">
              <w:rPr>
                <w:rFonts w:eastAsia="SimSun"/>
                <w:b/>
                <w:szCs w:val="20"/>
              </w:rPr>
              <w:t xml:space="preserve">Safety: </w:t>
            </w:r>
            <w:r w:rsidRPr="007A0CF6">
              <w:rPr>
                <w:rFonts w:eastAsia="SimSun"/>
                <w:szCs w:val="20"/>
              </w:rPr>
              <w:t>harm related to testing</w:t>
            </w:r>
            <w:r>
              <w:rPr>
                <w:rFonts w:eastAsia="SimSun"/>
                <w:szCs w:val="20"/>
              </w:rPr>
              <w:t xml:space="preserve"> procedure,</w:t>
            </w:r>
            <w:r w:rsidRPr="00CD467D">
              <w:t xml:space="preserve"> </w:t>
            </w:r>
            <w:r w:rsidRPr="004A0347">
              <w:rPr>
                <w:rFonts w:eastAsia="SimSun"/>
                <w:szCs w:val="20"/>
              </w:rPr>
              <w:t>harm due to false-positive or false-negative test result</w:t>
            </w:r>
          </w:p>
          <w:p w14:paraId="0BB84D0B" w14:textId="77777777" w:rsidR="00AF0B86" w:rsidRDefault="00AF0B86" w:rsidP="0069310B">
            <w:pPr>
              <w:keepNext/>
              <w:spacing w:before="40" w:after="40"/>
              <w:rPr>
                <w:rFonts w:eastAsia="SimSun"/>
                <w:szCs w:val="20"/>
              </w:rPr>
            </w:pPr>
            <w:r w:rsidRPr="007A0CF6">
              <w:rPr>
                <w:rFonts w:eastAsia="SimSun"/>
                <w:b/>
                <w:szCs w:val="20"/>
              </w:rPr>
              <w:t xml:space="preserve">Diagnostic </w:t>
            </w:r>
            <w:r>
              <w:rPr>
                <w:rFonts w:eastAsia="SimSun"/>
                <w:b/>
                <w:szCs w:val="20"/>
              </w:rPr>
              <w:t>performance</w:t>
            </w:r>
            <w:r w:rsidRPr="007A0CF6">
              <w:rPr>
                <w:rFonts w:eastAsia="SimSun"/>
                <w:b/>
                <w:szCs w:val="20"/>
              </w:rPr>
              <w:t xml:space="preserve">: </w:t>
            </w:r>
            <w:r w:rsidRPr="00B535F9">
              <w:rPr>
                <w:rFonts w:eastAsia="SimSun"/>
                <w:szCs w:val="20"/>
              </w:rPr>
              <w:t>Sensitivity and specificity (analytical validity)</w:t>
            </w:r>
            <w:r w:rsidRPr="007A0CF6">
              <w:rPr>
                <w:rFonts w:eastAsia="SimSun"/>
                <w:szCs w:val="20"/>
              </w:rPr>
              <w:t>, concor</w:t>
            </w:r>
            <w:r>
              <w:rPr>
                <w:rFonts w:eastAsia="SimSun"/>
                <w:szCs w:val="20"/>
              </w:rPr>
              <w:t>dance, test-retest reliability</w:t>
            </w:r>
          </w:p>
          <w:p w14:paraId="38705625" w14:textId="77777777" w:rsidR="00AF0B86" w:rsidRPr="007A0CF6" w:rsidRDefault="00AF0B86" w:rsidP="0069310B">
            <w:pPr>
              <w:keepNext/>
              <w:spacing w:before="40" w:after="40"/>
              <w:rPr>
                <w:rFonts w:eastAsia="SimSun"/>
                <w:szCs w:val="20"/>
              </w:rPr>
            </w:pPr>
            <w:r>
              <w:rPr>
                <w:rFonts w:eastAsia="SimSun"/>
                <w:b/>
                <w:szCs w:val="20"/>
              </w:rPr>
              <w:t>Clinical validity</w:t>
            </w:r>
            <w:r w:rsidRPr="007A0CF6">
              <w:rPr>
                <w:rFonts w:eastAsia="SimSun"/>
                <w:b/>
                <w:szCs w:val="20"/>
              </w:rPr>
              <w:t>:</w:t>
            </w:r>
            <w:r w:rsidRPr="00CD467D">
              <w:rPr>
                <w:b/>
              </w:rPr>
              <w:t xml:space="preserve"> </w:t>
            </w:r>
            <w:r w:rsidRPr="007A0CF6">
              <w:rPr>
                <w:rFonts w:eastAsia="SimSun"/>
                <w:szCs w:val="20"/>
              </w:rPr>
              <w:t>positive</w:t>
            </w:r>
            <w:r>
              <w:rPr>
                <w:rFonts w:eastAsia="SimSun"/>
                <w:szCs w:val="20"/>
              </w:rPr>
              <w:t xml:space="preserve"> and negative predictive values,</w:t>
            </w:r>
            <w:r w:rsidRPr="00CD467D">
              <w:t xml:space="preserve"> </w:t>
            </w:r>
            <w:r w:rsidRPr="002C663B">
              <w:rPr>
                <w:rFonts w:eastAsia="SimSun"/>
                <w:szCs w:val="20"/>
              </w:rPr>
              <w:t>positive and negative likelihood ratios.</w:t>
            </w:r>
          </w:p>
          <w:p w14:paraId="48A5974B" w14:textId="77777777" w:rsidR="00AF0B86" w:rsidRDefault="00AF0B86" w:rsidP="0069310B">
            <w:pPr>
              <w:keepNext/>
              <w:spacing w:before="40" w:after="40"/>
              <w:rPr>
                <w:rFonts w:eastAsia="SimSun"/>
                <w:szCs w:val="20"/>
              </w:rPr>
            </w:pPr>
            <w:r w:rsidRPr="007A0CF6">
              <w:rPr>
                <w:rFonts w:eastAsia="SimSun"/>
                <w:b/>
                <w:szCs w:val="20"/>
              </w:rPr>
              <w:t xml:space="preserve">Prognosis: </w:t>
            </w:r>
            <w:r w:rsidRPr="007A0CF6">
              <w:rPr>
                <w:rFonts w:eastAsia="SimSun"/>
                <w:szCs w:val="20"/>
              </w:rPr>
              <w:t>prognostic effect of biomarker</w:t>
            </w:r>
          </w:p>
          <w:p w14:paraId="13A9E786" w14:textId="77777777" w:rsidR="00AF0B86" w:rsidRPr="00CD467D" w:rsidRDefault="00AF0B86" w:rsidP="0069310B">
            <w:pPr>
              <w:keepNext/>
              <w:spacing w:before="40" w:after="40"/>
              <w:ind w:right="-57"/>
              <w:rPr>
                <w:b/>
              </w:rPr>
            </w:pPr>
            <w:r>
              <w:rPr>
                <w:rFonts w:eastAsia="SimSun"/>
                <w:b/>
                <w:szCs w:val="20"/>
              </w:rPr>
              <w:t>Clinical utility:</w:t>
            </w:r>
            <w:r w:rsidRPr="00CD467D">
              <w:t xml:space="preserve"> </w:t>
            </w:r>
            <w:r w:rsidRPr="002C663B">
              <w:rPr>
                <w:rFonts w:eastAsia="SimSun"/>
                <w:szCs w:val="20"/>
              </w:rPr>
              <w:t>% change in management plan (e.g. changes in treatment)</w:t>
            </w:r>
          </w:p>
          <w:p w14:paraId="7823B9E5" w14:textId="77777777" w:rsidR="00AF0B86" w:rsidRPr="007A0CF6" w:rsidRDefault="00AF0B86" w:rsidP="0069310B">
            <w:pPr>
              <w:keepNext/>
              <w:spacing w:before="40" w:after="40"/>
              <w:rPr>
                <w:rFonts w:eastAsia="SimSun"/>
                <w:szCs w:val="20"/>
              </w:rPr>
            </w:pPr>
            <w:r w:rsidRPr="007A0CF6">
              <w:rPr>
                <w:rFonts w:eastAsia="SimSun"/>
                <w:b/>
                <w:szCs w:val="20"/>
              </w:rPr>
              <w:t>Therapeutic effectiveness</w:t>
            </w:r>
            <w:r w:rsidRPr="007A0CF6">
              <w:rPr>
                <w:rFonts w:eastAsia="SimSun"/>
                <w:szCs w:val="20"/>
              </w:rPr>
              <w:t>: Critical outcomes: Overall survival, progression-free survival, overall response rate; Important outcomes: Quality of life</w:t>
            </w:r>
          </w:p>
          <w:p w14:paraId="0D9F8B91" w14:textId="77777777" w:rsidR="00AF0B86" w:rsidRPr="007A0CF6" w:rsidRDefault="00AF0B86" w:rsidP="0069310B">
            <w:pPr>
              <w:keepNext/>
              <w:spacing w:before="40" w:after="40"/>
              <w:rPr>
                <w:rFonts w:eastAsia="SimSun"/>
                <w:szCs w:val="20"/>
              </w:rPr>
            </w:pPr>
            <w:r w:rsidRPr="007A0CF6">
              <w:rPr>
                <w:rFonts w:eastAsia="SimSun"/>
                <w:b/>
                <w:szCs w:val="20"/>
              </w:rPr>
              <w:t>Predictive validity</w:t>
            </w:r>
            <w:r w:rsidRPr="007A0CF6">
              <w:rPr>
                <w:rFonts w:eastAsia="SimSun"/>
                <w:szCs w:val="20"/>
              </w:rPr>
              <w:t>: treatment effect modification</w:t>
            </w:r>
          </w:p>
          <w:p w14:paraId="3CB9F971" w14:textId="77777777" w:rsidR="00AF0B86" w:rsidRPr="007A0CF6" w:rsidRDefault="00AF0B86" w:rsidP="0069310B">
            <w:pPr>
              <w:keepNext/>
              <w:spacing w:before="40" w:after="40"/>
              <w:rPr>
                <w:rFonts w:eastAsia="SimSun"/>
                <w:szCs w:val="20"/>
              </w:rPr>
            </w:pPr>
            <w:r w:rsidRPr="007A0CF6">
              <w:rPr>
                <w:rFonts w:eastAsia="SimSun"/>
                <w:b/>
                <w:szCs w:val="20"/>
              </w:rPr>
              <w:t>Cost-effectiveness:</w:t>
            </w:r>
            <w:r w:rsidRPr="007A0CF6">
              <w:rPr>
                <w:rFonts w:eastAsia="SimSun"/>
                <w:szCs w:val="20"/>
              </w:rPr>
              <w:t xml:space="preserve"> Cost, cost per quality adjusted life year</w:t>
            </w:r>
          </w:p>
        </w:tc>
      </w:tr>
      <w:tr w:rsidR="00AF0B86" w:rsidRPr="007A0CF6" w14:paraId="0E0E99D8" w14:textId="77777777" w:rsidTr="0069310B">
        <w:tc>
          <w:tcPr>
            <w:tcW w:w="737" w:type="pct"/>
            <w:tcBorders>
              <w:right w:val="single" w:sz="4" w:space="0" w:color="auto"/>
            </w:tcBorders>
          </w:tcPr>
          <w:p w14:paraId="201A6191" w14:textId="77777777" w:rsidR="00AF0B86" w:rsidRPr="007A0CF6" w:rsidRDefault="00AF0B86" w:rsidP="0069310B">
            <w:pPr>
              <w:spacing w:before="40" w:after="0"/>
              <w:rPr>
                <w:rFonts w:eastAsia="SimSun" w:cs="Tahoma"/>
                <w:szCs w:val="20"/>
                <w:lang w:eastAsia="zh-CN"/>
              </w:rPr>
            </w:pPr>
            <w:r w:rsidRPr="007A0CF6">
              <w:rPr>
                <w:rFonts w:eastAsia="SimSun" w:cs="Tahoma"/>
                <w:szCs w:val="20"/>
                <w:lang w:eastAsia="zh-CN"/>
              </w:rPr>
              <w:t>Linked evidence research questions</w:t>
            </w:r>
          </w:p>
        </w:tc>
        <w:tc>
          <w:tcPr>
            <w:tcW w:w="4263" w:type="pct"/>
            <w:tcBorders>
              <w:top w:val="single" w:sz="4" w:space="0" w:color="auto"/>
              <w:left w:val="single" w:sz="4" w:space="0" w:color="auto"/>
              <w:bottom w:val="single" w:sz="4" w:space="0" w:color="auto"/>
              <w:right w:val="single" w:sz="4" w:space="0" w:color="auto"/>
            </w:tcBorders>
          </w:tcPr>
          <w:p w14:paraId="2F1DB69E" w14:textId="77777777" w:rsidR="00AF0B86" w:rsidRPr="007A0CF6" w:rsidRDefault="00AF0B86" w:rsidP="009E2EA3">
            <w:pPr>
              <w:spacing w:before="40" w:after="40"/>
              <w:rPr>
                <w:rFonts w:eastAsia="SimSun"/>
                <w:szCs w:val="20"/>
              </w:rPr>
            </w:pPr>
            <w:r w:rsidRPr="007A0CF6">
              <w:rPr>
                <w:rFonts w:eastAsia="SimSun"/>
                <w:szCs w:val="20"/>
              </w:rPr>
              <w:t xml:space="preserve">Are there any safety issues associated with IHC </w:t>
            </w:r>
            <w:r>
              <w:rPr>
                <w:rFonts w:eastAsia="SimSun"/>
                <w:szCs w:val="20"/>
              </w:rPr>
              <w:t>d</w:t>
            </w:r>
            <w:r w:rsidRPr="007A0CF6">
              <w:rPr>
                <w:rFonts w:eastAsia="SimSun"/>
                <w:szCs w:val="20"/>
              </w:rPr>
              <w:t>MMR testing?</w:t>
            </w:r>
          </w:p>
          <w:p w14:paraId="21F3950E" w14:textId="77777777" w:rsidR="00AF0B86" w:rsidRPr="007A0CF6" w:rsidRDefault="00AF0B86" w:rsidP="009E2EA3">
            <w:pPr>
              <w:spacing w:before="40" w:after="40"/>
              <w:rPr>
                <w:rFonts w:eastAsia="SimSun"/>
                <w:szCs w:val="20"/>
              </w:rPr>
            </w:pPr>
            <w:r w:rsidRPr="007A0CF6">
              <w:rPr>
                <w:rFonts w:eastAsia="SimSun"/>
                <w:szCs w:val="20"/>
              </w:rPr>
              <w:t xml:space="preserve">What is the diagnostic accuracy of IHC </w:t>
            </w:r>
            <w:r>
              <w:rPr>
                <w:rFonts w:eastAsia="SimSun"/>
                <w:szCs w:val="20"/>
              </w:rPr>
              <w:t>d</w:t>
            </w:r>
            <w:r w:rsidRPr="007A0CF6">
              <w:rPr>
                <w:rFonts w:eastAsia="SimSun"/>
                <w:szCs w:val="20"/>
              </w:rPr>
              <w:t xml:space="preserve">MMR testing compared with the reference standard for determining access to </w:t>
            </w:r>
            <w:r>
              <w:rPr>
                <w:rFonts w:eastAsia="SimSun"/>
                <w:szCs w:val="20"/>
              </w:rPr>
              <w:t>dostarlimab</w:t>
            </w:r>
            <w:r w:rsidRPr="007A0CF6">
              <w:rPr>
                <w:rFonts w:eastAsia="SimSun"/>
                <w:szCs w:val="20"/>
              </w:rPr>
              <w:t xml:space="preserve"> in patients with unresectable or metastatic </w:t>
            </w:r>
            <w:r>
              <w:rPr>
                <w:rFonts w:eastAsia="SimSun"/>
                <w:szCs w:val="20"/>
              </w:rPr>
              <w:t xml:space="preserve">endometrial cancer </w:t>
            </w:r>
            <w:r w:rsidRPr="00DA0572">
              <w:rPr>
                <w:rFonts w:eastAsia="SimSun"/>
                <w:szCs w:val="20"/>
              </w:rPr>
              <w:t xml:space="preserve">who have progressed following </w:t>
            </w:r>
            <w:r>
              <w:rPr>
                <w:rFonts w:eastAsia="SimSun"/>
                <w:szCs w:val="20"/>
              </w:rPr>
              <w:t>first-line</w:t>
            </w:r>
            <w:r w:rsidRPr="00DA0572">
              <w:rPr>
                <w:rFonts w:eastAsia="SimSun"/>
                <w:szCs w:val="20"/>
              </w:rPr>
              <w:t xml:space="preserve"> treatment</w:t>
            </w:r>
            <w:r w:rsidRPr="007A0CF6">
              <w:rPr>
                <w:rFonts w:eastAsia="SimSun"/>
                <w:szCs w:val="20"/>
              </w:rPr>
              <w:t>?</w:t>
            </w:r>
          </w:p>
          <w:p w14:paraId="18AA02C5" w14:textId="77777777" w:rsidR="00AF0B86" w:rsidRPr="007A0CF6" w:rsidRDefault="00AF0B86" w:rsidP="009E2EA3">
            <w:pPr>
              <w:spacing w:before="40" w:after="40"/>
              <w:rPr>
                <w:rFonts w:eastAsia="SimSun"/>
                <w:szCs w:val="20"/>
              </w:rPr>
            </w:pPr>
            <w:r w:rsidRPr="007A0CF6">
              <w:rPr>
                <w:rFonts w:eastAsia="SimSun"/>
                <w:szCs w:val="20"/>
              </w:rPr>
              <w:t xml:space="preserve">Will the extra information generated as a result of IHC </w:t>
            </w:r>
            <w:r>
              <w:rPr>
                <w:rFonts w:eastAsia="SimSun"/>
                <w:szCs w:val="20"/>
              </w:rPr>
              <w:t>d</w:t>
            </w:r>
            <w:r w:rsidRPr="007A0CF6">
              <w:rPr>
                <w:rFonts w:eastAsia="SimSun"/>
                <w:szCs w:val="20"/>
              </w:rPr>
              <w:t xml:space="preserve">MMR testing be of additional prognostic value in patients with </w:t>
            </w:r>
            <w:r>
              <w:rPr>
                <w:rFonts w:eastAsia="SimSun"/>
                <w:szCs w:val="20"/>
              </w:rPr>
              <w:t xml:space="preserve">endometrial cancer </w:t>
            </w:r>
            <w:r w:rsidRPr="00DA0572">
              <w:rPr>
                <w:rFonts w:eastAsia="SimSun"/>
                <w:szCs w:val="20"/>
              </w:rPr>
              <w:t>who have progressed following first-line treatment</w:t>
            </w:r>
            <w:r w:rsidRPr="007A0CF6">
              <w:rPr>
                <w:rFonts w:eastAsia="SimSun"/>
                <w:szCs w:val="20"/>
              </w:rPr>
              <w:t>?</w:t>
            </w:r>
          </w:p>
          <w:p w14:paraId="4D38FA62" w14:textId="77777777" w:rsidR="00AF0B86" w:rsidRPr="007A0CF6" w:rsidRDefault="00AF0B86" w:rsidP="009E2EA3">
            <w:pPr>
              <w:spacing w:before="40" w:after="40"/>
              <w:rPr>
                <w:rFonts w:eastAsia="SimSun"/>
                <w:szCs w:val="20"/>
              </w:rPr>
            </w:pPr>
            <w:r w:rsidRPr="007A0CF6">
              <w:rPr>
                <w:rFonts w:eastAsia="SimSun"/>
                <w:szCs w:val="20"/>
              </w:rPr>
              <w:t xml:space="preserve">Is there a change in management in patients in whom </w:t>
            </w:r>
            <w:r>
              <w:rPr>
                <w:rFonts w:eastAsia="SimSun"/>
                <w:szCs w:val="20"/>
              </w:rPr>
              <w:t>d</w:t>
            </w:r>
            <w:r w:rsidRPr="007A0CF6">
              <w:rPr>
                <w:rFonts w:eastAsia="SimSun"/>
                <w:szCs w:val="20"/>
              </w:rPr>
              <w:t>MMR is diagnosed?</w:t>
            </w:r>
          </w:p>
          <w:p w14:paraId="1DEA71FF" w14:textId="77777777" w:rsidR="00AF0B86" w:rsidRPr="007A0CF6" w:rsidRDefault="00AF0B86" w:rsidP="009E2EA3">
            <w:pPr>
              <w:spacing w:before="40" w:after="40"/>
              <w:rPr>
                <w:rFonts w:eastAsia="SimSun"/>
                <w:szCs w:val="20"/>
              </w:rPr>
            </w:pPr>
            <w:r w:rsidRPr="007A0CF6">
              <w:rPr>
                <w:rFonts w:eastAsia="SimSun"/>
                <w:szCs w:val="20"/>
              </w:rPr>
              <w:t xml:space="preserve">Does treatment with </w:t>
            </w:r>
            <w:r>
              <w:rPr>
                <w:rFonts w:eastAsia="SimSun"/>
                <w:szCs w:val="20"/>
              </w:rPr>
              <w:t>dostarlimab</w:t>
            </w:r>
            <w:r w:rsidRPr="007A0CF6">
              <w:rPr>
                <w:rFonts w:eastAsia="SimSun"/>
                <w:szCs w:val="20"/>
              </w:rPr>
              <w:t xml:space="preserve"> lead to better health outcomes in patients with </w:t>
            </w:r>
            <w:r>
              <w:rPr>
                <w:rFonts w:eastAsia="SimSun"/>
                <w:szCs w:val="20"/>
              </w:rPr>
              <w:t>d</w:t>
            </w:r>
            <w:r w:rsidRPr="007A0CF6">
              <w:rPr>
                <w:rFonts w:eastAsia="SimSun"/>
                <w:szCs w:val="20"/>
              </w:rPr>
              <w:t xml:space="preserve">MMR unresectable or metastatic </w:t>
            </w:r>
            <w:r>
              <w:rPr>
                <w:rFonts w:eastAsia="SimSun"/>
                <w:szCs w:val="20"/>
              </w:rPr>
              <w:t xml:space="preserve">endometrial cancer </w:t>
            </w:r>
            <w:r w:rsidRPr="007A0CF6">
              <w:rPr>
                <w:rFonts w:eastAsia="SimSun"/>
                <w:szCs w:val="20"/>
              </w:rPr>
              <w:t xml:space="preserve">compared with </w:t>
            </w:r>
            <w:r w:rsidRPr="00DA0572">
              <w:rPr>
                <w:rFonts w:eastAsia="SimSun"/>
                <w:szCs w:val="20"/>
              </w:rPr>
              <w:t xml:space="preserve">standard of care </w:t>
            </w:r>
            <w:r>
              <w:rPr>
                <w:rFonts w:eastAsia="SimSun"/>
                <w:szCs w:val="20"/>
              </w:rPr>
              <w:t>second-line treatment options</w:t>
            </w:r>
            <w:r w:rsidRPr="007A0CF6">
              <w:rPr>
                <w:rFonts w:eastAsia="SimSun"/>
                <w:szCs w:val="20"/>
              </w:rPr>
              <w:t>?</w:t>
            </w:r>
          </w:p>
          <w:p w14:paraId="462408CC" w14:textId="77777777" w:rsidR="00AF0B86" w:rsidRPr="007A0CF6" w:rsidRDefault="00AF0B86" w:rsidP="009E2EA3">
            <w:pPr>
              <w:spacing w:before="40" w:after="40"/>
              <w:rPr>
                <w:rFonts w:eastAsia="SimSun"/>
                <w:szCs w:val="20"/>
              </w:rPr>
            </w:pPr>
            <w:r w:rsidRPr="007A0CF6">
              <w:rPr>
                <w:rFonts w:eastAsia="SimSun"/>
                <w:szCs w:val="20"/>
              </w:rPr>
              <w:t xml:space="preserve">Is MMR status a treatment effect modifier? </w:t>
            </w:r>
          </w:p>
          <w:p w14:paraId="6F7246AF" w14:textId="77777777" w:rsidR="00AF0B86" w:rsidRPr="007A0CF6" w:rsidRDefault="00AF0B86" w:rsidP="009E2EA3">
            <w:pPr>
              <w:spacing w:before="40" w:after="40"/>
              <w:rPr>
                <w:rFonts w:eastAsia="SimSun"/>
                <w:szCs w:val="20"/>
              </w:rPr>
            </w:pPr>
            <w:r w:rsidRPr="007A0CF6">
              <w:rPr>
                <w:rFonts w:eastAsia="SimSun"/>
                <w:szCs w:val="20"/>
              </w:rPr>
              <w:t xml:space="preserve">Is IHC </w:t>
            </w:r>
            <w:r>
              <w:rPr>
                <w:rFonts w:eastAsia="SimSun"/>
                <w:szCs w:val="20"/>
              </w:rPr>
              <w:t>d</w:t>
            </w:r>
            <w:r w:rsidRPr="007A0CF6">
              <w:rPr>
                <w:rFonts w:eastAsia="SimSun"/>
                <w:szCs w:val="20"/>
              </w:rPr>
              <w:t xml:space="preserve">MMR testing plus triage to </w:t>
            </w:r>
            <w:r>
              <w:rPr>
                <w:rFonts w:eastAsia="SimSun"/>
                <w:szCs w:val="20"/>
              </w:rPr>
              <w:t>dostarlimab</w:t>
            </w:r>
            <w:r w:rsidRPr="007A0CF6">
              <w:rPr>
                <w:rFonts w:eastAsia="SimSun"/>
                <w:szCs w:val="20"/>
              </w:rPr>
              <w:t xml:space="preserve"> or </w:t>
            </w:r>
            <w:r w:rsidRPr="00DA0572">
              <w:rPr>
                <w:rFonts w:eastAsia="SimSun"/>
                <w:szCs w:val="20"/>
              </w:rPr>
              <w:t>standard of care</w:t>
            </w:r>
            <w:r w:rsidRPr="007A0CF6">
              <w:rPr>
                <w:rFonts w:eastAsia="SimSun"/>
                <w:szCs w:val="20"/>
              </w:rPr>
              <w:t xml:space="preserve"> cost-effectiveness compared with no IHC </w:t>
            </w:r>
            <w:r>
              <w:rPr>
                <w:rFonts w:eastAsia="SimSun"/>
                <w:szCs w:val="20"/>
              </w:rPr>
              <w:t>d</w:t>
            </w:r>
            <w:r w:rsidRPr="007A0CF6">
              <w:rPr>
                <w:rFonts w:eastAsia="SimSun"/>
                <w:szCs w:val="20"/>
              </w:rPr>
              <w:t xml:space="preserve">MMR testing plus </w:t>
            </w:r>
            <w:r w:rsidRPr="00DA0572">
              <w:rPr>
                <w:rFonts w:eastAsia="SimSun"/>
                <w:szCs w:val="20"/>
              </w:rPr>
              <w:t>standard of care</w:t>
            </w:r>
            <w:r w:rsidRPr="007A0CF6">
              <w:rPr>
                <w:rFonts w:eastAsia="SimSun"/>
                <w:szCs w:val="20"/>
              </w:rPr>
              <w:t xml:space="preserve"> for all?</w:t>
            </w:r>
          </w:p>
        </w:tc>
      </w:tr>
    </w:tbl>
    <w:p w14:paraId="6130A718" w14:textId="77777777" w:rsidR="00AF0B86" w:rsidRDefault="00AF0B86" w:rsidP="00AF0B86">
      <w:pPr>
        <w:rPr>
          <w:rFonts w:eastAsia="SimSun"/>
          <w:szCs w:val="20"/>
        </w:rPr>
      </w:pPr>
      <w:r w:rsidRPr="007A0CF6">
        <w:rPr>
          <w:rFonts w:eastAsia="MS Gothic"/>
          <w:bCs/>
          <w:color w:val="000000" w:themeColor="text1"/>
          <w:szCs w:val="26"/>
          <w:vertAlign w:val="superscript"/>
        </w:rPr>
        <w:t>a</w:t>
      </w:r>
      <w:r w:rsidRPr="007A0CF6">
        <w:rPr>
          <w:rFonts w:eastAsia="MS Gothic"/>
          <w:bCs/>
          <w:color w:val="000000" w:themeColor="text1"/>
          <w:szCs w:val="26"/>
        </w:rPr>
        <w:t xml:space="preserve"> </w:t>
      </w:r>
      <w:r w:rsidRPr="007A0CF6">
        <w:rPr>
          <w:rFonts w:eastAsia="SimSun"/>
          <w:color w:val="000000" w:themeColor="text1"/>
          <w:szCs w:val="20"/>
        </w:rPr>
        <w:t xml:space="preserve">Outcomes </w:t>
      </w:r>
      <w:r w:rsidRPr="007A0CF6">
        <w:rPr>
          <w:rFonts w:eastAsia="SimSun"/>
          <w:szCs w:val="20"/>
        </w:rPr>
        <w:t>ranked as recommended by GRADE</w:t>
      </w:r>
    </w:p>
    <w:p w14:paraId="22872354" w14:textId="77777777" w:rsidR="00AF0B86" w:rsidRPr="004526EF" w:rsidRDefault="00AF0B86" w:rsidP="00AF0B86">
      <w:pPr>
        <w:rPr>
          <w:b/>
          <w:bCs/>
        </w:rPr>
      </w:pPr>
      <w:r w:rsidRPr="004526EF">
        <w:rPr>
          <w:b/>
          <w:bCs/>
        </w:rPr>
        <w:t>Population</w:t>
      </w:r>
    </w:p>
    <w:p w14:paraId="35631EAA" w14:textId="77777777" w:rsidR="00AF0B86" w:rsidRPr="007A0CF6" w:rsidRDefault="00AF0B86" w:rsidP="00AF0B86">
      <w:pPr>
        <w:jc w:val="both"/>
      </w:pPr>
      <w:r w:rsidRPr="007A0CF6">
        <w:t xml:space="preserve">The proposed </w:t>
      </w:r>
      <w:r>
        <w:t xml:space="preserve">testing </w:t>
      </w:r>
      <w:r w:rsidRPr="007A0CF6">
        <w:t xml:space="preserve">population are those patients </w:t>
      </w:r>
      <w:r w:rsidRPr="00235E7D">
        <w:t xml:space="preserve">diagnosed with unresectable or metastatic </w:t>
      </w:r>
      <w:r>
        <w:t>endometrial cancer</w:t>
      </w:r>
      <w:r w:rsidRPr="00235E7D">
        <w:t xml:space="preserve"> who have progressed following first-line treatment</w:t>
      </w:r>
      <w:r>
        <w:t>,</w:t>
      </w:r>
      <w:r w:rsidRPr="00235E7D">
        <w:t xml:space="preserve"> and have not already been tested for mismatch repair (MMR) deficiency (dMMR)</w:t>
      </w:r>
      <w:r w:rsidRPr="007A0CF6">
        <w:t xml:space="preserve">. Patients would receive immunohistochemical (IHC) </w:t>
      </w:r>
      <w:r>
        <w:t>d</w:t>
      </w:r>
      <w:r w:rsidRPr="007A0CF6">
        <w:t>MMR</w:t>
      </w:r>
      <w:r>
        <w:t xml:space="preserve"> </w:t>
      </w:r>
      <w:r w:rsidRPr="007A0CF6">
        <w:t xml:space="preserve">testing using antibodies directed against the four mismatch repair proteins to determine eligibility for treatment with </w:t>
      </w:r>
      <w:r>
        <w:t>dostarlimab</w:t>
      </w:r>
      <w:r w:rsidRPr="007A0CF6">
        <w:t>, on progression to unresectable or metastatic disease.</w:t>
      </w:r>
      <w:r>
        <w:t xml:space="preserve"> </w:t>
      </w:r>
    </w:p>
    <w:p w14:paraId="369C2EBC" w14:textId="77777777" w:rsidR="00AF0B86" w:rsidRDefault="00AF0B86" w:rsidP="00AF0B86">
      <w:pPr>
        <w:jc w:val="both"/>
      </w:pPr>
      <w:r w:rsidRPr="007A0CF6">
        <w:t xml:space="preserve">The MMR system is mainly composed of four proteins (MLH1, MSH2, MSH6 and PMS2) interacting together to recognize DNA mismatches that may occur during DNA replication and excising them </w:t>
      </w:r>
      <w:r>
        <w:fldChar w:fldCharType="begin"/>
      </w:r>
      <w:r>
        <w:instrText xml:space="preserve"> ADDIN EN.CITE &lt;EndNote&gt;&lt;Cite&gt;&lt;Author&gt;Buecher&lt;/Author&gt;&lt;Year&gt;2013&lt;/Year&gt;&lt;RecNum&gt;11&lt;/RecNum&gt;&lt;DisplayText&gt;(Buecher et al. 2013)&lt;/DisplayText&gt;&lt;record&gt;&lt;rec-number&gt;11&lt;/rec-number&gt;&lt;foreign-keys&gt;&lt;key app="EN" db-id="as9sdrfwoaw9fce5xr9pew9gz9epate29xvw" timestamp="1504660925"&gt;11&lt;/key&gt;&lt;/foreign-keys&gt;&lt;ref-type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fldChar w:fldCharType="separate"/>
      </w:r>
      <w:r>
        <w:rPr>
          <w:noProof/>
        </w:rPr>
        <w:t>(Buecher et al. 2013)</w:t>
      </w:r>
      <w:r>
        <w:fldChar w:fldCharType="end"/>
      </w:r>
      <w:r w:rsidRPr="007A0CF6">
        <w:t>. Microsatellites are short tandem DNA repeat sequences of 1–6 bases distributed throughout the coding and non-coding regions of the genome and are especially prone to replication errors that are normall</w:t>
      </w:r>
      <w:r>
        <w:t>y repaired by the MMR system. A</w:t>
      </w:r>
      <w:r w:rsidRPr="007A0CF6">
        <w:t xml:space="preserve"> </w:t>
      </w:r>
      <w:r>
        <w:t>d</w:t>
      </w:r>
      <w:r w:rsidRPr="007A0CF6">
        <w:t xml:space="preserve">MMR results in a cancer with a 10- to 100-fold increase in the mutation rate and leads to the accumulation of frameshift mutations in microsatellites, which results in a genetic instability </w:t>
      </w:r>
      <w:r>
        <w:fldChar w:fldCharType="begin">
          <w:fldData xml:space="preserve">PEVuZE5vdGU+PENpdGU+PEF1dGhvcj5CdWVjaGVyPC9BdXRob3I+PFllYXI+MjAxMzwvWWVhcj48
UmVjTnVtPjExPC9SZWNOdW0+PERpc3BsYXlUZXh0PihCdWVjaGVyIGV0IGFsLiAyMDEzOyBEdWRs
ZXkgZXQgYWwuIDIwMTYpPC9EaXNwbGF5VGV4dD48cmVjb3JkPjxyZWMtbnVtYmVyPjExPC9yZWMt
bnVtYmVyPjxmb3JlaWduLWtleXM+PGtleSBhcHA9IkVOIiBkYi1pZD0iYXM5c2RyZndvYXc5ZmNl
NXhyOXBldzlnejllcGF0ZTI5eHZ3IiB0aW1lc3RhbXA9IjE1MDQ2NjA5MjUiPjExPC9rZXk+PC9m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MTY8L1llYXI+PFJlY051bT4xMjwvUmVjTnVtPjxyZWNvcmQ+PHJlYy1udW1iZXI+MTI8L3JlYy1u
dW1iZXI+PGZvcmVpZ24ta2V5cz48a2V5IGFwcD0iRU4iIGRiLWlkPSJhczlzZHJmd29hdzlmY2U1
eHI5cGV3OWd6OWVwYXRlMjl4dnciIHRpbWVzdGFtcD0iMTUwNDY2MDk1OSI+MTI8L2tleT48L2Zv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instrText xml:space="preserve"> ADDIN EN.CITE </w:instrText>
      </w:r>
      <w:r>
        <w:fldChar w:fldCharType="begin">
          <w:fldData xml:space="preserve">PEVuZE5vdGU+PENpdGU+PEF1dGhvcj5CdWVjaGVyPC9BdXRob3I+PFllYXI+MjAxMzwvWWVhcj48
UmVjTnVtPjExPC9SZWNOdW0+PERpc3BsYXlUZXh0PihCdWVjaGVyIGV0IGFsLiAyMDEzOyBEdWRs
ZXkgZXQgYWwuIDIwMTYpPC9EaXNwbGF5VGV4dD48cmVjb3JkPjxyZWMtbnVtYmVyPjExPC9yZWMt
bnVtYmVyPjxmb3JlaWduLWtleXM+PGtleSBhcHA9IkVOIiBkYi1pZD0iYXM5c2RyZndvYXc5ZmNl
NXhyOXBldzlnejllcGF0ZTI5eHZ3IiB0aW1lc3RhbXA9IjE1MDQ2NjA5MjUiPjExPC9rZXk+PC9m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MTY8L1llYXI+PFJlY051bT4xMjwvUmVjTnVtPjxyZWNvcmQ+PHJlYy1udW1iZXI+MTI8L3JlYy1u
dW1iZXI+PGZvcmVpZ24ta2V5cz48a2V5IGFwcD0iRU4iIGRiLWlkPSJhczlzZHJmd29hdzlmY2U1
eHI5cGV3OWd6OWVwYXRlMjl4dnciIHRpbWVzdGFtcD0iMTUwNDY2MDk1OSI+MTI8L2tleT48L2Zv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instrText xml:space="preserve"> ADDIN EN.CITE.DATA </w:instrText>
      </w:r>
      <w:r>
        <w:fldChar w:fldCharType="end"/>
      </w:r>
      <w:r>
        <w:fldChar w:fldCharType="separate"/>
      </w:r>
      <w:r>
        <w:rPr>
          <w:noProof/>
        </w:rPr>
        <w:t>(Buecher et al. 2013; Dudley et al. 2016)</w:t>
      </w:r>
      <w:r>
        <w:fldChar w:fldCharType="end"/>
      </w:r>
      <w:r w:rsidRPr="007A0CF6">
        <w:t xml:space="preserve">. Microsatellite </w:t>
      </w:r>
      <w:r>
        <w:t>i</w:t>
      </w:r>
      <w:r w:rsidRPr="007A0CF6">
        <w:t xml:space="preserve">nstability (MSI) arises from either a germline (hereditary) mutation in one copy of any of the four genes that encode the MMR proteins (Lynch syndrome), or from sporadic somatic hyper-methylation of the </w:t>
      </w:r>
      <w:r w:rsidRPr="007A0CF6">
        <w:rPr>
          <w:i/>
        </w:rPr>
        <w:t>MLH1</w:t>
      </w:r>
      <w:r w:rsidRPr="007A0CF6">
        <w:t xml:space="preserve"> promoter </w:t>
      </w:r>
      <w:r>
        <w:fldChar w:fldCharType="begin"/>
      </w:r>
      <w:r>
        <w:instrText xml:space="preserve"> ADDIN EN.CITE &lt;EndNote&gt;&lt;Cite&gt;&lt;Author&gt;Dudley&lt;/Author&gt;&lt;Year&gt;2016&lt;/Year&gt;&lt;RecNum&gt;12&lt;/RecNum&gt;&lt;DisplayText&gt;(Dudley et al. 2016)&lt;/DisplayText&gt;&lt;record&gt;&lt;rec-number&gt;12&lt;/rec-number&gt;&lt;foreign-keys&gt;&lt;key app="EN" db-id="as9sdrfwoaw9fce5xr9pew9gz9epate29xvw" timestamp="1504660959"&gt;12&lt;/key&gt;&lt;/foreign-keys&gt;&lt;ref-type name="Journal Article"&gt;17&lt;/ref-type&gt;&lt;contributors&gt;&lt;authors&gt;&lt;author&gt;Dudley, J. C.&lt;/author&gt;&lt;author&gt;Lin, M. T.&lt;/author&gt;&lt;author&gt;Le, D. T.&lt;/author&gt;&lt;author&gt;Eshleman, J. R.&lt;/author&gt;&lt;/authors&gt;&lt;/contributors&gt;&lt;auth-address&gt;Department of Pathology, Massachusetts General Hospital, Boston, Massachusetts.&amp;#xD;Department of Pathology, Johns Hopkins University School of Medicine, Baltimore, Maryland.&amp;#xD;Department of Oncology, Johns Hopkins University School of Medicine, Baltimore, Maryland.&amp;#xD;Department of Pathology, Johns Hopkins University School of Medicine, Baltimore, Maryland. Department of Oncology, Johns Hopkins University School of Medicine, Baltimore, Maryland. jeshlem@jhmi.edu.&lt;/auth-address&gt;&lt;titles&gt;&lt;title&gt;Microsatellite Instability as a Biomarker for PD-1 Blockade&lt;/title&gt;&lt;secondary-title&gt;Clin Cancer Res&lt;/secondary-title&gt;&lt;/titles&gt;&lt;periodical&gt;&lt;full-title&gt;Clin Cancer Res&lt;/full-title&gt;&lt;/periodical&gt;&lt;pages&gt;813-20&lt;/pages&gt;&lt;volume&gt;22&lt;/volume&gt;&lt;number&gt;4&lt;/number&gt;&lt;edition&gt;2016/02/18&lt;/edition&gt;&lt;dates&gt;&lt;year&gt;2016&lt;/year&gt;&lt;pub-dates&gt;&lt;date&gt;Feb 15&lt;/date&gt;&lt;/pub-dates&gt;&lt;/dates&gt;&lt;isbn&gt;1078-0432 (Print)&amp;#xD;1078-0432 (Linking)&lt;/isbn&gt;&lt;accession-num&gt;26880610&lt;/accession-num&gt;&lt;urls&gt;&lt;related-urls&gt;&lt;url&gt;http://clincancerres.aacrjournals.org/content/clincanres/22/4/813.full.pdf&lt;/url&gt;&lt;/related-urls&gt;&lt;/urls&gt;&lt;electronic-resource-num&gt;10.1158/1078-0432.ccr-15-1678&lt;/electronic-resource-num&gt;&lt;remote-database-provider&gt;NLM&lt;/remote-database-provider&gt;&lt;language&gt;eng&lt;/language&gt;&lt;/record&gt;&lt;/Cite&gt;&lt;/EndNote&gt;</w:instrText>
      </w:r>
      <w:r>
        <w:fldChar w:fldCharType="separate"/>
      </w:r>
      <w:r>
        <w:rPr>
          <w:noProof/>
        </w:rPr>
        <w:t>(Dudley et al. 2016)</w:t>
      </w:r>
      <w:r>
        <w:fldChar w:fldCharType="end"/>
      </w:r>
      <w:r w:rsidRPr="007A0CF6">
        <w:t xml:space="preserve">. Homozygous or compound heterozygous mutation in these genes leads to childhood cancer syndromes, such as Turcot syndrome. Turcot syndrome is clinically characterized by the early occurrence of primary brain and colorectal tumours </w:t>
      </w:r>
      <w:r>
        <w:fldChar w:fldCharType="begin"/>
      </w:r>
      <w:r>
        <w:instrText xml:space="preserve"> ADDIN EN.CITE &lt;EndNote&gt;&lt;Cite&gt;&lt;Author&gt;Scarpa&lt;/Author&gt;&lt;Year&gt;2016&lt;/Year&gt;&lt;RecNum&gt;7&lt;/RecNum&gt;&lt;DisplayText&gt;(Scarpa, Cataldo &amp;amp; Salvatore 2016)&lt;/DisplayText&gt;&lt;record&gt;&lt;rec-number&gt;7&lt;/rec-number&gt;&lt;foreign-keys&gt;&lt;key app="EN" db-id="as9sdrfwoaw9fce5xr9pew9gz9epate29xvw" timestamp="1504597013"&gt;7&lt;/key&gt;&lt;/foreign-keys&gt;&lt;ref-type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fldChar w:fldCharType="separate"/>
      </w:r>
      <w:r>
        <w:rPr>
          <w:noProof/>
        </w:rPr>
        <w:t>(Scarpa, Cataldo &amp; Salvatore 2016)</w:t>
      </w:r>
      <w:r>
        <w:fldChar w:fldCharType="end"/>
      </w:r>
      <w:r w:rsidRPr="007A0CF6">
        <w:t>.</w:t>
      </w:r>
    </w:p>
    <w:p w14:paraId="20B9A702" w14:textId="77777777" w:rsidR="00AF0B86" w:rsidRPr="007A0CF6" w:rsidRDefault="00AF0B86" w:rsidP="00AF0B86">
      <w:pPr>
        <w:jc w:val="both"/>
      </w:pPr>
      <w:r w:rsidRPr="007A0CF6">
        <w:t xml:space="preserve">Solid </w:t>
      </w:r>
      <w:r>
        <w:t>d</w:t>
      </w:r>
      <w:r w:rsidRPr="007A0CF6">
        <w:t xml:space="preserve">MMR tumours occur in many different parts of the body. Tumours likely to be included would include those associated with Lynch syndrome. </w:t>
      </w:r>
      <w:r w:rsidRPr="007A0CF6">
        <w:fldChar w:fldCharType="begin"/>
      </w:r>
      <w:r w:rsidRPr="007A0CF6">
        <w:instrText xml:space="preserve"> REF _Ref492458785 \h </w:instrText>
      </w:r>
      <w:r w:rsidRPr="007A0CF6">
        <w:fldChar w:fldCharType="separate"/>
      </w:r>
      <w:r w:rsidRPr="007A0CF6">
        <w:t xml:space="preserve">Table </w:t>
      </w:r>
      <w:r w:rsidRPr="007A0CF6">
        <w:rPr>
          <w:noProof/>
        </w:rPr>
        <w:t>1</w:t>
      </w:r>
      <w:r w:rsidRPr="007A0CF6">
        <w:fldChar w:fldCharType="end"/>
      </w:r>
      <w:r w:rsidRPr="007A0CF6">
        <w:t xml:space="preserve"> summarises the </w:t>
      </w:r>
      <w:r>
        <w:t xml:space="preserve">proportion of endometrial </w:t>
      </w:r>
      <w:r w:rsidRPr="007A0CF6">
        <w:t xml:space="preserve">cancer occur in Lynch syndrome families from three different sources. </w:t>
      </w:r>
    </w:p>
    <w:p w14:paraId="0D48C0DC" w14:textId="77777777" w:rsidR="00AF0B86" w:rsidRPr="007A0CF6" w:rsidRDefault="00AF0B86" w:rsidP="00AF0B86">
      <w:pPr>
        <w:pStyle w:val="Caption"/>
        <w:jc w:val="both"/>
        <w:rPr>
          <w:lang w:val="en-AU"/>
        </w:rPr>
      </w:pPr>
      <w:bookmarkStart w:id="4" w:name="_Ref492458785"/>
      <w:r w:rsidRPr="007A0CF6">
        <w:rPr>
          <w:lang w:val="en-AU"/>
        </w:rPr>
        <w:lastRenderedPageBreak/>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sidRPr="007A0CF6">
        <w:rPr>
          <w:noProof/>
          <w:lang w:val="en-AU"/>
        </w:rPr>
        <w:t>1</w:t>
      </w:r>
      <w:r w:rsidRPr="007A0CF6">
        <w:rPr>
          <w:lang w:val="en-AU"/>
        </w:rPr>
        <w:fldChar w:fldCharType="end"/>
      </w:r>
      <w:bookmarkEnd w:id="4"/>
      <w:r w:rsidRPr="007A0CF6">
        <w:rPr>
          <w:lang w:val="en-AU"/>
        </w:rPr>
        <w:tab/>
      </w:r>
      <w:r>
        <w:rPr>
          <w:lang w:val="en-AU"/>
        </w:rPr>
        <w:t>P</w:t>
      </w:r>
      <w:r w:rsidRPr="007A0CF6">
        <w:rPr>
          <w:lang w:val="en-AU"/>
        </w:rPr>
        <w:t xml:space="preserve">roportion of </w:t>
      </w:r>
      <w:r>
        <w:rPr>
          <w:lang w:val="en-AU"/>
        </w:rPr>
        <w:t>endometrial cancers</w:t>
      </w:r>
      <w:r w:rsidRPr="007A0CF6">
        <w:rPr>
          <w:lang w:val="en-AU"/>
        </w:rPr>
        <w:t xml:space="preserve"> in Lynch syndrome</w:t>
      </w:r>
    </w:p>
    <w:tbl>
      <w:tblPr>
        <w:tblStyle w:val="TableGrid"/>
        <w:tblW w:w="9067" w:type="dxa"/>
        <w:tblLook w:val="04A0" w:firstRow="1" w:lastRow="0" w:firstColumn="1" w:lastColumn="0" w:noHBand="0" w:noVBand="1"/>
        <w:tblCaption w:val="Location and proportion of non-CRC tumours in Lynch syndrome"/>
        <w:tblDescription w:val="the proportion of non-CRC tumours found in patients with Lynch syndrome fro 2 different cohort studies."/>
      </w:tblPr>
      <w:tblGrid>
        <w:gridCol w:w="1555"/>
        <w:gridCol w:w="2504"/>
        <w:gridCol w:w="2504"/>
        <w:gridCol w:w="2504"/>
      </w:tblGrid>
      <w:tr w:rsidR="00AF0B86" w:rsidRPr="007A0CF6" w14:paraId="6B25BBB3" w14:textId="77777777" w:rsidTr="0069310B">
        <w:trPr>
          <w:tblHeader/>
        </w:trPr>
        <w:tc>
          <w:tcPr>
            <w:tcW w:w="1555" w:type="dxa"/>
            <w:tcBorders>
              <w:bottom w:val="single" w:sz="4" w:space="0" w:color="auto"/>
            </w:tcBorders>
          </w:tcPr>
          <w:p w14:paraId="3B1B7630" w14:textId="77777777" w:rsidR="00AF0B86" w:rsidRPr="007A0CF6" w:rsidRDefault="00AF0B86" w:rsidP="0069310B">
            <w:pPr>
              <w:spacing w:before="40" w:after="40"/>
              <w:rPr>
                <w:b/>
              </w:rPr>
            </w:pPr>
            <w:r>
              <w:rPr>
                <w:rFonts w:ascii="Arial Narrow" w:hAnsi="Arial Narrow"/>
                <w:b/>
              </w:rPr>
              <w:t>Reference and population</w:t>
            </w:r>
          </w:p>
        </w:tc>
        <w:tc>
          <w:tcPr>
            <w:tcW w:w="2504" w:type="dxa"/>
            <w:tcBorders>
              <w:bottom w:val="single" w:sz="4" w:space="0" w:color="auto"/>
            </w:tcBorders>
          </w:tcPr>
          <w:p w14:paraId="2791E71B" w14:textId="77777777" w:rsidR="00AF0B86" w:rsidRDefault="00AF0B86" w:rsidP="0069310B">
            <w:pPr>
              <w:spacing w:before="40" w:after="40"/>
              <w:rPr>
                <w:rFonts w:ascii="Arial Narrow" w:hAnsi="Arial Narrow"/>
                <w:b/>
              </w:rPr>
            </w:pPr>
            <w:r w:rsidRPr="007A0CF6">
              <w:rPr>
                <w:rFonts w:ascii="Arial Narrow" w:hAnsi="Arial Narrow"/>
                <w:b/>
              </w:rPr>
              <w:t xml:space="preserve">Vasen et al. </w:t>
            </w:r>
            <w:r>
              <w:rPr>
                <w:rFonts w:ascii="Arial Narrow" w:hAnsi="Arial Narrow"/>
                <w:b/>
              </w:rPr>
              <w:fldChar w:fldCharType="begin"/>
            </w:r>
            <w:r>
              <w:rPr>
                <w:rFonts w:ascii="Arial Narrow" w:hAnsi="Arial Narrow"/>
                <w:b/>
              </w:rPr>
              <w:instrText xml:space="preserve"> ADDIN EN.CITE &lt;EndNote&gt;&lt;Cite ExcludeAuth="1"&gt;&lt;Author&gt;Vasen&lt;/Author&gt;&lt;Year&gt;1990&lt;/Year&gt;&lt;RecNum&gt;9&lt;/RecNum&gt;&lt;DisplayText&gt;(1990)&lt;/DisplayText&gt;&lt;record&gt;&lt;rec-number&gt;9&lt;/rec-number&gt;&lt;foreign-keys&gt;&lt;key app="EN" db-id="as9sdrfwoaw9fce5xr9pew9gz9epate29xvw" timestamp="1504657279"&gt;9&lt;/key&gt;&lt;/foreign-keys&gt;&lt;ref-type name="Journal Article"&gt;17&lt;/ref-type&gt;&lt;contributors&gt;&lt;authors&gt;&lt;author&gt;Vasen, Hans F. A.&lt;/author&gt;&lt;author&gt;Johan, G.&lt;/author&gt;&lt;author&gt;Offerhaus, A.&lt;/author&gt;&lt;author&gt;Den Hartog Jager, Frieda C. A.&lt;/author&gt;&lt;author&gt;Menko, Fred H.&lt;/author&gt;&lt;author&gt;Nagengast, Fokko M.&lt;/author&gt;&lt;author&gt;Griffioen, Gerrit&lt;/author&gt;&lt;author&gt;Van Hogezand, Ruud B.&lt;/author&gt;&lt;author&gt;Heintz, A. Peter M.&lt;/author&gt;&lt;/authors&gt;&lt;/contributors&gt;&lt;titles&gt;&lt;title&gt;The tumour spectrum in hereditary non-polyposis colorectal cancer: A study of 24 kindreds in the netherlands&lt;/title&gt;&lt;secondary-title&gt;International Journal of Cancer&lt;/secondary-title&gt;&lt;/titles&gt;&lt;periodical&gt;&lt;full-title&gt;International Journal of Cancer&lt;/full-title&gt;&lt;/periodical&gt;&lt;pages&gt;31-34&lt;/pages&gt;&lt;volume&gt;46&lt;/volume&gt;&lt;number&gt;1&lt;/number&gt;&lt;dates&gt;&lt;year&gt;1990&lt;/year&gt;&lt;/dates&gt;&lt;publisher&gt;Wiley Subscription Services, Inc., A Wiley Company&lt;/publisher&gt;&lt;isbn&gt;1097-0215&lt;/isbn&gt;&lt;urls&gt;&lt;related-urls&gt;&lt;url&gt;http://dx.doi.org/10.1002/ijc.2910460108&lt;/url&gt;&lt;url&gt;http://onlinelibrary.wiley.com/store/10.1002/ijc.2910460108/asset/2910460108_ftp.pdf?v=1&amp;amp;t=j78a3mly&amp;amp;s=de91805af3a3b8bd8c3eb9fab184904631b9c362&lt;/url&gt;&lt;/related-urls&gt;&lt;/urls&gt;&lt;electronic-resource-num&gt;10.1002/ijc.2910460108&lt;/electronic-resource-num&gt;&lt;/record&gt;&lt;/Cite&gt;&lt;/EndNote&gt;</w:instrText>
            </w:r>
            <w:r>
              <w:rPr>
                <w:rFonts w:ascii="Arial Narrow" w:hAnsi="Arial Narrow"/>
                <w:b/>
              </w:rPr>
              <w:fldChar w:fldCharType="separate"/>
            </w:r>
            <w:r>
              <w:rPr>
                <w:rFonts w:ascii="Arial Narrow" w:hAnsi="Arial Narrow"/>
                <w:b/>
                <w:noProof/>
              </w:rPr>
              <w:t>(1990)</w:t>
            </w:r>
            <w:r>
              <w:rPr>
                <w:rFonts w:ascii="Arial Narrow" w:hAnsi="Arial Narrow"/>
                <w:b/>
              </w:rPr>
              <w:fldChar w:fldCharType="end"/>
            </w:r>
          </w:p>
          <w:p w14:paraId="235BBE38" w14:textId="77777777" w:rsidR="00AF0B86" w:rsidRPr="007A0CF6" w:rsidRDefault="00AF0B86" w:rsidP="0069310B">
            <w:pPr>
              <w:spacing w:before="40" w:after="40"/>
              <w:rPr>
                <w:b/>
              </w:rPr>
            </w:pPr>
            <w:r w:rsidRPr="00753E89">
              <w:rPr>
                <w:rFonts w:ascii="Arial Narrow" w:hAnsi="Arial Narrow"/>
                <w:b/>
              </w:rPr>
              <w:t>24 Dutch Lynch syndrome families</w:t>
            </w:r>
          </w:p>
        </w:tc>
        <w:tc>
          <w:tcPr>
            <w:tcW w:w="2504" w:type="dxa"/>
            <w:tcBorders>
              <w:bottom w:val="single" w:sz="4" w:space="0" w:color="auto"/>
            </w:tcBorders>
          </w:tcPr>
          <w:p w14:paraId="119D21CB" w14:textId="77777777" w:rsidR="00AF0B86" w:rsidRDefault="00AF0B86" w:rsidP="0069310B">
            <w:pPr>
              <w:spacing w:before="40" w:after="40"/>
              <w:rPr>
                <w:rFonts w:ascii="Arial Narrow" w:hAnsi="Arial Narrow"/>
                <w:b/>
              </w:rPr>
            </w:pPr>
            <w:r w:rsidRPr="007A0CF6">
              <w:rPr>
                <w:rFonts w:ascii="Arial Narrow" w:hAnsi="Arial Narrow"/>
                <w:b/>
              </w:rPr>
              <w:t xml:space="preserve">Aarnio et al. </w:t>
            </w:r>
            <w:r>
              <w:rPr>
                <w:rFonts w:ascii="Arial Narrow" w:hAnsi="Arial Narrow"/>
                <w:b/>
              </w:rPr>
              <w:fldChar w:fldCharType="begin"/>
            </w:r>
            <w:r>
              <w:rPr>
                <w:rFonts w:ascii="Arial Narrow" w:hAnsi="Arial Narrow"/>
                <w:b/>
              </w:rPr>
              <w:instrText xml:space="preserve"> ADDIN EN.CITE &lt;EndNote&gt;&lt;Cite ExcludeAuth="1"&gt;&lt;Author&gt;Aarnio&lt;/Author&gt;&lt;Year&gt;1995&lt;/Year&gt;&lt;RecNum&gt;8&lt;/RecNum&gt;&lt;DisplayText&gt;(1995)&lt;/DisplayText&gt;&lt;record&gt;&lt;rec-number&gt;8&lt;/rec-number&gt;&lt;foreign-keys&gt;&lt;key app="EN" db-id="as9sdrfwoaw9fce5xr9pew9gz9epate29xvw" timestamp="1504657080"&gt;8&lt;/key&gt;&lt;/foreign-keys&gt;&lt;ref-type name="Journal Article"&gt;17&lt;/ref-type&gt;&lt;contributors&gt;&lt;authors&gt;&lt;author&gt;Aarnio, Markku&lt;/author&gt;&lt;author&gt;Mecklin, Jukka-Pekka&lt;/author&gt;&lt;author&gt;Aaltonen, Lauri A.&lt;/author&gt;&lt;author&gt;Nyström-Lahti, Minna&lt;/author&gt;&lt;author&gt;Järvinen, Heikki J.&lt;/author&gt;&lt;/authors&gt;&lt;/contributors&gt;&lt;titles&gt;&lt;title&gt;Life-time risk of different cancers in hereditary non-polyposis colorectal cancer (hnpcc) syndrome&lt;/title&gt;&lt;secondary-title&gt;International Journal of Cancer&lt;/secondary-title&gt;&lt;/titles&gt;&lt;periodical&gt;&lt;full-title&gt;International Journal of Cancer&lt;/full-title&gt;&lt;/periodical&gt;&lt;pages&gt;430-433&lt;/pages&gt;&lt;volume&gt;64&lt;/volume&gt;&lt;number&gt;6&lt;/number&gt;&lt;dates&gt;&lt;year&gt;1995&lt;/year&gt;&lt;/dates&gt;&lt;publisher&gt;Wiley Subscription Services, Inc., A Wiley Company&lt;/publisher&gt;&lt;isbn&gt;1097-0215&lt;/isbn&gt;&lt;urls&gt;&lt;related-urls&gt;&lt;url&gt;http://dx.doi.org/10.1002/ijc.2910640613&lt;/url&gt;&lt;url&gt;http://onlinelibrary.wiley.com/store/10.1002/ijc.2910640613/asset/2910640613_ftp.pdf?v=1&amp;amp;t=j78a0rul&amp;amp;s=b2b5a4a2c44e75d62f9abce734fc8fd69efade88&lt;/url&gt;&lt;/related-urls&gt;&lt;/urls&gt;&lt;electronic-resource-num&gt;10.1002/ijc.2910640613&lt;/electronic-resource-num&gt;&lt;/record&gt;&lt;/Cite&gt;&lt;/EndNote&gt;</w:instrText>
            </w:r>
            <w:r>
              <w:rPr>
                <w:rFonts w:ascii="Arial Narrow" w:hAnsi="Arial Narrow"/>
                <w:b/>
              </w:rPr>
              <w:fldChar w:fldCharType="separate"/>
            </w:r>
            <w:r>
              <w:rPr>
                <w:rFonts w:ascii="Arial Narrow" w:hAnsi="Arial Narrow"/>
                <w:b/>
                <w:noProof/>
              </w:rPr>
              <w:t>(1995)</w:t>
            </w:r>
            <w:r>
              <w:rPr>
                <w:rFonts w:ascii="Arial Narrow" w:hAnsi="Arial Narrow"/>
                <w:b/>
              </w:rPr>
              <w:fldChar w:fldCharType="end"/>
            </w:r>
          </w:p>
          <w:p w14:paraId="54262C1B" w14:textId="77777777" w:rsidR="00AF0B86" w:rsidRPr="007A0CF6" w:rsidRDefault="00AF0B86" w:rsidP="0069310B">
            <w:pPr>
              <w:spacing w:before="40" w:after="40"/>
              <w:rPr>
                <w:rFonts w:ascii="Arial Narrow" w:hAnsi="Arial Narrow"/>
                <w:b/>
              </w:rPr>
            </w:pPr>
            <w:r>
              <w:rPr>
                <w:rFonts w:ascii="Arial Narrow" w:hAnsi="Arial Narrow"/>
                <w:b/>
              </w:rPr>
              <w:t>90 Finnish Lynch syndrome families</w:t>
            </w:r>
          </w:p>
        </w:tc>
        <w:tc>
          <w:tcPr>
            <w:tcW w:w="2504" w:type="dxa"/>
            <w:tcBorders>
              <w:bottom w:val="single" w:sz="4" w:space="0" w:color="auto"/>
            </w:tcBorders>
          </w:tcPr>
          <w:p w14:paraId="5776ECF6" w14:textId="77777777" w:rsidR="00AF0B86" w:rsidRDefault="00AF0B86" w:rsidP="0069310B">
            <w:pPr>
              <w:spacing w:before="40" w:after="40"/>
              <w:rPr>
                <w:rFonts w:ascii="Arial Narrow" w:hAnsi="Arial Narrow"/>
                <w:b/>
              </w:rPr>
            </w:pPr>
            <w:r w:rsidRPr="007A0CF6">
              <w:rPr>
                <w:rFonts w:ascii="Arial Narrow" w:hAnsi="Arial Narrow"/>
                <w:b/>
              </w:rPr>
              <w:t xml:space="preserve">Barrow et al. </w:t>
            </w:r>
            <w:r>
              <w:rPr>
                <w:rFonts w:ascii="Arial Narrow" w:hAnsi="Arial Narrow"/>
                <w:b/>
              </w:rPr>
              <w:fldChar w:fldCharType="begin"/>
            </w:r>
            <w:r>
              <w:rPr>
                <w:rFonts w:ascii="Arial Narrow" w:hAnsi="Arial Narrow"/>
                <w:b/>
              </w:rPr>
              <w:instrText xml:space="preserve"> ADDIN EN.CITE &lt;EndNote&gt;&lt;Cite ExcludeAuth="1"&gt;&lt;Author&gt;Barrow&lt;/Author&gt;&lt;Year&gt;2009&lt;/Year&gt;&lt;RecNum&gt;10&lt;/RecNum&gt;&lt;DisplayText&gt;(2009)&lt;/DisplayText&gt;&lt;record&gt;&lt;rec-number&gt;10&lt;/rec-number&gt;&lt;foreign-keys&gt;&lt;key app="EN" db-id="as9sdrfwoaw9fce5xr9pew9gz9epate29xvw" timestamp="1504659774"&gt;10&lt;/key&gt;&lt;/foreign-keys&gt;&lt;ref-type name="Journal Article"&gt;17&lt;/ref-type&gt;&lt;contributors&gt;&lt;authors&gt;&lt;author&gt;Barrow, E.&lt;/author&gt;&lt;author&gt;Robinson, L.&lt;/author&gt;&lt;author&gt;Alduaij, W.&lt;/author&gt;&lt;author&gt;Shenton, A.&lt;/author&gt;&lt;author&gt;Clancy, T.&lt;/author&gt;&lt;author&gt;Lalloo, F.&lt;/author&gt;&lt;author&gt;Hill, J.&lt;/author&gt;&lt;author&gt;Evans, D. G.&lt;/author&gt;&lt;/authors&gt;&lt;/contributors&gt;&lt;titles&gt;&lt;title&gt;Cumulative lifetime incidence of extracolonic cancers in Lynch syndrome: a report of 121 families with proven mutations&lt;/title&gt;&lt;secondary-title&gt;Clinical Genetics&lt;/secondary-title&gt;&lt;/titles&gt;&lt;periodical&gt;&lt;full-title&gt;Clinical Genetics&lt;/full-title&gt;&lt;/periodical&gt;&lt;pages&gt;141-149&lt;/pages&gt;&lt;volume&gt;75&lt;/volume&gt;&lt;number&gt;2&lt;/number&gt;&lt;keywords&gt;&lt;keyword&gt;DNA mismatch repair&lt;/keyword&gt;&lt;keyword&gt;hereditary non-polyposis colorectal cancer&lt;/keyword&gt;&lt;keyword&gt;Kaplan-Meiers analysis&lt;/keyword&gt;&lt;keyword&gt;Lynch syndrome&lt;/keyword&gt;&lt;keyword&gt;multiple primary neoplasms&lt;/keyword&gt;&lt;keyword&gt;statistical bias&lt;/keyword&gt;&lt;/keywords&gt;&lt;dates&gt;&lt;year&gt;2009&lt;/year&gt;&lt;/dates&gt;&lt;publisher&gt;Blackwell Publishing Ltd&lt;/publisher&gt;&lt;isbn&gt;1399-0004&lt;/isbn&gt;&lt;urls&gt;&lt;related-urls&gt;&lt;url&gt;http://dx.doi.org/10.1111/j.1399-0004.2008.01125.x&lt;/url&gt;&lt;url&gt;http://onlinelibrary.wiley.com/store/10.1111/j.1399-0004.2008.01125.x/asset/j.1399-0004.2008.01125.x.pdf?v=1&amp;amp;t=j78bl6et&amp;amp;s=3f73bb937ed16df9c3d49b64b61a3023bb232488&lt;/url&gt;&lt;/related-urls&gt;&lt;/urls&gt;&lt;electronic-resource-num&gt;10.1111/j.1399-0004.2008.01125.x&lt;/electronic-resource-num&gt;&lt;/record&gt;&lt;/Cite&gt;&lt;/EndNote&gt;</w:instrText>
            </w:r>
            <w:r>
              <w:rPr>
                <w:rFonts w:ascii="Arial Narrow" w:hAnsi="Arial Narrow"/>
                <w:b/>
              </w:rPr>
              <w:fldChar w:fldCharType="separate"/>
            </w:r>
            <w:r>
              <w:rPr>
                <w:rFonts w:ascii="Arial Narrow" w:hAnsi="Arial Narrow"/>
                <w:b/>
                <w:noProof/>
              </w:rPr>
              <w:t>(2009)</w:t>
            </w:r>
            <w:r>
              <w:rPr>
                <w:rFonts w:ascii="Arial Narrow" w:hAnsi="Arial Narrow"/>
                <w:b/>
              </w:rPr>
              <w:fldChar w:fldCharType="end"/>
            </w:r>
          </w:p>
          <w:p w14:paraId="086D7B74" w14:textId="77777777" w:rsidR="00AF0B86" w:rsidRPr="007A0CF6" w:rsidRDefault="00AF0B86" w:rsidP="0069310B">
            <w:pPr>
              <w:spacing w:before="40" w:after="40"/>
              <w:rPr>
                <w:rFonts w:ascii="Arial Narrow" w:hAnsi="Arial Narrow"/>
                <w:b/>
              </w:rPr>
            </w:pPr>
            <w:r>
              <w:rPr>
                <w:rFonts w:ascii="Arial Narrow" w:hAnsi="Arial Narrow"/>
                <w:b/>
              </w:rPr>
              <w:t>90 English Lynch syndrome families</w:t>
            </w:r>
          </w:p>
        </w:tc>
      </w:tr>
      <w:tr w:rsidR="00AF0B86" w:rsidRPr="007A0CF6" w14:paraId="68DE399D" w14:textId="77777777" w:rsidTr="0069310B">
        <w:trPr>
          <w:tblHeader/>
        </w:trPr>
        <w:tc>
          <w:tcPr>
            <w:tcW w:w="1555" w:type="dxa"/>
            <w:tcBorders>
              <w:right w:val="nil"/>
            </w:tcBorders>
          </w:tcPr>
          <w:p w14:paraId="219EA276" w14:textId="77777777" w:rsidR="00AF0B86" w:rsidRPr="007A0CF6" w:rsidRDefault="00AF0B86" w:rsidP="0069310B">
            <w:pPr>
              <w:spacing w:before="40" w:after="40"/>
              <w:jc w:val="both"/>
              <w:rPr>
                <w:rFonts w:ascii="Arial Narrow" w:hAnsi="Arial Narrow"/>
                <w:b/>
              </w:rPr>
            </w:pPr>
            <w:r>
              <w:rPr>
                <w:rFonts w:ascii="Arial Narrow" w:hAnsi="Arial Narrow"/>
                <w:b/>
              </w:rPr>
              <w:t>Tumour l</w:t>
            </w:r>
            <w:r w:rsidRPr="007A0CF6">
              <w:rPr>
                <w:rFonts w:ascii="Arial Narrow" w:hAnsi="Arial Narrow"/>
                <w:b/>
              </w:rPr>
              <w:t>ocation</w:t>
            </w:r>
          </w:p>
        </w:tc>
        <w:tc>
          <w:tcPr>
            <w:tcW w:w="2504" w:type="dxa"/>
            <w:tcBorders>
              <w:left w:val="nil"/>
              <w:right w:val="nil"/>
            </w:tcBorders>
          </w:tcPr>
          <w:p w14:paraId="5DCB5A03" w14:textId="77777777" w:rsidR="00AF0B86" w:rsidRPr="00753E89" w:rsidRDefault="00AF0B86" w:rsidP="0069310B">
            <w:pPr>
              <w:spacing w:before="40" w:after="40"/>
              <w:jc w:val="both"/>
              <w:rPr>
                <w:rFonts w:ascii="Arial Narrow" w:hAnsi="Arial Narrow"/>
                <w:b/>
                <w:color w:val="FFFFFF" w:themeColor="background1"/>
              </w:rPr>
            </w:pPr>
            <w:r w:rsidRPr="00753E89">
              <w:rPr>
                <w:rFonts w:ascii="Arial Narrow" w:hAnsi="Arial Narrow"/>
                <w:b/>
                <w:color w:val="FFFFFF" w:themeColor="background1"/>
              </w:rPr>
              <w:t>-</w:t>
            </w:r>
          </w:p>
        </w:tc>
        <w:tc>
          <w:tcPr>
            <w:tcW w:w="2504" w:type="dxa"/>
            <w:tcBorders>
              <w:left w:val="nil"/>
              <w:right w:val="nil"/>
            </w:tcBorders>
          </w:tcPr>
          <w:p w14:paraId="5D491A6D" w14:textId="77777777" w:rsidR="00AF0B86" w:rsidRPr="00753E89" w:rsidRDefault="00AF0B86" w:rsidP="0069310B">
            <w:pPr>
              <w:spacing w:before="40" w:after="40"/>
              <w:jc w:val="both"/>
              <w:rPr>
                <w:rFonts w:ascii="Arial Narrow" w:hAnsi="Arial Narrow"/>
                <w:b/>
                <w:color w:val="FFFFFF" w:themeColor="background1"/>
              </w:rPr>
            </w:pPr>
            <w:r w:rsidRPr="00753E89">
              <w:rPr>
                <w:rFonts w:ascii="Arial Narrow" w:hAnsi="Arial Narrow"/>
                <w:b/>
                <w:color w:val="FFFFFF" w:themeColor="background1"/>
              </w:rPr>
              <w:t>-</w:t>
            </w:r>
          </w:p>
        </w:tc>
        <w:tc>
          <w:tcPr>
            <w:tcW w:w="2504" w:type="dxa"/>
            <w:tcBorders>
              <w:left w:val="nil"/>
            </w:tcBorders>
          </w:tcPr>
          <w:p w14:paraId="5887B2AB" w14:textId="77777777" w:rsidR="00AF0B86" w:rsidRPr="00753E89" w:rsidRDefault="00AF0B86" w:rsidP="0069310B">
            <w:pPr>
              <w:spacing w:before="40" w:after="40"/>
              <w:jc w:val="both"/>
              <w:rPr>
                <w:rFonts w:ascii="Arial Narrow" w:hAnsi="Arial Narrow"/>
                <w:b/>
                <w:color w:val="FFFFFF" w:themeColor="background1"/>
              </w:rPr>
            </w:pPr>
            <w:r w:rsidRPr="00753E89">
              <w:rPr>
                <w:rFonts w:ascii="Arial Narrow" w:hAnsi="Arial Narrow"/>
                <w:b/>
                <w:color w:val="FFFFFF" w:themeColor="background1"/>
              </w:rPr>
              <w:t>-</w:t>
            </w:r>
          </w:p>
        </w:tc>
      </w:tr>
      <w:tr w:rsidR="00AF0B86" w:rsidRPr="007A0CF6" w14:paraId="38116FB6" w14:textId="77777777" w:rsidTr="0069310B">
        <w:tc>
          <w:tcPr>
            <w:tcW w:w="1555" w:type="dxa"/>
          </w:tcPr>
          <w:p w14:paraId="305520AA" w14:textId="77777777" w:rsidR="00AF0B86" w:rsidRPr="007A0CF6" w:rsidRDefault="00AF0B86" w:rsidP="0069310B">
            <w:pPr>
              <w:spacing w:before="40" w:after="40"/>
              <w:jc w:val="both"/>
            </w:pPr>
            <w:r w:rsidRPr="007A0CF6">
              <w:rPr>
                <w:rFonts w:ascii="Arial Narrow" w:hAnsi="Arial Narrow"/>
              </w:rPr>
              <w:t>Endometrium</w:t>
            </w:r>
          </w:p>
        </w:tc>
        <w:tc>
          <w:tcPr>
            <w:tcW w:w="2504" w:type="dxa"/>
          </w:tcPr>
          <w:p w14:paraId="4CD2F16C" w14:textId="77777777" w:rsidR="00AF0B86" w:rsidRPr="007A0CF6" w:rsidRDefault="00AF0B86" w:rsidP="0069310B">
            <w:pPr>
              <w:spacing w:before="40" w:after="40"/>
              <w:jc w:val="both"/>
              <w:rPr>
                <w:rFonts w:ascii="Arial Narrow" w:hAnsi="Arial Narrow"/>
              </w:rPr>
            </w:pPr>
            <w:r w:rsidRPr="007A0CF6">
              <w:rPr>
                <w:rFonts w:ascii="Arial Narrow" w:hAnsi="Arial Narrow"/>
              </w:rPr>
              <w:t>24%</w:t>
            </w:r>
          </w:p>
        </w:tc>
        <w:tc>
          <w:tcPr>
            <w:tcW w:w="2504" w:type="dxa"/>
          </w:tcPr>
          <w:p w14:paraId="5384AA01" w14:textId="77777777" w:rsidR="00AF0B86" w:rsidRPr="007A0CF6" w:rsidRDefault="00AF0B86" w:rsidP="0069310B">
            <w:pPr>
              <w:spacing w:before="40" w:after="40"/>
              <w:jc w:val="both"/>
              <w:rPr>
                <w:rFonts w:ascii="Arial Narrow" w:hAnsi="Arial Narrow"/>
              </w:rPr>
            </w:pPr>
            <w:r w:rsidRPr="007A0CF6">
              <w:rPr>
                <w:rFonts w:ascii="Arial Narrow" w:hAnsi="Arial Narrow"/>
              </w:rPr>
              <w:t>33%</w:t>
            </w:r>
          </w:p>
        </w:tc>
        <w:tc>
          <w:tcPr>
            <w:tcW w:w="2504" w:type="dxa"/>
          </w:tcPr>
          <w:p w14:paraId="237AC62D" w14:textId="77777777" w:rsidR="00AF0B86" w:rsidRPr="007A0CF6" w:rsidRDefault="00AF0B86" w:rsidP="0069310B">
            <w:pPr>
              <w:spacing w:before="40" w:after="40"/>
              <w:jc w:val="both"/>
              <w:rPr>
                <w:rFonts w:ascii="Arial Narrow" w:hAnsi="Arial Narrow"/>
              </w:rPr>
            </w:pPr>
            <w:r w:rsidRPr="007A0CF6">
              <w:rPr>
                <w:rFonts w:ascii="Arial Narrow" w:hAnsi="Arial Narrow"/>
              </w:rPr>
              <w:t>30%</w:t>
            </w:r>
          </w:p>
        </w:tc>
      </w:tr>
    </w:tbl>
    <w:p w14:paraId="0FF757E9" w14:textId="77777777" w:rsidR="00AF0B86" w:rsidRDefault="00AF0B86" w:rsidP="00AF0B86">
      <w:pPr>
        <w:spacing w:before="240"/>
        <w:jc w:val="both"/>
      </w:pPr>
      <w:r w:rsidRPr="007A0CF6">
        <w:t xml:space="preserve">However, only approximately 2% of endometrial cancers, the second most common cancer associated with Lynch syndrome, occur in patients with Lynch syndrome. These patients have a 35% (95%CI 17, 60) lifetime risk of developing endometrial cancer </w:t>
      </w:r>
      <w:r>
        <w:fldChar w:fldCharType="begin"/>
      </w:r>
      <w:r>
        <w:instrText xml:space="preserve"> ADDIN EN.CITE &lt;EndNote&gt;&lt;Cite&gt;&lt;Author&gt;Bonadona&lt;/Author&gt;&lt;Year&gt;2011&lt;/Year&gt;&lt;RecNum&gt;15&lt;/RecNum&gt;&lt;DisplayText&gt;(Bonadona et al. 2011)&lt;/DisplayText&gt;&lt;record&gt;&lt;rec-number&gt;15&lt;/rec-number&gt;&lt;foreign-keys&gt;&lt;key app="EN" db-id="as9sdrfwoaw9fce5xr9pew9gz9epate29xvw" timestamp="1504663447"&gt;15&lt;/key&gt;&lt;/foreign-keys&gt;&lt;ref-type name="Journal Article"&gt;17&lt;/ref-type&gt;&lt;contributors&gt;&lt;authors&gt;&lt;author&gt;Bonadona, V.&lt;/author&gt;&lt;author&gt;Bonaïti, B.&lt;/author&gt;&lt;author&gt;Olschwang, S.&lt;/author&gt;&lt;author&gt;et al.,&lt;/author&gt;&lt;/authors&gt;&lt;/contributors&gt;&lt;titles&gt;&lt;title&gt;Cancer risks associated with germline mutations in mlh1, msh2, and msh6 genes in lynch syndrome&lt;/title&gt;&lt;secondary-title&gt;JAMA&lt;/secondary-title&gt;&lt;/titles&gt;&lt;periodical&gt;&lt;full-title&gt;JAMA&lt;/full-title&gt;&lt;/periodical&gt;&lt;pages&gt;2304-2310&lt;/pages&gt;&lt;volume&gt;305&lt;/volume&gt;&lt;number&gt;22&lt;/number&gt;&lt;dates&gt;&lt;year&gt;2011&lt;/year&gt;&lt;/dates&gt;&lt;isbn&gt;0098-7484&lt;/isbn&gt;&lt;urls&gt;&lt;related-urls&gt;&lt;url&gt;http://dx.doi.org/10.1001/jama.2011.743&lt;/url&gt;&lt;url&gt;http://jama.jamanetwork.com/data/journals/jama/20331/joc15043_2304_2310.pdf&lt;/url&gt;&lt;/related-urls&gt;&lt;/urls&gt;&lt;electronic-resource-num&gt;10.1001/jama.2011.743&lt;/electronic-resource-num&gt;&lt;/record&gt;&lt;/Cite&gt;&lt;/EndNote&gt;</w:instrText>
      </w:r>
      <w:r>
        <w:fldChar w:fldCharType="separate"/>
      </w:r>
      <w:r>
        <w:rPr>
          <w:noProof/>
        </w:rPr>
        <w:t>(Bonadona et al. 2011)</w:t>
      </w:r>
      <w:r>
        <w:fldChar w:fldCharType="end"/>
      </w:r>
      <w:r w:rsidRPr="007A0CF6">
        <w:t xml:space="preserve">. Thus, Lynch syndrome patients account for only a small proportion of patients with </w:t>
      </w:r>
      <w:r>
        <w:t>endometrial cancer</w:t>
      </w:r>
      <w:r w:rsidRPr="007A0CF6">
        <w:t xml:space="preserve">. The prevalence of </w:t>
      </w:r>
      <w:r>
        <w:t>d</w:t>
      </w:r>
      <w:r w:rsidRPr="007A0CF6">
        <w:t xml:space="preserve">MMR mutations </w:t>
      </w:r>
      <w:r>
        <w:t>in endometrial cancer, and their prevalence in Australia,</w:t>
      </w:r>
      <w:r w:rsidRPr="007A0CF6">
        <w:t xml:space="preserve"> is listed in </w:t>
      </w:r>
      <w:r w:rsidRPr="007A0CF6">
        <w:fldChar w:fldCharType="begin"/>
      </w:r>
      <w:r w:rsidRPr="007A0CF6">
        <w:instrText xml:space="preserve"> REF _Ref492462349 \h </w:instrText>
      </w:r>
      <w:r w:rsidRPr="007A0CF6">
        <w:fldChar w:fldCharType="separate"/>
      </w:r>
      <w:r w:rsidRPr="007A0CF6">
        <w:t xml:space="preserve">Table </w:t>
      </w:r>
      <w:r w:rsidRPr="007A0CF6">
        <w:rPr>
          <w:noProof/>
        </w:rPr>
        <w:t>2</w:t>
      </w:r>
      <w:r w:rsidRPr="007A0CF6">
        <w:fldChar w:fldCharType="end"/>
      </w:r>
      <w:r w:rsidRPr="007A0CF6">
        <w:t>.</w:t>
      </w:r>
    </w:p>
    <w:p w14:paraId="1EF4415D" w14:textId="77777777" w:rsidR="00AF0B86" w:rsidRPr="007A0CF6" w:rsidRDefault="00AF0B86" w:rsidP="00AF0B86">
      <w:pPr>
        <w:pStyle w:val="Caption"/>
        <w:rPr>
          <w:lang w:val="en-AU"/>
        </w:rPr>
      </w:pPr>
      <w:r w:rsidRPr="007A0CF6">
        <w:rPr>
          <w:lang w:val="en-AU"/>
        </w:rPr>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sidRPr="007A0CF6">
        <w:rPr>
          <w:noProof/>
          <w:lang w:val="en-AU"/>
        </w:rPr>
        <w:t>2</w:t>
      </w:r>
      <w:r w:rsidRPr="007A0CF6">
        <w:rPr>
          <w:lang w:val="en-AU"/>
        </w:rPr>
        <w:fldChar w:fldCharType="end"/>
      </w:r>
      <w:r w:rsidRPr="007A0CF6">
        <w:rPr>
          <w:lang w:val="en-AU"/>
        </w:rPr>
        <w:tab/>
        <w:t xml:space="preserve">Prevalence </w:t>
      </w:r>
      <w:r>
        <w:rPr>
          <w:lang w:val="en-AU"/>
        </w:rPr>
        <w:t>endometrial</w:t>
      </w:r>
      <w:r w:rsidRPr="007A0CF6">
        <w:rPr>
          <w:lang w:val="en-AU"/>
        </w:rPr>
        <w:t xml:space="preserve"> </w:t>
      </w:r>
      <w:r>
        <w:rPr>
          <w:lang w:val="en-AU"/>
        </w:rPr>
        <w:t>cancer</w:t>
      </w:r>
      <w:r w:rsidRPr="007A0CF6">
        <w:rPr>
          <w:lang w:val="en-AU"/>
        </w:rPr>
        <w:t xml:space="preserve"> cases</w:t>
      </w:r>
      <w:r>
        <w:rPr>
          <w:lang w:val="en-AU"/>
        </w:rPr>
        <w:t xml:space="preserve"> in Australia, proportion that are advanced and recurrent, and dMMR prevalence </w:t>
      </w:r>
    </w:p>
    <w:tbl>
      <w:tblPr>
        <w:tblStyle w:val="TableGrid"/>
        <w:tblW w:w="0" w:type="auto"/>
        <w:tblLook w:val="04A0" w:firstRow="1" w:lastRow="0" w:firstColumn="1" w:lastColumn="0" w:noHBand="0" w:noVBand="1"/>
        <w:tblCaption w:val="Prevalence in sporadic solid tumour cases"/>
        <w:tblDescription w:val="reports the prevalence of microsatellite instability in various solid tumours"/>
      </w:tblPr>
      <w:tblGrid>
        <w:gridCol w:w="1838"/>
        <w:gridCol w:w="2126"/>
        <w:gridCol w:w="1985"/>
        <w:gridCol w:w="3067"/>
      </w:tblGrid>
      <w:tr w:rsidR="00AF0B86" w:rsidRPr="007A0CF6" w14:paraId="2D6A5A6A" w14:textId="77777777" w:rsidTr="0069310B">
        <w:trPr>
          <w:tblHeader/>
        </w:trPr>
        <w:tc>
          <w:tcPr>
            <w:tcW w:w="1838" w:type="dxa"/>
          </w:tcPr>
          <w:p w14:paraId="1B7C5DB6" w14:textId="77777777" w:rsidR="00AF0B86" w:rsidRPr="007A0CF6" w:rsidRDefault="00AF0B86" w:rsidP="0069310B">
            <w:pPr>
              <w:spacing w:before="40" w:after="40"/>
              <w:jc w:val="both"/>
              <w:rPr>
                <w:rFonts w:ascii="Arial Narrow" w:hAnsi="Arial Narrow"/>
                <w:b/>
              </w:rPr>
            </w:pPr>
            <w:r w:rsidRPr="007A0CF6">
              <w:rPr>
                <w:rFonts w:ascii="Arial Narrow" w:hAnsi="Arial Narrow"/>
                <w:b/>
              </w:rPr>
              <w:t xml:space="preserve">Carcinoma </w:t>
            </w:r>
          </w:p>
        </w:tc>
        <w:tc>
          <w:tcPr>
            <w:tcW w:w="2126" w:type="dxa"/>
          </w:tcPr>
          <w:p w14:paraId="0D23C931" w14:textId="6BF82F1D" w:rsidR="00AF0B86" w:rsidRPr="007A0CF6" w:rsidRDefault="00AF0B86" w:rsidP="0069310B">
            <w:pPr>
              <w:spacing w:before="40" w:after="40"/>
              <w:jc w:val="center"/>
              <w:rPr>
                <w:rFonts w:ascii="Arial Narrow" w:hAnsi="Arial Narrow"/>
                <w:b/>
              </w:rPr>
            </w:pPr>
            <w:r>
              <w:rPr>
                <w:rFonts w:ascii="Arial Narrow" w:hAnsi="Arial Narrow"/>
                <w:b/>
              </w:rPr>
              <w:t>Proportion of all cancers</w:t>
            </w:r>
            <w:r w:rsidR="0069310B">
              <w:rPr>
                <w:rFonts w:ascii="Arial Narrow" w:hAnsi="Arial Narrow"/>
                <w:b/>
              </w:rPr>
              <w:t xml:space="preserve"> (men and women)</w:t>
            </w:r>
          </w:p>
        </w:tc>
        <w:tc>
          <w:tcPr>
            <w:tcW w:w="1985" w:type="dxa"/>
          </w:tcPr>
          <w:p w14:paraId="30EA0783" w14:textId="77777777" w:rsidR="00AF0B86" w:rsidRPr="007A0CF6" w:rsidRDefault="00AF0B86" w:rsidP="0069310B">
            <w:pPr>
              <w:spacing w:before="40" w:after="40"/>
              <w:jc w:val="center"/>
              <w:rPr>
                <w:rFonts w:ascii="Arial Narrow" w:hAnsi="Arial Narrow"/>
                <w:b/>
              </w:rPr>
            </w:pPr>
            <w:r>
              <w:rPr>
                <w:rFonts w:ascii="Arial Narrow" w:hAnsi="Arial Narrow"/>
                <w:b/>
              </w:rPr>
              <w:t>Number of patients</w:t>
            </w:r>
            <w:r w:rsidRPr="0094091D">
              <w:rPr>
                <w:rFonts w:ascii="Arial Narrow" w:hAnsi="Arial Narrow"/>
                <w:b/>
              </w:rPr>
              <w:t xml:space="preserve"> </w:t>
            </w:r>
            <w:r>
              <w:rPr>
                <w:rFonts w:ascii="Arial Narrow" w:hAnsi="Arial Narrow"/>
                <w:b/>
              </w:rPr>
              <w:t>have advanced or recurrent EC</w:t>
            </w:r>
          </w:p>
        </w:tc>
        <w:tc>
          <w:tcPr>
            <w:tcW w:w="3067" w:type="dxa"/>
          </w:tcPr>
          <w:p w14:paraId="1D2EF499" w14:textId="2079B13A" w:rsidR="00AF0B86" w:rsidRPr="007A0CF6" w:rsidRDefault="00AF0B86" w:rsidP="009E2EA3">
            <w:pPr>
              <w:spacing w:before="40" w:after="40"/>
              <w:jc w:val="center"/>
              <w:rPr>
                <w:rFonts w:ascii="Arial Narrow" w:hAnsi="Arial Narrow"/>
                <w:b/>
              </w:rPr>
            </w:pPr>
            <w:r>
              <w:rPr>
                <w:rFonts w:ascii="Arial Narrow" w:hAnsi="Arial Narrow"/>
                <w:b/>
              </w:rPr>
              <w:t>Proportion of all cancers that are dMMR</w:t>
            </w:r>
          </w:p>
        </w:tc>
      </w:tr>
      <w:tr w:rsidR="00AF0B86" w:rsidRPr="007A0CF6" w14:paraId="4C7F643A" w14:textId="77777777" w:rsidTr="0069310B">
        <w:tc>
          <w:tcPr>
            <w:tcW w:w="1838" w:type="dxa"/>
          </w:tcPr>
          <w:p w14:paraId="641B5D43" w14:textId="77777777" w:rsidR="00AF0B86" w:rsidRPr="007A0CF6" w:rsidRDefault="00AF0B86" w:rsidP="0069310B">
            <w:pPr>
              <w:spacing w:before="40" w:after="40"/>
              <w:jc w:val="both"/>
              <w:rPr>
                <w:rFonts w:ascii="Arial Narrow" w:hAnsi="Arial Narrow"/>
              </w:rPr>
            </w:pPr>
            <w:r w:rsidRPr="007A0CF6">
              <w:rPr>
                <w:rFonts w:ascii="Arial Narrow" w:hAnsi="Arial Narrow"/>
              </w:rPr>
              <w:t>Endometrial</w:t>
            </w:r>
            <w:r>
              <w:rPr>
                <w:rFonts w:ascii="Arial Narrow" w:hAnsi="Arial Narrow"/>
              </w:rPr>
              <w:t xml:space="preserve"> cancer</w:t>
            </w:r>
          </w:p>
        </w:tc>
        <w:tc>
          <w:tcPr>
            <w:tcW w:w="2126" w:type="dxa"/>
          </w:tcPr>
          <w:p w14:paraId="08D5BB7E" w14:textId="77777777" w:rsidR="00AF0B86" w:rsidRPr="007A0CF6" w:rsidRDefault="00AF0B86" w:rsidP="0069310B">
            <w:pPr>
              <w:tabs>
                <w:tab w:val="left" w:pos="743"/>
              </w:tabs>
              <w:spacing w:before="40" w:after="40"/>
              <w:jc w:val="center"/>
              <w:rPr>
                <w:rFonts w:ascii="Arial Narrow" w:hAnsi="Arial Narrow"/>
              </w:rPr>
            </w:pPr>
            <w:r>
              <w:rPr>
                <w:rFonts w:ascii="Arial Narrow" w:hAnsi="Arial Narrow"/>
              </w:rPr>
              <w:t>2.1%</w:t>
            </w:r>
          </w:p>
        </w:tc>
        <w:tc>
          <w:tcPr>
            <w:tcW w:w="1985" w:type="dxa"/>
          </w:tcPr>
          <w:p w14:paraId="0A8696AF" w14:textId="77777777" w:rsidR="00AF0B86" w:rsidRPr="007A0CF6" w:rsidRDefault="00AF0B86" w:rsidP="0069310B">
            <w:pPr>
              <w:spacing w:before="40" w:after="40"/>
              <w:jc w:val="center"/>
              <w:rPr>
                <w:rFonts w:ascii="Arial Narrow" w:hAnsi="Arial Narrow"/>
              </w:rPr>
            </w:pPr>
            <w:r>
              <w:rPr>
                <w:rFonts w:ascii="Arial Narrow" w:hAnsi="Arial Narrow"/>
              </w:rPr>
              <w:t>890</w:t>
            </w:r>
          </w:p>
        </w:tc>
        <w:tc>
          <w:tcPr>
            <w:tcW w:w="3067" w:type="dxa"/>
          </w:tcPr>
          <w:p w14:paraId="684F7D1B" w14:textId="77777777" w:rsidR="00AF0B86" w:rsidRPr="007A0CF6" w:rsidRDefault="00AF0B86" w:rsidP="0069310B">
            <w:pPr>
              <w:tabs>
                <w:tab w:val="left" w:pos="742"/>
              </w:tabs>
              <w:spacing w:before="40" w:after="40"/>
              <w:jc w:val="center"/>
              <w:rPr>
                <w:rFonts w:ascii="Arial Narrow" w:hAnsi="Arial Narrow"/>
              </w:rPr>
            </w:pPr>
            <w:r w:rsidRPr="007A0CF6">
              <w:rPr>
                <w:rFonts w:ascii="Arial Narrow" w:hAnsi="Arial Narrow"/>
              </w:rPr>
              <w:t>3</w:t>
            </w:r>
            <w:r>
              <w:rPr>
                <w:rFonts w:ascii="Arial Narrow" w:hAnsi="Arial Narrow"/>
              </w:rPr>
              <w:t>3</w:t>
            </w:r>
            <w:r w:rsidRPr="007A0CF6">
              <w:rPr>
                <w:rFonts w:ascii="Arial Narrow" w:hAnsi="Arial Narrow"/>
              </w:rPr>
              <w:t>%</w:t>
            </w:r>
          </w:p>
        </w:tc>
      </w:tr>
    </w:tbl>
    <w:p w14:paraId="4E34E2BB" w14:textId="77777777" w:rsidR="00AF0B86" w:rsidRDefault="00AF0B86" w:rsidP="00AF0B86">
      <w:pPr>
        <w:spacing w:before="40" w:after="240"/>
        <w:jc w:val="both"/>
        <w:rPr>
          <w:rFonts w:ascii="Arial Narrow" w:hAnsi="Arial Narrow"/>
        </w:rPr>
      </w:pPr>
      <w:r w:rsidRPr="007A0CF6">
        <w:rPr>
          <w:rFonts w:ascii="Arial Narrow" w:hAnsi="Arial Narrow"/>
        </w:rPr>
        <w:t>Source:</w:t>
      </w:r>
      <w:r>
        <w:rPr>
          <w:rFonts w:ascii="Arial Narrow" w:hAnsi="Arial Narrow"/>
        </w:rPr>
        <w:t xml:space="preserve"> </w:t>
      </w:r>
      <w:r w:rsidRPr="00643D06">
        <w:rPr>
          <w:rFonts w:ascii="Arial Narrow" w:hAnsi="Arial Narrow"/>
        </w:rPr>
        <w:t>Scarpa, Cataldo &amp; Salvatore</w:t>
      </w:r>
      <w:r>
        <w:rPr>
          <w:rFonts w:ascii="Arial Narrow" w:hAnsi="Arial Narrow"/>
        </w:rPr>
        <w:t xml:space="preserve"> </w:t>
      </w:r>
      <w:r>
        <w:rPr>
          <w:rFonts w:ascii="Arial Narrow" w:hAnsi="Arial Narrow"/>
        </w:rPr>
        <w:fldChar w:fldCharType="begin"/>
      </w:r>
      <w:r>
        <w:rPr>
          <w:rFonts w:ascii="Arial Narrow" w:hAnsi="Arial Narrow"/>
        </w:rPr>
        <w:instrText xml:space="preserve"> ADDIN EN.CITE &lt;EndNote&gt;&lt;Cite ExcludeAuth="1"&gt;&lt;Author&gt;Scarpa&lt;/Author&gt;&lt;Year&gt;2016&lt;/Year&gt;&lt;RecNum&gt;7&lt;/RecNum&gt;&lt;DisplayText&gt;(2016)&lt;/DisplayText&gt;&lt;record&gt;&lt;rec-number&gt;7&lt;/rec-number&gt;&lt;foreign-keys&gt;&lt;key app="EN" db-id="as9sdrfwoaw9fce5xr9pew9gz9epate29xvw" timestamp="1504597013"&gt;7&lt;/key&gt;&lt;/foreign-keys&gt;&lt;ref-type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rPr>
          <w:rFonts w:ascii="Arial Narrow" w:hAnsi="Arial Narrow"/>
        </w:rPr>
        <w:fldChar w:fldCharType="separate"/>
      </w:r>
      <w:r>
        <w:rPr>
          <w:rFonts w:ascii="Arial Narrow" w:hAnsi="Arial Narrow"/>
          <w:noProof/>
        </w:rPr>
        <w:t>(2016)</w:t>
      </w:r>
      <w:r>
        <w:rPr>
          <w:rFonts w:ascii="Arial Narrow" w:hAnsi="Arial Narrow"/>
        </w:rPr>
        <w:fldChar w:fldCharType="end"/>
      </w:r>
      <w:r>
        <w:rPr>
          <w:rFonts w:ascii="Arial Narrow" w:hAnsi="Arial Narrow"/>
        </w:rPr>
        <w:t xml:space="preserve">; </w:t>
      </w:r>
      <w:r w:rsidRPr="006B2328">
        <w:rPr>
          <w:rFonts w:ascii="Arial Narrow" w:hAnsi="Arial Narrow"/>
        </w:rPr>
        <w:t>Cancer in Australia 201</w:t>
      </w:r>
      <w:r>
        <w:rPr>
          <w:rFonts w:ascii="Arial Narrow" w:hAnsi="Arial Narrow"/>
        </w:rPr>
        <w:t xml:space="preserve">9, Australian Institute of Health and Welfare. Available from URL </w:t>
      </w:r>
      <w:hyperlink r:id="rId30" w:history="1">
        <w:r w:rsidRPr="005818E4">
          <w:rPr>
            <w:rStyle w:val="Hyperlink"/>
            <w:rFonts w:ascii="Arial Narrow" w:hAnsi="Arial Narrow"/>
            <w:szCs w:val="20"/>
          </w:rPr>
          <w:t>https://www.aihw.gov.au/reports/cancer/cancer-in-australia-2019/data</w:t>
        </w:r>
      </w:hyperlink>
      <w:r>
        <w:rPr>
          <w:rFonts w:ascii="Arial Narrow" w:hAnsi="Arial Narrow"/>
        </w:rPr>
        <w:t xml:space="preserve"> .</w:t>
      </w:r>
    </w:p>
    <w:p w14:paraId="5DEAFBB8" w14:textId="77777777" w:rsidR="00AF0B86" w:rsidRPr="008E7645" w:rsidRDefault="00AF0B86" w:rsidP="00AF0B86">
      <w:pPr>
        <w:rPr>
          <w:b/>
          <w:bCs/>
        </w:rPr>
      </w:pPr>
      <w:r w:rsidRPr="008E7645">
        <w:rPr>
          <w:b/>
          <w:bCs/>
        </w:rPr>
        <w:t>Intervention</w:t>
      </w:r>
    </w:p>
    <w:p w14:paraId="1AC7AF3E" w14:textId="77777777" w:rsidR="00AF0B86" w:rsidRDefault="00AF0B86" w:rsidP="00AF0B86">
      <w:pPr>
        <w:jc w:val="both"/>
        <w:rPr>
          <w:rFonts w:ascii="Arial Narrow" w:hAnsi="Arial Narrow"/>
        </w:rPr>
      </w:pPr>
      <w:r w:rsidRPr="007A0CF6">
        <w:t xml:space="preserve">The intervention to be assessed is IHC </w:t>
      </w:r>
      <w:r>
        <w:t>d</w:t>
      </w:r>
      <w:r w:rsidRPr="007A0CF6">
        <w:t xml:space="preserve">MMR testing plus </w:t>
      </w:r>
      <w:r>
        <w:t>dostarlimab</w:t>
      </w:r>
      <w:r w:rsidRPr="007A0CF6">
        <w:t xml:space="preserve"> in those who </w:t>
      </w:r>
      <w:r>
        <w:t>h</w:t>
      </w:r>
      <w:r w:rsidRPr="007A0CF6">
        <w:t>a</w:t>
      </w:r>
      <w:r>
        <w:t>v</w:t>
      </w:r>
      <w:r w:rsidRPr="007A0CF6">
        <w:t>e</w:t>
      </w:r>
      <w:r>
        <w:t xml:space="preserve"> a</w:t>
      </w:r>
      <w:r w:rsidRPr="007A0CF6">
        <w:t xml:space="preserve"> </w:t>
      </w:r>
      <w:r>
        <w:t>d</w:t>
      </w:r>
      <w:r w:rsidRPr="007A0CF6">
        <w:t>MMR</w:t>
      </w:r>
      <w:r>
        <w:t xml:space="preserve"> tumour</w:t>
      </w:r>
      <w:r w:rsidRPr="007A0CF6">
        <w:t xml:space="preserve"> and standa</w:t>
      </w:r>
      <w:r>
        <w:t>rd of care second-line treatment in those whose tumours are MMR-</w:t>
      </w:r>
      <w:r w:rsidRPr="007A0CF6">
        <w:t xml:space="preserve">proficient. </w:t>
      </w:r>
    </w:p>
    <w:p w14:paraId="799A987D" w14:textId="77777777" w:rsidR="00AF0B86" w:rsidRPr="007A0CF6" w:rsidRDefault="00AF0B86" w:rsidP="00AF0B86">
      <w:pPr>
        <w:jc w:val="both"/>
      </w:pPr>
      <w:r w:rsidRPr="007A0CF6">
        <w:t xml:space="preserve">An alternative intervention would be no IHC </w:t>
      </w:r>
      <w:r>
        <w:t>d</w:t>
      </w:r>
      <w:r w:rsidRPr="007A0CF6">
        <w:t xml:space="preserve">MMR testing plus </w:t>
      </w:r>
      <w:r>
        <w:t>dostarlimab</w:t>
      </w:r>
      <w:r w:rsidRPr="007A0CF6">
        <w:t xml:space="preserve"> administered to all patients. This may be of use in clarifying the benefit of the testing component.</w:t>
      </w:r>
      <w:r>
        <w:t xml:space="preserve"> </w:t>
      </w:r>
      <w:r w:rsidRPr="00FE44D0">
        <w:rPr>
          <w:i/>
        </w:rPr>
        <w:t xml:space="preserve">(Note this is an alternative intervention, </w:t>
      </w:r>
      <w:r w:rsidRPr="00FE44D0">
        <w:rPr>
          <w:i/>
          <w:u w:val="single"/>
        </w:rPr>
        <w:t>not</w:t>
      </w:r>
      <w:r w:rsidRPr="00FE44D0">
        <w:rPr>
          <w:i/>
        </w:rPr>
        <w:t xml:space="preserve"> an alternative comparator</w:t>
      </w:r>
      <w:r>
        <w:rPr>
          <w:i/>
        </w:rPr>
        <w:t>). I</w:t>
      </w:r>
      <w:r w:rsidRPr="00FE44D0">
        <w:rPr>
          <w:i/>
        </w:rPr>
        <w:t>n the absence of this comparison, it would be difficult to demonstrate clinical utility of MMR IHC testing.</w:t>
      </w:r>
    </w:p>
    <w:p w14:paraId="3AD8F1BD" w14:textId="77777777" w:rsidR="00AF0B86" w:rsidRPr="007A0CF6" w:rsidRDefault="00AF0B86" w:rsidP="00AF0B86">
      <w:pPr>
        <w:jc w:val="both"/>
      </w:pPr>
      <w:r w:rsidRPr="005E105B">
        <w:t xml:space="preserve">IHC dMMR testing uses antibodies directed against each MMR protein (MLH1, MSH2, MSH6 and PMS2) and IHC staining to detect the expression of these proteins in the tumour cells to determine eligibility for treatment with </w:t>
      </w:r>
      <w:r>
        <w:t>dostarlimab</w:t>
      </w:r>
      <w:r w:rsidRPr="005E105B">
        <w:t xml:space="preserve">. The test uses </w:t>
      </w:r>
      <w:r>
        <w:t xml:space="preserve">four </w:t>
      </w:r>
      <w:r w:rsidRPr="005E105B">
        <w:t xml:space="preserve">formalin-fixed paraffin-embedded (FFPE) tumour tissue </w:t>
      </w:r>
      <w:r>
        <w:t xml:space="preserve">sections (one for each antibody) </w:t>
      </w:r>
      <w:r w:rsidRPr="005E105B">
        <w:t>from either a surgical resection or a biopsy (if unresectable). The sample would be obtained as part of normal diagnostic work-up, and patients are unlikely to require a new biopsy for the specific purpose of IHC dMMR testing.</w:t>
      </w:r>
    </w:p>
    <w:p w14:paraId="2FBEC317" w14:textId="5EB01B0C" w:rsidR="00AF0B86" w:rsidRDefault="00AF0B86" w:rsidP="00AF0B86">
      <w:pPr>
        <w:jc w:val="both"/>
      </w:pPr>
      <w:r w:rsidRPr="008C3A4A">
        <w:t xml:space="preserve">Even though </w:t>
      </w:r>
      <w:r>
        <w:t>IHC</w:t>
      </w:r>
      <w:r w:rsidRPr="008C3A4A">
        <w:t xml:space="preserve"> antibody staining requires four individual “tests”, the result of the four sections are combined </w:t>
      </w:r>
      <w:r>
        <w:t>to provide an overall picture and a</w:t>
      </w:r>
      <w:r w:rsidRPr="008C3A4A">
        <w:t xml:space="preserve"> single test result. </w:t>
      </w:r>
      <w:r w:rsidRPr="007A0CF6">
        <w:t>The proteins form heterodimers (either MLH1/PMS2 or MSH2/MSH6), as the loss of one protein usually affects the expression of its partner</w:t>
      </w:r>
      <w:r>
        <w:t>;</w:t>
      </w:r>
      <w:r w:rsidRPr="007A0CF6">
        <w:t xml:space="preserve"> most </w:t>
      </w:r>
      <w:r>
        <w:t>d</w:t>
      </w:r>
      <w:r w:rsidRPr="007A0CF6">
        <w:t xml:space="preserve">MMR CRCs show loss of expression of both proteins in the affected heterodimer. Loss of protein expression should be complete, with the absence of nuclear staining of all cancer cells and unequivocal positive staining of the nuclei of surrounding non-cancer cells and </w:t>
      </w:r>
      <w:r>
        <w:t>tumour-infiltrating</w:t>
      </w:r>
      <w:r w:rsidRPr="007A0CF6">
        <w:t xml:space="preserve"> lymphocytes. The loss of expression of MSH2/MSH6 is highly suggestive of a MSH2 germline mutation, and loss of expression of MLH1/PMS2 may result either from a MLH1 germline mutation or from acquired somatic hyper-methylation of the MLH1 gene promoter. Patients whose tumours showed a lack of expression of any of these proteins would be classed as </w:t>
      </w:r>
      <w:r>
        <w:t>d</w:t>
      </w:r>
      <w:r w:rsidRPr="007A0CF6">
        <w:t xml:space="preserve">MMR and would be eligible for treatment with </w:t>
      </w:r>
      <w:r w:rsidR="00AA6B7A">
        <w:t>dostarlimab</w:t>
      </w:r>
      <w:r w:rsidRPr="007A0CF6">
        <w:t xml:space="preserve"> </w:t>
      </w:r>
      <w:r w:rsidR="009E2EA3">
        <w:t>after</w:t>
      </w:r>
      <w:r w:rsidRPr="007A0CF6">
        <w:t xml:space="preserve"> progression </w:t>
      </w:r>
      <w:r w:rsidR="009E2EA3">
        <w:t>following first-line treatment</w:t>
      </w:r>
      <w:r w:rsidRPr="007A0CF6">
        <w:t>.</w:t>
      </w:r>
      <w:r>
        <w:t xml:space="preserve"> </w:t>
      </w:r>
    </w:p>
    <w:p w14:paraId="444F249E" w14:textId="77777777" w:rsidR="00AF0B86" w:rsidRPr="007A0CF6" w:rsidRDefault="00AF0B86" w:rsidP="00AF0B86">
      <w:pPr>
        <w:jc w:val="both"/>
      </w:pPr>
      <w:r w:rsidRPr="007A0CF6">
        <w:t xml:space="preserve">Patients are expected to receive one test throughout the course of their disease. The test is a Class II in vitro diagnostic test and must be performed in an accredited laboratory by a certified pathologist. It should be noted that most laboratories are already able to perform the IHC </w:t>
      </w:r>
      <w:r>
        <w:t>d</w:t>
      </w:r>
      <w:r w:rsidRPr="007A0CF6">
        <w:t>MMR test. If</w:t>
      </w:r>
      <w:r>
        <w:t xml:space="preserve"> </w:t>
      </w:r>
      <w:r w:rsidRPr="007A0CF6">
        <w:t xml:space="preserve">found to be </w:t>
      </w:r>
      <w:r>
        <w:t>d</w:t>
      </w:r>
      <w:r w:rsidRPr="007A0CF6">
        <w:t xml:space="preserve">MMR, treatment with </w:t>
      </w:r>
      <w:r>
        <w:t>dostarlimab</w:t>
      </w:r>
      <w:r w:rsidRPr="007A0CF6">
        <w:t xml:space="preserve"> would be managed by medical oncologists.</w:t>
      </w:r>
    </w:p>
    <w:p w14:paraId="2B3CA461" w14:textId="77777777" w:rsidR="00AF0B86" w:rsidRPr="007A0CF6" w:rsidRDefault="00AF0B86" w:rsidP="00AF0B86">
      <w:pPr>
        <w:jc w:val="both"/>
      </w:pPr>
      <w:r w:rsidRPr="007A0CF6">
        <w:t xml:space="preserve">The IHC </w:t>
      </w:r>
      <w:r>
        <w:t>d</w:t>
      </w:r>
      <w:r w:rsidRPr="007A0CF6">
        <w:t>MMR test is a simple, fast and inexpensive and many patients diagnosed with endometrial cancer</w:t>
      </w:r>
      <w:r>
        <w:t>, as well as those aged &lt;50 years with Lynch syndrome-associated tumours,</w:t>
      </w:r>
      <w:r w:rsidRPr="007A0CF6">
        <w:t xml:space="preserve"> already receive IHC </w:t>
      </w:r>
      <w:r>
        <w:t>d</w:t>
      </w:r>
      <w:r w:rsidRPr="007A0CF6">
        <w:t xml:space="preserve">MMR testing as part of their diagnostic work-up at initial diagnosis. </w:t>
      </w:r>
    </w:p>
    <w:p w14:paraId="507AF50E" w14:textId="77777777" w:rsidR="00AF0B86" w:rsidRPr="00C15D56" w:rsidRDefault="00AF0B86" w:rsidP="00AF0B86">
      <w:pPr>
        <w:jc w:val="both"/>
        <w:rPr>
          <w:i/>
        </w:rPr>
      </w:pPr>
      <w:r w:rsidRPr="007A0CF6">
        <w:lastRenderedPageBreak/>
        <w:t xml:space="preserve">IHC </w:t>
      </w:r>
      <w:r>
        <w:t>d</w:t>
      </w:r>
      <w:r w:rsidRPr="007A0CF6">
        <w:t xml:space="preserve">MMR testing </w:t>
      </w:r>
      <w:r>
        <w:t>is claimed using</w:t>
      </w:r>
      <w:r w:rsidRPr="007A0CF6">
        <w:t xml:space="preserve"> MBS item number 72847. This item is for general IHC testing with 4-6 antibodies and is not limited to either anti-MMR antibodies or a specific patient population. </w:t>
      </w:r>
    </w:p>
    <w:p w14:paraId="1817EF6F" w14:textId="77777777" w:rsidR="00AF0B86" w:rsidRPr="007A0CF6" w:rsidRDefault="00AF0B86" w:rsidP="00AF0B86">
      <w:pPr>
        <w:keepNext/>
        <w:spacing w:before="240"/>
        <w:rPr>
          <w:i/>
        </w:rPr>
      </w:pPr>
      <w:r w:rsidRPr="007A0CF6">
        <w:rPr>
          <w:i/>
          <w:u w:val="single"/>
        </w:rPr>
        <w:t>Rationale</w:t>
      </w:r>
    </w:p>
    <w:p w14:paraId="69492487" w14:textId="77777777" w:rsidR="00AF0B86" w:rsidRDefault="00AF0B86" w:rsidP="00AF0B86">
      <w:pPr>
        <w:jc w:val="both"/>
      </w:pPr>
      <w:r>
        <w:t xml:space="preserve">Currently, universal IHC dMMR testing is recommended for CRC and endometrial cancer, with many others tested where red flag criteria exists such as certain cancers in those aged &lt;50 years. </w:t>
      </w:r>
    </w:p>
    <w:p w14:paraId="360B3984" w14:textId="77777777" w:rsidR="00AF0B86" w:rsidRDefault="00AF0B86" w:rsidP="00AF0B86">
      <w:pPr>
        <w:jc w:val="both"/>
      </w:pPr>
      <w:r>
        <w:t xml:space="preserve">Feedback received from Ovarian Cancer Australia for the Targeted Consultation Survey on MSAC Application 1508 indicated that histotype-specific Lynch syndrome screening in ovarian cancers, specifically endometrioid and clear cell carcinomas, independently of the patient’s age is advocated by the Austrian Organisation for Gynaecological Oncology </w:t>
      </w:r>
      <w:r>
        <w:fldChar w:fldCharType="begin"/>
      </w:r>
      <w:r>
        <w:instrText xml:space="preserve"> ADDIN EN.CITE &lt;EndNote&gt;&lt;Cite&gt;&lt;Author&gt;Zeimet&lt;/Author&gt;&lt;Year&gt;2017&lt;/Year&gt;&lt;RecNum&gt;18&lt;/RecNum&gt;&lt;DisplayText&gt;(Zeimet et al. 2017)&lt;/DisplayText&gt;&lt;record&gt;&lt;rec-number&gt;18&lt;/rec-number&gt;&lt;foreign-keys&gt;&lt;key app="EN" db-id="as9sdrfwoaw9fce5xr9pew9gz9epate29xvw" timestamp="1508890143"&gt;18&lt;/key&gt;&lt;/foreign-keys&gt;&lt;ref-type name="Journal Article"&gt;17&lt;/ref-type&gt;&lt;contributors&gt;&lt;authors&gt;&lt;author&gt;Zeimet, Alain G.&lt;/author&gt;&lt;author&gt;Mori, Harald&lt;/author&gt;&lt;author&gt;Petru, Edgar&lt;/author&gt;&lt;author&gt;Polterauer, Stephan&lt;/author&gt;&lt;author&gt;Reinthaller, Alexander&lt;/author&gt;&lt;author&gt;Schauer, Christian&lt;/author&gt;&lt;author&gt;Scholl-Firon, Tonja&lt;/author&gt;&lt;author&gt;Singer, Christian&lt;/author&gt;&lt;author&gt;Wimmer, Katharina&lt;/author&gt;&lt;author&gt;Zschocke, Johannes&lt;/author&gt;&lt;author&gt;Marth, Christian&lt;/author&gt;&lt;/authors&gt;&lt;/contributors&gt;&lt;titles&gt;&lt;title&gt;AGO Austria recommendation on screening and diagnosis of Lynch syndrome (LS)&lt;/title&gt;&lt;secondary-title&gt;Archives of Gynecology and Obstetrics&lt;/secondary-title&gt;&lt;/titles&gt;&lt;periodical&gt;&lt;full-title&gt;Archives of Gynecology and Obstetrics&lt;/full-title&gt;&lt;/periodical&gt;&lt;pages&gt;123-127&lt;/pages&gt;&lt;volume&gt;296&lt;/volume&gt;&lt;number&gt;1&lt;/number&gt;&lt;dates&gt;&lt;year&gt;2017&lt;/year&gt;&lt;pub-dates&gt;&lt;date&gt;July 01&lt;/date&gt;&lt;/pub-dates&gt;&lt;/dates&gt;&lt;isbn&gt;1432-0711&lt;/isbn&gt;&lt;label&gt;Zeimet2017&lt;/label&gt;&lt;work-type&gt;journal article&lt;/work-type&gt;&lt;urls&gt;&lt;related-urls&gt;&lt;url&gt;https://doi.org/10.1007/s00404-017-4392-y&lt;/url&gt;&lt;url&gt;https://www.ncbi.nlm.nih.gov/pmc/articles/PMC5486556/pdf/404_2017_Article_4392.pdf&lt;/url&gt;&lt;/related-urls&gt;&lt;/urls&gt;&lt;electronic-resource-num&gt;10.1007/s00404-017-4392-y&lt;/electronic-resource-num&gt;&lt;/record&gt;&lt;/Cite&gt;&lt;/EndNote&gt;</w:instrText>
      </w:r>
      <w:r>
        <w:fldChar w:fldCharType="separate"/>
      </w:r>
      <w:r>
        <w:rPr>
          <w:noProof/>
        </w:rPr>
        <w:t>(Zeimet et al. 2017)</w:t>
      </w:r>
      <w:r>
        <w:fldChar w:fldCharType="end"/>
      </w:r>
      <w:r>
        <w:t>.</w:t>
      </w:r>
    </w:p>
    <w:p w14:paraId="67AA5B10" w14:textId="77777777" w:rsidR="00AF0B86" w:rsidRDefault="00AF0B86" w:rsidP="00AF0B86">
      <w:pPr>
        <w:jc w:val="both"/>
      </w:pPr>
      <w:r>
        <w:t xml:space="preserve">IHC dMMR testing is already routinely undertaken in Australian laboratories, and is increasingly routine for endometrial cancer. Although the routine testing of endometrial tumours for those under the age of 50 and 60, respectively, is considered best practice, feedback received from Lynch Syndrome Australia on the Targeted Consultation Survey on MSAC Application 1508 reported that this is not the experience of Australians with Lynch syndrome. They indicated that this level of screening does not occur ‘routinely’. </w:t>
      </w:r>
    </w:p>
    <w:p w14:paraId="0D74540D" w14:textId="77777777" w:rsidR="00AF0B86" w:rsidRPr="008E7645" w:rsidRDefault="00AF0B86" w:rsidP="00AF0B86">
      <w:pPr>
        <w:rPr>
          <w:b/>
          <w:bCs/>
        </w:rPr>
      </w:pPr>
      <w:r w:rsidRPr="008E7645">
        <w:rPr>
          <w:b/>
          <w:bCs/>
        </w:rPr>
        <w:t>Comparator</w:t>
      </w:r>
    </w:p>
    <w:p w14:paraId="42C92507" w14:textId="77777777" w:rsidR="00AF0B86" w:rsidRPr="00A84D0B" w:rsidRDefault="00AF0B86" w:rsidP="00AF0B86">
      <w:pPr>
        <w:jc w:val="both"/>
        <w:rPr>
          <w:i/>
          <w:iCs/>
        </w:rPr>
      </w:pPr>
      <w:r w:rsidRPr="007A0CF6">
        <w:t>T</w:t>
      </w:r>
      <w:r>
        <w:t>he comparator is n</w:t>
      </w:r>
      <w:r w:rsidRPr="007A0CF6">
        <w:t xml:space="preserve">o testing </w:t>
      </w:r>
      <w:r>
        <w:t>plus</w:t>
      </w:r>
      <w:r w:rsidRPr="007A0CF6">
        <w:t xml:space="preserve"> </w:t>
      </w:r>
      <w:r>
        <w:t>s</w:t>
      </w:r>
      <w:r w:rsidRPr="007A0CF6">
        <w:t xml:space="preserve">tandard of care </w:t>
      </w:r>
      <w:r>
        <w:t xml:space="preserve">second-line treatment </w:t>
      </w:r>
      <w:r w:rsidRPr="007A0CF6">
        <w:t>administered to all patients</w:t>
      </w:r>
      <w:r>
        <w:t xml:space="preserve">. The second-line treatment options for endometrial cancers that do not have access to dostarlimab are </w:t>
      </w:r>
      <w:r w:rsidRPr="00A84D0B">
        <w:t xml:space="preserve">listed in Table 3.  </w:t>
      </w:r>
    </w:p>
    <w:p w14:paraId="399E6120" w14:textId="77777777" w:rsidR="00AF0B86" w:rsidRPr="007A0CF6" w:rsidRDefault="00AF0B86" w:rsidP="00AF0B86">
      <w:pPr>
        <w:pStyle w:val="Caption"/>
        <w:rPr>
          <w:lang w:val="en-AU"/>
        </w:rPr>
      </w:pPr>
      <w:r w:rsidRPr="007A0CF6">
        <w:rPr>
          <w:lang w:val="en-AU"/>
        </w:rPr>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Pr>
          <w:noProof/>
          <w:lang w:val="en-AU"/>
        </w:rPr>
        <w:t>3</w:t>
      </w:r>
      <w:r w:rsidRPr="007A0CF6">
        <w:rPr>
          <w:lang w:val="en-AU"/>
        </w:rPr>
        <w:fldChar w:fldCharType="end"/>
      </w:r>
      <w:r w:rsidRPr="007A0CF6">
        <w:rPr>
          <w:lang w:val="en-AU"/>
        </w:rPr>
        <w:tab/>
      </w:r>
      <w:r>
        <w:rPr>
          <w:lang w:val="en-AU"/>
        </w:rPr>
        <w:t>Second-line treatment options for</w:t>
      </w:r>
      <w:r w:rsidRPr="007A0CF6">
        <w:rPr>
          <w:lang w:val="en-AU"/>
        </w:rPr>
        <w:t xml:space="preserve"> </w:t>
      </w:r>
      <w:r>
        <w:rPr>
          <w:lang w:val="en-AU"/>
        </w:rPr>
        <w:t>the most common non-CRC solid tumour types in Australia that do not currently have access to dostarlimab treatment</w:t>
      </w:r>
    </w:p>
    <w:tbl>
      <w:tblPr>
        <w:tblStyle w:val="TableGrid"/>
        <w:tblW w:w="9067" w:type="dxa"/>
        <w:tblLook w:val="04A0" w:firstRow="1" w:lastRow="0" w:firstColumn="1" w:lastColumn="0" w:noHBand="0" w:noVBand="1"/>
        <w:tblCaption w:val="Prevalence in sporadic solid tumour cases"/>
        <w:tblDescription w:val="reports the prevalence of microsatellite instability in various solid tumours"/>
      </w:tblPr>
      <w:tblGrid>
        <w:gridCol w:w="1980"/>
        <w:gridCol w:w="2126"/>
        <w:gridCol w:w="4961"/>
      </w:tblGrid>
      <w:tr w:rsidR="00AF0B86" w:rsidRPr="007A0CF6" w14:paraId="0AAF71AE" w14:textId="77777777" w:rsidTr="0069310B">
        <w:trPr>
          <w:tblHeader/>
        </w:trPr>
        <w:tc>
          <w:tcPr>
            <w:tcW w:w="1980" w:type="dxa"/>
          </w:tcPr>
          <w:p w14:paraId="0C00CB77" w14:textId="77777777" w:rsidR="00AF0B86" w:rsidRPr="007A0CF6" w:rsidRDefault="00AF0B86" w:rsidP="0069310B">
            <w:pPr>
              <w:spacing w:before="40" w:after="40"/>
              <w:jc w:val="both"/>
              <w:rPr>
                <w:rFonts w:ascii="Arial Narrow" w:hAnsi="Arial Narrow"/>
                <w:b/>
              </w:rPr>
            </w:pPr>
            <w:r w:rsidRPr="007A0CF6">
              <w:rPr>
                <w:rFonts w:ascii="Arial Narrow" w:hAnsi="Arial Narrow"/>
                <w:b/>
              </w:rPr>
              <w:t xml:space="preserve">Carcinoma </w:t>
            </w:r>
          </w:p>
        </w:tc>
        <w:tc>
          <w:tcPr>
            <w:tcW w:w="2126" w:type="dxa"/>
          </w:tcPr>
          <w:p w14:paraId="158A489C" w14:textId="77777777" w:rsidR="00AF0B86" w:rsidRPr="007A0CF6" w:rsidRDefault="00AF0B86" w:rsidP="0069310B">
            <w:pPr>
              <w:spacing w:before="40" w:after="40"/>
              <w:jc w:val="center"/>
              <w:rPr>
                <w:rFonts w:ascii="Arial Narrow" w:hAnsi="Arial Narrow"/>
                <w:b/>
              </w:rPr>
            </w:pPr>
            <w:r>
              <w:rPr>
                <w:rFonts w:ascii="Arial Narrow" w:hAnsi="Arial Narrow"/>
                <w:b/>
              </w:rPr>
              <w:t>Predicted number of dMMR advanced and metastatic patients</w:t>
            </w:r>
          </w:p>
        </w:tc>
        <w:tc>
          <w:tcPr>
            <w:tcW w:w="4961" w:type="dxa"/>
          </w:tcPr>
          <w:p w14:paraId="75103ADF" w14:textId="77777777" w:rsidR="00AF0B86" w:rsidRPr="007A0CF6" w:rsidRDefault="00AF0B86" w:rsidP="0069310B">
            <w:pPr>
              <w:spacing w:before="40" w:after="40"/>
              <w:jc w:val="center"/>
              <w:rPr>
                <w:rFonts w:ascii="Arial Narrow" w:hAnsi="Arial Narrow"/>
                <w:b/>
              </w:rPr>
            </w:pPr>
            <w:r>
              <w:rPr>
                <w:rFonts w:ascii="Arial Narrow" w:hAnsi="Arial Narrow"/>
                <w:b/>
              </w:rPr>
              <w:t>Second-line treatment options</w:t>
            </w:r>
          </w:p>
        </w:tc>
      </w:tr>
      <w:tr w:rsidR="00AF0B86" w:rsidRPr="007A0CF6" w14:paraId="65E56B0D" w14:textId="77777777" w:rsidTr="0069310B">
        <w:tc>
          <w:tcPr>
            <w:tcW w:w="1980" w:type="dxa"/>
          </w:tcPr>
          <w:p w14:paraId="07A8CCA6" w14:textId="77777777" w:rsidR="00AF0B86" w:rsidRPr="007A0CF6" w:rsidRDefault="00AF0B86" w:rsidP="0069310B">
            <w:pPr>
              <w:spacing w:before="40" w:after="40"/>
              <w:jc w:val="both"/>
              <w:rPr>
                <w:rFonts w:ascii="Arial Narrow" w:hAnsi="Arial Narrow"/>
              </w:rPr>
            </w:pPr>
            <w:r w:rsidRPr="007A0CF6">
              <w:rPr>
                <w:rFonts w:ascii="Arial Narrow" w:hAnsi="Arial Narrow"/>
              </w:rPr>
              <w:t>Endometrial</w:t>
            </w:r>
            <w:r>
              <w:rPr>
                <w:rFonts w:ascii="Arial Narrow" w:hAnsi="Arial Narrow"/>
              </w:rPr>
              <w:t xml:space="preserve"> cancer</w:t>
            </w:r>
          </w:p>
        </w:tc>
        <w:tc>
          <w:tcPr>
            <w:tcW w:w="2126" w:type="dxa"/>
          </w:tcPr>
          <w:p w14:paraId="71BFA4C3" w14:textId="77777777" w:rsidR="00AF0B86" w:rsidRPr="007A0CF6" w:rsidRDefault="00AF0B86" w:rsidP="0069310B">
            <w:pPr>
              <w:spacing w:before="40" w:after="40"/>
              <w:jc w:val="center"/>
              <w:rPr>
                <w:rFonts w:ascii="Arial Narrow" w:hAnsi="Arial Narrow"/>
              </w:rPr>
            </w:pPr>
            <w:r>
              <w:rPr>
                <w:rFonts w:ascii="Arial Narrow" w:hAnsi="Arial Narrow"/>
              </w:rPr>
              <w:t>75 out of 890</w:t>
            </w:r>
          </w:p>
        </w:tc>
        <w:tc>
          <w:tcPr>
            <w:tcW w:w="4961" w:type="dxa"/>
          </w:tcPr>
          <w:p w14:paraId="6020D056" w14:textId="78447E98" w:rsidR="00AF0B86" w:rsidRPr="007A0CF6" w:rsidRDefault="00AF0B86" w:rsidP="0069310B">
            <w:pPr>
              <w:tabs>
                <w:tab w:val="left" w:pos="742"/>
              </w:tabs>
              <w:spacing w:before="40" w:after="40"/>
              <w:rPr>
                <w:rFonts w:ascii="Arial Narrow" w:hAnsi="Arial Narrow"/>
              </w:rPr>
            </w:pPr>
            <w:r w:rsidRPr="00B77270">
              <w:rPr>
                <w:rFonts w:ascii="Arial Narrow" w:hAnsi="Arial Narrow"/>
              </w:rPr>
              <w:t xml:space="preserve">Hormonal </w:t>
            </w:r>
            <w:r>
              <w:rPr>
                <w:rFonts w:ascii="Arial Narrow" w:hAnsi="Arial Narrow"/>
              </w:rPr>
              <w:t xml:space="preserve">treatment </w:t>
            </w:r>
            <w:r w:rsidRPr="00B77270">
              <w:rPr>
                <w:rFonts w:ascii="Arial Narrow" w:hAnsi="Arial Narrow"/>
              </w:rPr>
              <w:t xml:space="preserve">if </w:t>
            </w:r>
            <w:r w:rsidR="00E01E23">
              <w:rPr>
                <w:rFonts w:ascii="Arial Narrow" w:hAnsi="Arial Narrow"/>
              </w:rPr>
              <w:t>endometriod</w:t>
            </w:r>
            <w:r>
              <w:rPr>
                <w:rFonts w:ascii="Arial Narrow" w:hAnsi="Arial Narrow"/>
              </w:rPr>
              <w:t xml:space="preserve"> </w:t>
            </w:r>
            <w:r w:rsidRPr="00B77270">
              <w:rPr>
                <w:rFonts w:ascii="Arial Narrow" w:hAnsi="Arial Narrow"/>
              </w:rPr>
              <w:t xml:space="preserve">or </w:t>
            </w:r>
            <w:r>
              <w:rPr>
                <w:rFonts w:ascii="Arial Narrow" w:hAnsi="Arial Narrow"/>
              </w:rPr>
              <w:t>monotherapy with t</w:t>
            </w:r>
            <w:r w:rsidRPr="00B77270">
              <w:rPr>
                <w:rFonts w:ascii="Arial Narrow" w:hAnsi="Arial Narrow"/>
              </w:rPr>
              <w:t>axol</w:t>
            </w:r>
            <w:r>
              <w:rPr>
                <w:rFonts w:ascii="Arial Narrow" w:hAnsi="Arial Narrow"/>
              </w:rPr>
              <w:t>,</w:t>
            </w:r>
            <w:r w:rsidRPr="00B77270">
              <w:rPr>
                <w:rFonts w:ascii="Arial Narrow" w:hAnsi="Arial Narrow"/>
              </w:rPr>
              <w:t xml:space="preserve"> </w:t>
            </w:r>
            <w:r>
              <w:rPr>
                <w:rFonts w:ascii="Arial Narrow" w:hAnsi="Arial Narrow"/>
              </w:rPr>
              <w:t>d</w:t>
            </w:r>
            <w:r w:rsidRPr="00B77270">
              <w:rPr>
                <w:rFonts w:ascii="Arial Narrow" w:hAnsi="Arial Narrow"/>
              </w:rPr>
              <w:t>oxorubicin or epirubicin</w:t>
            </w:r>
          </w:p>
        </w:tc>
      </w:tr>
    </w:tbl>
    <w:p w14:paraId="2D48BC92" w14:textId="06D2CC30" w:rsidR="00AF0B86" w:rsidRDefault="00AF0B86" w:rsidP="00AF0B86">
      <w:pPr>
        <w:spacing w:before="40" w:after="40"/>
        <w:jc w:val="both"/>
        <w:rPr>
          <w:rFonts w:ascii="Arial Narrow" w:hAnsi="Arial Narrow"/>
        </w:rPr>
      </w:pPr>
      <w:r w:rsidRPr="007A0CF6">
        <w:rPr>
          <w:rFonts w:ascii="Arial Narrow" w:hAnsi="Arial Narrow"/>
        </w:rPr>
        <w:t>Source:</w:t>
      </w:r>
      <w:r>
        <w:rPr>
          <w:rFonts w:ascii="Arial Narrow" w:hAnsi="Arial Narrow"/>
        </w:rPr>
        <w:t xml:space="preserve">  ESMO guidelines available from URL: &lt;</w:t>
      </w:r>
      <w:hyperlink r:id="rId31" w:tooltip="Link to Guidelines" w:history="1">
        <w:r w:rsidRPr="00DE4CE9">
          <w:rPr>
            <w:rStyle w:val="Hyperlink"/>
            <w:rFonts w:ascii="Arial Narrow" w:hAnsi="Arial Narrow"/>
          </w:rPr>
          <w:t>http://www.esmo.org/Guidelines</w:t>
        </w:r>
      </w:hyperlink>
      <w:r>
        <w:rPr>
          <w:rFonts w:ascii="Arial Narrow" w:hAnsi="Arial Narrow"/>
        </w:rPr>
        <w:t>&gt;</w:t>
      </w:r>
    </w:p>
    <w:p w14:paraId="5A7707A0" w14:textId="77777777" w:rsidR="00AF0B86" w:rsidRDefault="00AF0B86" w:rsidP="00AF0B86">
      <w:pPr>
        <w:spacing w:before="40" w:after="240"/>
        <w:jc w:val="both"/>
        <w:rPr>
          <w:rFonts w:ascii="Arial Narrow" w:hAnsi="Arial Narrow"/>
        </w:rPr>
      </w:pPr>
      <w:r>
        <w:rPr>
          <w:rFonts w:ascii="Arial Narrow" w:hAnsi="Arial Narrow"/>
        </w:rPr>
        <w:t xml:space="preserve">ER = endocrine receptor; HER-2 = </w:t>
      </w:r>
      <w:r w:rsidRPr="007B6D3C">
        <w:rPr>
          <w:rFonts w:ascii="Arial Narrow" w:hAnsi="Arial Narrow"/>
        </w:rPr>
        <w:t>human epidermal growth factor receptor 2</w:t>
      </w:r>
      <w:r>
        <w:rPr>
          <w:rFonts w:ascii="Arial Narrow" w:hAnsi="Arial Narrow"/>
        </w:rPr>
        <w:t xml:space="preserve">; </w:t>
      </w:r>
      <w:r w:rsidRPr="00BC01B7">
        <w:rPr>
          <w:rFonts w:ascii="Arial Narrow" w:hAnsi="Arial Narrow"/>
        </w:rPr>
        <w:t xml:space="preserve">NSCLC </w:t>
      </w:r>
      <w:r>
        <w:rPr>
          <w:rFonts w:ascii="Arial Narrow" w:hAnsi="Arial Narrow"/>
        </w:rPr>
        <w:t>= non-small cell lung cancer; SOC = standard of care</w:t>
      </w:r>
    </w:p>
    <w:p w14:paraId="236C761E" w14:textId="77777777" w:rsidR="00AF0B86" w:rsidRPr="00BA77C3" w:rsidRDefault="00AF0B86" w:rsidP="00AF0B86">
      <w:pPr>
        <w:jc w:val="both"/>
        <w:rPr>
          <w:iCs/>
        </w:rPr>
      </w:pPr>
      <w:r w:rsidRPr="00BA77C3">
        <w:rPr>
          <w:iCs/>
        </w:rPr>
        <w:t>As only data from a single arm study enrolling patients with dMMR will be available, any comparisons will need to be indirect.</w:t>
      </w:r>
    </w:p>
    <w:p w14:paraId="12FC3372" w14:textId="77777777" w:rsidR="00AF0B86" w:rsidRPr="007A0CF6" w:rsidRDefault="00AF0B86" w:rsidP="00AF0B86">
      <w:pPr>
        <w:jc w:val="both"/>
        <w:rPr>
          <w:i/>
        </w:rPr>
      </w:pPr>
      <w:r w:rsidRPr="007A0CF6">
        <w:rPr>
          <w:i/>
          <w:u w:val="single"/>
        </w:rPr>
        <w:t>Rationale</w:t>
      </w:r>
    </w:p>
    <w:p w14:paraId="704E4805" w14:textId="77777777" w:rsidR="00AF0B86" w:rsidRPr="007A0CF6" w:rsidRDefault="00AF0B86" w:rsidP="00AF0B86">
      <w:pPr>
        <w:jc w:val="both"/>
      </w:pPr>
      <w:r>
        <w:t>A</w:t>
      </w:r>
      <w:r w:rsidRPr="007A0CF6">
        <w:t xml:space="preserve">s IHC </w:t>
      </w:r>
      <w:r>
        <w:t>d</w:t>
      </w:r>
      <w:r w:rsidRPr="007A0CF6">
        <w:t>MMR testing is routinely done in Australia for CRC and other cancer types such as endometrial, it is already accepted as having adequate analytical validity, clinical validity and clinical utility.</w:t>
      </w:r>
    </w:p>
    <w:p w14:paraId="062DDD15" w14:textId="77777777" w:rsidR="00AF0B86" w:rsidRPr="00BA77C3" w:rsidRDefault="00AF0B86" w:rsidP="00AF0B86">
      <w:pPr>
        <w:jc w:val="both"/>
        <w:rPr>
          <w:iCs/>
        </w:rPr>
      </w:pPr>
      <w:r w:rsidRPr="00BA77C3">
        <w:rPr>
          <w:iCs/>
        </w:rPr>
        <w:t xml:space="preserve">Reasonable analytical validity in determining dMMR and eligibility for dostarlimab could be assumed given the routine nature of the test, especially if the test is subject to a quality assurance program. </w:t>
      </w:r>
    </w:p>
    <w:p w14:paraId="28872C72" w14:textId="77777777" w:rsidR="00AF0B86" w:rsidRPr="006F236D" w:rsidRDefault="00AF0B86" w:rsidP="00AF0B86">
      <w:pPr>
        <w:jc w:val="both"/>
        <w:rPr>
          <w:i/>
          <w:u w:val="single"/>
        </w:rPr>
      </w:pPr>
      <w:r w:rsidRPr="006F236D">
        <w:rPr>
          <w:i/>
          <w:u w:val="single"/>
        </w:rPr>
        <w:t>Reference standard</w:t>
      </w:r>
    </w:p>
    <w:p w14:paraId="64C0E5A2" w14:textId="77777777" w:rsidR="00AF0B86" w:rsidRPr="00F22094" w:rsidRDefault="00AF0B86" w:rsidP="00AF0B86">
      <w:pPr>
        <w:jc w:val="both"/>
      </w:pPr>
      <w:r>
        <w:t>Stelloo et al (2017) reported concordance rates of 94% between IHC and MSI PCR, with most instances of discordances being due to low MSI but absent MSH6 or PMS2 protein (also reported elsewhere for these 2 proteins). This suggests that IHC is the appropriate standard for establishing mismatch repair in endometrial cancer, given the frequency of MSH6 and PMS2 mutations as a cause of dMMR endometrial cancer and Lynch syndrome (Powell, 2017) [MSAC 2020].</w:t>
      </w:r>
    </w:p>
    <w:p w14:paraId="573657FC" w14:textId="77777777" w:rsidR="00AF0B86" w:rsidRPr="000B6389" w:rsidRDefault="00AF0B86" w:rsidP="00AF0B86">
      <w:pPr>
        <w:rPr>
          <w:b/>
          <w:bCs/>
        </w:rPr>
      </w:pPr>
      <w:r w:rsidRPr="000B6389">
        <w:rPr>
          <w:b/>
          <w:bCs/>
        </w:rPr>
        <w:t>Outcomes</w:t>
      </w:r>
    </w:p>
    <w:p w14:paraId="5ADA3A1C" w14:textId="77777777" w:rsidR="00AF0B86" w:rsidRPr="007A0CF6" w:rsidRDefault="00AF0B86" w:rsidP="00AF0B86">
      <w:pPr>
        <w:jc w:val="both"/>
      </w:pPr>
      <w:r w:rsidRPr="007A0CF6">
        <w:t xml:space="preserve">The evidence base consists of </w:t>
      </w:r>
      <w:r>
        <w:t>a</w:t>
      </w:r>
      <w:r w:rsidRPr="007A0CF6">
        <w:t xml:space="preserve"> single-arm phase II trial in which patients with </w:t>
      </w:r>
      <w:r>
        <w:t>endometrial cancer</w:t>
      </w:r>
      <w:r w:rsidRPr="007A0CF6">
        <w:t xml:space="preserve"> were treated with </w:t>
      </w:r>
      <w:r>
        <w:t>dostarlimab</w:t>
      </w:r>
      <w:r w:rsidRPr="007A0CF6">
        <w:t>.</w:t>
      </w:r>
    </w:p>
    <w:p w14:paraId="00F41CAB" w14:textId="77777777" w:rsidR="00AF0B86" w:rsidRPr="00A143DF" w:rsidRDefault="00AF0B86" w:rsidP="00AF0B86">
      <w:pPr>
        <w:jc w:val="both"/>
        <w:rPr>
          <w:iCs/>
        </w:rPr>
      </w:pPr>
      <w:r w:rsidRPr="00A143DF">
        <w:rPr>
          <w:iCs/>
        </w:rPr>
        <w:t>Thus, there will be no direct comparative data available. Additionally, as patients with MMR-proficient tumours are not being included in the trial, any potential benefit generated from an indirect comparison in patients with dMMR tumours cannot be confirmed.</w:t>
      </w:r>
    </w:p>
    <w:p w14:paraId="2FFC6D17" w14:textId="77777777" w:rsidR="00AF0B86" w:rsidRPr="007A0CF6" w:rsidRDefault="00AF0B86" w:rsidP="00AF0B86">
      <w:pPr>
        <w:spacing w:before="40" w:after="0"/>
        <w:jc w:val="both"/>
      </w:pPr>
      <w:r w:rsidRPr="007A0CF6">
        <w:lastRenderedPageBreak/>
        <w:t>These trials do not provide direct evidence for a co-dependent technology as defined below</w:t>
      </w:r>
      <w:r w:rsidRPr="007A0CF6">
        <w:rPr>
          <w:rStyle w:val="FootnoteReference"/>
        </w:rPr>
        <w:footnoteReference w:id="1"/>
      </w:r>
      <w:r w:rsidRPr="007A0CF6">
        <w:t xml:space="preserve">; </w:t>
      </w:r>
    </w:p>
    <w:p w14:paraId="01F1E234" w14:textId="77777777" w:rsidR="00AF0B86" w:rsidRPr="007A0CF6" w:rsidRDefault="00AF0B86" w:rsidP="00AF0B86">
      <w:pPr>
        <w:spacing w:before="40" w:after="0"/>
        <w:ind w:left="2268" w:hanging="2268"/>
      </w:pPr>
      <w:r w:rsidRPr="007A0CF6">
        <w:t>Level 1 direct evidence:</w:t>
      </w:r>
      <w:r w:rsidRPr="007A0CF6">
        <w:tab/>
        <w:t>Double-randomised controlled trial (randomised to test and to drug)</w:t>
      </w:r>
    </w:p>
    <w:p w14:paraId="377F9183" w14:textId="77777777" w:rsidR="00AF0B86" w:rsidRPr="007A0CF6" w:rsidRDefault="00AF0B86" w:rsidP="00AF0B86">
      <w:pPr>
        <w:spacing w:before="40" w:after="0"/>
        <w:ind w:left="2268" w:hanging="2268"/>
      </w:pPr>
      <w:r w:rsidRPr="007A0CF6">
        <w:t>Level 2 direct evidence:</w:t>
      </w:r>
      <w:r w:rsidRPr="007A0CF6">
        <w:tab/>
        <w:t>Single-randomised controlled trial (randomised to test plus drug versus no test plus usual care)</w:t>
      </w:r>
    </w:p>
    <w:p w14:paraId="33FE1BA8" w14:textId="77777777" w:rsidR="00AF0B86" w:rsidRPr="007A0CF6" w:rsidRDefault="00AF0B86" w:rsidP="00AF0B86">
      <w:pPr>
        <w:spacing w:before="40" w:after="0"/>
        <w:ind w:left="2268" w:hanging="2268"/>
      </w:pPr>
      <w:r w:rsidRPr="007A0CF6">
        <w:t>Level 3 direct evidence:</w:t>
      </w:r>
      <w:r w:rsidRPr="007A0CF6">
        <w:tab/>
        <w:t>Prospective biomarker stratified randomised controlled trial of drug (population with and without biomarker randomised to drug or usual care)</w:t>
      </w:r>
    </w:p>
    <w:p w14:paraId="3677D2A6" w14:textId="77777777" w:rsidR="00AF0B86" w:rsidRPr="007A0CF6" w:rsidRDefault="00AF0B86" w:rsidP="00AF0B86">
      <w:pPr>
        <w:spacing w:before="40"/>
        <w:ind w:left="2268" w:hanging="2268"/>
      </w:pPr>
      <w:r w:rsidRPr="007A0CF6">
        <w:t>Level 4 direct evidence:</w:t>
      </w:r>
      <w:r w:rsidRPr="007A0CF6">
        <w:tab/>
        <w:t>Retrospective bio-marker stratified randomised controlled trial of drug (randomised to drug or usual care and then biomarker status determined)</w:t>
      </w:r>
    </w:p>
    <w:p w14:paraId="2DD9033F" w14:textId="77777777" w:rsidR="00AF0B86" w:rsidRPr="007A0CF6" w:rsidRDefault="00AF0B86" w:rsidP="00AF0B86">
      <w:pPr>
        <w:spacing w:before="40"/>
        <w:jc w:val="both"/>
      </w:pPr>
      <w:r w:rsidRPr="007A0CF6">
        <w:t>Thus, a linked evidence approach will need to be undertaken.</w:t>
      </w:r>
    </w:p>
    <w:p w14:paraId="795E52A9" w14:textId="77777777" w:rsidR="00AF0B86" w:rsidRPr="007A0CF6" w:rsidRDefault="00AF0B86" w:rsidP="00AF0B86">
      <w:pPr>
        <w:rPr>
          <w:u w:val="single"/>
        </w:rPr>
      </w:pPr>
      <w:r w:rsidRPr="007A0CF6">
        <w:rPr>
          <w:u w:val="single"/>
        </w:rPr>
        <w:t>Linked Evidence</w:t>
      </w:r>
    </w:p>
    <w:p w14:paraId="3296283D" w14:textId="77777777" w:rsidR="00AF0B86" w:rsidRPr="007A0CF6" w:rsidRDefault="00AF0B86" w:rsidP="00AF0B86">
      <w:pPr>
        <w:rPr>
          <w:i/>
          <w:u w:val="single"/>
        </w:rPr>
      </w:pPr>
      <w:r w:rsidRPr="007A0CF6">
        <w:rPr>
          <w:i/>
          <w:u w:val="single"/>
        </w:rPr>
        <w:t>Patient</w:t>
      </w:r>
      <w:r>
        <w:rPr>
          <w:i/>
          <w:u w:val="single"/>
        </w:rPr>
        <w:t>-</w:t>
      </w:r>
      <w:r w:rsidRPr="007A0CF6">
        <w:rPr>
          <w:i/>
          <w:u w:val="single"/>
        </w:rPr>
        <w:t>relevant outcomes</w:t>
      </w:r>
    </w:p>
    <w:p w14:paraId="459275F7" w14:textId="77777777" w:rsidR="00AF0B86" w:rsidRPr="002C663B" w:rsidRDefault="00AF0B86" w:rsidP="00AF0B86">
      <w:pPr>
        <w:spacing w:before="40" w:after="0"/>
        <w:ind w:left="2552" w:hanging="2552"/>
        <w:jc w:val="both"/>
        <w:rPr>
          <w:rFonts w:eastAsia="SimSun" w:cs="Tahoma"/>
          <w:szCs w:val="20"/>
          <w:lang w:eastAsia="zh-CN"/>
        </w:rPr>
      </w:pPr>
      <w:r w:rsidRPr="002C663B">
        <w:rPr>
          <w:rFonts w:eastAsia="SimSun"/>
          <w:i/>
          <w:szCs w:val="20"/>
        </w:rPr>
        <w:t>Safety</w:t>
      </w:r>
      <w:r w:rsidRPr="002C663B">
        <w:rPr>
          <w:rFonts w:eastAsia="SimSun"/>
          <w:i/>
          <w:szCs w:val="20"/>
        </w:rPr>
        <w:tab/>
      </w:r>
      <w:r w:rsidRPr="002C663B">
        <w:rPr>
          <w:rFonts w:eastAsia="SimSun" w:cs="Tahoma"/>
          <w:szCs w:val="20"/>
          <w:lang w:eastAsia="zh-CN"/>
        </w:rPr>
        <w:t>Harms from testing (including rates of re-biopsy required for testing), treatment-associated adverse events and tolerability</w:t>
      </w:r>
    </w:p>
    <w:p w14:paraId="1EC45B5A" w14:textId="77777777" w:rsidR="00AF0B86" w:rsidRPr="004210DB" w:rsidRDefault="00AF0B86" w:rsidP="00AF0B86">
      <w:pPr>
        <w:spacing w:before="40" w:after="0"/>
        <w:ind w:left="2552" w:hanging="2552"/>
        <w:jc w:val="both"/>
      </w:pPr>
      <w:r w:rsidRPr="002C663B">
        <w:rPr>
          <w:rFonts w:eastAsia="SimSun"/>
          <w:i/>
          <w:szCs w:val="20"/>
        </w:rPr>
        <w:t>Diagnostic performance</w:t>
      </w:r>
      <w:r w:rsidRPr="002C663B">
        <w:rPr>
          <w:rFonts w:eastAsia="SimSun"/>
          <w:i/>
          <w:szCs w:val="20"/>
        </w:rPr>
        <w:tab/>
      </w:r>
      <w:r>
        <w:rPr>
          <w:rFonts w:eastAsia="SimSun"/>
          <w:szCs w:val="20"/>
        </w:rPr>
        <w:t>Sensitivity and</w:t>
      </w:r>
      <w:r w:rsidRPr="002C663B">
        <w:rPr>
          <w:rFonts w:eastAsia="SimSun"/>
          <w:szCs w:val="20"/>
        </w:rPr>
        <w:t xml:space="preserve"> specificity</w:t>
      </w:r>
      <w:r>
        <w:rPr>
          <w:rFonts w:eastAsia="SimSun"/>
          <w:szCs w:val="20"/>
        </w:rPr>
        <w:t xml:space="preserve"> </w:t>
      </w:r>
      <w:r w:rsidRPr="00B535F9">
        <w:rPr>
          <w:rFonts w:eastAsia="SimSun"/>
          <w:szCs w:val="20"/>
        </w:rPr>
        <w:t>(analytical validity</w:t>
      </w:r>
      <w:r>
        <w:rPr>
          <w:rFonts w:eastAsia="SimSun"/>
          <w:szCs w:val="20"/>
        </w:rPr>
        <w:t>)</w:t>
      </w:r>
      <w:r w:rsidRPr="002C663B">
        <w:rPr>
          <w:rFonts w:eastAsia="SimSun"/>
          <w:szCs w:val="20"/>
        </w:rPr>
        <w:t>, concordance, test-retest reliability</w:t>
      </w:r>
    </w:p>
    <w:p w14:paraId="6DF13E45" w14:textId="77777777" w:rsidR="00AF0B86" w:rsidRPr="002C663B" w:rsidRDefault="00AF0B86" w:rsidP="00AF0B86">
      <w:pPr>
        <w:spacing w:before="40" w:after="0"/>
        <w:ind w:left="2552" w:hanging="2552"/>
        <w:jc w:val="both"/>
        <w:rPr>
          <w:rFonts w:eastAsia="SimSun"/>
          <w:szCs w:val="20"/>
        </w:rPr>
      </w:pPr>
      <w:r w:rsidRPr="002C663B">
        <w:rPr>
          <w:rFonts w:eastAsia="SimSun"/>
          <w:i/>
          <w:szCs w:val="20"/>
        </w:rPr>
        <w:t>Clinical validity</w:t>
      </w:r>
      <w:r w:rsidRPr="002C663B">
        <w:rPr>
          <w:rFonts w:eastAsia="SimSun"/>
          <w:szCs w:val="20"/>
        </w:rPr>
        <w:tab/>
        <w:t>Positive and negative predictive values</w:t>
      </w:r>
      <w:r w:rsidRPr="00B535F9">
        <w:rPr>
          <w:rFonts w:eastAsia="SimSun"/>
          <w:szCs w:val="20"/>
        </w:rPr>
        <w:t>, positive and negative likelihood ratios</w:t>
      </w:r>
    </w:p>
    <w:p w14:paraId="5AEECE35" w14:textId="77777777" w:rsidR="00AF0B86" w:rsidRPr="002C663B" w:rsidRDefault="00AF0B86" w:rsidP="00AF0B86">
      <w:pPr>
        <w:spacing w:before="40" w:after="0"/>
        <w:ind w:left="2552" w:hanging="2552"/>
        <w:jc w:val="both"/>
        <w:rPr>
          <w:rFonts w:eastAsia="SimSun"/>
          <w:szCs w:val="20"/>
        </w:rPr>
      </w:pPr>
      <w:r w:rsidRPr="002C663B">
        <w:rPr>
          <w:rFonts w:eastAsia="SimSun"/>
          <w:i/>
          <w:szCs w:val="20"/>
        </w:rPr>
        <w:t>Prognosis</w:t>
      </w:r>
      <w:r w:rsidRPr="002C663B">
        <w:rPr>
          <w:rFonts w:eastAsia="SimSun"/>
          <w:i/>
          <w:szCs w:val="20"/>
        </w:rPr>
        <w:tab/>
      </w:r>
      <w:r w:rsidRPr="002C663B">
        <w:rPr>
          <w:rFonts w:eastAsia="SimSun"/>
          <w:szCs w:val="20"/>
        </w:rPr>
        <w:t xml:space="preserve">Prognostic effect of dMMR in </w:t>
      </w:r>
      <w:r>
        <w:rPr>
          <w:rFonts w:eastAsia="SimSun"/>
          <w:szCs w:val="20"/>
        </w:rPr>
        <w:t>endometrial cancer</w:t>
      </w:r>
      <w:r w:rsidRPr="002C663B">
        <w:rPr>
          <w:rFonts w:eastAsia="SimSun"/>
          <w:szCs w:val="20"/>
        </w:rPr>
        <w:t xml:space="preserve"> patients treated with standard of care</w:t>
      </w:r>
    </w:p>
    <w:p w14:paraId="1669ABE3" w14:textId="77777777" w:rsidR="00AF0B86" w:rsidRPr="007A0CF6" w:rsidRDefault="00AF0B86" w:rsidP="00AF0B86">
      <w:pPr>
        <w:spacing w:before="40" w:after="0"/>
        <w:ind w:left="2552" w:hanging="2552"/>
        <w:jc w:val="both"/>
        <w:rPr>
          <w:rFonts w:eastAsia="SimSun"/>
          <w:szCs w:val="20"/>
        </w:rPr>
      </w:pPr>
      <w:r w:rsidRPr="002C663B">
        <w:rPr>
          <w:rFonts w:eastAsia="SimSun"/>
          <w:i/>
          <w:szCs w:val="20"/>
        </w:rPr>
        <w:t>Clinical utility</w:t>
      </w:r>
      <w:r w:rsidRPr="007A0CF6">
        <w:rPr>
          <w:rFonts w:eastAsia="SimSun"/>
          <w:i/>
          <w:szCs w:val="20"/>
        </w:rPr>
        <w:tab/>
      </w:r>
      <w:r w:rsidRPr="001E7DB2">
        <w:rPr>
          <w:rFonts w:eastAsia="SimSun"/>
          <w:szCs w:val="20"/>
        </w:rPr>
        <w:t>Percent c</w:t>
      </w:r>
      <w:r w:rsidRPr="007A0CF6">
        <w:rPr>
          <w:rFonts w:eastAsia="SimSun"/>
          <w:szCs w:val="20"/>
        </w:rPr>
        <w:t xml:space="preserve">hange in management plan (e.g. changes in treatment as a result of IHC </w:t>
      </w:r>
      <w:r>
        <w:rPr>
          <w:rFonts w:eastAsia="SimSun"/>
          <w:szCs w:val="20"/>
        </w:rPr>
        <w:t>d</w:t>
      </w:r>
      <w:r w:rsidRPr="007A0CF6">
        <w:rPr>
          <w:rFonts w:eastAsia="SimSun"/>
          <w:szCs w:val="20"/>
        </w:rPr>
        <w:t xml:space="preserve">MMR testing). It should be noted that some patients are already tested and there may be no change in management outcomes to assess other than access to </w:t>
      </w:r>
      <w:r>
        <w:rPr>
          <w:rFonts w:eastAsia="SimSun"/>
          <w:szCs w:val="20"/>
        </w:rPr>
        <w:t>dostarlimab</w:t>
      </w:r>
    </w:p>
    <w:p w14:paraId="6EF3D4C4" w14:textId="77777777" w:rsidR="00AF0B86" w:rsidRPr="007A0CF6" w:rsidRDefault="00AF0B86" w:rsidP="00AF0B86">
      <w:pPr>
        <w:spacing w:before="40" w:after="0"/>
        <w:ind w:left="2552" w:hanging="2552"/>
        <w:jc w:val="both"/>
        <w:rPr>
          <w:rFonts w:eastAsia="SimSun" w:cs="Tahoma"/>
          <w:szCs w:val="20"/>
          <w:lang w:eastAsia="zh-CN"/>
        </w:rPr>
      </w:pPr>
      <w:r w:rsidRPr="007A0CF6">
        <w:rPr>
          <w:i/>
        </w:rPr>
        <w:t>Therapeutic effectiveness</w:t>
      </w:r>
      <w:r w:rsidRPr="007A0CF6">
        <w:rPr>
          <w:i/>
        </w:rPr>
        <w:tab/>
      </w:r>
      <w:r w:rsidRPr="007A0CF6">
        <w:rPr>
          <w:rFonts w:eastAsia="SimSun"/>
          <w:szCs w:val="20"/>
        </w:rPr>
        <w:t xml:space="preserve">Critical outcomes: </w:t>
      </w:r>
      <w:r w:rsidRPr="007A0CF6">
        <w:rPr>
          <w:rFonts w:eastAsia="SimSun" w:cs="Tahoma"/>
          <w:szCs w:val="20"/>
          <w:lang w:eastAsia="zh-CN"/>
        </w:rPr>
        <w:t>overall survival, progression-free survival, overall response rate; Important outcomes: quality of life</w:t>
      </w:r>
    </w:p>
    <w:p w14:paraId="1B3650FA" w14:textId="77777777" w:rsidR="00AF0B86" w:rsidRDefault="00AF0B86" w:rsidP="00AF0B86">
      <w:pPr>
        <w:spacing w:before="40" w:after="240"/>
        <w:ind w:left="2552" w:hanging="2552"/>
        <w:jc w:val="both"/>
        <w:rPr>
          <w:rFonts w:eastAsia="SimSun"/>
          <w:szCs w:val="20"/>
        </w:rPr>
      </w:pPr>
      <w:r w:rsidRPr="007A0CF6">
        <w:rPr>
          <w:rFonts w:eastAsia="SimSun"/>
          <w:i/>
          <w:szCs w:val="20"/>
        </w:rPr>
        <w:t>Predictive validity</w:t>
      </w:r>
      <w:r w:rsidRPr="007A0CF6">
        <w:rPr>
          <w:rFonts w:eastAsia="SimSun"/>
          <w:i/>
          <w:szCs w:val="20"/>
        </w:rPr>
        <w:tab/>
      </w:r>
      <w:r w:rsidRPr="007A0CF6">
        <w:rPr>
          <w:rFonts w:eastAsia="SimSun"/>
          <w:szCs w:val="20"/>
        </w:rPr>
        <w:t>Treatment effect modification</w:t>
      </w:r>
    </w:p>
    <w:p w14:paraId="0DCD3E58" w14:textId="77777777" w:rsidR="00AF0B86" w:rsidRPr="007A0CF6" w:rsidRDefault="00AF0B86" w:rsidP="00AF0B86">
      <w:pPr>
        <w:keepNext/>
        <w:rPr>
          <w:i/>
          <w:u w:val="single"/>
        </w:rPr>
      </w:pPr>
      <w:r w:rsidRPr="007A0CF6">
        <w:rPr>
          <w:i/>
          <w:u w:val="single"/>
        </w:rPr>
        <w:t>Healthcare system</w:t>
      </w:r>
    </w:p>
    <w:p w14:paraId="15DD804D" w14:textId="77777777" w:rsidR="00AF0B86" w:rsidRPr="007A0CF6" w:rsidRDefault="00AF0B86" w:rsidP="00AF0B86">
      <w:pPr>
        <w:spacing w:before="40" w:after="0"/>
        <w:ind w:left="2552" w:hanging="2552"/>
        <w:jc w:val="both"/>
        <w:rPr>
          <w:rFonts w:eastAsia="SimSun" w:cs="Tahoma"/>
          <w:szCs w:val="20"/>
          <w:lang w:eastAsia="zh-CN"/>
        </w:rPr>
      </w:pPr>
      <w:r w:rsidRPr="007A0CF6">
        <w:rPr>
          <w:rFonts w:eastAsia="SimSun"/>
          <w:i/>
          <w:szCs w:val="20"/>
        </w:rPr>
        <w:t>Cost-effectiveness</w:t>
      </w:r>
      <w:r w:rsidRPr="007A0CF6">
        <w:rPr>
          <w:rFonts w:eastAsia="SimSun"/>
          <w:i/>
          <w:szCs w:val="20"/>
        </w:rPr>
        <w:tab/>
      </w:r>
      <w:r w:rsidRPr="007A0CF6">
        <w:rPr>
          <w:rFonts w:eastAsia="SimSun" w:cs="Tahoma"/>
          <w:szCs w:val="20"/>
          <w:lang w:eastAsia="zh-CN"/>
        </w:rPr>
        <w:t>Cost, cost per life year gained, cost per quality adjusted life year or disability adjusted life year, incremental cost-effectiveness ratio, cost per case identified</w:t>
      </w:r>
    </w:p>
    <w:p w14:paraId="6D8FC4A4" w14:textId="77777777" w:rsidR="00AF0B86" w:rsidRPr="007A0CF6" w:rsidRDefault="00AF0B86" w:rsidP="00AF0B86">
      <w:pPr>
        <w:spacing w:before="40"/>
        <w:ind w:left="2552" w:hanging="2552"/>
        <w:jc w:val="both"/>
        <w:rPr>
          <w:rFonts w:eastAsia="SimSun"/>
          <w:szCs w:val="20"/>
        </w:rPr>
      </w:pPr>
      <w:r w:rsidRPr="007A0CF6">
        <w:rPr>
          <w:rFonts w:eastAsia="SimSun"/>
          <w:i/>
          <w:szCs w:val="20"/>
        </w:rPr>
        <w:t>Financial implications</w:t>
      </w:r>
      <w:r w:rsidRPr="007A0CF6">
        <w:rPr>
          <w:rFonts w:eastAsia="SimSun"/>
          <w:i/>
          <w:szCs w:val="20"/>
        </w:rPr>
        <w:tab/>
      </w:r>
      <w:r w:rsidRPr="007A0CF6">
        <w:rPr>
          <w:rFonts w:eastAsia="SimSun"/>
          <w:szCs w:val="20"/>
        </w:rPr>
        <w:t xml:space="preserve">Number of patients tested, number of patients tested per </w:t>
      </w:r>
      <w:r>
        <w:rPr>
          <w:rFonts w:eastAsia="SimSun"/>
          <w:szCs w:val="20"/>
        </w:rPr>
        <w:t>d</w:t>
      </w:r>
      <w:r w:rsidRPr="007A0CF6">
        <w:rPr>
          <w:rFonts w:eastAsia="SimSun"/>
          <w:szCs w:val="20"/>
        </w:rPr>
        <w:t xml:space="preserve">MMR result, number of patients tested per </w:t>
      </w:r>
      <w:r>
        <w:rPr>
          <w:rFonts w:eastAsia="SimSun"/>
          <w:szCs w:val="20"/>
        </w:rPr>
        <w:t>d</w:t>
      </w:r>
      <w:r w:rsidRPr="007A0CF6">
        <w:rPr>
          <w:rFonts w:eastAsia="SimSun"/>
          <w:szCs w:val="20"/>
        </w:rPr>
        <w:t xml:space="preserve">MMR result treated with </w:t>
      </w:r>
      <w:r>
        <w:rPr>
          <w:rFonts w:eastAsia="SimSun"/>
          <w:szCs w:val="20"/>
        </w:rPr>
        <w:t>dostarlimab</w:t>
      </w:r>
    </w:p>
    <w:p w14:paraId="3F77AA09" w14:textId="77777777" w:rsidR="00AF0B86" w:rsidRPr="007A0CF6" w:rsidRDefault="00AF0B86" w:rsidP="00AF0B86">
      <w:pPr>
        <w:jc w:val="both"/>
      </w:pPr>
      <w:r w:rsidRPr="007A0CF6">
        <w:t xml:space="preserve">Most pathology laboratories already conduct IHC </w:t>
      </w:r>
      <w:r>
        <w:t>d</w:t>
      </w:r>
      <w:r w:rsidRPr="007A0CF6">
        <w:t xml:space="preserve">MMR testing. However, there </w:t>
      </w:r>
      <w:r>
        <w:t>will be an</w:t>
      </w:r>
      <w:r w:rsidRPr="007A0CF6">
        <w:t xml:space="preserve"> increase in the number of tests conducted to determine access of patients with </w:t>
      </w:r>
      <w:r>
        <w:t>endometrial cancer</w:t>
      </w:r>
      <w:r w:rsidRPr="007A0CF6">
        <w:t xml:space="preserve"> to </w:t>
      </w:r>
      <w:r>
        <w:t>dostarlimab</w:t>
      </w:r>
      <w:r w:rsidRPr="007A0CF6">
        <w:t>.</w:t>
      </w:r>
    </w:p>
    <w:p w14:paraId="6CC2E8D1" w14:textId="77777777" w:rsidR="00AF0B86" w:rsidRPr="007A0CF6" w:rsidRDefault="00AF0B86" w:rsidP="00AF0B86">
      <w:pPr>
        <w:keepNext/>
        <w:rPr>
          <w:i/>
        </w:rPr>
      </w:pPr>
      <w:r w:rsidRPr="007A0CF6">
        <w:rPr>
          <w:i/>
          <w:u w:val="single"/>
        </w:rPr>
        <w:t>Rationale</w:t>
      </w:r>
    </w:p>
    <w:p w14:paraId="0C6A9A0F" w14:textId="77777777" w:rsidR="00AF0B86" w:rsidRPr="00D61334" w:rsidRDefault="00AF0B86" w:rsidP="00AF0B86">
      <w:pPr>
        <w:jc w:val="both"/>
        <w:rPr>
          <w:rFonts w:eastAsia="SimSun" w:cs="Tahoma"/>
          <w:iCs/>
          <w:szCs w:val="20"/>
          <w:lang w:eastAsia="zh-CN"/>
        </w:rPr>
      </w:pPr>
      <w:r w:rsidRPr="00D61334">
        <w:rPr>
          <w:iCs/>
        </w:rPr>
        <w:t>As a co-dependent technology, any treatment effect modification and/or prognostic effect operating in the relationship between IHC dMMR testing and dostarlimab needs to be elucidated.</w:t>
      </w:r>
    </w:p>
    <w:p w14:paraId="70A4D5F0" w14:textId="77777777" w:rsidR="00AF0B86" w:rsidRPr="005F3B35" w:rsidRDefault="00AF0B86" w:rsidP="00AF0B86">
      <w:pPr>
        <w:rPr>
          <w:b/>
          <w:bCs/>
        </w:rPr>
      </w:pPr>
      <w:r w:rsidRPr="005F3B35">
        <w:rPr>
          <w:b/>
          <w:bCs/>
        </w:rPr>
        <w:t>Proposed clinical management algorithm for identified population</w:t>
      </w:r>
    </w:p>
    <w:p w14:paraId="7EB043A2" w14:textId="77777777" w:rsidR="00AF0B86" w:rsidRPr="004210DB" w:rsidRDefault="00AF0B86" w:rsidP="00AF0B86">
      <w:pPr>
        <w:jc w:val="both"/>
        <w:rPr>
          <w:i/>
        </w:rPr>
      </w:pPr>
      <w:r w:rsidRPr="004C6ADA">
        <w:t xml:space="preserve">The clinical management algorithm </w:t>
      </w:r>
      <w:r>
        <w:t>i</w:t>
      </w:r>
      <w:r w:rsidRPr="004C6ADA">
        <w:t xml:space="preserve">ndicates that patients with </w:t>
      </w:r>
      <w:r>
        <w:t>endometrial cancer</w:t>
      </w:r>
      <w:r w:rsidRPr="004C6ADA">
        <w:t xml:space="preserve"> will receive IHC dMMR testing as part of the initial clinical work-up at diagnosis. This enables clinicians to use this information for diagnostic and/or prognostic/predictive purposes in early stages of disease. Patients who were not tested at diagnosis and progress to </w:t>
      </w:r>
      <w:r>
        <w:t>recurrent or advanced endometrial cancer</w:t>
      </w:r>
      <w:r w:rsidRPr="004C6ADA">
        <w:t xml:space="preserve"> would be tested for access to </w:t>
      </w:r>
      <w:r>
        <w:t>dostarlimab</w:t>
      </w:r>
      <w:r w:rsidRPr="004C6ADA">
        <w:t xml:space="preserve"> following failure of first-line therapy. </w:t>
      </w:r>
      <w:r w:rsidRPr="00FF4FBD">
        <w:rPr>
          <w:iCs/>
        </w:rPr>
        <w:t>This test would be performed using archival tumour tissue and patients would experience a small delay in commencement of treatment due to the requirement for block retrieval prior to testing</w:t>
      </w:r>
      <w:r w:rsidRPr="004210DB">
        <w:rPr>
          <w:i/>
        </w:rPr>
        <w:t xml:space="preserve">. </w:t>
      </w:r>
      <w:r w:rsidRPr="003C2094">
        <w:t xml:space="preserve">Patients with a dMMR tumour would be eligible for </w:t>
      </w:r>
      <w:r>
        <w:t>dostarlimab</w:t>
      </w:r>
      <w:r w:rsidRPr="003C2094">
        <w:t xml:space="preserve"> and those who are MMR proficient would receive standard of care second-line treatments.</w:t>
      </w:r>
    </w:p>
    <w:p w14:paraId="4B1F89F9" w14:textId="77777777" w:rsidR="00AF0B86" w:rsidRPr="004C50D5" w:rsidRDefault="00AF0B86" w:rsidP="00AF0B86">
      <w:pPr>
        <w:jc w:val="both"/>
        <w:rPr>
          <w:iCs/>
        </w:rPr>
      </w:pPr>
      <w:r w:rsidRPr="00A031AE">
        <w:lastRenderedPageBreak/>
        <w:t>IHC dMMR testing would only be required once as these tumours do not change their MMR status (in both familial and sporadic mutations) and heterogeneity is not considered an issue.</w:t>
      </w:r>
      <w:r w:rsidRPr="004210DB">
        <w:rPr>
          <w:i/>
        </w:rPr>
        <w:t xml:space="preserve"> </w:t>
      </w:r>
      <w:r w:rsidRPr="004C50D5">
        <w:rPr>
          <w:iCs/>
        </w:rPr>
        <w:t>Therefore, a re-biopsy for the purpose of IHC dMMR testing would most likely not be required.</w:t>
      </w:r>
    </w:p>
    <w:p w14:paraId="13FCF37F" w14:textId="77777777" w:rsidR="00AF0B86" w:rsidRPr="00360C3A" w:rsidRDefault="00AF0B86" w:rsidP="00AF0B86">
      <w:pPr>
        <w:keepNext/>
        <w:tabs>
          <w:tab w:val="left" w:pos="1020"/>
        </w:tabs>
        <w:spacing w:after="0"/>
        <w:rPr>
          <w:b/>
          <w:bCs/>
        </w:rPr>
      </w:pPr>
      <w:r w:rsidRPr="00360C3A">
        <w:rPr>
          <w:b/>
          <w:bCs/>
        </w:rPr>
        <w:t>Proposed clinical algorithm for the treatment of patients with dMMR and MMR-proficient endometrial cancer.</w:t>
      </w:r>
    </w:p>
    <w:p w14:paraId="6A160109" w14:textId="6165EA02" w:rsidR="00AF0B86" w:rsidRPr="00172B5F" w:rsidRDefault="009E2EA3" w:rsidP="00AF0B86">
      <w:pPr>
        <w:tabs>
          <w:tab w:val="left" w:pos="1020"/>
        </w:tabs>
      </w:pPr>
      <w:r w:rsidRPr="00880648">
        <w:rPr>
          <w:rFonts w:ascii="Calibri" w:eastAsia="Calibri" w:hAnsi="Calibri" w:cs="Times New Roman"/>
          <w:noProof/>
          <w:lang w:eastAsia="en-AU"/>
        </w:rPr>
        <w:drawing>
          <wp:inline distT="0" distB="0" distL="0" distR="0" wp14:anchorId="1DCF27E5" wp14:editId="59EDC58A">
            <wp:extent cx="5324475" cy="6067425"/>
            <wp:effectExtent l="0" t="0" r="9525" b="9525"/>
            <wp:docPr id="8" name="Picture 8"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324475" cy="6067425"/>
                    </a:xfrm>
                    <a:prstGeom prst="rect">
                      <a:avLst/>
                    </a:prstGeom>
                    <a:noFill/>
                    <a:ln>
                      <a:noFill/>
                    </a:ln>
                  </pic:spPr>
                </pic:pic>
              </a:graphicData>
            </a:graphic>
          </wp:inline>
        </w:drawing>
      </w:r>
    </w:p>
    <w:p w14:paraId="257D22CC" w14:textId="77777777" w:rsidR="00F73796" w:rsidRDefault="00F73796" w:rsidP="00603D04">
      <w:pPr>
        <w:ind w:left="426"/>
        <w:rPr>
          <w:szCs w:val="20"/>
        </w:rPr>
      </w:pPr>
    </w:p>
    <w:sectPr w:rsidR="00F7379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0067" w14:textId="77777777" w:rsidR="00FD1605" w:rsidRDefault="00FD1605" w:rsidP="00CF2DFA">
      <w:pPr>
        <w:spacing w:after="0"/>
      </w:pPr>
      <w:r>
        <w:separator/>
      </w:r>
    </w:p>
  </w:endnote>
  <w:endnote w:type="continuationSeparator" w:id="0">
    <w:p w14:paraId="17939E68" w14:textId="77777777" w:rsidR="00FD1605" w:rsidRDefault="00FD160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6">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AFD15B6" w14:textId="17E1B3C6" w:rsidR="00161544" w:rsidRDefault="00161544">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315F0" w:rsidRPr="00D315F0">
          <w:rPr>
            <w:b/>
            <w:bCs/>
            <w:noProof/>
            <w:sz w:val="18"/>
            <w:szCs w:val="18"/>
          </w:rPr>
          <w:t>26</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0A36CB86" w14:textId="77777777" w:rsidR="00161544" w:rsidRPr="003F7CB9" w:rsidRDefault="00161544"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30D9" w14:textId="77777777" w:rsidR="00FD1605" w:rsidRDefault="00FD1605" w:rsidP="00CF2DFA">
      <w:pPr>
        <w:spacing w:after="0"/>
      </w:pPr>
      <w:r>
        <w:separator/>
      </w:r>
    </w:p>
  </w:footnote>
  <w:footnote w:type="continuationSeparator" w:id="0">
    <w:p w14:paraId="2F23C416" w14:textId="77777777" w:rsidR="00FD1605" w:rsidRDefault="00FD1605" w:rsidP="00CF2DFA">
      <w:pPr>
        <w:spacing w:after="0"/>
      </w:pPr>
      <w:r>
        <w:continuationSeparator/>
      </w:r>
    </w:p>
  </w:footnote>
  <w:footnote w:id="1">
    <w:p w14:paraId="6932B56C" w14:textId="77777777" w:rsidR="00161544" w:rsidRDefault="00161544" w:rsidP="00AF0B86">
      <w:pPr>
        <w:pStyle w:val="FootnoteText"/>
      </w:pPr>
      <w:r>
        <w:rPr>
          <w:rStyle w:val="FootnoteReference"/>
        </w:rPr>
        <w:footnoteRef/>
      </w:r>
      <w:r>
        <w:t xml:space="preserve">  See s</w:t>
      </w:r>
      <w:r w:rsidRPr="00F31516">
        <w:t>ection 2</w:t>
      </w:r>
      <w:r>
        <w:t>d</w:t>
      </w:r>
      <w:r w:rsidRPr="00F31516">
        <w:t xml:space="preserve"> of the </w:t>
      </w:r>
      <w:r>
        <w:t>‘</w:t>
      </w:r>
      <w:r w:rsidRPr="00F31516">
        <w:t>Guidelines for preparing a submission to the PBAC</w:t>
      </w:r>
      <w:r>
        <w:t>’ for</w:t>
      </w:r>
      <w:r w:rsidRPr="00F31516">
        <w:t xml:space="preserve"> Product Type 4 </w:t>
      </w:r>
      <w:r>
        <w:t>– Co-dependent technologies for further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11780"/>
    <w:multiLevelType w:val="multilevel"/>
    <w:tmpl w:val="912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491E8E"/>
    <w:multiLevelType w:val="hybridMultilevel"/>
    <w:tmpl w:val="B59EF7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E57B93"/>
    <w:multiLevelType w:val="multilevel"/>
    <w:tmpl w:val="105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615127B"/>
    <w:multiLevelType w:val="hybridMultilevel"/>
    <w:tmpl w:val="4FB2BEB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361B56A4"/>
    <w:multiLevelType w:val="hybridMultilevel"/>
    <w:tmpl w:val="38A69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8706718"/>
    <w:multiLevelType w:val="hybridMultilevel"/>
    <w:tmpl w:val="B69AE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B5600E"/>
    <w:multiLevelType w:val="hybridMultilevel"/>
    <w:tmpl w:val="A858CE4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4F180C40"/>
    <w:multiLevelType w:val="hybridMultilevel"/>
    <w:tmpl w:val="6614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F1C74"/>
    <w:multiLevelType w:val="multilevel"/>
    <w:tmpl w:val="A64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CE5CC2"/>
    <w:multiLevelType w:val="multilevel"/>
    <w:tmpl w:val="6C5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A53940"/>
    <w:multiLevelType w:val="multilevel"/>
    <w:tmpl w:val="15A8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773BE2"/>
    <w:multiLevelType w:val="hybridMultilevel"/>
    <w:tmpl w:val="2DD8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27"/>
  </w:num>
  <w:num w:numId="26">
    <w:abstractNumId w:val="4"/>
  </w:num>
  <w:num w:numId="27">
    <w:abstractNumId w:val="22"/>
  </w:num>
  <w:num w:numId="28">
    <w:abstractNumId w:val="15"/>
  </w:num>
  <w:num w:numId="29">
    <w:abstractNumId w:val="28"/>
  </w:num>
  <w:num w:numId="30">
    <w:abstractNumId w:val="3"/>
  </w:num>
  <w:num w:numId="31">
    <w:abstractNumId w:val="25"/>
  </w:num>
  <w:num w:numId="32">
    <w:abstractNumId w:val="8"/>
  </w:num>
  <w:num w:numId="33">
    <w:abstractNumId w:val="23"/>
  </w:num>
  <w:num w:numId="34">
    <w:abstractNumId w:val="7"/>
  </w:num>
  <w:num w:numId="35">
    <w:abstractNumId w:val="17"/>
  </w:num>
  <w:num w:numId="36">
    <w:abstractNumId w:val="0"/>
  </w:num>
  <w:num w:numId="37">
    <w:abstractNumId w:val="5"/>
  </w:num>
  <w:num w:numId="38">
    <w:abstractNumId w:val="16"/>
  </w:num>
  <w:num w:numId="39">
    <w:abstractNumId w:val="30"/>
  </w:num>
  <w:num w:numId="40">
    <w:abstractNumId w:val="12"/>
  </w:num>
  <w:num w:numId="41">
    <w:abstractNumId w:val="14"/>
  </w:num>
  <w:num w:numId="42">
    <w:abstractNumId w:val="11"/>
  </w:num>
  <w:num w:numId="43">
    <w:abstractNumId w:val="19"/>
  </w:num>
  <w:num w:numId="44">
    <w:abstractNumId w:val="2"/>
  </w:num>
  <w:num w:numId="45">
    <w:abstractNumId w:val="9"/>
  </w:num>
  <w:num w:numId="46">
    <w:abstractNumId w:val="24"/>
  </w:num>
  <w:num w:numId="47">
    <w:abstractNumId w:val="26"/>
  </w:num>
  <w:num w:numId="48">
    <w:abstractNumId w:val="1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62B9"/>
    <w:rsid w:val="00007C02"/>
    <w:rsid w:val="00007F8C"/>
    <w:rsid w:val="00010DFA"/>
    <w:rsid w:val="000110DC"/>
    <w:rsid w:val="000158AA"/>
    <w:rsid w:val="000159B9"/>
    <w:rsid w:val="00016B6E"/>
    <w:rsid w:val="00020C1B"/>
    <w:rsid w:val="00023E21"/>
    <w:rsid w:val="000250D2"/>
    <w:rsid w:val="00025ABC"/>
    <w:rsid w:val="00026412"/>
    <w:rsid w:val="00031387"/>
    <w:rsid w:val="00031B26"/>
    <w:rsid w:val="00031F6F"/>
    <w:rsid w:val="0003336C"/>
    <w:rsid w:val="00034D6E"/>
    <w:rsid w:val="000372C5"/>
    <w:rsid w:val="00043984"/>
    <w:rsid w:val="0005089D"/>
    <w:rsid w:val="00051096"/>
    <w:rsid w:val="000525BC"/>
    <w:rsid w:val="000625ED"/>
    <w:rsid w:val="00066088"/>
    <w:rsid w:val="00073222"/>
    <w:rsid w:val="000770BA"/>
    <w:rsid w:val="000856CE"/>
    <w:rsid w:val="00085F7C"/>
    <w:rsid w:val="00092580"/>
    <w:rsid w:val="000955E7"/>
    <w:rsid w:val="000A110D"/>
    <w:rsid w:val="000A478F"/>
    <w:rsid w:val="000A57FE"/>
    <w:rsid w:val="000A5B32"/>
    <w:rsid w:val="000B3CD0"/>
    <w:rsid w:val="000B4332"/>
    <w:rsid w:val="000B45E0"/>
    <w:rsid w:val="000C3F9C"/>
    <w:rsid w:val="000C535F"/>
    <w:rsid w:val="000C6440"/>
    <w:rsid w:val="000C7F82"/>
    <w:rsid w:val="000D066E"/>
    <w:rsid w:val="000D0831"/>
    <w:rsid w:val="000D41A4"/>
    <w:rsid w:val="000D4C97"/>
    <w:rsid w:val="000E3466"/>
    <w:rsid w:val="000E47E7"/>
    <w:rsid w:val="000E5439"/>
    <w:rsid w:val="000F47F1"/>
    <w:rsid w:val="000F7CC5"/>
    <w:rsid w:val="0010029A"/>
    <w:rsid w:val="00100F19"/>
    <w:rsid w:val="00101BDD"/>
    <w:rsid w:val="001022C5"/>
    <w:rsid w:val="00102686"/>
    <w:rsid w:val="0011036E"/>
    <w:rsid w:val="001107EA"/>
    <w:rsid w:val="00112B2D"/>
    <w:rsid w:val="001130B0"/>
    <w:rsid w:val="0011369B"/>
    <w:rsid w:val="001140CE"/>
    <w:rsid w:val="00115957"/>
    <w:rsid w:val="0011742E"/>
    <w:rsid w:val="00121F83"/>
    <w:rsid w:val="00123389"/>
    <w:rsid w:val="00123D10"/>
    <w:rsid w:val="001265BB"/>
    <w:rsid w:val="00126B33"/>
    <w:rsid w:val="00130A30"/>
    <w:rsid w:val="00130FEB"/>
    <w:rsid w:val="00132B87"/>
    <w:rsid w:val="00137E94"/>
    <w:rsid w:val="00141FE6"/>
    <w:rsid w:val="00152DE6"/>
    <w:rsid w:val="00153AA1"/>
    <w:rsid w:val="00154962"/>
    <w:rsid w:val="00154B00"/>
    <w:rsid w:val="00154E64"/>
    <w:rsid w:val="00155606"/>
    <w:rsid w:val="00161544"/>
    <w:rsid w:val="001620BB"/>
    <w:rsid w:val="001644E9"/>
    <w:rsid w:val="00164EBB"/>
    <w:rsid w:val="001845D9"/>
    <w:rsid w:val="0018630F"/>
    <w:rsid w:val="00186A9B"/>
    <w:rsid w:val="001906CD"/>
    <w:rsid w:val="00191B99"/>
    <w:rsid w:val="001960C6"/>
    <w:rsid w:val="0019694B"/>
    <w:rsid w:val="00197D29"/>
    <w:rsid w:val="001A02E3"/>
    <w:rsid w:val="001A1ADF"/>
    <w:rsid w:val="001A365C"/>
    <w:rsid w:val="001B1581"/>
    <w:rsid w:val="001B171D"/>
    <w:rsid w:val="001B2764"/>
    <w:rsid w:val="001B29A1"/>
    <w:rsid w:val="001B5169"/>
    <w:rsid w:val="001B6164"/>
    <w:rsid w:val="001B73E8"/>
    <w:rsid w:val="001C0538"/>
    <w:rsid w:val="001C341E"/>
    <w:rsid w:val="001C3C07"/>
    <w:rsid w:val="001D00A9"/>
    <w:rsid w:val="001D4824"/>
    <w:rsid w:val="001D551E"/>
    <w:rsid w:val="001D6F36"/>
    <w:rsid w:val="001D77ED"/>
    <w:rsid w:val="001E1180"/>
    <w:rsid w:val="001E23EA"/>
    <w:rsid w:val="001E343B"/>
    <w:rsid w:val="001E6919"/>
    <w:rsid w:val="001E6958"/>
    <w:rsid w:val="001F0DFA"/>
    <w:rsid w:val="001F320D"/>
    <w:rsid w:val="001F4496"/>
    <w:rsid w:val="001F7BC2"/>
    <w:rsid w:val="00201924"/>
    <w:rsid w:val="00202473"/>
    <w:rsid w:val="00203902"/>
    <w:rsid w:val="002053F2"/>
    <w:rsid w:val="00206322"/>
    <w:rsid w:val="00206D63"/>
    <w:rsid w:val="002070DF"/>
    <w:rsid w:val="00210D3B"/>
    <w:rsid w:val="0021185D"/>
    <w:rsid w:val="002120CD"/>
    <w:rsid w:val="00212982"/>
    <w:rsid w:val="00213888"/>
    <w:rsid w:val="002149DD"/>
    <w:rsid w:val="00220691"/>
    <w:rsid w:val="0022338B"/>
    <w:rsid w:val="002242B4"/>
    <w:rsid w:val="00226777"/>
    <w:rsid w:val="00235BD1"/>
    <w:rsid w:val="00241D5E"/>
    <w:rsid w:val="00242136"/>
    <w:rsid w:val="00242B0E"/>
    <w:rsid w:val="00246DAB"/>
    <w:rsid w:val="00247DF0"/>
    <w:rsid w:val="00251741"/>
    <w:rsid w:val="00253B5D"/>
    <w:rsid w:val="00254813"/>
    <w:rsid w:val="00255AFC"/>
    <w:rsid w:val="002576DB"/>
    <w:rsid w:val="00257FF2"/>
    <w:rsid w:val="00261302"/>
    <w:rsid w:val="00261F70"/>
    <w:rsid w:val="002627F6"/>
    <w:rsid w:val="00263437"/>
    <w:rsid w:val="00265822"/>
    <w:rsid w:val="0027105F"/>
    <w:rsid w:val="002711FB"/>
    <w:rsid w:val="00281522"/>
    <w:rsid w:val="00282BE8"/>
    <w:rsid w:val="00283318"/>
    <w:rsid w:val="00284BDD"/>
    <w:rsid w:val="00285184"/>
    <w:rsid w:val="00285525"/>
    <w:rsid w:val="00286990"/>
    <w:rsid w:val="00291B49"/>
    <w:rsid w:val="0029327B"/>
    <w:rsid w:val="00294CD8"/>
    <w:rsid w:val="00297979"/>
    <w:rsid w:val="002A270B"/>
    <w:rsid w:val="002A50FD"/>
    <w:rsid w:val="002A51B2"/>
    <w:rsid w:val="002A6415"/>
    <w:rsid w:val="002A6753"/>
    <w:rsid w:val="002B28D7"/>
    <w:rsid w:val="002B592D"/>
    <w:rsid w:val="002B7647"/>
    <w:rsid w:val="002B768D"/>
    <w:rsid w:val="002B7EB6"/>
    <w:rsid w:val="002C0B61"/>
    <w:rsid w:val="002C136D"/>
    <w:rsid w:val="002C15E6"/>
    <w:rsid w:val="002C238E"/>
    <w:rsid w:val="002C247D"/>
    <w:rsid w:val="002C3345"/>
    <w:rsid w:val="002C55B2"/>
    <w:rsid w:val="002D03D0"/>
    <w:rsid w:val="002D0491"/>
    <w:rsid w:val="002D409A"/>
    <w:rsid w:val="002E08A8"/>
    <w:rsid w:val="002E14BF"/>
    <w:rsid w:val="002F30E7"/>
    <w:rsid w:val="002F48ED"/>
    <w:rsid w:val="002F7D9A"/>
    <w:rsid w:val="00300BBB"/>
    <w:rsid w:val="00300EEB"/>
    <w:rsid w:val="003013A9"/>
    <w:rsid w:val="00301958"/>
    <w:rsid w:val="003020B5"/>
    <w:rsid w:val="003027BB"/>
    <w:rsid w:val="00304A4B"/>
    <w:rsid w:val="00310960"/>
    <w:rsid w:val="00310A10"/>
    <w:rsid w:val="003248C1"/>
    <w:rsid w:val="00327D25"/>
    <w:rsid w:val="003319A7"/>
    <w:rsid w:val="00333F90"/>
    <w:rsid w:val="00334FE3"/>
    <w:rsid w:val="003421AE"/>
    <w:rsid w:val="003433D1"/>
    <w:rsid w:val="00343B29"/>
    <w:rsid w:val="00344B24"/>
    <w:rsid w:val="003456B9"/>
    <w:rsid w:val="00347F13"/>
    <w:rsid w:val="00350615"/>
    <w:rsid w:val="0035067D"/>
    <w:rsid w:val="00353A16"/>
    <w:rsid w:val="0035776D"/>
    <w:rsid w:val="00364FD9"/>
    <w:rsid w:val="00367C1B"/>
    <w:rsid w:val="00372877"/>
    <w:rsid w:val="00373332"/>
    <w:rsid w:val="00374216"/>
    <w:rsid w:val="00376B61"/>
    <w:rsid w:val="00382407"/>
    <w:rsid w:val="00386A64"/>
    <w:rsid w:val="00386FA1"/>
    <w:rsid w:val="00390142"/>
    <w:rsid w:val="003904AC"/>
    <w:rsid w:val="00392F00"/>
    <w:rsid w:val="00397377"/>
    <w:rsid w:val="00397D88"/>
    <w:rsid w:val="003A22DE"/>
    <w:rsid w:val="003A2860"/>
    <w:rsid w:val="003A3C35"/>
    <w:rsid w:val="003A76CD"/>
    <w:rsid w:val="003A7D30"/>
    <w:rsid w:val="003B0EE7"/>
    <w:rsid w:val="003B2C77"/>
    <w:rsid w:val="003B3C5C"/>
    <w:rsid w:val="003B5C63"/>
    <w:rsid w:val="003C0487"/>
    <w:rsid w:val="003C47CA"/>
    <w:rsid w:val="003C5C6E"/>
    <w:rsid w:val="003D041E"/>
    <w:rsid w:val="003D085C"/>
    <w:rsid w:val="003D6DE1"/>
    <w:rsid w:val="003D795C"/>
    <w:rsid w:val="003E30FB"/>
    <w:rsid w:val="003E3864"/>
    <w:rsid w:val="003F2711"/>
    <w:rsid w:val="003F28C2"/>
    <w:rsid w:val="003F6C70"/>
    <w:rsid w:val="003F6F71"/>
    <w:rsid w:val="003F7CB9"/>
    <w:rsid w:val="00403333"/>
    <w:rsid w:val="00410E0A"/>
    <w:rsid w:val="00411735"/>
    <w:rsid w:val="0041244B"/>
    <w:rsid w:val="00415C74"/>
    <w:rsid w:val="00422766"/>
    <w:rsid w:val="00423A04"/>
    <w:rsid w:val="00423F13"/>
    <w:rsid w:val="004243F8"/>
    <w:rsid w:val="00427530"/>
    <w:rsid w:val="0043191A"/>
    <w:rsid w:val="00435D2B"/>
    <w:rsid w:val="0043654D"/>
    <w:rsid w:val="00437F60"/>
    <w:rsid w:val="00442DFC"/>
    <w:rsid w:val="00451840"/>
    <w:rsid w:val="00454141"/>
    <w:rsid w:val="00454E2A"/>
    <w:rsid w:val="00455B42"/>
    <w:rsid w:val="00457131"/>
    <w:rsid w:val="00460C9A"/>
    <w:rsid w:val="00460CA9"/>
    <w:rsid w:val="00464924"/>
    <w:rsid w:val="00464DA6"/>
    <w:rsid w:val="0046553D"/>
    <w:rsid w:val="004746FA"/>
    <w:rsid w:val="00474E47"/>
    <w:rsid w:val="0047581D"/>
    <w:rsid w:val="00480289"/>
    <w:rsid w:val="00481279"/>
    <w:rsid w:val="004822B4"/>
    <w:rsid w:val="00483368"/>
    <w:rsid w:val="00494011"/>
    <w:rsid w:val="00495B71"/>
    <w:rsid w:val="00495F8A"/>
    <w:rsid w:val="004A0BF4"/>
    <w:rsid w:val="004A16B5"/>
    <w:rsid w:val="004A19A6"/>
    <w:rsid w:val="004A263B"/>
    <w:rsid w:val="004A6D7C"/>
    <w:rsid w:val="004A7622"/>
    <w:rsid w:val="004B0CFB"/>
    <w:rsid w:val="004B2C41"/>
    <w:rsid w:val="004B68AE"/>
    <w:rsid w:val="004C2EA1"/>
    <w:rsid w:val="004C2FCF"/>
    <w:rsid w:val="004C35B0"/>
    <w:rsid w:val="004C49EF"/>
    <w:rsid w:val="004C4A19"/>
    <w:rsid w:val="004C5570"/>
    <w:rsid w:val="004D00C9"/>
    <w:rsid w:val="004D3443"/>
    <w:rsid w:val="004D5658"/>
    <w:rsid w:val="004D5FEB"/>
    <w:rsid w:val="004E16F5"/>
    <w:rsid w:val="004E181B"/>
    <w:rsid w:val="004E3778"/>
    <w:rsid w:val="004E3CC7"/>
    <w:rsid w:val="004E4708"/>
    <w:rsid w:val="004E5B69"/>
    <w:rsid w:val="004E5CF0"/>
    <w:rsid w:val="004F2A87"/>
    <w:rsid w:val="004F5804"/>
    <w:rsid w:val="0050054D"/>
    <w:rsid w:val="00502FE6"/>
    <w:rsid w:val="00507C56"/>
    <w:rsid w:val="005210F2"/>
    <w:rsid w:val="0052344E"/>
    <w:rsid w:val="00523B1F"/>
    <w:rsid w:val="00524FF9"/>
    <w:rsid w:val="00526478"/>
    <w:rsid w:val="00530204"/>
    <w:rsid w:val="00530E8B"/>
    <w:rsid w:val="00534C5F"/>
    <w:rsid w:val="0053529C"/>
    <w:rsid w:val="00536A2B"/>
    <w:rsid w:val="00537A06"/>
    <w:rsid w:val="00540257"/>
    <w:rsid w:val="0054192F"/>
    <w:rsid w:val="00544EB3"/>
    <w:rsid w:val="0054594B"/>
    <w:rsid w:val="0054749B"/>
    <w:rsid w:val="00551CC6"/>
    <w:rsid w:val="00554E7A"/>
    <w:rsid w:val="0056015F"/>
    <w:rsid w:val="00560541"/>
    <w:rsid w:val="00562279"/>
    <w:rsid w:val="00565E6F"/>
    <w:rsid w:val="005672D0"/>
    <w:rsid w:val="0057014B"/>
    <w:rsid w:val="00572CEB"/>
    <w:rsid w:val="005834C9"/>
    <w:rsid w:val="00583A4A"/>
    <w:rsid w:val="005926ED"/>
    <w:rsid w:val="0059390B"/>
    <w:rsid w:val="005A10FB"/>
    <w:rsid w:val="005A387C"/>
    <w:rsid w:val="005A58BA"/>
    <w:rsid w:val="005A5D30"/>
    <w:rsid w:val="005A6AB9"/>
    <w:rsid w:val="005A73B8"/>
    <w:rsid w:val="005B17E8"/>
    <w:rsid w:val="005B2D54"/>
    <w:rsid w:val="005B4017"/>
    <w:rsid w:val="005B625B"/>
    <w:rsid w:val="005C1565"/>
    <w:rsid w:val="005C23C7"/>
    <w:rsid w:val="005C333E"/>
    <w:rsid w:val="005C3AE7"/>
    <w:rsid w:val="005C3CA9"/>
    <w:rsid w:val="005C5C5C"/>
    <w:rsid w:val="005C6E69"/>
    <w:rsid w:val="005C739A"/>
    <w:rsid w:val="005D006F"/>
    <w:rsid w:val="005D00AE"/>
    <w:rsid w:val="005D0677"/>
    <w:rsid w:val="005D3F5E"/>
    <w:rsid w:val="005D531F"/>
    <w:rsid w:val="005E294C"/>
    <w:rsid w:val="005E2CE3"/>
    <w:rsid w:val="005F17AE"/>
    <w:rsid w:val="005F3F07"/>
    <w:rsid w:val="005F6252"/>
    <w:rsid w:val="005F6ECB"/>
    <w:rsid w:val="005F7C5B"/>
    <w:rsid w:val="006000C7"/>
    <w:rsid w:val="006008EC"/>
    <w:rsid w:val="00603D04"/>
    <w:rsid w:val="00604AB7"/>
    <w:rsid w:val="00605712"/>
    <w:rsid w:val="00606857"/>
    <w:rsid w:val="006108C1"/>
    <w:rsid w:val="00615F42"/>
    <w:rsid w:val="00621CEF"/>
    <w:rsid w:val="00623E28"/>
    <w:rsid w:val="00624132"/>
    <w:rsid w:val="00624B4F"/>
    <w:rsid w:val="006258C2"/>
    <w:rsid w:val="00625E3C"/>
    <w:rsid w:val="00625F3F"/>
    <w:rsid w:val="00626365"/>
    <w:rsid w:val="006300A0"/>
    <w:rsid w:val="0063070E"/>
    <w:rsid w:val="00630E22"/>
    <w:rsid w:val="006341B5"/>
    <w:rsid w:val="00635735"/>
    <w:rsid w:val="0064168C"/>
    <w:rsid w:val="00641E23"/>
    <w:rsid w:val="00642C4B"/>
    <w:rsid w:val="00657B46"/>
    <w:rsid w:val="0066048B"/>
    <w:rsid w:val="00660C59"/>
    <w:rsid w:val="00664310"/>
    <w:rsid w:val="0066699A"/>
    <w:rsid w:val="00667EEE"/>
    <w:rsid w:val="0067140C"/>
    <w:rsid w:val="00672647"/>
    <w:rsid w:val="00674830"/>
    <w:rsid w:val="00674B47"/>
    <w:rsid w:val="006764EC"/>
    <w:rsid w:val="0068085D"/>
    <w:rsid w:val="006813D7"/>
    <w:rsid w:val="006835FE"/>
    <w:rsid w:val="0069310B"/>
    <w:rsid w:val="00693BFD"/>
    <w:rsid w:val="00695065"/>
    <w:rsid w:val="006A1038"/>
    <w:rsid w:val="006A649A"/>
    <w:rsid w:val="006A6CB4"/>
    <w:rsid w:val="006B1B49"/>
    <w:rsid w:val="006B3700"/>
    <w:rsid w:val="006B4320"/>
    <w:rsid w:val="006B6390"/>
    <w:rsid w:val="006C0356"/>
    <w:rsid w:val="006C0843"/>
    <w:rsid w:val="006C0958"/>
    <w:rsid w:val="006C0A09"/>
    <w:rsid w:val="006C0C2B"/>
    <w:rsid w:val="006C74B1"/>
    <w:rsid w:val="006E4A7A"/>
    <w:rsid w:val="006E57AA"/>
    <w:rsid w:val="006E6A15"/>
    <w:rsid w:val="006F0F21"/>
    <w:rsid w:val="006F20CF"/>
    <w:rsid w:val="006F38ED"/>
    <w:rsid w:val="00703791"/>
    <w:rsid w:val="00703909"/>
    <w:rsid w:val="007061F3"/>
    <w:rsid w:val="00707D4D"/>
    <w:rsid w:val="00723446"/>
    <w:rsid w:val="00723503"/>
    <w:rsid w:val="00723872"/>
    <w:rsid w:val="0073021A"/>
    <w:rsid w:val="00730C04"/>
    <w:rsid w:val="0073493E"/>
    <w:rsid w:val="007351D4"/>
    <w:rsid w:val="00735685"/>
    <w:rsid w:val="0073597B"/>
    <w:rsid w:val="007378F6"/>
    <w:rsid w:val="00741693"/>
    <w:rsid w:val="0074545D"/>
    <w:rsid w:val="007469BF"/>
    <w:rsid w:val="007522E3"/>
    <w:rsid w:val="0075335B"/>
    <w:rsid w:val="00753C44"/>
    <w:rsid w:val="00754383"/>
    <w:rsid w:val="007564D1"/>
    <w:rsid w:val="00757232"/>
    <w:rsid w:val="00760679"/>
    <w:rsid w:val="007614C3"/>
    <w:rsid w:val="007629E1"/>
    <w:rsid w:val="00763628"/>
    <w:rsid w:val="007647D1"/>
    <w:rsid w:val="00767E99"/>
    <w:rsid w:val="00772E62"/>
    <w:rsid w:val="00775A6A"/>
    <w:rsid w:val="0077789B"/>
    <w:rsid w:val="00780095"/>
    <w:rsid w:val="00780D29"/>
    <w:rsid w:val="00787E4C"/>
    <w:rsid w:val="00791C8D"/>
    <w:rsid w:val="0079354C"/>
    <w:rsid w:val="00794181"/>
    <w:rsid w:val="007A05A2"/>
    <w:rsid w:val="007A7F6F"/>
    <w:rsid w:val="007B2B94"/>
    <w:rsid w:val="007B41F7"/>
    <w:rsid w:val="007B4649"/>
    <w:rsid w:val="007B4C76"/>
    <w:rsid w:val="007B7607"/>
    <w:rsid w:val="007B7617"/>
    <w:rsid w:val="007C2260"/>
    <w:rsid w:val="007C66FF"/>
    <w:rsid w:val="007D0C4E"/>
    <w:rsid w:val="007D1E52"/>
    <w:rsid w:val="007D2358"/>
    <w:rsid w:val="007D29E7"/>
    <w:rsid w:val="007D700A"/>
    <w:rsid w:val="007D74BC"/>
    <w:rsid w:val="007E0392"/>
    <w:rsid w:val="007E39E4"/>
    <w:rsid w:val="007E63C2"/>
    <w:rsid w:val="007E66B8"/>
    <w:rsid w:val="007E6FB3"/>
    <w:rsid w:val="007F08F9"/>
    <w:rsid w:val="007F09B5"/>
    <w:rsid w:val="007F21B4"/>
    <w:rsid w:val="007F5E95"/>
    <w:rsid w:val="007F75DB"/>
    <w:rsid w:val="00801057"/>
    <w:rsid w:val="00802553"/>
    <w:rsid w:val="00803EAB"/>
    <w:rsid w:val="008046B5"/>
    <w:rsid w:val="00805DA9"/>
    <w:rsid w:val="0080738C"/>
    <w:rsid w:val="008077B0"/>
    <w:rsid w:val="00810224"/>
    <w:rsid w:val="008127C0"/>
    <w:rsid w:val="00812EDD"/>
    <w:rsid w:val="00813071"/>
    <w:rsid w:val="008139C5"/>
    <w:rsid w:val="0081650F"/>
    <w:rsid w:val="00827251"/>
    <w:rsid w:val="0082770C"/>
    <w:rsid w:val="00832687"/>
    <w:rsid w:val="00832B31"/>
    <w:rsid w:val="008340D7"/>
    <w:rsid w:val="00834A92"/>
    <w:rsid w:val="008367D2"/>
    <w:rsid w:val="008403E0"/>
    <w:rsid w:val="008446FA"/>
    <w:rsid w:val="00844880"/>
    <w:rsid w:val="0084657B"/>
    <w:rsid w:val="00846E0B"/>
    <w:rsid w:val="0085243C"/>
    <w:rsid w:val="0085470D"/>
    <w:rsid w:val="00855944"/>
    <w:rsid w:val="00860454"/>
    <w:rsid w:val="00860C12"/>
    <w:rsid w:val="00864910"/>
    <w:rsid w:val="00864A18"/>
    <w:rsid w:val="00870833"/>
    <w:rsid w:val="00873FD1"/>
    <w:rsid w:val="00874571"/>
    <w:rsid w:val="00881F93"/>
    <w:rsid w:val="00882CB5"/>
    <w:rsid w:val="00883641"/>
    <w:rsid w:val="00884E69"/>
    <w:rsid w:val="00887A1E"/>
    <w:rsid w:val="00890082"/>
    <w:rsid w:val="008A2ABA"/>
    <w:rsid w:val="008A2F85"/>
    <w:rsid w:val="008A48D2"/>
    <w:rsid w:val="008A7423"/>
    <w:rsid w:val="008B2610"/>
    <w:rsid w:val="008B471D"/>
    <w:rsid w:val="008B49E4"/>
    <w:rsid w:val="008B729C"/>
    <w:rsid w:val="008B7A69"/>
    <w:rsid w:val="008C1D1D"/>
    <w:rsid w:val="008C2A8C"/>
    <w:rsid w:val="008C416D"/>
    <w:rsid w:val="008C46FA"/>
    <w:rsid w:val="008C4A93"/>
    <w:rsid w:val="008C63DD"/>
    <w:rsid w:val="008D1BCA"/>
    <w:rsid w:val="008D2108"/>
    <w:rsid w:val="008E0E49"/>
    <w:rsid w:val="008E35FD"/>
    <w:rsid w:val="008E6227"/>
    <w:rsid w:val="008E78B9"/>
    <w:rsid w:val="008F3BB5"/>
    <w:rsid w:val="008F566D"/>
    <w:rsid w:val="008F566E"/>
    <w:rsid w:val="00900496"/>
    <w:rsid w:val="00900520"/>
    <w:rsid w:val="00901F1C"/>
    <w:rsid w:val="00901FB5"/>
    <w:rsid w:val="00905083"/>
    <w:rsid w:val="0090543D"/>
    <w:rsid w:val="009056C5"/>
    <w:rsid w:val="009262F2"/>
    <w:rsid w:val="00931AAB"/>
    <w:rsid w:val="00934476"/>
    <w:rsid w:val="00937791"/>
    <w:rsid w:val="009440B0"/>
    <w:rsid w:val="00951933"/>
    <w:rsid w:val="00954343"/>
    <w:rsid w:val="00955271"/>
    <w:rsid w:val="00963C9C"/>
    <w:rsid w:val="0096571F"/>
    <w:rsid w:val="00965B6B"/>
    <w:rsid w:val="00971EDB"/>
    <w:rsid w:val="00972AA6"/>
    <w:rsid w:val="00973003"/>
    <w:rsid w:val="00973A62"/>
    <w:rsid w:val="00974D50"/>
    <w:rsid w:val="00987ABE"/>
    <w:rsid w:val="00990302"/>
    <w:rsid w:val="00991EE4"/>
    <w:rsid w:val="009939DC"/>
    <w:rsid w:val="00993B9C"/>
    <w:rsid w:val="00996868"/>
    <w:rsid w:val="009A1164"/>
    <w:rsid w:val="009A4B7B"/>
    <w:rsid w:val="009B4E1E"/>
    <w:rsid w:val="009B66AC"/>
    <w:rsid w:val="009C03FB"/>
    <w:rsid w:val="009C2033"/>
    <w:rsid w:val="009C4B4F"/>
    <w:rsid w:val="009D2818"/>
    <w:rsid w:val="009D2E0D"/>
    <w:rsid w:val="009D36B1"/>
    <w:rsid w:val="009E12AE"/>
    <w:rsid w:val="009E2EA3"/>
    <w:rsid w:val="009E34EE"/>
    <w:rsid w:val="009F0C02"/>
    <w:rsid w:val="009F28D4"/>
    <w:rsid w:val="009F5411"/>
    <w:rsid w:val="009F5758"/>
    <w:rsid w:val="00A016C5"/>
    <w:rsid w:val="00A0283F"/>
    <w:rsid w:val="00A03477"/>
    <w:rsid w:val="00A04F4A"/>
    <w:rsid w:val="00A169F8"/>
    <w:rsid w:val="00A17D83"/>
    <w:rsid w:val="00A26343"/>
    <w:rsid w:val="00A26E41"/>
    <w:rsid w:val="00A3096B"/>
    <w:rsid w:val="00A36751"/>
    <w:rsid w:val="00A37D92"/>
    <w:rsid w:val="00A408B5"/>
    <w:rsid w:val="00A41EF2"/>
    <w:rsid w:val="00A42F28"/>
    <w:rsid w:val="00A529E2"/>
    <w:rsid w:val="00A539F8"/>
    <w:rsid w:val="00A57D91"/>
    <w:rsid w:val="00A6491A"/>
    <w:rsid w:val="00A6594E"/>
    <w:rsid w:val="00A65FB8"/>
    <w:rsid w:val="00A67DD2"/>
    <w:rsid w:val="00A71734"/>
    <w:rsid w:val="00A727B6"/>
    <w:rsid w:val="00A8145C"/>
    <w:rsid w:val="00A81CC6"/>
    <w:rsid w:val="00A83EC6"/>
    <w:rsid w:val="00A854FB"/>
    <w:rsid w:val="00A8732C"/>
    <w:rsid w:val="00A9062D"/>
    <w:rsid w:val="00A93F58"/>
    <w:rsid w:val="00A96329"/>
    <w:rsid w:val="00AA134B"/>
    <w:rsid w:val="00AA2CFE"/>
    <w:rsid w:val="00AA5FDA"/>
    <w:rsid w:val="00AA6291"/>
    <w:rsid w:val="00AA6B7A"/>
    <w:rsid w:val="00AA7169"/>
    <w:rsid w:val="00AA722E"/>
    <w:rsid w:val="00AB1105"/>
    <w:rsid w:val="00AB230B"/>
    <w:rsid w:val="00AB2B63"/>
    <w:rsid w:val="00AC0C91"/>
    <w:rsid w:val="00AC71C5"/>
    <w:rsid w:val="00AD37D4"/>
    <w:rsid w:val="00AD6C70"/>
    <w:rsid w:val="00AD7986"/>
    <w:rsid w:val="00AE0A02"/>
    <w:rsid w:val="00AE1188"/>
    <w:rsid w:val="00AE14AA"/>
    <w:rsid w:val="00AE4E7C"/>
    <w:rsid w:val="00AE738C"/>
    <w:rsid w:val="00AE7C09"/>
    <w:rsid w:val="00AF00CF"/>
    <w:rsid w:val="00AF0B86"/>
    <w:rsid w:val="00AF1046"/>
    <w:rsid w:val="00AF1D1A"/>
    <w:rsid w:val="00AF3E3B"/>
    <w:rsid w:val="00AF4466"/>
    <w:rsid w:val="00AF5D1E"/>
    <w:rsid w:val="00AF698E"/>
    <w:rsid w:val="00B03A3B"/>
    <w:rsid w:val="00B040A9"/>
    <w:rsid w:val="00B06FA3"/>
    <w:rsid w:val="00B0772A"/>
    <w:rsid w:val="00B114D8"/>
    <w:rsid w:val="00B1711E"/>
    <w:rsid w:val="00B17CBE"/>
    <w:rsid w:val="00B17E26"/>
    <w:rsid w:val="00B231A4"/>
    <w:rsid w:val="00B25D20"/>
    <w:rsid w:val="00B2665D"/>
    <w:rsid w:val="00B30F7B"/>
    <w:rsid w:val="00B3185E"/>
    <w:rsid w:val="00B31C99"/>
    <w:rsid w:val="00B34BA3"/>
    <w:rsid w:val="00B34F87"/>
    <w:rsid w:val="00B35711"/>
    <w:rsid w:val="00B35E74"/>
    <w:rsid w:val="00B37CB6"/>
    <w:rsid w:val="00B40522"/>
    <w:rsid w:val="00B4234D"/>
    <w:rsid w:val="00B4711B"/>
    <w:rsid w:val="00B47E68"/>
    <w:rsid w:val="00B51A0B"/>
    <w:rsid w:val="00B53BA6"/>
    <w:rsid w:val="00B56A14"/>
    <w:rsid w:val="00B5731D"/>
    <w:rsid w:val="00B6378B"/>
    <w:rsid w:val="00B63922"/>
    <w:rsid w:val="00B63E3A"/>
    <w:rsid w:val="00B67A46"/>
    <w:rsid w:val="00B70AF3"/>
    <w:rsid w:val="00B70FB9"/>
    <w:rsid w:val="00B75965"/>
    <w:rsid w:val="00B771AD"/>
    <w:rsid w:val="00B814CB"/>
    <w:rsid w:val="00B9149F"/>
    <w:rsid w:val="00B96720"/>
    <w:rsid w:val="00BA0CF8"/>
    <w:rsid w:val="00BA19FF"/>
    <w:rsid w:val="00BA1ADF"/>
    <w:rsid w:val="00BA3A86"/>
    <w:rsid w:val="00BA51FC"/>
    <w:rsid w:val="00BA7E8C"/>
    <w:rsid w:val="00BB003A"/>
    <w:rsid w:val="00BB3358"/>
    <w:rsid w:val="00BB3382"/>
    <w:rsid w:val="00BB3643"/>
    <w:rsid w:val="00BB4977"/>
    <w:rsid w:val="00BB649B"/>
    <w:rsid w:val="00BC07F5"/>
    <w:rsid w:val="00BC3DA0"/>
    <w:rsid w:val="00BC424B"/>
    <w:rsid w:val="00BD03FD"/>
    <w:rsid w:val="00BD0F21"/>
    <w:rsid w:val="00BE0FDE"/>
    <w:rsid w:val="00BE2E82"/>
    <w:rsid w:val="00BE3483"/>
    <w:rsid w:val="00BF10DB"/>
    <w:rsid w:val="00BF6AC5"/>
    <w:rsid w:val="00C01121"/>
    <w:rsid w:val="00C011D4"/>
    <w:rsid w:val="00C0205D"/>
    <w:rsid w:val="00C030A5"/>
    <w:rsid w:val="00C05A45"/>
    <w:rsid w:val="00C05E78"/>
    <w:rsid w:val="00C0796F"/>
    <w:rsid w:val="00C10022"/>
    <w:rsid w:val="00C10719"/>
    <w:rsid w:val="00C10DEC"/>
    <w:rsid w:val="00C113E4"/>
    <w:rsid w:val="00C11B34"/>
    <w:rsid w:val="00C12C5C"/>
    <w:rsid w:val="00C171FB"/>
    <w:rsid w:val="00C209C2"/>
    <w:rsid w:val="00C21112"/>
    <w:rsid w:val="00C2267F"/>
    <w:rsid w:val="00C22AD8"/>
    <w:rsid w:val="00C236BC"/>
    <w:rsid w:val="00C271B9"/>
    <w:rsid w:val="00C3557E"/>
    <w:rsid w:val="00C3594B"/>
    <w:rsid w:val="00C3747F"/>
    <w:rsid w:val="00C40F5D"/>
    <w:rsid w:val="00C43102"/>
    <w:rsid w:val="00C4542D"/>
    <w:rsid w:val="00C4696B"/>
    <w:rsid w:val="00C469D4"/>
    <w:rsid w:val="00C50513"/>
    <w:rsid w:val="00C54503"/>
    <w:rsid w:val="00C57661"/>
    <w:rsid w:val="00C60FDD"/>
    <w:rsid w:val="00C6181D"/>
    <w:rsid w:val="00C62487"/>
    <w:rsid w:val="00C63055"/>
    <w:rsid w:val="00C63287"/>
    <w:rsid w:val="00C66826"/>
    <w:rsid w:val="00C71530"/>
    <w:rsid w:val="00C72B96"/>
    <w:rsid w:val="00C73B62"/>
    <w:rsid w:val="00C74574"/>
    <w:rsid w:val="00C76085"/>
    <w:rsid w:val="00C776B1"/>
    <w:rsid w:val="00C80DC8"/>
    <w:rsid w:val="00C815FE"/>
    <w:rsid w:val="00C81FA0"/>
    <w:rsid w:val="00C82895"/>
    <w:rsid w:val="00C841EE"/>
    <w:rsid w:val="00C847AE"/>
    <w:rsid w:val="00C945B4"/>
    <w:rsid w:val="00C959E1"/>
    <w:rsid w:val="00CA04C6"/>
    <w:rsid w:val="00CA26DD"/>
    <w:rsid w:val="00CA48A2"/>
    <w:rsid w:val="00CA616E"/>
    <w:rsid w:val="00CB12EC"/>
    <w:rsid w:val="00CB6D5D"/>
    <w:rsid w:val="00CC09D7"/>
    <w:rsid w:val="00CC12B8"/>
    <w:rsid w:val="00CC1BCB"/>
    <w:rsid w:val="00CC5631"/>
    <w:rsid w:val="00CC5AB1"/>
    <w:rsid w:val="00CC5B7B"/>
    <w:rsid w:val="00CD00C6"/>
    <w:rsid w:val="00CD1B1C"/>
    <w:rsid w:val="00CD22E3"/>
    <w:rsid w:val="00CD3FC4"/>
    <w:rsid w:val="00CD4E44"/>
    <w:rsid w:val="00CD5AE4"/>
    <w:rsid w:val="00CD5EF5"/>
    <w:rsid w:val="00CD7A7D"/>
    <w:rsid w:val="00CE0323"/>
    <w:rsid w:val="00CE1ED8"/>
    <w:rsid w:val="00CE6758"/>
    <w:rsid w:val="00CF01AA"/>
    <w:rsid w:val="00CF205A"/>
    <w:rsid w:val="00CF2D8E"/>
    <w:rsid w:val="00CF2DFA"/>
    <w:rsid w:val="00CF5143"/>
    <w:rsid w:val="00CF5AD8"/>
    <w:rsid w:val="00D00122"/>
    <w:rsid w:val="00D0147F"/>
    <w:rsid w:val="00D01D2A"/>
    <w:rsid w:val="00D02954"/>
    <w:rsid w:val="00D0484E"/>
    <w:rsid w:val="00D056F3"/>
    <w:rsid w:val="00D10375"/>
    <w:rsid w:val="00D10B47"/>
    <w:rsid w:val="00D10F6F"/>
    <w:rsid w:val="00D11EB1"/>
    <w:rsid w:val="00D16D9C"/>
    <w:rsid w:val="00D17F17"/>
    <w:rsid w:val="00D222B1"/>
    <w:rsid w:val="00D22F88"/>
    <w:rsid w:val="00D23597"/>
    <w:rsid w:val="00D256A4"/>
    <w:rsid w:val="00D30BDC"/>
    <w:rsid w:val="00D30F4A"/>
    <w:rsid w:val="00D315F0"/>
    <w:rsid w:val="00D33EBB"/>
    <w:rsid w:val="00D403B7"/>
    <w:rsid w:val="00D41548"/>
    <w:rsid w:val="00D424E7"/>
    <w:rsid w:val="00D57F88"/>
    <w:rsid w:val="00D62605"/>
    <w:rsid w:val="00D65334"/>
    <w:rsid w:val="00D7105C"/>
    <w:rsid w:val="00D733EF"/>
    <w:rsid w:val="00D73646"/>
    <w:rsid w:val="00D777B4"/>
    <w:rsid w:val="00D77A90"/>
    <w:rsid w:val="00D82AB9"/>
    <w:rsid w:val="00D8360B"/>
    <w:rsid w:val="00D847D6"/>
    <w:rsid w:val="00D85676"/>
    <w:rsid w:val="00D9623B"/>
    <w:rsid w:val="00D9624B"/>
    <w:rsid w:val="00D96ADA"/>
    <w:rsid w:val="00DA1B8F"/>
    <w:rsid w:val="00DA2886"/>
    <w:rsid w:val="00DA3F46"/>
    <w:rsid w:val="00DA52AA"/>
    <w:rsid w:val="00DA5E50"/>
    <w:rsid w:val="00DA7D0C"/>
    <w:rsid w:val="00DB311C"/>
    <w:rsid w:val="00DB432D"/>
    <w:rsid w:val="00DB45A3"/>
    <w:rsid w:val="00DB519B"/>
    <w:rsid w:val="00DB51FF"/>
    <w:rsid w:val="00DB6149"/>
    <w:rsid w:val="00DB790C"/>
    <w:rsid w:val="00DC7694"/>
    <w:rsid w:val="00DC7FBE"/>
    <w:rsid w:val="00DD130E"/>
    <w:rsid w:val="00DD1450"/>
    <w:rsid w:val="00DD308E"/>
    <w:rsid w:val="00DD4AE3"/>
    <w:rsid w:val="00DE155F"/>
    <w:rsid w:val="00DE1FDE"/>
    <w:rsid w:val="00DF0C51"/>
    <w:rsid w:val="00DF0D47"/>
    <w:rsid w:val="00DF1652"/>
    <w:rsid w:val="00DF308A"/>
    <w:rsid w:val="00DF697D"/>
    <w:rsid w:val="00DF6D37"/>
    <w:rsid w:val="00DF7256"/>
    <w:rsid w:val="00DF7390"/>
    <w:rsid w:val="00E01580"/>
    <w:rsid w:val="00E01E23"/>
    <w:rsid w:val="00E0425E"/>
    <w:rsid w:val="00E048ED"/>
    <w:rsid w:val="00E04FB3"/>
    <w:rsid w:val="00E058F2"/>
    <w:rsid w:val="00E05B03"/>
    <w:rsid w:val="00E05D9C"/>
    <w:rsid w:val="00E06102"/>
    <w:rsid w:val="00E1601C"/>
    <w:rsid w:val="00E1724C"/>
    <w:rsid w:val="00E23E71"/>
    <w:rsid w:val="00E30F19"/>
    <w:rsid w:val="00E30FF3"/>
    <w:rsid w:val="00E33C4A"/>
    <w:rsid w:val="00E33ED5"/>
    <w:rsid w:val="00E357B9"/>
    <w:rsid w:val="00E4321E"/>
    <w:rsid w:val="00E44B80"/>
    <w:rsid w:val="00E47623"/>
    <w:rsid w:val="00E52D80"/>
    <w:rsid w:val="00E54755"/>
    <w:rsid w:val="00E56364"/>
    <w:rsid w:val="00E60529"/>
    <w:rsid w:val="00E625F2"/>
    <w:rsid w:val="00E641EF"/>
    <w:rsid w:val="00E70D86"/>
    <w:rsid w:val="00E75F47"/>
    <w:rsid w:val="00E7628E"/>
    <w:rsid w:val="00E77753"/>
    <w:rsid w:val="00E800FA"/>
    <w:rsid w:val="00E82F54"/>
    <w:rsid w:val="00E841F4"/>
    <w:rsid w:val="00E8649B"/>
    <w:rsid w:val="00E86852"/>
    <w:rsid w:val="00E871CD"/>
    <w:rsid w:val="00E90990"/>
    <w:rsid w:val="00E924A3"/>
    <w:rsid w:val="00E94721"/>
    <w:rsid w:val="00E95D3D"/>
    <w:rsid w:val="00E96866"/>
    <w:rsid w:val="00E96F88"/>
    <w:rsid w:val="00EA0E25"/>
    <w:rsid w:val="00EA173C"/>
    <w:rsid w:val="00EA22FC"/>
    <w:rsid w:val="00EA5D88"/>
    <w:rsid w:val="00EA5F54"/>
    <w:rsid w:val="00EB0A81"/>
    <w:rsid w:val="00EC127A"/>
    <w:rsid w:val="00EC1FF9"/>
    <w:rsid w:val="00EC2737"/>
    <w:rsid w:val="00EC4282"/>
    <w:rsid w:val="00EC61E2"/>
    <w:rsid w:val="00EC6A17"/>
    <w:rsid w:val="00ED175A"/>
    <w:rsid w:val="00ED5F55"/>
    <w:rsid w:val="00ED6669"/>
    <w:rsid w:val="00EE1AA5"/>
    <w:rsid w:val="00EE2716"/>
    <w:rsid w:val="00EE6450"/>
    <w:rsid w:val="00EE69EE"/>
    <w:rsid w:val="00EF158A"/>
    <w:rsid w:val="00EF3925"/>
    <w:rsid w:val="00F01C2C"/>
    <w:rsid w:val="00F0231D"/>
    <w:rsid w:val="00F02E02"/>
    <w:rsid w:val="00F05B61"/>
    <w:rsid w:val="00F10C84"/>
    <w:rsid w:val="00F10ED8"/>
    <w:rsid w:val="00F126DB"/>
    <w:rsid w:val="00F16D41"/>
    <w:rsid w:val="00F222BE"/>
    <w:rsid w:val="00F24179"/>
    <w:rsid w:val="00F25DA8"/>
    <w:rsid w:val="00F301F1"/>
    <w:rsid w:val="00F306AA"/>
    <w:rsid w:val="00F30C22"/>
    <w:rsid w:val="00F324F0"/>
    <w:rsid w:val="00F325C7"/>
    <w:rsid w:val="00F33F1A"/>
    <w:rsid w:val="00F41466"/>
    <w:rsid w:val="00F46873"/>
    <w:rsid w:val="00F547F7"/>
    <w:rsid w:val="00F549DC"/>
    <w:rsid w:val="00F54CCF"/>
    <w:rsid w:val="00F5738A"/>
    <w:rsid w:val="00F57847"/>
    <w:rsid w:val="00F61D7A"/>
    <w:rsid w:val="00F637B3"/>
    <w:rsid w:val="00F65299"/>
    <w:rsid w:val="00F66CF7"/>
    <w:rsid w:val="00F67BCB"/>
    <w:rsid w:val="00F70ACD"/>
    <w:rsid w:val="00F73796"/>
    <w:rsid w:val="00F77C57"/>
    <w:rsid w:val="00F813C7"/>
    <w:rsid w:val="00F814C7"/>
    <w:rsid w:val="00F81574"/>
    <w:rsid w:val="00F83566"/>
    <w:rsid w:val="00F83A9D"/>
    <w:rsid w:val="00F906B5"/>
    <w:rsid w:val="00F92421"/>
    <w:rsid w:val="00F93784"/>
    <w:rsid w:val="00F93BF3"/>
    <w:rsid w:val="00F971CC"/>
    <w:rsid w:val="00FA2CAA"/>
    <w:rsid w:val="00FA3DA1"/>
    <w:rsid w:val="00FA45D1"/>
    <w:rsid w:val="00FA6554"/>
    <w:rsid w:val="00FA76EC"/>
    <w:rsid w:val="00FB0008"/>
    <w:rsid w:val="00FB2428"/>
    <w:rsid w:val="00FB32E6"/>
    <w:rsid w:val="00FB3A11"/>
    <w:rsid w:val="00FB3F1B"/>
    <w:rsid w:val="00FC1ADC"/>
    <w:rsid w:val="00FC1F07"/>
    <w:rsid w:val="00FC462F"/>
    <w:rsid w:val="00FD1605"/>
    <w:rsid w:val="00FE16C1"/>
    <w:rsid w:val="00FE19FF"/>
    <w:rsid w:val="00FE33A6"/>
    <w:rsid w:val="00FE3C6F"/>
    <w:rsid w:val="00FE5452"/>
    <w:rsid w:val="00FF2BB0"/>
    <w:rsid w:val="00FF44C5"/>
    <w:rsid w:val="00FF59A8"/>
    <w:rsid w:val="00FF6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6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15"/>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1B73E8"/>
    <w:rPr>
      <w:color w:val="605E5C"/>
      <w:shd w:val="clear" w:color="auto" w:fill="E1DFDD"/>
    </w:rPr>
  </w:style>
  <w:style w:type="character" w:styleId="FollowedHyperlink">
    <w:name w:val="FollowedHyperlink"/>
    <w:basedOn w:val="DefaultParagraphFont"/>
    <w:uiPriority w:val="99"/>
    <w:semiHidden/>
    <w:unhideWhenUsed/>
    <w:rsid w:val="00CD00C6"/>
    <w:rPr>
      <w:color w:val="800080" w:themeColor="followed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AF0B86"/>
    <w:pPr>
      <w:keepNext/>
      <w:spacing w:before="0" w:after="40"/>
      <w:ind w:left="709" w:hanging="709"/>
    </w:pPr>
    <w:rPr>
      <w:rFonts w:ascii="Arial Narrow" w:eastAsia="Times New Roman" w:hAnsi="Arial Narrow" w:cs="Tahoma"/>
      <w:b/>
      <w:szCs w:val="20"/>
      <w:lang w:val="en-GB" w:eastAsia="ja-JP"/>
    </w:rPr>
  </w:style>
  <w:style w:type="paragraph" w:styleId="FootnoteText">
    <w:name w:val="footnote text"/>
    <w:basedOn w:val="Normal"/>
    <w:link w:val="FootnoteTextChar"/>
    <w:uiPriority w:val="99"/>
    <w:semiHidden/>
    <w:unhideWhenUsed/>
    <w:rsid w:val="00AF0B86"/>
    <w:pPr>
      <w:spacing w:before="0" w:after="0"/>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AF0B8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F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948846750">
      <w:bodyDiv w:val="1"/>
      <w:marLeft w:val="0"/>
      <w:marRight w:val="0"/>
      <w:marTop w:val="0"/>
      <w:marBottom w:val="0"/>
      <w:divBdr>
        <w:top w:val="none" w:sz="0" w:space="0" w:color="auto"/>
        <w:left w:val="none" w:sz="0" w:space="0" w:color="auto"/>
        <w:bottom w:val="none" w:sz="0" w:space="0" w:color="auto"/>
        <w:right w:val="none" w:sz="0" w:space="0" w:color="auto"/>
      </w:divBdr>
      <w:divsChild>
        <w:div w:id="420562185">
          <w:marLeft w:val="0"/>
          <w:marRight w:val="0"/>
          <w:marTop w:val="0"/>
          <w:marBottom w:val="0"/>
          <w:divBdr>
            <w:top w:val="none" w:sz="0" w:space="0" w:color="auto"/>
            <w:left w:val="none" w:sz="0" w:space="0" w:color="auto"/>
            <w:bottom w:val="none" w:sz="0" w:space="0" w:color="auto"/>
            <w:right w:val="none" w:sz="0" w:space="0" w:color="auto"/>
          </w:divBdr>
          <w:divsChild>
            <w:div w:id="1235894807">
              <w:marLeft w:val="0"/>
              <w:marRight w:val="0"/>
              <w:marTop w:val="0"/>
              <w:marBottom w:val="0"/>
              <w:divBdr>
                <w:top w:val="none" w:sz="0" w:space="0" w:color="auto"/>
                <w:left w:val="none" w:sz="0" w:space="0" w:color="auto"/>
                <w:bottom w:val="none" w:sz="0" w:space="0" w:color="auto"/>
                <w:right w:val="none" w:sz="0" w:space="0" w:color="auto"/>
              </w:divBdr>
            </w:div>
          </w:divsChild>
        </w:div>
        <w:div w:id="1047489945">
          <w:marLeft w:val="0"/>
          <w:marRight w:val="0"/>
          <w:marTop w:val="0"/>
          <w:marBottom w:val="0"/>
          <w:divBdr>
            <w:top w:val="none" w:sz="0" w:space="0" w:color="auto"/>
            <w:left w:val="none" w:sz="0" w:space="0" w:color="auto"/>
            <w:bottom w:val="none" w:sz="0" w:space="0" w:color="auto"/>
            <w:right w:val="none" w:sz="0" w:space="0" w:color="auto"/>
          </w:divBdr>
          <w:divsChild>
            <w:div w:id="991955406">
              <w:marLeft w:val="0"/>
              <w:marRight w:val="0"/>
              <w:marTop w:val="0"/>
              <w:marBottom w:val="0"/>
              <w:divBdr>
                <w:top w:val="none" w:sz="0" w:space="0" w:color="auto"/>
                <w:left w:val="none" w:sz="0" w:space="0" w:color="auto"/>
                <w:bottom w:val="none" w:sz="0" w:space="0" w:color="auto"/>
                <w:right w:val="none" w:sz="0" w:space="0" w:color="auto"/>
              </w:divBdr>
            </w:div>
          </w:divsChild>
        </w:div>
        <w:div w:id="1909415144">
          <w:marLeft w:val="0"/>
          <w:marRight w:val="0"/>
          <w:marTop w:val="0"/>
          <w:marBottom w:val="0"/>
          <w:divBdr>
            <w:top w:val="none" w:sz="0" w:space="0" w:color="auto"/>
            <w:left w:val="none" w:sz="0" w:space="0" w:color="auto"/>
            <w:bottom w:val="none" w:sz="0" w:space="0" w:color="auto"/>
            <w:right w:val="none" w:sz="0" w:space="0" w:color="auto"/>
          </w:divBdr>
          <w:divsChild>
            <w:div w:id="1511093859">
              <w:marLeft w:val="0"/>
              <w:marRight w:val="0"/>
              <w:marTop w:val="0"/>
              <w:marBottom w:val="0"/>
              <w:divBdr>
                <w:top w:val="none" w:sz="0" w:space="0" w:color="auto"/>
                <w:left w:val="none" w:sz="0" w:space="0" w:color="auto"/>
                <w:bottom w:val="none" w:sz="0" w:space="0" w:color="auto"/>
                <w:right w:val="none" w:sz="0" w:space="0" w:color="auto"/>
              </w:divBdr>
            </w:div>
          </w:divsChild>
        </w:div>
        <w:div w:id="542987806">
          <w:marLeft w:val="0"/>
          <w:marRight w:val="0"/>
          <w:marTop w:val="0"/>
          <w:marBottom w:val="0"/>
          <w:divBdr>
            <w:top w:val="none" w:sz="0" w:space="0" w:color="auto"/>
            <w:left w:val="none" w:sz="0" w:space="0" w:color="auto"/>
            <w:bottom w:val="none" w:sz="0" w:space="0" w:color="auto"/>
            <w:right w:val="none" w:sz="0" w:space="0" w:color="auto"/>
          </w:divBdr>
          <w:divsChild>
            <w:div w:id="1748112483">
              <w:marLeft w:val="0"/>
              <w:marRight w:val="0"/>
              <w:marTop w:val="0"/>
              <w:marBottom w:val="0"/>
              <w:divBdr>
                <w:top w:val="none" w:sz="0" w:space="0" w:color="auto"/>
                <w:left w:val="none" w:sz="0" w:space="0" w:color="auto"/>
                <w:bottom w:val="none" w:sz="0" w:space="0" w:color="auto"/>
                <w:right w:val="none" w:sz="0" w:space="0" w:color="auto"/>
              </w:divBdr>
            </w:div>
          </w:divsChild>
        </w:div>
        <w:div w:id="349723726">
          <w:marLeft w:val="0"/>
          <w:marRight w:val="0"/>
          <w:marTop w:val="0"/>
          <w:marBottom w:val="0"/>
          <w:divBdr>
            <w:top w:val="none" w:sz="0" w:space="0" w:color="auto"/>
            <w:left w:val="none" w:sz="0" w:space="0" w:color="auto"/>
            <w:bottom w:val="none" w:sz="0" w:space="0" w:color="auto"/>
            <w:right w:val="none" w:sz="0" w:space="0" w:color="auto"/>
          </w:divBdr>
          <w:divsChild>
            <w:div w:id="8616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manetwork.com/journals/jamaoncology/fullarticle/2771011?utm_campaign=articlePDF&amp;utm_medium=articlePDFlink&amp;utm_source=articlePDF&amp;utm_content=jamaoncol.2020.4515" TargetMode="External"/><Relationship Id="rId18" Type="http://schemas.openxmlformats.org/officeDocument/2006/relationships/hyperlink" Target="https://www.annalsofoncology.org/article/S0923-7534(19)31937-4/fulltex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371/journal.pone.02082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0BD63667C984FEEACA25801000123AD8/$File/Review%20paper%202020-01-13.pdf" TargetMode="External"/><Relationship Id="rId17" Type="http://schemas.openxmlformats.org/officeDocument/2006/relationships/hyperlink" Target="https://www.annalsofoncology.org/article/S0923-7534(19)31932-5/fulltext" TargetMode="External"/><Relationship Id="rId25" Type="http://schemas.openxmlformats.org/officeDocument/2006/relationships/package" Target="embeddings/Microsoft_Visio_Drawing.vsdx"/><Relationship Id="rId33" Type="http://schemas.openxmlformats.org/officeDocument/2006/relationships/image" Target="cid:image002.png@01D74CB4.D80B6A50" TargetMode="External"/><Relationship Id="rId2" Type="http://schemas.openxmlformats.org/officeDocument/2006/relationships/numbering" Target="numbering.xml"/><Relationship Id="rId16" Type="http://schemas.openxmlformats.org/officeDocument/2006/relationships/hyperlink" Target="https://www.nccn.org/professionals/physician_gls/pdf/uterine.pdf5" TargetMode="External"/><Relationship Id="rId20" Type="http://schemas.openxmlformats.org/officeDocument/2006/relationships/hyperlink" Target="https://ascopubs.org/doi/abs/10.1200/JCO.2019.37.15_suppl.5586" TargetMode="External"/><Relationship Id="rId29" Type="http://schemas.openxmlformats.org/officeDocument/2006/relationships/hyperlink" Target="file:///C:\Users\mh48146\OneDrive%20-%20GSK\Documents\Dostarlimab\MSAC%20Review%20paper%20-%20detection%20of%20mismatch%20repair%20deficienc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cpa.edu.au/" TargetMode="External"/><Relationship Id="rId23" Type="http://schemas.openxmlformats.org/officeDocument/2006/relationships/hyperlink" Target="https://www.sciencedirect.com/science/article/pii/S0090825814009147" TargetMode="External"/><Relationship Id="rId28" Type="http://schemas.openxmlformats.org/officeDocument/2006/relationships/hyperlink" Target="https://mydrive.gsk.com/personal/michael_a_haberl_gsk_com/Documents/Documents/Dostarlimab/1508_Ratified_PICO_accessible%20(1).docx?web=1" TargetMode="External"/><Relationship Id="rId10" Type="http://schemas.openxmlformats.org/officeDocument/2006/relationships/hyperlink" Target="http://www.msac.gov.au/" TargetMode="External"/><Relationship Id="rId19" Type="http://schemas.openxmlformats.org/officeDocument/2006/relationships/hyperlink" Target="https://doi.org/10.1002/cncr.31901" TargetMode="External"/><Relationship Id="rId31" Type="http://schemas.openxmlformats.org/officeDocument/2006/relationships/hyperlink" Target="http://www.esmo.org/Guideline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rcpa.edu.au/Library/Practising-Pathology/Structured-Pathology-Reporting-of-Cancer/Cancer-Protocols/Gynaecological/Guide-endometrial-cancer" TargetMode="External"/><Relationship Id="rId22" Type="http://schemas.openxmlformats.org/officeDocument/2006/relationships/hyperlink" Target="https://www.sciencedirect.com/science/article/pii/S0090825819302707" TargetMode="External"/><Relationship Id="rId27" Type="http://schemas.openxmlformats.org/officeDocument/2006/relationships/image" Target="cid:image001.png@01D74CB4.D80B6A50" TargetMode="External"/><Relationship Id="rId30" Type="http://schemas.openxmlformats.org/officeDocument/2006/relationships/hyperlink" Target="https://www.aihw.gov.au/reports/cancer/cancer-in-australia-2019/dat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3572-1655-4DE5-8C46-C60A1068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11183</Words>
  <Characters>63748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2021-05-13T07:09:00Z</dcterms:created>
  <dcterms:modified xsi:type="dcterms:W3CDTF">2021-05-26T02:57:00Z</dcterms:modified>
</cp:coreProperties>
</file>