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33285" w14:textId="3B75E3FD" w:rsidR="00BC1364" w:rsidRPr="00707064" w:rsidRDefault="00C67DD2" w:rsidP="001E4857">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062C4D54" wp14:editId="6C9F30A2">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A15E2B9"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04A794D9" w14:textId="68DC0185" w:rsidR="00BC1364" w:rsidRPr="00F715D1" w:rsidRDefault="00BC1364" w:rsidP="00F715D1">
      <w:pPr>
        <w:pStyle w:val="Subtitle"/>
      </w:pPr>
      <w:r w:rsidRPr="00F715D1">
        <w:t xml:space="preserve">Application No. </w:t>
      </w:r>
      <w:r w:rsidR="00E60F1E">
        <w:t>16</w:t>
      </w:r>
      <w:r w:rsidR="003724D2">
        <w:t>2</w:t>
      </w:r>
      <w:r w:rsidR="0022169D">
        <w:t>5</w:t>
      </w:r>
      <w:r w:rsidRPr="00F715D1">
        <w:t xml:space="preserve"> – </w:t>
      </w:r>
      <w:proofErr w:type="spellStart"/>
      <w:r w:rsidR="0022169D">
        <w:t>Dinutuximab</w:t>
      </w:r>
      <w:proofErr w:type="spellEnd"/>
      <w:r w:rsidR="0022169D">
        <w:t xml:space="preserve"> beta</w:t>
      </w:r>
      <w:r w:rsidR="006B19A5">
        <w:t xml:space="preserve"> (</w:t>
      </w:r>
      <w:proofErr w:type="spellStart"/>
      <w:r w:rsidR="006B19A5">
        <w:t>Qarziba</w:t>
      </w:r>
      <w:proofErr w:type="spellEnd"/>
      <w:r w:rsidR="006B19A5" w:rsidRPr="001277B0">
        <w:rPr>
          <w:vertAlign w:val="superscript"/>
        </w:rPr>
        <w:t>®</w:t>
      </w:r>
      <w:r w:rsidR="006B19A5">
        <w:t>)</w:t>
      </w:r>
      <w:r w:rsidR="0022169D">
        <w:t xml:space="preserve"> for high-risk </w:t>
      </w:r>
      <w:proofErr w:type="spellStart"/>
      <w:r w:rsidR="0022169D">
        <w:t>neuroblastoma</w:t>
      </w:r>
      <w:proofErr w:type="spellEnd"/>
    </w:p>
    <w:p w14:paraId="2C0600CE" w14:textId="270A4CA5" w:rsidR="00BC1364" w:rsidRPr="00F715D1" w:rsidRDefault="00B35595" w:rsidP="007013AB">
      <w:pPr>
        <w:tabs>
          <w:tab w:val="left" w:pos="3686"/>
        </w:tabs>
        <w:spacing w:before="360"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22169D">
        <w:rPr>
          <w:rFonts w:ascii="Arial" w:hAnsi="Arial" w:cs="Arial"/>
          <w:b/>
          <w:szCs w:val="24"/>
        </w:rPr>
        <w:t xml:space="preserve">EUSA Pharma </w:t>
      </w:r>
      <w:r w:rsidR="007013AB" w:rsidRPr="007013AB">
        <w:rPr>
          <w:rFonts w:ascii="Arial" w:hAnsi="Arial" w:cs="Arial"/>
          <w:b/>
          <w:szCs w:val="24"/>
        </w:rPr>
        <w:t xml:space="preserve">(UK) Ltd </w:t>
      </w:r>
      <w:r w:rsidR="0022169D">
        <w:rPr>
          <w:rFonts w:ascii="Arial" w:hAnsi="Arial" w:cs="Arial"/>
          <w:b/>
          <w:szCs w:val="24"/>
        </w:rPr>
        <w:t>(KMC HealthCare</w:t>
      </w:r>
      <w:r w:rsidR="007013AB">
        <w:rPr>
          <w:rFonts w:ascii="Arial" w:hAnsi="Arial" w:cs="Arial"/>
          <w:b/>
          <w:szCs w:val="24"/>
        </w:rPr>
        <w:t xml:space="preserve"> </w:t>
      </w:r>
      <w:r w:rsidR="007013AB" w:rsidRPr="007013AB">
        <w:rPr>
          <w:rFonts w:ascii="Arial" w:hAnsi="Arial" w:cs="Arial"/>
          <w:b/>
          <w:szCs w:val="24"/>
        </w:rPr>
        <w:t>Pty Ltd</w:t>
      </w:r>
      <w:r w:rsidR="0022169D">
        <w:rPr>
          <w:rFonts w:ascii="Arial" w:hAnsi="Arial" w:cs="Arial"/>
          <w:b/>
          <w:szCs w:val="24"/>
        </w:rPr>
        <w:t>)</w:t>
      </w:r>
    </w:p>
    <w:p w14:paraId="7D59AC9C"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743FCB57"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9" w:tooltip="Link to Medical Services Advisory Committee website" w:history="1">
        <w:proofErr w:type="gramStart"/>
        <w:r w:rsidR="00F715D1" w:rsidRPr="00F715D1">
          <w:rPr>
            <w:rStyle w:val="Hyperlink"/>
            <w:szCs w:val="24"/>
          </w:rPr>
          <w:t>visit the MSAC website</w:t>
        </w:r>
        <w:proofErr w:type="gramEnd"/>
      </w:hyperlink>
    </w:p>
    <w:p w14:paraId="4E68AD62" w14:textId="77777777" w:rsidR="003D7F29" w:rsidRPr="00F715D1" w:rsidRDefault="003D7F29" w:rsidP="00F715D1">
      <w:pPr>
        <w:pStyle w:val="Heading1"/>
      </w:pPr>
      <w:r w:rsidRPr="00F715D1">
        <w:t>Purpose of application</w:t>
      </w:r>
      <w:r w:rsidR="00822C7E" w:rsidRPr="00F715D1">
        <w:t xml:space="preserve"> </w:t>
      </w:r>
    </w:p>
    <w:p w14:paraId="65C574C4" w14:textId="138BF5E4" w:rsidR="00965DD7" w:rsidRDefault="001B5028" w:rsidP="001B5028">
      <w:pPr>
        <w:tabs>
          <w:tab w:val="left" w:pos="720"/>
          <w:tab w:val="left" w:pos="1140"/>
        </w:tabs>
        <w:rPr>
          <w:color w:val="3366FF"/>
          <w:szCs w:val="24"/>
        </w:rPr>
      </w:pPr>
      <w:r>
        <w:t>The application request</w:t>
      </w:r>
      <w:r w:rsidR="002078CE">
        <w:t>ed</w:t>
      </w:r>
      <w:r w:rsidRPr="00FE3ECD">
        <w:t xml:space="preserve"> public funding of</w:t>
      </w:r>
      <w:r>
        <w:t xml:space="preserve"> </w:t>
      </w:r>
      <w:proofErr w:type="spellStart"/>
      <w:r w:rsidR="00734952">
        <w:t>dinutuximab</w:t>
      </w:r>
      <w:proofErr w:type="spellEnd"/>
      <w:r w:rsidR="00734952">
        <w:t xml:space="preserve"> beta (</w:t>
      </w:r>
      <w:r>
        <w:t>DB</w:t>
      </w:r>
      <w:r w:rsidR="00734952">
        <w:t>)</w:t>
      </w:r>
      <w:r>
        <w:t xml:space="preserve"> for </w:t>
      </w:r>
      <w:r w:rsidRPr="00B83676">
        <w:t xml:space="preserve">the treatment of high-risk </w:t>
      </w:r>
      <w:proofErr w:type="spellStart"/>
      <w:r w:rsidRPr="00B83676">
        <w:t>neuroblastoma</w:t>
      </w:r>
      <w:proofErr w:type="spellEnd"/>
      <w:r w:rsidR="00734952">
        <w:t xml:space="preserve"> (HRNBL)</w:t>
      </w:r>
      <w:r w:rsidRPr="00B83676">
        <w:t xml:space="preserve"> in patients who have previously received induction chemotherapy and achieved at least a partial response</w:t>
      </w:r>
      <w:r>
        <w:rPr>
          <w:color w:val="3366FF"/>
          <w:szCs w:val="24"/>
        </w:rPr>
        <w:t>.</w:t>
      </w:r>
    </w:p>
    <w:p w14:paraId="7E65E2D5" w14:textId="15E1C3A2" w:rsidR="00965DD7" w:rsidRPr="007013AB" w:rsidRDefault="00965DD7" w:rsidP="001F2235">
      <w:pPr>
        <w:spacing w:before="240"/>
      </w:pPr>
      <w:r>
        <w:t xml:space="preserve">DB </w:t>
      </w:r>
      <w:proofErr w:type="gramStart"/>
      <w:r>
        <w:t>was assessed</w:t>
      </w:r>
      <w:proofErr w:type="gramEnd"/>
      <w:r>
        <w:t xml:space="preserve"> as suitable for assessment by MSAC for joint funding by the Commonwealth and the States/Territories under the National Health Reform Arrangements (NHRA) on the basis that it will</w:t>
      </w:r>
      <w:r w:rsidR="001F77B0">
        <w:t xml:space="preserve"> </w:t>
      </w:r>
      <w:r>
        <w:t xml:space="preserve">be </w:t>
      </w:r>
      <w:r w:rsidR="001F77B0">
        <w:t xml:space="preserve">predominantly </w:t>
      </w:r>
      <w:r>
        <w:t>administer</w:t>
      </w:r>
      <w:r w:rsidRPr="00083E00">
        <w:t>ed to admitted patients in</w:t>
      </w:r>
      <w:r w:rsidR="00083E00" w:rsidRPr="00083E00">
        <w:t xml:space="preserve"> </w:t>
      </w:r>
      <w:r w:rsidRPr="00083E00">
        <w:t>public hospital</w:t>
      </w:r>
      <w:r w:rsidR="00083E00" w:rsidRPr="00083E00">
        <w:t>s</w:t>
      </w:r>
      <w:r w:rsidRPr="00083E00">
        <w:t>. As part of the NHRA arrangements</w:t>
      </w:r>
      <w:r>
        <w:t xml:space="preserve">, State and Territory Health Departments </w:t>
      </w:r>
      <w:proofErr w:type="gramStart"/>
      <w:r>
        <w:t>were provided</w:t>
      </w:r>
      <w:proofErr w:type="gramEnd"/>
      <w:r>
        <w:t xml:space="preserve"> an opportunity to make submissions to MSAC on the funding proposal.</w:t>
      </w:r>
    </w:p>
    <w:p w14:paraId="77238649" w14:textId="77777777" w:rsidR="00E977EE" w:rsidRPr="00F715D1" w:rsidRDefault="00E977EE" w:rsidP="00F715D1">
      <w:pPr>
        <w:pStyle w:val="Heading1"/>
      </w:pPr>
      <w:r w:rsidRPr="00F715D1">
        <w:t>MSAC’s advice to the Minister</w:t>
      </w:r>
    </w:p>
    <w:p w14:paraId="013707A3" w14:textId="5031CB07" w:rsidR="00BE767B" w:rsidRDefault="00D2671B" w:rsidP="00F715D1">
      <w:pPr>
        <w:pStyle w:val="Default"/>
        <w:spacing w:after="240"/>
      </w:pPr>
      <w:r w:rsidRPr="0037421C">
        <w:t xml:space="preserve">After considering the strength of the available evidence in relation to comparative safety, clinical effectiveness and cost-effectiveness, </w:t>
      </w:r>
      <w:r w:rsidR="00BE767B" w:rsidRPr="00AA42B7">
        <w:t>MSAC supported</w:t>
      </w:r>
      <w:r w:rsidR="00BE767B">
        <w:t xml:space="preserve"> joint Commonwealth and State/Territory funding of </w:t>
      </w:r>
      <w:r w:rsidR="004A12BE">
        <w:t>DB</w:t>
      </w:r>
      <w:r w:rsidR="00BE767B">
        <w:t xml:space="preserve"> for </w:t>
      </w:r>
      <w:r w:rsidR="004A12BE">
        <w:t>HRNBL</w:t>
      </w:r>
      <w:r w:rsidR="00BE767B">
        <w:t xml:space="preserve"> in patients who have previously received induction chemotherapy and achieved at least a partial response, subject to the applicant agreeing a price reduction for</w:t>
      </w:r>
      <w:r w:rsidR="004A12BE">
        <w:t xml:space="preserve"> DB</w:t>
      </w:r>
      <w:r w:rsidR="00BE767B">
        <w:t xml:space="preserve">. In providing this advice, MSAC considered the best estimate of the incremental cost effectiveness ratio (ICER) of treatment was between </w:t>
      </w:r>
      <w:r w:rsidR="00BE767B" w:rsidRPr="00A35954">
        <w:t>$</w:t>
      </w:r>
      <w:r w:rsidR="00864F79" w:rsidRPr="00A35954">
        <w:rPr>
          <w:b/>
        </w:rPr>
        <w:t>redacted</w:t>
      </w:r>
      <w:r w:rsidR="00864F79" w:rsidRPr="00A35954" w:rsidDel="00864F79">
        <w:t xml:space="preserve"> </w:t>
      </w:r>
      <w:r w:rsidR="00BE767B" w:rsidRPr="00A35954">
        <w:t>and $</w:t>
      </w:r>
      <w:r w:rsidR="00864F79" w:rsidRPr="00A35954">
        <w:rPr>
          <w:b/>
        </w:rPr>
        <w:t>redacted</w:t>
      </w:r>
      <w:r w:rsidR="00864F79" w:rsidRPr="00A35954" w:rsidDel="00864F79">
        <w:t xml:space="preserve"> </w:t>
      </w:r>
      <w:r w:rsidR="00BE767B" w:rsidRPr="00A35954">
        <w:t>per quality adjusted life year gained (QALY). However</w:t>
      </w:r>
      <w:r w:rsidR="00D64B0B" w:rsidRPr="00A35954">
        <w:t>,</w:t>
      </w:r>
      <w:r w:rsidR="00BE767B" w:rsidRPr="00A35954">
        <w:t xml:space="preserve"> the</w:t>
      </w:r>
      <w:r w:rsidR="00BE767B" w:rsidRPr="00433FC5">
        <w:t xml:space="preserve"> MSAC considered a</w:t>
      </w:r>
      <w:r w:rsidR="00675BE0" w:rsidRPr="00433FC5">
        <w:t xml:space="preserve"> lower </w:t>
      </w:r>
      <w:r w:rsidR="002131EB">
        <w:t xml:space="preserve">incremental cost per </w:t>
      </w:r>
      <w:r w:rsidR="00675BE0" w:rsidRPr="00616670">
        <w:t>QALY</w:t>
      </w:r>
      <w:r w:rsidR="00675BE0" w:rsidRPr="00433FC5">
        <w:t xml:space="preserve"> </w:t>
      </w:r>
      <w:r w:rsidR="00BE767B" w:rsidRPr="00433FC5">
        <w:t>to be appropriate.</w:t>
      </w:r>
    </w:p>
    <w:tbl>
      <w:tblPr>
        <w:tblStyle w:val="TableGrid"/>
        <w:tblW w:w="0" w:type="auto"/>
        <w:tblLook w:val="04A0" w:firstRow="1" w:lastRow="0" w:firstColumn="1" w:lastColumn="0" w:noHBand="0" w:noVBand="1"/>
        <w:tblDescription w:val="Consumer summary of MSAC consideration"/>
      </w:tblPr>
      <w:tblGrid>
        <w:gridCol w:w="9016"/>
      </w:tblGrid>
      <w:tr w:rsidR="001F2235" w14:paraId="781B2280" w14:textId="77777777" w:rsidTr="001F2235">
        <w:trPr>
          <w:tblHeader/>
        </w:trPr>
        <w:tc>
          <w:tcPr>
            <w:tcW w:w="9016" w:type="dxa"/>
          </w:tcPr>
          <w:p w14:paraId="3D476C86" w14:textId="1F9D3E27" w:rsidR="001F2235" w:rsidRPr="001F2235" w:rsidRDefault="001F2235" w:rsidP="00840515">
            <w:pPr>
              <w:pStyle w:val="Default"/>
              <w:spacing w:before="120" w:after="120"/>
              <w:rPr>
                <w:b/>
                <w:color w:val="auto"/>
              </w:rPr>
            </w:pPr>
            <w:r w:rsidRPr="00C06B0B">
              <w:rPr>
                <w:b/>
                <w:color w:val="auto"/>
              </w:rPr>
              <w:t>Consumer summary</w:t>
            </w:r>
          </w:p>
        </w:tc>
      </w:tr>
      <w:tr w:rsidR="001F2235" w14:paraId="6C59DE12" w14:textId="77777777" w:rsidTr="001F2235">
        <w:tc>
          <w:tcPr>
            <w:tcW w:w="9016" w:type="dxa"/>
          </w:tcPr>
          <w:p w14:paraId="19E7B0D8" w14:textId="77777777" w:rsidR="001F2235" w:rsidRPr="00D2671B" w:rsidRDefault="001F2235" w:rsidP="001F2235">
            <w:pPr>
              <w:pStyle w:val="Default"/>
              <w:spacing w:before="120" w:after="240"/>
              <w:rPr>
                <w:color w:val="auto"/>
              </w:rPr>
            </w:pPr>
            <w:r w:rsidRPr="00D2671B">
              <w:rPr>
                <w:color w:val="auto"/>
              </w:rPr>
              <w:t xml:space="preserve">KMC Health Care Pty Ltd (on behalf of EUSA Pharma (UK) Ltd) applied for joint Commonwealth and </w:t>
            </w:r>
            <w:r>
              <w:rPr>
                <w:color w:val="auto"/>
              </w:rPr>
              <w:t>S</w:t>
            </w:r>
            <w:r w:rsidRPr="00D2671B">
              <w:rPr>
                <w:color w:val="auto"/>
              </w:rPr>
              <w:t>tate/</w:t>
            </w:r>
            <w:r>
              <w:rPr>
                <w:color w:val="auto"/>
              </w:rPr>
              <w:t>T</w:t>
            </w:r>
            <w:r w:rsidRPr="00D2671B">
              <w:rPr>
                <w:color w:val="auto"/>
              </w:rPr>
              <w:t xml:space="preserve">erritory funding of </w:t>
            </w:r>
            <w:proofErr w:type="spellStart"/>
            <w:r w:rsidRPr="00D2671B">
              <w:rPr>
                <w:color w:val="auto"/>
              </w:rPr>
              <w:t>dinutuximab</w:t>
            </w:r>
            <w:proofErr w:type="spellEnd"/>
            <w:r w:rsidRPr="00D2671B">
              <w:rPr>
                <w:color w:val="auto"/>
              </w:rPr>
              <w:t xml:space="preserve"> beta (DB) for high-risk </w:t>
            </w:r>
            <w:proofErr w:type="spellStart"/>
            <w:r w:rsidRPr="00D2671B">
              <w:rPr>
                <w:color w:val="auto"/>
              </w:rPr>
              <w:t>neuroblastoma</w:t>
            </w:r>
            <w:proofErr w:type="spellEnd"/>
            <w:r w:rsidRPr="00D2671B">
              <w:rPr>
                <w:color w:val="auto"/>
              </w:rPr>
              <w:t xml:space="preserve"> in patients who have </w:t>
            </w:r>
            <w:r>
              <w:rPr>
                <w:color w:val="auto"/>
              </w:rPr>
              <w:t xml:space="preserve">been treated with </w:t>
            </w:r>
            <w:r w:rsidRPr="00D2671B">
              <w:rPr>
                <w:color w:val="auto"/>
              </w:rPr>
              <w:t xml:space="preserve">chemotherapy and achieved at least a partial </w:t>
            </w:r>
            <w:r>
              <w:rPr>
                <w:color w:val="auto"/>
              </w:rPr>
              <w:t xml:space="preserve">positive </w:t>
            </w:r>
            <w:r w:rsidRPr="00D2671B">
              <w:rPr>
                <w:color w:val="auto"/>
              </w:rPr>
              <w:t>response.</w:t>
            </w:r>
          </w:p>
          <w:p w14:paraId="68780EFB" w14:textId="77777777" w:rsidR="001F2235" w:rsidRDefault="001F2235" w:rsidP="001F2235">
            <w:pPr>
              <w:pStyle w:val="Default"/>
              <w:spacing w:before="120" w:after="240"/>
              <w:rPr>
                <w:color w:val="auto"/>
              </w:rPr>
            </w:pPr>
            <w:proofErr w:type="spellStart"/>
            <w:r w:rsidRPr="00D2671B">
              <w:rPr>
                <w:color w:val="auto"/>
              </w:rPr>
              <w:lastRenderedPageBreak/>
              <w:t>Neuroblastoma</w:t>
            </w:r>
            <w:proofErr w:type="spellEnd"/>
            <w:r w:rsidRPr="00D2671B">
              <w:rPr>
                <w:color w:val="auto"/>
              </w:rPr>
              <w:t xml:space="preserve"> is a rare type of cancer that mainly occurs in young children</w:t>
            </w:r>
            <w:r>
              <w:rPr>
                <w:color w:val="auto"/>
              </w:rPr>
              <w:t xml:space="preserve"> and has a poor long-term outlook</w:t>
            </w:r>
            <w:r w:rsidRPr="00D2671B">
              <w:rPr>
                <w:color w:val="auto"/>
              </w:rPr>
              <w:t xml:space="preserve">. DB is an antibody that attacks </w:t>
            </w:r>
            <w:proofErr w:type="spellStart"/>
            <w:r w:rsidRPr="00D2671B">
              <w:rPr>
                <w:color w:val="auto"/>
              </w:rPr>
              <w:t>neuroblastoma</w:t>
            </w:r>
            <w:proofErr w:type="spellEnd"/>
            <w:r w:rsidRPr="00D2671B">
              <w:rPr>
                <w:color w:val="auto"/>
              </w:rPr>
              <w:t xml:space="preserve"> cells. The treatment </w:t>
            </w:r>
            <w:proofErr w:type="gramStart"/>
            <w:r w:rsidRPr="00D2671B">
              <w:rPr>
                <w:color w:val="auto"/>
              </w:rPr>
              <w:t>is given</w:t>
            </w:r>
            <w:proofErr w:type="gramEnd"/>
            <w:r w:rsidRPr="00D2671B">
              <w:rPr>
                <w:color w:val="auto"/>
              </w:rPr>
              <w:t xml:space="preserve"> into a vein over the first 5 or 10 days of a 35-day cycle. Patients have 5 cycles in total of DB treatment.</w:t>
            </w:r>
          </w:p>
          <w:p w14:paraId="60E39C15" w14:textId="77777777" w:rsidR="001F2235" w:rsidRPr="0006577B" w:rsidRDefault="001F2235" w:rsidP="001F2235">
            <w:pPr>
              <w:pStyle w:val="Default"/>
              <w:spacing w:before="120" w:after="240"/>
              <w:rPr>
                <w:color w:val="auto"/>
              </w:rPr>
            </w:pPr>
            <w:r w:rsidRPr="0006577B">
              <w:rPr>
                <w:color w:val="auto"/>
              </w:rPr>
              <w:t xml:space="preserve">The applicant proposed to MSAC that adding DB to treatment using only </w:t>
            </w:r>
            <w:r>
              <w:rPr>
                <w:color w:val="auto"/>
              </w:rPr>
              <w:t>retinoic acid (</w:t>
            </w:r>
            <w:r w:rsidRPr="0006577B">
              <w:rPr>
                <w:color w:val="auto"/>
              </w:rPr>
              <w:t>RA</w:t>
            </w:r>
            <w:r>
              <w:rPr>
                <w:color w:val="auto"/>
              </w:rPr>
              <w:t>)</w:t>
            </w:r>
            <w:r w:rsidRPr="0006577B">
              <w:rPr>
                <w:color w:val="auto"/>
              </w:rPr>
              <w:t xml:space="preserve"> would benefit patients. </w:t>
            </w:r>
            <w:proofErr w:type="gramStart"/>
            <w:r w:rsidRPr="0006577B">
              <w:rPr>
                <w:color w:val="auto"/>
              </w:rPr>
              <w:t>However, there are no clinical trials that directly compare DB+RA with RA alone.</w:t>
            </w:r>
            <w:proofErr w:type="gramEnd"/>
            <w:r w:rsidRPr="0006577B">
              <w:rPr>
                <w:color w:val="auto"/>
              </w:rPr>
              <w:t xml:space="preserve"> This meant the applicant had to use an indirect comparison of </w:t>
            </w:r>
            <w:r>
              <w:rPr>
                <w:color w:val="auto"/>
              </w:rPr>
              <w:t xml:space="preserve">a </w:t>
            </w:r>
            <w:r w:rsidRPr="0006577B">
              <w:rPr>
                <w:color w:val="auto"/>
              </w:rPr>
              <w:t>clinical trial that gave DB+RA to patients with a clinical trial that compared a similar treatment to RA alone</w:t>
            </w:r>
            <w:r>
              <w:rPr>
                <w:color w:val="auto"/>
              </w:rPr>
              <w:t>,</w:t>
            </w:r>
            <w:r w:rsidRPr="0006577B">
              <w:rPr>
                <w:color w:val="auto"/>
              </w:rPr>
              <w:t xml:space="preserve"> to show whether DB works. This meant </w:t>
            </w:r>
            <w:r>
              <w:rPr>
                <w:color w:val="auto"/>
              </w:rPr>
              <w:t>MSAC could not</w:t>
            </w:r>
            <w:r w:rsidRPr="0006577B">
              <w:rPr>
                <w:color w:val="auto"/>
              </w:rPr>
              <w:t xml:space="preserve"> be </w:t>
            </w:r>
            <w:r>
              <w:rPr>
                <w:color w:val="auto"/>
              </w:rPr>
              <w:t xml:space="preserve">as </w:t>
            </w:r>
            <w:r w:rsidRPr="0006577B">
              <w:rPr>
                <w:color w:val="auto"/>
              </w:rPr>
              <w:t xml:space="preserve">certain about the size of the clinical benefit as it would have been if there </w:t>
            </w:r>
            <w:proofErr w:type="gramStart"/>
            <w:r w:rsidRPr="0006577B">
              <w:rPr>
                <w:color w:val="auto"/>
              </w:rPr>
              <w:t>was</w:t>
            </w:r>
            <w:proofErr w:type="gramEnd"/>
            <w:r w:rsidRPr="0006577B">
              <w:rPr>
                <w:color w:val="auto"/>
              </w:rPr>
              <w:t xml:space="preserve"> a clinical trial that directly compared the two treatments. After considering all the evidence available, MSAC accepted that DB </w:t>
            </w:r>
            <w:proofErr w:type="gramStart"/>
            <w:r w:rsidRPr="0006577B">
              <w:rPr>
                <w:color w:val="auto"/>
              </w:rPr>
              <w:t>can</w:t>
            </w:r>
            <w:proofErr w:type="gramEnd"/>
            <w:r w:rsidRPr="0006577B">
              <w:rPr>
                <w:color w:val="auto"/>
              </w:rPr>
              <w:t xml:space="preserve"> be an effective treatment for high risk </w:t>
            </w:r>
            <w:proofErr w:type="spellStart"/>
            <w:r w:rsidRPr="0006577B">
              <w:rPr>
                <w:color w:val="auto"/>
              </w:rPr>
              <w:t>neuroblastoma</w:t>
            </w:r>
            <w:proofErr w:type="spellEnd"/>
            <w:r w:rsidRPr="0006577B">
              <w:rPr>
                <w:color w:val="auto"/>
              </w:rPr>
              <w:t>.</w:t>
            </w:r>
          </w:p>
          <w:p w14:paraId="16E7B6DC" w14:textId="77777777" w:rsidR="001F2235" w:rsidRDefault="001F2235" w:rsidP="001F2235">
            <w:pPr>
              <w:pStyle w:val="Default"/>
              <w:spacing w:before="120" w:after="240"/>
              <w:rPr>
                <w:color w:val="auto"/>
              </w:rPr>
            </w:pPr>
            <w:r>
              <w:rPr>
                <w:color w:val="auto"/>
              </w:rPr>
              <w:t xml:space="preserve">Treatment with </w:t>
            </w:r>
            <w:r w:rsidRPr="00D2671B">
              <w:rPr>
                <w:color w:val="auto"/>
              </w:rPr>
              <w:t>DB is expensive</w:t>
            </w:r>
            <w:r>
              <w:rPr>
                <w:color w:val="auto"/>
              </w:rPr>
              <w:t xml:space="preserve"> – both because of the price of DB itself, and because patients may need to stay in hospital for most of the days on which treatment is given. Patients may need a lot of nursing and medical support to help with one of the main side effects of DB, which is pain while it </w:t>
            </w:r>
            <w:proofErr w:type="gramStart"/>
            <w:r>
              <w:rPr>
                <w:color w:val="auto"/>
              </w:rPr>
              <w:t>is being given</w:t>
            </w:r>
            <w:proofErr w:type="gramEnd"/>
            <w:r>
              <w:rPr>
                <w:color w:val="auto"/>
              </w:rPr>
              <w:t xml:space="preserve">. The States and Territories cover public hospital costs, including the costs of any treatments or medicines that patients receive while being treated in a public hospital. The Commonwealth pays a contribution towards these costs. Representatives of the Commonwealth and State and Territory governments have been working together to find the best way to deliver and fund care for people with </w:t>
            </w:r>
            <w:proofErr w:type="gramStart"/>
            <w:r>
              <w:rPr>
                <w:color w:val="auto"/>
              </w:rPr>
              <w:t>high risk</w:t>
            </w:r>
            <w:proofErr w:type="gramEnd"/>
            <w:r>
              <w:rPr>
                <w:color w:val="auto"/>
              </w:rPr>
              <w:t xml:space="preserve"> </w:t>
            </w:r>
            <w:proofErr w:type="spellStart"/>
            <w:r>
              <w:rPr>
                <w:color w:val="auto"/>
              </w:rPr>
              <w:t>neuroblastoma</w:t>
            </w:r>
            <w:proofErr w:type="spellEnd"/>
            <w:r>
              <w:rPr>
                <w:color w:val="auto"/>
              </w:rPr>
              <w:t>.</w:t>
            </w:r>
          </w:p>
          <w:p w14:paraId="525ED89B" w14:textId="77777777" w:rsidR="001F2235" w:rsidRPr="00D2671B" w:rsidRDefault="001F2235" w:rsidP="001F2235">
            <w:pPr>
              <w:pStyle w:val="Default"/>
              <w:spacing w:before="120" w:after="240"/>
              <w:rPr>
                <w:color w:val="auto"/>
              </w:rPr>
            </w:pPr>
            <w:proofErr w:type="gramStart"/>
            <w:r w:rsidRPr="00D2671B">
              <w:rPr>
                <w:color w:val="auto"/>
              </w:rPr>
              <w:t xml:space="preserve">MSAC noted the high need for </w:t>
            </w:r>
            <w:r>
              <w:rPr>
                <w:color w:val="auto"/>
              </w:rPr>
              <w:t xml:space="preserve">additional </w:t>
            </w:r>
            <w:r w:rsidRPr="00D2671B">
              <w:rPr>
                <w:color w:val="auto"/>
              </w:rPr>
              <w:t>effective treatment</w:t>
            </w:r>
            <w:r>
              <w:rPr>
                <w:color w:val="auto"/>
              </w:rPr>
              <w:t>s</w:t>
            </w:r>
            <w:r w:rsidRPr="00D2671B">
              <w:rPr>
                <w:color w:val="auto"/>
              </w:rPr>
              <w:t xml:space="preserve"> for </w:t>
            </w:r>
            <w:r>
              <w:rPr>
                <w:color w:val="auto"/>
              </w:rPr>
              <w:t xml:space="preserve">people with </w:t>
            </w:r>
            <w:proofErr w:type="spellStart"/>
            <w:r>
              <w:rPr>
                <w:color w:val="auto"/>
              </w:rPr>
              <w:t>neuroblastoma</w:t>
            </w:r>
            <w:proofErr w:type="spellEnd"/>
            <w:r>
              <w:rPr>
                <w:color w:val="auto"/>
              </w:rPr>
              <w:t xml:space="preserve"> and agreed, on the balance of evidence</w:t>
            </w:r>
            <w:proofErr w:type="gramEnd"/>
            <w:r>
              <w:rPr>
                <w:color w:val="auto"/>
              </w:rPr>
              <w:t xml:space="preserve">, </w:t>
            </w:r>
            <w:proofErr w:type="gramStart"/>
            <w:r>
              <w:rPr>
                <w:color w:val="auto"/>
              </w:rPr>
              <w:t>DB should be funded</w:t>
            </w:r>
            <w:proofErr w:type="gramEnd"/>
            <w:r>
              <w:rPr>
                <w:color w:val="auto"/>
              </w:rPr>
              <w:t>. However, MSAC questioned the high cost of DB put forward in the application</w:t>
            </w:r>
            <w:r w:rsidRPr="00D2671B">
              <w:rPr>
                <w:color w:val="auto"/>
              </w:rPr>
              <w:t>.</w:t>
            </w:r>
          </w:p>
          <w:p w14:paraId="1BA8A57A" w14:textId="77777777" w:rsidR="001F2235" w:rsidRDefault="001F2235" w:rsidP="00840515">
            <w:pPr>
              <w:pStyle w:val="Default"/>
              <w:spacing w:after="120"/>
              <w:rPr>
                <w:b/>
                <w:color w:val="auto"/>
              </w:rPr>
            </w:pPr>
            <w:r w:rsidRPr="00C06B0B">
              <w:rPr>
                <w:b/>
                <w:color w:val="auto"/>
              </w:rPr>
              <w:t xml:space="preserve">MSAC’s </w:t>
            </w:r>
            <w:r>
              <w:rPr>
                <w:b/>
                <w:color w:val="auto"/>
              </w:rPr>
              <w:t>advice</w:t>
            </w:r>
            <w:r w:rsidRPr="00C06B0B">
              <w:rPr>
                <w:b/>
                <w:color w:val="auto"/>
              </w:rPr>
              <w:t xml:space="preserve"> to the Commonwealth Minister</w:t>
            </w:r>
            <w:r>
              <w:rPr>
                <w:b/>
                <w:color w:val="auto"/>
              </w:rPr>
              <w:t xml:space="preserve"> for Health</w:t>
            </w:r>
          </w:p>
          <w:p w14:paraId="44076FD4" w14:textId="2FE0F3C4" w:rsidR="001F2235" w:rsidRDefault="001F2235" w:rsidP="001F2235">
            <w:pPr>
              <w:pStyle w:val="Default"/>
              <w:spacing w:after="240"/>
              <w:rPr>
                <w:i/>
                <w:color w:val="auto"/>
              </w:rPr>
            </w:pPr>
            <w:r w:rsidRPr="00D2671B">
              <w:rPr>
                <w:color w:val="auto"/>
              </w:rPr>
              <w:t xml:space="preserve">MSAC supported public funding for DB in patients with high-risk </w:t>
            </w:r>
            <w:proofErr w:type="spellStart"/>
            <w:r w:rsidRPr="00D2671B">
              <w:rPr>
                <w:color w:val="auto"/>
              </w:rPr>
              <w:t>neuroblastoma</w:t>
            </w:r>
            <w:proofErr w:type="spellEnd"/>
            <w:r w:rsidRPr="00D2671B">
              <w:rPr>
                <w:color w:val="auto"/>
              </w:rPr>
              <w:t xml:space="preserve">, </w:t>
            </w:r>
            <w:r>
              <w:rPr>
                <w:color w:val="auto"/>
              </w:rPr>
              <w:t>as long as</w:t>
            </w:r>
            <w:r w:rsidRPr="00D2671B">
              <w:rPr>
                <w:color w:val="auto"/>
              </w:rPr>
              <w:t xml:space="preserve"> </w:t>
            </w:r>
            <w:r>
              <w:rPr>
                <w:color w:val="auto"/>
              </w:rPr>
              <w:t xml:space="preserve">a lower price </w:t>
            </w:r>
            <w:proofErr w:type="gramStart"/>
            <w:r>
              <w:rPr>
                <w:color w:val="auto"/>
              </w:rPr>
              <w:t>can be negotiated</w:t>
            </w:r>
            <w:proofErr w:type="gramEnd"/>
            <w:r w:rsidRPr="00D2671B">
              <w:rPr>
                <w:color w:val="auto"/>
              </w:rPr>
              <w:t>.</w:t>
            </w:r>
            <w:r>
              <w:rPr>
                <w:color w:val="auto"/>
              </w:rPr>
              <w:t xml:space="preserve"> </w:t>
            </w:r>
            <w:r>
              <w:t>MSAC also noted that a number of other measures need to be put in place to manage the use of public funds for DB and that these measures will need to be agreed between the applicant and Commonwealth and State/Territory Governments.</w:t>
            </w:r>
          </w:p>
        </w:tc>
      </w:tr>
    </w:tbl>
    <w:p w14:paraId="5A47C60B" w14:textId="76DECA44" w:rsidR="00BE767B" w:rsidRDefault="00550354" w:rsidP="00BE767B">
      <w:pPr>
        <w:pStyle w:val="Heading1"/>
      </w:pPr>
      <w:r w:rsidRPr="00F715D1">
        <w:lastRenderedPageBreak/>
        <w:t xml:space="preserve">Summary of consideration and rationale for MSAC’s advice </w:t>
      </w:r>
    </w:p>
    <w:p w14:paraId="469204E0" w14:textId="77739A25" w:rsidR="00D2671B" w:rsidRDefault="00D2671B" w:rsidP="00D2671B">
      <w:r>
        <w:t xml:space="preserve">MSAC noted that the application </w:t>
      </w:r>
      <w:r w:rsidR="0075311C">
        <w:t>requested public</w:t>
      </w:r>
      <w:r>
        <w:t xml:space="preserve"> funding </w:t>
      </w:r>
      <w:r w:rsidR="00616670">
        <w:t xml:space="preserve">for </w:t>
      </w:r>
      <w:r>
        <w:t xml:space="preserve">DB for </w:t>
      </w:r>
      <w:r w:rsidR="004A12BE">
        <w:t>HRNBL</w:t>
      </w:r>
      <w:r>
        <w:t xml:space="preserve"> as a high-cost highly specialised therapy </w:t>
      </w:r>
      <w:r w:rsidR="00B53036">
        <w:t xml:space="preserve">(HST) </w:t>
      </w:r>
      <w:r>
        <w:t xml:space="preserve">under the </w:t>
      </w:r>
      <w:r w:rsidR="00B53036">
        <w:t>NHRA</w:t>
      </w:r>
      <w:r>
        <w:t>.</w:t>
      </w:r>
    </w:p>
    <w:p w14:paraId="6AD1E8CD" w14:textId="599B7655" w:rsidR="00D2671B" w:rsidRDefault="00D2671B" w:rsidP="00D2671B">
      <w:pPr>
        <w:spacing w:before="240"/>
      </w:pPr>
      <w:r>
        <w:t xml:space="preserve">MSAC </w:t>
      </w:r>
      <w:r w:rsidR="0075311C">
        <w:t xml:space="preserve">acknowledged </w:t>
      </w:r>
      <w:r>
        <w:t xml:space="preserve">the high clinical need for effective treatments for </w:t>
      </w:r>
      <w:r w:rsidR="00A44534">
        <w:t>HRNBL</w:t>
      </w:r>
      <w:r>
        <w:t xml:space="preserve">, a rare disease that predominantly occurs in young children and has a 5-year survival rate of </w:t>
      </w:r>
      <w:r w:rsidR="00A84A49">
        <w:br/>
      </w:r>
      <w:r>
        <w:t xml:space="preserve">40–50%. Children with </w:t>
      </w:r>
      <w:r w:rsidR="00A44534">
        <w:t xml:space="preserve">HRNBL </w:t>
      </w:r>
      <w:r>
        <w:t xml:space="preserve">can currently access </w:t>
      </w:r>
      <w:proofErr w:type="spellStart"/>
      <w:r>
        <w:t>dinutuximab</w:t>
      </w:r>
      <w:proofErr w:type="spellEnd"/>
      <w:r>
        <w:t xml:space="preserve"> alpha (a different product) under </w:t>
      </w:r>
      <w:r w:rsidR="001D60A2">
        <w:t>expanded</w:t>
      </w:r>
      <w:r>
        <w:t xml:space="preserve"> access schemes, but continuity of supply </w:t>
      </w:r>
      <w:proofErr w:type="gramStart"/>
      <w:r>
        <w:t>is not guaranteed</w:t>
      </w:r>
      <w:proofErr w:type="gramEnd"/>
      <w:r>
        <w:t>.</w:t>
      </w:r>
      <w:r w:rsidR="00B53036">
        <w:t xml:space="preserve"> </w:t>
      </w:r>
    </w:p>
    <w:p w14:paraId="11DD021A" w14:textId="1E67ED34" w:rsidR="00D2671B" w:rsidRDefault="00D2671B" w:rsidP="00D2671B">
      <w:pPr>
        <w:spacing w:before="240"/>
      </w:pPr>
      <w:r>
        <w:t xml:space="preserve">MSAC noted the comparator for this application is retinoic acid (RA) alone. MSAC noted that, due to the lack of direct trial evidence comparing DB plus RA with RA alone, the submission used a matched adjusted indirect comparison (MAIC) to support the claim of superiority. This led to a number of potential biases and a highly uncertain treatment effect. However, MSAC also noted an evaluation of the MAIC by the UK National Institute of </w:t>
      </w:r>
      <w:r>
        <w:lastRenderedPageBreak/>
        <w:t xml:space="preserve">Health and Care Excellence (highlighted in the </w:t>
      </w:r>
      <w:r w:rsidR="00C77957">
        <w:t xml:space="preserve">applicant’s </w:t>
      </w:r>
      <w:r>
        <w:t xml:space="preserve">pre-MSAC response), </w:t>
      </w:r>
      <w:r w:rsidR="00CE5ED8">
        <w:t>which</w:t>
      </w:r>
      <w:r w:rsidR="0075311C">
        <w:t xml:space="preserve"> also</w:t>
      </w:r>
      <w:r>
        <w:t xml:space="preserve"> acknowledged the limitations of the MAIC but noted that higher quality data were unlikely to become available.</w:t>
      </w:r>
    </w:p>
    <w:p w14:paraId="66A65C36" w14:textId="616CBC31" w:rsidR="00D2671B" w:rsidRDefault="00D2671B" w:rsidP="00D2671B">
      <w:pPr>
        <w:spacing w:before="240"/>
      </w:pPr>
      <w:r>
        <w:t xml:space="preserve">MSAC noted the information from the </w:t>
      </w:r>
      <w:proofErr w:type="gramStart"/>
      <w:r>
        <w:t>applicant’s</w:t>
      </w:r>
      <w:proofErr w:type="gramEnd"/>
      <w:r>
        <w:t xml:space="preserve"> hearing that DB treatment can be completed as a short-term infusion (STI) or long-term infusion (LTI). </w:t>
      </w:r>
      <w:r w:rsidR="008A3F45">
        <w:t>The applicant claimed</w:t>
      </w:r>
      <w:r w:rsidR="002204FB">
        <w:t xml:space="preserve"> </w:t>
      </w:r>
      <w:r w:rsidR="00BD73DD">
        <w:t xml:space="preserve">the </w:t>
      </w:r>
      <w:r>
        <w:t xml:space="preserve">LTI is associated with fewer adverse effects. The applicant </w:t>
      </w:r>
      <w:r w:rsidR="008A3F45">
        <w:t>also claimed</w:t>
      </w:r>
      <w:r>
        <w:t xml:space="preserve"> that DB treatment </w:t>
      </w:r>
      <w:proofErr w:type="gramStart"/>
      <w:r>
        <w:t>should be initiated</w:t>
      </w:r>
      <w:proofErr w:type="gramEnd"/>
      <w:r>
        <w:t xml:space="preserve"> as an inpatient, but that patients </w:t>
      </w:r>
      <w:r w:rsidR="002204FB">
        <w:t xml:space="preserve">may be able to </w:t>
      </w:r>
      <w:r>
        <w:t>transition to outpatient care during the course of the initial cycle and for subsequent cycles. However, the applicant acknowledged that there is little experience with this model of care in Australia. Regarding the side effect profile, the applicant noted that most studies had used DB in combination with interleukin-2 (IL2), which has been associated with increased adverse effects and no</w:t>
      </w:r>
      <w:r w:rsidR="00FD3865">
        <w:t xml:space="preserve"> additional</w:t>
      </w:r>
      <w:r>
        <w:t xml:space="preserve"> survival benefit, and IL2 </w:t>
      </w:r>
      <w:proofErr w:type="gramStart"/>
      <w:r>
        <w:t>is no longer used</w:t>
      </w:r>
      <w:proofErr w:type="gramEnd"/>
      <w:r>
        <w:t xml:space="preserve"> as part of DB treatment. MSAC noted that patients who received DB treatment</w:t>
      </w:r>
      <w:r w:rsidR="00A44534">
        <w:t xml:space="preserve"> without IL2</w:t>
      </w:r>
      <w:r>
        <w:t xml:space="preserve"> had fewer adverse effects</w:t>
      </w:r>
      <w:r w:rsidR="002204FB">
        <w:t xml:space="preserve"> compared to</w:t>
      </w:r>
      <w:r w:rsidR="00C77957">
        <w:t xml:space="preserve"> DB with IL2</w:t>
      </w:r>
      <w:r w:rsidR="002204FB">
        <w:t xml:space="preserve">, </w:t>
      </w:r>
      <w:r w:rsidR="007603B9">
        <w:t xml:space="preserve">but </w:t>
      </w:r>
      <w:r w:rsidR="002204FB">
        <w:t>the evidence base to support the safety of DB in an outpatient setting is very limited.</w:t>
      </w:r>
    </w:p>
    <w:p w14:paraId="74273A4B" w14:textId="1D63F335" w:rsidR="00713B89" w:rsidRDefault="00713B89" w:rsidP="00D2671B">
      <w:pPr>
        <w:spacing w:before="240"/>
      </w:pPr>
      <w:r>
        <w:t xml:space="preserve">MSAC noted the information from States/Territories that </w:t>
      </w:r>
      <w:proofErr w:type="spellStart"/>
      <w:r>
        <w:t>dinutuximab</w:t>
      </w:r>
      <w:proofErr w:type="spellEnd"/>
      <w:r w:rsidR="00BD73DD">
        <w:t xml:space="preserve"> (</w:t>
      </w:r>
      <w:r>
        <w:t>alpha</w:t>
      </w:r>
      <w:r w:rsidR="00BD73DD">
        <w:t xml:space="preserve"> or beta)</w:t>
      </w:r>
      <w:r>
        <w:t xml:space="preserve"> </w:t>
      </w:r>
      <w:proofErr w:type="gramStart"/>
      <w:r>
        <w:t>has been used</w:t>
      </w:r>
      <w:proofErr w:type="gramEnd"/>
      <w:r>
        <w:t xml:space="preserve"> in public hospitals for the past 5 years and is considered standard care, so no major implementation issues are expected.</w:t>
      </w:r>
    </w:p>
    <w:p w14:paraId="172C695F" w14:textId="7F5C5E4E" w:rsidR="00D2671B" w:rsidRPr="00A35954" w:rsidRDefault="00D2671B" w:rsidP="00D2671B">
      <w:pPr>
        <w:spacing w:before="240"/>
      </w:pPr>
      <w:r>
        <w:t>MSAC noted the</w:t>
      </w:r>
      <w:r w:rsidR="0007517F">
        <w:t xml:space="preserve"> respecified </w:t>
      </w:r>
      <w:r>
        <w:t>economic evaluation</w:t>
      </w:r>
      <w:r w:rsidR="0007517F">
        <w:t xml:space="preserve"> supported by the MSAC E</w:t>
      </w:r>
      <w:r w:rsidR="00345DA3">
        <w:t xml:space="preserve">valuation </w:t>
      </w:r>
      <w:r w:rsidR="00345DA3">
        <w:br/>
      </w:r>
      <w:r w:rsidR="0007517F">
        <w:t>S</w:t>
      </w:r>
      <w:r w:rsidR="00345DA3">
        <w:t>ub-</w:t>
      </w:r>
      <w:r w:rsidR="0007517F">
        <w:t>C</w:t>
      </w:r>
      <w:r w:rsidR="00345DA3">
        <w:t>ommittee</w:t>
      </w:r>
      <w:r w:rsidR="0061314B">
        <w:t xml:space="preserve"> (ESC)</w:t>
      </w:r>
      <w:r>
        <w:t xml:space="preserve"> resulted in </w:t>
      </w:r>
      <w:r w:rsidR="00A44534">
        <w:t xml:space="preserve">an </w:t>
      </w:r>
      <w:r w:rsidR="00345DA3">
        <w:t>incremental cost-effectiveness ratio (</w:t>
      </w:r>
      <w:r>
        <w:t>ICER</w:t>
      </w:r>
      <w:r w:rsidR="00345DA3">
        <w:t>)</w:t>
      </w:r>
      <w:r>
        <w:t xml:space="preserve"> of </w:t>
      </w:r>
      <w:r w:rsidRPr="00A35954">
        <w:t>$</w:t>
      </w:r>
      <w:r w:rsidR="00864F79" w:rsidRPr="00A35954">
        <w:rPr>
          <w:b/>
        </w:rPr>
        <w:t>redacted</w:t>
      </w:r>
      <w:r w:rsidRPr="00A35954">
        <w:t>. Additional information on ancillary costs provided by New South Wales</w:t>
      </w:r>
      <w:r w:rsidR="002E1C42" w:rsidRPr="00A35954">
        <w:t xml:space="preserve"> </w:t>
      </w:r>
      <w:r w:rsidR="00BD73DD" w:rsidRPr="00A35954">
        <w:t xml:space="preserve">Health </w:t>
      </w:r>
      <w:r w:rsidR="002E1C42" w:rsidRPr="00A35954">
        <w:t xml:space="preserve">(see </w:t>
      </w:r>
      <w:r w:rsidR="00616670" w:rsidRPr="00A35954">
        <w:fldChar w:fldCharType="begin"/>
      </w:r>
      <w:r w:rsidR="00616670" w:rsidRPr="00A35954">
        <w:instrText xml:space="preserve"> REF _Ref48573969 \h </w:instrText>
      </w:r>
      <w:r w:rsidR="00A35954">
        <w:instrText xml:space="preserve"> \* MERGEFORMAT </w:instrText>
      </w:r>
      <w:r w:rsidR="00616670" w:rsidRPr="00A35954">
        <w:fldChar w:fldCharType="separate"/>
      </w:r>
      <w:r w:rsidR="00991D81" w:rsidRPr="00991D81">
        <w:t>Ta</w:t>
      </w:r>
      <w:r w:rsidR="00991D81" w:rsidRPr="00991D81">
        <w:t>b</w:t>
      </w:r>
      <w:r w:rsidR="00991D81" w:rsidRPr="00991D81">
        <w:t xml:space="preserve">le </w:t>
      </w:r>
      <w:r w:rsidR="00991D81" w:rsidRPr="00991D81">
        <w:rPr>
          <w:noProof/>
        </w:rPr>
        <w:t>4</w:t>
      </w:r>
      <w:r w:rsidR="00616670" w:rsidRPr="00A35954">
        <w:fldChar w:fldCharType="end"/>
      </w:r>
      <w:r w:rsidR="002E1C42" w:rsidRPr="00A35954">
        <w:t>)</w:t>
      </w:r>
      <w:r w:rsidRPr="00A35954">
        <w:t xml:space="preserve"> resulted in a</w:t>
      </w:r>
      <w:r w:rsidR="004639AE" w:rsidRPr="00A35954">
        <w:t>n</w:t>
      </w:r>
      <w:r w:rsidRPr="00A35954">
        <w:t xml:space="preserve"> ICER of $</w:t>
      </w:r>
      <w:r w:rsidR="00864F79" w:rsidRPr="00A35954">
        <w:rPr>
          <w:b/>
        </w:rPr>
        <w:t>redacted</w:t>
      </w:r>
      <w:r w:rsidRPr="00A35954">
        <w:t xml:space="preserve">. </w:t>
      </w:r>
    </w:p>
    <w:p w14:paraId="22992414" w14:textId="45A24A11" w:rsidR="002204FB" w:rsidRPr="00A35954" w:rsidRDefault="002204FB" w:rsidP="00D2671B">
      <w:pPr>
        <w:spacing w:before="240"/>
      </w:pPr>
      <w:r w:rsidRPr="00A35954">
        <w:t>MSAC noted the applicant’s pre-MSAC response</w:t>
      </w:r>
      <w:r w:rsidR="0069581D" w:rsidRPr="00A35954">
        <w:t xml:space="preserve"> </w:t>
      </w:r>
      <w:r w:rsidRPr="00A35954">
        <w:t xml:space="preserve">maintained that the </w:t>
      </w:r>
      <w:proofErr w:type="spellStart"/>
      <w:r w:rsidRPr="00A35954">
        <w:t>Gompertz</w:t>
      </w:r>
      <w:proofErr w:type="spellEnd"/>
      <w:r w:rsidRPr="00A35954">
        <w:t xml:space="preserve"> extrapolation method </w:t>
      </w:r>
      <w:proofErr w:type="gramStart"/>
      <w:r w:rsidRPr="00A35954">
        <w:t>should be used</w:t>
      </w:r>
      <w:proofErr w:type="gramEnd"/>
      <w:r w:rsidRPr="00A35954">
        <w:t xml:space="preserve"> in the economic modelling</w:t>
      </w:r>
      <w:r w:rsidR="0069581D" w:rsidRPr="00A35954">
        <w:t xml:space="preserve">. However, MSAC considered this was the </w:t>
      </w:r>
      <w:r w:rsidRPr="00A35954">
        <w:t xml:space="preserve">least conservative </w:t>
      </w:r>
      <w:r w:rsidR="0069581D" w:rsidRPr="00A35954">
        <w:t xml:space="preserve">choice </w:t>
      </w:r>
      <w:r w:rsidRPr="00A35954">
        <w:t>and favour</w:t>
      </w:r>
      <w:r w:rsidR="0069581D" w:rsidRPr="00A35954">
        <w:t>ed</w:t>
      </w:r>
      <w:r w:rsidRPr="00A35954">
        <w:t xml:space="preserve"> the intervention</w:t>
      </w:r>
      <w:r w:rsidR="0069581D" w:rsidRPr="00A35954">
        <w:t xml:space="preserve">. </w:t>
      </w:r>
      <w:r w:rsidRPr="00A35954">
        <w:t xml:space="preserve">MSAC </w:t>
      </w:r>
      <w:r w:rsidR="0069581D" w:rsidRPr="00A35954">
        <w:t xml:space="preserve">agreed with the MSAC ESC </w:t>
      </w:r>
      <w:r w:rsidRPr="00A35954">
        <w:t xml:space="preserve">that the Weibull extrapolation method was </w:t>
      </w:r>
      <w:r w:rsidR="0069581D" w:rsidRPr="00A35954">
        <w:t xml:space="preserve">a more conservative option and appropriately resulted in some </w:t>
      </w:r>
      <w:r w:rsidRPr="00A35954">
        <w:t>convergence of survival curves over time.</w:t>
      </w:r>
    </w:p>
    <w:p w14:paraId="73BC408E" w14:textId="61BF4A69" w:rsidR="0007517F" w:rsidRDefault="00324224" w:rsidP="0007517F">
      <w:pPr>
        <w:spacing w:before="240"/>
      </w:pPr>
      <w:r w:rsidRPr="00A35954">
        <w:t>MSAC considered the ICER was likely to be between $</w:t>
      </w:r>
      <w:r w:rsidR="00864F79" w:rsidRPr="00A35954">
        <w:rPr>
          <w:b/>
        </w:rPr>
        <w:t>redacted</w:t>
      </w:r>
      <w:r w:rsidR="00864F79" w:rsidRPr="00A35954" w:rsidDel="00864F79">
        <w:t xml:space="preserve"> </w:t>
      </w:r>
      <w:r w:rsidRPr="00A35954">
        <w:t>and $</w:t>
      </w:r>
      <w:r w:rsidR="00864F79" w:rsidRPr="00A35954">
        <w:rPr>
          <w:b/>
        </w:rPr>
        <w:t>redacted</w:t>
      </w:r>
      <w:r w:rsidR="00864F79" w:rsidRPr="00A35954" w:rsidDel="00864F79">
        <w:t xml:space="preserve"> </w:t>
      </w:r>
      <w:r w:rsidRPr="00A35954">
        <w:t xml:space="preserve">per </w:t>
      </w:r>
      <w:r w:rsidR="0061314B" w:rsidRPr="00A35954">
        <w:t>quality-adjusted life year (</w:t>
      </w:r>
      <w:r w:rsidRPr="00A35954">
        <w:t>QALY</w:t>
      </w:r>
      <w:r w:rsidR="0061314B" w:rsidRPr="00A35954">
        <w:t>)</w:t>
      </w:r>
      <w:r w:rsidRPr="00A35954">
        <w:t xml:space="preserve">. However, MSAC noted a number of uncertainties remained, including the magnitude of the treatment effect, the cost of administering DB and the total cost of DB per patient. These uncertainties meant the ICER range </w:t>
      </w:r>
      <w:proofErr w:type="gramStart"/>
      <w:r w:rsidRPr="00A35954">
        <w:t>may</w:t>
      </w:r>
      <w:proofErr w:type="gramEnd"/>
      <w:r w:rsidRPr="00A35954">
        <w:t xml:space="preserve"> be underestimated. MSAC noted a price reduction of approximately </w:t>
      </w:r>
      <w:proofErr w:type="gramStart"/>
      <w:r w:rsidR="00864F79" w:rsidRPr="00A35954">
        <w:rPr>
          <w:b/>
        </w:rPr>
        <w:t>redacted</w:t>
      </w:r>
      <w:r w:rsidRPr="00A35954">
        <w:t>%</w:t>
      </w:r>
      <w:proofErr w:type="gramEnd"/>
      <w:r w:rsidRPr="00A35954">
        <w:t xml:space="preserve"> </w:t>
      </w:r>
      <w:r w:rsidR="00A12DE8" w:rsidRPr="00A35954">
        <w:t xml:space="preserve">to </w:t>
      </w:r>
      <w:r w:rsidR="00864F79" w:rsidRPr="00A35954">
        <w:rPr>
          <w:b/>
        </w:rPr>
        <w:t>redacted</w:t>
      </w:r>
      <w:r w:rsidR="00A12DE8" w:rsidRPr="00A35954">
        <w:t xml:space="preserve">% </w:t>
      </w:r>
      <w:r w:rsidRPr="00A35954">
        <w:t>would result in the ICER range lying largely under $</w:t>
      </w:r>
      <w:r w:rsidR="00864F79" w:rsidRPr="00A35954">
        <w:rPr>
          <w:b/>
        </w:rPr>
        <w:t>redacted</w:t>
      </w:r>
      <w:r w:rsidR="00864F79" w:rsidRPr="00A35954" w:rsidDel="00864F79">
        <w:t xml:space="preserve"> </w:t>
      </w:r>
      <w:r w:rsidRPr="00A35954">
        <w:t xml:space="preserve">and considered that treatment with DB would </w:t>
      </w:r>
      <w:r w:rsidR="00A12DE8" w:rsidRPr="00A35954">
        <w:t xml:space="preserve">be acceptably cost-effective </w:t>
      </w:r>
      <w:r w:rsidR="00E35C4A" w:rsidRPr="00A35954">
        <w:t>at this reduced price</w:t>
      </w:r>
      <w:r w:rsidR="00A12DE8" w:rsidRPr="00A35954">
        <w:t>.</w:t>
      </w:r>
      <w:r w:rsidRPr="00A35954">
        <w:t xml:space="preserve"> Further, MSAC recommended a risk</w:t>
      </w:r>
      <w:r w:rsidRPr="00324224">
        <w:t xml:space="preserve"> sharing arrangement to manage use in NBL other than HR</w:t>
      </w:r>
      <w:r>
        <w:t xml:space="preserve"> and to ensure the average cost per patient does not exceed the amount recorded in </w:t>
      </w:r>
      <w:r w:rsidR="00277F22" w:rsidRPr="00CB002C">
        <w:rPr>
          <w:szCs w:val="24"/>
        </w:rPr>
        <w:fldChar w:fldCharType="begin"/>
      </w:r>
      <w:r w:rsidR="00277F22" w:rsidRPr="00CB002C">
        <w:rPr>
          <w:szCs w:val="24"/>
        </w:rPr>
        <w:instrText xml:space="preserve"> REF _Ref40167020 \h </w:instrText>
      </w:r>
      <w:r w:rsidR="00CB002C" w:rsidRPr="00CB002C">
        <w:rPr>
          <w:szCs w:val="24"/>
        </w:rPr>
        <w:instrText xml:space="preserve"> \* MERGEFORMAT </w:instrText>
      </w:r>
      <w:r w:rsidR="00277F22" w:rsidRPr="00CB002C">
        <w:rPr>
          <w:szCs w:val="24"/>
        </w:rPr>
      </w:r>
      <w:r w:rsidR="00277F22" w:rsidRPr="00CB002C">
        <w:rPr>
          <w:szCs w:val="24"/>
        </w:rPr>
        <w:fldChar w:fldCharType="separate"/>
      </w:r>
      <w:r w:rsidR="00991D81" w:rsidRPr="00991D81">
        <w:rPr>
          <w:rFonts w:eastAsiaTheme="majorEastAsia"/>
          <w:szCs w:val="24"/>
        </w:rPr>
        <w:t xml:space="preserve">Table </w:t>
      </w:r>
      <w:r w:rsidR="00991D81" w:rsidRPr="00991D81">
        <w:rPr>
          <w:rFonts w:eastAsiaTheme="majorEastAsia"/>
          <w:noProof/>
          <w:szCs w:val="24"/>
        </w:rPr>
        <w:t>16</w:t>
      </w:r>
      <w:r w:rsidR="00277F22" w:rsidRPr="00CB002C">
        <w:rPr>
          <w:szCs w:val="24"/>
        </w:rPr>
        <w:fldChar w:fldCharType="end"/>
      </w:r>
      <w:r>
        <w:t>, recalculated to reflect the lower price recommended by MSAC.</w:t>
      </w:r>
      <w:r w:rsidRPr="00324224">
        <w:t xml:space="preserve">  </w:t>
      </w:r>
    </w:p>
    <w:p w14:paraId="147B4685" w14:textId="707BE088" w:rsidR="00327A95" w:rsidRDefault="00D2671B" w:rsidP="0007517F">
      <w:pPr>
        <w:spacing w:before="240"/>
        <w:rPr>
          <w:rFonts w:eastAsia="ArialMT"/>
          <w:szCs w:val="24"/>
        </w:rPr>
      </w:pPr>
      <w:r w:rsidRPr="00713B89">
        <w:rPr>
          <w:szCs w:val="24"/>
        </w:rPr>
        <w:t>The Department informed MSAC that it would continue to work with the</w:t>
      </w:r>
      <w:r w:rsidR="00FD3865" w:rsidRPr="00713B89">
        <w:rPr>
          <w:szCs w:val="24"/>
        </w:rPr>
        <w:t xml:space="preserve"> S</w:t>
      </w:r>
      <w:r w:rsidRPr="00566B61">
        <w:rPr>
          <w:szCs w:val="24"/>
        </w:rPr>
        <w:t>ta</w:t>
      </w:r>
      <w:r w:rsidRPr="00EA309D">
        <w:rPr>
          <w:szCs w:val="24"/>
        </w:rPr>
        <w:t>tes</w:t>
      </w:r>
      <w:r w:rsidR="00FD3865" w:rsidRPr="00EA309D">
        <w:rPr>
          <w:szCs w:val="24"/>
        </w:rPr>
        <w:t>/</w:t>
      </w:r>
      <w:r w:rsidR="00FD3865" w:rsidRPr="007603B9">
        <w:rPr>
          <w:szCs w:val="24"/>
        </w:rPr>
        <w:t>T</w:t>
      </w:r>
      <w:r w:rsidRPr="007603B9">
        <w:rPr>
          <w:szCs w:val="24"/>
        </w:rPr>
        <w:t xml:space="preserve">erritories </w:t>
      </w:r>
      <w:r w:rsidR="0007517F" w:rsidRPr="007603B9">
        <w:rPr>
          <w:szCs w:val="24"/>
        </w:rPr>
        <w:t>on the</w:t>
      </w:r>
      <w:r w:rsidR="00B53036" w:rsidRPr="007603B9">
        <w:rPr>
          <w:szCs w:val="24"/>
        </w:rPr>
        <w:t>ir</w:t>
      </w:r>
      <w:r w:rsidR="0007517F" w:rsidRPr="007603B9">
        <w:rPr>
          <w:szCs w:val="24"/>
        </w:rPr>
        <w:t xml:space="preserve"> </w:t>
      </w:r>
      <w:r w:rsidR="00B53036" w:rsidRPr="007603B9">
        <w:rPr>
          <w:szCs w:val="24"/>
        </w:rPr>
        <w:t xml:space="preserve">costing </w:t>
      </w:r>
      <w:r w:rsidR="0007517F" w:rsidRPr="007603B9">
        <w:rPr>
          <w:szCs w:val="24"/>
        </w:rPr>
        <w:t>methodology but</w:t>
      </w:r>
      <w:r w:rsidR="002204FB" w:rsidRPr="007603B9">
        <w:rPr>
          <w:szCs w:val="24"/>
        </w:rPr>
        <w:t xml:space="preserve"> noted</w:t>
      </w:r>
      <w:r w:rsidR="0007517F" w:rsidRPr="007603B9">
        <w:rPr>
          <w:szCs w:val="24"/>
        </w:rPr>
        <w:t xml:space="preserve"> any additional information for DB was unlikely to be </w:t>
      </w:r>
      <w:r w:rsidR="002204FB" w:rsidRPr="00DE71AB">
        <w:rPr>
          <w:szCs w:val="24"/>
        </w:rPr>
        <w:t xml:space="preserve">particularly </w:t>
      </w:r>
      <w:r w:rsidR="0007517F" w:rsidRPr="00DE71AB">
        <w:rPr>
          <w:szCs w:val="24"/>
        </w:rPr>
        <w:t>informative</w:t>
      </w:r>
      <w:r w:rsidR="002204FB" w:rsidRPr="00DE71AB">
        <w:rPr>
          <w:szCs w:val="24"/>
        </w:rPr>
        <w:t xml:space="preserve"> for estimating the cost-effectiveness of treatment as it is not possible to accurately cost treatment involving the comparator </w:t>
      </w:r>
      <w:proofErr w:type="gramStart"/>
      <w:r w:rsidR="002204FB" w:rsidRPr="00DE71AB">
        <w:rPr>
          <w:szCs w:val="24"/>
        </w:rPr>
        <w:t>alone,</w:t>
      </w:r>
      <w:proofErr w:type="gramEnd"/>
      <w:r w:rsidR="002204FB" w:rsidRPr="00DE71AB">
        <w:rPr>
          <w:szCs w:val="24"/>
        </w:rPr>
        <w:t xml:space="preserve"> and therefore to estimate the incremental cost of adding DB</w:t>
      </w:r>
      <w:r w:rsidR="0007517F" w:rsidRPr="00DE71AB">
        <w:rPr>
          <w:szCs w:val="24"/>
        </w:rPr>
        <w:t xml:space="preserve">. </w:t>
      </w:r>
      <w:r w:rsidR="002204FB" w:rsidRPr="00DE71AB">
        <w:rPr>
          <w:szCs w:val="24"/>
        </w:rPr>
        <w:t>However, accurate estimates of the cost of treatment</w:t>
      </w:r>
      <w:r w:rsidR="00324224">
        <w:rPr>
          <w:szCs w:val="24"/>
        </w:rPr>
        <w:t>, both drug and ancillary costs,</w:t>
      </w:r>
      <w:r w:rsidR="002204FB" w:rsidRPr="00DE71AB">
        <w:rPr>
          <w:szCs w:val="24"/>
        </w:rPr>
        <w:t xml:space="preserve"> </w:t>
      </w:r>
      <w:proofErr w:type="gramStart"/>
      <w:r w:rsidR="002204FB" w:rsidRPr="00DE71AB">
        <w:rPr>
          <w:szCs w:val="24"/>
        </w:rPr>
        <w:t>are needed</w:t>
      </w:r>
      <w:proofErr w:type="gramEnd"/>
      <w:r w:rsidR="002204FB" w:rsidRPr="00DE71AB">
        <w:rPr>
          <w:szCs w:val="24"/>
        </w:rPr>
        <w:t xml:space="preserve"> </w:t>
      </w:r>
      <w:r w:rsidR="00DE71AB">
        <w:rPr>
          <w:szCs w:val="24"/>
        </w:rPr>
        <w:t xml:space="preserve">to </w:t>
      </w:r>
      <w:r w:rsidR="002204FB" w:rsidRPr="00DE71AB">
        <w:rPr>
          <w:szCs w:val="24"/>
        </w:rPr>
        <w:t xml:space="preserve">inform the financial estimates and to allow DBs </w:t>
      </w:r>
      <w:r w:rsidR="002204FB" w:rsidRPr="0005367A">
        <w:rPr>
          <w:rFonts w:eastAsia="ArialMT"/>
          <w:szCs w:val="24"/>
        </w:rPr>
        <w:t>inclusion into the activity based funding (ABF) systems that underpin the NHRA</w:t>
      </w:r>
      <w:r w:rsidR="00324224">
        <w:rPr>
          <w:rFonts w:eastAsia="ArialMT"/>
          <w:szCs w:val="24"/>
        </w:rPr>
        <w:t>.</w:t>
      </w:r>
      <w:r w:rsidR="00327A95">
        <w:rPr>
          <w:rFonts w:eastAsia="ArialMT"/>
          <w:szCs w:val="24"/>
        </w:rPr>
        <w:t xml:space="preserve"> </w:t>
      </w:r>
    </w:p>
    <w:p w14:paraId="0212FA0F" w14:textId="1E35D7A7" w:rsidR="00D2671B" w:rsidRDefault="00327A95" w:rsidP="001F2235">
      <w:pPr>
        <w:spacing w:before="240"/>
      </w:pPr>
      <w:r>
        <w:rPr>
          <w:rFonts w:eastAsia="ArialMT"/>
          <w:szCs w:val="24"/>
        </w:rPr>
        <w:t xml:space="preserve">MSAC requested the Department provide the Independent Hospital Pricing Authority with updated financial estimates incorporating the revised cost for DB and reflecting the input </w:t>
      </w:r>
      <w:r>
        <w:rPr>
          <w:rFonts w:eastAsia="ArialMT"/>
          <w:szCs w:val="24"/>
        </w:rPr>
        <w:lastRenderedPageBreak/>
        <w:t>from NSW on the total cost of care for patients with this condition (see</w:t>
      </w:r>
      <w:r w:rsidR="00D93690">
        <w:rPr>
          <w:rFonts w:eastAsia="ArialMT"/>
          <w:szCs w:val="24"/>
        </w:rPr>
        <w:t xml:space="preserve"> </w:t>
      </w:r>
      <w:r w:rsidR="00D93690" w:rsidRPr="00CB002C">
        <w:rPr>
          <w:rFonts w:eastAsia="ArialMT"/>
          <w:szCs w:val="24"/>
        </w:rPr>
        <w:fldChar w:fldCharType="begin"/>
      </w:r>
      <w:r w:rsidR="00D93690" w:rsidRPr="00CB002C">
        <w:rPr>
          <w:rFonts w:eastAsia="ArialMT"/>
          <w:szCs w:val="24"/>
        </w:rPr>
        <w:instrText xml:space="preserve"> REF _Ref48574433 \h </w:instrText>
      </w:r>
      <w:r w:rsidR="00CB002C" w:rsidRPr="00CB002C">
        <w:rPr>
          <w:rFonts w:eastAsia="ArialMT"/>
          <w:szCs w:val="24"/>
        </w:rPr>
        <w:instrText xml:space="preserve"> \* MERGEFORMAT </w:instrText>
      </w:r>
      <w:r w:rsidR="00D93690" w:rsidRPr="00CB002C">
        <w:rPr>
          <w:rFonts w:eastAsia="ArialMT"/>
          <w:szCs w:val="24"/>
        </w:rPr>
      </w:r>
      <w:r w:rsidR="00D93690" w:rsidRPr="00CB002C">
        <w:rPr>
          <w:rFonts w:eastAsia="ArialMT"/>
          <w:szCs w:val="24"/>
        </w:rPr>
        <w:fldChar w:fldCharType="separate"/>
      </w:r>
      <w:r w:rsidR="00991D81" w:rsidRPr="00991D81">
        <w:rPr>
          <w:szCs w:val="24"/>
        </w:rPr>
        <w:t>T</w:t>
      </w:r>
      <w:r w:rsidR="00991D81" w:rsidRPr="00991D81">
        <w:rPr>
          <w:szCs w:val="24"/>
        </w:rPr>
        <w:t>a</w:t>
      </w:r>
      <w:r w:rsidR="00991D81" w:rsidRPr="00991D81">
        <w:rPr>
          <w:szCs w:val="24"/>
        </w:rPr>
        <w:t xml:space="preserve">ble </w:t>
      </w:r>
      <w:r w:rsidR="00991D81" w:rsidRPr="00991D81">
        <w:rPr>
          <w:noProof/>
          <w:szCs w:val="24"/>
        </w:rPr>
        <w:t>3</w:t>
      </w:r>
      <w:r w:rsidR="00D93690" w:rsidRPr="00CB002C">
        <w:rPr>
          <w:rFonts w:eastAsia="ArialMT"/>
          <w:szCs w:val="24"/>
        </w:rPr>
        <w:fldChar w:fldCharType="end"/>
      </w:r>
      <w:r>
        <w:rPr>
          <w:rFonts w:eastAsia="ArialMT"/>
          <w:szCs w:val="24"/>
        </w:rPr>
        <w:t xml:space="preserve">).  MSAC noted the </w:t>
      </w:r>
      <w:r w:rsidR="00EA6799">
        <w:rPr>
          <w:rFonts w:eastAsia="ArialMT"/>
          <w:szCs w:val="24"/>
        </w:rPr>
        <w:t>S</w:t>
      </w:r>
      <w:r>
        <w:rPr>
          <w:rFonts w:eastAsia="ArialMT"/>
          <w:szCs w:val="24"/>
        </w:rPr>
        <w:t xml:space="preserve">tates’ advice that they have </w:t>
      </w:r>
      <w:r>
        <w:t xml:space="preserve">been using </w:t>
      </w:r>
      <w:proofErr w:type="spellStart"/>
      <w:r>
        <w:t>dinutuximab</w:t>
      </w:r>
      <w:proofErr w:type="spellEnd"/>
      <w:r>
        <w:t xml:space="preserve"> alpha in public hospitals for some years means the only additional costs to hospitals should be those associated with DB.</w:t>
      </w:r>
    </w:p>
    <w:p w14:paraId="317B7786" w14:textId="0672B089" w:rsidR="00EA6799" w:rsidRDefault="00D2671B" w:rsidP="001F2235">
      <w:pPr>
        <w:spacing w:before="240"/>
      </w:pPr>
      <w:r w:rsidRPr="00D2671B">
        <w:t xml:space="preserve">MSAC </w:t>
      </w:r>
      <w:r w:rsidRPr="00EA6799">
        <w:t xml:space="preserve">supported public funding of DB for </w:t>
      </w:r>
      <w:r w:rsidR="003F01DB" w:rsidRPr="00EA6799">
        <w:t>HRNBL</w:t>
      </w:r>
      <w:r w:rsidRPr="00EA6799">
        <w:t>, subject to the applicant agreeing to a price reduction</w:t>
      </w:r>
      <w:r w:rsidR="003F01DB" w:rsidRPr="00EA6799">
        <w:t xml:space="preserve"> </w:t>
      </w:r>
      <w:r w:rsidR="00324224" w:rsidRPr="00EA6799">
        <w:t>as detailed above</w:t>
      </w:r>
      <w:r w:rsidR="00245A63" w:rsidRPr="00EA6799">
        <w:t>.</w:t>
      </w:r>
    </w:p>
    <w:p w14:paraId="2CE23CC2" w14:textId="57F0D1A0" w:rsidR="009F517E" w:rsidRPr="00D2671B" w:rsidRDefault="009F517E" w:rsidP="001F2235">
      <w:pPr>
        <w:spacing w:before="240"/>
      </w:pPr>
      <w:proofErr w:type="gramStart"/>
      <w:r>
        <w:t>MSAC considered access criteria for DB should be consistent with the TGA indication and noted use of DB outside of the access criteria</w:t>
      </w:r>
      <w:r w:rsidR="0069581D">
        <w:t xml:space="preserve"> (i.e., in patients with relapsed refractory NBL) could be appropriately be managed</w:t>
      </w:r>
      <w:proofErr w:type="gramEnd"/>
      <w:r w:rsidR="0069581D">
        <w:t xml:space="preserve"> w</w:t>
      </w:r>
      <w:r w:rsidR="001F2235">
        <w:t>ith a risk sharing arrangement.</w:t>
      </w:r>
    </w:p>
    <w:p w14:paraId="595D6506" w14:textId="77777777" w:rsidR="00BC1364" w:rsidRPr="00F715D1" w:rsidRDefault="00BC1364" w:rsidP="00F715D1">
      <w:pPr>
        <w:pStyle w:val="Heading1"/>
      </w:pPr>
      <w:r w:rsidRPr="00F715D1">
        <w:t>Background</w:t>
      </w:r>
    </w:p>
    <w:p w14:paraId="737732B7" w14:textId="48F79069" w:rsidR="001B5028" w:rsidRPr="001F2235" w:rsidRDefault="001B5028" w:rsidP="001B5028">
      <w:pPr>
        <w:rPr>
          <w:szCs w:val="24"/>
        </w:rPr>
      </w:pPr>
      <w:r w:rsidRPr="00472F0D">
        <w:rPr>
          <w:szCs w:val="24"/>
        </w:rPr>
        <w:t xml:space="preserve">An application to include DB on the Pharmaceutical Benefits Scheme (PBS) </w:t>
      </w:r>
      <w:proofErr w:type="gramStart"/>
      <w:r w:rsidRPr="00472F0D">
        <w:rPr>
          <w:szCs w:val="24"/>
        </w:rPr>
        <w:t>was submitted</w:t>
      </w:r>
      <w:proofErr w:type="gramEnd"/>
      <w:r w:rsidRPr="00472F0D">
        <w:rPr>
          <w:szCs w:val="24"/>
        </w:rPr>
        <w:t xml:space="preserve"> for consideration at the March 2020 Pharmaceutical Benefits Advisory Committee (PBAC) meeting. During the evaluation </w:t>
      </w:r>
      <w:proofErr w:type="gramStart"/>
      <w:r w:rsidRPr="00472F0D">
        <w:rPr>
          <w:szCs w:val="24"/>
        </w:rPr>
        <w:t>process</w:t>
      </w:r>
      <w:proofErr w:type="gramEnd"/>
      <w:r w:rsidRPr="00472F0D">
        <w:rPr>
          <w:szCs w:val="24"/>
        </w:rPr>
        <w:t xml:space="preserve"> it was determined that DB was likely to be predominantly administered as an inpatient treatment in tertiary public hospitals. This means </w:t>
      </w:r>
      <w:proofErr w:type="gramStart"/>
      <w:r w:rsidRPr="00472F0D">
        <w:rPr>
          <w:szCs w:val="24"/>
        </w:rPr>
        <w:t xml:space="preserve">it may be more appropriately funded jointly by the Commonwealth and the States </w:t>
      </w:r>
      <w:r>
        <w:rPr>
          <w:szCs w:val="24"/>
        </w:rPr>
        <w:t xml:space="preserve">and Territories </w:t>
      </w:r>
      <w:r w:rsidRPr="00472F0D">
        <w:rPr>
          <w:szCs w:val="24"/>
        </w:rPr>
        <w:t>through the NHRA</w:t>
      </w:r>
      <w:proofErr w:type="gramEnd"/>
      <w:r w:rsidRPr="00472F0D">
        <w:rPr>
          <w:szCs w:val="24"/>
        </w:rPr>
        <w:t xml:space="preserve">. The submission </w:t>
      </w:r>
      <w:proofErr w:type="gramStart"/>
      <w:r w:rsidRPr="00472F0D">
        <w:rPr>
          <w:szCs w:val="24"/>
        </w:rPr>
        <w:t>was subsequently referred</w:t>
      </w:r>
      <w:proofErr w:type="gramEnd"/>
      <w:r w:rsidRPr="00472F0D">
        <w:rPr>
          <w:szCs w:val="24"/>
        </w:rPr>
        <w:t xml:space="preserve"> to the July 2020 meeting of the MSAC, which has assessed all previous applications for funding of high-cost HST through the NHRA.</w:t>
      </w:r>
    </w:p>
    <w:p w14:paraId="709ABB18" w14:textId="618EDE26" w:rsidR="001B5028" w:rsidRDefault="001B5028" w:rsidP="001F2235">
      <w:pPr>
        <w:spacing w:before="240"/>
      </w:pPr>
      <w:r>
        <w:t>The initial application</w:t>
      </w:r>
      <w:r w:rsidRPr="001A35F0">
        <w:t xml:space="preserve"> to the PBAC</w:t>
      </w:r>
      <w:r>
        <w:t xml:space="preserve"> (made in parallel with the TGA assessment)</w:t>
      </w:r>
      <w:r w:rsidRPr="001A35F0">
        <w:t xml:space="preserve"> was for</w:t>
      </w:r>
      <w:r w:rsidR="009F517E">
        <w:t xml:space="preserve"> </w:t>
      </w:r>
      <w:r>
        <w:t xml:space="preserve">HR </w:t>
      </w:r>
      <w:r w:rsidRPr="001A35F0">
        <w:t xml:space="preserve">and relapsed refractory </w:t>
      </w:r>
      <w:r>
        <w:t xml:space="preserve">(RR) </w:t>
      </w:r>
      <w:proofErr w:type="spellStart"/>
      <w:r w:rsidRPr="001A35F0">
        <w:t>neuroblastoma</w:t>
      </w:r>
      <w:proofErr w:type="spellEnd"/>
      <w:r w:rsidRPr="001A35F0">
        <w:t xml:space="preserve">. </w:t>
      </w:r>
      <w:r>
        <w:t>This application</w:t>
      </w:r>
      <w:r w:rsidRPr="001A35F0">
        <w:t xml:space="preserve"> is for </w:t>
      </w:r>
      <w:r w:rsidR="009F517E">
        <w:t>HR</w:t>
      </w:r>
      <w:r w:rsidRPr="001A35F0">
        <w:t xml:space="preserve"> </w:t>
      </w:r>
      <w:r>
        <w:t xml:space="preserve">disease </w:t>
      </w:r>
      <w:r w:rsidRPr="001A35F0">
        <w:t>only, consistent with the TGA indication</w:t>
      </w:r>
      <w:r w:rsidR="00FD3865">
        <w:t xml:space="preserve"> approved in March 2020</w:t>
      </w:r>
      <w:r w:rsidR="001F2235">
        <w:t>.</w:t>
      </w:r>
    </w:p>
    <w:p w14:paraId="0D9BC537" w14:textId="11F0D013" w:rsidR="001B5028" w:rsidRDefault="001B5028" w:rsidP="001F2235">
      <w:pPr>
        <w:spacing w:before="240"/>
      </w:pPr>
      <w:r>
        <w:t xml:space="preserve">DB </w:t>
      </w:r>
      <w:r w:rsidRPr="00532B46">
        <w:t xml:space="preserve">is an antibody directed against the carbohydrate moiety of </w:t>
      </w:r>
      <w:proofErr w:type="spellStart"/>
      <w:r w:rsidRPr="00532B46">
        <w:t>disialoganglioside</w:t>
      </w:r>
      <w:proofErr w:type="spellEnd"/>
      <w:r w:rsidRPr="00532B46">
        <w:t xml:space="preserve"> 2 (GD2), which is overexpressed on </w:t>
      </w:r>
      <w:proofErr w:type="spellStart"/>
      <w:r w:rsidRPr="00532B46">
        <w:t>neuroblastoma</w:t>
      </w:r>
      <w:proofErr w:type="spellEnd"/>
      <w:r w:rsidRPr="00532B46">
        <w:t xml:space="preserve"> cells. </w:t>
      </w:r>
      <w:r>
        <w:t>DB</w:t>
      </w:r>
      <w:r w:rsidRPr="002470F7">
        <w:t xml:space="preserve"> induces cell death through complement-dependent cytotoxicity and antibody-dependent cell-mediated cytotoxicity</w:t>
      </w:r>
      <w:r>
        <w:t>.</w:t>
      </w:r>
    </w:p>
    <w:p w14:paraId="2BE99770" w14:textId="77777777" w:rsidR="00BC1364" w:rsidRPr="0041184F" w:rsidRDefault="001B5028" w:rsidP="001F2235">
      <w:pPr>
        <w:spacing w:before="240" w:after="240"/>
        <w:rPr>
          <w:i/>
          <w:szCs w:val="24"/>
        </w:rPr>
      </w:pPr>
      <w:proofErr w:type="spellStart"/>
      <w:r>
        <w:t>D</w:t>
      </w:r>
      <w:r w:rsidRPr="00C8567F">
        <w:t>inutuximab</w:t>
      </w:r>
      <w:proofErr w:type="spellEnd"/>
      <w:r w:rsidRPr="00C8567F">
        <w:t xml:space="preserve"> </w:t>
      </w:r>
      <w:r>
        <w:t>alpha (</w:t>
      </w:r>
      <w:proofErr w:type="spellStart"/>
      <w:r>
        <w:t>Unituxin</w:t>
      </w:r>
      <w:proofErr w:type="spellEnd"/>
      <w:r>
        <w:t>®)</w:t>
      </w:r>
      <w:r w:rsidRPr="00C8567F">
        <w:t xml:space="preserve"> is a similar but different </w:t>
      </w:r>
      <w:r>
        <w:t xml:space="preserve">GD2 </w:t>
      </w:r>
      <w:r w:rsidRPr="00C8567F">
        <w:t xml:space="preserve">antibody to </w:t>
      </w:r>
      <w:r>
        <w:t xml:space="preserve">DB. </w:t>
      </w:r>
      <w:proofErr w:type="spellStart"/>
      <w:r>
        <w:t>Dinutuximab</w:t>
      </w:r>
      <w:proofErr w:type="spellEnd"/>
      <w:r>
        <w:t xml:space="preserve"> alpha (DA) </w:t>
      </w:r>
      <w:proofErr w:type="gramStart"/>
      <w:r>
        <w:t>is not registered</w:t>
      </w:r>
      <w:proofErr w:type="gramEnd"/>
      <w:r>
        <w:t xml:space="preserve"> in Australia. The Department of Health (Commonwealth) understands most Australian patients with this condition are currently treated with DA, accessed </w:t>
      </w:r>
      <w:proofErr w:type="gramStart"/>
      <w:r>
        <w:t>either through clinical trials or a</w:t>
      </w:r>
      <w:proofErr w:type="gramEnd"/>
      <w:r>
        <w:t xml:space="preserve"> compassionate access scheme, with the latter using TGA Special Access Scheme arrangements.</w:t>
      </w:r>
    </w:p>
    <w:p w14:paraId="3B636FF7" w14:textId="77777777" w:rsidR="00BC1364" w:rsidRPr="00F715D1" w:rsidRDefault="00BC1364" w:rsidP="00F715D1">
      <w:pPr>
        <w:pStyle w:val="Heading1"/>
      </w:pPr>
      <w:r w:rsidRPr="00F715D1">
        <w:t>Prerequisites to implementation of any funding advice</w:t>
      </w:r>
    </w:p>
    <w:p w14:paraId="70CB2D1F" w14:textId="77777777" w:rsidR="001B5028" w:rsidRPr="00C97481" w:rsidRDefault="001B5028" w:rsidP="001B5028">
      <w:pPr>
        <w:autoSpaceDE w:val="0"/>
        <w:autoSpaceDN w:val="0"/>
        <w:adjustRightInd w:val="0"/>
        <w:rPr>
          <w:szCs w:val="24"/>
        </w:rPr>
      </w:pPr>
      <w:r w:rsidRPr="00C97481">
        <w:rPr>
          <w:szCs w:val="24"/>
        </w:rPr>
        <w:t xml:space="preserve">DB </w:t>
      </w:r>
      <w:proofErr w:type="gramStart"/>
      <w:r w:rsidRPr="00C97481">
        <w:rPr>
          <w:szCs w:val="24"/>
        </w:rPr>
        <w:t>was approved</w:t>
      </w:r>
      <w:proofErr w:type="gramEnd"/>
      <w:r w:rsidRPr="00C97481">
        <w:rPr>
          <w:szCs w:val="24"/>
        </w:rPr>
        <w:t xml:space="preserve"> for registration by the TGA on 17 March 2020, for </w:t>
      </w:r>
      <w:r w:rsidRPr="00AA3E7D">
        <w:rPr>
          <w:szCs w:val="24"/>
        </w:rPr>
        <w:t xml:space="preserve">the treatment of high-risk </w:t>
      </w:r>
      <w:proofErr w:type="spellStart"/>
      <w:r w:rsidRPr="00AA3E7D">
        <w:rPr>
          <w:szCs w:val="24"/>
        </w:rPr>
        <w:t>neuroblastoma</w:t>
      </w:r>
      <w:proofErr w:type="spellEnd"/>
      <w:r w:rsidRPr="00AA3E7D">
        <w:rPr>
          <w:szCs w:val="24"/>
        </w:rPr>
        <w:t xml:space="preserve"> in patients who have previously received induction chemotherapy and achieved at least a partial response.</w:t>
      </w:r>
    </w:p>
    <w:p w14:paraId="3D8EE8A9" w14:textId="77777777" w:rsidR="00BC1364" w:rsidRPr="00F715D1" w:rsidRDefault="00BC1364" w:rsidP="00F715D1">
      <w:pPr>
        <w:pStyle w:val="Heading1"/>
      </w:pPr>
      <w:r w:rsidRPr="00F715D1">
        <w:t>Proposal for public funding</w:t>
      </w:r>
    </w:p>
    <w:p w14:paraId="2C4A0234" w14:textId="3EA16586" w:rsidR="00277F22" w:rsidRPr="00EC154B" w:rsidRDefault="001B5028" w:rsidP="001B5028">
      <w:r w:rsidRPr="00EC154B">
        <w:t xml:space="preserve">The proposed eligibility criteria for treatment </w:t>
      </w:r>
      <w:r>
        <w:t xml:space="preserve">of HRNBL </w:t>
      </w:r>
      <w:r w:rsidRPr="00EC154B">
        <w:t>with DB</w:t>
      </w:r>
      <w:r>
        <w:t>, as originally proposed for the PBS</w:t>
      </w:r>
      <w:r w:rsidRPr="00EC154B">
        <w:t xml:space="preserve"> </w:t>
      </w:r>
      <w:proofErr w:type="gramStart"/>
      <w:r>
        <w:t>are</w:t>
      </w:r>
      <w:r w:rsidRPr="00EC154B">
        <w:t xml:space="preserve"> provided</w:t>
      </w:r>
      <w:proofErr w:type="gramEnd"/>
      <w:r w:rsidRPr="00EC154B">
        <w:t xml:space="preserve"> in </w:t>
      </w:r>
      <w:r w:rsidRPr="00EC154B">
        <w:fldChar w:fldCharType="begin"/>
      </w:r>
      <w:r w:rsidRPr="00EC154B">
        <w:instrText xml:space="preserve"> REF _Ref522543765 \h </w:instrText>
      </w:r>
      <w:r>
        <w:instrText xml:space="preserve"> \* MERGEFORMAT </w:instrText>
      </w:r>
      <w:r w:rsidRPr="00EC154B">
        <w:fldChar w:fldCharType="separate"/>
      </w:r>
      <w:r w:rsidR="00991D81" w:rsidRPr="00991D81">
        <w:t xml:space="preserve">Table </w:t>
      </w:r>
      <w:r w:rsidR="00991D81" w:rsidRPr="00991D81">
        <w:rPr>
          <w:noProof/>
        </w:rPr>
        <w:t>1</w:t>
      </w:r>
      <w:r w:rsidRPr="00EC154B">
        <w:fldChar w:fldCharType="end"/>
      </w:r>
      <w:r w:rsidR="001F2235">
        <w:t>.</w:t>
      </w:r>
    </w:p>
    <w:p w14:paraId="10B6D521" w14:textId="425D3602" w:rsidR="001B5028" w:rsidRPr="00F7098F" w:rsidRDefault="001B5028" w:rsidP="00F7098F">
      <w:pPr>
        <w:keepNext/>
        <w:keepLines/>
        <w:spacing w:before="240"/>
        <w:rPr>
          <w:rFonts w:ascii="Arial Narrow" w:hAnsi="Arial Narrow"/>
          <w:b/>
          <w:sz w:val="20"/>
        </w:rPr>
      </w:pPr>
      <w:bookmarkStart w:id="1" w:name="_Ref522543765"/>
      <w:bookmarkStart w:id="2" w:name="_Toc527050567"/>
      <w:r w:rsidRPr="00F7098F">
        <w:rPr>
          <w:rFonts w:ascii="Arial Narrow" w:hAnsi="Arial Narrow"/>
          <w:b/>
          <w:sz w:val="20"/>
        </w:rPr>
        <w:lastRenderedPageBreak/>
        <w:t xml:space="preserve">Table </w:t>
      </w:r>
      <w:r w:rsidRPr="00F7098F">
        <w:rPr>
          <w:rFonts w:ascii="Arial Narrow" w:hAnsi="Arial Narrow"/>
          <w:b/>
          <w:sz w:val="20"/>
        </w:rPr>
        <w:fldChar w:fldCharType="begin"/>
      </w:r>
      <w:r w:rsidRPr="00F7098F">
        <w:rPr>
          <w:rFonts w:ascii="Arial Narrow" w:hAnsi="Arial Narrow"/>
          <w:b/>
          <w:sz w:val="20"/>
        </w:rPr>
        <w:instrText xml:space="preserve"> SEQ Table \* ARABIC </w:instrText>
      </w:r>
      <w:r w:rsidRPr="00F7098F">
        <w:rPr>
          <w:rFonts w:ascii="Arial Narrow" w:hAnsi="Arial Narrow"/>
          <w:b/>
          <w:sz w:val="20"/>
        </w:rPr>
        <w:fldChar w:fldCharType="separate"/>
      </w:r>
      <w:r w:rsidR="00991D81">
        <w:rPr>
          <w:rFonts w:ascii="Arial Narrow" w:hAnsi="Arial Narrow"/>
          <w:b/>
          <w:noProof/>
          <w:sz w:val="20"/>
        </w:rPr>
        <w:t>1</w:t>
      </w:r>
      <w:r w:rsidRPr="00F7098F">
        <w:rPr>
          <w:rFonts w:ascii="Arial Narrow" w:hAnsi="Arial Narrow"/>
          <w:b/>
          <w:sz w:val="20"/>
        </w:rPr>
        <w:fldChar w:fldCharType="end"/>
      </w:r>
      <w:bookmarkEnd w:id="1"/>
      <w:r w:rsidRPr="00F7098F">
        <w:rPr>
          <w:rFonts w:ascii="Arial Narrow" w:hAnsi="Arial Narrow"/>
          <w:b/>
          <w:sz w:val="20"/>
        </w:rPr>
        <w:tab/>
      </w:r>
      <w:bookmarkEnd w:id="2"/>
      <w:r w:rsidRPr="00F7098F">
        <w:rPr>
          <w:rFonts w:ascii="Arial Narrow" w:hAnsi="Arial Narrow"/>
          <w:b/>
          <w:sz w:val="20"/>
        </w:rPr>
        <w:t>Eligibility criteria</w:t>
      </w:r>
    </w:p>
    <w:tbl>
      <w:tblPr>
        <w:tblStyle w:val="TableGrid"/>
        <w:tblW w:w="5000" w:type="pct"/>
        <w:tblLook w:val="04A0" w:firstRow="1" w:lastRow="0" w:firstColumn="1" w:lastColumn="0" w:noHBand="0" w:noVBand="1"/>
        <w:tblDescription w:val="Eligibility criteria"/>
      </w:tblPr>
      <w:tblGrid>
        <w:gridCol w:w="1695"/>
        <w:gridCol w:w="7321"/>
      </w:tblGrid>
      <w:tr w:rsidR="001B5028" w:rsidRPr="004F2691" w14:paraId="3D40DF66" w14:textId="77777777" w:rsidTr="00625D9D">
        <w:trPr>
          <w:trHeight w:val="20"/>
          <w:tblHeader/>
        </w:trPr>
        <w:tc>
          <w:tcPr>
            <w:tcW w:w="940" w:type="pct"/>
            <w:hideMark/>
          </w:tcPr>
          <w:p w14:paraId="511B00EB" w14:textId="77777777" w:rsidR="001B5028" w:rsidRPr="004F2691" w:rsidRDefault="001B5028" w:rsidP="00F7098F">
            <w:pPr>
              <w:keepNext/>
              <w:keepLines/>
              <w:rPr>
                <w:rFonts w:ascii="Arial Narrow" w:hAnsi="Arial Narrow"/>
                <w:snapToGrid w:val="0"/>
                <w:sz w:val="20"/>
                <w:szCs w:val="24"/>
              </w:rPr>
            </w:pPr>
            <w:r w:rsidRPr="004F2691">
              <w:rPr>
                <w:rFonts w:ascii="Arial Narrow" w:hAnsi="Arial Narrow"/>
                <w:snapToGrid w:val="0"/>
                <w:sz w:val="20"/>
                <w:szCs w:val="24"/>
              </w:rPr>
              <w:t>Severity:</w:t>
            </w:r>
          </w:p>
        </w:tc>
        <w:tc>
          <w:tcPr>
            <w:tcW w:w="4060" w:type="pct"/>
          </w:tcPr>
          <w:p w14:paraId="13FF1E7A" w14:textId="77777777" w:rsidR="001B5028" w:rsidRPr="004F2691" w:rsidRDefault="001B5028" w:rsidP="00F7098F">
            <w:pPr>
              <w:keepNext/>
              <w:keepLines/>
              <w:rPr>
                <w:rFonts w:ascii="Arial Narrow" w:hAnsi="Arial Narrow"/>
                <w:snapToGrid w:val="0"/>
                <w:sz w:val="20"/>
                <w:szCs w:val="24"/>
              </w:rPr>
            </w:pPr>
            <w:r w:rsidRPr="004F2691">
              <w:rPr>
                <w:rFonts w:ascii="Arial Narrow" w:hAnsi="Arial Narrow"/>
                <w:snapToGrid w:val="0"/>
                <w:sz w:val="20"/>
                <w:szCs w:val="24"/>
              </w:rPr>
              <w:t xml:space="preserve">High Risk </w:t>
            </w:r>
          </w:p>
        </w:tc>
      </w:tr>
      <w:tr w:rsidR="001B5028" w:rsidRPr="004F2691" w14:paraId="7A72FE2B" w14:textId="77777777" w:rsidTr="00625D9D">
        <w:trPr>
          <w:trHeight w:val="20"/>
        </w:trPr>
        <w:tc>
          <w:tcPr>
            <w:tcW w:w="940" w:type="pct"/>
            <w:hideMark/>
          </w:tcPr>
          <w:p w14:paraId="7CC724EB" w14:textId="77777777" w:rsidR="001B5028" w:rsidRPr="004F2691" w:rsidRDefault="001B5028" w:rsidP="00F7098F">
            <w:pPr>
              <w:keepNext/>
              <w:keepLines/>
              <w:rPr>
                <w:rFonts w:ascii="Arial Narrow" w:hAnsi="Arial Narrow"/>
                <w:snapToGrid w:val="0"/>
                <w:sz w:val="20"/>
                <w:szCs w:val="24"/>
              </w:rPr>
            </w:pPr>
            <w:r w:rsidRPr="004F2691">
              <w:rPr>
                <w:rFonts w:ascii="Arial Narrow" w:hAnsi="Arial Narrow"/>
                <w:snapToGrid w:val="0"/>
                <w:sz w:val="20"/>
                <w:szCs w:val="24"/>
              </w:rPr>
              <w:t>Condition:</w:t>
            </w:r>
          </w:p>
        </w:tc>
        <w:tc>
          <w:tcPr>
            <w:tcW w:w="4060" w:type="pct"/>
          </w:tcPr>
          <w:p w14:paraId="7EE0358A" w14:textId="77777777" w:rsidR="001B5028" w:rsidRPr="004F2691" w:rsidRDefault="001B5028" w:rsidP="00F7098F">
            <w:pPr>
              <w:keepNext/>
              <w:keepLines/>
              <w:rPr>
                <w:rFonts w:ascii="Arial Narrow" w:hAnsi="Arial Narrow"/>
                <w:snapToGrid w:val="0"/>
                <w:sz w:val="20"/>
                <w:szCs w:val="24"/>
              </w:rPr>
            </w:pPr>
            <w:proofErr w:type="spellStart"/>
            <w:r w:rsidRPr="004F2691">
              <w:rPr>
                <w:rFonts w:ascii="Arial Narrow" w:hAnsi="Arial Narrow"/>
                <w:snapToGrid w:val="0"/>
                <w:sz w:val="20"/>
                <w:szCs w:val="24"/>
              </w:rPr>
              <w:t>Neuroblastoma</w:t>
            </w:r>
            <w:proofErr w:type="spellEnd"/>
          </w:p>
        </w:tc>
      </w:tr>
      <w:tr w:rsidR="001B5028" w:rsidRPr="004F2691" w14:paraId="4C986A30" w14:textId="77777777" w:rsidTr="00625D9D">
        <w:trPr>
          <w:trHeight w:val="20"/>
        </w:trPr>
        <w:tc>
          <w:tcPr>
            <w:tcW w:w="940" w:type="pct"/>
            <w:hideMark/>
          </w:tcPr>
          <w:p w14:paraId="288DAE62" w14:textId="77777777" w:rsidR="001B5028" w:rsidRPr="004F2691" w:rsidRDefault="001B5028" w:rsidP="00F7098F">
            <w:pPr>
              <w:keepNext/>
              <w:keepLines/>
              <w:rPr>
                <w:rFonts w:ascii="Arial Narrow" w:hAnsi="Arial Narrow"/>
                <w:snapToGrid w:val="0"/>
                <w:sz w:val="20"/>
                <w:szCs w:val="24"/>
              </w:rPr>
            </w:pPr>
            <w:r w:rsidRPr="004F2691">
              <w:rPr>
                <w:rFonts w:ascii="Arial Narrow" w:hAnsi="Arial Narrow"/>
                <w:snapToGrid w:val="0"/>
                <w:sz w:val="20"/>
                <w:szCs w:val="24"/>
              </w:rPr>
              <w:t>PBS Indication:</w:t>
            </w:r>
          </w:p>
        </w:tc>
        <w:tc>
          <w:tcPr>
            <w:tcW w:w="4060" w:type="pct"/>
          </w:tcPr>
          <w:p w14:paraId="5E67BBB1" w14:textId="77777777" w:rsidR="001B5028" w:rsidRPr="004F2691" w:rsidRDefault="001B5028" w:rsidP="00F7098F">
            <w:pPr>
              <w:keepNext/>
              <w:keepLines/>
              <w:rPr>
                <w:rFonts w:ascii="Arial Narrow" w:hAnsi="Arial Narrow"/>
                <w:snapToGrid w:val="0"/>
                <w:sz w:val="20"/>
                <w:szCs w:val="24"/>
              </w:rPr>
            </w:pPr>
            <w:r w:rsidRPr="004F2691">
              <w:rPr>
                <w:rFonts w:ascii="Arial Narrow" w:hAnsi="Arial Narrow"/>
                <w:snapToGrid w:val="0"/>
                <w:sz w:val="20"/>
                <w:szCs w:val="24"/>
              </w:rPr>
              <w:t xml:space="preserve">For the maintenance phase of High Risk </w:t>
            </w:r>
            <w:proofErr w:type="spellStart"/>
            <w:r w:rsidRPr="004F2691">
              <w:rPr>
                <w:rFonts w:ascii="Arial Narrow" w:hAnsi="Arial Narrow"/>
                <w:snapToGrid w:val="0"/>
                <w:sz w:val="20"/>
                <w:szCs w:val="24"/>
              </w:rPr>
              <w:t>Neuroblastoma</w:t>
            </w:r>
            <w:proofErr w:type="spellEnd"/>
          </w:p>
        </w:tc>
      </w:tr>
      <w:tr w:rsidR="001B5028" w:rsidRPr="004F2691" w14:paraId="64440080" w14:textId="77777777" w:rsidTr="00625D9D">
        <w:trPr>
          <w:trHeight w:val="20"/>
        </w:trPr>
        <w:tc>
          <w:tcPr>
            <w:tcW w:w="940" w:type="pct"/>
            <w:hideMark/>
          </w:tcPr>
          <w:p w14:paraId="0E2E9B11"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Treatment phase:</w:t>
            </w:r>
          </w:p>
        </w:tc>
        <w:tc>
          <w:tcPr>
            <w:tcW w:w="4060" w:type="pct"/>
          </w:tcPr>
          <w:p w14:paraId="2CFF96AC"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Initial and Continuing</w:t>
            </w:r>
          </w:p>
        </w:tc>
      </w:tr>
      <w:tr w:rsidR="001B5028" w:rsidRPr="004F2691" w14:paraId="44F6FA85" w14:textId="77777777" w:rsidTr="00625D9D">
        <w:trPr>
          <w:trHeight w:val="20"/>
        </w:trPr>
        <w:tc>
          <w:tcPr>
            <w:tcW w:w="940" w:type="pct"/>
            <w:hideMark/>
          </w:tcPr>
          <w:p w14:paraId="1FD41B4C"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Treatment criteria:</w:t>
            </w:r>
          </w:p>
        </w:tc>
        <w:tc>
          <w:tcPr>
            <w:tcW w:w="4060" w:type="pct"/>
          </w:tcPr>
          <w:p w14:paraId="2728028F"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Must be treated by a specialist experienced in the use of oncological therapies</w:t>
            </w:r>
          </w:p>
        </w:tc>
      </w:tr>
      <w:tr w:rsidR="001B5028" w:rsidRPr="004F2691" w14:paraId="35A42D45" w14:textId="77777777" w:rsidTr="00625D9D">
        <w:trPr>
          <w:trHeight w:val="20"/>
        </w:trPr>
        <w:tc>
          <w:tcPr>
            <w:tcW w:w="940" w:type="pct"/>
            <w:hideMark/>
          </w:tcPr>
          <w:p w14:paraId="51F5A099"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Clinical criteria:</w:t>
            </w:r>
          </w:p>
          <w:p w14:paraId="571EF714" w14:textId="77777777" w:rsidR="001B5028" w:rsidRPr="004F2691" w:rsidRDefault="001B5028" w:rsidP="001B5028">
            <w:pPr>
              <w:keepNext/>
              <w:rPr>
                <w:rFonts w:ascii="Arial Narrow" w:hAnsi="Arial Narrow"/>
                <w:snapToGrid w:val="0"/>
                <w:sz w:val="20"/>
                <w:szCs w:val="24"/>
              </w:rPr>
            </w:pPr>
          </w:p>
        </w:tc>
        <w:tc>
          <w:tcPr>
            <w:tcW w:w="4060" w:type="pct"/>
          </w:tcPr>
          <w:p w14:paraId="59F9B0E0"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 xml:space="preserve">High risk </w:t>
            </w:r>
            <w:proofErr w:type="spellStart"/>
            <w:r w:rsidRPr="004F2691">
              <w:rPr>
                <w:rFonts w:ascii="Arial Narrow" w:hAnsi="Arial Narrow"/>
                <w:snapToGrid w:val="0"/>
                <w:sz w:val="20"/>
                <w:szCs w:val="24"/>
              </w:rPr>
              <w:t>neuroblastoma</w:t>
            </w:r>
            <w:proofErr w:type="spellEnd"/>
          </w:p>
          <w:p w14:paraId="5B036FD1"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 xml:space="preserve">Patient must have an established diagnosis of </w:t>
            </w:r>
            <w:proofErr w:type="spellStart"/>
            <w:r w:rsidRPr="004F2691">
              <w:rPr>
                <w:rFonts w:ascii="Arial Narrow" w:hAnsi="Arial Narrow"/>
                <w:snapToGrid w:val="0"/>
                <w:sz w:val="20"/>
                <w:szCs w:val="24"/>
              </w:rPr>
              <w:t>neuroblastoma</w:t>
            </w:r>
            <w:proofErr w:type="spellEnd"/>
            <w:r w:rsidRPr="004F2691">
              <w:rPr>
                <w:rFonts w:ascii="Arial Narrow" w:hAnsi="Arial Narrow"/>
                <w:snapToGrid w:val="0"/>
                <w:sz w:val="20"/>
                <w:szCs w:val="24"/>
              </w:rPr>
              <w:t xml:space="preserve"> according to the International </w:t>
            </w:r>
            <w:proofErr w:type="spellStart"/>
            <w:r w:rsidRPr="004F2691">
              <w:rPr>
                <w:rFonts w:ascii="Arial Narrow" w:hAnsi="Arial Narrow"/>
                <w:snapToGrid w:val="0"/>
                <w:sz w:val="20"/>
                <w:szCs w:val="24"/>
              </w:rPr>
              <w:t>Neuroblastoma</w:t>
            </w:r>
            <w:proofErr w:type="spellEnd"/>
            <w:r w:rsidRPr="004F2691">
              <w:rPr>
                <w:rFonts w:ascii="Arial Narrow" w:hAnsi="Arial Narrow"/>
                <w:snapToGrid w:val="0"/>
                <w:sz w:val="20"/>
                <w:szCs w:val="24"/>
              </w:rPr>
              <w:t xml:space="preserve"> Staging System (INSS) </w:t>
            </w:r>
          </w:p>
          <w:p w14:paraId="2DE59B17"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AND</w:t>
            </w:r>
          </w:p>
          <w:p w14:paraId="5C7B85FD"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 xml:space="preserve">High risk </w:t>
            </w:r>
            <w:proofErr w:type="spellStart"/>
            <w:r w:rsidRPr="004F2691">
              <w:rPr>
                <w:rFonts w:ascii="Arial Narrow" w:hAnsi="Arial Narrow"/>
                <w:snapToGrid w:val="0"/>
                <w:sz w:val="20"/>
                <w:szCs w:val="24"/>
              </w:rPr>
              <w:t>neuroblastoma</w:t>
            </w:r>
            <w:proofErr w:type="spellEnd"/>
            <w:r w:rsidRPr="004F2691">
              <w:rPr>
                <w:rFonts w:ascii="Arial Narrow" w:hAnsi="Arial Narrow"/>
                <w:snapToGrid w:val="0"/>
                <w:sz w:val="20"/>
                <w:szCs w:val="24"/>
              </w:rPr>
              <w:t>, defined as either:</w:t>
            </w:r>
          </w:p>
          <w:p w14:paraId="09D02370" w14:textId="77777777" w:rsidR="001B5028" w:rsidRPr="004F2691" w:rsidRDefault="001B5028" w:rsidP="001B5028">
            <w:pPr>
              <w:keepNext/>
              <w:widowControl w:val="0"/>
              <w:numPr>
                <w:ilvl w:val="0"/>
                <w:numId w:val="27"/>
              </w:numPr>
              <w:spacing w:before="40" w:after="40"/>
              <w:jc w:val="both"/>
              <w:rPr>
                <w:rFonts w:ascii="Arial Narrow" w:hAnsi="Arial Narrow"/>
                <w:snapToGrid w:val="0"/>
                <w:sz w:val="20"/>
                <w:szCs w:val="24"/>
              </w:rPr>
            </w:pPr>
            <w:r w:rsidRPr="004F2691">
              <w:rPr>
                <w:rFonts w:ascii="Arial Narrow" w:hAnsi="Arial Narrow"/>
                <w:snapToGrid w:val="0"/>
                <w:sz w:val="20"/>
                <w:szCs w:val="24"/>
              </w:rPr>
              <w:t xml:space="preserve">INSS stages 2, 3, 4 or 4s with MYCN amplification of any age regardless of patient’s age </w:t>
            </w:r>
            <w:r>
              <w:rPr>
                <w:rFonts w:ascii="Arial Narrow" w:hAnsi="Arial Narrow"/>
                <w:snapToGrid w:val="0"/>
                <w:sz w:val="20"/>
                <w:szCs w:val="24"/>
              </w:rPr>
              <w:tab/>
            </w:r>
            <w:r w:rsidRPr="004F2691">
              <w:rPr>
                <w:rFonts w:ascii="Arial Narrow" w:hAnsi="Arial Narrow"/>
                <w:snapToGrid w:val="0"/>
                <w:sz w:val="20"/>
                <w:szCs w:val="24"/>
              </w:rPr>
              <w:t>at the time of diagnosis</w:t>
            </w:r>
          </w:p>
          <w:p w14:paraId="10EC4214" w14:textId="77777777" w:rsidR="001B5028" w:rsidRPr="004F2691" w:rsidRDefault="001B5028" w:rsidP="001B5028">
            <w:pPr>
              <w:keepNext/>
              <w:widowControl w:val="0"/>
              <w:numPr>
                <w:ilvl w:val="0"/>
                <w:numId w:val="27"/>
              </w:numPr>
              <w:spacing w:before="40" w:after="40"/>
              <w:jc w:val="both"/>
              <w:rPr>
                <w:rFonts w:ascii="Arial Narrow" w:hAnsi="Arial Narrow"/>
                <w:snapToGrid w:val="0"/>
                <w:sz w:val="20"/>
                <w:szCs w:val="24"/>
              </w:rPr>
            </w:pPr>
            <w:r w:rsidRPr="004F2691">
              <w:rPr>
                <w:rFonts w:ascii="Arial Narrow" w:hAnsi="Arial Narrow"/>
                <w:snapToGrid w:val="0"/>
                <w:sz w:val="20"/>
                <w:szCs w:val="24"/>
              </w:rPr>
              <w:t xml:space="preserve">INSS stage 4 according to INSS without MYCN amplification aged ≥12 months at diagnosis </w:t>
            </w:r>
          </w:p>
          <w:p w14:paraId="52AFAA31"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AND</w:t>
            </w:r>
          </w:p>
          <w:p w14:paraId="38210B18"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 xml:space="preserve">Patient must have responded completely or partially to </w:t>
            </w:r>
            <w:proofErr w:type="spellStart"/>
            <w:r w:rsidRPr="004F2691">
              <w:rPr>
                <w:rFonts w:ascii="Arial Narrow" w:hAnsi="Arial Narrow"/>
                <w:snapToGrid w:val="0"/>
                <w:sz w:val="20"/>
                <w:szCs w:val="24"/>
              </w:rPr>
              <w:t>myeloablative</w:t>
            </w:r>
            <w:proofErr w:type="spellEnd"/>
            <w:r w:rsidRPr="004F2691">
              <w:rPr>
                <w:rFonts w:ascii="Arial Narrow" w:hAnsi="Arial Narrow"/>
                <w:snapToGrid w:val="0"/>
                <w:sz w:val="20"/>
                <w:szCs w:val="24"/>
              </w:rPr>
              <w:t xml:space="preserve"> therapy and ASCT, </w:t>
            </w:r>
          </w:p>
          <w:p w14:paraId="66B363C5"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AND</w:t>
            </w:r>
          </w:p>
          <w:p w14:paraId="0B07646C"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Patient must have had an ASCT.</w:t>
            </w:r>
          </w:p>
        </w:tc>
      </w:tr>
      <w:tr w:rsidR="001B5028" w:rsidRPr="004F2691" w14:paraId="2D9303AF" w14:textId="77777777" w:rsidTr="00625D9D">
        <w:trPr>
          <w:trHeight w:val="20"/>
        </w:trPr>
        <w:tc>
          <w:tcPr>
            <w:tcW w:w="940" w:type="pct"/>
          </w:tcPr>
          <w:p w14:paraId="76698615" w14:textId="77777777" w:rsidR="001B5028" w:rsidRPr="00C65020" w:rsidRDefault="001B5028" w:rsidP="001B5028">
            <w:pPr>
              <w:keepNext/>
              <w:rPr>
                <w:rFonts w:ascii="Arial Narrow" w:hAnsi="Arial Narrow"/>
                <w:snapToGrid w:val="0"/>
                <w:sz w:val="20"/>
                <w:szCs w:val="24"/>
              </w:rPr>
            </w:pPr>
            <w:r w:rsidRPr="00C65020">
              <w:rPr>
                <w:rFonts w:ascii="Arial Narrow" w:hAnsi="Arial Narrow"/>
                <w:snapToGrid w:val="0"/>
                <w:sz w:val="20"/>
                <w:szCs w:val="24"/>
              </w:rPr>
              <w:t>Population criteria:</w:t>
            </w:r>
          </w:p>
        </w:tc>
        <w:tc>
          <w:tcPr>
            <w:tcW w:w="4060" w:type="pct"/>
          </w:tcPr>
          <w:p w14:paraId="4949C18C" w14:textId="77777777" w:rsidR="001B5028" w:rsidRPr="00C65020" w:rsidRDefault="001B5028" w:rsidP="001B5028">
            <w:pPr>
              <w:keepNext/>
              <w:rPr>
                <w:rFonts w:ascii="Arial Narrow" w:hAnsi="Arial Narrow"/>
                <w:snapToGrid w:val="0"/>
                <w:sz w:val="20"/>
                <w:szCs w:val="24"/>
              </w:rPr>
            </w:pPr>
            <w:r w:rsidRPr="00C65020">
              <w:rPr>
                <w:rFonts w:ascii="Arial Narrow" w:hAnsi="Arial Narrow"/>
                <w:snapToGrid w:val="0"/>
                <w:sz w:val="20"/>
                <w:szCs w:val="24"/>
              </w:rPr>
              <w:t>Patients aged from 12 months at diagnosis.</w:t>
            </w:r>
          </w:p>
        </w:tc>
      </w:tr>
      <w:tr w:rsidR="001B5028" w:rsidRPr="004F2691" w14:paraId="38F3FCD6" w14:textId="77777777" w:rsidTr="00625D9D">
        <w:trPr>
          <w:trHeight w:val="20"/>
        </w:trPr>
        <w:tc>
          <w:tcPr>
            <w:tcW w:w="940" w:type="pct"/>
            <w:hideMark/>
          </w:tcPr>
          <w:p w14:paraId="7C0112A8"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Cautions:</w:t>
            </w:r>
          </w:p>
        </w:tc>
        <w:tc>
          <w:tcPr>
            <w:tcW w:w="4060" w:type="pct"/>
          </w:tcPr>
          <w:p w14:paraId="5035BF2D" w14:textId="77777777" w:rsidR="001B5028" w:rsidRPr="004F2691" w:rsidRDefault="001B5028" w:rsidP="001B5028">
            <w:pPr>
              <w:keepNext/>
              <w:rPr>
                <w:rFonts w:ascii="Arial Narrow" w:hAnsi="Arial Narrow"/>
                <w:snapToGrid w:val="0"/>
                <w:sz w:val="20"/>
                <w:szCs w:val="24"/>
              </w:rPr>
            </w:pPr>
            <w:r w:rsidRPr="004F2691">
              <w:rPr>
                <w:rFonts w:ascii="Arial Narrow" w:hAnsi="Arial Narrow"/>
                <w:snapToGrid w:val="0"/>
                <w:sz w:val="20"/>
                <w:szCs w:val="24"/>
              </w:rPr>
              <w:t xml:space="preserve">Females of childbearing age need to have a negative pregnancy test and agree to use of an effective birth control method. No </w:t>
            </w:r>
            <w:proofErr w:type="gramStart"/>
            <w:r w:rsidRPr="004F2691">
              <w:rPr>
                <w:rFonts w:ascii="Arial Narrow" w:hAnsi="Arial Narrow"/>
                <w:snapToGrid w:val="0"/>
                <w:sz w:val="20"/>
                <w:szCs w:val="24"/>
              </w:rPr>
              <w:t>breast feeding</w:t>
            </w:r>
            <w:proofErr w:type="gramEnd"/>
            <w:r w:rsidRPr="004F2691">
              <w:rPr>
                <w:rFonts w:ascii="Arial Narrow" w:hAnsi="Arial Narrow"/>
                <w:snapToGrid w:val="0"/>
                <w:sz w:val="20"/>
                <w:szCs w:val="24"/>
              </w:rPr>
              <w:t xml:space="preserve"> is permitted.</w:t>
            </w:r>
          </w:p>
        </w:tc>
      </w:tr>
    </w:tbl>
    <w:p w14:paraId="33ED745A" w14:textId="1A0D0A3E" w:rsidR="00277F22" w:rsidRDefault="00EE173C" w:rsidP="001F2235">
      <w:pPr>
        <w:pStyle w:val="TableFooter"/>
      </w:pPr>
      <w:r>
        <w:t xml:space="preserve">Source: </w:t>
      </w:r>
      <w:r w:rsidR="00E12418">
        <w:t>Table 1, p4 of the Departmental Overview</w:t>
      </w:r>
    </w:p>
    <w:p w14:paraId="6651C821" w14:textId="3D0F839F" w:rsidR="00277F22" w:rsidRDefault="001B5028" w:rsidP="001F2235">
      <w:pPr>
        <w:spacing w:before="240"/>
      </w:pPr>
      <w:r w:rsidRPr="00933B03">
        <w:t>The proposed PBS listin</w:t>
      </w:r>
      <w:r>
        <w:t>g included a population criterion</w:t>
      </w:r>
      <w:r w:rsidRPr="00933B03">
        <w:t xml:space="preserve"> limiting use to patient</w:t>
      </w:r>
      <w:r>
        <w:t>s</w:t>
      </w:r>
      <w:r w:rsidRPr="00933B03">
        <w:t xml:space="preserve"> over 12</w:t>
      </w:r>
      <w:r w:rsidR="008D3155">
        <w:t> </w:t>
      </w:r>
      <w:r w:rsidRPr="00933B03">
        <w:t>months of age at diagnosis, reflecting the draft TGA indicat</w:t>
      </w:r>
      <w:r>
        <w:t>ion at the time of submission</w:t>
      </w:r>
      <w:r w:rsidR="00133E47">
        <w:t xml:space="preserve"> to the PBAC</w:t>
      </w:r>
      <w:r>
        <w:t xml:space="preserve">. </w:t>
      </w:r>
      <w:r w:rsidR="00133E47">
        <w:t>However, t</w:t>
      </w:r>
      <w:r w:rsidRPr="00933B03">
        <w:t xml:space="preserve">he approved TGA indication does not restrict </w:t>
      </w:r>
      <w:r>
        <w:t>DB based on age</w:t>
      </w:r>
      <w:r w:rsidR="00277F22">
        <w:t xml:space="preserve">. </w:t>
      </w:r>
    </w:p>
    <w:p w14:paraId="1B3D7A86" w14:textId="686454BB" w:rsidR="009F517E" w:rsidRDefault="00277F22" w:rsidP="001F2235">
      <w:pPr>
        <w:spacing w:before="240" w:after="240"/>
      </w:pPr>
      <w:r w:rsidRPr="00EC154B">
        <w:t xml:space="preserve">The proposed eligibility criteria </w:t>
      </w:r>
      <w:r>
        <w:t xml:space="preserve">supported by MSAC </w:t>
      </w:r>
      <w:r w:rsidR="00BD73DD">
        <w:t xml:space="preserve">are </w:t>
      </w:r>
      <w:r>
        <w:t xml:space="preserve">summarised in </w:t>
      </w:r>
      <w:r w:rsidRPr="00CB002C">
        <w:rPr>
          <w:szCs w:val="24"/>
        </w:rPr>
        <w:fldChar w:fldCharType="begin"/>
      </w:r>
      <w:r w:rsidRPr="00CB002C">
        <w:rPr>
          <w:szCs w:val="24"/>
        </w:rPr>
        <w:instrText xml:space="preserve"> REF _Ref48571845 \h </w:instrText>
      </w:r>
      <w:r w:rsidR="00CB002C" w:rsidRPr="00CB002C">
        <w:rPr>
          <w:szCs w:val="24"/>
        </w:rPr>
        <w:instrText xml:space="preserve"> \* MERGEFORMAT </w:instrText>
      </w:r>
      <w:r w:rsidRPr="00CB002C">
        <w:rPr>
          <w:szCs w:val="24"/>
        </w:rPr>
      </w:r>
      <w:r w:rsidRPr="00CB002C">
        <w:rPr>
          <w:szCs w:val="24"/>
        </w:rPr>
        <w:fldChar w:fldCharType="separate"/>
      </w:r>
      <w:r w:rsidR="00991D81" w:rsidRPr="00991D81">
        <w:rPr>
          <w:szCs w:val="24"/>
        </w:rPr>
        <w:t xml:space="preserve">Table </w:t>
      </w:r>
      <w:r w:rsidR="00991D81" w:rsidRPr="00991D81">
        <w:rPr>
          <w:noProof/>
          <w:szCs w:val="24"/>
        </w:rPr>
        <w:t>2</w:t>
      </w:r>
      <w:r w:rsidRPr="00CB002C">
        <w:rPr>
          <w:szCs w:val="24"/>
        </w:rPr>
        <w:fldChar w:fldCharType="end"/>
      </w:r>
      <w:r w:rsidR="001B5028">
        <w:t>.</w:t>
      </w:r>
    </w:p>
    <w:p w14:paraId="3504C0E0" w14:textId="25FEFAA8" w:rsidR="00277F22" w:rsidRPr="00F7098F" w:rsidRDefault="00277F22" w:rsidP="00F7098F">
      <w:pPr>
        <w:rPr>
          <w:rFonts w:ascii="Arial Narrow" w:hAnsi="Arial Narrow"/>
          <w:b/>
          <w:sz w:val="20"/>
        </w:rPr>
      </w:pPr>
      <w:bookmarkStart w:id="3" w:name="_Ref48571845"/>
      <w:r w:rsidRPr="00F7098F">
        <w:rPr>
          <w:rFonts w:ascii="Arial Narrow" w:hAnsi="Arial Narrow"/>
          <w:b/>
          <w:sz w:val="20"/>
        </w:rPr>
        <w:t xml:space="preserve">Table </w:t>
      </w:r>
      <w:r w:rsidRPr="00F7098F">
        <w:rPr>
          <w:rFonts w:ascii="Arial Narrow" w:hAnsi="Arial Narrow"/>
          <w:b/>
          <w:sz w:val="20"/>
        </w:rPr>
        <w:fldChar w:fldCharType="begin"/>
      </w:r>
      <w:r w:rsidRPr="00F7098F">
        <w:rPr>
          <w:rFonts w:ascii="Arial Narrow" w:hAnsi="Arial Narrow"/>
          <w:b/>
          <w:sz w:val="20"/>
        </w:rPr>
        <w:instrText xml:space="preserve"> SEQ Table \* ARABIC </w:instrText>
      </w:r>
      <w:r w:rsidRPr="00F7098F">
        <w:rPr>
          <w:rFonts w:ascii="Arial Narrow" w:hAnsi="Arial Narrow"/>
          <w:b/>
          <w:sz w:val="20"/>
        </w:rPr>
        <w:fldChar w:fldCharType="separate"/>
      </w:r>
      <w:r w:rsidR="00991D81">
        <w:rPr>
          <w:rFonts w:ascii="Arial Narrow" w:hAnsi="Arial Narrow"/>
          <w:b/>
          <w:noProof/>
          <w:sz w:val="20"/>
        </w:rPr>
        <w:t>2</w:t>
      </w:r>
      <w:r w:rsidRPr="00F7098F">
        <w:rPr>
          <w:rFonts w:ascii="Arial Narrow" w:hAnsi="Arial Narrow"/>
          <w:b/>
          <w:sz w:val="20"/>
        </w:rPr>
        <w:fldChar w:fldCharType="end"/>
      </w:r>
      <w:bookmarkEnd w:id="3"/>
      <w:r w:rsidRPr="00F7098F">
        <w:rPr>
          <w:rFonts w:ascii="Arial Narrow" w:hAnsi="Arial Narrow"/>
          <w:b/>
          <w:sz w:val="20"/>
        </w:rPr>
        <w:tab/>
        <w:t>Eligibility criteria supported by MSAC</w:t>
      </w:r>
    </w:p>
    <w:tbl>
      <w:tblPr>
        <w:tblStyle w:val="TableGrid"/>
        <w:tblW w:w="5000" w:type="pct"/>
        <w:tblLook w:val="04A0" w:firstRow="1" w:lastRow="0" w:firstColumn="1" w:lastColumn="0" w:noHBand="0" w:noVBand="1"/>
        <w:tblDescription w:val="Eligibility criteria supported by MSAC"/>
      </w:tblPr>
      <w:tblGrid>
        <w:gridCol w:w="1695"/>
        <w:gridCol w:w="7321"/>
      </w:tblGrid>
      <w:tr w:rsidR="00277F22" w:rsidRPr="004F2691" w14:paraId="5953FA4A" w14:textId="77777777" w:rsidTr="00625D9D">
        <w:trPr>
          <w:trHeight w:val="20"/>
          <w:tblHeader/>
        </w:trPr>
        <w:tc>
          <w:tcPr>
            <w:tcW w:w="940" w:type="pct"/>
            <w:hideMark/>
          </w:tcPr>
          <w:p w14:paraId="13062ED2" w14:textId="33D43E4A" w:rsidR="00277F22" w:rsidRPr="004F2691" w:rsidRDefault="00277F22" w:rsidP="000570D2">
            <w:pPr>
              <w:keepNext/>
              <w:rPr>
                <w:rFonts w:ascii="Arial Narrow" w:hAnsi="Arial Narrow"/>
                <w:snapToGrid w:val="0"/>
                <w:sz w:val="20"/>
                <w:szCs w:val="24"/>
              </w:rPr>
            </w:pPr>
            <w:r w:rsidRPr="004F2691">
              <w:rPr>
                <w:rFonts w:ascii="Arial Narrow" w:hAnsi="Arial Narrow"/>
                <w:snapToGrid w:val="0"/>
                <w:sz w:val="20"/>
                <w:szCs w:val="24"/>
              </w:rPr>
              <w:t>Indication:</w:t>
            </w:r>
          </w:p>
        </w:tc>
        <w:tc>
          <w:tcPr>
            <w:tcW w:w="4060" w:type="pct"/>
          </w:tcPr>
          <w:p w14:paraId="6F3EDA92" w14:textId="706661F7" w:rsidR="00277F22" w:rsidRPr="004F2691" w:rsidRDefault="00277F22" w:rsidP="000570D2">
            <w:pPr>
              <w:keepNext/>
              <w:rPr>
                <w:rFonts w:ascii="Arial Narrow" w:hAnsi="Arial Narrow"/>
                <w:snapToGrid w:val="0"/>
                <w:sz w:val="20"/>
                <w:szCs w:val="24"/>
              </w:rPr>
            </w:pPr>
            <w:r w:rsidRPr="004F2691">
              <w:rPr>
                <w:rFonts w:ascii="Arial Narrow" w:hAnsi="Arial Narrow"/>
                <w:snapToGrid w:val="0"/>
                <w:sz w:val="20"/>
                <w:szCs w:val="24"/>
              </w:rPr>
              <w:t xml:space="preserve">High Risk </w:t>
            </w:r>
            <w:proofErr w:type="spellStart"/>
            <w:r w:rsidRPr="004F2691">
              <w:rPr>
                <w:rFonts w:ascii="Arial Narrow" w:hAnsi="Arial Narrow"/>
                <w:snapToGrid w:val="0"/>
                <w:sz w:val="20"/>
                <w:szCs w:val="24"/>
              </w:rPr>
              <w:t>Neuroblastoma</w:t>
            </w:r>
            <w:proofErr w:type="spellEnd"/>
          </w:p>
        </w:tc>
      </w:tr>
      <w:tr w:rsidR="00277F22" w:rsidRPr="004F2691" w14:paraId="12AFDBAF" w14:textId="77777777" w:rsidTr="00625D9D">
        <w:trPr>
          <w:trHeight w:val="20"/>
        </w:trPr>
        <w:tc>
          <w:tcPr>
            <w:tcW w:w="940" w:type="pct"/>
            <w:hideMark/>
          </w:tcPr>
          <w:p w14:paraId="1FD670D9" w14:textId="77777777" w:rsidR="00277F22" w:rsidRPr="004F2691" w:rsidRDefault="00277F22" w:rsidP="000570D2">
            <w:pPr>
              <w:keepNext/>
              <w:rPr>
                <w:rFonts w:ascii="Arial Narrow" w:hAnsi="Arial Narrow"/>
                <w:snapToGrid w:val="0"/>
                <w:sz w:val="20"/>
                <w:szCs w:val="24"/>
              </w:rPr>
            </w:pPr>
            <w:r w:rsidRPr="004F2691">
              <w:rPr>
                <w:rFonts w:ascii="Arial Narrow" w:hAnsi="Arial Narrow"/>
                <w:snapToGrid w:val="0"/>
                <w:sz w:val="20"/>
                <w:szCs w:val="24"/>
              </w:rPr>
              <w:t>Treatment criteria:</w:t>
            </w:r>
          </w:p>
        </w:tc>
        <w:tc>
          <w:tcPr>
            <w:tcW w:w="4060" w:type="pct"/>
          </w:tcPr>
          <w:p w14:paraId="5A45A58C" w14:textId="77777777" w:rsidR="00133E47" w:rsidRPr="00133E47" w:rsidRDefault="00133E47" w:rsidP="000570D2">
            <w:pPr>
              <w:keepNext/>
              <w:rPr>
                <w:rFonts w:ascii="Arial Narrow" w:hAnsi="Arial Narrow"/>
                <w:snapToGrid w:val="0"/>
                <w:sz w:val="20"/>
                <w:szCs w:val="24"/>
              </w:rPr>
            </w:pPr>
            <w:r w:rsidRPr="00133E47">
              <w:rPr>
                <w:rFonts w:ascii="Arial Narrow" w:hAnsi="Arial Narrow"/>
                <w:snapToGrid w:val="0"/>
                <w:sz w:val="20"/>
                <w:szCs w:val="24"/>
              </w:rPr>
              <w:t>Patient must be treated in a tertiary public hospital with appropriate credentials</w:t>
            </w:r>
          </w:p>
          <w:p w14:paraId="0986BC9C" w14:textId="77777777" w:rsidR="00133E47" w:rsidRPr="00133E47" w:rsidRDefault="00133E47" w:rsidP="000570D2">
            <w:pPr>
              <w:keepNext/>
              <w:rPr>
                <w:rFonts w:ascii="Arial Narrow" w:hAnsi="Arial Narrow"/>
                <w:snapToGrid w:val="0"/>
                <w:sz w:val="20"/>
                <w:szCs w:val="24"/>
              </w:rPr>
            </w:pPr>
            <w:r w:rsidRPr="00133E47">
              <w:rPr>
                <w:rFonts w:ascii="Arial Narrow" w:hAnsi="Arial Narrow"/>
                <w:snapToGrid w:val="0"/>
                <w:sz w:val="20"/>
                <w:szCs w:val="24"/>
              </w:rPr>
              <w:t>AND</w:t>
            </w:r>
          </w:p>
          <w:p w14:paraId="00B3F44D" w14:textId="16FD7EDA" w:rsidR="00277F22" w:rsidRPr="004F2691" w:rsidRDefault="00133E47" w:rsidP="000570D2">
            <w:pPr>
              <w:keepNext/>
              <w:rPr>
                <w:rFonts w:ascii="Arial Narrow" w:hAnsi="Arial Narrow"/>
                <w:snapToGrid w:val="0"/>
                <w:sz w:val="20"/>
                <w:szCs w:val="24"/>
              </w:rPr>
            </w:pPr>
            <w:r>
              <w:rPr>
                <w:rFonts w:ascii="Arial Narrow" w:hAnsi="Arial Narrow"/>
                <w:snapToGrid w:val="0"/>
                <w:sz w:val="20"/>
                <w:szCs w:val="24"/>
              </w:rPr>
              <w:t>Patient m</w:t>
            </w:r>
            <w:r w:rsidR="00277F22" w:rsidRPr="004F2691">
              <w:rPr>
                <w:rFonts w:ascii="Arial Narrow" w:hAnsi="Arial Narrow"/>
                <w:snapToGrid w:val="0"/>
                <w:sz w:val="20"/>
                <w:szCs w:val="24"/>
              </w:rPr>
              <w:t>ust be treated by a specialist experienced in the use of oncological therapies</w:t>
            </w:r>
          </w:p>
        </w:tc>
      </w:tr>
      <w:tr w:rsidR="00277F22" w:rsidRPr="004F2691" w14:paraId="356B9183" w14:textId="77777777" w:rsidTr="00625D9D">
        <w:trPr>
          <w:trHeight w:val="20"/>
        </w:trPr>
        <w:tc>
          <w:tcPr>
            <w:tcW w:w="940" w:type="pct"/>
            <w:hideMark/>
          </w:tcPr>
          <w:p w14:paraId="7F8B7468" w14:textId="77777777" w:rsidR="00277F22" w:rsidRPr="004F2691" w:rsidRDefault="00277F22" w:rsidP="000570D2">
            <w:pPr>
              <w:keepNext/>
              <w:rPr>
                <w:rFonts w:ascii="Arial Narrow" w:hAnsi="Arial Narrow"/>
                <w:snapToGrid w:val="0"/>
                <w:sz w:val="20"/>
                <w:szCs w:val="24"/>
              </w:rPr>
            </w:pPr>
            <w:r w:rsidRPr="004F2691">
              <w:rPr>
                <w:rFonts w:ascii="Arial Narrow" w:hAnsi="Arial Narrow"/>
                <w:snapToGrid w:val="0"/>
                <w:sz w:val="20"/>
                <w:szCs w:val="24"/>
              </w:rPr>
              <w:t>Clinical criteria:</w:t>
            </w:r>
          </w:p>
          <w:p w14:paraId="23FDA917" w14:textId="77777777" w:rsidR="00277F22" w:rsidRPr="004F2691" w:rsidRDefault="00277F22" w:rsidP="000570D2">
            <w:pPr>
              <w:keepNext/>
              <w:rPr>
                <w:rFonts w:ascii="Arial Narrow" w:hAnsi="Arial Narrow"/>
                <w:snapToGrid w:val="0"/>
                <w:sz w:val="20"/>
                <w:szCs w:val="24"/>
              </w:rPr>
            </w:pPr>
          </w:p>
        </w:tc>
        <w:tc>
          <w:tcPr>
            <w:tcW w:w="4060" w:type="pct"/>
          </w:tcPr>
          <w:p w14:paraId="554C976B" w14:textId="2A0D56E5" w:rsidR="00277F22" w:rsidRPr="004F2691" w:rsidRDefault="00133E47" w:rsidP="000570D2">
            <w:pPr>
              <w:keepNext/>
              <w:rPr>
                <w:rFonts w:ascii="Arial Narrow" w:hAnsi="Arial Narrow"/>
                <w:snapToGrid w:val="0"/>
                <w:sz w:val="20"/>
                <w:szCs w:val="24"/>
              </w:rPr>
            </w:pPr>
            <w:r>
              <w:rPr>
                <w:rFonts w:ascii="Arial Narrow" w:hAnsi="Arial Narrow"/>
                <w:snapToGrid w:val="0"/>
                <w:sz w:val="20"/>
                <w:szCs w:val="24"/>
              </w:rPr>
              <w:t>Patient must have h</w:t>
            </w:r>
            <w:r w:rsidR="00277F22" w:rsidRPr="004F2691">
              <w:rPr>
                <w:rFonts w:ascii="Arial Narrow" w:hAnsi="Arial Narrow"/>
                <w:snapToGrid w:val="0"/>
                <w:sz w:val="20"/>
                <w:szCs w:val="24"/>
              </w:rPr>
              <w:t xml:space="preserve">igh risk </w:t>
            </w:r>
            <w:proofErr w:type="spellStart"/>
            <w:r w:rsidR="00277F22" w:rsidRPr="004F2691">
              <w:rPr>
                <w:rFonts w:ascii="Arial Narrow" w:hAnsi="Arial Narrow"/>
                <w:snapToGrid w:val="0"/>
                <w:sz w:val="20"/>
                <w:szCs w:val="24"/>
              </w:rPr>
              <w:t>neuroblastoma</w:t>
            </w:r>
            <w:proofErr w:type="spellEnd"/>
            <w:r>
              <w:rPr>
                <w:rFonts w:ascii="Arial Narrow" w:hAnsi="Arial Narrow"/>
                <w:snapToGrid w:val="0"/>
                <w:sz w:val="20"/>
                <w:szCs w:val="24"/>
              </w:rPr>
              <w:t xml:space="preserve"> </w:t>
            </w:r>
          </w:p>
          <w:p w14:paraId="44F37B17" w14:textId="77777777" w:rsidR="00277F22" w:rsidRPr="004F2691" w:rsidRDefault="00277F22" w:rsidP="000570D2">
            <w:pPr>
              <w:keepNext/>
              <w:rPr>
                <w:rFonts w:ascii="Arial Narrow" w:hAnsi="Arial Narrow"/>
                <w:snapToGrid w:val="0"/>
                <w:sz w:val="20"/>
                <w:szCs w:val="24"/>
              </w:rPr>
            </w:pPr>
            <w:r w:rsidRPr="004F2691">
              <w:rPr>
                <w:rFonts w:ascii="Arial Narrow" w:hAnsi="Arial Narrow"/>
                <w:snapToGrid w:val="0"/>
                <w:sz w:val="20"/>
                <w:szCs w:val="24"/>
              </w:rPr>
              <w:t>AND</w:t>
            </w:r>
          </w:p>
          <w:p w14:paraId="04D33381" w14:textId="0E68D5A0" w:rsidR="00277F22" w:rsidRPr="004F2691" w:rsidRDefault="00C65020" w:rsidP="00C65020">
            <w:pPr>
              <w:keepNext/>
              <w:rPr>
                <w:rFonts w:ascii="Arial Narrow" w:hAnsi="Arial Narrow"/>
                <w:snapToGrid w:val="0"/>
                <w:sz w:val="20"/>
                <w:szCs w:val="24"/>
              </w:rPr>
            </w:pPr>
            <w:r>
              <w:rPr>
                <w:rFonts w:ascii="Arial Narrow" w:hAnsi="Arial Narrow"/>
                <w:snapToGrid w:val="0"/>
                <w:sz w:val="20"/>
                <w:szCs w:val="24"/>
              </w:rPr>
              <w:t>P</w:t>
            </w:r>
            <w:r w:rsidRPr="00C65020">
              <w:rPr>
                <w:rFonts w:ascii="Arial Narrow" w:hAnsi="Arial Narrow"/>
                <w:snapToGrid w:val="0"/>
                <w:sz w:val="20"/>
                <w:szCs w:val="24"/>
              </w:rPr>
              <w:t xml:space="preserve">atients </w:t>
            </w:r>
            <w:r>
              <w:rPr>
                <w:rFonts w:ascii="Arial Narrow" w:hAnsi="Arial Narrow"/>
                <w:snapToGrid w:val="0"/>
                <w:sz w:val="20"/>
                <w:szCs w:val="24"/>
              </w:rPr>
              <w:t xml:space="preserve">must have </w:t>
            </w:r>
            <w:r w:rsidRPr="00C65020">
              <w:rPr>
                <w:rFonts w:ascii="Arial Narrow" w:hAnsi="Arial Narrow"/>
                <w:snapToGrid w:val="0"/>
                <w:sz w:val="20"/>
                <w:szCs w:val="24"/>
              </w:rPr>
              <w:t>previously received induction chemotherapy and achie</w:t>
            </w:r>
            <w:r>
              <w:rPr>
                <w:rFonts w:ascii="Arial Narrow" w:hAnsi="Arial Narrow"/>
                <w:snapToGrid w:val="0"/>
                <w:sz w:val="20"/>
                <w:szCs w:val="24"/>
              </w:rPr>
              <w:t>ved at least a partial response</w:t>
            </w:r>
          </w:p>
        </w:tc>
      </w:tr>
    </w:tbl>
    <w:p w14:paraId="71868271" w14:textId="5D651029" w:rsidR="00287AD2" w:rsidRDefault="00287AD2" w:rsidP="00F715D1">
      <w:pPr>
        <w:pStyle w:val="Heading1"/>
      </w:pPr>
      <w:r>
        <w:t>Summary of State and Territory feedback</w:t>
      </w:r>
    </w:p>
    <w:p w14:paraId="1796F890" w14:textId="114B9039" w:rsidR="0018540A" w:rsidRDefault="00BD73DD" w:rsidP="009F517E">
      <w:r>
        <w:t xml:space="preserve">Health </w:t>
      </w:r>
      <w:r w:rsidR="00E438FA">
        <w:t>Victoria provided a consolidated submission</w:t>
      </w:r>
      <w:r w:rsidR="0018540A">
        <w:t xml:space="preserve"> incorpo</w:t>
      </w:r>
      <w:r w:rsidR="00AE40ED">
        <w:t>r</w:t>
      </w:r>
      <w:r w:rsidR="0018540A">
        <w:t>ating</w:t>
      </w:r>
      <w:r w:rsidR="00E438FA">
        <w:t xml:space="preserve"> feedback on behalf of all States and </w:t>
      </w:r>
      <w:r w:rsidR="0018540A">
        <w:t>T</w:t>
      </w:r>
      <w:r w:rsidR="00E438FA">
        <w:t xml:space="preserve">erritories. Additionally, NSW </w:t>
      </w:r>
      <w:r>
        <w:t xml:space="preserve">Health </w:t>
      </w:r>
      <w:r w:rsidR="00E438FA">
        <w:t xml:space="preserve">provided costing data </w:t>
      </w:r>
      <w:proofErr w:type="gramStart"/>
      <w:r w:rsidR="00E438FA">
        <w:t xml:space="preserve">to </w:t>
      </w:r>
      <w:r w:rsidR="00851295">
        <w:t xml:space="preserve">further </w:t>
      </w:r>
      <w:r w:rsidR="00E438FA">
        <w:t>inform</w:t>
      </w:r>
      <w:proofErr w:type="gramEnd"/>
      <w:r w:rsidR="00E438FA">
        <w:t xml:space="preserve"> the economic model</w:t>
      </w:r>
      <w:r w:rsidR="0018540A">
        <w:t xml:space="preserve"> (discussed below)</w:t>
      </w:r>
      <w:r w:rsidR="00E438FA">
        <w:t xml:space="preserve">. </w:t>
      </w:r>
    </w:p>
    <w:p w14:paraId="7F20EE01" w14:textId="3C4BE077" w:rsidR="00851295" w:rsidRDefault="00AE40ED" w:rsidP="001F2235">
      <w:pPr>
        <w:spacing w:before="240"/>
      </w:pPr>
      <w:r>
        <w:t xml:space="preserve">The submission confirmed </w:t>
      </w:r>
      <w:proofErr w:type="spellStart"/>
      <w:r>
        <w:t>d</w:t>
      </w:r>
      <w:r w:rsidR="00851295">
        <w:t>inutuximab</w:t>
      </w:r>
      <w:proofErr w:type="spellEnd"/>
      <w:r w:rsidR="00851295">
        <w:t xml:space="preserve"> (alpha or beta) </w:t>
      </w:r>
      <w:proofErr w:type="gramStart"/>
      <w:r w:rsidR="00851295">
        <w:t>has been used</w:t>
      </w:r>
      <w:proofErr w:type="gramEnd"/>
      <w:r w:rsidR="00851295">
        <w:t xml:space="preserve"> in public hospitals </w:t>
      </w:r>
      <w:r>
        <w:t xml:space="preserve">to treat NBL </w:t>
      </w:r>
      <w:r w:rsidR="00851295">
        <w:t>for the past 5 years and no</w:t>
      </w:r>
      <w:r>
        <w:t xml:space="preserve"> major implementation issues were</w:t>
      </w:r>
      <w:r w:rsidR="00851295">
        <w:t xml:space="preserve"> anticipated.</w:t>
      </w:r>
    </w:p>
    <w:p w14:paraId="3E55F961" w14:textId="4814760A" w:rsidR="00AE40ED" w:rsidRDefault="00851295" w:rsidP="001F2235">
      <w:pPr>
        <w:spacing w:before="240"/>
      </w:pPr>
      <w:r>
        <w:t xml:space="preserve">The submission stated there were diverse opinions on whether DB </w:t>
      </w:r>
      <w:proofErr w:type="gramStart"/>
      <w:r>
        <w:t xml:space="preserve">would be primarily administered as an inpatient or </w:t>
      </w:r>
      <w:r w:rsidR="00AE40ED">
        <w:t xml:space="preserve">an </w:t>
      </w:r>
      <w:r>
        <w:t>outpatient but acknowledged the evidence base for substantial use in t</w:t>
      </w:r>
      <w:r w:rsidR="001F2235">
        <w:t>he outpatient setting was weak</w:t>
      </w:r>
      <w:proofErr w:type="gramEnd"/>
      <w:r w:rsidR="001F2235">
        <w:t>.</w:t>
      </w:r>
    </w:p>
    <w:p w14:paraId="042A17EA" w14:textId="1DFC7E6E" w:rsidR="00616670" w:rsidRDefault="00AE40ED" w:rsidP="001F2235">
      <w:pPr>
        <w:spacing w:before="240"/>
      </w:pPr>
      <w:r>
        <w:t xml:space="preserve">NSW provided an estimate of the </w:t>
      </w:r>
      <w:r w:rsidR="006B55A8" w:rsidRPr="00D46511">
        <w:t>ancillary</w:t>
      </w:r>
      <w:r w:rsidR="006B55A8">
        <w:t xml:space="preserve"> </w:t>
      </w:r>
      <w:r>
        <w:t xml:space="preserve">costs associated with the use of DB compared to the use of RA alone. </w:t>
      </w:r>
      <w:r w:rsidR="000464D0">
        <w:t xml:space="preserve">NSW estimated the </w:t>
      </w:r>
      <w:r w:rsidR="00616670">
        <w:t xml:space="preserve">total </w:t>
      </w:r>
      <w:r w:rsidR="000464D0">
        <w:t xml:space="preserve">average clinical cost per patient treated with </w:t>
      </w:r>
      <w:r w:rsidR="005B07D9">
        <w:br/>
      </w:r>
      <w:r w:rsidR="000464D0" w:rsidRPr="00B53B0F">
        <w:t>(</w:t>
      </w:r>
      <w:proofErr w:type="spellStart"/>
      <w:r w:rsidR="000464D0" w:rsidRPr="00B53B0F">
        <w:t>i</w:t>
      </w:r>
      <w:proofErr w:type="spellEnd"/>
      <w:r w:rsidR="000464D0" w:rsidRPr="00B53B0F">
        <w:t>) RA alone was $</w:t>
      </w:r>
      <w:r w:rsidR="00B53B0F" w:rsidRPr="00B53B0F">
        <w:rPr>
          <w:b/>
        </w:rPr>
        <w:t>redacted</w:t>
      </w:r>
      <w:r w:rsidR="000464D0" w:rsidRPr="00B53B0F">
        <w:t xml:space="preserve"> (plus a contingency cost of $</w:t>
      </w:r>
      <w:r w:rsidR="00B53B0F" w:rsidRPr="00B53B0F">
        <w:rPr>
          <w:b/>
        </w:rPr>
        <w:t>redacted</w:t>
      </w:r>
      <w:r w:rsidR="000464D0" w:rsidRPr="00B53B0F">
        <w:t>) and (ii) DB + RA would be $</w:t>
      </w:r>
      <w:r w:rsidR="00B53B0F" w:rsidRPr="00B53B0F">
        <w:rPr>
          <w:b/>
        </w:rPr>
        <w:t>redacted</w:t>
      </w:r>
      <w:r w:rsidR="00B53B0F" w:rsidRPr="00B53B0F">
        <w:t xml:space="preserve"> </w:t>
      </w:r>
      <w:r w:rsidR="000464D0" w:rsidRPr="00B53B0F">
        <w:t>(plus a contingency cost of $</w:t>
      </w:r>
      <w:r w:rsidR="00B53B0F" w:rsidRPr="00B53B0F">
        <w:rPr>
          <w:b/>
        </w:rPr>
        <w:t>redacted</w:t>
      </w:r>
      <w:r w:rsidR="000464D0" w:rsidRPr="00B53B0F">
        <w:t>)</w:t>
      </w:r>
      <w:r w:rsidR="00FD01F9" w:rsidRPr="00B53B0F">
        <w:t xml:space="preserve"> (</w:t>
      </w:r>
      <w:r w:rsidR="00FD01F9" w:rsidRPr="00B53B0F">
        <w:rPr>
          <w:szCs w:val="24"/>
        </w:rPr>
        <w:fldChar w:fldCharType="begin"/>
      </w:r>
      <w:r w:rsidR="00FD01F9" w:rsidRPr="00B53B0F">
        <w:rPr>
          <w:szCs w:val="24"/>
        </w:rPr>
        <w:instrText xml:space="preserve"> REF _Ref48574433 \h </w:instrText>
      </w:r>
      <w:r w:rsidR="00CB002C" w:rsidRPr="00B53B0F">
        <w:rPr>
          <w:szCs w:val="24"/>
        </w:rPr>
        <w:instrText xml:space="preserve"> \* MERGEFORMAT </w:instrText>
      </w:r>
      <w:r w:rsidR="00FD01F9" w:rsidRPr="00B53B0F">
        <w:rPr>
          <w:szCs w:val="24"/>
        </w:rPr>
      </w:r>
      <w:r w:rsidR="00FD01F9" w:rsidRPr="00B53B0F">
        <w:rPr>
          <w:szCs w:val="24"/>
        </w:rPr>
        <w:fldChar w:fldCharType="separate"/>
      </w:r>
      <w:r w:rsidR="00991D81" w:rsidRPr="00B53B0F">
        <w:rPr>
          <w:szCs w:val="24"/>
        </w:rPr>
        <w:t xml:space="preserve">Table </w:t>
      </w:r>
      <w:r w:rsidR="00991D81" w:rsidRPr="00B53B0F">
        <w:rPr>
          <w:noProof/>
          <w:szCs w:val="24"/>
        </w:rPr>
        <w:t>3</w:t>
      </w:r>
      <w:r w:rsidR="00FD01F9" w:rsidRPr="00B53B0F">
        <w:rPr>
          <w:szCs w:val="24"/>
        </w:rPr>
        <w:fldChar w:fldCharType="end"/>
      </w:r>
      <w:r w:rsidR="00FD01F9" w:rsidRPr="00B53B0F">
        <w:t>)</w:t>
      </w:r>
      <w:r w:rsidR="001F2235" w:rsidRPr="00B53B0F">
        <w:t>.</w:t>
      </w:r>
    </w:p>
    <w:p w14:paraId="1B237A6E" w14:textId="0C41400F" w:rsidR="00616670" w:rsidRPr="00F7098F" w:rsidRDefault="00616670" w:rsidP="00F7098F">
      <w:pPr>
        <w:keepNext/>
        <w:keepLines/>
        <w:spacing w:before="240"/>
        <w:rPr>
          <w:rFonts w:ascii="Arial Narrow" w:eastAsia="Calibri" w:hAnsi="Arial Narrow"/>
          <w:b/>
          <w:sz w:val="20"/>
        </w:rPr>
      </w:pPr>
      <w:bookmarkStart w:id="4" w:name="_Ref48574433"/>
      <w:r w:rsidRPr="00F7098F">
        <w:rPr>
          <w:rFonts w:ascii="Arial Narrow" w:hAnsi="Arial Narrow"/>
          <w:b/>
          <w:sz w:val="20"/>
        </w:rPr>
        <w:lastRenderedPageBreak/>
        <w:t xml:space="preserve">Table </w:t>
      </w:r>
      <w:r w:rsidR="00840515" w:rsidRPr="00F7098F">
        <w:rPr>
          <w:rFonts w:ascii="Arial Narrow" w:hAnsi="Arial Narrow"/>
          <w:b/>
          <w:sz w:val="20"/>
        </w:rPr>
        <w:fldChar w:fldCharType="begin"/>
      </w:r>
      <w:r w:rsidR="00840515" w:rsidRPr="00F7098F">
        <w:rPr>
          <w:rFonts w:ascii="Arial Narrow" w:hAnsi="Arial Narrow"/>
          <w:b/>
          <w:sz w:val="20"/>
        </w:rPr>
        <w:instrText xml:space="preserve"> SEQ Table \* ARABIC </w:instrText>
      </w:r>
      <w:r w:rsidR="00840515" w:rsidRPr="00F7098F">
        <w:rPr>
          <w:rFonts w:ascii="Arial Narrow" w:hAnsi="Arial Narrow"/>
          <w:b/>
          <w:sz w:val="20"/>
        </w:rPr>
        <w:fldChar w:fldCharType="separate"/>
      </w:r>
      <w:r w:rsidR="00991D81">
        <w:rPr>
          <w:rFonts w:ascii="Arial Narrow" w:hAnsi="Arial Narrow"/>
          <w:b/>
          <w:noProof/>
          <w:sz w:val="20"/>
        </w:rPr>
        <w:t>3</w:t>
      </w:r>
      <w:r w:rsidR="00840515" w:rsidRPr="00F7098F">
        <w:rPr>
          <w:rFonts w:ascii="Arial Narrow" w:hAnsi="Arial Narrow"/>
          <w:b/>
          <w:sz w:val="20"/>
        </w:rPr>
        <w:fldChar w:fldCharType="end"/>
      </w:r>
      <w:bookmarkEnd w:id="4"/>
      <w:r w:rsidRPr="00F7098F">
        <w:rPr>
          <w:rFonts w:ascii="Arial Narrow" w:hAnsi="Arial Narrow"/>
          <w:b/>
          <w:sz w:val="20"/>
        </w:rPr>
        <w:t xml:space="preserve"> NSW </w:t>
      </w:r>
      <w:r w:rsidR="00C27302" w:rsidRPr="00F7098F">
        <w:rPr>
          <w:rFonts w:ascii="Arial Narrow" w:hAnsi="Arial Narrow"/>
          <w:b/>
          <w:sz w:val="20"/>
        </w:rPr>
        <w:t xml:space="preserve">Health </w:t>
      </w:r>
      <w:r w:rsidRPr="00F7098F">
        <w:rPr>
          <w:rFonts w:ascii="Arial Narrow" w:hAnsi="Arial Narrow"/>
          <w:b/>
          <w:sz w:val="20"/>
        </w:rPr>
        <w:t xml:space="preserve">estimated </w:t>
      </w:r>
      <w:r w:rsidR="00FD01F9" w:rsidRPr="00F7098F">
        <w:rPr>
          <w:rFonts w:ascii="Arial Narrow" w:hAnsi="Arial Narrow"/>
          <w:b/>
          <w:sz w:val="20"/>
        </w:rPr>
        <w:t>total ancillary (administration) cost</w:t>
      </w:r>
    </w:p>
    <w:tbl>
      <w:tblPr>
        <w:tblStyle w:val="TableGrid"/>
        <w:tblW w:w="9067" w:type="dxa"/>
        <w:tblLook w:val="04A0" w:firstRow="1" w:lastRow="0" w:firstColumn="1" w:lastColumn="0" w:noHBand="0" w:noVBand="1"/>
        <w:tblDescription w:val="NSW Health estimated total ancillary (administration) cost"/>
      </w:tblPr>
      <w:tblGrid>
        <w:gridCol w:w="1980"/>
        <w:gridCol w:w="4536"/>
        <w:gridCol w:w="2551"/>
      </w:tblGrid>
      <w:tr w:rsidR="00616670" w:rsidRPr="00B53B0F" w14:paraId="1ED660D1" w14:textId="77777777" w:rsidTr="00840515">
        <w:trPr>
          <w:tblHeader/>
        </w:trPr>
        <w:tc>
          <w:tcPr>
            <w:tcW w:w="1980" w:type="dxa"/>
          </w:tcPr>
          <w:p w14:paraId="3B1C9272" w14:textId="77777777" w:rsidR="00616670" w:rsidRPr="00D44D24" w:rsidRDefault="00616670" w:rsidP="00F7098F">
            <w:pPr>
              <w:keepNext/>
              <w:keepLines/>
              <w:rPr>
                <w:rFonts w:ascii="Arial Narrow" w:hAnsi="Arial Narrow"/>
                <w:sz w:val="20"/>
              </w:rPr>
            </w:pPr>
          </w:p>
        </w:tc>
        <w:tc>
          <w:tcPr>
            <w:tcW w:w="4536" w:type="dxa"/>
          </w:tcPr>
          <w:p w14:paraId="522AFA00" w14:textId="779D840E" w:rsidR="00616670" w:rsidRPr="00B53B0F" w:rsidRDefault="00616670" w:rsidP="00F7098F">
            <w:pPr>
              <w:keepNext/>
              <w:keepLines/>
              <w:rPr>
                <w:rFonts w:ascii="Arial Narrow" w:hAnsi="Arial Narrow"/>
                <w:b/>
                <w:sz w:val="20"/>
              </w:rPr>
            </w:pPr>
            <w:r w:rsidRPr="00B53B0F">
              <w:rPr>
                <w:rFonts w:ascii="Arial Narrow" w:hAnsi="Arial Narrow"/>
                <w:b/>
                <w:sz w:val="20"/>
              </w:rPr>
              <w:t>Total ancillary (administration) cost</w:t>
            </w:r>
          </w:p>
        </w:tc>
        <w:tc>
          <w:tcPr>
            <w:tcW w:w="2551" w:type="dxa"/>
          </w:tcPr>
          <w:p w14:paraId="55C5C2FE" w14:textId="3BAB0A3A" w:rsidR="00616670" w:rsidRPr="00B53B0F" w:rsidRDefault="00616670" w:rsidP="00F7098F">
            <w:pPr>
              <w:keepNext/>
              <w:keepLines/>
              <w:rPr>
                <w:rFonts w:ascii="Arial Narrow" w:hAnsi="Arial Narrow"/>
                <w:b/>
                <w:sz w:val="20"/>
              </w:rPr>
            </w:pPr>
            <w:r w:rsidRPr="00B53B0F">
              <w:rPr>
                <w:rFonts w:ascii="Arial Narrow" w:hAnsi="Arial Narrow"/>
                <w:b/>
                <w:sz w:val="20"/>
              </w:rPr>
              <w:t>Contingency cost</w:t>
            </w:r>
          </w:p>
        </w:tc>
      </w:tr>
      <w:tr w:rsidR="00B53B0F" w:rsidRPr="00B53B0F" w14:paraId="361EB124" w14:textId="77777777" w:rsidTr="00C27302">
        <w:tc>
          <w:tcPr>
            <w:tcW w:w="1980" w:type="dxa"/>
          </w:tcPr>
          <w:p w14:paraId="214D03E6" w14:textId="4F0A35C8" w:rsidR="00B53B0F" w:rsidRPr="00B53B0F" w:rsidRDefault="00B53B0F" w:rsidP="00B53B0F">
            <w:pPr>
              <w:rPr>
                <w:rFonts w:ascii="Arial Narrow" w:hAnsi="Arial Narrow"/>
                <w:sz w:val="20"/>
              </w:rPr>
            </w:pPr>
            <w:r w:rsidRPr="00B53B0F">
              <w:rPr>
                <w:rFonts w:ascii="Arial Narrow" w:hAnsi="Arial Narrow"/>
                <w:sz w:val="20"/>
              </w:rPr>
              <w:t>RA alone</w:t>
            </w:r>
          </w:p>
        </w:tc>
        <w:tc>
          <w:tcPr>
            <w:tcW w:w="4536" w:type="dxa"/>
          </w:tcPr>
          <w:p w14:paraId="229B5D75" w14:textId="0F53CD21" w:rsidR="00B53B0F" w:rsidRPr="00B53B0F" w:rsidRDefault="00B53B0F" w:rsidP="00B53B0F">
            <w:pPr>
              <w:rPr>
                <w:rFonts w:ascii="Arial Narrow" w:hAnsi="Arial Narrow"/>
                <w:sz w:val="20"/>
              </w:rPr>
            </w:pPr>
            <w:r w:rsidRPr="00B53B0F">
              <w:rPr>
                <w:rFonts w:ascii="Arial Narrow" w:hAnsi="Arial Narrow"/>
                <w:sz w:val="20"/>
              </w:rPr>
              <w:t>$redacted</w:t>
            </w:r>
          </w:p>
        </w:tc>
        <w:tc>
          <w:tcPr>
            <w:tcW w:w="2551" w:type="dxa"/>
          </w:tcPr>
          <w:p w14:paraId="3D5D0F3F" w14:textId="768D9334" w:rsidR="00B53B0F" w:rsidRPr="00B53B0F" w:rsidRDefault="00B53B0F" w:rsidP="00B53B0F">
            <w:pPr>
              <w:rPr>
                <w:rFonts w:ascii="Arial Narrow" w:hAnsi="Arial Narrow"/>
                <w:sz w:val="20"/>
              </w:rPr>
            </w:pPr>
            <w:r w:rsidRPr="00B53B0F">
              <w:rPr>
                <w:rFonts w:ascii="Arial Narrow" w:hAnsi="Arial Narrow"/>
                <w:sz w:val="20"/>
              </w:rPr>
              <w:t>$redacted</w:t>
            </w:r>
          </w:p>
        </w:tc>
      </w:tr>
      <w:tr w:rsidR="00B53B0F" w:rsidRPr="00D44D24" w14:paraId="5875B38F" w14:textId="77777777" w:rsidTr="00C27302">
        <w:tc>
          <w:tcPr>
            <w:tcW w:w="1980" w:type="dxa"/>
          </w:tcPr>
          <w:p w14:paraId="527E6FF8" w14:textId="76B3C832" w:rsidR="00B53B0F" w:rsidRPr="00B53B0F" w:rsidRDefault="00B53B0F" w:rsidP="00B53B0F">
            <w:pPr>
              <w:rPr>
                <w:rFonts w:ascii="Arial Narrow" w:hAnsi="Arial Narrow"/>
                <w:sz w:val="20"/>
              </w:rPr>
            </w:pPr>
            <w:r w:rsidRPr="00B53B0F">
              <w:rPr>
                <w:rFonts w:ascii="Arial Narrow" w:hAnsi="Arial Narrow"/>
                <w:sz w:val="20"/>
              </w:rPr>
              <w:t>DB + RA</w:t>
            </w:r>
          </w:p>
        </w:tc>
        <w:tc>
          <w:tcPr>
            <w:tcW w:w="4536" w:type="dxa"/>
          </w:tcPr>
          <w:p w14:paraId="579A5848" w14:textId="76E02F8C" w:rsidR="00B53B0F" w:rsidRPr="00B53B0F" w:rsidRDefault="00B53B0F" w:rsidP="00B53B0F">
            <w:pPr>
              <w:rPr>
                <w:rFonts w:ascii="Arial Narrow" w:hAnsi="Arial Narrow"/>
                <w:sz w:val="20"/>
              </w:rPr>
            </w:pPr>
            <w:r w:rsidRPr="00B53B0F">
              <w:rPr>
                <w:rFonts w:ascii="Arial Narrow" w:hAnsi="Arial Narrow"/>
                <w:sz w:val="20"/>
              </w:rPr>
              <w:t>$redacted</w:t>
            </w:r>
          </w:p>
        </w:tc>
        <w:tc>
          <w:tcPr>
            <w:tcW w:w="2551" w:type="dxa"/>
          </w:tcPr>
          <w:p w14:paraId="57399E2B" w14:textId="4ECE9BB5" w:rsidR="00B53B0F" w:rsidRPr="00B53B0F" w:rsidRDefault="00B53B0F" w:rsidP="00B53B0F">
            <w:pPr>
              <w:rPr>
                <w:rFonts w:ascii="Arial Narrow" w:hAnsi="Arial Narrow"/>
                <w:sz w:val="20"/>
              </w:rPr>
            </w:pPr>
            <w:r w:rsidRPr="00B53B0F">
              <w:rPr>
                <w:rFonts w:ascii="Arial Narrow" w:hAnsi="Arial Narrow"/>
                <w:sz w:val="20"/>
              </w:rPr>
              <w:t>$redacted</w:t>
            </w:r>
          </w:p>
        </w:tc>
      </w:tr>
    </w:tbl>
    <w:p w14:paraId="306373D2" w14:textId="4EC3983E" w:rsidR="00AE40ED" w:rsidRPr="00A35954" w:rsidRDefault="000464D0" w:rsidP="001F2235">
      <w:pPr>
        <w:spacing w:before="240" w:after="240"/>
      </w:pPr>
      <w:r>
        <w:t>Based on these costings, the incremental cost of administra</w:t>
      </w:r>
      <w:r w:rsidR="00D44D24">
        <w:t xml:space="preserve">tion of DB was estimated to be </w:t>
      </w:r>
      <w:r w:rsidR="00AE40ED" w:rsidRPr="00A35954">
        <w:t>$</w:t>
      </w:r>
      <w:r w:rsidR="00B53B0F" w:rsidRPr="00B53B0F">
        <w:rPr>
          <w:b/>
        </w:rPr>
        <w:t>redacted</w:t>
      </w:r>
      <w:r w:rsidR="000C219D" w:rsidRPr="00A35954">
        <w:rPr>
          <w:rStyle w:val="FootnoteReference"/>
        </w:rPr>
        <w:footnoteReference w:id="1"/>
      </w:r>
      <w:r w:rsidR="000C219D" w:rsidRPr="00A35954">
        <w:t xml:space="preserve"> (plus $</w:t>
      </w:r>
      <w:r w:rsidR="00B53B0F" w:rsidRPr="00B53B0F">
        <w:rPr>
          <w:b/>
        </w:rPr>
        <w:t>redacted</w:t>
      </w:r>
      <w:r w:rsidR="00B53B0F" w:rsidRPr="00A35954">
        <w:t xml:space="preserve"> </w:t>
      </w:r>
      <w:r w:rsidR="000C219D" w:rsidRPr="00A35954">
        <w:t>contingency cost per patient)</w:t>
      </w:r>
      <w:r w:rsidR="00AE40ED" w:rsidRPr="00A35954">
        <w:t>, compared to $</w:t>
      </w:r>
      <w:r w:rsidR="00864F79" w:rsidRPr="00A35954">
        <w:rPr>
          <w:b/>
        </w:rPr>
        <w:t>redacted</w:t>
      </w:r>
      <w:r w:rsidR="00864F79" w:rsidRPr="00A35954" w:rsidDel="00864F79">
        <w:t xml:space="preserve"> </w:t>
      </w:r>
      <w:r w:rsidR="00AE40ED" w:rsidRPr="00A35954">
        <w:t xml:space="preserve">in the MSAC ESC report. NSW </w:t>
      </w:r>
      <w:r w:rsidR="00C27302" w:rsidRPr="00A35954">
        <w:t xml:space="preserve">Health </w:t>
      </w:r>
      <w:r w:rsidR="00AE40ED" w:rsidRPr="00A35954">
        <w:t xml:space="preserve">acknowledged there were considerable uncertainties associated with the cost estimate and noted there was likely to be a range of treatment costs depending on individual patients. MSAC noted the ICER incorporating the cost </w:t>
      </w:r>
      <w:r w:rsidR="001F2235" w:rsidRPr="00A35954">
        <w:t>estimated by NSW was $</w:t>
      </w:r>
      <w:r w:rsidR="00864F79" w:rsidRPr="00A35954">
        <w:rPr>
          <w:b/>
        </w:rPr>
        <w:t>redacted</w:t>
      </w:r>
      <w:r w:rsidR="001F2235" w:rsidRPr="00A35954">
        <w:t>.</w:t>
      </w:r>
    </w:p>
    <w:p w14:paraId="22DD3561" w14:textId="47F5F841" w:rsidR="00287AD2" w:rsidRPr="00A35954" w:rsidRDefault="00AE40ED" w:rsidP="00F7098F">
      <w:pPr>
        <w:rPr>
          <w:rFonts w:ascii="Arial Narrow" w:eastAsia="Calibri" w:hAnsi="Arial Narrow"/>
          <w:b/>
          <w:sz w:val="20"/>
        </w:rPr>
      </w:pPr>
      <w:bookmarkStart w:id="5" w:name="_Ref48573969"/>
      <w:r w:rsidRPr="00A35954">
        <w:rPr>
          <w:rFonts w:ascii="Arial Narrow" w:hAnsi="Arial Narrow"/>
          <w:b/>
          <w:sz w:val="20"/>
        </w:rPr>
        <w:t xml:space="preserve">Table </w:t>
      </w:r>
      <w:r w:rsidR="00840515" w:rsidRPr="00A35954">
        <w:rPr>
          <w:rFonts w:ascii="Arial Narrow" w:hAnsi="Arial Narrow"/>
          <w:b/>
          <w:sz w:val="20"/>
        </w:rPr>
        <w:fldChar w:fldCharType="begin"/>
      </w:r>
      <w:r w:rsidR="00840515" w:rsidRPr="00A35954">
        <w:rPr>
          <w:rFonts w:ascii="Arial Narrow" w:hAnsi="Arial Narrow"/>
          <w:b/>
          <w:sz w:val="20"/>
        </w:rPr>
        <w:instrText xml:space="preserve"> SEQ Table \* ARABIC </w:instrText>
      </w:r>
      <w:r w:rsidR="00840515" w:rsidRPr="00A35954">
        <w:rPr>
          <w:rFonts w:ascii="Arial Narrow" w:hAnsi="Arial Narrow"/>
          <w:b/>
          <w:sz w:val="20"/>
        </w:rPr>
        <w:fldChar w:fldCharType="separate"/>
      </w:r>
      <w:r w:rsidR="00991D81">
        <w:rPr>
          <w:rFonts w:ascii="Arial Narrow" w:hAnsi="Arial Narrow"/>
          <w:b/>
          <w:noProof/>
          <w:sz w:val="20"/>
        </w:rPr>
        <w:t>4</w:t>
      </w:r>
      <w:r w:rsidR="00840515" w:rsidRPr="00A35954">
        <w:rPr>
          <w:rFonts w:ascii="Arial Narrow" w:hAnsi="Arial Narrow"/>
          <w:b/>
          <w:sz w:val="20"/>
        </w:rPr>
        <w:fldChar w:fldCharType="end"/>
      </w:r>
      <w:bookmarkEnd w:id="5"/>
      <w:r w:rsidRPr="00A35954">
        <w:rPr>
          <w:rFonts w:ascii="Arial Narrow" w:hAnsi="Arial Narrow"/>
          <w:b/>
          <w:sz w:val="20"/>
        </w:rPr>
        <w:t xml:space="preserve"> ICER incorporating NSW </w:t>
      </w:r>
      <w:r w:rsidR="00C27302" w:rsidRPr="00A35954">
        <w:rPr>
          <w:rFonts w:ascii="Arial Narrow" w:hAnsi="Arial Narrow"/>
          <w:b/>
          <w:sz w:val="20"/>
        </w:rPr>
        <w:t xml:space="preserve">Health </w:t>
      </w:r>
      <w:r w:rsidRPr="00A35954">
        <w:rPr>
          <w:rFonts w:ascii="Arial Narrow" w:hAnsi="Arial Narrow"/>
          <w:b/>
          <w:sz w:val="20"/>
        </w:rPr>
        <w:t xml:space="preserve">estimated costs </w:t>
      </w:r>
    </w:p>
    <w:tbl>
      <w:tblPr>
        <w:tblStyle w:val="TableGrid"/>
        <w:tblW w:w="9067" w:type="dxa"/>
        <w:tblLook w:val="04A0" w:firstRow="1" w:lastRow="0" w:firstColumn="1" w:lastColumn="0" w:noHBand="0" w:noVBand="1"/>
        <w:tblDescription w:val="ICER incorporating NSW Health estimated costs "/>
      </w:tblPr>
      <w:tblGrid>
        <w:gridCol w:w="3114"/>
        <w:gridCol w:w="3827"/>
        <w:gridCol w:w="2126"/>
      </w:tblGrid>
      <w:tr w:rsidR="0018540A" w:rsidRPr="00A35954" w14:paraId="7060B689" w14:textId="2E382786" w:rsidTr="00840515">
        <w:trPr>
          <w:tblHeader/>
        </w:trPr>
        <w:tc>
          <w:tcPr>
            <w:tcW w:w="3114" w:type="dxa"/>
          </w:tcPr>
          <w:p w14:paraId="6172EB0C" w14:textId="77777777" w:rsidR="0018540A" w:rsidRPr="00A35954" w:rsidRDefault="0018540A" w:rsidP="00287AD2">
            <w:pPr>
              <w:rPr>
                <w:rFonts w:ascii="Arial Narrow" w:hAnsi="Arial Narrow"/>
                <w:sz w:val="20"/>
              </w:rPr>
            </w:pPr>
          </w:p>
        </w:tc>
        <w:tc>
          <w:tcPr>
            <w:tcW w:w="3827" w:type="dxa"/>
          </w:tcPr>
          <w:p w14:paraId="10B00E6B" w14:textId="62D1A8F1" w:rsidR="0018540A" w:rsidRPr="00A35954" w:rsidRDefault="00327A95" w:rsidP="00287AD2">
            <w:pPr>
              <w:rPr>
                <w:rFonts w:ascii="Arial Narrow" w:hAnsi="Arial Narrow"/>
                <w:b/>
                <w:sz w:val="20"/>
              </w:rPr>
            </w:pPr>
            <w:r w:rsidRPr="00A35954">
              <w:rPr>
                <w:rFonts w:ascii="Arial Narrow" w:hAnsi="Arial Narrow"/>
                <w:b/>
                <w:sz w:val="20"/>
              </w:rPr>
              <w:t xml:space="preserve">Incremental </w:t>
            </w:r>
            <w:r w:rsidR="00EA6799" w:rsidRPr="00A35954">
              <w:rPr>
                <w:rFonts w:ascii="Arial Narrow" w:hAnsi="Arial Narrow"/>
                <w:b/>
                <w:sz w:val="20"/>
              </w:rPr>
              <w:t>a</w:t>
            </w:r>
            <w:r w:rsidR="0018540A" w:rsidRPr="00A35954">
              <w:rPr>
                <w:rFonts w:ascii="Arial Narrow" w:hAnsi="Arial Narrow"/>
                <w:b/>
                <w:sz w:val="20"/>
              </w:rPr>
              <w:t>ncillary (administration) cost</w:t>
            </w:r>
          </w:p>
        </w:tc>
        <w:tc>
          <w:tcPr>
            <w:tcW w:w="2126" w:type="dxa"/>
          </w:tcPr>
          <w:p w14:paraId="4D25D74B" w14:textId="5BB2FF0B" w:rsidR="0018540A" w:rsidRPr="00A35954" w:rsidRDefault="0018540A" w:rsidP="00287AD2">
            <w:pPr>
              <w:rPr>
                <w:rFonts w:ascii="Arial Narrow" w:hAnsi="Arial Narrow"/>
                <w:b/>
                <w:sz w:val="20"/>
              </w:rPr>
            </w:pPr>
            <w:r w:rsidRPr="00A35954">
              <w:rPr>
                <w:rFonts w:ascii="Arial Narrow" w:hAnsi="Arial Narrow"/>
                <w:b/>
                <w:sz w:val="20"/>
              </w:rPr>
              <w:t>ICER</w:t>
            </w:r>
          </w:p>
        </w:tc>
      </w:tr>
      <w:tr w:rsidR="0018540A" w:rsidRPr="00A35954" w14:paraId="5E83D507" w14:textId="2F1F2E14" w:rsidTr="00AE40ED">
        <w:tc>
          <w:tcPr>
            <w:tcW w:w="3114" w:type="dxa"/>
          </w:tcPr>
          <w:p w14:paraId="6C254F7F" w14:textId="2A766871" w:rsidR="0018540A" w:rsidRPr="00A35954" w:rsidRDefault="0018540A" w:rsidP="00287AD2">
            <w:pPr>
              <w:rPr>
                <w:rFonts w:ascii="Arial Narrow" w:hAnsi="Arial Narrow"/>
                <w:sz w:val="20"/>
              </w:rPr>
            </w:pPr>
            <w:r w:rsidRPr="00A35954">
              <w:rPr>
                <w:rFonts w:ascii="Arial Narrow" w:hAnsi="Arial Narrow"/>
                <w:sz w:val="20"/>
              </w:rPr>
              <w:t>MSAC ESC</w:t>
            </w:r>
          </w:p>
        </w:tc>
        <w:tc>
          <w:tcPr>
            <w:tcW w:w="3827" w:type="dxa"/>
          </w:tcPr>
          <w:p w14:paraId="6E67B50B" w14:textId="36E189EB" w:rsidR="0018540A" w:rsidRPr="00A35954" w:rsidRDefault="0018540A" w:rsidP="00864F79">
            <w:pPr>
              <w:rPr>
                <w:rFonts w:ascii="Arial Narrow" w:hAnsi="Arial Narrow"/>
                <w:color w:val="FF0000"/>
                <w:sz w:val="20"/>
              </w:rPr>
            </w:pPr>
            <w:r w:rsidRPr="00A35954">
              <w:rPr>
                <w:rFonts w:ascii="Arial Narrow" w:hAnsi="Arial Narrow"/>
                <w:sz w:val="20"/>
              </w:rPr>
              <w:t>$</w:t>
            </w:r>
            <w:r w:rsidR="00864F79" w:rsidRPr="00A35954">
              <w:rPr>
                <w:rFonts w:ascii="Arial Narrow" w:hAnsi="Arial Narrow"/>
                <w:sz w:val="20"/>
              </w:rPr>
              <w:t>redacted</w:t>
            </w:r>
          </w:p>
        </w:tc>
        <w:tc>
          <w:tcPr>
            <w:tcW w:w="2126" w:type="dxa"/>
          </w:tcPr>
          <w:p w14:paraId="1B995538" w14:textId="645C286C" w:rsidR="0018540A" w:rsidRPr="00A35954" w:rsidRDefault="0018540A" w:rsidP="00864F79">
            <w:pPr>
              <w:rPr>
                <w:rFonts w:ascii="Arial Narrow" w:hAnsi="Arial Narrow"/>
                <w:sz w:val="20"/>
              </w:rPr>
            </w:pPr>
            <w:r w:rsidRPr="00A35954">
              <w:rPr>
                <w:rFonts w:ascii="Arial Narrow" w:hAnsi="Arial Narrow"/>
                <w:sz w:val="20"/>
              </w:rPr>
              <w:t>$</w:t>
            </w:r>
            <w:r w:rsidR="00864F79" w:rsidRPr="00A35954">
              <w:rPr>
                <w:rFonts w:ascii="Arial Narrow" w:hAnsi="Arial Narrow"/>
                <w:sz w:val="20"/>
              </w:rPr>
              <w:t>redacted</w:t>
            </w:r>
          </w:p>
        </w:tc>
      </w:tr>
      <w:tr w:rsidR="0018540A" w:rsidRPr="00D44D24" w14:paraId="0B0BE092" w14:textId="77777777" w:rsidTr="00AE40ED">
        <w:tc>
          <w:tcPr>
            <w:tcW w:w="3114" w:type="dxa"/>
          </w:tcPr>
          <w:p w14:paraId="167E06C3" w14:textId="139E0BDF" w:rsidR="0018540A" w:rsidRPr="00B53B0F" w:rsidRDefault="0018540A" w:rsidP="0018540A">
            <w:pPr>
              <w:rPr>
                <w:rFonts w:ascii="Arial Narrow" w:hAnsi="Arial Narrow"/>
                <w:sz w:val="20"/>
              </w:rPr>
            </w:pPr>
            <w:r w:rsidRPr="00B53B0F">
              <w:rPr>
                <w:rFonts w:ascii="Arial Narrow" w:hAnsi="Arial Narrow"/>
                <w:sz w:val="20"/>
              </w:rPr>
              <w:t xml:space="preserve">NSW </w:t>
            </w:r>
            <w:r w:rsidR="00C27302" w:rsidRPr="00B53B0F">
              <w:rPr>
                <w:rFonts w:ascii="Arial Narrow" w:hAnsi="Arial Narrow"/>
                <w:sz w:val="20"/>
              </w:rPr>
              <w:t xml:space="preserve">Health </w:t>
            </w:r>
            <w:r w:rsidRPr="00B53B0F">
              <w:rPr>
                <w:rFonts w:ascii="Arial Narrow" w:hAnsi="Arial Narrow"/>
                <w:sz w:val="20"/>
              </w:rPr>
              <w:t>estimated costs</w:t>
            </w:r>
            <w:r w:rsidR="00327A95" w:rsidRPr="00B53B0F">
              <w:rPr>
                <w:rFonts w:ascii="Arial Narrow" w:hAnsi="Arial Narrow"/>
                <w:sz w:val="20"/>
              </w:rPr>
              <w:t xml:space="preserve"> (contingency)</w:t>
            </w:r>
            <w:r w:rsidR="007D538D" w:rsidRPr="00B53B0F">
              <w:rPr>
                <w:rFonts w:ascii="Arial Narrow" w:hAnsi="Arial Narrow"/>
                <w:sz w:val="20"/>
                <w:vertAlign w:val="superscript"/>
              </w:rPr>
              <w:t>1</w:t>
            </w:r>
          </w:p>
        </w:tc>
        <w:tc>
          <w:tcPr>
            <w:tcW w:w="3827" w:type="dxa"/>
          </w:tcPr>
          <w:p w14:paraId="7BD61990" w14:textId="475884EB" w:rsidR="0018540A" w:rsidRPr="00B53B0F" w:rsidRDefault="0018540A" w:rsidP="00B53B0F">
            <w:pPr>
              <w:rPr>
                <w:rFonts w:ascii="Arial Narrow" w:hAnsi="Arial Narrow"/>
                <w:color w:val="FF0000"/>
                <w:sz w:val="20"/>
              </w:rPr>
            </w:pPr>
            <w:r w:rsidRPr="00B53B0F">
              <w:rPr>
                <w:rFonts w:ascii="Arial Narrow" w:hAnsi="Arial Narrow"/>
                <w:sz w:val="20"/>
              </w:rPr>
              <w:t>$</w:t>
            </w:r>
            <w:r w:rsidR="00B53B0F" w:rsidRPr="00B53B0F">
              <w:rPr>
                <w:rFonts w:ascii="Arial Narrow" w:hAnsi="Arial Narrow"/>
                <w:sz w:val="20"/>
              </w:rPr>
              <w:t>redacted</w:t>
            </w:r>
            <w:r w:rsidR="007D538D" w:rsidRPr="00B53B0F">
              <w:rPr>
                <w:rFonts w:ascii="Arial Narrow" w:hAnsi="Arial Narrow"/>
                <w:sz w:val="20"/>
              </w:rPr>
              <w:t xml:space="preserve"> </w:t>
            </w:r>
            <w:r w:rsidR="006B19A5" w:rsidRPr="00B53B0F">
              <w:rPr>
                <w:rFonts w:ascii="Arial Narrow" w:hAnsi="Arial Narrow"/>
                <w:sz w:val="20"/>
              </w:rPr>
              <w:t>($</w:t>
            </w:r>
            <w:r w:rsidR="00B53B0F" w:rsidRPr="00B53B0F">
              <w:rPr>
                <w:rFonts w:ascii="Arial Narrow" w:hAnsi="Arial Narrow"/>
                <w:sz w:val="20"/>
              </w:rPr>
              <w:t>redacted</w:t>
            </w:r>
            <w:r w:rsidR="006B19A5" w:rsidRPr="00B53B0F">
              <w:rPr>
                <w:rFonts w:ascii="Arial Narrow" w:hAnsi="Arial Narrow"/>
                <w:sz w:val="20"/>
              </w:rPr>
              <w:t>)</w:t>
            </w:r>
          </w:p>
        </w:tc>
        <w:tc>
          <w:tcPr>
            <w:tcW w:w="2126" w:type="dxa"/>
          </w:tcPr>
          <w:p w14:paraId="5F9FA864" w14:textId="3FD1E484" w:rsidR="0018540A" w:rsidRPr="00A35954" w:rsidRDefault="0018540A" w:rsidP="00864F79">
            <w:pPr>
              <w:rPr>
                <w:rFonts w:ascii="Arial Narrow" w:hAnsi="Arial Narrow"/>
                <w:sz w:val="20"/>
              </w:rPr>
            </w:pPr>
            <w:r w:rsidRPr="00B53B0F">
              <w:rPr>
                <w:rFonts w:ascii="Arial Narrow" w:hAnsi="Arial Narrow"/>
                <w:sz w:val="20"/>
              </w:rPr>
              <w:t>$</w:t>
            </w:r>
            <w:r w:rsidR="00864F79" w:rsidRPr="00B53B0F">
              <w:rPr>
                <w:rFonts w:ascii="Arial Narrow" w:hAnsi="Arial Narrow"/>
                <w:sz w:val="20"/>
              </w:rPr>
              <w:t>redacted</w:t>
            </w:r>
          </w:p>
        </w:tc>
      </w:tr>
    </w:tbl>
    <w:p w14:paraId="778C0977" w14:textId="58E8BBE7" w:rsidR="0018540A" w:rsidRPr="00D44D24" w:rsidRDefault="007D538D" w:rsidP="00287AD2">
      <w:pPr>
        <w:rPr>
          <w:rFonts w:ascii="Arial Narrow" w:hAnsi="Arial Narrow"/>
          <w:sz w:val="18"/>
          <w:szCs w:val="18"/>
        </w:rPr>
      </w:pPr>
      <w:r w:rsidRPr="00D44D24">
        <w:rPr>
          <w:rFonts w:ascii="Arial Narrow" w:hAnsi="Arial Narrow"/>
          <w:sz w:val="18"/>
          <w:szCs w:val="18"/>
        </w:rPr>
        <w:t xml:space="preserve">1. </w:t>
      </w:r>
      <w:r w:rsidR="00327A95" w:rsidRPr="00D44D24">
        <w:rPr>
          <w:rFonts w:ascii="Arial Narrow" w:hAnsi="Arial Narrow"/>
          <w:sz w:val="18"/>
          <w:szCs w:val="18"/>
        </w:rPr>
        <w:t>NSW</w:t>
      </w:r>
      <w:r w:rsidR="00310321" w:rsidRPr="00D44D24">
        <w:rPr>
          <w:rFonts w:ascii="Arial Narrow" w:hAnsi="Arial Narrow"/>
          <w:sz w:val="18"/>
          <w:szCs w:val="18"/>
        </w:rPr>
        <w:t xml:space="preserve"> Health, communications dated </w:t>
      </w:r>
      <w:r w:rsidRPr="00D44D24">
        <w:rPr>
          <w:rFonts w:ascii="Arial Narrow" w:hAnsi="Arial Narrow"/>
          <w:sz w:val="18"/>
          <w:szCs w:val="18"/>
        </w:rPr>
        <w:t>30/6/20, 20/7/20 and 24/7/20</w:t>
      </w:r>
      <w:r w:rsidR="00EA6799" w:rsidRPr="00D44D24">
        <w:rPr>
          <w:rFonts w:ascii="Arial Narrow" w:hAnsi="Arial Narrow"/>
          <w:sz w:val="18"/>
          <w:szCs w:val="18"/>
        </w:rPr>
        <w:t xml:space="preserve">. Contingency cost not included in economic model.  </w:t>
      </w:r>
    </w:p>
    <w:p w14:paraId="59674A00" w14:textId="6B63DF9D"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08CC26F0" w14:textId="3AA362EA" w:rsidR="00043FE9" w:rsidRDefault="00FC6EAA" w:rsidP="001B5028">
      <w:r>
        <w:t>Consultation</w:t>
      </w:r>
      <w:r w:rsidR="00121777" w:rsidRPr="00121777">
        <w:t xml:space="preserve"> feedback was received from </w:t>
      </w:r>
      <w:r w:rsidR="00121777">
        <w:t xml:space="preserve">31 </w:t>
      </w:r>
      <w:r w:rsidR="00121777" w:rsidRPr="00121777">
        <w:t>individuals</w:t>
      </w:r>
      <w:r w:rsidR="00121777">
        <w:t>,</w:t>
      </w:r>
      <w:r w:rsidR="00121777" w:rsidRPr="00121777">
        <w:t xml:space="preserve"> </w:t>
      </w:r>
      <w:proofErr w:type="gramStart"/>
      <w:r w:rsidR="002F65B6">
        <w:t>two</w:t>
      </w:r>
      <w:proofErr w:type="gramEnd"/>
      <w:r w:rsidR="00121777">
        <w:t xml:space="preserve"> </w:t>
      </w:r>
      <w:r w:rsidR="00121777" w:rsidRPr="00121777">
        <w:t>health care profession</w:t>
      </w:r>
      <w:r w:rsidR="00121777">
        <w:t>al</w:t>
      </w:r>
      <w:r w:rsidR="00121777" w:rsidRPr="00121777">
        <w:t xml:space="preserve">s and </w:t>
      </w:r>
      <w:r w:rsidR="002F65B6">
        <w:t>two </w:t>
      </w:r>
      <w:r w:rsidR="00121777" w:rsidRPr="00121777">
        <w:t>organisation</w:t>
      </w:r>
      <w:r w:rsidR="00121777">
        <w:t xml:space="preserve">s </w:t>
      </w:r>
      <w:r w:rsidR="002F65B6">
        <w:t xml:space="preserve">which </w:t>
      </w:r>
      <w:r w:rsidR="002F65B6" w:rsidRPr="002F65B6">
        <w:t xml:space="preserve">described a range of benefits of treatment with </w:t>
      </w:r>
      <w:r w:rsidR="002F65B6">
        <w:t>DB</w:t>
      </w:r>
      <w:r w:rsidR="002F65B6" w:rsidRPr="002F65B6">
        <w:t xml:space="preserve">. Comments from the health professionals also noted that treatment with </w:t>
      </w:r>
      <w:r w:rsidR="002F65B6">
        <w:t>D</w:t>
      </w:r>
      <w:r w:rsidR="009F517E">
        <w:t>B</w:t>
      </w:r>
      <w:r w:rsidR="002F65B6" w:rsidRPr="002F65B6">
        <w:t xml:space="preserve"> could le</w:t>
      </w:r>
      <w:r>
        <w:t>a</w:t>
      </w:r>
      <w:r w:rsidR="002F65B6" w:rsidRPr="002F65B6">
        <w:t>d to serious and significant toxicity (e.g</w:t>
      </w:r>
      <w:r w:rsidR="00744BC8">
        <w:t>.</w:t>
      </w:r>
      <w:r w:rsidR="002F65B6" w:rsidRPr="002F65B6">
        <w:t xml:space="preserve"> pain, inflammation, inflammatory responses, </w:t>
      </w:r>
      <w:proofErr w:type="gramStart"/>
      <w:r w:rsidR="002F65B6" w:rsidRPr="002F65B6">
        <w:t>fluid</w:t>
      </w:r>
      <w:proofErr w:type="gramEnd"/>
      <w:r w:rsidR="002F65B6" w:rsidRPr="002F65B6">
        <w:t xml:space="preserve"> overload)</w:t>
      </w:r>
      <w:r w:rsidR="002F65B6">
        <w:t xml:space="preserve"> but claimed that</w:t>
      </w:r>
      <w:r w:rsidR="002F65B6" w:rsidRPr="002F65B6">
        <w:t xml:space="preserve"> the majority of these could be managed in experienced paediatric oncology centres</w:t>
      </w:r>
      <w:r w:rsidR="002F65B6">
        <w:t>.</w:t>
      </w:r>
    </w:p>
    <w:p w14:paraId="0148E2FD" w14:textId="73788F8A" w:rsidR="00BC1364" w:rsidRPr="00D1759A" w:rsidRDefault="00043FE9" w:rsidP="001F2235">
      <w:pPr>
        <w:spacing w:before="240" w:after="240"/>
      </w:pPr>
      <w:r>
        <w:t xml:space="preserve">The </w:t>
      </w:r>
      <w:r w:rsidR="00BE20A1">
        <w:t xml:space="preserve">applicant’s </w:t>
      </w:r>
      <w:r>
        <w:t xml:space="preserve">pre-MSAC response provided two consultation responses from </w:t>
      </w:r>
      <w:r w:rsidR="00D1759A">
        <w:t>paediatric o</w:t>
      </w:r>
      <w:r w:rsidR="00E71F76">
        <w:t xml:space="preserve">ncology consultants based in </w:t>
      </w:r>
      <w:r w:rsidR="00DA7A73">
        <w:t>Europe</w:t>
      </w:r>
      <w:r w:rsidR="00E71F76">
        <w:t xml:space="preserve"> who </w:t>
      </w:r>
      <w:r w:rsidR="009F517E">
        <w:t xml:space="preserve">summarised </w:t>
      </w:r>
      <w:r w:rsidR="00E71F76">
        <w:t>their</w:t>
      </w:r>
      <w:r>
        <w:t xml:space="preserve"> </w:t>
      </w:r>
      <w:r w:rsidR="00E71F76">
        <w:t xml:space="preserve">clinical </w:t>
      </w:r>
      <w:r>
        <w:t xml:space="preserve">experience </w:t>
      </w:r>
      <w:r w:rsidR="00E71F76">
        <w:t xml:space="preserve">in </w:t>
      </w:r>
      <w:r w:rsidR="00D930E0">
        <w:t>a</w:t>
      </w:r>
      <w:r w:rsidR="00E71F76">
        <w:t xml:space="preserve">dministering </w:t>
      </w:r>
      <w:r>
        <w:t>DB</w:t>
      </w:r>
      <w:r w:rsidR="00E71F76">
        <w:t xml:space="preserve"> using the long term infusion (i.e. </w:t>
      </w:r>
      <w:r w:rsidR="00E71F76" w:rsidRPr="00E71F76">
        <w:t xml:space="preserve">rate </w:t>
      </w:r>
      <w:r w:rsidR="009F517E">
        <w:t xml:space="preserve">of </w:t>
      </w:r>
      <w:r w:rsidR="00E71F76" w:rsidRPr="00E71F76">
        <w:t>10mg/m</w:t>
      </w:r>
      <w:r w:rsidR="00E71F76" w:rsidRPr="009F517E">
        <w:rPr>
          <w:vertAlign w:val="superscript"/>
        </w:rPr>
        <w:t>2</w:t>
      </w:r>
      <w:r w:rsidR="00E71F76" w:rsidRPr="00E71F76">
        <w:t xml:space="preserve">/day </w:t>
      </w:r>
      <w:r w:rsidR="0061699D">
        <w:t xml:space="preserve">continuously </w:t>
      </w:r>
      <w:r w:rsidR="009F517E">
        <w:t xml:space="preserve">for </w:t>
      </w:r>
      <w:r w:rsidR="00E71F76" w:rsidRPr="00E71F76">
        <w:t>10</w:t>
      </w:r>
      <w:r w:rsidR="00D1759A">
        <w:t> </w:t>
      </w:r>
      <w:r w:rsidR="00E71F76" w:rsidRPr="00E71F76">
        <w:t>days)</w:t>
      </w:r>
      <w:r w:rsidR="00E71F76">
        <w:t xml:space="preserve"> compared to </w:t>
      </w:r>
      <w:r w:rsidR="001F2CF0">
        <w:t xml:space="preserve">the </w:t>
      </w:r>
      <w:r w:rsidR="00E71F76">
        <w:t>short term infusion (i.e. rate of 20mg/m</w:t>
      </w:r>
      <w:r w:rsidR="00E71F76" w:rsidRPr="009F517E">
        <w:rPr>
          <w:vertAlign w:val="superscript"/>
        </w:rPr>
        <w:t>2</w:t>
      </w:r>
      <w:r w:rsidR="00E71F76">
        <w:t>/day over 8 hours per</w:t>
      </w:r>
      <w:r w:rsidR="00D930E0">
        <w:t xml:space="preserve"> </w:t>
      </w:r>
      <w:r w:rsidR="00E71F76">
        <w:t xml:space="preserve">day for 5 days). The clinicians </w:t>
      </w:r>
      <w:r w:rsidR="00DA7A73">
        <w:t>note</w:t>
      </w:r>
      <w:r w:rsidR="00D1759A">
        <w:t>d</w:t>
      </w:r>
      <w:r w:rsidR="00DA7A73">
        <w:t xml:space="preserve"> that </w:t>
      </w:r>
      <w:r w:rsidR="00142123">
        <w:t xml:space="preserve">the </w:t>
      </w:r>
      <w:proofErr w:type="gramStart"/>
      <w:r w:rsidR="00142123">
        <w:t>long term</w:t>
      </w:r>
      <w:proofErr w:type="gramEnd"/>
      <w:r w:rsidR="00DA7A73">
        <w:t xml:space="preserve"> </w:t>
      </w:r>
      <w:r w:rsidR="00142123">
        <w:t>infusion</w:t>
      </w:r>
      <w:r w:rsidR="00DA7A73">
        <w:t xml:space="preserve"> regimen facilitates administration in an outpatient setting and </w:t>
      </w:r>
      <w:r w:rsidR="00E71F76">
        <w:t xml:space="preserve">state clinical practice in </w:t>
      </w:r>
      <w:r w:rsidR="00DA7A73">
        <w:t xml:space="preserve">Europe </w:t>
      </w:r>
      <w:r w:rsidR="00E71F76">
        <w:t xml:space="preserve">has evolved to include </w:t>
      </w:r>
      <w:r w:rsidR="00D1759A">
        <w:t xml:space="preserve">the </w:t>
      </w:r>
      <w:r w:rsidR="00142123">
        <w:t>long term infusion</w:t>
      </w:r>
      <w:r w:rsidR="00E71F76">
        <w:t xml:space="preserve"> regimen as the preferred </w:t>
      </w:r>
      <w:r w:rsidR="00142123">
        <w:t xml:space="preserve">DB </w:t>
      </w:r>
      <w:r w:rsidR="00E71F76">
        <w:t>treatment</w:t>
      </w:r>
      <w:r w:rsidR="00142123">
        <w:t xml:space="preserve"> </w:t>
      </w:r>
      <w:r w:rsidR="00E71F76">
        <w:t>regime</w:t>
      </w:r>
      <w:r w:rsidR="00DA7A73">
        <w:t>n.</w:t>
      </w:r>
      <w:r w:rsidR="00E71F76">
        <w:t xml:space="preserve"> </w:t>
      </w:r>
    </w:p>
    <w:p w14:paraId="6438BBE1" w14:textId="35F37FCF" w:rsidR="00BC1364" w:rsidRPr="00F715D1" w:rsidRDefault="00BC1364" w:rsidP="00F715D1">
      <w:pPr>
        <w:pStyle w:val="Heading1"/>
      </w:pPr>
      <w:r w:rsidRPr="00F715D1">
        <w:t>Proposed intervention’s place in clinical management</w:t>
      </w:r>
    </w:p>
    <w:p w14:paraId="6F8C9AE0" w14:textId="77777777" w:rsidR="00CF4E81" w:rsidRDefault="00CF4E81" w:rsidP="001B5028">
      <w:pPr>
        <w:pStyle w:val="Heading2"/>
      </w:pPr>
      <w:r w:rsidRPr="00CF4E81">
        <w:t xml:space="preserve">Description of </w:t>
      </w:r>
      <w:r w:rsidRPr="001B5028">
        <w:t>Proposed</w:t>
      </w:r>
      <w:r w:rsidRPr="00CF4E81">
        <w:t xml:space="preserve"> Intervention</w:t>
      </w:r>
    </w:p>
    <w:p w14:paraId="0F93B3FE" w14:textId="7BA4E39D" w:rsidR="00D1759A" w:rsidRPr="00D1759A" w:rsidRDefault="001B5028">
      <w:r>
        <w:t xml:space="preserve">Treatment with DB consists of five consecutive courses, each course comprising 35 days. Two modes of administration are possible: </w:t>
      </w:r>
      <w:r w:rsidRPr="00DD37B0">
        <w:rPr>
          <w:rFonts w:eastAsia="Calibri"/>
          <w:szCs w:val="24"/>
        </w:rPr>
        <w:t>five daily infusions administered over 8 hours, on the first 5 days of each course</w:t>
      </w:r>
      <w:r>
        <w:rPr>
          <w:rFonts w:eastAsia="Calibri"/>
          <w:szCs w:val="24"/>
        </w:rPr>
        <w:t>,</w:t>
      </w:r>
      <w:r w:rsidRPr="00DD37B0">
        <w:rPr>
          <w:rFonts w:eastAsia="Calibri"/>
          <w:szCs w:val="24"/>
        </w:rPr>
        <w:t xml:space="preserve"> herein referred to as </w:t>
      </w:r>
      <w:r>
        <w:rPr>
          <w:rFonts w:eastAsia="Calibri"/>
          <w:szCs w:val="24"/>
        </w:rPr>
        <w:t xml:space="preserve">the “short term infusion” (STI) or </w:t>
      </w:r>
      <w:r w:rsidRPr="00DD37B0">
        <w:rPr>
          <w:rFonts w:eastAsia="Calibri"/>
          <w:szCs w:val="24"/>
        </w:rPr>
        <w:t>a continuous infusion over t</w:t>
      </w:r>
      <w:r>
        <w:rPr>
          <w:rFonts w:eastAsia="Calibri"/>
          <w:szCs w:val="24"/>
        </w:rPr>
        <w:t xml:space="preserve">he first 10 days of each course, </w:t>
      </w:r>
      <w:r>
        <w:t>herein referred to as the “long term infusion” (LTI)</w:t>
      </w:r>
      <w:r>
        <w:rPr>
          <w:rFonts w:eastAsia="ArialMT"/>
          <w:szCs w:val="24"/>
        </w:rPr>
        <w:t xml:space="preserve">. </w:t>
      </w:r>
      <w:r>
        <w:rPr>
          <w:rFonts w:eastAsia="Calibri"/>
          <w:szCs w:val="24"/>
        </w:rPr>
        <w:t xml:space="preserve">The doses administered for the STI and LTI are summarised in </w:t>
      </w:r>
      <w:r w:rsidR="003F309C" w:rsidRPr="00CB002C">
        <w:rPr>
          <w:rFonts w:eastAsia="Calibri"/>
          <w:szCs w:val="24"/>
        </w:rPr>
        <w:fldChar w:fldCharType="begin"/>
      </w:r>
      <w:r w:rsidR="003F309C" w:rsidRPr="00CB002C">
        <w:rPr>
          <w:rFonts w:eastAsia="Calibri"/>
          <w:szCs w:val="24"/>
        </w:rPr>
        <w:instrText xml:space="preserve"> REF _Ref49766766 \h </w:instrText>
      </w:r>
      <w:r w:rsidR="00CB002C" w:rsidRPr="00CB002C">
        <w:rPr>
          <w:rFonts w:eastAsia="Calibri"/>
          <w:szCs w:val="24"/>
        </w:rPr>
        <w:instrText xml:space="preserve"> \* MERGEFORMAT </w:instrText>
      </w:r>
      <w:r w:rsidR="003F309C" w:rsidRPr="00CB002C">
        <w:rPr>
          <w:rFonts w:eastAsia="Calibri"/>
          <w:szCs w:val="24"/>
        </w:rPr>
      </w:r>
      <w:r w:rsidR="003F309C" w:rsidRPr="00CB002C">
        <w:rPr>
          <w:rFonts w:eastAsia="Calibri"/>
          <w:szCs w:val="24"/>
        </w:rPr>
        <w:fldChar w:fldCharType="separate"/>
      </w:r>
      <w:r w:rsidR="00991D81" w:rsidRPr="00991D81">
        <w:rPr>
          <w:szCs w:val="24"/>
        </w:rPr>
        <w:t xml:space="preserve">Table </w:t>
      </w:r>
      <w:r w:rsidR="00991D81" w:rsidRPr="00991D81">
        <w:rPr>
          <w:noProof/>
          <w:szCs w:val="24"/>
        </w:rPr>
        <w:t>5</w:t>
      </w:r>
      <w:r w:rsidR="003F309C" w:rsidRPr="00CB002C">
        <w:rPr>
          <w:rFonts w:eastAsia="Calibri"/>
          <w:szCs w:val="24"/>
        </w:rPr>
        <w:fldChar w:fldCharType="end"/>
      </w:r>
      <w:r>
        <w:rPr>
          <w:rFonts w:eastAsia="Calibri"/>
          <w:szCs w:val="24"/>
        </w:rPr>
        <w:t xml:space="preserve">. DB </w:t>
      </w:r>
      <w:proofErr w:type="gramStart"/>
      <w:r>
        <w:rPr>
          <w:rFonts w:eastAsia="Calibri"/>
          <w:szCs w:val="24"/>
        </w:rPr>
        <w:t>must be administered</w:t>
      </w:r>
      <w:proofErr w:type="gramEnd"/>
      <w:r>
        <w:rPr>
          <w:rFonts w:eastAsia="Calibri"/>
          <w:szCs w:val="24"/>
        </w:rPr>
        <w:t xml:space="preserve"> under the direction of a physician experienced in the use of oncological therapies and in an environment where full resuscitation serv</w:t>
      </w:r>
      <w:bookmarkStart w:id="6" w:name="_Ref39826666"/>
      <w:r w:rsidR="00D1759A">
        <w:rPr>
          <w:rFonts w:eastAsia="Calibri"/>
          <w:szCs w:val="24"/>
        </w:rPr>
        <w:t>ices are immediately available.</w:t>
      </w:r>
      <w:r w:rsidR="00D1759A">
        <w:br w:type="page"/>
      </w:r>
    </w:p>
    <w:p w14:paraId="182136C4" w14:textId="316E7787" w:rsidR="001B5028" w:rsidRPr="00625D9D" w:rsidRDefault="001B5028" w:rsidP="00625D9D">
      <w:pPr>
        <w:rPr>
          <w:rFonts w:ascii="Arial Narrow" w:eastAsia="Calibri" w:hAnsi="Arial Narrow"/>
          <w:b/>
          <w:sz w:val="20"/>
        </w:rPr>
      </w:pPr>
      <w:bookmarkStart w:id="7" w:name="_Ref49766766"/>
      <w:r w:rsidRPr="00625D9D">
        <w:rPr>
          <w:rFonts w:ascii="Arial Narrow" w:hAnsi="Arial Narrow"/>
          <w:b/>
          <w:sz w:val="20"/>
        </w:rPr>
        <w:lastRenderedPageBreak/>
        <w:t xml:space="preserve">Table </w:t>
      </w:r>
      <w:r w:rsidR="00840515" w:rsidRPr="00625D9D">
        <w:rPr>
          <w:rFonts w:ascii="Arial Narrow" w:hAnsi="Arial Narrow"/>
          <w:b/>
          <w:sz w:val="20"/>
        </w:rPr>
        <w:fldChar w:fldCharType="begin"/>
      </w:r>
      <w:r w:rsidR="00840515" w:rsidRPr="00625D9D">
        <w:rPr>
          <w:rFonts w:ascii="Arial Narrow" w:hAnsi="Arial Narrow"/>
          <w:b/>
          <w:sz w:val="20"/>
        </w:rPr>
        <w:instrText xml:space="preserve"> SEQ Table \* ARABIC </w:instrText>
      </w:r>
      <w:r w:rsidR="00840515" w:rsidRPr="00625D9D">
        <w:rPr>
          <w:rFonts w:ascii="Arial Narrow" w:hAnsi="Arial Narrow"/>
          <w:b/>
          <w:sz w:val="20"/>
        </w:rPr>
        <w:fldChar w:fldCharType="separate"/>
      </w:r>
      <w:r w:rsidR="00991D81">
        <w:rPr>
          <w:rFonts w:ascii="Arial Narrow" w:hAnsi="Arial Narrow"/>
          <w:b/>
          <w:noProof/>
          <w:sz w:val="20"/>
        </w:rPr>
        <w:t>5</w:t>
      </w:r>
      <w:r w:rsidR="00840515" w:rsidRPr="00625D9D">
        <w:rPr>
          <w:rFonts w:ascii="Arial Narrow" w:hAnsi="Arial Narrow"/>
          <w:b/>
          <w:sz w:val="20"/>
        </w:rPr>
        <w:fldChar w:fldCharType="end"/>
      </w:r>
      <w:bookmarkEnd w:id="6"/>
      <w:bookmarkEnd w:id="7"/>
      <w:r w:rsidRPr="00625D9D">
        <w:rPr>
          <w:rFonts w:ascii="Arial Narrow" w:hAnsi="Arial Narrow"/>
          <w:b/>
          <w:sz w:val="20"/>
        </w:rPr>
        <w:t xml:space="preserve"> Administration of </w:t>
      </w:r>
      <w:proofErr w:type="spellStart"/>
      <w:r w:rsidRPr="00625D9D">
        <w:rPr>
          <w:rFonts w:ascii="Arial Narrow" w:hAnsi="Arial Narrow"/>
          <w:b/>
          <w:sz w:val="20"/>
        </w:rPr>
        <w:t>dinutuximab</w:t>
      </w:r>
      <w:proofErr w:type="spellEnd"/>
      <w:r w:rsidRPr="00625D9D">
        <w:rPr>
          <w:rFonts w:ascii="Arial Narrow" w:hAnsi="Arial Narrow"/>
          <w:b/>
          <w:sz w:val="20"/>
        </w:rPr>
        <w:t xml:space="preserve"> beta</w:t>
      </w:r>
    </w:p>
    <w:tbl>
      <w:tblPr>
        <w:tblStyle w:val="TableGrid"/>
        <w:tblW w:w="0" w:type="auto"/>
        <w:tblLook w:val="04A0" w:firstRow="1" w:lastRow="0" w:firstColumn="1" w:lastColumn="0" w:noHBand="0" w:noVBand="1"/>
        <w:tblDescription w:val="Administration of dinutuximab beta"/>
      </w:tblPr>
      <w:tblGrid>
        <w:gridCol w:w="4815"/>
        <w:gridCol w:w="2100"/>
        <w:gridCol w:w="2101"/>
      </w:tblGrid>
      <w:tr w:rsidR="001B5028" w:rsidRPr="00DD37B0" w14:paraId="11FF8EDB" w14:textId="77777777" w:rsidTr="00840515">
        <w:trPr>
          <w:cantSplit/>
          <w:tblHeader/>
        </w:trPr>
        <w:tc>
          <w:tcPr>
            <w:tcW w:w="4815" w:type="dxa"/>
          </w:tcPr>
          <w:p w14:paraId="4D3EAAAF" w14:textId="77777777" w:rsidR="001B5028" w:rsidRPr="00DD37B0" w:rsidRDefault="001B5028" w:rsidP="001B5028">
            <w:pPr>
              <w:rPr>
                <w:rFonts w:ascii="Arial Narrow" w:eastAsia="Calibri" w:hAnsi="Arial Narrow" w:cstheme="minorHAnsi"/>
                <w:sz w:val="20"/>
              </w:rPr>
            </w:pPr>
          </w:p>
        </w:tc>
        <w:tc>
          <w:tcPr>
            <w:tcW w:w="2100" w:type="dxa"/>
          </w:tcPr>
          <w:p w14:paraId="7826DF3A" w14:textId="77777777" w:rsidR="001B5028" w:rsidRPr="00DD37B0" w:rsidRDefault="001B5028" w:rsidP="001B5028">
            <w:pPr>
              <w:jc w:val="center"/>
              <w:rPr>
                <w:rFonts w:ascii="Arial Narrow" w:eastAsia="Calibri" w:hAnsi="Arial Narrow" w:cstheme="minorHAnsi"/>
                <w:b/>
                <w:sz w:val="20"/>
              </w:rPr>
            </w:pPr>
            <w:r>
              <w:rPr>
                <w:rFonts w:ascii="Arial Narrow" w:eastAsia="Calibri" w:hAnsi="Arial Narrow" w:cstheme="minorHAnsi"/>
                <w:b/>
                <w:sz w:val="20"/>
              </w:rPr>
              <w:t>STI</w:t>
            </w:r>
          </w:p>
        </w:tc>
        <w:tc>
          <w:tcPr>
            <w:tcW w:w="2101" w:type="dxa"/>
          </w:tcPr>
          <w:p w14:paraId="064EA43E" w14:textId="77777777" w:rsidR="001B5028" w:rsidRPr="00DD37B0" w:rsidRDefault="001B5028" w:rsidP="001B5028">
            <w:pPr>
              <w:jc w:val="center"/>
              <w:rPr>
                <w:rFonts w:ascii="Arial Narrow" w:eastAsia="Calibri" w:hAnsi="Arial Narrow" w:cstheme="minorHAnsi"/>
                <w:b/>
                <w:sz w:val="20"/>
              </w:rPr>
            </w:pPr>
            <w:r>
              <w:rPr>
                <w:rFonts w:ascii="Arial Narrow" w:eastAsia="Calibri" w:hAnsi="Arial Narrow" w:cstheme="minorHAnsi"/>
                <w:b/>
                <w:sz w:val="20"/>
              </w:rPr>
              <w:t>LTI</w:t>
            </w:r>
          </w:p>
        </w:tc>
      </w:tr>
      <w:tr w:rsidR="001B5028" w:rsidRPr="00DD37B0" w14:paraId="25B5ED16" w14:textId="77777777" w:rsidTr="00EE173C">
        <w:trPr>
          <w:cantSplit/>
        </w:trPr>
        <w:tc>
          <w:tcPr>
            <w:tcW w:w="4815" w:type="dxa"/>
            <w:tcBorders>
              <w:bottom w:val="nil"/>
            </w:tcBorders>
          </w:tcPr>
          <w:p w14:paraId="1418211B" w14:textId="77777777" w:rsidR="001B5028" w:rsidRPr="00DD37B0" w:rsidRDefault="001B5028" w:rsidP="001B5028">
            <w:pPr>
              <w:tabs>
                <w:tab w:val="left" w:pos="1874"/>
              </w:tabs>
              <w:rPr>
                <w:rFonts w:ascii="Arial Narrow" w:eastAsia="Calibri" w:hAnsi="Arial Narrow" w:cstheme="minorHAnsi"/>
                <w:sz w:val="20"/>
              </w:rPr>
            </w:pPr>
            <w:r w:rsidRPr="00DD37B0">
              <w:rPr>
                <w:rFonts w:ascii="Arial Narrow" w:eastAsia="Calibri" w:hAnsi="Arial Narrow" w:cstheme="minorHAnsi"/>
                <w:sz w:val="20"/>
              </w:rPr>
              <w:t>Total dose per course</w:t>
            </w:r>
            <w:r>
              <w:rPr>
                <w:rFonts w:ascii="Arial Narrow" w:eastAsia="Calibri" w:hAnsi="Arial Narrow" w:cstheme="minorHAnsi"/>
                <w:sz w:val="20"/>
              </w:rPr>
              <w:t>:</w:t>
            </w:r>
            <w:r>
              <w:rPr>
                <w:rFonts w:ascii="Arial Narrow" w:eastAsia="Calibri" w:hAnsi="Arial Narrow" w:cstheme="minorHAnsi"/>
                <w:sz w:val="20"/>
              </w:rPr>
              <w:tab/>
            </w:r>
            <w:r w:rsidRPr="00DD37B0">
              <w:rPr>
                <w:rFonts w:ascii="Arial Narrow" w:eastAsia="Calibri" w:hAnsi="Arial Narrow" w:cstheme="minorHAnsi"/>
                <w:sz w:val="20"/>
              </w:rPr>
              <w:t>Patients weighing &gt; 5kg to ≤12kg</w:t>
            </w:r>
          </w:p>
        </w:tc>
        <w:tc>
          <w:tcPr>
            <w:tcW w:w="4201" w:type="dxa"/>
            <w:gridSpan w:val="2"/>
            <w:tcBorders>
              <w:bottom w:val="nil"/>
            </w:tcBorders>
          </w:tcPr>
          <w:p w14:paraId="7CBACF76" w14:textId="77777777" w:rsidR="001B5028" w:rsidRPr="00DD37B0" w:rsidRDefault="001B5028" w:rsidP="001B5028">
            <w:pPr>
              <w:jc w:val="center"/>
              <w:rPr>
                <w:rFonts w:ascii="Arial Narrow" w:eastAsia="Calibri" w:hAnsi="Arial Narrow" w:cstheme="minorHAnsi"/>
                <w:sz w:val="20"/>
              </w:rPr>
            </w:pPr>
            <w:r w:rsidRPr="00DD37B0">
              <w:rPr>
                <w:rFonts w:ascii="Arial Narrow" w:eastAsia="Calibri" w:hAnsi="Arial Narrow" w:cstheme="minorHAnsi"/>
                <w:sz w:val="20"/>
              </w:rPr>
              <w:t>3.3mg/kg</w:t>
            </w:r>
          </w:p>
        </w:tc>
      </w:tr>
      <w:tr w:rsidR="001B5028" w:rsidRPr="00DD37B0" w14:paraId="198D978B" w14:textId="77777777" w:rsidTr="00EE173C">
        <w:trPr>
          <w:cantSplit/>
        </w:trPr>
        <w:tc>
          <w:tcPr>
            <w:tcW w:w="4815" w:type="dxa"/>
            <w:tcBorders>
              <w:top w:val="nil"/>
            </w:tcBorders>
          </w:tcPr>
          <w:p w14:paraId="4F552B59" w14:textId="77777777" w:rsidR="001B5028" w:rsidRPr="00DD37B0" w:rsidRDefault="001B5028" w:rsidP="001B5028">
            <w:pPr>
              <w:tabs>
                <w:tab w:val="left" w:pos="1874"/>
              </w:tabs>
              <w:rPr>
                <w:rFonts w:ascii="Arial Narrow" w:eastAsia="Calibri" w:hAnsi="Arial Narrow" w:cstheme="minorHAnsi"/>
                <w:sz w:val="20"/>
              </w:rPr>
            </w:pPr>
            <w:r w:rsidRPr="00DD37B0">
              <w:rPr>
                <w:rFonts w:ascii="Arial Narrow" w:eastAsia="Calibri" w:hAnsi="Arial Narrow" w:cstheme="minorHAnsi"/>
                <w:sz w:val="20"/>
              </w:rPr>
              <w:tab/>
              <w:t>Patients weighing &gt; 12kg</w:t>
            </w:r>
          </w:p>
        </w:tc>
        <w:tc>
          <w:tcPr>
            <w:tcW w:w="4201" w:type="dxa"/>
            <w:gridSpan w:val="2"/>
            <w:tcBorders>
              <w:top w:val="nil"/>
            </w:tcBorders>
          </w:tcPr>
          <w:p w14:paraId="116CE4AE" w14:textId="77777777" w:rsidR="001B5028" w:rsidRPr="00DD37B0" w:rsidRDefault="001B5028" w:rsidP="001B5028">
            <w:pPr>
              <w:jc w:val="center"/>
              <w:rPr>
                <w:rFonts w:ascii="Arial Narrow" w:eastAsia="Calibri" w:hAnsi="Arial Narrow" w:cstheme="minorHAnsi"/>
                <w:sz w:val="20"/>
              </w:rPr>
            </w:pPr>
            <w:r w:rsidRPr="00DD37B0">
              <w:rPr>
                <w:rFonts w:ascii="Arial Narrow" w:eastAsia="Calibri" w:hAnsi="Arial Narrow" w:cstheme="minorHAnsi"/>
                <w:sz w:val="20"/>
              </w:rPr>
              <w:t>100mg/m</w:t>
            </w:r>
            <w:r w:rsidRPr="00DD37B0">
              <w:rPr>
                <w:rFonts w:ascii="Arial Narrow" w:eastAsia="Calibri" w:hAnsi="Arial Narrow" w:cstheme="minorHAnsi"/>
                <w:sz w:val="20"/>
                <w:vertAlign w:val="superscript"/>
              </w:rPr>
              <w:t>2</w:t>
            </w:r>
          </w:p>
        </w:tc>
      </w:tr>
      <w:tr w:rsidR="001B5028" w:rsidRPr="00DD37B0" w14:paraId="0DC912E4" w14:textId="77777777" w:rsidTr="00EE173C">
        <w:trPr>
          <w:cantSplit/>
        </w:trPr>
        <w:tc>
          <w:tcPr>
            <w:tcW w:w="4815" w:type="dxa"/>
          </w:tcPr>
          <w:p w14:paraId="67FB690A" w14:textId="77777777" w:rsidR="001B5028" w:rsidRPr="00DD37B0" w:rsidRDefault="001B5028" w:rsidP="001B5028">
            <w:pPr>
              <w:rPr>
                <w:rFonts w:ascii="Arial Narrow" w:eastAsia="Calibri" w:hAnsi="Arial Narrow" w:cstheme="minorHAnsi"/>
                <w:sz w:val="20"/>
              </w:rPr>
            </w:pPr>
            <w:r w:rsidRPr="00DD37B0">
              <w:rPr>
                <w:rFonts w:ascii="Arial Narrow" w:eastAsia="Calibri" w:hAnsi="Arial Narrow" w:cstheme="minorHAnsi"/>
                <w:sz w:val="20"/>
              </w:rPr>
              <w:t>Course description</w:t>
            </w:r>
          </w:p>
        </w:tc>
        <w:tc>
          <w:tcPr>
            <w:tcW w:w="2100" w:type="dxa"/>
          </w:tcPr>
          <w:p w14:paraId="32F991A8" w14:textId="77777777" w:rsidR="001B5028" w:rsidRPr="00DD37B0" w:rsidRDefault="001B5028" w:rsidP="001B5028">
            <w:pPr>
              <w:rPr>
                <w:rFonts w:ascii="Arial Narrow" w:eastAsia="Calibri" w:hAnsi="Arial Narrow" w:cstheme="minorHAnsi"/>
                <w:sz w:val="20"/>
              </w:rPr>
            </w:pPr>
            <w:r w:rsidRPr="00DD37B0">
              <w:rPr>
                <w:rFonts w:ascii="Arial Narrow" w:eastAsia="Calibri" w:hAnsi="Arial Narrow" w:cstheme="minorHAnsi"/>
                <w:sz w:val="20"/>
              </w:rPr>
              <w:t>Daily infusions over 8 hours</w:t>
            </w:r>
            <w:r>
              <w:rPr>
                <w:rFonts w:ascii="Arial Narrow" w:eastAsia="Calibri" w:hAnsi="Arial Narrow" w:cstheme="minorHAnsi"/>
                <w:sz w:val="20"/>
              </w:rPr>
              <w:t xml:space="preserve"> on</w:t>
            </w:r>
            <w:r w:rsidRPr="00DD37B0">
              <w:rPr>
                <w:rFonts w:ascii="Arial Narrow" w:eastAsia="Calibri" w:hAnsi="Arial Narrow" w:cstheme="minorHAnsi"/>
                <w:sz w:val="20"/>
              </w:rPr>
              <w:t xml:space="preserve"> first 5 days of each 35 day course</w:t>
            </w:r>
          </w:p>
        </w:tc>
        <w:tc>
          <w:tcPr>
            <w:tcW w:w="2101" w:type="dxa"/>
          </w:tcPr>
          <w:p w14:paraId="2B559886" w14:textId="77777777" w:rsidR="001B5028" w:rsidRPr="00DD37B0" w:rsidRDefault="001B5028" w:rsidP="001B5028">
            <w:pPr>
              <w:rPr>
                <w:rFonts w:ascii="Arial Narrow" w:eastAsia="Calibri" w:hAnsi="Arial Narrow" w:cstheme="minorHAnsi"/>
                <w:sz w:val="20"/>
              </w:rPr>
            </w:pPr>
            <w:r w:rsidRPr="00DD37B0">
              <w:rPr>
                <w:rFonts w:ascii="Arial Narrow" w:eastAsia="Calibri" w:hAnsi="Arial Narrow" w:cstheme="minorHAnsi"/>
                <w:sz w:val="20"/>
              </w:rPr>
              <w:t>Continuous infusion over first 10 days of each 35 day course</w:t>
            </w:r>
          </w:p>
        </w:tc>
      </w:tr>
      <w:tr w:rsidR="001B5028" w:rsidRPr="00DD37B0" w14:paraId="1292B97A" w14:textId="77777777" w:rsidTr="00EE173C">
        <w:trPr>
          <w:cantSplit/>
        </w:trPr>
        <w:tc>
          <w:tcPr>
            <w:tcW w:w="4815" w:type="dxa"/>
            <w:tcBorders>
              <w:bottom w:val="nil"/>
            </w:tcBorders>
          </w:tcPr>
          <w:p w14:paraId="75E66FDE" w14:textId="77777777" w:rsidR="001B5028" w:rsidRPr="00DD37B0" w:rsidRDefault="001B5028" w:rsidP="001B5028">
            <w:pPr>
              <w:tabs>
                <w:tab w:val="left" w:pos="1874"/>
              </w:tabs>
              <w:rPr>
                <w:rFonts w:ascii="Arial Narrow" w:eastAsia="Calibri" w:hAnsi="Arial Narrow" w:cstheme="minorHAnsi"/>
                <w:sz w:val="20"/>
              </w:rPr>
            </w:pPr>
            <w:r w:rsidRPr="00DD37B0">
              <w:rPr>
                <w:rFonts w:ascii="Arial Narrow" w:eastAsia="Calibri" w:hAnsi="Arial Narrow" w:cstheme="minorHAnsi"/>
                <w:sz w:val="20"/>
              </w:rPr>
              <w:t>Infusion dose</w:t>
            </w:r>
            <w:r>
              <w:rPr>
                <w:rFonts w:ascii="Arial Narrow" w:eastAsia="Calibri" w:hAnsi="Arial Narrow" w:cstheme="minorHAnsi"/>
                <w:sz w:val="20"/>
              </w:rPr>
              <w:t>:</w:t>
            </w:r>
            <w:r w:rsidRPr="00DD37B0">
              <w:rPr>
                <w:rFonts w:ascii="Arial Narrow" w:eastAsia="Calibri" w:hAnsi="Arial Narrow" w:cstheme="minorHAnsi"/>
                <w:sz w:val="20"/>
              </w:rPr>
              <w:tab/>
              <w:t>Patients weighing &gt; 5kg to ≤12kg</w:t>
            </w:r>
          </w:p>
        </w:tc>
        <w:tc>
          <w:tcPr>
            <w:tcW w:w="2100" w:type="dxa"/>
            <w:tcBorders>
              <w:bottom w:val="nil"/>
            </w:tcBorders>
          </w:tcPr>
          <w:p w14:paraId="245E9CF3" w14:textId="77777777" w:rsidR="001B5028" w:rsidRPr="00DD37B0" w:rsidRDefault="001B5028" w:rsidP="001B5028">
            <w:pPr>
              <w:jc w:val="center"/>
              <w:rPr>
                <w:rFonts w:ascii="Arial Narrow" w:eastAsia="Calibri" w:hAnsi="Arial Narrow" w:cstheme="minorHAnsi"/>
                <w:sz w:val="20"/>
              </w:rPr>
            </w:pPr>
            <w:r w:rsidRPr="00DD37B0">
              <w:rPr>
                <w:rFonts w:ascii="Arial Narrow" w:eastAsia="Calibri" w:hAnsi="Arial Narrow" w:cstheme="minorHAnsi"/>
                <w:sz w:val="20"/>
              </w:rPr>
              <w:t>0.66 mg/kg</w:t>
            </w:r>
          </w:p>
        </w:tc>
        <w:tc>
          <w:tcPr>
            <w:tcW w:w="2101" w:type="dxa"/>
            <w:tcBorders>
              <w:bottom w:val="nil"/>
            </w:tcBorders>
          </w:tcPr>
          <w:p w14:paraId="5CB7CF26" w14:textId="77777777" w:rsidR="001B5028" w:rsidRPr="00DD37B0" w:rsidRDefault="001B5028" w:rsidP="001B5028">
            <w:pPr>
              <w:jc w:val="center"/>
              <w:rPr>
                <w:rFonts w:ascii="Arial Narrow" w:eastAsia="Calibri" w:hAnsi="Arial Narrow" w:cstheme="minorHAnsi"/>
                <w:sz w:val="20"/>
              </w:rPr>
            </w:pPr>
            <w:r w:rsidRPr="00DD37B0">
              <w:rPr>
                <w:rFonts w:ascii="Arial Narrow" w:eastAsia="Calibri" w:hAnsi="Arial Narrow" w:cstheme="minorHAnsi"/>
                <w:sz w:val="20"/>
              </w:rPr>
              <w:t>0.33 mg/kg</w:t>
            </w:r>
          </w:p>
        </w:tc>
      </w:tr>
      <w:tr w:rsidR="001B5028" w:rsidRPr="00DD37B0" w14:paraId="2A9C4A05" w14:textId="77777777" w:rsidTr="00EE173C">
        <w:trPr>
          <w:cantSplit/>
        </w:trPr>
        <w:tc>
          <w:tcPr>
            <w:tcW w:w="4815" w:type="dxa"/>
            <w:tcBorders>
              <w:top w:val="nil"/>
            </w:tcBorders>
          </w:tcPr>
          <w:p w14:paraId="21E23A8A" w14:textId="77777777" w:rsidR="001B5028" w:rsidRPr="00DD37B0" w:rsidRDefault="001B5028" w:rsidP="001B5028">
            <w:pPr>
              <w:tabs>
                <w:tab w:val="left" w:pos="1874"/>
              </w:tabs>
              <w:rPr>
                <w:rFonts w:ascii="Arial Narrow" w:eastAsia="Calibri" w:hAnsi="Arial Narrow" w:cstheme="minorHAnsi"/>
                <w:sz w:val="20"/>
              </w:rPr>
            </w:pPr>
            <w:r w:rsidRPr="00DD37B0">
              <w:rPr>
                <w:rFonts w:ascii="Arial Narrow" w:eastAsia="Calibri" w:hAnsi="Arial Narrow" w:cstheme="minorHAnsi"/>
                <w:sz w:val="20"/>
              </w:rPr>
              <w:tab/>
              <w:t>Patients weighing &gt; 12kg</w:t>
            </w:r>
          </w:p>
        </w:tc>
        <w:tc>
          <w:tcPr>
            <w:tcW w:w="2100" w:type="dxa"/>
            <w:tcBorders>
              <w:top w:val="nil"/>
            </w:tcBorders>
          </w:tcPr>
          <w:p w14:paraId="7EEC82F7" w14:textId="77777777" w:rsidR="001B5028" w:rsidRPr="00DD37B0" w:rsidRDefault="001B5028" w:rsidP="001B5028">
            <w:pPr>
              <w:jc w:val="center"/>
              <w:rPr>
                <w:rFonts w:ascii="Arial Narrow" w:eastAsia="Calibri" w:hAnsi="Arial Narrow" w:cstheme="minorHAnsi"/>
                <w:sz w:val="20"/>
              </w:rPr>
            </w:pPr>
            <w:r w:rsidRPr="00DD37B0">
              <w:rPr>
                <w:rFonts w:ascii="Arial Narrow" w:eastAsia="Calibri" w:hAnsi="Arial Narrow" w:cstheme="minorHAnsi"/>
                <w:sz w:val="20"/>
              </w:rPr>
              <w:t>20 mg/m</w:t>
            </w:r>
            <w:r w:rsidRPr="00DD37B0">
              <w:rPr>
                <w:rFonts w:ascii="Arial Narrow" w:eastAsia="Calibri" w:hAnsi="Arial Narrow" w:cstheme="minorHAnsi"/>
                <w:sz w:val="20"/>
                <w:vertAlign w:val="superscript"/>
              </w:rPr>
              <w:t xml:space="preserve">2 </w:t>
            </w:r>
            <w:r w:rsidRPr="00DD37B0">
              <w:rPr>
                <w:rFonts w:ascii="Arial Narrow" w:eastAsia="Calibri" w:hAnsi="Arial Narrow" w:cstheme="minorHAnsi"/>
                <w:sz w:val="20"/>
              </w:rPr>
              <w:t>BSA</w:t>
            </w:r>
          </w:p>
        </w:tc>
        <w:tc>
          <w:tcPr>
            <w:tcW w:w="2101" w:type="dxa"/>
            <w:tcBorders>
              <w:top w:val="nil"/>
            </w:tcBorders>
          </w:tcPr>
          <w:p w14:paraId="52693ED5" w14:textId="77777777" w:rsidR="001B5028" w:rsidRPr="00DD37B0" w:rsidRDefault="001B5028" w:rsidP="001B5028">
            <w:pPr>
              <w:jc w:val="center"/>
              <w:rPr>
                <w:rFonts w:ascii="Arial Narrow" w:eastAsia="Calibri" w:hAnsi="Arial Narrow" w:cstheme="minorHAnsi"/>
                <w:sz w:val="20"/>
              </w:rPr>
            </w:pPr>
            <w:r w:rsidRPr="00DD37B0">
              <w:rPr>
                <w:rFonts w:ascii="Arial Narrow" w:eastAsia="Calibri" w:hAnsi="Arial Narrow" w:cstheme="minorHAnsi"/>
                <w:sz w:val="20"/>
              </w:rPr>
              <w:t>10 mg/m</w:t>
            </w:r>
            <w:r w:rsidRPr="00DD37B0">
              <w:rPr>
                <w:rFonts w:ascii="Arial Narrow" w:eastAsia="Calibri" w:hAnsi="Arial Narrow" w:cstheme="minorHAnsi"/>
                <w:sz w:val="20"/>
                <w:vertAlign w:val="superscript"/>
              </w:rPr>
              <w:t>2</w:t>
            </w:r>
            <w:r w:rsidRPr="00DD37B0">
              <w:rPr>
                <w:rFonts w:ascii="Arial Narrow" w:eastAsia="Calibri" w:hAnsi="Arial Narrow" w:cstheme="minorHAnsi"/>
                <w:sz w:val="20"/>
              </w:rPr>
              <w:t xml:space="preserve"> BSA</w:t>
            </w:r>
          </w:p>
        </w:tc>
      </w:tr>
    </w:tbl>
    <w:p w14:paraId="48D07716" w14:textId="77777777" w:rsidR="001B5028" w:rsidRPr="00DD37B0" w:rsidRDefault="001B5028" w:rsidP="00EE173C">
      <w:pPr>
        <w:pStyle w:val="TableFooter"/>
        <w:rPr>
          <w:rFonts w:eastAsia="Calibri"/>
        </w:rPr>
      </w:pPr>
      <w:r w:rsidRPr="00DD37B0">
        <w:rPr>
          <w:rFonts w:eastAsia="Calibri"/>
        </w:rPr>
        <w:t>BSA body surface area</w:t>
      </w:r>
      <w:r>
        <w:rPr>
          <w:rFonts w:eastAsia="Calibri"/>
        </w:rPr>
        <w:t xml:space="preserve">; LTI </w:t>
      </w:r>
      <w:proofErr w:type="gramStart"/>
      <w:r>
        <w:rPr>
          <w:rFonts w:eastAsia="Calibri"/>
        </w:rPr>
        <w:t>long term</w:t>
      </w:r>
      <w:proofErr w:type="gramEnd"/>
      <w:r>
        <w:rPr>
          <w:rFonts w:eastAsia="Calibri"/>
        </w:rPr>
        <w:t xml:space="preserve"> infusion; STI short term infusion</w:t>
      </w:r>
    </w:p>
    <w:p w14:paraId="30617073" w14:textId="2B04FDD3" w:rsidR="001B5028" w:rsidRPr="00B21CAA" w:rsidRDefault="001B5028" w:rsidP="001F2235">
      <w:pPr>
        <w:pStyle w:val="TableFooter"/>
        <w:rPr>
          <w:rFonts w:eastAsia="Calibri"/>
        </w:rPr>
      </w:pPr>
      <w:r w:rsidRPr="00EE173C">
        <w:rPr>
          <w:rFonts w:eastAsia="Calibri"/>
        </w:rPr>
        <w:t>Source:</w:t>
      </w:r>
      <w:r w:rsidRPr="00DD37B0">
        <w:rPr>
          <w:rFonts w:eastAsia="Calibri"/>
        </w:rPr>
        <w:t xml:space="preserve"> Product Information</w:t>
      </w:r>
    </w:p>
    <w:p w14:paraId="68F694D8" w14:textId="0556DD28" w:rsidR="001B5028" w:rsidRDefault="000B6853" w:rsidP="001F2235">
      <w:pPr>
        <w:spacing w:before="240"/>
      </w:pPr>
      <w:r>
        <w:t>The applicant claimed</w:t>
      </w:r>
      <w:r w:rsidR="001B5028">
        <w:t xml:space="preserve"> most use in clinical practice </w:t>
      </w:r>
      <w:proofErr w:type="gramStart"/>
      <w:r w:rsidR="001B5028">
        <w:t>will</w:t>
      </w:r>
      <w:proofErr w:type="gramEnd"/>
      <w:r w:rsidR="001B5028">
        <w:t xml:space="preserve"> be with the LTI due to improved tolerability. The LTI </w:t>
      </w:r>
      <w:proofErr w:type="gramStart"/>
      <w:r w:rsidR="001B5028">
        <w:t>is administered</w:t>
      </w:r>
      <w:proofErr w:type="gramEnd"/>
      <w:r w:rsidR="001B5028">
        <w:t xml:space="preserve"> as two infusion pumps per course each lasting 5 days. </w:t>
      </w:r>
      <w:r w:rsidR="001B5028" w:rsidRPr="00472F0D">
        <w:t xml:space="preserve">The clinical trial evidence for DB for HRNBL provided in support of the submission predominantly uses the STI. Evidence for the LTI for HRNBL is only available from a poster presentation to ASCO 2019 (See also Section </w:t>
      </w:r>
      <w:r w:rsidR="001B5028">
        <w:t>8 and 9</w:t>
      </w:r>
      <w:r w:rsidR="001B5028" w:rsidRPr="00472F0D">
        <w:t>).</w:t>
      </w:r>
    </w:p>
    <w:p w14:paraId="1636507D" w14:textId="3331280E" w:rsidR="001B5028" w:rsidRDefault="001B5028" w:rsidP="001F2235">
      <w:pPr>
        <w:spacing w:before="240"/>
      </w:pPr>
      <w:r w:rsidRPr="00532B46">
        <w:t xml:space="preserve">RA is administered </w:t>
      </w:r>
      <w:r>
        <w:t xml:space="preserve">concomitantly with DB </w:t>
      </w:r>
      <w:r w:rsidRPr="00532B46">
        <w:t>at a dose of 16</w:t>
      </w:r>
      <w:r>
        <w:t>0 mg/m²/day orally over 1</w:t>
      </w:r>
      <w:r w:rsidR="001F2235">
        <w:t xml:space="preserve">4 days for </w:t>
      </w:r>
      <w:proofErr w:type="gramStart"/>
      <w:r w:rsidR="001F2235">
        <w:t>a total of 6</w:t>
      </w:r>
      <w:proofErr w:type="gramEnd"/>
      <w:r w:rsidR="001F2235">
        <w:t xml:space="preserve"> cycles.</w:t>
      </w:r>
    </w:p>
    <w:p w14:paraId="5957DF7F" w14:textId="6BC6DC47" w:rsidR="001B5028" w:rsidRDefault="001B5028" w:rsidP="001F2235">
      <w:pPr>
        <w:spacing w:before="240"/>
      </w:pPr>
      <w:r>
        <w:t>Prior to starting each treatment course, pulse oximetry, bone marrow function, liver function and renal function should be measured and treatment delayed until adequate function is demonstrated (refer to Pr</w:t>
      </w:r>
      <w:r w:rsidR="001F2235">
        <w:t>oduct Information for details).</w:t>
      </w:r>
    </w:p>
    <w:p w14:paraId="1C4BE8C4" w14:textId="38535AA4" w:rsidR="001B5028" w:rsidRPr="001F2235" w:rsidRDefault="001B5028" w:rsidP="001F2235">
      <w:pPr>
        <w:spacing w:before="240"/>
      </w:pPr>
      <w:r>
        <w:t>Patients should receive concomitant treatment with morphine, gabapentin and paracetamol/ ibuprofen for pain management and antihistamine to prev</w:t>
      </w:r>
      <w:r w:rsidR="001F2235">
        <w:t>ent hypersensitivity reactions.</w:t>
      </w:r>
    </w:p>
    <w:p w14:paraId="272D5B6E" w14:textId="4154F289" w:rsidR="00CF4E81" w:rsidRPr="00CF4E81" w:rsidRDefault="00CF4E81" w:rsidP="001F2235">
      <w:pPr>
        <w:pStyle w:val="Heading2"/>
        <w:spacing w:before="240"/>
      </w:pPr>
      <w:r w:rsidRPr="00CF4E81">
        <w:t>Description of Medical Condition(s)</w:t>
      </w:r>
    </w:p>
    <w:p w14:paraId="70F55865" w14:textId="7F42C0DC" w:rsidR="001B5028" w:rsidRDefault="001B5028" w:rsidP="001B5028">
      <w:pPr>
        <w:autoSpaceDE w:val="0"/>
        <w:autoSpaceDN w:val="0"/>
        <w:adjustRightInd w:val="0"/>
        <w:rPr>
          <w:i/>
        </w:rPr>
      </w:pPr>
      <w:r>
        <w:t xml:space="preserve">NBL </w:t>
      </w:r>
      <w:r w:rsidRPr="00E131CB">
        <w:t>is an embryonal tumour of the autonomic nervous system. It usually oc</w:t>
      </w:r>
      <w:r>
        <w:t>curs in very young children</w:t>
      </w:r>
      <w:r w:rsidRPr="00E131CB">
        <w:t xml:space="preserve">. The tumours are found in sympathetic nervous system tissues, typically in the adrenal medulla or </w:t>
      </w:r>
      <w:proofErr w:type="spellStart"/>
      <w:r w:rsidRPr="00E131CB">
        <w:t>paraspinal</w:t>
      </w:r>
      <w:proofErr w:type="spellEnd"/>
      <w:r w:rsidRPr="00E131CB">
        <w:t xml:space="preserve"> ganglia and can present as mass lesions in the neck, chest, abdomen, or pelvis</w:t>
      </w:r>
      <w:r w:rsidR="001F2235">
        <w:rPr>
          <w:i/>
        </w:rPr>
        <w:t>.</w:t>
      </w:r>
    </w:p>
    <w:p w14:paraId="1ADFC298" w14:textId="4B7131E1" w:rsidR="001B5028" w:rsidRPr="001F2235" w:rsidRDefault="001B5028" w:rsidP="001F2235">
      <w:pPr>
        <w:autoSpaceDE w:val="0"/>
        <w:autoSpaceDN w:val="0"/>
        <w:adjustRightInd w:val="0"/>
        <w:spacing w:before="240"/>
      </w:pPr>
      <w:r w:rsidRPr="00E131CB">
        <w:t xml:space="preserve">Current practice for the staging and risk classification of NBL </w:t>
      </w:r>
      <w:r>
        <w:t xml:space="preserve">is </w:t>
      </w:r>
      <w:r w:rsidRPr="00E131CB">
        <w:t xml:space="preserve">through the International </w:t>
      </w:r>
      <w:proofErr w:type="spellStart"/>
      <w:r w:rsidRPr="00E131CB">
        <w:t>Neuroblastoma</w:t>
      </w:r>
      <w:proofErr w:type="spellEnd"/>
      <w:r w:rsidRPr="00E131CB">
        <w:t xml:space="preserve"> Risk Group</w:t>
      </w:r>
      <w:r>
        <w:t xml:space="preserve"> (</w:t>
      </w:r>
      <w:r w:rsidRPr="00E131CB">
        <w:t>INRG</w:t>
      </w:r>
      <w:r>
        <w:t>)</w:t>
      </w:r>
      <w:r w:rsidRPr="00E131CB">
        <w:t xml:space="preserve"> staging system. </w:t>
      </w:r>
      <w:proofErr w:type="gramStart"/>
      <w:r w:rsidRPr="00E131CB">
        <w:t xml:space="preserve">The INRG categorises tumours as very low risk, low risk, intermediate risk or high risk </w:t>
      </w:r>
      <w:r>
        <w:t xml:space="preserve">(HR) </w:t>
      </w:r>
      <w:r w:rsidRPr="00E131CB">
        <w:t>based on the following prognostic factors: age at diagnosis (two cut-offs: 12 and 18 months), INRG tumour stage (L1, L2, M, MS), histologic category, grade of tumour differentiation, DNA ploidy (</w:t>
      </w:r>
      <w:proofErr w:type="spellStart"/>
      <w:r w:rsidRPr="00E131CB">
        <w:t>hyperploidy</w:t>
      </w:r>
      <w:proofErr w:type="spellEnd"/>
      <w:r w:rsidRPr="00E131CB">
        <w:t>/</w:t>
      </w:r>
      <w:proofErr w:type="spellStart"/>
      <w:r w:rsidRPr="00E131CB">
        <w:t>diploidy</w:t>
      </w:r>
      <w:proofErr w:type="spellEnd"/>
      <w:r w:rsidRPr="00E131CB">
        <w:t>), v-</w:t>
      </w:r>
      <w:proofErr w:type="spellStart"/>
      <w:r w:rsidRPr="00E131CB">
        <w:t>myc</w:t>
      </w:r>
      <w:proofErr w:type="spellEnd"/>
      <w:r w:rsidRPr="00E131CB">
        <w:t xml:space="preserve"> </w:t>
      </w:r>
      <w:proofErr w:type="spellStart"/>
      <w:r w:rsidRPr="00E131CB">
        <w:t>myelocytomatosis</w:t>
      </w:r>
      <w:proofErr w:type="spellEnd"/>
      <w:r w:rsidRPr="00E131CB">
        <w:t xml:space="preserve"> viral related oncogene (MYCN) oncogene status (amplified or not)</w:t>
      </w:r>
      <w:r>
        <w:t>,</w:t>
      </w:r>
      <w:r w:rsidRPr="00E131CB">
        <w:t xml:space="preserve"> and aberrations at chro</w:t>
      </w:r>
      <w:r w:rsidR="001F2235">
        <w:t>mosome 11q (presence/absence).</w:t>
      </w:r>
      <w:proofErr w:type="gramEnd"/>
    </w:p>
    <w:p w14:paraId="15390CE6" w14:textId="23F50F10" w:rsidR="001B5028" w:rsidRDefault="001B5028" w:rsidP="001F2235">
      <w:pPr>
        <w:autoSpaceDE w:val="0"/>
        <w:autoSpaceDN w:val="0"/>
        <w:adjustRightInd w:val="0"/>
        <w:spacing w:before="240"/>
      </w:pPr>
      <w:r>
        <w:t>An Australian study found the average age-adjusted incidence of NBL from 1983 to 2015 was 9.5 cases per million children per year</w:t>
      </w:r>
      <w:r>
        <w:rPr>
          <w:rStyle w:val="FootnoteReference"/>
        </w:rPr>
        <w:footnoteReference w:id="2"/>
      </w:r>
      <w:r>
        <w:t>. Over the duration of the study, more than half of patients were</w:t>
      </w:r>
      <w:r w:rsidRPr="00E131CB">
        <w:t xml:space="preserve"> diagnosed with </w:t>
      </w:r>
      <w:r>
        <w:t xml:space="preserve">metastatic disease and the </w:t>
      </w:r>
      <w:proofErr w:type="gramStart"/>
      <w:r>
        <w:t>5 year</w:t>
      </w:r>
      <w:proofErr w:type="gramEnd"/>
      <w:r>
        <w:t xml:space="preserve"> cause-specific survival for these patients was 49.5%. Over time, a trend to a lower proportion of patients being diagnosed with metastatic disease and a higher </w:t>
      </w:r>
      <w:proofErr w:type="gramStart"/>
      <w:r>
        <w:t>5 year</w:t>
      </w:r>
      <w:proofErr w:type="gramEnd"/>
      <w:r>
        <w:t xml:space="preserve"> cause-specific survival was observed, although outcomes remained poor for patients over 18 months of age diagnosed with metastatic disease (5 year cause-sp</w:t>
      </w:r>
      <w:r w:rsidR="001F2235">
        <w:t>ecific survival 46%).</w:t>
      </w:r>
    </w:p>
    <w:p w14:paraId="39D9B151" w14:textId="77777777" w:rsidR="001B5028" w:rsidRDefault="001B5028" w:rsidP="001B5028">
      <w:pPr>
        <w:pStyle w:val="Heading2"/>
      </w:pPr>
      <w:r>
        <w:lastRenderedPageBreak/>
        <w:t>C</w:t>
      </w:r>
      <w:r w:rsidRPr="0076327A">
        <w:t xml:space="preserve">linical management </w:t>
      </w:r>
      <w:r>
        <w:t>of HRNBL</w:t>
      </w:r>
    </w:p>
    <w:p w14:paraId="5A776E34" w14:textId="03D6453C" w:rsidR="001B5028" w:rsidRDefault="001B5028" w:rsidP="001F2235">
      <w:r>
        <w:t>The clinical management of HRNBL is summarised in</w:t>
      </w:r>
      <w:r w:rsidR="00C27302">
        <w:t xml:space="preserve"> </w:t>
      </w:r>
      <w:r w:rsidR="00C27302" w:rsidRPr="00CB002C">
        <w:rPr>
          <w:szCs w:val="24"/>
        </w:rPr>
        <w:fldChar w:fldCharType="begin"/>
      </w:r>
      <w:r w:rsidR="00C27302" w:rsidRPr="00CB002C">
        <w:rPr>
          <w:szCs w:val="24"/>
        </w:rPr>
        <w:instrText xml:space="preserve"> REF _Ref48650084 \h </w:instrText>
      </w:r>
      <w:r w:rsidR="00CB002C" w:rsidRPr="00CB002C">
        <w:rPr>
          <w:szCs w:val="24"/>
        </w:rPr>
        <w:instrText xml:space="preserve"> \* MERGEFORMAT </w:instrText>
      </w:r>
      <w:r w:rsidR="00C27302" w:rsidRPr="00CB002C">
        <w:rPr>
          <w:szCs w:val="24"/>
        </w:rPr>
      </w:r>
      <w:r w:rsidR="00C27302" w:rsidRPr="00CB002C">
        <w:rPr>
          <w:szCs w:val="24"/>
        </w:rPr>
        <w:fldChar w:fldCharType="separate"/>
      </w:r>
      <w:r w:rsidR="00991D81" w:rsidRPr="00991D81">
        <w:rPr>
          <w:szCs w:val="24"/>
        </w:rPr>
        <w:t xml:space="preserve">Figure </w:t>
      </w:r>
      <w:r w:rsidR="00991D81" w:rsidRPr="00991D81">
        <w:rPr>
          <w:noProof/>
          <w:szCs w:val="24"/>
        </w:rPr>
        <w:t>1</w:t>
      </w:r>
      <w:r w:rsidR="00C27302" w:rsidRPr="00CB002C">
        <w:rPr>
          <w:szCs w:val="24"/>
        </w:rPr>
        <w:fldChar w:fldCharType="end"/>
      </w:r>
      <w:r>
        <w:t xml:space="preserve">. Generally, following chemotherapy and surgical resection, patients receive an autologous stem cell transplant (ASCT) according to local treatment protocols followed by maintenance therapy with immunotherapy (DA </w:t>
      </w:r>
      <w:bookmarkStart w:id="8" w:name="_Ref40103042"/>
      <w:r w:rsidR="001F2235">
        <w:t>or DB) plus retinoic acid (RA).</w:t>
      </w:r>
    </w:p>
    <w:p w14:paraId="48E1BF42" w14:textId="145F44A8" w:rsidR="001B5028" w:rsidRPr="00625D9D" w:rsidRDefault="001B5028" w:rsidP="00625D9D">
      <w:pPr>
        <w:spacing w:before="240"/>
        <w:rPr>
          <w:rFonts w:ascii="Arial Narrow" w:hAnsi="Arial Narrow"/>
          <w:b/>
          <w:sz w:val="20"/>
        </w:rPr>
      </w:pPr>
      <w:bookmarkStart w:id="9" w:name="_Ref48650084"/>
      <w:r w:rsidRPr="00625D9D">
        <w:rPr>
          <w:rFonts w:ascii="Arial Narrow" w:hAnsi="Arial Narrow"/>
          <w:b/>
          <w:sz w:val="20"/>
        </w:rPr>
        <w:t xml:space="preserve">Figure </w:t>
      </w:r>
      <w:r w:rsidR="00840515" w:rsidRPr="00625D9D">
        <w:rPr>
          <w:rFonts w:ascii="Arial Narrow" w:hAnsi="Arial Narrow"/>
          <w:b/>
          <w:sz w:val="20"/>
        </w:rPr>
        <w:fldChar w:fldCharType="begin"/>
      </w:r>
      <w:r w:rsidR="00840515" w:rsidRPr="00625D9D">
        <w:rPr>
          <w:rFonts w:ascii="Arial Narrow" w:hAnsi="Arial Narrow"/>
          <w:b/>
          <w:sz w:val="20"/>
        </w:rPr>
        <w:instrText xml:space="preserve"> SEQ Figure \* ARABIC </w:instrText>
      </w:r>
      <w:r w:rsidR="00840515" w:rsidRPr="00625D9D">
        <w:rPr>
          <w:rFonts w:ascii="Arial Narrow" w:hAnsi="Arial Narrow"/>
          <w:b/>
          <w:sz w:val="20"/>
        </w:rPr>
        <w:fldChar w:fldCharType="separate"/>
      </w:r>
      <w:r w:rsidR="00991D81">
        <w:rPr>
          <w:rFonts w:ascii="Arial Narrow" w:hAnsi="Arial Narrow"/>
          <w:b/>
          <w:noProof/>
          <w:sz w:val="20"/>
        </w:rPr>
        <w:t>1</w:t>
      </w:r>
      <w:r w:rsidR="00840515" w:rsidRPr="00625D9D">
        <w:rPr>
          <w:rFonts w:ascii="Arial Narrow" w:hAnsi="Arial Narrow"/>
          <w:b/>
          <w:sz w:val="20"/>
        </w:rPr>
        <w:fldChar w:fldCharType="end"/>
      </w:r>
      <w:bookmarkEnd w:id="8"/>
      <w:bookmarkEnd w:id="9"/>
      <w:r w:rsidRPr="00625D9D">
        <w:rPr>
          <w:rFonts w:ascii="Arial Narrow" w:hAnsi="Arial Narrow"/>
          <w:b/>
          <w:sz w:val="20"/>
        </w:rPr>
        <w:t xml:space="preserve"> </w:t>
      </w:r>
      <w:r w:rsidRPr="00625D9D">
        <w:rPr>
          <w:rFonts w:ascii="Arial Narrow" w:hAnsi="Arial Narrow"/>
          <w:b/>
          <w:sz w:val="20"/>
        </w:rPr>
        <w:tab/>
        <w:t>HRNBL treatment overview</w:t>
      </w:r>
    </w:p>
    <w:p w14:paraId="17732FF4" w14:textId="77777777" w:rsidR="001B5028" w:rsidRDefault="001B5028" w:rsidP="001B5028">
      <w:pPr>
        <w:autoSpaceDE w:val="0"/>
        <w:autoSpaceDN w:val="0"/>
        <w:adjustRightInd w:val="0"/>
        <w:jc w:val="center"/>
        <w:rPr>
          <w:rFonts w:ascii="Arial Narrow" w:eastAsia="Calibri" w:hAnsi="Arial Narrow" w:cs="Calibri"/>
          <w:b/>
          <w:bCs/>
          <w:sz w:val="16"/>
          <w:szCs w:val="24"/>
          <w:u w:val="single"/>
        </w:rPr>
      </w:pPr>
      <w:r>
        <w:rPr>
          <w:i/>
          <w:noProof/>
        </w:rPr>
        <w:drawing>
          <wp:inline distT="0" distB="0" distL="0" distR="0" wp14:anchorId="471360A0" wp14:editId="414D30C6">
            <wp:extent cx="3310338" cy="1975631"/>
            <wp:effectExtent l="0" t="0" r="4445" b="5715"/>
            <wp:docPr id="6" name="Picture 6" descr="HRNBL treatment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4985" cy="1984373"/>
                    </a:xfrm>
                    <a:prstGeom prst="rect">
                      <a:avLst/>
                    </a:prstGeom>
                    <a:noFill/>
                    <a:ln>
                      <a:noFill/>
                    </a:ln>
                  </pic:spPr>
                </pic:pic>
              </a:graphicData>
            </a:graphic>
          </wp:inline>
        </w:drawing>
      </w:r>
    </w:p>
    <w:p w14:paraId="39036979" w14:textId="77777777" w:rsidR="001B5028" w:rsidRDefault="001B5028" w:rsidP="00EE173C">
      <w:pPr>
        <w:pStyle w:val="TableFooter"/>
        <w:rPr>
          <w:rFonts w:eastAsia="Calibri"/>
        </w:rPr>
      </w:pPr>
      <w:r w:rsidRPr="00B41375">
        <w:rPr>
          <w:rFonts w:eastAsia="Calibri"/>
        </w:rPr>
        <w:t>ASCT</w:t>
      </w:r>
      <w:r>
        <w:rPr>
          <w:rFonts w:eastAsia="Calibri"/>
        </w:rPr>
        <w:t xml:space="preserve"> autologous stem cell transplant</w:t>
      </w:r>
    </w:p>
    <w:p w14:paraId="52F22BE2" w14:textId="2CA78152" w:rsidR="001B5028" w:rsidRPr="001B5028" w:rsidRDefault="001B5028" w:rsidP="00EE173C">
      <w:pPr>
        <w:pStyle w:val="TableFooter"/>
        <w:rPr>
          <w:i/>
        </w:rPr>
      </w:pPr>
      <w:r w:rsidRPr="00EE173C">
        <w:rPr>
          <w:rFonts w:eastAsia="Calibri"/>
        </w:rPr>
        <w:t>Source:</w:t>
      </w:r>
      <w:r w:rsidRPr="005C5F44">
        <w:rPr>
          <w:rFonts w:eastAsia="Calibri"/>
        </w:rPr>
        <w:t xml:space="preserve"> </w:t>
      </w:r>
      <w:r w:rsidR="00CB6E25">
        <w:rPr>
          <w:rFonts w:eastAsia="Calibri"/>
        </w:rPr>
        <w:t xml:space="preserve">Figure 1, </w:t>
      </w:r>
      <w:r>
        <w:rPr>
          <w:rFonts w:eastAsia="Calibri"/>
        </w:rPr>
        <w:t>Smith and Foster, 2018</w:t>
      </w:r>
      <w:r>
        <w:rPr>
          <w:rStyle w:val="FootnoteReference"/>
          <w:rFonts w:eastAsia="Calibri"/>
          <w:sz w:val="16"/>
        </w:rPr>
        <w:footnoteReference w:id="3"/>
      </w:r>
    </w:p>
    <w:p w14:paraId="2F8A70A4" w14:textId="77777777" w:rsidR="00BC1364" w:rsidRPr="00F715D1" w:rsidRDefault="00BC1364" w:rsidP="00F715D1">
      <w:pPr>
        <w:pStyle w:val="Heading1"/>
      </w:pPr>
      <w:r w:rsidRPr="00F715D1">
        <w:t xml:space="preserve">Comparator </w:t>
      </w:r>
    </w:p>
    <w:p w14:paraId="6D1020DD" w14:textId="77777777" w:rsidR="001B5028" w:rsidRPr="00425908" w:rsidRDefault="001B5028" w:rsidP="001B5028">
      <w:pPr>
        <w:rPr>
          <w:i/>
        </w:rPr>
      </w:pPr>
      <w:r>
        <w:t>T</w:t>
      </w:r>
      <w:r w:rsidRPr="008826F5">
        <w:t xml:space="preserve">he comparator for this application is </w:t>
      </w:r>
      <w:r>
        <w:t xml:space="preserve">RA </w:t>
      </w:r>
      <w:r w:rsidRPr="008826F5">
        <w:t xml:space="preserve">alone. </w:t>
      </w:r>
      <w:r>
        <w:t xml:space="preserve"> </w:t>
      </w:r>
    </w:p>
    <w:p w14:paraId="1EC99D99" w14:textId="77777777" w:rsidR="00BC1364" w:rsidRPr="00F715D1" w:rsidRDefault="00BC1364" w:rsidP="00F715D1">
      <w:pPr>
        <w:pStyle w:val="Heading1"/>
      </w:pPr>
      <w:r w:rsidRPr="00F715D1">
        <w:t>Comparative safety</w:t>
      </w:r>
    </w:p>
    <w:p w14:paraId="6960D004" w14:textId="401BADCC" w:rsidR="001B5028" w:rsidRDefault="001B5028" w:rsidP="001B5028">
      <w:r>
        <w:t xml:space="preserve">The TGA approved Product Information (PI) for DB reports that the safety of DB </w:t>
      </w:r>
      <w:proofErr w:type="gramStart"/>
      <w:r>
        <w:t>has been evaluated</w:t>
      </w:r>
      <w:proofErr w:type="gramEnd"/>
      <w:r>
        <w:t xml:space="preserve"> in 514 patients with HR and RR NBL with 98 patients receiving the LTI and 416 receiving the STI. Most patients received DB in combination with RA and </w:t>
      </w:r>
      <w:proofErr w:type="gramStart"/>
      <w:r>
        <w:t>307 also</w:t>
      </w:r>
      <w:proofErr w:type="gramEnd"/>
      <w:r>
        <w:t xml:space="preserve"> received IL-2. The most common adverse reactions were pyrexia (88%) and pain (77%) that occurred despite analgesic treatment. Other frequent adverse reactions were hypersensitivity (63%), vomiting (57%), diarrhoea (51%), capillary leak syndrome (CLS) (40%) and hypotension</w:t>
      </w:r>
      <w:r w:rsidR="000B6853">
        <w:t> </w:t>
      </w:r>
      <w:r>
        <w:t xml:space="preserve">(39%). The combination of DB with IL-2 increases the risk of adverse drug reactions compared to DB without IL-2, especially for pyrexia (92% vs. 79%), </w:t>
      </w:r>
      <w:r w:rsidR="000B6853">
        <w:br/>
      </w:r>
      <w:r>
        <w:t>CLS (50% vs. 25%), pain related to DB (75% vs. 63%), hypotension (43% vs. 26%), and peripheral neuropa</w:t>
      </w:r>
      <w:r w:rsidR="001F2235">
        <w:t>thy (14% vs. 7%), respectively.</w:t>
      </w:r>
    </w:p>
    <w:p w14:paraId="56FBCAC2" w14:textId="0036E819" w:rsidR="001B5028" w:rsidRDefault="000B6853" w:rsidP="001F2235">
      <w:pPr>
        <w:spacing w:before="240"/>
      </w:pPr>
      <w:r>
        <w:t>The applicant claimed</w:t>
      </w:r>
      <w:r w:rsidR="001B5028">
        <w:t xml:space="preserve"> the LTI is better tolerated than the STI; however, safety data for use of the LTI in HRNBL is from Study 302-R4, which is only provided as a conference presentation. A naïve comparison of the DB +RA treatment arms across Study 302-R2 and Study 302-R4 is inconclusive, with some grade 3/4 adverse events (AEs) appearing at lower rates, some higher and some similar (Slide 15, </w:t>
      </w:r>
      <w:proofErr w:type="spellStart"/>
      <w:r w:rsidR="001B5028">
        <w:t>Ladenstein</w:t>
      </w:r>
      <w:proofErr w:type="spellEnd"/>
      <w:r w:rsidR="001B5028">
        <w:t xml:space="preserve"> 2019b presentation). </w:t>
      </w:r>
      <w:r w:rsidR="001B5028" w:rsidRPr="00040565">
        <w:t xml:space="preserve">The TGA Product Information does not include any information that supports the applicant’s claim of </w:t>
      </w:r>
      <w:r w:rsidR="008B112B">
        <w:t>improved</w:t>
      </w:r>
      <w:r w:rsidR="008B112B" w:rsidRPr="00040565">
        <w:t xml:space="preserve"> </w:t>
      </w:r>
      <w:r w:rsidR="001B5028" w:rsidRPr="00040565">
        <w:t>tolerability of the LTI</w:t>
      </w:r>
      <w:r w:rsidR="001B5028">
        <w:t>.</w:t>
      </w:r>
    </w:p>
    <w:p w14:paraId="6484DC01" w14:textId="25A604FD" w:rsidR="001F2235" w:rsidRDefault="001B5028" w:rsidP="001F2235">
      <w:pPr>
        <w:spacing w:before="240"/>
      </w:pPr>
      <w:r w:rsidRPr="006474BB">
        <w:t xml:space="preserve">There is limited </w:t>
      </w:r>
      <w:r>
        <w:t xml:space="preserve">safety </w:t>
      </w:r>
      <w:r w:rsidRPr="006474BB">
        <w:t>data in children under 12 months of age.</w:t>
      </w:r>
      <w:r w:rsidR="001F2235">
        <w:br w:type="page"/>
      </w:r>
    </w:p>
    <w:p w14:paraId="69038C82" w14:textId="523F614E" w:rsidR="00483154" w:rsidRDefault="00483154" w:rsidP="001F2235">
      <w:pPr>
        <w:spacing w:before="240"/>
      </w:pPr>
      <w:r>
        <w:lastRenderedPageBreak/>
        <w:t xml:space="preserve">The </w:t>
      </w:r>
      <w:r w:rsidR="00003528">
        <w:t xml:space="preserve">applicant’s </w:t>
      </w:r>
      <w:r>
        <w:t>pre-MSAC response reiterated the advantages of LTI administration claiming</w:t>
      </w:r>
      <w:r w:rsidR="00043FE9">
        <w:t xml:space="preserve"> </w:t>
      </w:r>
      <w:r>
        <w:t xml:space="preserve">greater </w:t>
      </w:r>
      <w:r w:rsidR="00043FE9">
        <w:t>tolerability of LTI ver</w:t>
      </w:r>
      <w:r w:rsidR="00D9760D">
        <w:t>s</w:t>
      </w:r>
      <w:r w:rsidR="00043FE9">
        <w:t>us STI</w:t>
      </w:r>
      <w:r>
        <w:t xml:space="preserve"> with comparable efficacy </w:t>
      </w:r>
      <w:r w:rsidR="00043FE9">
        <w:t>demonstrated by:</w:t>
      </w:r>
    </w:p>
    <w:p w14:paraId="2E2A6B94" w14:textId="63B01AE9" w:rsidR="00043FE9" w:rsidRDefault="00003528" w:rsidP="00043FE9">
      <w:pPr>
        <w:pStyle w:val="ListParagraph"/>
        <w:numPr>
          <w:ilvl w:val="0"/>
          <w:numId w:val="36"/>
        </w:numPr>
      </w:pPr>
      <w:r>
        <w:t>l</w:t>
      </w:r>
      <w:r w:rsidR="00043FE9">
        <w:t xml:space="preserve">ow pain scores, reduced </w:t>
      </w:r>
      <w:proofErr w:type="spellStart"/>
      <w:r w:rsidR="00043FE9">
        <w:t>i.v.</w:t>
      </w:r>
      <w:proofErr w:type="spellEnd"/>
      <w:r w:rsidR="00043FE9">
        <w:t xml:space="preserve"> morphine usa</w:t>
      </w:r>
      <w:r w:rsidR="00432574">
        <w:t xml:space="preserve">ge and low frequency </w:t>
      </w:r>
      <w:r w:rsidR="00043FE9">
        <w:t>of Grade ≥3 adverse events that allowed outpatient use of DB</w:t>
      </w:r>
      <w:r>
        <w:t>; and</w:t>
      </w:r>
      <w:r w:rsidR="00043FE9">
        <w:t xml:space="preserve"> </w:t>
      </w:r>
    </w:p>
    <w:p w14:paraId="018C9DED" w14:textId="6CA59E4D" w:rsidR="00043FE9" w:rsidRPr="001B5028" w:rsidRDefault="00003528" w:rsidP="00043FE9">
      <w:pPr>
        <w:pStyle w:val="ListParagraph"/>
        <w:numPr>
          <w:ilvl w:val="0"/>
          <w:numId w:val="36"/>
        </w:numPr>
      </w:pPr>
      <w:proofErr w:type="gramStart"/>
      <w:r>
        <w:t>t</w:t>
      </w:r>
      <w:r w:rsidR="00043FE9">
        <w:t>reatment-emergent</w:t>
      </w:r>
      <w:proofErr w:type="gramEnd"/>
      <w:r w:rsidR="00043FE9">
        <w:t xml:space="preserve"> adverse events (TEAE) leading to discontinuation and TEAEs associated with infusion rate (i.e. pain or allergy of grade ≥3) are reduced for LTI compared to STI administration. </w:t>
      </w:r>
    </w:p>
    <w:p w14:paraId="1AA7AEA6" w14:textId="77777777" w:rsidR="00BC1364" w:rsidRPr="00F715D1" w:rsidRDefault="00BC1364" w:rsidP="00F715D1">
      <w:pPr>
        <w:pStyle w:val="Heading1"/>
      </w:pPr>
      <w:r w:rsidRPr="00F715D1">
        <w:t>Comparative effectiveness</w:t>
      </w:r>
    </w:p>
    <w:p w14:paraId="18CBF7CB" w14:textId="2BD5CB51" w:rsidR="001B5028" w:rsidRDefault="001B5028" w:rsidP="00A17309">
      <w:pPr>
        <w:rPr>
          <w:iCs/>
        </w:rPr>
      </w:pPr>
      <w:r w:rsidRPr="00621E4F">
        <w:rPr>
          <w:rFonts w:cs="Calibri"/>
          <w:lang w:val="en-US"/>
        </w:rPr>
        <w:t xml:space="preserve">There are three </w:t>
      </w:r>
      <w:r>
        <w:rPr>
          <w:rFonts w:cs="Calibri"/>
          <w:lang w:val="en-US"/>
        </w:rPr>
        <w:t>DB</w:t>
      </w:r>
      <w:r w:rsidRPr="00621E4F">
        <w:rPr>
          <w:rFonts w:cs="Calibri"/>
          <w:lang w:val="en-US"/>
        </w:rPr>
        <w:t xml:space="preserve"> studies relevant to the application</w:t>
      </w:r>
      <w:r>
        <w:rPr>
          <w:rFonts w:cs="Calibri"/>
          <w:lang w:val="en-US"/>
        </w:rPr>
        <w:t>:</w:t>
      </w:r>
      <w:r w:rsidRPr="00621E4F">
        <w:rPr>
          <w:rFonts w:cs="Calibri"/>
          <w:lang w:val="en-US"/>
        </w:rPr>
        <w:t xml:space="preserve"> </w:t>
      </w:r>
      <w:r>
        <w:rPr>
          <w:rFonts w:cs="Calibri"/>
          <w:lang w:val="en-US"/>
        </w:rPr>
        <w:t xml:space="preserve">Study 301, Study 302-R2 and </w:t>
      </w:r>
      <w:r w:rsidR="00A17309">
        <w:rPr>
          <w:rFonts w:cs="Calibri"/>
          <w:lang w:val="en-US"/>
        </w:rPr>
        <w:br/>
      </w:r>
      <w:r w:rsidR="005B07D9">
        <w:rPr>
          <w:rFonts w:cs="Calibri"/>
          <w:lang w:val="en-US"/>
        </w:rPr>
        <w:t xml:space="preserve">Study 302-R4. </w:t>
      </w:r>
      <w:r>
        <w:t xml:space="preserve">Study 301 was a direct randomised study </w:t>
      </w:r>
      <w:r w:rsidRPr="009864CA">
        <w:t xml:space="preserve">comparing </w:t>
      </w:r>
      <w:r>
        <w:t>DB</w:t>
      </w:r>
      <w:r w:rsidRPr="009864CA">
        <w:t xml:space="preserve"> to RA</w:t>
      </w:r>
      <w:r w:rsidRPr="007519CC">
        <w:rPr>
          <w:iCs/>
        </w:rPr>
        <w:t xml:space="preserve"> </w:t>
      </w:r>
      <w:r>
        <w:rPr>
          <w:iCs/>
        </w:rPr>
        <w:t xml:space="preserve">but the study </w:t>
      </w:r>
      <w:proofErr w:type="gramStart"/>
      <w:r w:rsidRPr="007519CC">
        <w:rPr>
          <w:iCs/>
        </w:rPr>
        <w:t>was terminated</w:t>
      </w:r>
      <w:proofErr w:type="gramEnd"/>
      <w:r w:rsidRPr="007519CC">
        <w:rPr>
          <w:iCs/>
        </w:rPr>
        <w:t xml:space="preserve"> before completion</w:t>
      </w:r>
      <w:r>
        <w:rPr>
          <w:iCs/>
        </w:rPr>
        <w:t>, a</w:t>
      </w:r>
      <w:r w:rsidRPr="007519CC">
        <w:rPr>
          <w:iCs/>
        </w:rPr>
        <w:t xml:space="preserve">fter trial results for </w:t>
      </w:r>
      <w:proofErr w:type="spellStart"/>
      <w:r w:rsidRPr="007519CC">
        <w:rPr>
          <w:iCs/>
        </w:rPr>
        <w:t>dinutuximab</w:t>
      </w:r>
      <w:proofErr w:type="spellEnd"/>
      <w:r w:rsidRPr="007519CC">
        <w:rPr>
          <w:iCs/>
        </w:rPr>
        <w:t xml:space="preserve"> alpha d</w:t>
      </w:r>
      <w:r w:rsidRPr="009864CA">
        <w:rPr>
          <w:iCs/>
        </w:rPr>
        <w:t>emonstrated the superiority of immunotherapy</w:t>
      </w:r>
      <w:r>
        <w:rPr>
          <w:iCs/>
        </w:rPr>
        <w:t xml:space="preserve"> vs RA (Yu 2010)</w:t>
      </w:r>
      <w:r w:rsidRPr="009864CA">
        <w:rPr>
          <w:iCs/>
        </w:rPr>
        <w:t xml:space="preserve">, it was deemed unethical to </w:t>
      </w:r>
      <w:r>
        <w:rPr>
          <w:iCs/>
        </w:rPr>
        <w:t xml:space="preserve">continue to </w:t>
      </w:r>
      <w:r w:rsidRPr="009864CA">
        <w:rPr>
          <w:iCs/>
        </w:rPr>
        <w:t>treat patients with</w:t>
      </w:r>
      <w:r>
        <w:rPr>
          <w:iCs/>
        </w:rPr>
        <w:t xml:space="preserve"> RA alone</w:t>
      </w:r>
      <w:r w:rsidRPr="009864CA">
        <w:rPr>
          <w:iCs/>
        </w:rPr>
        <w:t>.</w:t>
      </w:r>
    </w:p>
    <w:p w14:paraId="63EDEB01" w14:textId="2FE79BB0" w:rsidR="001B5028" w:rsidRPr="00D257F4" w:rsidRDefault="001B5028" w:rsidP="001F2235">
      <w:pPr>
        <w:pStyle w:val="3-BodyText"/>
        <w:numPr>
          <w:ilvl w:val="0"/>
          <w:numId w:val="0"/>
        </w:numPr>
        <w:spacing w:before="240" w:after="240"/>
        <w:jc w:val="left"/>
        <w:rPr>
          <w:rFonts w:ascii="Times New Roman" w:hAnsi="Times New Roman" w:cs="Times New Roman"/>
          <w:i/>
          <w:snapToGrid/>
          <w:szCs w:val="20"/>
        </w:rPr>
      </w:pPr>
      <w:r w:rsidRPr="00A01644">
        <w:rPr>
          <w:rFonts w:ascii="Times New Roman" w:hAnsi="Times New Roman" w:cs="Times New Roman"/>
          <w:snapToGrid/>
          <w:szCs w:val="20"/>
        </w:rPr>
        <w:t>Study 302 is a clinical trial conducted by the SIOPEN</w:t>
      </w:r>
      <w:r w:rsidRPr="00A01644">
        <w:rPr>
          <w:rFonts w:ascii="Times New Roman" w:hAnsi="Times New Roman"/>
          <w:snapToGrid/>
          <w:szCs w:val="20"/>
          <w:vertAlign w:val="superscript"/>
        </w:rPr>
        <w:footnoteReference w:id="4"/>
      </w:r>
      <w:r w:rsidRPr="00A01644">
        <w:rPr>
          <w:rFonts w:ascii="Times New Roman" w:hAnsi="Times New Roman" w:cs="Times New Roman"/>
          <w:snapToGrid/>
          <w:szCs w:val="20"/>
        </w:rPr>
        <w:t xml:space="preserve"> group, which includes five distinct within-trial randomisations (R0, R1, R2, R3 and R4) of patients with HRNBL comparing various treatments throughout the treatment pathway. The R2 and R4 rand</w:t>
      </w:r>
      <w:r>
        <w:rPr>
          <w:rFonts w:ascii="Times New Roman" w:hAnsi="Times New Roman" w:cs="Times New Roman"/>
          <w:snapToGrid/>
          <w:szCs w:val="20"/>
        </w:rPr>
        <w:t>omisations of Study 302 provide</w:t>
      </w:r>
      <w:r w:rsidRPr="00A01644">
        <w:rPr>
          <w:rFonts w:ascii="Times New Roman" w:hAnsi="Times New Roman" w:cs="Times New Roman"/>
          <w:snapToGrid/>
          <w:szCs w:val="20"/>
        </w:rPr>
        <w:t xml:space="preserve"> the key clinical evidence for the STI and LTI dosing schedules of</w:t>
      </w:r>
      <w:r>
        <w:rPr>
          <w:rFonts w:ascii="Times New Roman" w:hAnsi="Times New Roman" w:cs="Times New Roman"/>
          <w:snapToGrid/>
          <w:szCs w:val="20"/>
        </w:rPr>
        <w:t xml:space="preserve"> DB</w:t>
      </w:r>
      <w:r w:rsidRPr="00A01644">
        <w:rPr>
          <w:rFonts w:ascii="Times New Roman" w:hAnsi="Times New Roman" w:cs="Times New Roman"/>
          <w:snapToGrid/>
          <w:szCs w:val="20"/>
        </w:rPr>
        <w:t xml:space="preserve"> respectively for HRNBL. </w:t>
      </w:r>
      <w:r w:rsidRPr="00B90933">
        <w:rPr>
          <w:rFonts w:ascii="Times New Roman" w:hAnsi="Times New Roman" w:cs="Times New Roman"/>
          <w:snapToGrid/>
          <w:szCs w:val="20"/>
        </w:rPr>
        <w:t>Results from</w:t>
      </w:r>
      <w:r w:rsidRPr="000E5418">
        <w:rPr>
          <w:rFonts w:ascii="Times New Roman" w:hAnsi="Times New Roman" w:cs="Times New Roman"/>
          <w:snapToGrid/>
          <w:szCs w:val="20"/>
        </w:rPr>
        <w:t xml:space="preserve"> </w:t>
      </w:r>
      <w:r w:rsidRPr="00B90933">
        <w:rPr>
          <w:rFonts w:ascii="Times New Roman" w:hAnsi="Times New Roman" w:cs="Times New Roman"/>
          <w:snapToGrid/>
          <w:szCs w:val="20"/>
        </w:rPr>
        <w:t>Study 302-R2 have been published (</w:t>
      </w:r>
      <w:proofErr w:type="spellStart"/>
      <w:r w:rsidRPr="00B90933">
        <w:rPr>
          <w:rFonts w:ascii="Times New Roman" w:hAnsi="Times New Roman" w:cs="Times New Roman"/>
          <w:snapToGrid/>
          <w:szCs w:val="20"/>
        </w:rPr>
        <w:t>Ladenstein</w:t>
      </w:r>
      <w:proofErr w:type="spellEnd"/>
      <w:r w:rsidRPr="00B90933">
        <w:rPr>
          <w:rFonts w:ascii="Times New Roman" w:hAnsi="Times New Roman" w:cs="Times New Roman"/>
          <w:snapToGrid/>
          <w:szCs w:val="20"/>
        </w:rPr>
        <w:t xml:space="preserve"> 2018) but results from Study 302-R4 are only available from a presentation to ASCO 2019 (see </w:t>
      </w:r>
      <w:r w:rsidRPr="00B90933">
        <w:rPr>
          <w:rFonts w:ascii="Times New Roman" w:hAnsi="Times New Roman" w:cs="Times New Roman"/>
          <w:snapToGrid/>
          <w:szCs w:val="20"/>
        </w:rPr>
        <w:fldChar w:fldCharType="begin"/>
      </w:r>
      <w:r w:rsidRPr="00B90933">
        <w:rPr>
          <w:rFonts w:ascii="Times New Roman" w:hAnsi="Times New Roman" w:cs="Times New Roman"/>
          <w:snapToGrid/>
          <w:szCs w:val="20"/>
        </w:rPr>
        <w:instrText xml:space="preserve"> REF _Ref39567243 \h  \* MERGEFORMAT </w:instrText>
      </w:r>
      <w:r w:rsidRPr="00B90933">
        <w:rPr>
          <w:rFonts w:ascii="Times New Roman" w:hAnsi="Times New Roman" w:cs="Times New Roman"/>
          <w:snapToGrid/>
          <w:szCs w:val="20"/>
        </w:rPr>
      </w:r>
      <w:r w:rsidRPr="00B90933">
        <w:rPr>
          <w:rFonts w:ascii="Times New Roman" w:hAnsi="Times New Roman" w:cs="Times New Roman"/>
          <w:snapToGrid/>
          <w:szCs w:val="20"/>
        </w:rPr>
        <w:fldChar w:fldCharType="separate"/>
      </w:r>
      <w:r w:rsidR="00991D81" w:rsidRPr="00991D81">
        <w:rPr>
          <w:rFonts w:ascii="Times New Roman" w:hAnsi="Times New Roman" w:cs="Times New Roman"/>
        </w:rPr>
        <w:t xml:space="preserve">Table </w:t>
      </w:r>
      <w:r w:rsidR="00991D81" w:rsidRPr="00991D81">
        <w:rPr>
          <w:rFonts w:ascii="Times New Roman" w:hAnsi="Times New Roman" w:cs="Times New Roman"/>
          <w:noProof/>
        </w:rPr>
        <w:t>6</w:t>
      </w:r>
      <w:r w:rsidRPr="00B90933">
        <w:rPr>
          <w:rFonts w:ascii="Times New Roman" w:hAnsi="Times New Roman" w:cs="Times New Roman"/>
          <w:snapToGrid/>
          <w:szCs w:val="20"/>
        </w:rPr>
        <w:fldChar w:fldCharType="end"/>
      </w:r>
      <w:r w:rsidRPr="00B90933">
        <w:rPr>
          <w:rFonts w:ascii="Times New Roman" w:hAnsi="Times New Roman" w:cs="Times New Roman"/>
          <w:snapToGrid/>
          <w:szCs w:val="20"/>
        </w:rPr>
        <w:t>).</w:t>
      </w:r>
      <w:r w:rsidRPr="000E5418">
        <w:rPr>
          <w:rFonts w:ascii="Times New Roman" w:hAnsi="Times New Roman" w:cs="Times New Roman"/>
          <w:snapToGrid/>
          <w:szCs w:val="20"/>
        </w:rPr>
        <w:t xml:space="preserve"> </w:t>
      </w:r>
    </w:p>
    <w:p w14:paraId="395D7169" w14:textId="77777777" w:rsidR="001B5028" w:rsidRDefault="001B5028" w:rsidP="00A17309">
      <w:pPr>
        <w:pStyle w:val="3-BodyText"/>
        <w:numPr>
          <w:ilvl w:val="0"/>
          <w:numId w:val="0"/>
        </w:numPr>
        <w:spacing w:after="240"/>
        <w:jc w:val="left"/>
        <w:rPr>
          <w:rFonts w:ascii="Times New Roman" w:hAnsi="Times New Roman" w:cs="Times New Roman"/>
          <w:snapToGrid/>
          <w:szCs w:val="20"/>
        </w:rPr>
      </w:pPr>
      <w:r>
        <w:rPr>
          <w:rFonts w:ascii="Times New Roman" w:hAnsi="Times New Roman" w:cs="Times New Roman"/>
          <w:snapToGrid/>
          <w:szCs w:val="20"/>
        </w:rPr>
        <w:t xml:space="preserve">In the absence of direct trial evidence (DB+RA vs RA), a matched adjusted indirect comparison (MAIC) was conducted to compare </w:t>
      </w:r>
      <w:r w:rsidRPr="00A01644">
        <w:rPr>
          <w:rFonts w:ascii="Times New Roman" w:hAnsi="Times New Roman" w:cs="Times New Roman"/>
          <w:snapToGrid/>
          <w:szCs w:val="20"/>
        </w:rPr>
        <w:t xml:space="preserve">patients treated with </w:t>
      </w:r>
      <w:r>
        <w:rPr>
          <w:rFonts w:ascii="Times New Roman" w:hAnsi="Times New Roman" w:cs="Times New Roman"/>
          <w:snapToGrid/>
          <w:szCs w:val="20"/>
        </w:rPr>
        <w:t>DB</w:t>
      </w:r>
      <w:r w:rsidRPr="00A01644">
        <w:rPr>
          <w:rFonts w:ascii="Times New Roman" w:hAnsi="Times New Roman" w:cs="Times New Roman"/>
          <w:snapToGrid/>
          <w:szCs w:val="20"/>
        </w:rPr>
        <w:t xml:space="preserve"> in Study 302-R2</w:t>
      </w:r>
      <w:r>
        <w:rPr>
          <w:rFonts w:ascii="Times New Roman" w:hAnsi="Times New Roman" w:cs="Times New Roman"/>
          <w:snapToGrid/>
          <w:szCs w:val="20"/>
        </w:rPr>
        <w:t xml:space="preserve"> to</w:t>
      </w:r>
      <w:r w:rsidRPr="00A01644">
        <w:rPr>
          <w:rFonts w:ascii="Times New Roman" w:hAnsi="Times New Roman" w:cs="Times New Roman"/>
          <w:snapToGrid/>
          <w:szCs w:val="20"/>
        </w:rPr>
        <w:t xml:space="preserve"> patients treated with RA in Yu 2010 (</w:t>
      </w:r>
      <w:r>
        <w:rPr>
          <w:rFonts w:ascii="Times New Roman" w:hAnsi="Times New Roman" w:cs="Times New Roman"/>
          <w:snapToGrid/>
          <w:szCs w:val="20"/>
        </w:rPr>
        <w:t xml:space="preserve">the pivotal trial </w:t>
      </w:r>
      <w:r w:rsidRPr="00A01644">
        <w:rPr>
          <w:rFonts w:ascii="Times New Roman" w:hAnsi="Times New Roman" w:cs="Times New Roman"/>
          <w:snapToGrid/>
          <w:szCs w:val="20"/>
        </w:rPr>
        <w:t xml:space="preserve">comparing </w:t>
      </w:r>
      <w:proofErr w:type="spellStart"/>
      <w:r w:rsidRPr="00A01644">
        <w:rPr>
          <w:rFonts w:ascii="Times New Roman" w:hAnsi="Times New Roman" w:cs="Times New Roman"/>
          <w:snapToGrid/>
          <w:szCs w:val="20"/>
        </w:rPr>
        <w:t>dinutuximab</w:t>
      </w:r>
      <w:proofErr w:type="spellEnd"/>
      <w:r w:rsidRPr="00A01644">
        <w:rPr>
          <w:rFonts w:ascii="Times New Roman" w:hAnsi="Times New Roman" w:cs="Times New Roman"/>
          <w:snapToGrid/>
          <w:szCs w:val="20"/>
        </w:rPr>
        <w:t xml:space="preserve"> alpha to RA)</w:t>
      </w:r>
      <w:r>
        <w:rPr>
          <w:rFonts w:ascii="Times New Roman" w:hAnsi="Times New Roman" w:cs="Times New Roman"/>
          <w:snapToGrid/>
          <w:szCs w:val="20"/>
        </w:rPr>
        <w:t>.</w:t>
      </w:r>
      <w:r w:rsidRPr="00A01644">
        <w:rPr>
          <w:rFonts w:ascii="Times New Roman" w:hAnsi="Times New Roman" w:cs="Times New Roman"/>
          <w:snapToGrid/>
          <w:szCs w:val="20"/>
        </w:rPr>
        <w:t xml:space="preserve"> </w:t>
      </w:r>
    </w:p>
    <w:p w14:paraId="08103423" w14:textId="6ABE2DBA" w:rsidR="001B5028" w:rsidRPr="001F2235" w:rsidRDefault="001B5028" w:rsidP="001F2235">
      <w:pPr>
        <w:pStyle w:val="3-BodyText"/>
        <w:numPr>
          <w:ilvl w:val="0"/>
          <w:numId w:val="0"/>
        </w:numPr>
        <w:jc w:val="left"/>
        <w:rPr>
          <w:rFonts w:ascii="Times New Roman" w:hAnsi="Times New Roman" w:cs="Times New Roman"/>
        </w:rPr>
      </w:pPr>
      <w:r>
        <w:rPr>
          <w:rFonts w:ascii="Times New Roman" w:hAnsi="Times New Roman" w:cs="Times New Roman"/>
          <w:snapToGrid/>
          <w:szCs w:val="20"/>
        </w:rPr>
        <w:t xml:space="preserve">A number of other studies and naïve comparisons were presented in the PBAC submission for DB (refer to Table 3 and Table 5 in the PBAC ESC advice). </w:t>
      </w:r>
      <w:r w:rsidRPr="00B90933">
        <w:rPr>
          <w:rFonts w:ascii="Times New Roman" w:hAnsi="Times New Roman" w:cs="Times New Roman"/>
          <w:snapToGrid/>
          <w:szCs w:val="20"/>
        </w:rPr>
        <w:t xml:space="preserve">The remainder of this </w:t>
      </w:r>
      <w:r w:rsidR="00A17309">
        <w:rPr>
          <w:rFonts w:ascii="Times New Roman" w:hAnsi="Times New Roman" w:cs="Times New Roman"/>
          <w:snapToGrid/>
          <w:szCs w:val="20"/>
        </w:rPr>
        <w:t>PSD</w:t>
      </w:r>
      <w:r w:rsidRPr="00B90933">
        <w:rPr>
          <w:rFonts w:ascii="Times New Roman" w:hAnsi="Times New Roman" w:cs="Times New Roman"/>
          <w:snapToGrid/>
          <w:szCs w:val="20"/>
        </w:rPr>
        <w:t xml:space="preserve"> discusses only those studies relevant to the key comparisons.</w:t>
      </w:r>
      <w:r>
        <w:rPr>
          <w:rFonts w:ascii="Times New Roman" w:hAnsi="Times New Roman" w:cs="Times New Roman"/>
          <w:i/>
          <w:snapToGrid/>
          <w:szCs w:val="20"/>
        </w:rPr>
        <w:t xml:space="preserve"> </w:t>
      </w:r>
      <w:r w:rsidRPr="00C107BB">
        <w:rPr>
          <w:rFonts w:ascii="Times New Roman" w:hAnsi="Times New Roman" w:cs="Times New Roman"/>
          <w:lang w:val="en-US"/>
        </w:rPr>
        <w:t xml:space="preserve">Details of the relevant studies </w:t>
      </w:r>
      <w:proofErr w:type="gramStart"/>
      <w:r w:rsidRPr="00C107BB">
        <w:rPr>
          <w:rFonts w:ascii="Times New Roman" w:hAnsi="Times New Roman" w:cs="Times New Roman"/>
          <w:lang w:val="en-US"/>
        </w:rPr>
        <w:t>are provided</w:t>
      </w:r>
      <w:proofErr w:type="gramEnd"/>
      <w:r w:rsidRPr="00C107BB">
        <w:rPr>
          <w:rFonts w:ascii="Times New Roman" w:hAnsi="Times New Roman" w:cs="Times New Roman"/>
          <w:lang w:val="en-US"/>
        </w:rPr>
        <w:t xml:space="preserve"> in </w:t>
      </w:r>
      <w:r w:rsidRPr="00C107BB">
        <w:rPr>
          <w:rFonts w:ascii="Times New Roman" w:hAnsi="Times New Roman" w:cs="Times New Roman"/>
          <w:lang w:val="en-US"/>
        </w:rPr>
        <w:fldChar w:fldCharType="begin"/>
      </w:r>
      <w:r w:rsidRPr="00C107BB">
        <w:rPr>
          <w:rFonts w:ascii="Times New Roman" w:hAnsi="Times New Roman" w:cs="Times New Roman"/>
          <w:lang w:val="en-US"/>
        </w:rPr>
        <w:instrText xml:space="preserve"> REF _Ref39567243 \h </w:instrText>
      </w:r>
      <w:r>
        <w:rPr>
          <w:rFonts w:ascii="Times New Roman" w:hAnsi="Times New Roman" w:cs="Times New Roman"/>
          <w:lang w:val="en-US"/>
        </w:rPr>
        <w:instrText xml:space="preserve"> \* MERGEFORMAT </w:instrText>
      </w:r>
      <w:r w:rsidRPr="00C107BB">
        <w:rPr>
          <w:rFonts w:ascii="Times New Roman" w:hAnsi="Times New Roman" w:cs="Times New Roman"/>
          <w:lang w:val="en-US"/>
        </w:rPr>
      </w:r>
      <w:r w:rsidRPr="00C107BB">
        <w:rPr>
          <w:rFonts w:ascii="Times New Roman" w:hAnsi="Times New Roman" w:cs="Times New Roman"/>
          <w:lang w:val="en-US"/>
        </w:rPr>
        <w:fldChar w:fldCharType="separate"/>
      </w:r>
      <w:r w:rsidR="00991D81" w:rsidRPr="00991D81">
        <w:rPr>
          <w:rFonts w:ascii="Times New Roman" w:hAnsi="Times New Roman" w:cs="Times New Roman"/>
        </w:rPr>
        <w:t xml:space="preserve">Table </w:t>
      </w:r>
      <w:r w:rsidR="00991D81" w:rsidRPr="00991D81">
        <w:rPr>
          <w:rFonts w:ascii="Times New Roman" w:hAnsi="Times New Roman" w:cs="Times New Roman"/>
          <w:noProof/>
        </w:rPr>
        <w:t>6</w:t>
      </w:r>
      <w:r w:rsidRPr="00C107BB">
        <w:rPr>
          <w:rFonts w:ascii="Times New Roman" w:hAnsi="Times New Roman" w:cs="Times New Roman"/>
          <w:lang w:val="en-US"/>
        </w:rPr>
        <w:fldChar w:fldCharType="end"/>
      </w:r>
      <w:r w:rsidRPr="00C107BB">
        <w:rPr>
          <w:rFonts w:ascii="Times New Roman" w:hAnsi="Times New Roman" w:cs="Times New Roman"/>
          <w:lang w:val="en-US"/>
        </w:rPr>
        <w:t>.</w:t>
      </w:r>
    </w:p>
    <w:p w14:paraId="70ACD8E3" w14:textId="5AD35278" w:rsidR="001B5028" w:rsidRPr="00625D9D" w:rsidRDefault="001B5028" w:rsidP="00625D9D">
      <w:pPr>
        <w:keepNext/>
        <w:keepLines/>
        <w:rPr>
          <w:rFonts w:ascii="Arial Narrow" w:hAnsi="Arial Narrow"/>
          <w:b/>
          <w:sz w:val="20"/>
        </w:rPr>
      </w:pPr>
      <w:bookmarkStart w:id="10" w:name="_Ref39567243"/>
      <w:r w:rsidRPr="00625D9D">
        <w:rPr>
          <w:rFonts w:ascii="Arial Narrow" w:hAnsi="Arial Narrow"/>
          <w:b/>
          <w:sz w:val="20"/>
        </w:rPr>
        <w:lastRenderedPageBreak/>
        <w:t xml:space="preserve">Table </w:t>
      </w:r>
      <w:r w:rsidR="00840515" w:rsidRPr="00625D9D">
        <w:rPr>
          <w:rFonts w:ascii="Arial Narrow" w:hAnsi="Arial Narrow"/>
          <w:b/>
          <w:sz w:val="20"/>
        </w:rPr>
        <w:fldChar w:fldCharType="begin"/>
      </w:r>
      <w:r w:rsidR="00840515" w:rsidRPr="00625D9D">
        <w:rPr>
          <w:rFonts w:ascii="Arial Narrow" w:hAnsi="Arial Narrow"/>
          <w:b/>
          <w:sz w:val="20"/>
        </w:rPr>
        <w:instrText xml:space="preserve"> SEQ Table \* ARABIC </w:instrText>
      </w:r>
      <w:r w:rsidR="00840515" w:rsidRPr="00625D9D">
        <w:rPr>
          <w:rFonts w:ascii="Arial Narrow" w:hAnsi="Arial Narrow"/>
          <w:b/>
          <w:sz w:val="20"/>
        </w:rPr>
        <w:fldChar w:fldCharType="separate"/>
      </w:r>
      <w:r w:rsidR="00991D81">
        <w:rPr>
          <w:rFonts w:ascii="Arial Narrow" w:hAnsi="Arial Narrow"/>
          <w:b/>
          <w:noProof/>
          <w:sz w:val="20"/>
        </w:rPr>
        <w:t>6</w:t>
      </w:r>
      <w:r w:rsidR="00840515" w:rsidRPr="00625D9D">
        <w:rPr>
          <w:rFonts w:ascii="Arial Narrow" w:hAnsi="Arial Narrow"/>
          <w:b/>
          <w:sz w:val="20"/>
        </w:rPr>
        <w:fldChar w:fldCharType="end"/>
      </w:r>
      <w:bookmarkEnd w:id="10"/>
      <w:r w:rsidRPr="00625D9D">
        <w:rPr>
          <w:rFonts w:ascii="Arial Narrow" w:hAnsi="Arial Narrow"/>
          <w:b/>
          <w:sz w:val="20"/>
        </w:rPr>
        <w:tab/>
        <w:t xml:space="preserve">Relevant trials, studies and associated reports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levant trials, studies and associated reports "/>
      </w:tblPr>
      <w:tblGrid>
        <w:gridCol w:w="1555"/>
        <w:gridCol w:w="5813"/>
        <w:gridCol w:w="1650"/>
      </w:tblGrid>
      <w:tr w:rsidR="001B5028" w:rsidRPr="00532B46" w14:paraId="696800C4" w14:textId="77777777" w:rsidTr="001B5028">
        <w:trPr>
          <w:cantSplit/>
          <w:tblHeader/>
        </w:trPr>
        <w:tc>
          <w:tcPr>
            <w:tcW w:w="862" w:type="pct"/>
            <w:vAlign w:val="center"/>
          </w:tcPr>
          <w:p w14:paraId="320962D1" w14:textId="77777777" w:rsidR="001B5028" w:rsidRPr="00532B46" w:rsidRDefault="001B5028" w:rsidP="00625D9D">
            <w:pPr>
              <w:pStyle w:val="In-tableHeading"/>
              <w:keepLines/>
            </w:pPr>
            <w:r w:rsidRPr="00532B46">
              <w:t>Trial ID</w:t>
            </w:r>
          </w:p>
        </w:tc>
        <w:tc>
          <w:tcPr>
            <w:tcW w:w="3223" w:type="pct"/>
            <w:vAlign w:val="center"/>
          </w:tcPr>
          <w:p w14:paraId="2D20CA90" w14:textId="77777777" w:rsidR="001B5028" w:rsidRPr="00532B46" w:rsidRDefault="001B5028" w:rsidP="00625D9D">
            <w:pPr>
              <w:pStyle w:val="In-tableHeading"/>
              <w:keepLines/>
            </w:pPr>
            <w:r w:rsidRPr="00532B46">
              <w:t>Protocol title/ Publication title</w:t>
            </w:r>
          </w:p>
        </w:tc>
        <w:tc>
          <w:tcPr>
            <w:tcW w:w="915" w:type="pct"/>
            <w:vAlign w:val="center"/>
          </w:tcPr>
          <w:p w14:paraId="5E07B999" w14:textId="77777777" w:rsidR="001B5028" w:rsidRPr="00532B46" w:rsidRDefault="001B5028" w:rsidP="00625D9D">
            <w:pPr>
              <w:pStyle w:val="In-tableHeading"/>
              <w:keepLines/>
            </w:pPr>
            <w:r w:rsidRPr="00532B46">
              <w:t>Publication citation</w:t>
            </w:r>
          </w:p>
        </w:tc>
      </w:tr>
      <w:tr w:rsidR="001B5028" w:rsidRPr="00532B46" w14:paraId="4A5D7754" w14:textId="77777777" w:rsidTr="001B5028">
        <w:trPr>
          <w:cantSplit/>
        </w:trPr>
        <w:tc>
          <w:tcPr>
            <w:tcW w:w="5000" w:type="pct"/>
            <w:gridSpan w:val="3"/>
            <w:shd w:val="clear" w:color="auto" w:fill="BFBFBF" w:themeFill="background1" w:themeFillShade="BF"/>
            <w:vAlign w:val="center"/>
          </w:tcPr>
          <w:p w14:paraId="55F24568" w14:textId="77777777" w:rsidR="001B5028" w:rsidRPr="00532B46" w:rsidRDefault="001B5028" w:rsidP="001B5028">
            <w:pPr>
              <w:pStyle w:val="In-tableHeading"/>
            </w:pPr>
            <w:proofErr w:type="spellStart"/>
            <w:r>
              <w:t>Dinutuximab</w:t>
            </w:r>
            <w:proofErr w:type="spellEnd"/>
            <w:r>
              <w:t xml:space="preserve"> beta </w:t>
            </w:r>
            <w:r w:rsidRPr="00532B46">
              <w:t>studies</w:t>
            </w:r>
          </w:p>
        </w:tc>
      </w:tr>
      <w:tr w:rsidR="001B5028" w:rsidRPr="00532B46" w14:paraId="0AE4D7A0" w14:textId="77777777" w:rsidTr="001B5028">
        <w:trPr>
          <w:cantSplit/>
          <w:trHeight w:val="918"/>
        </w:trPr>
        <w:tc>
          <w:tcPr>
            <w:tcW w:w="862" w:type="pct"/>
            <w:vAlign w:val="center"/>
          </w:tcPr>
          <w:p w14:paraId="7EB7B577" w14:textId="77777777" w:rsidR="001B5028" w:rsidRPr="00532B46" w:rsidRDefault="001B5028" w:rsidP="001B5028">
            <w:pPr>
              <w:pStyle w:val="TableText0"/>
              <w:keepNext/>
              <w:rPr>
                <w:szCs w:val="18"/>
              </w:rPr>
            </w:pPr>
            <w:r w:rsidRPr="00532B46">
              <w:t>301</w:t>
            </w:r>
          </w:p>
        </w:tc>
        <w:tc>
          <w:tcPr>
            <w:tcW w:w="3223" w:type="pct"/>
            <w:vAlign w:val="center"/>
          </w:tcPr>
          <w:p w14:paraId="68B9A245" w14:textId="77777777" w:rsidR="001B5028" w:rsidRPr="00532B46" w:rsidRDefault="001B5028" w:rsidP="001B5028">
            <w:pPr>
              <w:pStyle w:val="TableText0"/>
              <w:keepNext/>
              <w:rPr>
                <w:szCs w:val="18"/>
              </w:rPr>
            </w:pPr>
            <w:r w:rsidRPr="00532B46">
              <w:rPr>
                <w:szCs w:val="18"/>
              </w:rPr>
              <w:t xml:space="preserve">APEIRON Biologics AG (2016d). APN311-301: Summary report: </w:t>
            </w:r>
            <w:proofErr w:type="gramStart"/>
            <w:r w:rsidRPr="00532B46">
              <w:rPr>
                <w:szCs w:val="18"/>
              </w:rPr>
              <w:t>high risk</w:t>
            </w:r>
            <w:proofErr w:type="gramEnd"/>
            <w:r w:rsidRPr="00532B46">
              <w:rPr>
                <w:szCs w:val="18"/>
              </w:rPr>
              <w:t xml:space="preserve"> </w:t>
            </w:r>
            <w:proofErr w:type="spellStart"/>
            <w:r w:rsidRPr="00532B46">
              <w:rPr>
                <w:szCs w:val="18"/>
              </w:rPr>
              <w:t>neuroblastoma</w:t>
            </w:r>
            <w:proofErr w:type="spellEnd"/>
            <w:r w:rsidRPr="00532B46">
              <w:rPr>
                <w:szCs w:val="18"/>
              </w:rPr>
              <w:t xml:space="preserve"> study of SIOP-Europe (SIOPEN) HR-NBL/SIOPEN - interim data analysis of safety and efficacy data from the ‘unmodified’ R2 randomization - Final 1.</w:t>
            </w:r>
          </w:p>
        </w:tc>
        <w:tc>
          <w:tcPr>
            <w:tcW w:w="915" w:type="pct"/>
            <w:vAlign w:val="center"/>
          </w:tcPr>
          <w:p w14:paraId="34931DA3" w14:textId="77777777" w:rsidR="001B5028" w:rsidRPr="00532B46" w:rsidRDefault="001B5028" w:rsidP="001B5028">
            <w:pPr>
              <w:pStyle w:val="TableText0"/>
              <w:keepNext/>
              <w:rPr>
                <w:szCs w:val="18"/>
              </w:rPr>
            </w:pPr>
            <w:r w:rsidRPr="00532B46">
              <w:rPr>
                <w:szCs w:val="18"/>
              </w:rPr>
              <w:t>16 March 2016</w:t>
            </w:r>
          </w:p>
        </w:tc>
      </w:tr>
      <w:tr w:rsidR="001B5028" w:rsidRPr="00532B46" w14:paraId="0B0CC466" w14:textId="77777777" w:rsidTr="001B5028">
        <w:trPr>
          <w:cantSplit/>
          <w:trHeight w:val="70"/>
        </w:trPr>
        <w:tc>
          <w:tcPr>
            <w:tcW w:w="862" w:type="pct"/>
            <w:vMerge w:val="restart"/>
            <w:vAlign w:val="center"/>
          </w:tcPr>
          <w:p w14:paraId="0830CDB3" w14:textId="77777777" w:rsidR="001B5028" w:rsidRPr="00532B46" w:rsidRDefault="001B5028" w:rsidP="001B5028">
            <w:pPr>
              <w:pStyle w:val="TableText0"/>
              <w:keepNext/>
            </w:pPr>
            <w:r w:rsidRPr="00532B46">
              <w:t>302-R2</w:t>
            </w:r>
          </w:p>
        </w:tc>
        <w:tc>
          <w:tcPr>
            <w:tcW w:w="3223" w:type="pct"/>
            <w:vAlign w:val="center"/>
          </w:tcPr>
          <w:p w14:paraId="535004D2" w14:textId="77777777" w:rsidR="001B5028" w:rsidRPr="00532B46" w:rsidRDefault="001B5028" w:rsidP="001B5028">
            <w:pPr>
              <w:pStyle w:val="TableText0"/>
              <w:keepNext/>
              <w:rPr>
                <w:szCs w:val="18"/>
              </w:rPr>
            </w:pPr>
            <w:r w:rsidRPr="00532B46">
              <w:rPr>
                <w:szCs w:val="18"/>
              </w:rPr>
              <w:t xml:space="preserve">APEIRON Biologics AG (2016b). APN311-302: Interim data analysis on safety and efficacy of ch14.18/CHO from data collected in the </w:t>
            </w:r>
            <w:proofErr w:type="gramStart"/>
            <w:r w:rsidRPr="00532B46">
              <w:rPr>
                <w:szCs w:val="18"/>
              </w:rPr>
              <w:t>high risk</w:t>
            </w:r>
            <w:proofErr w:type="gramEnd"/>
            <w:r w:rsidRPr="00532B46">
              <w:rPr>
                <w:szCs w:val="18"/>
              </w:rPr>
              <w:t xml:space="preserve"> </w:t>
            </w:r>
            <w:proofErr w:type="spellStart"/>
            <w:r w:rsidRPr="00532B46">
              <w:rPr>
                <w:szCs w:val="18"/>
              </w:rPr>
              <w:t>neuroblastoma</w:t>
            </w:r>
            <w:proofErr w:type="spellEnd"/>
            <w:r w:rsidRPr="00532B46">
              <w:rPr>
                <w:szCs w:val="18"/>
              </w:rPr>
              <w:t xml:space="preserve"> (HRNBL1) study 1.5 of SIOP-Europe (SIOPEN): Final Version 1.0.</w:t>
            </w:r>
          </w:p>
        </w:tc>
        <w:tc>
          <w:tcPr>
            <w:tcW w:w="915" w:type="pct"/>
            <w:vAlign w:val="center"/>
          </w:tcPr>
          <w:p w14:paraId="3FD5E05A" w14:textId="77777777" w:rsidR="001B5028" w:rsidRPr="00532B46" w:rsidRDefault="001B5028" w:rsidP="001B5028">
            <w:pPr>
              <w:pStyle w:val="TableText0"/>
              <w:keepNext/>
              <w:rPr>
                <w:szCs w:val="18"/>
              </w:rPr>
            </w:pPr>
            <w:r w:rsidRPr="00532B46">
              <w:rPr>
                <w:szCs w:val="18"/>
              </w:rPr>
              <w:t>17 March 2016</w:t>
            </w:r>
          </w:p>
        </w:tc>
      </w:tr>
      <w:tr w:rsidR="001B5028" w:rsidRPr="00532B46" w14:paraId="7B0216E2" w14:textId="77777777" w:rsidTr="001B5028">
        <w:trPr>
          <w:cantSplit/>
          <w:trHeight w:val="70"/>
        </w:trPr>
        <w:tc>
          <w:tcPr>
            <w:tcW w:w="862" w:type="pct"/>
            <w:vMerge/>
            <w:vAlign w:val="center"/>
          </w:tcPr>
          <w:p w14:paraId="03D73F85" w14:textId="77777777" w:rsidR="001B5028" w:rsidRPr="00532B46" w:rsidRDefault="001B5028" w:rsidP="001B5028">
            <w:pPr>
              <w:pStyle w:val="TableText0"/>
              <w:keepNext/>
            </w:pPr>
          </w:p>
        </w:tc>
        <w:tc>
          <w:tcPr>
            <w:tcW w:w="3223" w:type="pct"/>
            <w:vAlign w:val="center"/>
          </w:tcPr>
          <w:p w14:paraId="73AC8936" w14:textId="77777777" w:rsidR="001B5028" w:rsidRPr="00532B46" w:rsidRDefault="001B5028" w:rsidP="001B5028">
            <w:pPr>
              <w:pStyle w:val="TableText0"/>
              <w:keepNext/>
              <w:rPr>
                <w:szCs w:val="18"/>
              </w:rPr>
            </w:pPr>
            <w:proofErr w:type="spellStart"/>
            <w:r w:rsidRPr="00532B46">
              <w:t>Ladenstein</w:t>
            </w:r>
            <w:proofErr w:type="spellEnd"/>
            <w:r w:rsidRPr="00532B46">
              <w:t xml:space="preserve"> R, </w:t>
            </w:r>
            <w:proofErr w:type="spellStart"/>
            <w:r w:rsidRPr="00532B46">
              <w:t>Potschger</w:t>
            </w:r>
            <w:proofErr w:type="spellEnd"/>
            <w:r w:rsidRPr="00532B46">
              <w:t xml:space="preserve"> U, </w:t>
            </w:r>
            <w:proofErr w:type="spellStart"/>
            <w:r w:rsidRPr="00532B46">
              <w:t>Valteau-Couanet</w:t>
            </w:r>
            <w:proofErr w:type="spellEnd"/>
            <w:r w:rsidRPr="00532B46">
              <w:t xml:space="preserve"> D et al. </w:t>
            </w:r>
            <w:r w:rsidRPr="00532B46">
              <w:rPr>
                <w:szCs w:val="18"/>
              </w:rPr>
              <w:t>Interleukin 2 with anti-GD2 antibody ch14.18/CHO (</w:t>
            </w:r>
            <w:proofErr w:type="spellStart"/>
            <w:r w:rsidRPr="00532B46">
              <w:rPr>
                <w:szCs w:val="18"/>
              </w:rPr>
              <w:t>dinutuximab</w:t>
            </w:r>
            <w:proofErr w:type="spellEnd"/>
            <w:r w:rsidRPr="00532B46">
              <w:rPr>
                <w:szCs w:val="18"/>
              </w:rPr>
              <w:t xml:space="preserve"> beta) in patients with high-risk </w:t>
            </w:r>
            <w:proofErr w:type="spellStart"/>
            <w:r w:rsidRPr="00532B46">
              <w:rPr>
                <w:szCs w:val="18"/>
              </w:rPr>
              <w:t>neuroblastoma</w:t>
            </w:r>
            <w:proofErr w:type="spellEnd"/>
            <w:r w:rsidRPr="00532B46">
              <w:rPr>
                <w:szCs w:val="18"/>
              </w:rPr>
              <w:t xml:space="preserve"> (HR-NBL1/SIOPEN): a multicentre, randomised, phase 3 trial.</w:t>
            </w:r>
          </w:p>
        </w:tc>
        <w:tc>
          <w:tcPr>
            <w:tcW w:w="915" w:type="pct"/>
            <w:vAlign w:val="center"/>
          </w:tcPr>
          <w:p w14:paraId="3D18C9CA" w14:textId="77777777" w:rsidR="001B5028" w:rsidRPr="00532B46" w:rsidRDefault="001B5028" w:rsidP="001B5028">
            <w:pPr>
              <w:pStyle w:val="TableText0"/>
              <w:keepNext/>
              <w:rPr>
                <w:szCs w:val="18"/>
              </w:rPr>
            </w:pPr>
            <w:r w:rsidRPr="00532B46">
              <w:rPr>
                <w:iCs/>
                <w:szCs w:val="18"/>
              </w:rPr>
              <w:t>The Lancet. Oncology</w:t>
            </w:r>
            <w:r w:rsidRPr="00532B46">
              <w:rPr>
                <w:szCs w:val="18"/>
              </w:rPr>
              <w:t xml:space="preserve"> 2018. 19(12): 1617-1629.</w:t>
            </w:r>
          </w:p>
        </w:tc>
      </w:tr>
      <w:tr w:rsidR="001B5028" w:rsidRPr="00532B46" w14:paraId="497110B4" w14:textId="77777777" w:rsidTr="001B5028">
        <w:trPr>
          <w:cantSplit/>
          <w:trHeight w:val="70"/>
        </w:trPr>
        <w:tc>
          <w:tcPr>
            <w:tcW w:w="862" w:type="pct"/>
            <w:vAlign w:val="center"/>
          </w:tcPr>
          <w:p w14:paraId="1A34C767" w14:textId="77777777" w:rsidR="001B5028" w:rsidRPr="00532B46" w:rsidRDefault="001B5028" w:rsidP="001B5028">
            <w:pPr>
              <w:pStyle w:val="TableText0"/>
              <w:keepNext/>
            </w:pPr>
            <w:r w:rsidRPr="00532B46">
              <w:t>302-R4</w:t>
            </w:r>
          </w:p>
        </w:tc>
        <w:tc>
          <w:tcPr>
            <w:tcW w:w="3223" w:type="pct"/>
            <w:vAlign w:val="center"/>
          </w:tcPr>
          <w:p w14:paraId="75D27216" w14:textId="77777777" w:rsidR="001B5028" w:rsidRPr="00532B46" w:rsidRDefault="001B5028" w:rsidP="001B5028">
            <w:pPr>
              <w:pStyle w:val="TableText0"/>
              <w:keepNext/>
              <w:rPr>
                <w:szCs w:val="18"/>
              </w:rPr>
            </w:pPr>
            <w:proofErr w:type="spellStart"/>
            <w:r w:rsidRPr="00532B46">
              <w:t>Ladenstein</w:t>
            </w:r>
            <w:proofErr w:type="spellEnd"/>
            <w:r w:rsidRPr="00532B46">
              <w:t xml:space="preserve"> R, </w:t>
            </w:r>
            <w:proofErr w:type="spellStart"/>
            <w:r w:rsidRPr="00532B46">
              <w:t>Potschger</w:t>
            </w:r>
            <w:proofErr w:type="spellEnd"/>
            <w:r w:rsidRPr="00532B46">
              <w:t xml:space="preserve"> U, </w:t>
            </w:r>
            <w:proofErr w:type="spellStart"/>
            <w:r w:rsidRPr="00532B46">
              <w:t>Valteau-Couanet</w:t>
            </w:r>
            <w:proofErr w:type="spellEnd"/>
            <w:r w:rsidRPr="00532B46">
              <w:t xml:space="preserve"> D et al. Randomis</w:t>
            </w:r>
            <w:r>
              <w:t>ation of dose reduced subcutane</w:t>
            </w:r>
            <w:r w:rsidRPr="00532B46">
              <w:t xml:space="preserve">ous interleukin2 in maintenance immunotherapy with anti-GD2 antibody </w:t>
            </w:r>
            <w:proofErr w:type="spellStart"/>
            <w:r w:rsidRPr="00532B46">
              <w:t>dinutuximab</w:t>
            </w:r>
            <w:proofErr w:type="spellEnd"/>
            <w:r w:rsidRPr="00532B46">
              <w:t xml:space="preserve"> beta long-term infusion in front line </w:t>
            </w:r>
            <w:proofErr w:type="gramStart"/>
            <w:r w:rsidRPr="00532B46">
              <w:t>high risk</w:t>
            </w:r>
            <w:proofErr w:type="gramEnd"/>
            <w:r w:rsidRPr="00532B46">
              <w:t xml:space="preserve"> </w:t>
            </w:r>
            <w:proofErr w:type="spellStart"/>
            <w:r w:rsidRPr="00532B46">
              <w:t>neuroblastoma</w:t>
            </w:r>
            <w:proofErr w:type="spellEnd"/>
            <w:r w:rsidRPr="00532B46">
              <w:t xml:space="preserve"> patients: early results from the R4-HR-NBL1/SIOPEN trial.</w:t>
            </w:r>
          </w:p>
        </w:tc>
        <w:tc>
          <w:tcPr>
            <w:tcW w:w="915" w:type="pct"/>
            <w:vAlign w:val="center"/>
          </w:tcPr>
          <w:p w14:paraId="256FB49F" w14:textId="77777777" w:rsidR="001B5028" w:rsidRPr="00532B46" w:rsidRDefault="001B5028" w:rsidP="001B5028">
            <w:pPr>
              <w:pStyle w:val="TableText0"/>
              <w:keepNext/>
              <w:rPr>
                <w:szCs w:val="18"/>
              </w:rPr>
            </w:pPr>
            <w:r w:rsidRPr="00532B46">
              <w:rPr>
                <w:szCs w:val="18"/>
              </w:rPr>
              <w:t>American Society of Clinical Oncology 2019 conference presentation.</w:t>
            </w:r>
          </w:p>
        </w:tc>
      </w:tr>
      <w:tr w:rsidR="001B5028" w:rsidRPr="00532B46" w14:paraId="72331A19" w14:textId="77777777" w:rsidTr="001B5028">
        <w:trPr>
          <w:cantSplit/>
          <w:trHeight w:val="70"/>
        </w:trPr>
        <w:tc>
          <w:tcPr>
            <w:tcW w:w="5000" w:type="pct"/>
            <w:gridSpan w:val="3"/>
            <w:shd w:val="clear" w:color="auto" w:fill="BFBFBF" w:themeFill="background1" w:themeFillShade="BF"/>
            <w:vAlign w:val="center"/>
          </w:tcPr>
          <w:p w14:paraId="119A942C" w14:textId="77777777" w:rsidR="001B5028" w:rsidRPr="00532B46" w:rsidRDefault="001B5028" w:rsidP="001B5028">
            <w:pPr>
              <w:pStyle w:val="TableText0"/>
              <w:keepNext/>
              <w:rPr>
                <w:b/>
                <w:bCs/>
                <w:szCs w:val="18"/>
              </w:rPr>
            </w:pPr>
            <w:proofErr w:type="spellStart"/>
            <w:r>
              <w:rPr>
                <w:b/>
                <w:szCs w:val="18"/>
              </w:rPr>
              <w:t>Dinutuximab</w:t>
            </w:r>
            <w:proofErr w:type="spellEnd"/>
            <w:r>
              <w:rPr>
                <w:b/>
                <w:szCs w:val="18"/>
              </w:rPr>
              <w:t xml:space="preserve"> alpha vs retinoic acid (source of data </w:t>
            </w:r>
            <w:r w:rsidRPr="00532B46">
              <w:rPr>
                <w:b/>
                <w:szCs w:val="18"/>
              </w:rPr>
              <w:t xml:space="preserve">used </w:t>
            </w:r>
            <w:r>
              <w:rPr>
                <w:b/>
                <w:szCs w:val="18"/>
              </w:rPr>
              <w:t xml:space="preserve">for </w:t>
            </w:r>
            <w:r w:rsidRPr="00532B46">
              <w:rPr>
                <w:b/>
                <w:szCs w:val="18"/>
              </w:rPr>
              <w:t>RA control arm</w:t>
            </w:r>
            <w:r>
              <w:rPr>
                <w:b/>
                <w:szCs w:val="18"/>
              </w:rPr>
              <w:t xml:space="preserve"> in MAIC</w:t>
            </w:r>
            <w:r w:rsidRPr="00532B46">
              <w:rPr>
                <w:b/>
                <w:szCs w:val="18"/>
              </w:rPr>
              <w:t>)</w:t>
            </w:r>
          </w:p>
        </w:tc>
      </w:tr>
      <w:tr w:rsidR="001B5028" w:rsidRPr="00532B46" w14:paraId="4E33DE6E" w14:textId="77777777" w:rsidTr="001B5028">
        <w:trPr>
          <w:cantSplit/>
          <w:trHeight w:val="70"/>
        </w:trPr>
        <w:tc>
          <w:tcPr>
            <w:tcW w:w="862" w:type="pct"/>
            <w:vAlign w:val="center"/>
          </w:tcPr>
          <w:p w14:paraId="2D7D212D" w14:textId="77777777" w:rsidR="001B5028" w:rsidRPr="00532B46" w:rsidRDefault="001B5028" w:rsidP="001B5028">
            <w:pPr>
              <w:pStyle w:val="TableText0"/>
              <w:keepNext/>
            </w:pPr>
            <w:r w:rsidRPr="00532B46">
              <w:t>Yu et al 2010</w:t>
            </w:r>
          </w:p>
        </w:tc>
        <w:tc>
          <w:tcPr>
            <w:tcW w:w="3223" w:type="pct"/>
            <w:vAlign w:val="center"/>
          </w:tcPr>
          <w:p w14:paraId="346E8AFF" w14:textId="77777777" w:rsidR="001B5028" w:rsidRPr="00532B46" w:rsidRDefault="001B5028" w:rsidP="001B5028">
            <w:pPr>
              <w:pStyle w:val="TableText0"/>
              <w:keepNext/>
            </w:pPr>
            <w:r w:rsidRPr="00532B46">
              <w:t xml:space="preserve">Yu A, Gilman A, </w:t>
            </w:r>
            <w:proofErr w:type="spellStart"/>
            <w:r w:rsidRPr="00532B46">
              <w:t>Ozkaynak</w:t>
            </w:r>
            <w:proofErr w:type="spellEnd"/>
            <w:r w:rsidRPr="00532B46">
              <w:t xml:space="preserve"> F, et al. Anti-GD2 antibody with GM-CSF, interleukin-2, and </w:t>
            </w:r>
            <w:proofErr w:type="spellStart"/>
            <w:r w:rsidRPr="00532B46">
              <w:t>isotretinoin</w:t>
            </w:r>
            <w:proofErr w:type="spellEnd"/>
            <w:r w:rsidRPr="00532B46">
              <w:t xml:space="preserve"> for </w:t>
            </w:r>
            <w:proofErr w:type="spellStart"/>
            <w:r w:rsidRPr="00532B46">
              <w:t>neuroblastoma</w:t>
            </w:r>
            <w:proofErr w:type="spellEnd"/>
            <w:r w:rsidRPr="00532B46">
              <w:t xml:space="preserve">. </w:t>
            </w:r>
          </w:p>
        </w:tc>
        <w:tc>
          <w:tcPr>
            <w:tcW w:w="915" w:type="pct"/>
            <w:vAlign w:val="center"/>
          </w:tcPr>
          <w:p w14:paraId="0FD735B3" w14:textId="77777777" w:rsidR="001B5028" w:rsidRPr="00532B46" w:rsidRDefault="001B5028" w:rsidP="001B5028">
            <w:pPr>
              <w:pStyle w:val="TableText0"/>
              <w:keepNext/>
              <w:rPr>
                <w:szCs w:val="18"/>
              </w:rPr>
            </w:pPr>
            <w:r w:rsidRPr="00532B46">
              <w:rPr>
                <w:iCs/>
              </w:rPr>
              <w:t>NEJM</w:t>
            </w:r>
            <w:r w:rsidRPr="00532B46">
              <w:t xml:space="preserve"> 2010 363(14): 1324-1334.</w:t>
            </w:r>
          </w:p>
        </w:tc>
      </w:tr>
      <w:tr w:rsidR="001B5028" w:rsidRPr="00532B46" w14:paraId="253000B4" w14:textId="77777777" w:rsidTr="001B5028">
        <w:trPr>
          <w:cantSplit/>
          <w:trHeight w:val="70"/>
        </w:trPr>
        <w:tc>
          <w:tcPr>
            <w:tcW w:w="5000" w:type="pct"/>
            <w:gridSpan w:val="3"/>
            <w:shd w:val="clear" w:color="auto" w:fill="BFBFBF" w:themeFill="background1" w:themeFillShade="BF"/>
            <w:vAlign w:val="center"/>
          </w:tcPr>
          <w:p w14:paraId="36E909F6" w14:textId="77777777" w:rsidR="001B5028" w:rsidRPr="00532B46" w:rsidRDefault="001B5028" w:rsidP="001B5028">
            <w:pPr>
              <w:pStyle w:val="TableText0"/>
              <w:keepNext/>
              <w:rPr>
                <w:b/>
                <w:bCs/>
                <w:szCs w:val="18"/>
              </w:rPr>
            </w:pPr>
            <w:proofErr w:type="spellStart"/>
            <w:r>
              <w:rPr>
                <w:b/>
              </w:rPr>
              <w:t>Dinutuximab</w:t>
            </w:r>
            <w:proofErr w:type="spellEnd"/>
            <w:r>
              <w:rPr>
                <w:b/>
              </w:rPr>
              <w:t xml:space="preserve"> beta</w:t>
            </w:r>
            <w:r w:rsidRPr="00532B46">
              <w:rPr>
                <w:b/>
              </w:rPr>
              <w:t xml:space="preserve"> vs </w:t>
            </w:r>
            <w:r w:rsidRPr="00532B46">
              <w:rPr>
                <w:b/>
                <w:szCs w:val="18"/>
              </w:rPr>
              <w:t xml:space="preserve">retinoic acid </w:t>
            </w:r>
            <w:r>
              <w:rPr>
                <w:b/>
                <w:szCs w:val="18"/>
              </w:rPr>
              <w:t xml:space="preserve">MAIC </w:t>
            </w:r>
          </w:p>
        </w:tc>
      </w:tr>
      <w:tr w:rsidR="001B5028" w:rsidRPr="00532B46" w14:paraId="02C084EE" w14:textId="77777777" w:rsidTr="001B5028">
        <w:trPr>
          <w:cantSplit/>
          <w:trHeight w:val="70"/>
        </w:trPr>
        <w:tc>
          <w:tcPr>
            <w:tcW w:w="5000" w:type="pct"/>
            <w:gridSpan w:val="3"/>
            <w:shd w:val="clear" w:color="auto" w:fill="D9D9D9" w:themeFill="background1" w:themeFillShade="D9"/>
            <w:vAlign w:val="center"/>
          </w:tcPr>
          <w:p w14:paraId="3D97C72B" w14:textId="77777777" w:rsidR="001B5028" w:rsidRPr="00532B46" w:rsidRDefault="001B5028" w:rsidP="001B5028">
            <w:pPr>
              <w:pStyle w:val="TableText0"/>
              <w:keepNext/>
              <w:rPr>
                <w:b/>
                <w:bCs/>
                <w:szCs w:val="18"/>
              </w:rPr>
            </w:pPr>
            <w:r w:rsidRPr="00532B46">
              <w:rPr>
                <w:b/>
                <w:szCs w:val="18"/>
              </w:rPr>
              <w:t>HRNBL</w:t>
            </w:r>
          </w:p>
        </w:tc>
      </w:tr>
      <w:tr w:rsidR="001B5028" w:rsidRPr="00532B46" w14:paraId="23549C72" w14:textId="77777777" w:rsidTr="001B5028">
        <w:trPr>
          <w:cantSplit/>
          <w:trHeight w:val="70"/>
        </w:trPr>
        <w:tc>
          <w:tcPr>
            <w:tcW w:w="862" w:type="pct"/>
            <w:vAlign w:val="center"/>
          </w:tcPr>
          <w:p w14:paraId="2EB85CCD" w14:textId="77777777" w:rsidR="001B5028" w:rsidRPr="00532B46" w:rsidRDefault="001B5028" w:rsidP="001B5028">
            <w:pPr>
              <w:pStyle w:val="TableText0"/>
              <w:keepNext/>
            </w:pPr>
            <w:r w:rsidRPr="00532B46">
              <w:t>EUSA Pharma MAIC study</w:t>
            </w:r>
          </w:p>
          <w:p w14:paraId="71CD031B" w14:textId="77777777" w:rsidR="001B5028" w:rsidRPr="00532B46" w:rsidRDefault="001B5028" w:rsidP="001B5028">
            <w:pPr>
              <w:pStyle w:val="TableText0"/>
              <w:keepNext/>
              <w:rPr>
                <w:rFonts w:cstheme="minorBidi"/>
                <w:iCs/>
                <w:szCs w:val="20"/>
              </w:rPr>
            </w:pPr>
            <w:r w:rsidRPr="00532B46">
              <w:rPr>
                <w:iCs/>
              </w:rPr>
              <w:t>(302-R2 vs Yu et al 2010)</w:t>
            </w:r>
          </w:p>
        </w:tc>
        <w:tc>
          <w:tcPr>
            <w:tcW w:w="3223" w:type="pct"/>
            <w:vAlign w:val="center"/>
          </w:tcPr>
          <w:p w14:paraId="60FD2375" w14:textId="77777777" w:rsidR="001B5028" w:rsidRPr="00532B46" w:rsidRDefault="001B5028" w:rsidP="001B5028">
            <w:pPr>
              <w:pStyle w:val="TableText0"/>
              <w:keepNext/>
              <w:rPr>
                <w:szCs w:val="18"/>
              </w:rPr>
            </w:pPr>
            <w:r w:rsidRPr="00532B46">
              <w:t>EUSA Pharma (UK) ltd. Study 302-Matching Adjusted Indirect Comparison (MAIC) Analysis.</w:t>
            </w:r>
          </w:p>
        </w:tc>
        <w:tc>
          <w:tcPr>
            <w:tcW w:w="915" w:type="pct"/>
            <w:vAlign w:val="center"/>
          </w:tcPr>
          <w:p w14:paraId="6A463B0F" w14:textId="77777777" w:rsidR="001B5028" w:rsidRPr="00532B46" w:rsidRDefault="001B5028" w:rsidP="001B5028">
            <w:pPr>
              <w:pStyle w:val="TableText0"/>
              <w:keepNext/>
              <w:rPr>
                <w:szCs w:val="18"/>
              </w:rPr>
            </w:pPr>
            <w:r w:rsidRPr="00532B46">
              <w:rPr>
                <w:szCs w:val="18"/>
              </w:rPr>
              <w:t>Analysis report (no date</w:t>
            </w:r>
            <w:r>
              <w:rPr>
                <w:szCs w:val="18"/>
              </w:rPr>
              <w:t xml:space="preserve"> provided with submission</w:t>
            </w:r>
            <w:proofErr w:type="gramStart"/>
            <w:r w:rsidRPr="0038031A">
              <w:rPr>
                <w:szCs w:val="18"/>
              </w:rPr>
              <w:t>)^</w:t>
            </w:r>
            <w:proofErr w:type="gramEnd"/>
            <w:r w:rsidRPr="0038031A">
              <w:rPr>
                <w:szCs w:val="18"/>
              </w:rPr>
              <w:t>.</w:t>
            </w:r>
          </w:p>
        </w:tc>
      </w:tr>
    </w:tbl>
    <w:p w14:paraId="00028DC5" w14:textId="77777777" w:rsidR="001B5028" w:rsidRPr="00764E88" w:rsidRDefault="001B5028" w:rsidP="00EE173C">
      <w:pPr>
        <w:pStyle w:val="TableFooter"/>
      </w:pPr>
      <w:r>
        <w:t xml:space="preserve">GD2 </w:t>
      </w:r>
      <w:proofErr w:type="spellStart"/>
      <w:r>
        <w:t>disialoganglioside</w:t>
      </w:r>
      <w:proofErr w:type="spellEnd"/>
      <w:r>
        <w:t>; GM-CSF</w:t>
      </w:r>
      <w:r>
        <w:rPr>
          <w:szCs w:val="18"/>
        </w:rPr>
        <w:t xml:space="preserve"> g</w:t>
      </w:r>
      <w:r w:rsidRPr="005A4955">
        <w:rPr>
          <w:szCs w:val="18"/>
        </w:rPr>
        <w:t>ranulocyte-macrophage colony-stimulating facto</w:t>
      </w:r>
      <w:r>
        <w:rPr>
          <w:szCs w:val="18"/>
        </w:rPr>
        <w:t>r;</w:t>
      </w:r>
      <w:r w:rsidRPr="00764E88">
        <w:t xml:space="preserve"> HRNBL </w:t>
      </w:r>
      <w:proofErr w:type="gramStart"/>
      <w:r w:rsidRPr="00764E88">
        <w:t>high risk</w:t>
      </w:r>
      <w:proofErr w:type="gramEnd"/>
      <w:r w:rsidRPr="00764E88">
        <w:t xml:space="preserve"> </w:t>
      </w:r>
      <w:proofErr w:type="spellStart"/>
      <w:r w:rsidRPr="00764E88">
        <w:t>neuroblastoma</w:t>
      </w:r>
      <w:proofErr w:type="spellEnd"/>
      <w:r>
        <w:t>; MAIC matched adjusted indirect comparison</w:t>
      </w:r>
    </w:p>
    <w:p w14:paraId="7D05758F" w14:textId="77777777" w:rsidR="001B5028" w:rsidRDefault="00EE173C" w:rsidP="00EE173C">
      <w:pPr>
        <w:pStyle w:val="TableFooter"/>
        <w:rPr>
          <w:szCs w:val="18"/>
        </w:rPr>
      </w:pPr>
      <w:r>
        <w:rPr>
          <w:vertAlign w:val="superscript"/>
        </w:rPr>
        <w:t xml:space="preserve">^ </w:t>
      </w:r>
      <w:r w:rsidR="001B5028" w:rsidRPr="00532B46">
        <w:t xml:space="preserve">Results reported in </w:t>
      </w:r>
      <w:r w:rsidR="001B5028" w:rsidRPr="00532B46">
        <w:rPr>
          <w:szCs w:val="18"/>
        </w:rPr>
        <w:t>NICE TA538, 22 August 2018.</w:t>
      </w:r>
    </w:p>
    <w:p w14:paraId="106FB53D" w14:textId="60EAF1AD" w:rsidR="00EE173C" w:rsidRPr="001F2235" w:rsidRDefault="00EE173C" w:rsidP="00EE173C">
      <w:pPr>
        <w:pStyle w:val="TableFooter"/>
        <w:rPr>
          <w:szCs w:val="18"/>
        </w:rPr>
      </w:pPr>
      <w:r>
        <w:rPr>
          <w:szCs w:val="18"/>
        </w:rPr>
        <w:t xml:space="preserve">Source: </w:t>
      </w:r>
      <w:r w:rsidR="009D2F49">
        <w:rPr>
          <w:szCs w:val="18"/>
        </w:rPr>
        <w:t>Table 3, p</w:t>
      </w:r>
      <w:r w:rsidR="00E12418">
        <w:rPr>
          <w:szCs w:val="18"/>
        </w:rPr>
        <w:t>7 of Departmental Overview</w:t>
      </w:r>
    </w:p>
    <w:p w14:paraId="28888F6C" w14:textId="0F4060EA" w:rsidR="001B5028" w:rsidRPr="00794013" w:rsidRDefault="001B5028" w:rsidP="001F2235">
      <w:pPr>
        <w:pStyle w:val="3-BodyText"/>
        <w:numPr>
          <w:ilvl w:val="0"/>
          <w:numId w:val="0"/>
        </w:numPr>
        <w:spacing w:before="240" w:after="240"/>
        <w:rPr>
          <w:rFonts w:ascii="Times New Roman" w:hAnsi="Times New Roman" w:cs="Times New Roman"/>
          <w:snapToGrid/>
          <w:szCs w:val="20"/>
        </w:rPr>
      </w:pPr>
      <w:r w:rsidRPr="00794013">
        <w:rPr>
          <w:rFonts w:ascii="Times New Roman" w:hAnsi="Times New Roman" w:cs="Times New Roman"/>
          <w:snapToGrid/>
          <w:szCs w:val="20"/>
        </w:rPr>
        <w:t xml:space="preserve">The key features of the included clinical evidence are summarised </w:t>
      </w:r>
      <w:r w:rsidRPr="00F310BF">
        <w:rPr>
          <w:rFonts w:ascii="Times New Roman" w:hAnsi="Times New Roman" w:cs="Times New Roman"/>
          <w:snapToGrid/>
          <w:szCs w:val="20"/>
        </w:rPr>
        <w:t xml:space="preserve">in </w:t>
      </w:r>
      <w:r w:rsidRPr="00F310BF">
        <w:rPr>
          <w:rFonts w:ascii="Times New Roman" w:hAnsi="Times New Roman" w:cs="Times New Roman"/>
          <w:snapToGrid/>
          <w:szCs w:val="20"/>
        </w:rPr>
        <w:fldChar w:fldCharType="begin"/>
      </w:r>
      <w:r w:rsidRPr="00F310BF">
        <w:rPr>
          <w:rFonts w:ascii="Times New Roman" w:hAnsi="Times New Roman" w:cs="Times New Roman"/>
          <w:snapToGrid/>
          <w:szCs w:val="20"/>
        </w:rPr>
        <w:instrText xml:space="preserve"> REF _Ref39837501 \h </w:instrText>
      </w:r>
      <w:r>
        <w:rPr>
          <w:rFonts w:ascii="Times New Roman" w:hAnsi="Times New Roman" w:cs="Times New Roman"/>
          <w:snapToGrid/>
          <w:szCs w:val="20"/>
        </w:rPr>
        <w:instrText xml:space="preserve"> \* MERGEFORMAT </w:instrText>
      </w:r>
      <w:r w:rsidRPr="00F310BF">
        <w:rPr>
          <w:rFonts w:ascii="Times New Roman" w:hAnsi="Times New Roman" w:cs="Times New Roman"/>
          <w:snapToGrid/>
          <w:szCs w:val="20"/>
        </w:rPr>
      </w:r>
      <w:r w:rsidRPr="00F310BF">
        <w:rPr>
          <w:rFonts w:ascii="Times New Roman" w:hAnsi="Times New Roman" w:cs="Times New Roman"/>
          <w:snapToGrid/>
          <w:szCs w:val="20"/>
        </w:rPr>
        <w:fldChar w:fldCharType="separate"/>
      </w:r>
      <w:r w:rsidR="00991D81" w:rsidRPr="00991D81">
        <w:rPr>
          <w:rFonts w:ascii="Times New Roman" w:hAnsi="Times New Roman" w:cs="Times New Roman"/>
        </w:rPr>
        <w:t xml:space="preserve">Table </w:t>
      </w:r>
      <w:r w:rsidR="00991D81" w:rsidRPr="00991D81">
        <w:rPr>
          <w:rFonts w:ascii="Times New Roman" w:hAnsi="Times New Roman" w:cs="Times New Roman"/>
          <w:noProof/>
        </w:rPr>
        <w:t>7</w:t>
      </w:r>
      <w:r w:rsidRPr="00F310BF">
        <w:rPr>
          <w:rFonts w:ascii="Times New Roman" w:hAnsi="Times New Roman" w:cs="Times New Roman"/>
          <w:snapToGrid/>
          <w:szCs w:val="20"/>
        </w:rPr>
        <w:fldChar w:fldCharType="end"/>
      </w:r>
      <w:r w:rsidRPr="00794013">
        <w:rPr>
          <w:rFonts w:ascii="Times New Roman" w:hAnsi="Times New Roman" w:cs="Times New Roman"/>
          <w:snapToGrid/>
          <w:szCs w:val="20"/>
        </w:rPr>
        <w:t>.</w:t>
      </w:r>
    </w:p>
    <w:p w14:paraId="19F2E6CC" w14:textId="1BCE1D47" w:rsidR="001B5028" w:rsidRPr="00625D9D" w:rsidRDefault="001B5028" w:rsidP="00625D9D">
      <w:pPr>
        <w:rPr>
          <w:rFonts w:ascii="Arial Narrow" w:hAnsi="Arial Narrow"/>
          <w:b/>
          <w:sz w:val="20"/>
        </w:rPr>
      </w:pPr>
      <w:bookmarkStart w:id="11" w:name="_Ref39837501"/>
      <w:r w:rsidRPr="00625D9D">
        <w:rPr>
          <w:rFonts w:ascii="Arial Narrow" w:hAnsi="Arial Narrow"/>
          <w:b/>
          <w:sz w:val="20"/>
        </w:rPr>
        <w:t xml:space="preserve">Table </w:t>
      </w:r>
      <w:r w:rsidR="00840515" w:rsidRPr="00625D9D">
        <w:rPr>
          <w:rFonts w:ascii="Arial Narrow" w:hAnsi="Arial Narrow"/>
          <w:b/>
          <w:sz w:val="20"/>
        </w:rPr>
        <w:fldChar w:fldCharType="begin"/>
      </w:r>
      <w:r w:rsidR="00840515" w:rsidRPr="00625D9D">
        <w:rPr>
          <w:rFonts w:ascii="Arial Narrow" w:hAnsi="Arial Narrow"/>
          <w:b/>
          <w:sz w:val="20"/>
        </w:rPr>
        <w:instrText xml:space="preserve"> SEQ Table \* ARABIC </w:instrText>
      </w:r>
      <w:r w:rsidR="00840515" w:rsidRPr="00625D9D">
        <w:rPr>
          <w:rFonts w:ascii="Arial Narrow" w:hAnsi="Arial Narrow"/>
          <w:b/>
          <w:sz w:val="20"/>
        </w:rPr>
        <w:fldChar w:fldCharType="separate"/>
      </w:r>
      <w:r w:rsidR="00991D81">
        <w:rPr>
          <w:rFonts w:ascii="Arial Narrow" w:hAnsi="Arial Narrow"/>
          <w:b/>
          <w:noProof/>
          <w:sz w:val="20"/>
        </w:rPr>
        <w:t>7</w:t>
      </w:r>
      <w:r w:rsidR="00840515" w:rsidRPr="00625D9D">
        <w:rPr>
          <w:rFonts w:ascii="Arial Narrow" w:hAnsi="Arial Narrow"/>
          <w:b/>
          <w:sz w:val="20"/>
        </w:rPr>
        <w:fldChar w:fldCharType="end"/>
      </w:r>
      <w:bookmarkEnd w:id="11"/>
      <w:r w:rsidRPr="00625D9D">
        <w:rPr>
          <w:rFonts w:ascii="Arial Narrow" w:hAnsi="Arial Narrow"/>
          <w:b/>
          <w:sz w:val="20"/>
        </w:rPr>
        <w:tab/>
        <w:t xml:space="preserve">Key features of the relevant evidence </w:t>
      </w:r>
    </w:p>
    <w:tbl>
      <w:tblPr>
        <w:tblStyle w:val="TableGrid"/>
        <w:tblW w:w="5000" w:type="pct"/>
        <w:tblLook w:val="04A0" w:firstRow="1" w:lastRow="0" w:firstColumn="1" w:lastColumn="0" w:noHBand="0" w:noVBand="1"/>
        <w:tblDescription w:val="Key features of the relevant evidence "/>
      </w:tblPr>
      <w:tblGrid>
        <w:gridCol w:w="1346"/>
        <w:gridCol w:w="509"/>
        <w:gridCol w:w="1187"/>
        <w:gridCol w:w="849"/>
        <w:gridCol w:w="2027"/>
        <w:gridCol w:w="3098"/>
      </w:tblGrid>
      <w:tr w:rsidR="001B5028" w:rsidRPr="00532B46" w14:paraId="2D1765CB" w14:textId="77777777" w:rsidTr="00625D9D">
        <w:trPr>
          <w:trHeight w:val="537"/>
          <w:tblHeader/>
        </w:trPr>
        <w:tc>
          <w:tcPr>
            <w:tcW w:w="747" w:type="pct"/>
          </w:tcPr>
          <w:p w14:paraId="168CDB4E" w14:textId="77777777" w:rsidR="001B5028" w:rsidRDefault="001B5028" w:rsidP="001B5028">
            <w:pPr>
              <w:keepNext/>
              <w:widowControl w:val="0"/>
              <w:rPr>
                <w:rFonts w:ascii="Arial Narrow" w:hAnsi="Arial Narrow"/>
                <w:b/>
                <w:sz w:val="20"/>
                <w:lang w:val="en-US"/>
              </w:rPr>
            </w:pPr>
            <w:r w:rsidRPr="00532B46">
              <w:rPr>
                <w:rFonts w:ascii="Arial Narrow" w:hAnsi="Arial Narrow"/>
                <w:b/>
                <w:sz w:val="20"/>
                <w:lang w:val="en-US"/>
              </w:rPr>
              <w:t>Trial/study</w:t>
            </w:r>
          </w:p>
          <w:p w14:paraId="34C605D8" w14:textId="77777777" w:rsidR="001B5028" w:rsidRPr="00532B46" w:rsidRDefault="001B5028" w:rsidP="001B5028">
            <w:pPr>
              <w:keepNext/>
              <w:widowControl w:val="0"/>
              <w:rPr>
                <w:rFonts w:ascii="Arial Narrow" w:hAnsi="Arial Narrow"/>
                <w:b/>
                <w:sz w:val="20"/>
                <w:lang w:val="en-US"/>
              </w:rPr>
            </w:pPr>
          </w:p>
        </w:tc>
        <w:tc>
          <w:tcPr>
            <w:tcW w:w="282" w:type="pct"/>
          </w:tcPr>
          <w:p w14:paraId="2BDB0663" w14:textId="77777777" w:rsidR="001B5028" w:rsidRPr="00532B46" w:rsidRDefault="001B5028" w:rsidP="001B5028">
            <w:pPr>
              <w:keepNext/>
              <w:widowControl w:val="0"/>
              <w:jc w:val="center"/>
              <w:rPr>
                <w:rFonts w:ascii="Arial Narrow" w:hAnsi="Arial Narrow"/>
                <w:b/>
                <w:sz w:val="20"/>
                <w:vertAlign w:val="superscript"/>
                <w:lang w:val="en-US"/>
              </w:rPr>
            </w:pPr>
            <w:r w:rsidRPr="00532B46">
              <w:rPr>
                <w:rFonts w:ascii="Arial Narrow" w:hAnsi="Arial Narrow"/>
                <w:b/>
                <w:sz w:val="20"/>
                <w:lang w:val="en-US"/>
              </w:rPr>
              <w:t>N</w:t>
            </w:r>
          </w:p>
        </w:tc>
        <w:tc>
          <w:tcPr>
            <w:tcW w:w="658" w:type="pct"/>
          </w:tcPr>
          <w:p w14:paraId="0C90D26B" w14:textId="77777777" w:rsidR="001B5028" w:rsidRPr="00532B46" w:rsidRDefault="001B5028" w:rsidP="001B5028">
            <w:pPr>
              <w:keepNext/>
              <w:widowControl w:val="0"/>
              <w:jc w:val="center"/>
              <w:rPr>
                <w:rFonts w:ascii="Arial Narrow" w:hAnsi="Arial Narrow"/>
                <w:b/>
                <w:sz w:val="20"/>
                <w:lang w:val="en-US"/>
              </w:rPr>
            </w:pPr>
            <w:r w:rsidRPr="00532B46">
              <w:rPr>
                <w:rFonts w:ascii="Arial Narrow" w:hAnsi="Arial Narrow"/>
                <w:b/>
                <w:sz w:val="20"/>
                <w:lang w:val="en-US"/>
              </w:rPr>
              <w:t>Design/ duration</w:t>
            </w:r>
          </w:p>
        </w:tc>
        <w:tc>
          <w:tcPr>
            <w:tcW w:w="471" w:type="pct"/>
          </w:tcPr>
          <w:p w14:paraId="2AE50D2B" w14:textId="77777777" w:rsidR="001B5028" w:rsidRPr="00532B46" w:rsidRDefault="001B5028" w:rsidP="001B5028">
            <w:pPr>
              <w:keepNext/>
              <w:widowControl w:val="0"/>
              <w:jc w:val="center"/>
              <w:rPr>
                <w:rFonts w:ascii="Arial Narrow" w:hAnsi="Arial Narrow"/>
                <w:b/>
                <w:sz w:val="20"/>
                <w:lang w:val="en-US"/>
              </w:rPr>
            </w:pPr>
            <w:r w:rsidRPr="00532B46">
              <w:rPr>
                <w:rFonts w:ascii="Arial Narrow" w:hAnsi="Arial Narrow"/>
                <w:b/>
                <w:sz w:val="20"/>
                <w:lang w:val="en-US"/>
              </w:rPr>
              <w:t>ROB</w:t>
            </w:r>
          </w:p>
        </w:tc>
        <w:tc>
          <w:tcPr>
            <w:tcW w:w="1124" w:type="pct"/>
          </w:tcPr>
          <w:p w14:paraId="3036EA3D" w14:textId="77777777" w:rsidR="001B5028" w:rsidRPr="00532B46" w:rsidRDefault="001B5028" w:rsidP="001B5028">
            <w:pPr>
              <w:keepNext/>
              <w:widowControl w:val="0"/>
              <w:jc w:val="center"/>
              <w:rPr>
                <w:rFonts w:ascii="Arial Narrow" w:hAnsi="Arial Narrow"/>
                <w:b/>
                <w:sz w:val="20"/>
                <w:lang w:val="en-US"/>
              </w:rPr>
            </w:pPr>
            <w:r w:rsidRPr="00532B46">
              <w:rPr>
                <w:rFonts w:ascii="Arial Narrow" w:hAnsi="Arial Narrow"/>
                <w:b/>
                <w:sz w:val="20"/>
                <w:lang w:val="en-US"/>
              </w:rPr>
              <w:t>Intervention(s)</w:t>
            </w:r>
          </w:p>
        </w:tc>
        <w:tc>
          <w:tcPr>
            <w:tcW w:w="1718" w:type="pct"/>
          </w:tcPr>
          <w:p w14:paraId="45C4E1CE" w14:textId="77777777" w:rsidR="001B5028" w:rsidRPr="00532B46" w:rsidRDefault="001B5028" w:rsidP="001B5028">
            <w:pPr>
              <w:keepNext/>
              <w:widowControl w:val="0"/>
              <w:jc w:val="center"/>
              <w:rPr>
                <w:rFonts w:ascii="Arial Narrow" w:hAnsi="Arial Narrow"/>
                <w:b/>
                <w:sz w:val="20"/>
                <w:lang w:val="en-US"/>
              </w:rPr>
            </w:pPr>
            <w:r w:rsidRPr="00532B46">
              <w:rPr>
                <w:rFonts w:ascii="Arial Narrow" w:hAnsi="Arial Narrow"/>
                <w:b/>
                <w:sz w:val="20"/>
                <w:lang w:val="en-US"/>
              </w:rPr>
              <w:t>Outcome(s)</w:t>
            </w:r>
          </w:p>
        </w:tc>
      </w:tr>
      <w:tr w:rsidR="001B5028" w:rsidRPr="00532B46" w14:paraId="3EAFED84" w14:textId="77777777" w:rsidTr="00625D9D">
        <w:tc>
          <w:tcPr>
            <w:tcW w:w="747" w:type="pct"/>
          </w:tcPr>
          <w:p w14:paraId="75A8DAEF" w14:textId="77777777" w:rsidR="001B5028" w:rsidRDefault="001B5028" w:rsidP="001B5028">
            <w:pPr>
              <w:keepNext/>
              <w:widowControl w:val="0"/>
              <w:rPr>
                <w:rFonts w:ascii="Arial Narrow" w:hAnsi="Arial Narrow"/>
                <w:sz w:val="20"/>
                <w:lang w:val="en-US"/>
              </w:rPr>
            </w:pPr>
            <w:r w:rsidRPr="00532B46">
              <w:rPr>
                <w:rFonts w:ascii="Arial Narrow" w:hAnsi="Arial Narrow"/>
                <w:sz w:val="20"/>
                <w:lang w:val="en-US"/>
              </w:rPr>
              <w:t>Study 301</w:t>
            </w:r>
            <w:r>
              <w:rPr>
                <w:rFonts w:ascii="Arial Narrow" w:hAnsi="Arial Narrow"/>
                <w:sz w:val="20"/>
                <w:lang w:val="en-US"/>
              </w:rPr>
              <w:t xml:space="preserve">: terminated </w:t>
            </w:r>
            <w:r w:rsidRPr="00532B46">
              <w:rPr>
                <w:rFonts w:ascii="Arial Narrow" w:hAnsi="Arial Narrow"/>
                <w:sz w:val="20"/>
              </w:rPr>
              <w:t>(SIOPEN R2 unmodified)</w:t>
            </w:r>
          </w:p>
          <w:p w14:paraId="69E3F9E2" w14:textId="77777777" w:rsidR="001B5028" w:rsidRPr="00532B46" w:rsidRDefault="001B5028" w:rsidP="001B5028">
            <w:pPr>
              <w:keepNext/>
              <w:widowControl w:val="0"/>
              <w:rPr>
                <w:rFonts w:ascii="Arial Narrow" w:hAnsi="Arial Narrow"/>
                <w:sz w:val="20"/>
                <w:lang w:val="en-US"/>
              </w:rPr>
            </w:pPr>
          </w:p>
        </w:tc>
        <w:tc>
          <w:tcPr>
            <w:tcW w:w="282" w:type="pct"/>
          </w:tcPr>
          <w:p w14:paraId="69F64511"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34</w:t>
            </w:r>
          </w:p>
        </w:tc>
        <w:tc>
          <w:tcPr>
            <w:tcW w:w="658" w:type="pct"/>
          </w:tcPr>
          <w:p w14:paraId="27C48195"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R, OL, MC, Phase III</w:t>
            </w:r>
          </w:p>
        </w:tc>
        <w:tc>
          <w:tcPr>
            <w:tcW w:w="471" w:type="pct"/>
          </w:tcPr>
          <w:p w14:paraId="38ABF3E4" w14:textId="77777777" w:rsidR="001B5028" w:rsidRPr="00CD04B6" w:rsidRDefault="001B5028" w:rsidP="001B5028">
            <w:pPr>
              <w:keepNext/>
              <w:widowControl w:val="0"/>
              <w:jc w:val="center"/>
              <w:rPr>
                <w:rFonts w:ascii="Arial Narrow" w:hAnsi="Arial Narrow"/>
                <w:sz w:val="20"/>
                <w:vertAlign w:val="superscript"/>
                <w:lang w:val="en-US"/>
              </w:rPr>
            </w:pPr>
            <w:proofErr w:type="spellStart"/>
            <w:r w:rsidRPr="00CD04B6">
              <w:rPr>
                <w:rFonts w:ascii="Arial Narrow" w:hAnsi="Arial Narrow"/>
                <w:sz w:val="20"/>
                <w:lang w:val="en-US"/>
              </w:rPr>
              <w:t>Low</w:t>
            </w:r>
            <w:r w:rsidRPr="00CD04B6">
              <w:rPr>
                <w:rFonts w:ascii="Arial Narrow" w:hAnsi="Arial Narrow"/>
                <w:sz w:val="20"/>
                <w:vertAlign w:val="superscript"/>
                <w:lang w:val="en-US"/>
              </w:rPr>
              <w:t>a</w:t>
            </w:r>
            <w:proofErr w:type="spellEnd"/>
          </w:p>
        </w:tc>
        <w:tc>
          <w:tcPr>
            <w:tcW w:w="1124" w:type="pct"/>
          </w:tcPr>
          <w:p w14:paraId="37B84599" w14:textId="77777777" w:rsidR="001B5028" w:rsidRPr="00532B46" w:rsidRDefault="001B5028" w:rsidP="001B5028">
            <w:pPr>
              <w:keepNext/>
              <w:widowControl w:val="0"/>
              <w:rPr>
                <w:rFonts w:ascii="Arial Narrow" w:hAnsi="Arial Narrow"/>
                <w:sz w:val="20"/>
              </w:rPr>
            </w:pPr>
            <w:r w:rsidRPr="00532B46">
              <w:rPr>
                <w:rFonts w:ascii="Arial Narrow" w:hAnsi="Arial Narrow"/>
                <w:sz w:val="20"/>
              </w:rPr>
              <w:t>DB (STI) + RA vs. RA</w:t>
            </w:r>
          </w:p>
        </w:tc>
        <w:tc>
          <w:tcPr>
            <w:tcW w:w="1718" w:type="pct"/>
          </w:tcPr>
          <w:p w14:paraId="3352DB45"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Primary: EFS</w:t>
            </w:r>
          </w:p>
          <w:p w14:paraId="0CB2B3FF"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Secondary: OS, relapsed/progressed pts, deaths</w:t>
            </w:r>
          </w:p>
        </w:tc>
      </w:tr>
      <w:tr w:rsidR="001B5028" w:rsidRPr="00532B46" w14:paraId="6A52B35B" w14:textId="77777777" w:rsidTr="00625D9D">
        <w:tc>
          <w:tcPr>
            <w:tcW w:w="747" w:type="pct"/>
          </w:tcPr>
          <w:p w14:paraId="7E37BD69" w14:textId="77777777" w:rsidR="001B5028" w:rsidRDefault="001B5028" w:rsidP="001B5028">
            <w:pPr>
              <w:keepNext/>
              <w:widowControl w:val="0"/>
              <w:rPr>
                <w:rFonts w:ascii="Arial Narrow" w:hAnsi="Arial Narrow"/>
                <w:sz w:val="20"/>
                <w:lang w:val="en-US"/>
              </w:rPr>
            </w:pPr>
            <w:r w:rsidRPr="00532B46">
              <w:rPr>
                <w:rFonts w:ascii="Arial Narrow" w:hAnsi="Arial Narrow"/>
                <w:sz w:val="20"/>
                <w:lang w:val="en-US"/>
              </w:rPr>
              <w:t>Study 302-R2</w:t>
            </w:r>
          </w:p>
          <w:p w14:paraId="3B6A6AE4" w14:textId="77777777" w:rsidR="001B5028" w:rsidRDefault="001B5028" w:rsidP="001B5028">
            <w:pPr>
              <w:keepNext/>
              <w:widowControl w:val="0"/>
              <w:rPr>
                <w:rFonts w:ascii="Arial Narrow" w:hAnsi="Arial Narrow"/>
                <w:sz w:val="20"/>
                <w:lang w:val="en-US"/>
              </w:rPr>
            </w:pPr>
            <w:r w:rsidRPr="00532B46">
              <w:rPr>
                <w:rFonts w:ascii="Arial Narrow" w:hAnsi="Arial Narrow"/>
                <w:sz w:val="20"/>
              </w:rPr>
              <w:t>(SIOPEN R2 revised)</w:t>
            </w:r>
          </w:p>
          <w:p w14:paraId="7C938F81" w14:textId="77777777" w:rsidR="001B5028" w:rsidRPr="00532B46" w:rsidRDefault="001B5028" w:rsidP="001B5028">
            <w:pPr>
              <w:keepNext/>
              <w:widowControl w:val="0"/>
              <w:rPr>
                <w:rFonts w:ascii="Arial Narrow" w:hAnsi="Arial Narrow"/>
                <w:sz w:val="20"/>
                <w:lang w:val="en-US"/>
              </w:rPr>
            </w:pPr>
          </w:p>
        </w:tc>
        <w:tc>
          <w:tcPr>
            <w:tcW w:w="282" w:type="pct"/>
          </w:tcPr>
          <w:p w14:paraId="43F55088"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406</w:t>
            </w:r>
          </w:p>
        </w:tc>
        <w:tc>
          <w:tcPr>
            <w:tcW w:w="658" w:type="pct"/>
          </w:tcPr>
          <w:p w14:paraId="351F573C"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R, OL, MC, Phase III</w:t>
            </w:r>
          </w:p>
        </w:tc>
        <w:tc>
          <w:tcPr>
            <w:tcW w:w="471" w:type="pct"/>
          </w:tcPr>
          <w:p w14:paraId="0E626CDF" w14:textId="77777777" w:rsidR="001B5028" w:rsidRPr="00532B46" w:rsidRDefault="001B5028" w:rsidP="001B5028">
            <w:pPr>
              <w:keepNext/>
              <w:widowControl w:val="0"/>
              <w:jc w:val="center"/>
              <w:rPr>
                <w:rFonts w:ascii="Arial Narrow" w:hAnsi="Arial Narrow"/>
                <w:sz w:val="20"/>
                <w:lang w:val="en-US"/>
              </w:rPr>
            </w:pPr>
            <w:r w:rsidRPr="00532B46">
              <w:rPr>
                <w:rFonts w:ascii="Arial Narrow" w:hAnsi="Arial Narrow"/>
                <w:sz w:val="20"/>
                <w:lang w:val="en-US"/>
              </w:rPr>
              <w:t>Low</w:t>
            </w:r>
          </w:p>
        </w:tc>
        <w:tc>
          <w:tcPr>
            <w:tcW w:w="1124" w:type="pct"/>
          </w:tcPr>
          <w:p w14:paraId="70F752D8" w14:textId="77777777" w:rsidR="001B5028" w:rsidRPr="00532B46" w:rsidRDefault="001B5028" w:rsidP="001B5028">
            <w:pPr>
              <w:keepNext/>
              <w:widowControl w:val="0"/>
              <w:spacing w:before="40" w:after="40"/>
              <w:rPr>
                <w:rFonts w:ascii="Arial Narrow" w:hAnsi="Arial Narrow"/>
                <w:sz w:val="20"/>
              </w:rPr>
            </w:pPr>
            <w:r w:rsidRPr="00532B46">
              <w:rPr>
                <w:rFonts w:ascii="Arial Narrow" w:hAnsi="Arial Narrow"/>
                <w:sz w:val="20"/>
              </w:rPr>
              <w:t>DB (STI) + RA + IL-2 vs. DB (STI) + RA</w:t>
            </w:r>
          </w:p>
        </w:tc>
        <w:tc>
          <w:tcPr>
            <w:tcW w:w="1718" w:type="pct"/>
          </w:tcPr>
          <w:p w14:paraId="5B320C46"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Primary: 3-yr EFS</w:t>
            </w:r>
            <w:r w:rsidRPr="00532B46">
              <w:rPr>
                <w:rFonts w:cs="Calibri"/>
                <w:vertAlign w:val="superscript"/>
              </w:rPr>
              <w:t>b</w:t>
            </w:r>
          </w:p>
          <w:p w14:paraId="2A0DB12C"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 xml:space="preserve">Secondary: OS,  </w:t>
            </w:r>
            <w:r w:rsidRPr="00532B46">
              <w:rPr>
                <w:rFonts w:ascii="Arial Narrow" w:hAnsi="Arial Narrow"/>
                <w:sz w:val="20"/>
              </w:rPr>
              <w:t>cumulative incidence of relapse/progression and death</w:t>
            </w:r>
          </w:p>
        </w:tc>
      </w:tr>
      <w:tr w:rsidR="001B5028" w:rsidRPr="00532B46" w14:paraId="523015DB" w14:textId="77777777" w:rsidTr="00625D9D">
        <w:tc>
          <w:tcPr>
            <w:tcW w:w="747" w:type="pct"/>
          </w:tcPr>
          <w:p w14:paraId="01B7AA1D" w14:textId="77777777" w:rsidR="001B5028" w:rsidRDefault="001B5028" w:rsidP="001B5028">
            <w:pPr>
              <w:pStyle w:val="TableText0"/>
              <w:widowControl w:val="0"/>
            </w:pPr>
            <w:r w:rsidRPr="00532B46">
              <w:t>Study 302-R4</w:t>
            </w:r>
            <w:r>
              <w:t xml:space="preserve"> </w:t>
            </w:r>
            <w:r w:rsidRPr="00532B46">
              <w:rPr>
                <w:szCs w:val="20"/>
              </w:rPr>
              <w:t>(SIOPEN R4)</w:t>
            </w:r>
          </w:p>
          <w:p w14:paraId="7E05DE44" w14:textId="77777777" w:rsidR="001B5028" w:rsidRPr="00532B46" w:rsidRDefault="001B5028" w:rsidP="001B5028">
            <w:pPr>
              <w:pStyle w:val="TableText0"/>
              <w:widowControl w:val="0"/>
            </w:pPr>
          </w:p>
        </w:tc>
        <w:tc>
          <w:tcPr>
            <w:tcW w:w="282" w:type="pct"/>
          </w:tcPr>
          <w:p w14:paraId="422CDEB3"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408</w:t>
            </w:r>
          </w:p>
        </w:tc>
        <w:tc>
          <w:tcPr>
            <w:tcW w:w="658" w:type="pct"/>
          </w:tcPr>
          <w:p w14:paraId="4E685D81"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R, OL, MC, Phase III</w:t>
            </w:r>
          </w:p>
        </w:tc>
        <w:tc>
          <w:tcPr>
            <w:tcW w:w="471" w:type="pct"/>
          </w:tcPr>
          <w:p w14:paraId="14D80DF5" w14:textId="77777777" w:rsidR="001B5028" w:rsidRPr="00532B46" w:rsidRDefault="001B5028" w:rsidP="001B5028">
            <w:pPr>
              <w:keepNext/>
              <w:widowControl w:val="0"/>
              <w:jc w:val="center"/>
              <w:rPr>
                <w:rFonts w:ascii="Arial Narrow" w:hAnsi="Arial Narrow"/>
                <w:sz w:val="20"/>
                <w:lang w:val="en-US"/>
              </w:rPr>
            </w:pPr>
            <w:r w:rsidRPr="00532B46">
              <w:rPr>
                <w:rFonts w:ascii="Arial Narrow" w:hAnsi="Arial Narrow"/>
                <w:sz w:val="20"/>
                <w:lang w:val="en-US"/>
              </w:rPr>
              <w:t>Low</w:t>
            </w:r>
          </w:p>
        </w:tc>
        <w:tc>
          <w:tcPr>
            <w:tcW w:w="1124" w:type="pct"/>
          </w:tcPr>
          <w:p w14:paraId="3F9C3FA7" w14:textId="77777777" w:rsidR="001B5028" w:rsidRPr="00532B46" w:rsidRDefault="001B5028" w:rsidP="001B5028">
            <w:pPr>
              <w:keepNext/>
              <w:widowControl w:val="0"/>
              <w:rPr>
                <w:rFonts w:ascii="Arial Narrow" w:hAnsi="Arial Narrow"/>
                <w:sz w:val="20"/>
              </w:rPr>
            </w:pPr>
            <w:r w:rsidRPr="00532B46">
              <w:rPr>
                <w:rFonts w:ascii="Arial Narrow" w:hAnsi="Arial Narrow"/>
                <w:sz w:val="20"/>
              </w:rPr>
              <w:t xml:space="preserve">DB (LTI) + RA vs. </w:t>
            </w:r>
          </w:p>
          <w:p w14:paraId="6842C6BA"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rPr>
              <w:t xml:space="preserve">DB (LTI) + RA + IL-2 (50% of </w:t>
            </w:r>
            <w:r>
              <w:rPr>
                <w:rFonts w:ascii="Arial Narrow" w:hAnsi="Arial Narrow"/>
                <w:sz w:val="20"/>
              </w:rPr>
              <w:t xml:space="preserve">dose used in </w:t>
            </w:r>
            <w:r w:rsidRPr="00532B46">
              <w:rPr>
                <w:rFonts w:ascii="Arial Narrow" w:hAnsi="Arial Narrow"/>
                <w:sz w:val="20"/>
              </w:rPr>
              <w:t>R2)</w:t>
            </w:r>
          </w:p>
        </w:tc>
        <w:tc>
          <w:tcPr>
            <w:tcW w:w="1718" w:type="pct"/>
          </w:tcPr>
          <w:p w14:paraId="64CEBE56"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Primary: EFS</w:t>
            </w:r>
          </w:p>
          <w:p w14:paraId="6A68D13E"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Secondary: response, OS, toxicity</w:t>
            </w:r>
          </w:p>
        </w:tc>
      </w:tr>
      <w:tr w:rsidR="001B5028" w:rsidRPr="00532B46" w14:paraId="757CD041" w14:textId="77777777" w:rsidTr="00625D9D">
        <w:tc>
          <w:tcPr>
            <w:tcW w:w="747" w:type="pct"/>
          </w:tcPr>
          <w:p w14:paraId="19C366B3" w14:textId="77777777" w:rsidR="001B5028" w:rsidRDefault="001B5028" w:rsidP="001B5028">
            <w:pPr>
              <w:keepNext/>
              <w:widowControl w:val="0"/>
              <w:rPr>
                <w:rFonts w:ascii="Arial Narrow" w:hAnsi="Arial Narrow"/>
                <w:sz w:val="20"/>
                <w:lang w:val="en-US"/>
              </w:rPr>
            </w:pPr>
            <w:r w:rsidRPr="00532B46">
              <w:rPr>
                <w:rFonts w:ascii="Arial Narrow" w:hAnsi="Arial Narrow"/>
                <w:sz w:val="20"/>
                <w:lang w:val="en-US"/>
              </w:rPr>
              <w:t>Yu et al 2010</w:t>
            </w:r>
          </w:p>
          <w:p w14:paraId="7847A954" w14:textId="77777777" w:rsidR="001B5028" w:rsidRDefault="001B5028" w:rsidP="001B5028">
            <w:pPr>
              <w:keepNext/>
              <w:widowControl w:val="0"/>
              <w:rPr>
                <w:rFonts w:ascii="Arial Narrow" w:hAnsi="Arial Narrow"/>
                <w:sz w:val="20"/>
                <w:lang w:val="en-US"/>
              </w:rPr>
            </w:pPr>
            <w:r w:rsidRPr="00532B46">
              <w:rPr>
                <w:rFonts w:ascii="Arial Narrow" w:hAnsi="Arial Narrow"/>
                <w:sz w:val="20"/>
              </w:rPr>
              <w:t>(COG trial</w:t>
            </w:r>
            <w:r>
              <w:rPr>
                <w:rFonts w:ascii="Arial Narrow" w:hAnsi="Arial Narrow"/>
                <w:sz w:val="20"/>
              </w:rPr>
              <w:t>)</w:t>
            </w:r>
          </w:p>
          <w:p w14:paraId="70380694" w14:textId="77777777" w:rsidR="001B5028" w:rsidRPr="00532B46" w:rsidRDefault="001B5028" w:rsidP="001B5028">
            <w:pPr>
              <w:keepNext/>
              <w:widowControl w:val="0"/>
              <w:rPr>
                <w:rFonts w:ascii="Arial Narrow" w:hAnsi="Arial Narrow"/>
                <w:sz w:val="20"/>
                <w:lang w:val="en-US"/>
              </w:rPr>
            </w:pPr>
          </w:p>
        </w:tc>
        <w:tc>
          <w:tcPr>
            <w:tcW w:w="282" w:type="pct"/>
          </w:tcPr>
          <w:p w14:paraId="306160C4"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226</w:t>
            </w:r>
          </w:p>
        </w:tc>
        <w:tc>
          <w:tcPr>
            <w:tcW w:w="658" w:type="pct"/>
          </w:tcPr>
          <w:p w14:paraId="22CA0291"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R, OL, MC, Phase III</w:t>
            </w:r>
          </w:p>
        </w:tc>
        <w:tc>
          <w:tcPr>
            <w:tcW w:w="471" w:type="pct"/>
          </w:tcPr>
          <w:p w14:paraId="3AD13377" w14:textId="77777777" w:rsidR="001B5028" w:rsidRPr="00532B46" w:rsidRDefault="001B5028" w:rsidP="001B5028">
            <w:pPr>
              <w:keepNext/>
              <w:widowControl w:val="0"/>
              <w:jc w:val="center"/>
              <w:rPr>
                <w:rFonts w:ascii="Arial Narrow" w:hAnsi="Arial Narrow"/>
                <w:sz w:val="20"/>
                <w:lang w:val="en-US"/>
              </w:rPr>
            </w:pPr>
            <w:r w:rsidRPr="00532B46">
              <w:rPr>
                <w:rFonts w:ascii="Arial Narrow" w:hAnsi="Arial Narrow"/>
                <w:sz w:val="20"/>
                <w:lang w:val="en-US"/>
              </w:rPr>
              <w:t>Low</w:t>
            </w:r>
          </w:p>
        </w:tc>
        <w:tc>
          <w:tcPr>
            <w:tcW w:w="1124" w:type="pct"/>
          </w:tcPr>
          <w:p w14:paraId="06B03E51"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rPr>
              <w:t xml:space="preserve">DA + GM-CSF + IL-2 + RA vs. RA </w:t>
            </w:r>
          </w:p>
        </w:tc>
        <w:tc>
          <w:tcPr>
            <w:tcW w:w="1718" w:type="pct"/>
          </w:tcPr>
          <w:p w14:paraId="325353FC"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Primary: EFS</w:t>
            </w:r>
          </w:p>
          <w:p w14:paraId="41C9CAFB" w14:textId="77777777" w:rsidR="001B5028" w:rsidRPr="00532B46" w:rsidRDefault="001B5028" w:rsidP="001B5028">
            <w:pPr>
              <w:keepNext/>
              <w:widowControl w:val="0"/>
              <w:rPr>
                <w:rFonts w:ascii="Arial Narrow" w:hAnsi="Arial Narrow"/>
                <w:sz w:val="20"/>
                <w:lang w:val="en-US"/>
              </w:rPr>
            </w:pPr>
            <w:r w:rsidRPr="00532B46">
              <w:rPr>
                <w:rFonts w:ascii="Arial Narrow" w:hAnsi="Arial Narrow"/>
                <w:sz w:val="20"/>
                <w:lang w:val="en-US"/>
              </w:rPr>
              <w:t>Secondary: OS</w:t>
            </w:r>
          </w:p>
        </w:tc>
      </w:tr>
    </w:tbl>
    <w:p w14:paraId="504E3BFB" w14:textId="77777777" w:rsidR="001B5028" w:rsidRPr="00532B46" w:rsidRDefault="001B5028" w:rsidP="00EE173C">
      <w:pPr>
        <w:pStyle w:val="TableFooter"/>
      </w:pPr>
      <w:r w:rsidRPr="00532B46">
        <w:t>D</w:t>
      </w:r>
      <w:r>
        <w:t xml:space="preserve">A </w:t>
      </w:r>
      <w:proofErr w:type="spellStart"/>
      <w:r>
        <w:t>dinutuximab</w:t>
      </w:r>
      <w:proofErr w:type="spellEnd"/>
      <w:r>
        <w:t xml:space="preserve"> alpha; DB </w:t>
      </w:r>
      <w:proofErr w:type="spellStart"/>
      <w:r>
        <w:t>dinutuximab</w:t>
      </w:r>
      <w:proofErr w:type="spellEnd"/>
      <w:r>
        <w:t xml:space="preserve"> beta; EFS event free survival; HRNBL high risk </w:t>
      </w:r>
      <w:proofErr w:type="spellStart"/>
      <w:r>
        <w:t>neuroblastoma</w:t>
      </w:r>
      <w:proofErr w:type="spellEnd"/>
      <w:r>
        <w:t>; GM-CSF g</w:t>
      </w:r>
      <w:r w:rsidRPr="005A4955">
        <w:t>ranulocyte-macrophage colony-stimulating facto</w:t>
      </w:r>
      <w:r>
        <w:t xml:space="preserve">r; Il-2 interleukin 2; LTI long term infusion; MC multi centre; NR non randomised; OL open label; OS overall survival; R randomised; RA retinoic acid; STI </w:t>
      </w:r>
      <w:r w:rsidRPr="00532B46">
        <w:t xml:space="preserve">short term infusion; </w:t>
      </w:r>
    </w:p>
    <w:p w14:paraId="645FFB73" w14:textId="77777777" w:rsidR="001B5028" w:rsidRPr="00532B46" w:rsidRDefault="00EE173C" w:rsidP="00EE173C">
      <w:pPr>
        <w:pStyle w:val="TableFooter"/>
      </w:pPr>
      <w:proofErr w:type="spellStart"/>
      <w:proofErr w:type="gramStart"/>
      <w:r>
        <w:rPr>
          <w:vertAlign w:val="superscript"/>
        </w:rPr>
        <w:t>a</w:t>
      </w:r>
      <w:proofErr w:type="spellEnd"/>
      <w:proofErr w:type="gramEnd"/>
      <w:r>
        <w:rPr>
          <w:vertAlign w:val="superscript"/>
        </w:rPr>
        <w:t xml:space="preserve"> </w:t>
      </w:r>
      <w:r w:rsidR="001B5028" w:rsidRPr="005A4955">
        <w:t>The study was terminated early and therefore did not meet the pre-specified sample size.</w:t>
      </w:r>
    </w:p>
    <w:p w14:paraId="513E60DD" w14:textId="77777777" w:rsidR="001B5028" w:rsidRPr="00532B46" w:rsidRDefault="001B5028" w:rsidP="00EE173C">
      <w:pPr>
        <w:pStyle w:val="TableFooter"/>
        <w:rPr>
          <w:vertAlign w:val="superscript"/>
        </w:rPr>
      </w:pPr>
      <w:proofErr w:type="gramStart"/>
      <w:r w:rsidRPr="00532B46">
        <w:rPr>
          <w:rFonts w:cs="Calibri"/>
          <w:sz w:val="20"/>
          <w:vertAlign w:val="superscript"/>
        </w:rPr>
        <w:t>b</w:t>
      </w:r>
      <w:proofErr w:type="gramEnd"/>
      <w:r w:rsidRPr="00532B46">
        <w:rPr>
          <w:rFonts w:cs="Calibri"/>
          <w:vertAlign w:val="superscript"/>
        </w:rPr>
        <w:t xml:space="preserve"> </w:t>
      </w:r>
      <w:r w:rsidRPr="00532B46">
        <w:rPr>
          <w:rFonts w:cs="Calibri"/>
        </w:rPr>
        <w:t>Calc</w:t>
      </w:r>
      <w:r w:rsidRPr="00532B46">
        <w:t>ulated from the date of the modified R2 randomisation. Disease progression or relapse, death from any cause and second neoplasm were considered as events</w:t>
      </w:r>
      <w:r w:rsidRPr="00532B46">
        <w:rPr>
          <w:vertAlign w:val="superscript"/>
        </w:rPr>
        <w:t xml:space="preserve"> </w:t>
      </w:r>
    </w:p>
    <w:p w14:paraId="45F503B5" w14:textId="6B3B6A24" w:rsidR="001B5028" w:rsidRDefault="001B5028" w:rsidP="00FF7A76">
      <w:pPr>
        <w:pStyle w:val="TableFooter"/>
      </w:pPr>
      <w:r w:rsidRPr="00532B46">
        <w:t xml:space="preserve">Source: Study 301 CSR; p23 of Study 302-R2 CSR, </w:t>
      </w:r>
      <w:proofErr w:type="spellStart"/>
      <w:r w:rsidRPr="00532B46">
        <w:t>Ladenstein</w:t>
      </w:r>
      <w:proofErr w:type="spellEnd"/>
      <w:r w:rsidRPr="00532B46">
        <w:t xml:space="preserve"> 2019b presentation.pptx, Yu et al 2010</w:t>
      </w:r>
    </w:p>
    <w:p w14:paraId="77630FCC" w14:textId="2BAC2806" w:rsidR="001B5028" w:rsidRDefault="001B5028" w:rsidP="001B5028">
      <w:r>
        <w:lastRenderedPageBreak/>
        <w:t>All the DB studies defined HRNBL using the</w:t>
      </w:r>
      <w:r w:rsidRPr="007528EC">
        <w:t xml:space="preserve"> International </w:t>
      </w:r>
      <w:proofErr w:type="spellStart"/>
      <w:r w:rsidRPr="007528EC">
        <w:t>Neuroblastoma</w:t>
      </w:r>
      <w:proofErr w:type="spellEnd"/>
      <w:r w:rsidRPr="007528EC">
        <w:t xml:space="preserve"> Staging System </w:t>
      </w:r>
      <w:r>
        <w:t xml:space="preserve">(INSS), rather than the </w:t>
      </w:r>
      <w:proofErr w:type="gramStart"/>
      <w:r>
        <w:t>INRG which</w:t>
      </w:r>
      <w:proofErr w:type="gramEnd"/>
      <w:r>
        <w:t xml:space="preserve"> is currently used in clinical practice. </w:t>
      </w:r>
      <w:r w:rsidRPr="007528EC">
        <w:t xml:space="preserve">The key difference between the two staging systems is that the INSS uses results from surgery to stage </w:t>
      </w:r>
      <w:proofErr w:type="spellStart"/>
      <w:r w:rsidRPr="007528EC">
        <w:t>neuroblastoma</w:t>
      </w:r>
      <w:proofErr w:type="spellEnd"/>
      <w:r w:rsidRPr="007528EC">
        <w:t>, whereas the INRG allows for pre-treatment risk stratification</w:t>
      </w:r>
      <w:r>
        <w:t>.</w:t>
      </w:r>
    </w:p>
    <w:p w14:paraId="024D15FC" w14:textId="6020B7FD" w:rsidR="001B5028" w:rsidRDefault="001B5028" w:rsidP="001F2235">
      <w:pPr>
        <w:spacing w:before="240"/>
      </w:pPr>
      <w:r w:rsidRPr="00532B46">
        <w:t xml:space="preserve">The key clinically relevant outcomes were overall survival (OS), event free survival (EFS) and safety. EFS </w:t>
      </w:r>
      <w:proofErr w:type="gramStart"/>
      <w:r w:rsidRPr="00532B46">
        <w:t>was defined</w:t>
      </w:r>
      <w:proofErr w:type="gramEnd"/>
      <w:r w:rsidRPr="00532B46">
        <w:t xml:space="preserve"> as the time from enrolment to the first occurrence of relapse, progressive disease, secondary cancer, or death. The primary efficacy outcome in </w:t>
      </w:r>
      <w:r>
        <w:t>Study 301, Study 302-R2</w:t>
      </w:r>
      <w:r w:rsidRPr="00532B46">
        <w:t xml:space="preserve">, </w:t>
      </w:r>
      <w:r>
        <w:t xml:space="preserve">Study </w:t>
      </w:r>
      <w:r w:rsidRPr="00532B46">
        <w:t>302-R4 and Yu 2010 was 3-year EFS</w:t>
      </w:r>
      <w:r>
        <w:t xml:space="preserve"> (</w:t>
      </w:r>
      <w:proofErr w:type="gramStart"/>
      <w:r>
        <w:t>however</w:t>
      </w:r>
      <w:proofErr w:type="gramEnd"/>
      <w:r>
        <w:t xml:space="preserve"> Study 301 was terminated and Yu 2010 was stopped early).</w:t>
      </w:r>
    </w:p>
    <w:p w14:paraId="5C1C0F77" w14:textId="7527A695" w:rsidR="001B5028" w:rsidRDefault="001B5028" w:rsidP="001F2235">
      <w:pPr>
        <w:spacing w:before="240"/>
      </w:pPr>
      <w:r>
        <w:t xml:space="preserve">Study 301 recruited 35 patients before the study </w:t>
      </w:r>
      <w:proofErr w:type="gramStart"/>
      <w:r>
        <w:t>was terminated</w:t>
      </w:r>
      <w:proofErr w:type="gramEnd"/>
      <w:r>
        <w:t xml:space="preserve">; therefore, the results from this study are not informative and are not presented below. The results for Study 302-R2 and Study 302-R4 </w:t>
      </w:r>
      <w:proofErr w:type="gramStart"/>
      <w:r>
        <w:t>are presented</w:t>
      </w:r>
      <w:proofErr w:type="gramEnd"/>
      <w:r>
        <w:t xml:space="preserve"> in </w:t>
      </w:r>
      <w:r w:rsidRPr="00CB002C">
        <w:rPr>
          <w:szCs w:val="24"/>
        </w:rPr>
        <w:fldChar w:fldCharType="begin"/>
      </w:r>
      <w:r w:rsidRPr="00CB002C">
        <w:rPr>
          <w:szCs w:val="24"/>
        </w:rPr>
        <w:instrText xml:space="preserve"> REF _Ref39837932 \h </w:instrText>
      </w:r>
      <w:r w:rsidR="00CB002C" w:rsidRPr="00CB002C">
        <w:rPr>
          <w:szCs w:val="24"/>
        </w:rPr>
        <w:instrText xml:space="preserve"> \* MERGEFORMAT </w:instrText>
      </w:r>
      <w:r w:rsidRPr="00CB002C">
        <w:rPr>
          <w:szCs w:val="24"/>
        </w:rPr>
      </w:r>
      <w:r w:rsidRPr="00CB002C">
        <w:rPr>
          <w:szCs w:val="24"/>
        </w:rPr>
        <w:fldChar w:fldCharType="separate"/>
      </w:r>
      <w:r w:rsidR="00991D81" w:rsidRPr="00991D81">
        <w:rPr>
          <w:szCs w:val="24"/>
        </w:rPr>
        <w:t xml:space="preserve">Table </w:t>
      </w:r>
      <w:r w:rsidR="00991D81" w:rsidRPr="00991D81">
        <w:rPr>
          <w:noProof/>
          <w:szCs w:val="24"/>
        </w:rPr>
        <w:t>8</w:t>
      </w:r>
      <w:r w:rsidRPr="00CB002C">
        <w:rPr>
          <w:szCs w:val="24"/>
        </w:rPr>
        <w:fldChar w:fldCharType="end"/>
      </w:r>
      <w:r w:rsidR="001F2235">
        <w:t>.</w:t>
      </w:r>
    </w:p>
    <w:p w14:paraId="3B8A2C43" w14:textId="0FAB0524" w:rsidR="001B5028" w:rsidRPr="00625D9D" w:rsidRDefault="001B5028" w:rsidP="00625D9D">
      <w:pPr>
        <w:spacing w:before="240"/>
        <w:rPr>
          <w:rFonts w:ascii="Arial Narrow" w:hAnsi="Arial Narrow"/>
          <w:b/>
          <w:sz w:val="20"/>
        </w:rPr>
      </w:pPr>
      <w:bookmarkStart w:id="12" w:name="_Ref39837932"/>
      <w:r w:rsidRPr="00625D9D">
        <w:rPr>
          <w:rFonts w:ascii="Arial Narrow" w:hAnsi="Arial Narrow"/>
          <w:b/>
          <w:sz w:val="20"/>
        </w:rPr>
        <w:t xml:space="preserve">Table </w:t>
      </w:r>
      <w:r w:rsidR="00840515" w:rsidRPr="00625D9D">
        <w:rPr>
          <w:rFonts w:ascii="Arial Narrow" w:hAnsi="Arial Narrow"/>
          <w:b/>
          <w:sz w:val="20"/>
        </w:rPr>
        <w:fldChar w:fldCharType="begin"/>
      </w:r>
      <w:r w:rsidR="00840515" w:rsidRPr="00625D9D">
        <w:rPr>
          <w:rFonts w:ascii="Arial Narrow" w:hAnsi="Arial Narrow"/>
          <w:b/>
          <w:sz w:val="20"/>
        </w:rPr>
        <w:instrText xml:space="preserve"> SEQ Table \* ARABIC </w:instrText>
      </w:r>
      <w:r w:rsidR="00840515" w:rsidRPr="00625D9D">
        <w:rPr>
          <w:rFonts w:ascii="Arial Narrow" w:hAnsi="Arial Narrow"/>
          <w:b/>
          <w:sz w:val="20"/>
        </w:rPr>
        <w:fldChar w:fldCharType="separate"/>
      </w:r>
      <w:r w:rsidR="00991D81">
        <w:rPr>
          <w:rFonts w:ascii="Arial Narrow" w:hAnsi="Arial Narrow"/>
          <w:b/>
          <w:noProof/>
          <w:sz w:val="20"/>
        </w:rPr>
        <w:t>8</w:t>
      </w:r>
      <w:r w:rsidR="00840515" w:rsidRPr="00625D9D">
        <w:rPr>
          <w:rFonts w:ascii="Arial Narrow" w:hAnsi="Arial Narrow"/>
          <w:b/>
          <w:sz w:val="20"/>
        </w:rPr>
        <w:fldChar w:fldCharType="end"/>
      </w:r>
      <w:bookmarkEnd w:id="12"/>
      <w:r w:rsidRPr="00625D9D">
        <w:rPr>
          <w:rFonts w:ascii="Arial Narrow" w:hAnsi="Arial Narrow"/>
          <w:b/>
          <w:sz w:val="20"/>
        </w:rPr>
        <w:tab/>
        <w:t>EFS and OS outcomes for Study 302-R2 and Study 302-R4</w:t>
      </w:r>
    </w:p>
    <w:tbl>
      <w:tblPr>
        <w:tblStyle w:val="TableGrid"/>
        <w:tblW w:w="5000" w:type="pct"/>
        <w:tblCellMar>
          <w:top w:w="28" w:type="dxa"/>
          <w:left w:w="28" w:type="dxa"/>
          <w:bottom w:w="28" w:type="dxa"/>
          <w:right w:w="28" w:type="dxa"/>
        </w:tblCellMar>
        <w:tblLook w:val="04A0" w:firstRow="1" w:lastRow="0" w:firstColumn="1" w:lastColumn="0" w:noHBand="0" w:noVBand="1"/>
        <w:tblDescription w:val="EFS and OS outcomes for Study 302-R2 and Study 302-R4"/>
      </w:tblPr>
      <w:tblGrid>
        <w:gridCol w:w="2300"/>
        <w:gridCol w:w="1340"/>
        <w:gridCol w:w="1731"/>
        <w:gridCol w:w="1535"/>
        <w:gridCol w:w="2110"/>
      </w:tblGrid>
      <w:tr w:rsidR="001B5028" w:rsidRPr="00D5216B" w14:paraId="5081C793" w14:textId="77777777" w:rsidTr="00840515">
        <w:trPr>
          <w:tblHeader/>
        </w:trPr>
        <w:tc>
          <w:tcPr>
            <w:tcW w:w="1276" w:type="pct"/>
            <w:shd w:val="clear" w:color="auto" w:fill="F2F2F2" w:themeFill="background1" w:themeFillShade="F2"/>
            <w:vAlign w:val="center"/>
          </w:tcPr>
          <w:p w14:paraId="3ED0CC9F" w14:textId="77777777" w:rsidR="001B5028" w:rsidRPr="00D5216B" w:rsidRDefault="001B5028" w:rsidP="001B5028">
            <w:pPr>
              <w:keepNext/>
              <w:widowControl w:val="0"/>
              <w:rPr>
                <w:rFonts w:ascii="Arial Narrow" w:hAnsi="Arial Narrow"/>
                <w:b/>
                <w:sz w:val="20"/>
              </w:rPr>
            </w:pPr>
            <w:r w:rsidRPr="00D5216B">
              <w:rPr>
                <w:rFonts w:ascii="Arial Narrow" w:hAnsi="Arial Narrow"/>
                <w:b/>
                <w:sz w:val="20"/>
              </w:rPr>
              <w:t>Trial/Study</w:t>
            </w:r>
          </w:p>
        </w:tc>
        <w:tc>
          <w:tcPr>
            <w:tcW w:w="1703" w:type="pct"/>
            <w:gridSpan w:val="2"/>
            <w:shd w:val="clear" w:color="auto" w:fill="F2F2F2" w:themeFill="background1" w:themeFillShade="F2"/>
            <w:vAlign w:val="center"/>
          </w:tcPr>
          <w:p w14:paraId="6B46D822" w14:textId="77777777" w:rsidR="001B5028" w:rsidRPr="00D5216B" w:rsidRDefault="001B5028" w:rsidP="001B5028">
            <w:pPr>
              <w:keepNext/>
              <w:widowControl w:val="0"/>
              <w:jc w:val="center"/>
              <w:rPr>
                <w:rFonts w:ascii="Arial Narrow" w:hAnsi="Arial Narrow"/>
                <w:b/>
                <w:sz w:val="20"/>
              </w:rPr>
            </w:pPr>
            <w:r w:rsidRPr="00D5216B">
              <w:rPr>
                <w:rFonts w:ascii="Arial Narrow" w:hAnsi="Arial Narrow"/>
                <w:b/>
                <w:sz w:val="20"/>
              </w:rPr>
              <w:t>Study 302-R2 (FAS)</w:t>
            </w:r>
          </w:p>
        </w:tc>
        <w:tc>
          <w:tcPr>
            <w:tcW w:w="2021" w:type="pct"/>
            <w:gridSpan w:val="2"/>
            <w:shd w:val="clear" w:color="auto" w:fill="F2F2F2" w:themeFill="background1" w:themeFillShade="F2"/>
            <w:vAlign w:val="center"/>
          </w:tcPr>
          <w:p w14:paraId="17DE9188" w14:textId="77777777" w:rsidR="001B5028" w:rsidRPr="00D5216B" w:rsidRDefault="001B5028" w:rsidP="001B5028">
            <w:pPr>
              <w:keepNext/>
              <w:widowControl w:val="0"/>
              <w:jc w:val="center"/>
              <w:rPr>
                <w:rFonts w:ascii="Arial Narrow" w:hAnsi="Arial Narrow"/>
                <w:b/>
                <w:sz w:val="20"/>
              </w:rPr>
            </w:pPr>
            <w:r w:rsidRPr="00D5216B">
              <w:rPr>
                <w:rFonts w:ascii="Arial Narrow" w:hAnsi="Arial Narrow"/>
                <w:b/>
                <w:sz w:val="20"/>
              </w:rPr>
              <w:t>Study 302-R4 (ITT)</w:t>
            </w:r>
          </w:p>
        </w:tc>
      </w:tr>
      <w:tr w:rsidR="001B5028" w:rsidRPr="00D5216B" w14:paraId="5299A30E" w14:textId="77777777" w:rsidTr="001B5028">
        <w:trPr>
          <w:trHeight w:val="263"/>
        </w:trPr>
        <w:tc>
          <w:tcPr>
            <w:tcW w:w="1276" w:type="pct"/>
            <w:shd w:val="clear" w:color="auto" w:fill="F2F2F2" w:themeFill="background1" w:themeFillShade="F2"/>
            <w:vAlign w:val="center"/>
          </w:tcPr>
          <w:p w14:paraId="1DD242F2" w14:textId="77777777" w:rsidR="001B5028" w:rsidRPr="00D5216B" w:rsidRDefault="001B5028" w:rsidP="001B5028">
            <w:pPr>
              <w:keepNext/>
              <w:widowControl w:val="0"/>
              <w:jc w:val="center"/>
              <w:rPr>
                <w:rFonts w:ascii="Arial Narrow" w:hAnsi="Arial Narrow"/>
                <w:sz w:val="20"/>
              </w:rPr>
            </w:pPr>
          </w:p>
        </w:tc>
        <w:tc>
          <w:tcPr>
            <w:tcW w:w="743" w:type="pct"/>
            <w:shd w:val="clear" w:color="auto" w:fill="F2F2F2" w:themeFill="background1" w:themeFillShade="F2"/>
            <w:vAlign w:val="center"/>
          </w:tcPr>
          <w:p w14:paraId="265F1103" w14:textId="77777777" w:rsidR="001B5028" w:rsidRPr="00F7505A" w:rsidRDefault="001B5028" w:rsidP="001B5028">
            <w:pPr>
              <w:keepNext/>
              <w:widowControl w:val="0"/>
              <w:jc w:val="center"/>
              <w:rPr>
                <w:rFonts w:ascii="Arial Narrow" w:hAnsi="Arial Narrow"/>
                <w:b/>
                <w:sz w:val="20"/>
              </w:rPr>
            </w:pPr>
            <w:r w:rsidRPr="00F7505A">
              <w:rPr>
                <w:rFonts w:ascii="Arial Narrow" w:hAnsi="Arial Narrow"/>
                <w:b/>
                <w:sz w:val="20"/>
              </w:rPr>
              <w:t>DB (STI) + RA</w:t>
            </w:r>
          </w:p>
        </w:tc>
        <w:tc>
          <w:tcPr>
            <w:tcW w:w="960" w:type="pct"/>
            <w:shd w:val="clear" w:color="auto" w:fill="F2F2F2" w:themeFill="background1" w:themeFillShade="F2"/>
            <w:vAlign w:val="center"/>
          </w:tcPr>
          <w:p w14:paraId="281C646D" w14:textId="77777777" w:rsidR="001B5028" w:rsidRPr="00F7505A" w:rsidRDefault="001B5028" w:rsidP="001B5028">
            <w:pPr>
              <w:keepNext/>
              <w:widowControl w:val="0"/>
              <w:jc w:val="center"/>
              <w:rPr>
                <w:rFonts w:ascii="Arial Narrow" w:hAnsi="Arial Narrow"/>
                <w:b/>
                <w:sz w:val="20"/>
              </w:rPr>
            </w:pPr>
            <w:r w:rsidRPr="00F7505A">
              <w:rPr>
                <w:rFonts w:ascii="Arial Narrow" w:hAnsi="Arial Narrow"/>
                <w:b/>
                <w:sz w:val="20"/>
              </w:rPr>
              <w:t>DB (STI) + IL-2 + RA</w:t>
            </w:r>
          </w:p>
        </w:tc>
        <w:tc>
          <w:tcPr>
            <w:tcW w:w="851" w:type="pct"/>
            <w:shd w:val="clear" w:color="auto" w:fill="F2F2F2" w:themeFill="background1" w:themeFillShade="F2"/>
            <w:vAlign w:val="center"/>
          </w:tcPr>
          <w:p w14:paraId="6445763F" w14:textId="77777777" w:rsidR="001B5028" w:rsidRPr="00F7505A" w:rsidRDefault="001B5028" w:rsidP="001B5028">
            <w:pPr>
              <w:keepNext/>
              <w:widowControl w:val="0"/>
              <w:jc w:val="center"/>
              <w:rPr>
                <w:rFonts w:ascii="Arial Narrow" w:hAnsi="Arial Narrow"/>
                <w:b/>
                <w:sz w:val="20"/>
              </w:rPr>
            </w:pPr>
            <w:r w:rsidRPr="00F7505A">
              <w:rPr>
                <w:rFonts w:ascii="Arial Narrow" w:hAnsi="Arial Narrow"/>
                <w:b/>
                <w:sz w:val="20"/>
              </w:rPr>
              <w:t>DB (LTI) + RA</w:t>
            </w:r>
          </w:p>
        </w:tc>
        <w:tc>
          <w:tcPr>
            <w:tcW w:w="1170" w:type="pct"/>
            <w:shd w:val="clear" w:color="auto" w:fill="F2F2F2" w:themeFill="background1" w:themeFillShade="F2"/>
            <w:vAlign w:val="center"/>
          </w:tcPr>
          <w:p w14:paraId="57D6481F" w14:textId="77777777" w:rsidR="001B5028" w:rsidRPr="00F7505A" w:rsidRDefault="001B5028" w:rsidP="001B5028">
            <w:pPr>
              <w:keepNext/>
              <w:widowControl w:val="0"/>
              <w:jc w:val="center"/>
              <w:rPr>
                <w:rFonts w:ascii="Arial Narrow" w:hAnsi="Arial Narrow"/>
                <w:b/>
                <w:sz w:val="20"/>
              </w:rPr>
            </w:pPr>
            <w:r w:rsidRPr="00F7505A">
              <w:rPr>
                <w:rFonts w:ascii="Arial Narrow" w:hAnsi="Arial Narrow"/>
                <w:b/>
                <w:sz w:val="20"/>
              </w:rPr>
              <w:t>DB (LTI) + IL-2 + RA</w:t>
            </w:r>
          </w:p>
        </w:tc>
      </w:tr>
      <w:tr w:rsidR="001B5028" w:rsidRPr="00D5216B" w14:paraId="2A0741A6" w14:textId="77777777" w:rsidTr="001B5028">
        <w:tc>
          <w:tcPr>
            <w:tcW w:w="1276" w:type="pct"/>
            <w:vAlign w:val="center"/>
          </w:tcPr>
          <w:p w14:paraId="6B112919" w14:textId="77777777" w:rsidR="001B5028" w:rsidRPr="00D5216B" w:rsidRDefault="001B5028" w:rsidP="001B5028">
            <w:pPr>
              <w:pStyle w:val="KMC16-Tablecontent"/>
              <w:keepNext/>
              <w:widowControl w:val="0"/>
              <w:jc w:val="center"/>
              <w:rPr>
                <w:i/>
                <w:color w:val="auto"/>
                <w:szCs w:val="20"/>
              </w:rPr>
            </w:pPr>
            <w:r w:rsidRPr="00D5216B">
              <w:t>N</w:t>
            </w:r>
          </w:p>
        </w:tc>
        <w:tc>
          <w:tcPr>
            <w:tcW w:w="743" w:type="pct"/>
            <w:vAlign w:val="center"/>
          </w:tcPr>
          <w:p w14:paraId="0C629C32" w14:textId="77777777" w:rsidR="001B5028" w:rsidRPr="004A6C90" w:rsidRDefault="001B5028" w:rsidP="001B5028">
            <w:pPr>
              <w:keepNext/>
              <w:widowControl w:val="0"/>
              <w:jc w:val="center"/>
              <w:rPr>
                <w:rFonts w:ascii="Arial Narrow" w:hAnsi="Arial Narrow"/>
                <w:sz w:val="20"/>
                <w:vertAlign w:val="superscript"/>
              </w:rPr>
            </w:pPr>
            <w:r w:rsidRPr="00D5216B">
              <w:rPr>
                <w:rFonts w:ascii="Arial Narrow" w:hAnsi="Arial Narrow"/>
                <w:sz w:val="20"/>
              </w:rPr>
              <w:t>180</w:t>
            </w:r>
            <w:r>
              <w:rPr>
                <w:rFonts w:ascii="Arial Narrow" w:hAnsi="Arial Narrow"/>
                <w:sz w:val="20"/>
                <w:vertAlign w:val="superscript"/>
              </w:rPr>
              <w:t>a</w:t>
            </w:r>
          </w:p>
        </w:tc>
        <w:tc>
          <w:tcPr>
            <w:tcW w:w="960" w:type="pct"/>
            <w:vAlign w:val="center"/>
          </w:tcPr>
          <w:p w14:paraId="3E0EE43C" w14:textId="77777777" w:rsidR="001B5028" w:rsidRPr="004A6C90" w:rsidRDefault="001B5028" w:rsidP="001B5028">
            <w:pPr>
              <w:keepNext/>
              <w:widowControl w:val="0"/>
              <w:jc w:val="center"/>
              <w:rPr>
                <w:rFonts w:ascii="Arial Narrow" w:hAnsi="Arial Narrow"/>
                <w:sz w:val="20"/>
                <w:vertAlign w:val="superscript"/>
              </w:rPr>
            </w:pPr>
            <w:r w:rsidRPr="00D5216B">
              <w:rPr>
                <w:rFonts w:ascii="Arial Narrow" w:hAnsi="Arial Narrow"/>
                <w:sz w:val="20"/>
              </w:rPr>
              <w:t>190</w:t>
            </w:r>
            <w:r>
              <w:rPr>
                <w:rFonts w:ascii="Arial Narrow" w:hAnsi="Arial Narrow"/>
                <w:sz w:val="20"/>
                <w:vertAlign w:val="superscript"/>
              </w:rPr>
              <w:t>a</w:t>
            </w:r>
          </w:p>
        </w:tc>
        <w:tc>
          <w:tcPr>
            <w:tcW w:w="851" w:type="pct"/>
            <w:vAlign w:val="center"/>
          </w:tcPr>
          <w:p w14:paraId="5C56A2DE" w14:textId="77777777" w:rsidR="001B5028" w:rsidRPr="00D5216B" w:rsidRDefault="001B5028" w:rsidP="001B5028">
            <w:pPr>
              <w:keepNext/>
              <w:widowControl w:val="0"/>
              <w:jc w:val="center"/>
              <w:rPr>
                <w:rFonts w:ascii="Arial Narrow" w:hAnsi="Arial Narrow"/>
                <w:sz w:val="20"/>
              </w:rPr>
            </w:pPr>
            <w:r w:rsidRPr="00D5216B">
              <w:rPr>
                <w:rFonts w:ascii="Arial Narrow" w:hAnsi="Arial Narrow"/>
                <w:sz w:val="20"/>
              </w:rPr>
              <w:t>205</w:t>
            </w:r>
          </w:p>
        </w:tc>
        <w:tc>
          <w:tcPr>
            <w:tcW w:w="1170" w:type="pct"/>
            <w:vAlign w:val="center"/>
          </w:tcPr>
          <w:p w14:paraId="02B30D06" w14:textId="77777777" w:rsidR="001B5028" w:rsidRPr="00D5216B" w:rsidRDefault="001B5028" w:rsidP="001B5028">
            <w:pPr>
              <w:keepNext/>
              <w:widowControl w:val="0"/>
              <w:jc w:val="center"/>
              <w:rPr>
                <w:rFonts w:ascii="Arial Narrow" w:hAnsi="Arial Narrow"/>
                <w:sz w:val="20"/>
              </w:rPr>
            </w:pPr>
            <w:r w:rsidRPr="00D5216B">
              <w:rPr>
                <w:rFonts w:ascii="Arial Narrow" w:hAnsi="Arial Narrow"/>
                <w:sz w:val="20"/>
              </w:rPr>
              <w:t>203</w:t>
            </w:r>
          </w:p>
        </w:tc>
      </w:tr>
      <w:tr w:rsidR="001B5028" w:rsidRPr="00FC23B3" w14:paraId="78247339" w14:textId="77777777" w:rsidTr="001B5028">
        <w:tc>
          <w:tcPr>
            <w:tcW w:w="2979" w:type="pct"/>
            <w:gridSpan w:val="3"/>
            <w:shd w:val="clear" w:color="auto" w:fill="F2F2F2" w:themeFill="background1" w:themeFillShade="F2"/>
            <w:vAlign w:val="center"/>
          </w:tcPr>
          <w:p w14:paraId="736E460F" w14:textId="77777777" w:rsidR="001B5028" w:rsidRPr="00FC23B3" w:rsidRDefault="001B5028" w:rsidP="001B5028">
            <w:pPr>
              <w:keepNext/>
              <w:widowControl w:val="0"/>
              <w:rPr>
                <w:rFonts w:ascii="Arial Narrow" w:hAnsi="Arial Narrow"/>
                <w:b/>
                <w:sz w:val="20"/>
              </w:rPr>
            </w:pPr>
            <w:r w:rsidRPr="00FC23B3">
              <w:rPr>
                <w:rFonts w:ascii="Arial Narrow" w:hAnsi="Arial Narrow"/>
                <w:b/>
                <w:sz w:val="20"/>
              </w:rPr>
              <w:t>EFS</w:t>
            </w:r>
          </w:p>
        </w:tc>
        <w:tc>
          <w:tcPr>
            <w:tcW w:w="2021" w:type="pct"/>
            <w:gridSpan w:val="2"/>
            <w:shd w:val="clear" w:color="auto" w:fill="F2F2F2" w:themeFill="background1" w:themeFillShade="F2"/>
            <w:vAlign w:val="center"/>
          </w:tcPr>
          <w:p w14:paraId="6882AC9A" w14:textId="77777777" w:rsidR="001B5028" w:rsidRPr="00FC23B3" w:rsidRDefault="001B5028" w:rsidP="001B5028">
            <w:pPr>
              <w:keepNext/>
              <w:widowControl w:val="0"/>
              <w:rPr>
                <w:rFonts w:ascii="Arial Narrow" w:hAnsi="Arial Narrow"/>
                <w:b/>
                <w:sz w:val="20"/>
              </w:rPr>
            </w:pPr>
          </w:p>
        </w:tc>
      </w:tr>
      <w:tr w:rsidR="001B5028" w:rsidRPr="00D5216B" w14:paraId="32F84056" w14:textId="77777777" w:rsidTr="007813C4">
        <w:trPr>
          <w:trHeight w:val="91"/>
        </w:trPr>
        <w:tc>
          <w:tcPr>
            <w:tcW w:w="1276" w:type="pct"/>
            <w:vAlign w:val="center"/>
          </w:tcPr>
          <w:p w14:paraId="29654566" w14:textId="77777777" w:rsidR="001B5028" w:rsidRPr="00FC23B3" w:rsidRDefault="001B5028" w:rsidP="001B5028">
            <w:pPr>
              <w:keepNext/>
              <w:widowControl w:val="0"/>
              <w:jc w:val="center"/>
              <w:rPr>
                <w:rFonts w:ascii="Arial Narrow" w:hAnsi="Arial Narrow"/>
                <w:sz w:val="20"/>
              </w:rPr>
            </w:pPr>
            <w:r w:rsidRPr="00FC23B3">
              <w:rPr>
                <w:rFonts w:ascii="Arial Narrow" w:hAnsi="Arial Narrow"/>
                <w:sz w:val="20"/>
              </w:rPr>
              <w:t>Events</w:t>
            </w:r>
          </w:p>
        </w:tc>
        <w:tc>
          <w:tcPr>
            <w:tcW w:w="743" w:type="pct"/>
            <w:shd w:val="clear" w:color="auto" w:fill="auto"/>
            <w:vAlign w:val="center"/>
          </w:tcPr>
          <w:p w14:paraId="2D241EEA" w14:textId="77777777" w:rsidR="001B5028" w:rsidRPr="00FC23B3" w:rsidRDefault="001B5028" w:rsidP="001B5028">
            <w:pPr>
              <w:keepNext/>
              <w:widowControl w:val="0"/>
              <w:jc w:val="center"/>
              <w:rPr>
                <w:rFonts w:ascii="Arial Narrow" w:hAnsi="Arial Narrow"/>
                <w:sz w:val="20"/>
              </w:rPr>
            </w:pPr>
            <w:r w:rsidRPr="00FC23B3">
              <w:rPr>
                <w:rFonts w:ascii="Arial Narrow" w:hAnsi="Arial Narrow"/>
                <w:sz w:val="20"/>
              </w:rPr>
              <w:t>79 (44.1</w:t>
            </w:r>
            <w:r>
              <w:rPr>
                <w:rFonts w:ascii="Arial Narrow" w:hAnsi="Arial Narrow"/>
                <w:sz w:val="20"/>
              </w:rPr>
              <w:t>%</w:t>
            </w:r>
            <w:r w:rsidRPr="00FC23B3">
              <w:rPr>
                <w:rFonts w:ascii="Arial Narrow" w:hAnsi="Arial Narrow"/>
                <w:sz w:val="20"/>
              </w:rPr>
              <w:t>)</w:t>
            </w:r>
          </w:p>
        </w:tc>
        <w:tc>
          <w:tcPr>
            <w:tcW w:w="960" w:type="pct"/>
            <w:shd w:val="clear" w:color="auto" w:fill="auto"/>
            <w:vAlign w:val="center"/>
          </w:tcPr>
          <w:p w14:paraId="5DC2CE13" w14:textId="77777777" w:rsidR="001B5028" w:rsidRPr="00FC23B3" w:rsidRDefault="001B5028" w:rsidP="001B5028">
            <w:pPr>
              <w:keepNext/>
              <w:widowControl w:val="0"/>
              <w:jc w:val="center"/>
              <w:rPr>
                <w:rFonts w:ascii="Arial Narrow" w:hAnsi="Arial Narrow"/>
                <w:sz w:val="20"/>
              </w:rPr>
            </w:pPr>
            <w:r w:rsidRPr="00FC23B3">
              <w:rPr>
                <w:rFonts w:ascii="Arial Narrow" w:hAnsi="Arial Narrow"/>
                <w:sz w:val="20"/>
              </w:rPr>
              <w:t>69 (36.5</w:t>
            </w:r>
            <w:r>
              <w:rPr>
                <w:rFonts w:ascii="Arial Narrow" w:hAnsi="Arial Narrow"/>
                <w:sz w:val="20"/>
              </w:rPr>
              <w:t>%</w:t>
            </w:r>
            <w:r w:rsidRPr="00FC23B3">
              <w:rPr>
                <w:rFonts w:ascii="Arial Narrow" w:hAnsi="Arial Narrow"/>
                <w:sz w:val="20"/>
              </w:rPr>
              <w:t>)</w:t>
            </w:r>
          </w:p>
        </w:tc>
        <w:tc>
          <w:tcPr>
            <w:tcW w:w="851" w:type="pct"/>
            <w:vAlign w:val="center"/>
          </w:tcPr>
          <w:p w14:paraId="15688B4B" w14:textId="77777777" w:rsidR="001B5028" w:rsidRPr="00FC23B3" w:rsidRDefault="001B5028" w:rsidP="001B5028">
            <w:pPr>
              <w:keepNext/>
              <w:widowControl w:val="0"/>
              <w:jc w:val="center"/>
              <w:rPr>
                <w:rFonts w:ascii="Arial Narrow" w:hAnsi="Arial Narrow"/>
                <w:sz w:val="20"/>
              </w:rPr>
            </w:pPr>
            <w:r w:rsidRPr="00FC23B3">
              <w:rPr>
                <w:rFonts w:ascii="Arial Narrow" w:hAnsi="Arial Narrow"/>
                <w:sz w:val="20"/>
              </w:rPr>
              <w:t>61</w:t>
            </w:r>
          </w:p>
        </w:tc>
        <w:tc>
          <w:tcPr>
            <w:tcW w:w="1170" w:type="pct"/>
            <w:vAlign w:val="center"/>
          </w:tcPr>
          <w:p w14:paraId="66B46E4C" w14:textId="77777777" w:rsidR="001B5028" w:rsidRPr="00D5216B" w:rsidRDefault="001B5028" w:rsidP="001B5028">
            <w:pPr>
              <w:keepNext/>
              <w:widowControl w:val="0"/>
              <w:jc w:val="center"/>
              <w:rPr>
                <w:rFonts w:ascii="Arial Narrow" w:hAnsi="Arial Narrow"/>
                <w:sz w:val="20"/>
              </w:rPr>
            </w:pPr>
            <w:r w:rsidRPr="00D5216B">
              <w:rPr>
                <w:rFonts w:ascii="Arial Narrow" w:hAnsi="Arial Narrow"/>
                <w:sz w:val="20"/>
              </w:rPr>
              <w:t>61</w:t>
            </w:r>
          </w:p>
        </w:tc>
      </w:tr>
      <w:tr w:rsidR="001B5028" w:rsidRPr="00D5216B" w14:paraId="63D9E952" w14:textId="77777777" w:rsidTr="007813C4">
        <w:tc>
          <w:tcPr>
            <w:tcW w:w="1276" w:type="pct"/>
            <w:vAlign w:val="center"/>
          </w:tcPr>
          <w:p w14:paraId="78C8FE34" w14:textId="77777777" w:rsidR="001B5028" w:rsidRPr="00FC23B3" w:rsidRDefault="001B5028" w:rsidP="001B5028">
            <w:pPr>
              <w:keepNext/>
              <w:widowControl w:val="0"/>
              <w:jc w:val="center"/>
              <w:rPr>
                <w:rFonts w:ascii="Arial Narrow" w:hAnsi="Arial Narrow"/>
                <w:i/>
                <w:sz w:val="20"/>
              </w:rPr>
            </w:pPr>
            <w:r w:rsidRPr="00FC23B3">
              <w:rPr>
                <w:rFonts w:ascii="Arial Narrow" w:hAnsi="Arial Narrow"/>
                <w:sz w:val="20"/>
              </w:rPr>
              <w:t>1-year</w:t>
            </w:r>
          </w:p>
        </w:tc>
        <w:tc>
          <w:tcPr>
            <w:tcW w:w="743" w:type="pct"/>
            <w:shd w:val="clear" w:color="auto" w:fill="auto"/>
            <w:vAlign w:val="center"/>
          </w:tcPr>
          <w:p w14:paraId="51CCFE5C" w14:textId="77777777" w:rsidR="001B5028" w:rsidRPr="00FC23B3" w:rsidRDefault="001B5028" w:rsidP="001B5028">
            <w:pPr>
              <w:keepNext/>
              <w:widowControl w:val="0"/>
              <w:jc w:val="center"/>
              <w:rPr>
                <w:rFonts w:ascii="Arial Narrow" w:hAnsi="Arial Narrow"/>
                <w:sz w:val="20"/>
              </w:rPr>
            </w:pPr>
            <w:r w:rsidRPr="00FC23B3">
              <w:rPr>
                <w:rFonts w:ascii="Arial Narrow" w:hAnsi="Arial Narrow"/>
                <w:sz w:val="20"/>
              </w:rPr>
              <w:t>72.3%</w:t>
            </w:r>
          </w:p>
        </w:tc>
        <w:tc>
          <w:tcPr>
            <w:tcW w:w="960" w:type="pct"/>
            <w:shd w:val="clear" w:color="auto" w:fill="auto"/>
            <w:vAlign w:val="center"/>
          </w:tcPr>
          <w:p w14:paraId="4046F7CC" w14:textId="77777777" w:rsidR="001B5028" w:rsidRPr="00FC23B3" w:rsidRDefault="001B5028" w:rsidP="001B5028">
            <w:pPr>
              <w:keepNext/>
              <w:widowControl w:val="0"/>
              <w:jc w:val="center"/>
              <w:rPr>
                <w:rFonts w:ascii="Arial Narrow" w:hAnsi="Arial Narrow"/>
                <w:sz w:val="20"/>
              </w:rPr>
            </w:pPr>
            <w:r w:rsidRPr="00FC23B3">
              <w:rPr>
                <w:rFonts w:ascii="Arial Narrow" w:hAnsi="Arial Narrow"/>
                <w:sz w:val="20"/>
              </w:rPr>
              <w:t>72.3%</w:t>
            </w:r>
          </w:p>
        </w:tc>
        <w:tc>
          <w:tcPr>
            <w:tcW w:w="851" w:type="pct"/>
            <w:vAlign w:val="center"/>
          </w:tcPr>
          <w:p w14:paraId="7D9D27EB" w14:textId="77777777" w:rsidR="001B5028" w:rsidRPr="00FC23B3" w:rsidRDefault="001B5028" w:rsidP="001B5028">
            <w:pPr>
              <w:keepNext/>
              <w:widowControl w:val="0"/>
              <w:jc w:val="center"/>
              <w:rPr>
                <w:rFonts w:ascii="Arial Narrow" w:hAnsi="Arial Narrow"/>
                <w:sz w:val="20"/>
              </w:rPr>
            </w:pPr>
            <w:r w:rsidRPr="00FC23B3">
              <w:rPr>
                <w:rFonts w:ascii="Arial Narrow" w:hAnsi="Arial Narrow"/>
                <w:sz w:val="20"/>
              </w:rPr>
              <w:t>0.76 ± 0.03</w:t>
            </w:r>
          </w:p>
        </w:tc>
        <w:tc>
          <w:tcPr>
            <w:tcW w:w="1170" w:type="pct"/>
            <w:vAlign w:val="center"/>
          </w:tcPr>
          <w:p w14:paraId="11116845" w14:textId="77777777" w:rsidR="001B5028" w:rsidRPr="00D5216B" w:rsidRDefault="001B5028" w:rsidP="001B5028">
            <w:pPr>
              <w:keepNext/>
              <w:widowControl w:val="0"/>
              <w:jc w:val="center"/>
              <w:rPr>
                <w:rFonts w:ascii="Arial Narrow" w:hAnsi="Arial Narrow"/>
                <w:sz w:val="20"/>
              </w:rPr>
            </w:pPr>
            <w:r w:rsidRPr="00D5216B">
              <w:rPr>
                <w:rFonts w:ascii="Arial Narrow" w:hAnsi="Arial Narrow"/>
                <w:sz w:val="20"/>
              </w:rPr>
              <w:t>0.75 ± 0.03</w:t>
            </w:r>
          </w:p>
        </w:tc>
      </w:tr>
      <w:tr w:rsidR="001B5028" w:rsidRPr="00A35954" w14:paraId="360796A5" w14:textId="77777777" w:rsidTr="00A35954">
        <w:tc>
          <w:tcPr>
            <w:tcW w:w="1276" w:type="pct"/>
            <w:shd w:val="clear" w:color="auto" w:fill="auto"/>
            <w:vAlign w:val="center"/>
          </w:tcPr>
          <w:p w14:paraId="39D8C8DB" w14:textId="77777777" w:rsidR="001B5028" w:rsidRPr="00A35954" w:rsidRDefault="001B5028" w:rsidP="001B5028">
            <w:pPr>
              <w:keepNext/>
              <w:widowControl w:val="0"/>
              <w:jc w:val="center"/>
              <w:rPr>
                <w:rFonts w:ascii="Arial Narrow" w:hAnsi="Arial Narrow"/>
                <w:i/>
                <w:sz w:val="20"/>
              </w:rPr>
            </w:pPr>
            <w:r w:rsidRPr="00A35954">
              <w:rPr>
                <w:rFonts w:ascii="Arial Narrow" w:hAnsi="Arial Narrow"/>
                <w:sz w:val="20"/>
              </w:rPr>
              <w:t>2-year</w:t>
            </w:r>
          </w:p>
        </w:tc>
        <w:tc>
          <w:tcPr>
            <w:tcW w:w="743" w:type="pct"/>
            <w:shd w:val="clear" w:color="auto" w:fill="auto"/>
            <w:vAlign w:val="center"/>
          </w:tcPr>
          <w:p w14:paraId="4C9E39C6"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63.2%</w:t>
            </w:r>
          </w:p>
        </w:tc>
        <w:tc>
          <w:tcPr>
            <w:tcW w:w="960" w:type="pct"/>
            <w:shd w:val="clear" w:color="auto" w:fill="auto"/>
            <w:vAlign w:val="center"/>
          </w:tcPr>
          <w:p w14:paraId="6D1B2DF4"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66.3%</w:t>
            </w:r>
          </w:p>
        </w:tc>
        <w:tc>
          <w:tcPr>
            <w:tcW w:w="851" w:type="pct"/>
            <w:shd w:val="clear" w:color="auto" w:fill="auto"/>
            <w:vAlign w:val="center"/>
          </w:tcPr>
          <w:p w14:paraId="46BEDF5A"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0.67 ± 0.04</w:t>
            </w:r>
          </w:p>
        </w:tc>
        <w:tc>
          <w:tcPr>
            <w:tcW w:w="1170" w:type="pct"/>
            <w:shd w:val="clear" w:color="auto" w:fill="auto"/>
            <w:vAlign w:val="center"/>
          </w:tcPr>
          <w:p w14:paraId="238B6753"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0.64 ± 0.04</w:t>
            </w:r>
          </w:p>
        </w:tc>
      </w:tr>
      <w:tr w:rsidR="001B5028" w:rsidRPr="00A35954" w14:paraId="5C0A8062" w14:textId="77777777" w:rsidTr="00A35954">
        <w:tc>
          <w:tcPr>
            <w:tcW w:w="1276" w:type="pct"/>
            <w:shd w:val="clear" w:color="auto" w:fill="auto"/>
            <w:vAlign w:val="center"/>
          </w:tcPr>
          <w:p w14:paraId="5C2B1A52" w14:textId="77777777" w:rsidR="001B5028" w:rsidRPr="00A35954" w:rsidRDefault="001B5028" w:rsidP="001B5028">
            <w:pPr>
              <w:keepNext/>
              <w:widowControl w:val="0"/>
              <w:jc w:val="center"/>
              <w:rPr>
                <w:rFonts w:ascii="Arial Narrow" w:hAnsi="Arial Narrow"/>
                <w:i/>
                <w:sz w:val="20"/>
              </w:rPr>
            </w:pPr>
            <w:r w:rsidRPr="00A35954">
              <w:rPr>
                <w:rFonts w:ascii="Arial Narrow" w:hAnsi="Arial Narrow"/>
                <w:sz w:val="20"/>
              </w:rPr>
              <w:t>3-year</w:t>
            </w:r>
          </w:p>
        </w:tc>
        <w:tc>
          <w:tcPr>
            <w:tcW w:w="743" w:type="pct"/>
            <w:shd w:val="clear" w:color="auto" w:fill="auto"/>
            <w:vAlign w:val="center"/>
          </w:tcPr>
          <w:p w14:paraId="7C9DA895" w14:textId="01005810" w:rsidR="001B5028" w:rsidRPr="00A35954" w:rsidRDefault="00864F79" w:rsidP="001B5028">
            <w:pPr>
              <w:keepNext/>
              <w:widowControl w:val="0"/>
              <w:jc w:val="center"/>
              <w:rPr>
                <w:rFonts w:ascii="Arial Narrow" w:hAnsi="Arial Narrow"/>
                <w:sz w:val="20"/>
              </w:rPr>
            </w:pPr>
            <w:r w:rsidRPr="00A35954">
              <w:rPr>
                <w:rFonts w:ascii="Arial Narrow" w:hAnsi="Arial Narrow"/>
                <w:sz w:val="20"/>
              </w:rPr>
              <w:t>redacted</w:t>
            </w:r>
            <w:r w:rsidR="001B5028" w:rsidRPr="00A35954">
              <w:rPr>
                <w:rFonts w:ascii="Arial Narrow" w:hAnsi="Arial Narrow"/>
                <w:sz w:val="20"/>
              </w:rPr>
              <w:t>%</w:t>
            </w:r>
          </w:p>
        </w:tc>
        <w:tc>
          <w:tcPr>
            <w:tcW w:w="960" w:type="pct"/>
            <w:shd w:val="clear" w:color="auto" w:fill="auto"/>
            <w:vAlign w:val="center"/>
          </w:tcPr>
          <w:p w14:paraId="47595271" w14:textId="09D6006C" w:rsidR="001B5028" w:rsidRPr="00A35954" w:rsidRDefault="00864F79" w:rsidP="001B5028">
            <w:pPr>
              <w:keepNext/>
              <w:widowControl w:val="0"/>
              <w:jc w:val="center"/>
              <w:rPr>
                <w:rFonts w:ascii="Arial Narrow" w:hAnsi="Arial Narrow"/>
                <w:sz w:val="20"/>
              </w:rPr>
            </w:pPr>
            <w:r w:rsidRPr="00A35954">
              <w:rPr>
                <w:rFonts w:ascii="Arial Narrow" w:hAnsi="Arial Narrow"/>
                <w:sz w:val="20"/>
              </w:rPr>
              <w:t>redacted</w:t>
            </w:r>
            <w:r w:rsidR="001B5028" w:rsidRPr="00A35954">
              <w:rPr>
                <w:rFonts w:ascii="Arial Narrow" w:hAnsi="Arial Narrow"/>
                <w:sz w:val="20"/>
              </w:rPr>
              <w:t>%</w:t>
            </w:r>
          </w:p>
        </w:tc>
        <w:tc>
          <w:tcPr>
            <w:tcW w:w="851" w:type="pct"/>
            <w:shd w:val="clear" w:color="auto" w:fill="auto"/>
            <w:vAlign w:val="center"/>
          </w:tcPr>
          <w:p w14:paraId="48BC8BB2"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NR</w:t>
            </w:r>
          </w:p>
        </w:tc>
        <w:tc>
          <w:tcPr>
            <w:tcW w:w="1170" w:type="pct"/>
            <w:shd w:val="clear" w:color="auto" w:fill="auto"/>
            <w:vAlign w:val="center"/>
          </w:tcPr>
          <w:p w14:paraId="044812EB"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NR</w:t>
            </w:r>
          </w:p>
        </w:tc>
      </w:tr>
      <w:tr w:rsidR="001B5028" w:rsidRPr="00A35954" w14:paraId="53015939" w14:textId="77777777" w:rsidTr="00A35954">
        <w:tc>
          <w:tcPr>
            <w:tcW w:w="1276" w:type="pct"/>
            <w:shd w:val="clear" w:color="auto" w:fill="auto"/>
            <w:vAlign w:val="center"/>
          </w:tcPr>
          <w:p w14:paraId="19EC2697" w14:textId="77777777" w:rsidR="001B5028" w:rsidRPr="00A35954" w:rsidRDefault="001B5028" w:rsidP="001B5028">
            <w:pPr>
              <w:keepNext/>
              <w:widowControl w:val="0"/>
              <w:jc w:val="center"/>
              <w:rPr>
                <w:rFonts w:ascii="Arial Narrow" w:hAnsi="Arial Narrow"/>
                <w:i/>
                <w:sz w:val="20"/>
              </w:rPr>
            </w:pPr>
            <w:r w:rsidRPr="00A35954">
              <w:rPr>
                <w:rFonts w:ascii="Arial Narrow" w:hAnsi="Arial Narrow"/>
                <w:sz w:val="20"/>
              </w:rPr>
              <w:t>4-year</w:t>
            </w:r>
          </w:p>
        </w:tc>
        <w:tc>
          <w:tcPr>
            <w:tcW w:w="743" w:type="pct"/>
            <w:shd w:val="clear" w:color="auto" w:fill="auto"/>
            <w:vAlign w:val="center"/>
          </w:tcPr>
          <w:p w14:paraId="1391336B" w14:textId="09F7FA17" w:rsidR="001B5028" w:rsidRPr="00A35954" w:rsidRDefault="00864F79" w:rsidP="001B5028">
            <w:pPr>
              <w:keepNext/>
              <w:widowControl w:val="0"/>
              <w:jc w:val="center"/>
              <w:rPr>
                <w:rFonts w:ascii="Arial Narrow" w:hAnsi="Arial Narrow"/>
                <w:sz w:val="20"/>
              </w:rPr>
            </w:pPr>
            <w:r w:rsidRPr="00A35954">
              <w:rPr>
                <w:rFonts w:ascii="Arial Narrow" w:hAnsi="Arial Narrow"/>
                <w:sz w:val="20"/>
              </w:rPr>
              <w:t>redacted</w:t>
            </w:r>
          </w:p>
        </w:tc>
        <w:tc>
          <w:tcPr>
            <w:tcW w:w="960" w:type="pct"/>
            <w:shd w:val="clear" w:color="auto" w:fill="auto"/>
            <w:vAlign w:val="center"/>
          </w:tcPr>
          <w:p w14:paraId="446E4B11" w14:textId="47027456" w:rsidR="001B5028" w:rsidRPr="00A35954" w:rsidRDefault="00864F79" w:rsidP="001B5028">
            <w:pPr>
              <w:keepNext/>
              <w:widowControl w:val="0"/>
              <w:jc w:val="center"/>
              <w:rPr>
                <w:rFonts w:ascii="Arial Narrow" w:hAnsi="Arial Narrow"/>
                <w:sz w:val="20"/>
              </w:rPr>
            </w:pPr>
            <w:r w:rsidRPr="00A35954">
              <w:rPr>
                <w:rFonts w:ascii="Arial Narrow" w:hAnsi="Arial Narrow"/>
                <w:sz w:val="20"/>
              </w:rPr>
              <w:t>redacted</w:t>
            </w:r>
          </w:p>
        </w:tc>
        <w:tc>
          <w:tcPr>
            <w:tcW w:w="851" w:type="pct"/>
            <w:shd w:val="clear" w:color="auto" w:fill="auto"/>
            <w:vAlign w:val="center"/>
          </w:tcPr>
          <w:p w14:paraId="564291AF"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NR</w:t>
            </w:r>
          </w:p>
        </w:tc>
        <w:tc>
          <w:tcPr>
            <w:tcW w:w="1170" w:type="pct"/>
            <w:shd w:val="clear" w:color="auto" w:fill="auto"/>
            <w:vAlign w:val="center"/>
          </w:tcPr>
          <w:p w14:paraId="52DBBD7D"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NR</w:t>
            </w:r>
          </w:p>
        </w:tc>
      </w:tr>
      <w:tr w:rsidR="001B5028" w:rsidRPr="00A35954" w14:paraId="1E959DA9" w14:textId="77777777" w:rsidTr="00A35954">
        <w:tc>
          <w:tcPr>
            <w:tcW w:w="1276" w:type="pct"/>
            <w:shd w:val="clear" w:color="auto" w:fill="auto"/>
            <w:vAlign w:val="center"/>
          </w:tcPr>
          <w:p w14:paraId="75C8C05D"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p-value</w:t>
            </w:r>
          </w:p>
        </w:tc>
        <w:tc>
          <w:tcPr>
            <w:tcW w:w="1703" w:type="pct"/>
            <w:gridSpan w:val="2"/>
            <w:shd w:val="clear" w:color="auto" w:fill="auto"/>
            <w:vAlign w:val="center"/>
          </w:tcPr>
          <w:p w14:paraId="318895C4" w14:textId="55F48566" w:rsidR="001B5028" w:rsidRPr="00A35954" w:rsidRDefault="00864F79" w:rsidP="001B5028">
            <w:pPr>
              <w:keepNext/>
              <w:widowControl w:val="0"/>
              <w:jc w:val="center"/>
              <w:rPr>
                <w:rFonts w:ascii="Arial Narrow" w:hAnsi="Arial Narrow"/>
                <w:sz w:val="20"/>
              </w:rPr>
            </w:pPr>
            <w:proofErr w:type="spellStart"/>
            <w:r w:rsidRPr="00A35954">
              <w:rPr>
                <w:rFonts w:ascii="Arial Narrow" w:hAnsi="Arial Narrow"/>
                <w:sz w:val="20"/>
              </w:rPr>
              <w:t>redacted</w:t>
            </w:r>
            <w:r w:rsidR="001B5028" w:rsidRPr="00A35954">
              <w:rPr>
                <w:rFonts w:ascii="Arial Narrow" w:hAnsi="Arial Narrow"/>
                <w:sz w:val="20"/>
                <w:vertAlign w:val="superscript"/>
              </w:rPr>
              <w:t>b</w:t>
            </w:r>
            <w:proofErr w:type="spellEnd"/>
          </w:p>
        </w:tc>
        <w:tc>
          <w:tcPr>
            <w:tcW w:w="2021" w:type="pct"/>
            <w:gridSpan w:val="2"/>
            <w:shd w:val="clear" w:color="auto" w:fill="auto"/>
            <w:vAlign w:val="center"/>
          </w:tcPr>
          <w:p w14:paraId="5FE63BEB"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0.649</w:t>
            </w:r>
          </w:p>
        </w:tc>
      </w:tr>
      <w:tr w:rsidR="001B5028" w:rsidRPr="00A35954" w14:paraId="7FEC0C7D" w14:textId="77777777" w:rsidTr="00A35954">
        <w:tc>
          <w:tcPr>
            <w:tcW w:w="2979" w:type="pct"/>
            <w:gridSpan w:val="3"/>
            <w:shd w:val="clear" w:color="auto" w:fill="auto"/>
            <w:vAlign w:val="center"/>
          </w:tcPr>
          <w:p w14:paraId="6CCE1676" w14:textId="77777777" w:rsidR="001B5028" w:rsidRPr="00A35954" w:rsidRDefault="001B5028" w:rsidP="001B5028">
            <w:pPr>
              <w:keepNext/>
              <w:widowControl w:val="0"/>
              <w:rPr>
                <w:rFonts w:ascii="Arial Narrow" w:hAnsi="Arial Narrow"/>
                <w:b/>
                <w:sz w:val="20"/>
              </w:rPr>
            </w:pPr>
            <w:r w:rsidRPr="00A35954">
              <w:rPr>
                <w:rFonts w:ascii="Arial Narrow" w:hAnsi="Arial Narrow"/>
                <w:b/>
                <w:sz w:val="20"/>
              </w:rPr>
              <w:t>OS</w:t>
            </w:r>
          </w:p>
        </w:tc>
        <w:tc>
          <w:tcPr>
            <w:tcW w:w="2021" w:type="pct"/>
            <w:gridSpan w:val="2"/>
            <w:shd w:val="clear" w:color="auto" w:fill="auto"/>
            <w:vAlign w:val="center"/>
          </w:tcPr>
          <w:p w14:paraId="3940A44E" w14:textId="77777777" w:rsidR="001B5028" w:rsidRPr="00A35954" w:rsidRDefault="001B5028" w:rsidP="001B5028">
            <w:pPr>
              <w:keepNext/>
              <w:widowControl w:val="0"/>
              <w:rPr>
                <w:rFonts w:ascii="Arial Narrow" w:hAnsi="Arial Narrow"/>
                <w:b/>
                <w:sz w:val="20"/>
              </w:rPr>
            </w:pPr>
          </w:p>
        </w:tc>
      </w:tr>
      <w:tr w:rsidR="001B5028" w:rsidRPr="00A35954" w14:paraId="21E814EE" w14:textId="77777777" w:rsidTr="00A35954">
        <w:tc>
          <w:tcPr>
            <w:tcW w:w="1276" w:type="pct"/>
            <w:shd w:val="clear" w:color="auto" w:fill="auto"/>
            <w:vAlign w:val="center"/>
          </w:tcPr>
          <w:p w14:paraId="1DA8148B" w14:textId="77777777" w:rsidR="001B5028" w:rsidRPr="00A35954" w:rsidRDefault="001B5028" w:rsidP="001B5028">
            <w:pPr>
              <w:keepNext/>
              <w:widowControl w:val="0"/>
              <w:jc w:val="center"/>
              <w:rPr>
                <w:rFonts w:ascii="Arial Narrow" w:hAnsi="Arial Narrow"/>
                <w:i/>
                <w:sz w:val="20"/>
              </w:rPr>
            </w:pPr>
            <w:r w:rsidRPr="00A35954">
              <w:rPr>
                <w:rFonts w:ascii="Arial Narrow" w:hAnsi="Arial Narrow"/>
                <w:sz w:val="20"/>
              </w:rPr>
              <w:t>Deaths</w:t>
            </w:r>
          </w:p>
        </w:tc>
        <w:tc>
          <w:tcPr>
            <w:tcW w:w="743" w:type="pct"/>
            <w:shd w:val="clear" w:color="auto" w:fill="auto"/>
            <w:vAlign w:val="center"/>
          </w:tcPr>
          <w:p w14:paraId="5428D929"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60 (33.5%)</w:t>
            </w:r>
          </w:p>
        </w:tc>
        <w:tc>
          <w:tcPr>
            <w:tcW w:w="960" w:type="pct"/>
            <w:shd w:val="clear" w:color="auto" w:fill="auto"/>
            <w:vAlign w:val="center"/>
          </w:tcPr>
          <w:p w14:paraId="3E1FCA5E"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56 (29.8%)</w:t>
            </w:r>
          </w:p>
        </w:tc>
        <w:tc>
          <w:tcPr>
            <w:tcW w:w="851" w:type="pct"/>
            <w:shd w:val="clear" w:color="auto" w:fill="auto"/>
            <w:vAlign w:val="center"/>
          </w:tcPr>
          <w:p w14:paraId="64A35522"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40</w:t>
            </w:r>
          </w:p>
        </w:tc>
        <w:tc>
          <w:tcPr>
            <w:tcW w:w="1170" w:type="pct"/>
            <w:shd w:val="clear" w:color="auto" w:fill="auto"/>
            <w:vAlign w:val="center"/>
          </w:tcPr>
          <w:p w14:paraId="6905E326"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39</w:t>
            </w:r>
          </w:p>
        </w:tc>
      </w:tr>
      <w:tr w:rsidR="001B5028" w:rsidRPr="00A35954" w14:paraId="2921800C" w14:textId="77777777" w:rsidTr="00A35954">
        <w:tc>
          <w:tcPr>
            <w:tcW w:w="1276" w:type="pct"/>
            <w:shd w:val="clear" w:color="auto" w:fill="auto"/>
            <w:vAlign w:val="center"/>
          </w:tcPr>
          <w:p w14:paraId="5F77A60E" w14:textId="77777777" w:rsidR="001B5028" w:rsidRPr="00A35954" w:rsidRDefault="001B5028" w:rsidP="001B5028">
            <w:pPr>
              <w:keepNext/>
              <w:widowControl w:val="0"/>
              <w:jc w:val="center"/>
              <w:rPr>
                <w:rFonts w:ascii="Arial Narrow" w:hAnsi="Arial Narrow"/>
                <w:i/>
                <w:sz w:val="20"/>
              </w:rPr>
            </w:pPr>
            <w:r w:rsidRPr="00A35954">
              <w:rPr>
                <w:rFonts w:ascii="Arial Narrow" w:hAnsi="Arial Narrow"/>
                <w:sz w:val="20"/>
              </w:rPr>
              <w:t>1-year</w:t>
            </w:r>
          </w:p>
        </w:tc>
        <w:tc>
          <w:tcPr>
            <w:tcW w:w="743" w:type="pct"/>
            <w:shd w:val="clear" w:color="auto" w:fill="auto"/>
            <w:vAlign w:val="center"/>
          </w:tcPr>
          <w:p w14:paraId="0C2A5EC0"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86.3%</w:t>
            </w:r>
          </w:p>
        </w:tc>
        <w:tc>
          <w:tcPr>
            <w:tcW w:w="960" w:type="pct"/>
            <w:shd w:val="clear" w:color="auto" w:fill="auto"/>
            <w:vAlign w:val="center"/>
          </w:tcPr>
          <w:p w14:paraId="5081A24C"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87.9%</w:t>
            </w:r>
          </w:p>
        </w:tc>
        <w:tc>
          <w:tcPr>
            <w:tcW w:w="851" w:type="pct"/>
            <w:shd w:val="clear" w:color="auto" w:fill="auto"/>
            <w:vAlign w:val="center"/>
          </w:tcPr>
          <w:p w14:paraId="183C2071"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0.89 ± 0.02</w:t>
            </w:r>
          </w:p>
        </w:tc>
        <w:tc>
          <w:tcPr>
            <w:tcW w:w="1170" w:type="pct"/>
            <w:shd w:val="clear" w:color="auto" w:fill="auto"/>
            <w:vAlign w:val="center"/>
          </w:tcPr>
          <w:p w14:paraId="55B558EE"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0.89 ± 0.02</w:t>
            </w:r>
          </w:p>
        </w:tc>
      </w:tr>
      <w:tr w:rsidR="001B5028" w:rsidRPr="00A35954" w14:paraId="5F254EF3" w14:textId="77777777" w:rsidTr="00A35954">
        <w:tc>
          <w:tcPr>
            <w:tcW w:w="1276" w:type="pct"/>
            <w:shd w:val="clear" w:color="auto" w:fill="auto"/>
            <w:vAlign w:val="center"/>
          </w:tcPr>
          <w:p w14:paraId="053A212F" w14:textId="77777777" w:rsidR="001B5028" w:rsidRPr="00A35954" w:rsidRDefault="001B5028" w:rsidP="001B5028">
            <w:pPr>
              <w:keepNext/>
              <w:widowControl w:val="0"/>
              <w:jc w:val="center"/>
              <w:rPr>
                <w:rFonts w:ascii="Arial Narrow" w:hAnsi="Arial Narrow"/>
                <w:i/>
                <w:sz w:val="20"/>
              </w:rPr>
            </w:pPr>
            <w:r w:rsidRPr="00A35954">
              <w:rPr>
                <w:rFonts w:ascii="Arial Narrow" w:hAnsi="Arial Narrow"/>
                <w:sz w:val="20"/>
              </w:rPr>
              <w:t>2-year</w:t>
            </w:r>
          </w:p>
        </w:tc>
        <w:tc>
          <w:tcPr>
            <w:tcW w:w="743" w:type="pct"/>
            <w:shd w:val="clear" w:color="auto" w:fill="auto"/>
            <w:vAlign w:val="center"/>
          </w:tcPr>
          <w:p w14:paraId="2217ACDE"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76.0%</w:t>
            </w:r>
          </w:p>
        </w:tc>
        <w:tc>
          <w:tcPr>
            <w:tcW w:w="960" w:type="pct"/>
            <w:shd w:val="clear" w:color="auto" w:fill="auto"/>
            <w:vAlign w:val="center"/>
          </w:tcPr>
          <w:p w14:paraId="014F7B3F"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75.4%</w:t>
            </w:r>
          </w:p>
        </w:tc>
        <w:tc>
          <w:tcPr>
            <w:tcW w:w="851" w:type="pct"/>
            <w:shd w:val="clear" w:color="auto" w:fill="auto"/>
            <w:vAlign w:val="center"/>
          </w:tcPr>
          <w:p w14:paraId="6137D502"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0.82 ± 0.03</w:t>
            </w:r>
          </w:p>
        </w:tc>
        <w:tc>
          <w:tcPr>
            <w:tcW w:w="1170" w:type="pct"/>
            <w:shd w:val="clear" w:color="auto" w:fill="auto"/>
            <w:vAlign w:val="center"/>
          </w:tcPr>
          <w:p w14:paraId="35F3A59D"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0.78 ± 0.04</w:t>
            </w:r>
          </w:p>
        </w:tc>
      </w:tr>
      <w:tr w:rsidR="001B5028" w:rsidRPr="00A35954" w14:paraId="1234C12D" w14:textId="77777777" w:rsidTr="00A35954">
        <w:tc>
          <w:tcPr>
            <w:tcW w:w="1276" w:type="pct"/>
            <w:shd w:val="clear" w:color="auto" w:fill="auto"/>
            <w:vAlign w:val="center"/>
          </w:tcPr>
          <w:p w14:paraId="3552B517" w14:textId="77777777" w:rsidR="001B5028" w:rsidRPr="00A35954" w:rsidRDefault="001B5028" w:rsidP="001B5028">
            <w:pPr>
              <w:keepNext/>
              <w:widowControl w:val="0"/>
              <w:jc w:val="center"/>
              <w:rPr>
                <w:rFonts w:ascii="Arial Narrow" w:hAnsi="Arial Narrow"/>
                <w:i/>
                <w:sz w:val="20"/>
              </w:rPr>
            </w:pPr>
            <w:r w:rsidRPr="00A35954">
              <w:rPr>
                <w:rFonts w:ascii="Arial Narrow" w:hAnsi="Arial Narrow"/>
                <w:sz w:val="20"/>
              </w:rPr>
              <w:t>3-year</w:t>
            </w:r>
          </w:p>
        </w:tc>
        <w:tc>
          <w:tcPr>
            <w:tcW w:w="743" w:type="pct"/>
            <w:shd w:val="clear" w:color="auto" w:fill="auto"/>
            <w:vAlign w:val="center"/>
          </w:tcPr>
          <w:p w14:paraId="40FA1403"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64.1%</w:t>
            </w:r>
          </w:p>
        </w:tc>
        <w:tc>
          <w:tcPr>
            <w:tcW w:w="960" w:type="pct"/>
            <w:shd w:val="clear" w:color="auto" w:fill="auto"/>
            <w:vAlign w:val="center"/>
          </w:tcPr>
          <w:p w14:paraId="54DE9D11"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69.1%</w:t>
            </w:r>
          </w:p>
        </w:tc>
        <w:tc>
          <w:tcPr>
            <w:tcW w:w="851" w:type="pct"/>
            <w:shd w:val="clear" w:color="auto" w:fill="auto"/>
            <w:vAlign w:val="center"/>
          </w:tcPr>
          <w:p w14:paraId="7B3C772E"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NR</w:t>
            </w:r>
          </w:p>
        </w:tc>
        <w:tc>
          <w:tcPr>
            <w:tcW w:w="1170" w:type="pct"/>
            <w:shd w:val="clear" w:color="auto" w:fill="auto"/>
            <w:vAlign w:val="center"/>
          </w:tcPr>
          <w:p w14:paraId="59B51007"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NR</w:t>
            </w:r>
          </w:p>
        </w:tc>
      </w:tr>
      <w:tr w:rsidR="001B5028" w:rsidRPr="00A35954" w14:paraId="5BBE8E0E" w14:textId="77777777" w:rsidTr="00A35954">
        <w:tc>
          <w:tcPr>
            <w:tcW w:w="1276" w:type="pct"/>
            <w:shd w:val="clear" w:color="auto" w:fill="auto"/>
            <w:vAlign w:val="center"/>
          </w:tcPr>
          <w:p w14:paraId="0CE38CA7" w14:textId="77777777" w:rsidR="001B5028" w:rsidRPr="00A35954" w:rsidRDefault="001B5028" w:rsidP="001B5028">
            <w:pPr>
              <w:keepNext/>
              <w:widowControl w:val="0"/>
              <w:jc w:val="center"/>
              <w:rPr>
                <w:rFonts w:ascii="Arial Narrow" w:hAnsi="Arial Narrow"/>
                <w:i/>
                <w:sz w:val="20"/>
              </w:rPr>
            </w:pPr>
            <w:r w:rsidRPr="00A35954">
              <w:rPr>
                <w:rFonts w:ascii="Arial Narrow" w:hAnsi="Arial Narrow"/>
                <w:sz w:val="20"/>
              </w:rPr>
              <w:t>4-year</w:t>
            </w:r>
          </w:p>
        </w:tc>
        <w:tc>
          <w:tcPr>
            <w:tcW w:w="743" w:type="pct"/>
            <w:shd w:val="clear" w:color="auto" w:fill="auto"/>
            <w:vAlign w:val="center"/>
          </w:tcPr>
          <w:p w14:paraId="1097AA14" w14:textId="622FB02D" w:rsidR="001B5028" w:rsidRPr="00A35954" w:rsidRDefault="00864F79" w:rsidP="001B5028">
            <w:pPr>
              <w:keepNext/>
              <w:widowControl w:val="0"/>
              <w:jc w:val="center"/>
              <w:rPr>
                <w:rFonts w:ascii="Arial Narrow" w:hAnsi="Arial Narrow"/>
                <w:sz w:val="20"/>
              </w:rPr>
            </w:pPr>
            <w:r w:rsidRPr="00A35954">
              <w:rPr>
                <w:rFonts w:ascii="Arial Narrow" w:hAnsi="Arial Narrow"/>
                <w:sz w:val="20"/>
              </w:rPr>
              <w:t>redacted</w:t>
            </w:r>
          </w:p>
        </w:tc>
        <w:tc>
          <w:tcPr>
            <w:tcW w:w="960" w:type="pct"/>
            <w:shd w:val="clear" w:color="auto" w:fill="auto"/>
            <w:vAlign w:val="center"/>
          </w:tcPr>
          <w:p w14:paraId="256478B7" w14:textId="0ACF5E40" w:rsidR="001B5028" w:rsidRPr="00A35954" w:rsidRDefault="00864F79" w:rsidP="001B5028">
            <w:pPr>
              <w:keepNext/>
              <w:widowControl w:val="0"/>
              <w:jc w:val="center"/>
              <w:rPr>
                <w:rFonts w:ascii="Arial Narrow" w:hAnsi="Arial Narrow"/>
                <w:sz w:val="20"/>
              </w:rPr>
            </w:pPr>
            <w:r w:rsidRPr="00A35954">
              <w:rPr>
                <w:rFonts w:ascii="Arial Narrow" w:hAnsi="Arial Narrow"/>
                <w:sz w:val="20"/>
              </w:rPr>
              <w:t>redacted</w:t>
            </w:r>
          </w:p>
        </w:tc>
        <w:tc>
          <w:tcPr>
            <w:tcW w:w="851" w:type="pct"/>
            <w:shd w:val="clear" w:color="auto" w:fill="auto"/>
            <w:vAlign w:val="center"/>
          </w:tcPr>
          <w:p w14:paraId="1A77C7D8"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NR</w:t>
            </w:r>
          </w:p>
        </w:tc>
        <w:tc>
          <w:tcPr>
            <w:tcW w:w="1170" w:type="pct"/>
            <w:shd w:val="clear" w:color="auto" w:fill="auto"/>
            <w:vAlign w:val="center"/>
          </w:tcPr>
          <w:p w14:paraId="003A6843"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NR</w:t>
            </w:r>
          </w:p>
        </w:tc>
      </w:tr>
      <w:tr w:rsidR="001B5028" w:rsidRPr="00D5216B" w14:paraId="77429AEC" w14:textId="77777777" w:rsidTr="00A35954">
        <w:tc>
          <w:tcPr>
            <w:tcW w:w="1276" w:type="pct"/>
            <w:shd w:val="clear" w:color="auto" w:fill="auto"/>
            <w:vAlign w:val="center"/>
          </w:tcPr>
          <w:p w14:paraId="385CA660" w14:textId="77777777" w:rsidR="001B5028" w:rsidRPr="00A35954" w:rsidRDefault="001B5028" w:rsidP="001B5028">
            <w:pPr>
              <w:keepNext/>
              <w:widowControl w:val="0"/>
              <w:jc w:val="center"/>
              <w:rPr>
                <w:rFonts w:ascii="Arial Narrow" w:hAnsi="Arial Narrow"/>
                <w:i/>
                <w:sz w:val="20"/>
              </w:rPr>
            </w:pPr>
            <w:r w:rsidRPr="00A35954">
              <w:rPr>
                <w:rFonts w:ascii="Arial Narrow" w:hAnsi="Arial Narrow"/>
                <w:sz w:val="20"/>
              </w:rPr>
              <w:t>p-value</w:t>
            </w:r>
          </w:p>
        </w:tc>
        <w:tc>
          <w:tcPr>
            <w:tcW w:w="1703" w:type="pct"/>
            <w:gridSpan w:val="2"/>
            <w:shd w:val="clear" w:color="auto" w:fill="auto"/>
            <w:vAlign w:val="center"/>
          </w:tcPr>
          <w:p w14:paraId="55677954" w14:textId="23C5203C" w:rsidR="001B5028" w:rsidRPr="00A35954" w:rsidRDefault="00864F79" w:rsidP="001B5028">
            <w:pPr>
              <w:keepNext/>
              <w:widowControl w:val="0"/>
              <w:jc w:val="center"/>
              <w:rPr>
                <w:rFonts w:ascii="Arial Narrow" w:hAnsi="Arial Narrow"/>
                <w:sz w:val="20"/>
              </w:rPr>
            </w:pPr>
            <w:proofErr w:type="spellStart"/>
            <w:r w:rsidRPr="00A35954">
              <w:rPr>
                <w:rFonts w:ascii="Arial Narrow" w:hAnsi="Arial Narrow"/>
                <w:sz w:val="20"/>
              </w:rPr>
              <w:t>redacted</w:t>
            </w:r>
            <w:r w:rsidR="001B5028" w:rsidRPr="00A35954">
              <w:rPr>
                <w:rFonts w:ascii="Arial Narrow" w:hAnsi="Arial Narrow"/>
                <w:sz w:val="20"/>
                <w:vertAlign w:val="superscript"/>
              </w:rPr>
              <w:t>c</w:t>
            </w:r>
            <w:proofErr w:type="spellEnd"/>
          </w:p>
        </w:tc>
        <w:tc>
          <w:tcPr>
            <w:tcW w:w="2021" w:type="pct"/>
            <w:gridSpan w:val="2"/>
            <w:shd w:val="clear" w:color="auto" w:fill="auto"/>
            <w:vAlign w:val="center"/>
          </w:tcPr>
          <w:p w14:paraId="7DA67E27" w14:textId="77777777" w:rsidR="001B5028" w:rsidRPr="00D5216B" w:rsidRDefault="001B5028" w:rsidP="001B5028">
            <w:pPr>
              <w:keepNext/>
              <w:widowControl w:val="0"/>
              <w:jc w:val="center"/>
              <w:rPr>
                <w:rFonts w:ascii="Arial Narrow" w:hAnsi="Arial Narrow"/>
                <w:sz w:val="20"/>
              </w:rPr>
            </w:pPr>
            <w:r w:rsidRPr="00A35954">
              <w:rPr>
                <w:rFonts w:ascii="Arial Narrow" w:hAnsi="Arial Narrow"/>
                <w:sz w:val="20"/>
              </w:rPr>
              <w:t>0.655</w:t>
            </w:r>
          </w:p>
        </w:tc>
      </w:tr>
    </w:tbl>
    <w:p w14:paraId="513E3A35" w14:textId="77777777" w:rsidR="001B5028" w:rsidRPr="00912536" w:rsidRDefault="001B5028" w:rsidP="00EE173C">
      <w:pPr>
        <w:pStyle w:val="TableFooter"/>
      </w:pPr>
      <w:r w:rsidRPr="00912536">
        <w:t>EFS</w:t>
      </w:r>
      <w:r>
        <w:t xml:space="preserve"> event free survival; FAS full analysis set; IL2 interleukin 2; ITT intention to treat; LTI long term infusion; NR not reported; OS overall survival; STI short term infusion; </w:t>
      </w:r>
    </w:p>
    <w:p w14:paraId="5B4BE170" w14:textId="77777777" w:rsidR="001B5028" w:rsidRPr="00912536" w:rsidRDefault="001B5028" w:rsidP="00EE173C">
      <w:pPr>
        <w:pStyle w:val="TableFooter"/>
        <w:rPr>
          <w:szCs w:val="18"/>
        </w:rPr>
      </w:pPr>
      <w:proofErr w:type="gramStart"/>
      <w:r w:rsidRPr="00912536">
        <w:rPr>
          <w:szCs w:val="18"/>
          <w:vertAlign w:val="superscript"/>
        </w:rPr>
        <w:t xml:space="preserve">a </w:t>
      </w:r>
      <w:r>
        <w:rPr>
          <w:szCs w:val="18"/>
        </w:rPr>
        <w:t xml:space="preserve"> </w:t>
      </w:r>
      <w:r w:rsidRPr="00912536">
        <w:rPr>
          <w:szCs w:val="18"/>
        </w:rPr>
        <w:t>1</w:t>
      </w:r>
      <w:proofErr w:type="gramEnd"/>
      <w:r w:rsidRPr="00912536">
        <w:rPr>
          <w:szCs w:val="18"/>
        </w:rPr>
        <w:t xml:space="preserve"> patient with missing date of death and without progression was excluded from the analysis</w:t>
      </w:r>
    </w:p>
    <w:p w14:paraId="09146BE5" w14:textId="77777777" w:rsidR="001B5028" w:rsidRPr="00912536" w:rsidRDefault="001B5028" w:rsidP="00EE173C">
      <w:pPr>
        <w:pStyle w:val="TableFooter"/>
        <w:rPr>
          <w:szCs w:val="18"/>
        </w:rPr>
      </w:pPr>
      <w:proofErr w:type="gramStart"/>
      <w:r w:rsidRPr="00912536">
        <w:rPr>
          <w:szCs w:val="18"/>
          <w:vertAlign w:val="superscript"/>
        </w:rPr>
        <w:t>b</w:t>
      </w:r>
      <w:proofErr w:type="gramEnd"/>
      <w:r w:rsidRPr="00912536">
        <w:rPr>
          <w:szCs w:val="18"/>
          <w:vertAlign w:val="superscript"/>
        </w:rPr>
        <w:t xml:space="preserve"> </w:t>
      </w:r>
      <w:r w:rsidRPr="00912536">
        <w:rPr>
          <w:szCs w:val="18"/>
        </w:rPr>
        <w:t>Adjusted for previous treatment (</w:t>
      </w:r>
      <w:proofErr w:type="spellStart"/>
      <w:r w:rsidRPr="00912536">
        <w:rPr>
          <w:szCs w:val="18"/>
        </w:rPr>
        <w:t>busulfan</w:t>
      </w:r>
      <w:proofErr w:type="spellEnd"/>
      <w:r w:rsidRPr="00912536">
        <w:rPr>
          <w:szCs w:val="18"/>
        </w:rPr>
        <w:t xml:space="preserve"> and </w:t>
      </w:r>
      <w:proofErr w:type="spellStart"/>
      <w:r w:rsidRPr="00912536">
        <w:rPr>
          <w:szCs w:val="18"/>
        </w:rPr>
        <w:t>melphalan</w:t>
      </w:r>
      <w:proofErr w:type="spellEnd"/>
      <w:r w:rsidRPr="00912536">
        <w:rPr>
          <w:szCs w:val="18"/>
        </w:rPr>
        <w:t xml:space="preserve">, carboplatin, etoposide and </w:t>
      </w:r>
      <w:proofErr w:type="spellStart"/>
      <w:r w:rsidRPr="00912536">
        <w:rPr>
          <w:szCs w:val="18"/>
        </w:rPr>
        <w:t>melphalan</w:t>
      </w:r>
      <w:proofErr w:type="spellEnd"/>
      <w:r w:rsidRPr="00912536">
        <w:rPr>
          <w:szCs w:val="18"/>
        </w:rPr>
        <w:t>). Note that the p-value refers to the overall EFS analysis and not only to the 3-year analysis</w:t>
      </w:r>
    </w:p>
    <w:p w14:paraId="6F7BDA60" w14:textId="77777777" w:rsidR="001B5028" w:rsidRDefault="001B5028" w:rsidP="00EE173C">
      <w:pPr>
        <w:pStyle w:val="TableFooter"/>
        <w:rPr>
          <w:szCs w:val="18"/>
        </w:rPr>
      </w:pPr>
      <w:proofErr w:type="gramStart"/>
      <w:r w:rsidRPr="00912536">
        <w:rPr>
          <w:szCs w:val="18"/>
          <w:vertAlign w:val="superscript"/>
        </w:rPr>
        <w:t xml:space="preserve">c </w:t>
      </w:r>
      <w:r w:rsidRPr="00912536">
        <w:rPr>
          <w:szCs w:val="18"/>
        </w:rPr>
        <w:t xml:space="preserve"> Adjusted</w:t>
      </w:r>
      <w:proofErr w:type="gramEnd"/>
      <w:r w:rsidRPr="00912536">
        <w:rPr>
          <w:szCs w:val="18"/>
        </w:rPr>
        <w:t xml:space="preserve"> for previous treatment (</w:t>
      </w:r>
      <w:proofErr w:type="spellStart"/>
      <w:r w:rsidRPr="00912536">
        <w:rPr>
          <w:szCs w:val="18"/>
        </w:rPr>
        <w:t>busulfan</w:t>
      </w:r>
      <w:proofErr w:type="spellEnd"/>
      <w:r w:rsidRPr="00912536">
        <w:rPr>
          <w:szCs w:val="18"/>
        </w:rPr>
        <w:t xml:space="preserve"> and </w:t>
      </w:r>
      <w:proofErr w:type="spellStart"/>
      <w:r w:rsidRPr="00912536">
        <w:rPr>
          <w:szCs w:val="18"/>
        </w:rPr>
        <w:t>melphalan</w:t>
      </w:r>
      <w:proofErr w:type="spellEnd"/>
      <w:r w:rsidRPr="00912536">
        <w:rPr>
          <w:szCs w:val="18"/>
        </w:rPr>
        <w:t xml:space="preserve">, carboplatin, etoposide and </w:t>
      </w:r>
      <w:proofErr w:type="spellStart"/>
      <w:r w:rsidRPr="00912536">
        <w:rPr>
          <w:szCs w:val="18"/>
        </w:rPr>
        <w:t>melphalan</w:t>
      </w:r>
      <w:proofErr w:type="spellEnd"/>
      <w:r w:rsidRPr="00912536">
        <w:rPr>
          <w:szCs w:val="18"/>
        </w:rPr>
        <w:t>).</w:t>
      </w:r>
    </w:p>
    <w:p w14:paraId="1EA942D8" w14:textId="7FD3089D" w:rsidR="001B5028" w:rsidRPr="001F2235" w:rsidRDefault="00EE173C" w:rsidP="001F2235">
      <w:pPr>
        <w:pStyle w:val="TableFooter"/>
        <w:rPr>
          <w:szCs w:val="18"/>
        </w:rPr>
      </w:pPr>
      <w:r w:rsidRPr="00EE173C">
        <w:t>Source:</w:t>
      </w:r>
      <w:r w:rsidRPr="00376E0F">
        <w:t xml:space="preserve"> </w:t>
      </w:r>
      <w:r w:rsidRPr="00912536">
        <w:t>Table 5-5, p16, Table 5-6, p17</w:t>
      </w:r>
      <w:r>
        <w:t>, Table 5-9, p20</w:t>
      </w:r>
      <w:r w:rsidRPr="00912536">
        <w:t xml:space="preserve"> of Study 302 CSR addendum</w:t>
      </w:r>
      <w:r>
        <w:t xml:space="preserve">; </w:t>
      </w:r>
      <w:r w:rsidRPr="00376E0F">
        <w:t xml:space="preserve">Slide 17, </w:t>
      </w:r>
      <w:proofErr w:type="spellStart"/>
      <w:r w:rsidRPr="00376E0F">
        <w:t>Ladenstein</w:t>
      </w:r>
      <w:proofErr w:type="spellEnd"/>
      <w:r w:rsidRPr="00376E0F">
        <w:t xml:space="preserve"> 2019 ASCO presentation.</w:t>
      </w:r>
    </w:p>
    <w:p w14:paraId="5E762C9D" w14:textId="77777777" w:rsidR="001B5028" w:rsidRPr="00F03DD1" w:rsidRDefault="001B5028" w:rsidP="001F2235">
      <w:pPr>
        <w:pStyle w:val="Heading2"/>
        <w:spacing w:before="240"/>
      </w:pPr>
      <w:r w:rsidRPr="00F03DD1">
        <w:t>Matched adjusted indirect comparison (MAIC)</w:t>
      </w:r>
    </w:p>
    <w:p w14:paraId="1ACFF037" w14:textId="04C48281" w:rsidR="001B5028" w:rsidRDefault="001B5028" w:rsidP="001B5028">
      <w:r>
        <w:t>A</w:t>
      </w:r>
      <w:r w:rsidRPr="00CD04B6">
        <w:t xml:space="preserve">n unanchored </w:t>
      </w:r>
      <w:r>
        <w:t>MAIC was conducted</w:t>
      </w:r>
      <w:r w:rsidRPr="00CD04B6">
        <w:t xml:space="preserve"> using most patients enrolled in Study 302-R2 (both arms) and all patients randomised to RA in Yu 2010 (aggregate data only). The analysis matched patients in Study 302-R2 by estimating propensity score weights so that the mean across four risk factors (age, INSS stage, MYCN status, response to treatment before ASCT) would match the mean of the same risk factors in Yu 2010.</w:t>
      </w:r>
      <w:r>
        <w:t xml:space="preserve"> The results from the MAIC </w:t>
      </w:r>
      <w:proofErr w:type="gramStart"/>
      <w:r>
        <w:t>are presented</w:t>
      </w:r>
      <w:proofErr w:type="gramEnd"/>
      <w:r>
        <w:t xml:space="preserve"> in </w:t>
      </w:r>
      <w:r w:rsidRPr="00CB002C">
        <w:rPr>
          <w:szCs w:val="24"/>
        </w:rPr>
        <w:fldChar w:fldCharType="begin"/>
      </w:r>
      <w:r w:rsidRPr="00CB002C">
        <w:rPr>
          <w:szCs w:val="24"/>
        </w:rPr>
        <w:instrText xml:space="preserve"> REF _Ref39840033 \h </w:instrText>
      </w:r>
      <w:r w:rsidR="00CB002C" w:rsidRPr="00CB002C">
        <w:rPr>
          <w:szCs w:val="24"/>
        </w:rPr>
        <w:instrText xml:space="preserve"> \* MERGEFORMAT </w:instrText>
      </w:r>
      <w:r w:rsidRPr="00CB002C">
        <w:rPr>
          <w:szCs w:val="24"/>
        </w:rPr>
      </w:r>
      <w:r w:rsidRPr="00CB002C">
        <w:rPr>
          <w:szCs w:val="24"/>
        </w:rPr>
        <w:fldChar w:fldCharType="separate"/>
      </w:r>
      <w:r w:rsidR="00991D81" w:rsidRPr="00991D81">
        <w:rPr>
          <w:szCs w:val="24"/>
        </w:rPr>
        <w:t xml:space="preserve">Table </w:t>
      </w:r>
      <w:r w:rsidR="00991D81" w:rsidRPr="00991D81">
        <w:rPr>
          <w:noProof/>
          <w:szCs w:val="24"/>
        </w:rPr>
        <w:t>9</w:t>
      </w:r>
      <w:r w:rsidRPr="00CB002C">
        <w:rPr>
          <w:szCs w:val="24"/>
        </w:rPr>
        <w:fldChar w:fldCharType="end"/>
      </w:r>
      <w:r w:rsidRPr="00CB002C">
        <w:rPr>
          <w:szCs w:val="24"/>
        </w:rPr>
        <w:t xml:space="preserve"> and </w:t>
      </w:r>
      <w:r w:rsidRPr="00CB002C">
        <w:rPr>
          <w:szCs w:val="24"/>
        </w:rPr>
        <w:fldChar w:fldCharType="begin"/>
      </w:r>
      <w:r w:rsidRPr="00CB002C">
        <w:rPr>
          <w:szCs w:val="24"/>
        </w:rPr>
        <w:instrText xml:space="preserve"> REF _Ref39841184 \h </w:instrText>
      </w:r>
      <w:r w:rsidR="00CB002C" w:rsidRPr="00CB002C">
        <w:rPr>
          <w:szCs w:val="24"/>
        </w:rPr>
        <w:instrText xml:space="preserve"> \* MERGEFORMAT </w:instrText>
      </w:r>
      <w:r w:rsidRPr="00CB002C">
        <w:rPr>
          <w:szCs w:val="24"/>
        </w:rPr>
      </w:r>
      <w:r w:rsidRPr="00CB002C">
        <w:rPr>
          <w:szCs w:val="24"/>
        </w:rPr>
        <w:fldChar w:fldCharType="separate"/>
      </w:r>
      <w:r w:rsidR="00991D81" w:rsidRPr="00991D81">
        <w:rPr>
          <w:szCs w:val="24"/>
        </w:rPr>
        <w:t xml:space="preserve">Figure </w:t>
      </w:r>
      <w:r w:rsidR="00991D81" w:rsidRPr="00991D81">
        <w:rPr>
          <w:noProof/>
          <w:szCs w:val="24"/>
        </w:rPr>
        <w:t>2</w:t>
      </w:r>
      <w:r w:rsidRPr="00CB002C">
        <w:rPr>
          <w:szCs w:val="24"/>
        </w:rPr>
        <w:fldChar w:fldCharType="end"/>
      </w:r>
      <w:r w:rsidR="001F2235">
        <w:t>.</w:t>
      </w:r>
    </w:p>
    <w:p w14:paraId="363F1FCF" w14:textId="31A3D97C" w:rsidR="001B5028" w:rsidRPr="00F7098F" w:rsidRDefault="001B5028" w:rsidP="00F7098F">
      <w:pPr>
        <w:keepNext/>
        <w:keepLines/>
        <w:spacing w:before="240"/>
        <w:rPr>
          <w:rFonts w:ascii="Arial Narrow" w:hAnsi="Arial Narrow"/>
          <w:b/>
          <w:sz w:val="20"/>
        </w:rPr>
      </w:pPr>
      <w:bookmarkStart w:id="13" w:name="_Ref39840033"/>
      <w:r w:rsidRPr="00F7098F">
        <w:rPr>
          <w:rFonts w:ascii="Arial Narrow" w:hAnsi="Arial Narrow"/>
          <w:b/>
          <w:sz w:val="20"/>
        </w:rPr>
        <w:lastRenderedPageBreak/>
        <w:t xml:space="preserve">Table </w:t>
      </w:r>
      <w:r w:rsidR="00840515" w:rsidRPr="00F7098F">
        <w:rPr>
          <w:rFonts w:ascii="Arial Narrow" w:hAnsi="Arial Narrow"/>
          <w:b/>
          <w:sz w:val="20"/>
        </w:rPr>
        <w:fldChar w:fldCharType="begin"/>
      </w:r>
      <w:r w:rsidR="00840515" w:rsidRPr="00F7098F">
        <w:rPr>
          <w:rFonts w:ascii="Arial Narrow" w:hAnsi="Arial Narrow"/>
          <w:b/>
          <w:sz w:val="20"/>
        </w:rPr>
        <w:instrText xml:space="preserve"> SEQ Table \* ARABIC </w:instrText>
      </w:r>
      <w:r w:rsidR="00840515" w:rsidRPr="00F7098F">
        <w:rPr>
          <w:rFonts w:ascii="Arial Narrow" w:hAnsi="Arial Narrow"/>
          <w:b/>
          <w:sz w:val="20"/>
        </w:rPr>
        <w:fldChar w:fldCharType="separate"/>
      </w:r>
      <w:r w:rsidR="00991D81">
        <w:rPr>
          <w:rFonts w:ascii="Arial Narrow" w:hAnsi="Arial Narrow"/>
          <w:b/>
          <w:noProof/>
          <w:sz w:val="20"/>
        </w:rPr>
        <w:t>9</w:t>
      </w:r>
      <w:r w:rsidR="00840515" w:rsidRPr="00F7098F">
        <w:rPr>
          <w:rFonts w:ascii="Arial Narrow" w:hAnsi="Arial Narrow"/>
          <w:b/>
          <w:sz w:val="20"/>
        </w:rPr>
        <w:fldChar w:fldCharType="end"/>
      </w:r>
      <w:bookmarkEnd w:id="13"/>
      <w:r w:rsidRPr="00F7098F">
        <w:rPr>
          <w:rFonts w:ascii="Arial Narrow" w:hAnsi="Arial Narrow"/>
          <w:b/>
          <w:sz w:val="20"/>
        </w:rPr>
        <w:tab/>
        <w:t>Results of the MAIC, DB STI + RA ±IL2 (data from Study 302-R2) vs RA (data from Yu 2010)</w:t>
      </w:r>
    </w:p>
    <w:tbl>
      <w:tblPr>
        <w:tblStyle w:val="TableGrid"/>
        <w:tblW w:w="5000" w:type="pct"/>
        <w:tblCellMar>
          <w:top w:w="28" w:type="dxa"/>
          <w:left w:w="28" w:type="dxa"/>
          <w:bottom w:w="28" w:type="dxa"/>
          <w:right w:w="28" w:type="dxa"/>
        </w:tblCellMar>
        <w:tblLook w:val="04A0" w:firstRow="1" w:lastRow="0" w:firstColumn="1" w:lastColumn="0" w:noHBand="0" w:noVBand="1"/>
        <w:tblDescription w:val="Results of the MAIC, DB STI + RA ±IL2 (data from Study 302-R2) vs RA (data from Yu 2010)"/>
      </w:tblPr>
      <w:tblGrid>
        <w:gridCol w:w="2084"/>
        <w:gridCol w:w="3504"/>
        <w:gridCol w:w="3428"/>
      </w:tblGrid>
      <w:tr w:rsidR="001B5028" w:rsidRPr="00D5216B" w14:paraId="7E6C666C" w14:textId="77777777" w:rsidTr="00840515">
        <w:trPr>
          <w:tblHeader/>
        </w:trPr>
        <w:tc>
          <w:tcPr>
            <w:tcW w:w="1156" w:type="pct"/>
            <w:shd w:val="clear" w:color="auto" w:fill="F2F2F2" w:themeFill="background1" w:themeFillShade="F2"/>
            <w:vAlign w:val="center"/>
          </w:tcPr>
          <w:p w14:paraId="2EB41A06" w14:textId="77777777" w:rsidR="001B5028" w:rsidRPr="00D5216B" w:rsidRDefault="001B5028" w:rsidP="00F7098F">
            <w:pPr>
              <w:keepNext/>
              <w:keepLines/>
              <w:widowControl w:val="0"/>
              <w:rPr>
                <w:rFonts w:ascii="Arial Narrow" w:hAnsi="Arial Narrow"/>
                <w:b/>
                <w:sz w:val="20"/>
              </w:rPr>
            </w:pPr>
            <w:r w:rsidRPr="00D5216B">
              <w:rPr>
                <w:rFonts w:ascii="Arial Narrow" w:hAnsi="Arial Narrow"/>
                <w:b/>
                <w:sz w:val="20"/>
              </w:rPr>
              <w:t>Trial/Study</w:t>
            </w:r>
          </w:p>
        </w:tc>
        <w:tc>
          <w:tcPr>
            <w:tcW w:w="3844" w:type="pct"/>
            <w:gridSpan w:val="2"/>
            <w:shd w:val="clear" w:color="auto" w:fill="F2F2F2" w:themeFill="background1" w:themeFillShade="F2"/>
          </w:tcPr>
          <w:p w14:paraId="4E571924" w14:textId="77777777" w:rsidR="001B5028" w:rsidRPr="00D5216B" w:rsidRDefault="001B5028" w:rsidP="00F7098F">
            <w:pPr>
              <w:keepNext/>
              <w:keepLines/>
              <w:widowControl w:val="0"/>
              <w:jc w:val="center"/>
              <w:rPr>
                <w:rFonts w:ascii="Arial Narrow" w:hAnsi="Arial Narrow"/>
                <w:b/>
                <w:sz w:val="20"/>
              </w:rPr>
            </w:pPr>
            <w:r w:rsidRPr="00532B46">
              <w:rPr>
                <w:rFonts w:ascii="Arial Narrow" w:hAnsi="Arial Narrow"/>
                <w:b/>
                <w:bCs/>
                <w:sz w:val="20"/>
              </w:rPr>
              <w:t>EUSA Pharma MAIC</w:t>
            </w:r>
          </w:p>
        </w:tc>
      </w:tr>
      <w:tr w:rsidR="001B5028" w:rsidRPr="00D5216B" w14:paraId="3ADE9496" w14:textId="77777777" w:rsidTr="001B5028">
        <w:trPr>
          <w:trHeight w:val="263"/>
        </w:trPr>
        <w:tc>
          <w:tcPr>
            <w:tcW w:w="1156" w:type="pct"/>
            <w:vMerge w:val="restart"/>
            <w:shd w:val="clear" w:color="auto" w:fill="F2F2F2" w:themeFill="background1" w:themeFillShade="F2"/>
            <w:vAlign w:val="center"/>
          </w:tcPr>
          <w:p w14:paraId="1FA2301A" w14:textId="77777777" w:rsidR="001B5028" w:rsidRPr="00D5216B" w:rsidRDefault="001B5028" w:rsidP="00F7098F">
            <w:pPr>
              <w:keepNext/>
              <w:keepLines/>
              <w:widowControl w:val="0"/>
              <w:jc w:val="center"/>
              <w:rPr>
                <w:rFonts w:ascii="Arial Narrow" w:hAnsi="Arial Narrow"/>
                <w:sz w:val="20"/>
              </w:rPr>
            </w:pPr>
          </w:p>
        </w:tc>
        <w:tc>
          <w:tcPr>
            <w:tcW w:w="1943" w:type="pct"/>
            <w:shd w:val="clear" w:color="auto" w:fill="F2F2F2" w:themeFill="background1" w:themeFillShade="F2"/>
          </w:tcPr>
          <w:p w14:paraId="2C1C1A75" w14:textId="77777777" w:rsidR="001B5028" w:rsidRPr="00532B46" w:rsidRDefault="001B5028" w:rsidP="00F7098F">
            <w:pPr>
              <w:keepNext/>
              <w:keepLines/>
              <w:jc w:val="center"/>
              <w:rPr>
                <w:rFonts w:ascii="Arial Narrow" w:hAnsi="Arial Narrow"/>
                <w:b/>
                <w:sz w:val="20"/>
              </w:rPr>
            </w:pPr>
            <w:r>
              <w:rPr>
                <w:rFonts w:ascii="Arial Narrow" w:hAnsi="Arial Narrow"/>
                <w:b/>
                <w:sz w:val="20"/>
              </w:rPr>
              <w:t>Data from Study 302-R2</w:t>
            </w:r>
          </w:p>
        </w:tc>
        <w:tc>
          <w:tcPr>
            <w:tcW w:w="1901" w:type="pct"/>
            <w:shd w:val="clear" w:color="auto" w:fill="F2F2F2" w:themeFill="background1" w:themeFillShade="F2"/>
          </w:tcPr>
          <w:p w14:paraId="4D2FB925" w14:textId="77777777" w:rsidR="001B5028" w:rsidRPr="00532B46" w:rsidRDefault="001B5028" w:rsidP="00F7098F">
            <w:pPr>
              <w:keepNext/>
              <w:keepLines/>
              <w:widowControl w:val="0"/>
              <w:jc w:val="center"/>
              <w:rPr>
                <w:rFonts w:ascii="Arial Narrow" w:hAnsi="Arial Narrow"/>
                <w:b/>
                <w:bCs/>
                <w:sz w:val="20"/>
              </w:rPr>
            </w:pPr>
            <w:r>
              <w:rPr>
                <w:rFonts w:ascii="Arial Narrow" w:hAnsi="Arial Narrow"/>
                <w:b/>
                <w:bCs/>
                <w:sz w:val="20"/>
              </w:rPr>
              <w:t>Data from Yu 2010</w:t>
            </w:r>
          </w:p>
        </w:tc>
      </w:tr>
      <w:tr w:rsidR="001B5028" w:rsidRPr="00D5216B" w14:paraId="75634B6F" w14:textId="77777777" w:rsidTr="001B5028">
        <w:trPr>
          <w:trHeight w:val="263"/>
        </w:trPr>
        <w:tc>
          <w:tcPr>
            <w:tcW w:w="1156" w:type="pct"/>
            <w:vMerge/>
            <w:shd w:val="clear" w:color="auto" w:fill="F2F2F2" w:themeFill="background1" w:themeFillShade="F2"/>
            <w:vAlign w:val="center"/>
          </w:tcPr>
          <w:p w14:paraId="07F717A9" w14:textId="77777777" w:rsidR="001B5028" w:rsidRPr="00D5216B" w:rsidRDefault="001B5028" w:rsidP="001B5028">
            <w:pPr>
              <w:keepNext/>
              <w:widowControl w:val="0"/>
              <w:jc w:val="center"/>
              <w:rPr>
                <w:rFonts w:ascii="Arial Narrow" w:hAnsi="Arial Narrow"/>
                <w:sz w:val="20"/>
              </w:rPr>
            </w:pPr>
          </w:p>
        </w:tc>
        <w:tc>
          <w:tcPr>
            <w:tcW w:w="1943" w:type="pct"/>
            <w:shd w:val="clear" w:color="auto" w:fill="F2F2F2" w:themeFill="background1" w:themeFillShade="F2"/>
          </w:tcPr>
          <w:p w14:paraId="2D5367B7" w14:textId="77777777" w:rsidR="001B5028" w:rsidRPr="00AF10DC" w:rsidRDefault="001B5028" w:rsidP="001B5028">
            <w:pPr>
              <w:keepNext/>
              <w:jc w:val="center"/>
              <w:rPr>
                <w:rFonts w:ascii="Arial Narrow" w:hAnsi="Arial Narrow"/>
                <w:b/>
                <w:sz w:val="20"/>
              </w:rPr>
            </w:pPr>
            <w:r>
              <w:rPr>
                <w:rFonts w:ascii="Arial Narrow" w:hAnsi="Arial Narrow"/>
                <w:b/>
                <w:sz w:val="20"/>
              </w:rPr>
              <w:t xml:space="preserve">DB STI </w:t>
            </w:r>
            <w:r w:rsidRPr="00532B46">
              <w:rPr>
                <w:rFonts w:ascii="Arial Narrow" w:hAnsi="Arial Narrow"/>
                <w:b/>
                <w:sz w:val="20"/>
              </w:rPr>
              <w:t>+RA ±IL2</w:t>
            </w:r>
          </w:p>
        </w:tc>
        <w:tc>
          <w:tcPr>
            <w:tcW w:w="1901" w:type="pct"/>
            <w:shd w:val="clear" w:color="auto" w:fill="F2F2F2" w:themeFill="background1" w:themeFillShade="F2"/>
          </w:tcPr>
          <w:p w14:paraId="73BEAF98" w14:textId="77777777" w:rsidR="001B5028" w:rsidRPr="00D5216B" w:rsidRDefault="001B5028" w:rsidP="001B5028">
            <w:pPr>
              <w:keepNext/>
              <w:widowControl w:val="0"/>
              <w:jc w:val="center"/>
              <w:rPr>
                <w:rFonts w:ascii="Arial Narrow" w:hAnsi="Arial Narrow"/>
                <w:sz w:val="20"/>
              </w:rPr>
            </w:pPr>
            <w:r w:rsidRPr="00532B46">
              <w:rPr>
                <w:rFonts w:ascii="Arial Narrow" w:hAnsi="Arial Narrow"/>
                <w:b/>
                <w:bCs/>
                <w:sz w:val="20"/>
              </w:rPr>
              <w:t>RA</w:t>
            </w:r>
          </w:p>
        </w:tc>
      </w:tr>
      <w:tr w:rsidR="001B5028" w:rsidRPr="00D5216B" w14:paraId="573FED09" w14:textId="77777777" w:rsidTr="001B5028">
        <w:trPr>
          <w:trHeight w:val="174"/>
        </w:trPr>
        <w:tc>
          <w:tcPr>
            <w:tcW w:w="1156" w:type="pct"/>
            <w:vAlign w:val="center"/>
          </w:tcPr>
          <w:p w14:paraId="7D51CCD8" w14:textId="77777777" w:rsidR="001B5028" w:rsidRPr="00AF10DC" w:rsidRDefault="001B5028" w:rsidP="001B5028">
            <w:pPr>
              <w:keepNext/>
              <w:widowControl w:val="0"/>
              <w:jc w:val="center"/>
              <w:rPr>
                <w:rFonts w:ascii="Arial Narrow" w:hAnsi="Arial Narrow"/>
                <w:sz w:val="20"/>
              </w:rPr>
            </w:pPr>
            <w:r w:rsidRPr="00AF10DC">
              <w:rPr>
                <w:rFonts w:ascii="Arial Narrow" w:hAnsi="Arial Narrow"/>
                <w:sz w:val="20"/>
              </w:rPr>
              <w:t>N</w:t>
            </w:r>
          </w:p>
        </w:tc>
        <w:tc>
          <w:tcPr>
            <w:tcW w:w="1943" w:type="pct"/>
          </w:tcPr>
          <w:p w14:paraId="462C6D7C" w14:textId="77777777" w:rsidR="001B5028" w:rsidRPr="00D5216B" w:rsidRDefault="001B5028" w:rsidP="001B5028">
            <w:pPr>
              <w:keepNext/>
              <w:widowControl w:val="0"/>
              <w:jc w:val="center"/>
              <w:rPr>
                <w:rFonts w:ascii="Arial Narrow" w:hAnsi="Arial Narrow"/>
                <w:sz w:val="20"/>
              </w:rPr>
            </w:pPr>
            <w:r w:rsidRPr="00F7505A">
              <w:rPr>
                <w:rFonts w:ascii="Arial Narrow" w:hAnsi="Arial Narrow"/>
                <w:sz w:val="20"/>
              </w:rPr>
              <w:t>245#</w:t>
            </w:r>
            <w:r w:rsidRPr="00F7505A">
              <w:rPr>
                <w:rFonts w:ascii="Arial Narrow" w:hAnsi="Arial Narrow"/>
                <w:sz w:val="20"/>
              </w:rPr>
              <w:tab/>
            </w:r>
          </w:p>
        </w:tc>
        <w:tc>
          <w:tcPr>
            <w:tcW w:w="1901" w:type="pct"/>
          </w:tcPr>
          <w:p w14:paraId="317100FE" w14:textId="77777777" w:rsidR="001B5028" w:rsidRPr="00D5216B" w:rsidRDefault="001B5028" w:rsidP="001B5028">
            <w:pPr>
              <w:keepNext/>
              <w:widowControl w:val="0"/>
              <w:jc w:val="center"/>
              <w:rPr>
                <w:rFonts w:ascii="Arial Narrow" w:hAnsi="Arial Narrow"/>
                <w:sz w:val="20"/>
              </w:rPr>
            </w:pPr>
            <w:r w:rsidRPr="00F7505A">
              <w:rPr>
                <w:rFonts w:ascii="Arial Narrow" w:hAnsi="Arial Narrow"/>
                <w:sz w:val="20"/>
              </w:rPr>
              <w:t>113</w:t>
            </w:r>
          </w:p>
        </w:tc>
      </w:tr>
      <w:tr w:rsidR="001B5028" w:rsidRPr="00FC23B3" w14:paraId="1037E862" w14:textId="77777777" w:rsidTr="001B5028">
        <w:tc>
          <w:tcPr>
            <w:tcW w:w="5000" w:type="pct"/>
            <w:gridSpan w:val="3"/>
            <w:shd w:val="clear" w:color="auto" w:fill="F2F2F2" w:themeFill="background1" w:themeFillShade="F2"/>
          </w:tcPr>
          <w:p w14:paraId="4A75472A" w14:textId="77777777" w:rsidR="001B5028" w:rsidRPr="00FC23B3" w:rsidRDefault="001B5028" w:rsidP="001B5028">
            <w:pPr>
              <w:keepNext/>
              <w:widowControl w:val="0"/>
              <w:rPr>
                <w:rFonts w:ascii="Arial Narrow" w:hAnsi="Arial Narrow"/>
                <w:b/>
                <w:sz w:val="20"/>
              </w:rPr>
            </w:pPr>
            <w:r>
              <w:rPr>
                <w:rFonts w:ascii="Arial Narrow" w:hAnsi="Arial Narrow"/>
                <w:b/>
                <w:sz w:val="20"/>
              </w:rPr>
              <w:t>EFS</w:t>
            </w:r>
          </w:p>
        </w:tc>
      </w:tr>
      <w:tr w:rsidR="001B5028" w:rsidRPr="00A35954" w14:paraId="1C82BB1B" w14:textId="77777777" w:rsidTr="003E5B0B">
        <w:trPr>
          <w:trHeight w:val="91"/>
        </w:trPr>
        <w:tc>
          <w:tcPr>
            <w:tcW w:w="1156" w:type="pct"/>
            <w:vAlign w:val="center"/>
          </w:tcPr>
          <w:p w14:paraId="4BDAAE13"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Events</w:t>
            </w:r>
          </w:p>
        </w:tc>
        <w:tc>
          <w:tcPr>
            <w:tcW w:w="1943" w:type="pct"/>
            <w:shd w:val="clear" w:color="auto" w:fill="FFFFFF" w:themeFill="background1"/>
            <w:vAlign w:val="center"/>
          </w:tcPr>
          <w:p w14:paraId="1F54EAC4" w14:textId="59D47C34" w:rsidR="001B5028" w:rsidRPr="00A35954" w:rsidRDefault="00864F79" w:rsidP="001B5028">
            <w:pPr>
              <w:keepNext/>
              <w:widowControl w:val="0"/>
              <w:jc w:val="center"/>
              <w:rPr>
                <w:rFonts w:ascii="Arial Narrow" w:hAnsi="Arial Narrow"/>
                <w:sz w:val="20"/>
              </w:rPr>
            </w:pPr>
            <w:r w:rsidRPr="00A35954">
              <w:rPr>
                <w:rFonts w:ascii="Arial Narrow" w:hAnsi="Arial Narrow"/>
                <w:sz w:val="20"/>
              </w:rPr>
              <w:t>redacted</w:t>
            </w:r>
          </w:p>
        </w:tc>
        <w:tc>
          <w:tcPr>
            <w:tcW w:w="1901" w:type="pct"/>
            <w:vAlign w:val="center"/>
          </w:tcPr>
          <w:p w14:paraId="17BF2F35"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51</w:t>
            </w:r>
          </w:p>
        </w:tc>
      </w:tr>
      <w:tr w:rsidR="00864F79" w:rsidRPr="00A35954" w14:paraId="061E66F9" w14:textId="77777777" w:rsidTr="003E5B0B">
        <w:tc>
          <w:tcPr>
            <w:tcW w:w="1156" w:type="pct"/>
            <w:vAlign w:val="center"/>
          </w:tcPr>
          <w:p w14:paraId="5E50ACC9" w14:textId="77777777" w:rsidR="00864F79" w:rsidRPr="00A35954" w:rsidRDefault="00864F79" w:rsidP="00864F79">
            <w:pPr>
              <w:keepNext/>
              <w:widowControl w:val="0"/>
              <w:jc w:val="center"/>
              <w:rPr>
                <w:rFonts w:ascii="Arial Narrow" w:hAnsi="Arial Narrow"/>
                <w:i/>
                <w:sz w:val="20"/>
              </w:rPr>
            </w:pPr>
            <w:r w:rsidRPr="00A35954">
              <w:rPr>
                <w:rFonts w:ascii="Arial Narrow" w:hAnsi="Arial Narrow"/>
                <w:sz w:val="20"/>
              </w:rPr>
              <w:t>1-year</w:t>
            </w:r>
          </w:p>
        </w:tc>
        <w:tc>
          <w:tcPr>
            <w:tcW w:w="1943" w:type="pct"/>
            <w:shd w:val="clear" w:color="auto" w:fill="FFFFFF" w:themeFill="background1"/>
          </w:tcPr>
          <w:p w14:paraId="58017AC7" w14:textId="6CE2B618"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redacted</w:t>
            </w:r>
          </w:p>
        </w:tc>
        <w:tc>
          <w:tcPr>
            <w:tcW w:w="1901" w:type="pct"/>
          </w:tcPr>
          <w:p w14:paraId="4BD00360" w14:textId="77777777"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0.69</w:t>
            </w:r>
          </w:p>
        </w:tc>
      </w:tr>
      <w:tr w:rsidR="00864F79" w:rsidRPr="00A35954" w14:paraId="749D7DEE" w14:textId="77777777" w:rsidTr="003E5B0B">
        <w:tc>
          <w:tcPr>
            <w:tcW w:w="1156" w:type="pct"/>
            <w:vAlign w:val="center"/>
          </w:tcPr>
          <w:p w14:paraId="576123EA" w14:textId="77777777" w:rsidR="00864F79" w:rsidRPr="00A35954" w:rsidRDefault="00864F79" w:rsidP="00864F79">
            <w:pPr>
              <w:keepNext/>
              <w:widowControl w:val="0"/>
              <w:jc w:val="center"/>
              <w:rPr>
                <w:rFonts w:ascii="Arial Narrow" w:hAnsi="Arial Narrow"/>
                <w:i/>
                <w:sz w:val="20"/>
              </w:rPr>
            </w:pPr>
            <w:r w:rsidRPr="00A35954">
              <w:rPr>
                <w:rFonts w:ascii="Arial Narrow" w:hAnsi="Arial Narrow"/>
                <w:sz w:val="20"/>
              </w:rPr>
              <w:t>2-year</w:t>
            </w:r>
          </w:p>
        </w:tc>
        <w:tc>
          <w:tcPr>
            <w:tcW w:w="1943" w:type="pct"/>
            <w:shd w:val="clear" w:color="auto" w:fill="FFFFFF" w:themeFill="background1"/>
          </w:tcPr>
          <w:p w14:paraId="44ABB075" w14:textId="0479BE1B"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redacted</w:t>
            </w:r>
          </w:p>
        </w:tc>
        <w:tc>
          <w:tcPr>
            <w:tcW w:w="1901" w:type="pct"/>
          </w:tcPr>
          <w:p w14:paraId="099D5A4A" w14:textId="77777777"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0.46</w:t>
            </w:r>
          </w:p>
        </w:tc>
      </w:tr>
      <w:tr w:rsidR="00864F79" w:rsidRPr="00A35954" w14:paraId="04E7EE73" w14:textId="77777777" w:rsidTr="003E5B0B">
        <w:tc>
          <w:tcPr>
            <w:tcW w:w="1156" w:type="pct"/>
            <w:vAlign w:val="center"/>
          </w:tcPr>
          <w:p w14:paraId="58F50460" w14:textId="77777777" w:rsidR="00864F79" w:rsidRPr="00A35954" w:rsidRDefault="00864F79" w:rsidP="00864F79">
            <w:pPr>
              <w:keepNext/>
              <w:widowControl w:val="0"/>
              <w:jc w:val="center"/>
              <w:rPr>
                <w:rFonts w:ascii="Arial Narrow" w:hAnsi="Arial Narrow"/>
                <w:i/>
                <w:sz w:val="20"/>
              </w:rPr>
            </w:pPr>
            <w:r w:rsidRPr="00A35954">
              <w:rPr>
                <w:rFonts w:ascii="Arial Narrow" w:hAnsi="Arial Narrow"/>
                <w:sz w:val="20"/>
              </w:rPr>
              <w:t>3-year</w:t>
            </w:r>
          </w:p>
        </w:tc>
        <w:tc>
          <w:tcPr>
            <w:tcW w:w="1943" w:type="pct"/>
            <w:shd w:val="clear" w:color="auto" w:fill="FFFFFF" w:themeFill="background1"/>
          </w:tcPr>
          <w:p w14:paraId="4AB5CCE3" w14:textId="26036B74"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redacted</w:t>
            </w:r>
          </w:p>
        </w:tc>
        <w:tc>
          <w:tcPr>
            <w:tcW w:w="1901" w:type="pct"/>
          </w:tcPr>
          <w:p w14:paraId="3B81FD87" w14:textId="77777777"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0.46</w:t>
            </w:r>
          </w:p>
        </w:tc>
      </w:tr>
      <w:tr w:rsidR="00864F79" w:rsidRPr="00A35954" w14:paraId="00B33432" w14:textId="77777777" w:rsidTr="003E5B0B">
        <w:tc>
          <w:tcPr>
            <w:tcW w:w="1156" w:type="pct"/>
            <w:vAlign w:val="center"/>
          </w:tcPr>
          <w:p w14:paraId="50B3736A" w14:textId="77777777" w:rsidR="00864F79" w:rsidRPr="00A35954" w:rsidRDefault="00864F79" w:rsidP="00864F79">
            <w:pPr>
              <w:keepNext/>
              <w:widowControl w:val="0"/>
              <w:jc w:val="center"/>
              <w:rPr>
                <w:rFonts w:ascii="Arial Narrow" w:hAnsi="Arial Narrow"/>
                <w:i/>
                <w:sz w:val="20"/>
              </w:rPr>
            </w:pPr>
            <w:r w:rsidRPr="00A35954">
              <w:rPr>
                <w:rFonts w:ascii="Arial Narrow" w:hAnsi="Arial Narrow"/>
                <w:sz w:val="20"/>
              </w:rPr>
              <w:t>5-year</w:t>
            </w:r>
          </w:p>
        </w:tc>
        <w:tc>
          <w:tcPr>
            <w:tcW w:w="1943" w:type="pct"/>
            <w:shd w:val="clear" w:color="auto" w:fill="FFFFFF" w:themeFill="background1"/>
          </w:tcPr>
          <w:p w14:paraId="0F5F87D9" w14:textId="2D8304F2"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redacted</w:t>
            </w:r>
          </w:p>
        </w:tc>
        <w:tc>
          <w:tcPr>
            <w:tcW w:w="1901" w:type="pct"/>
          </w:tcPr>
          <w:p w14:paraId="5EEB373E" w14:textId="77777777"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0.43</w:t>
            </w:r>
          </w:p>
        </w:tc>
      </w:tr>
      <w:tr w:rsidR="001B5028" w:rsidRPr="00A35954" w14:paraId="14B3A467" w14:textId="77777777" w:rsidTr="003E5B0B">
        <w:tc>
          <w:tcPr>
            <w:tcW w:w="1156" w:type="pct"/>
            <w:vAlign w:val="center"/>
          </w:tcPr>
          <w:p w14:paraId="75E62080"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Hazard ratio</w:t>
            </w:r>
          </w:p>
        </w:tc>
        <w:tc>
          <w:tcPr>
            <w:tcW w:w="3844" w:type="pct"/>
            <w:gridSpan w:val="2"/>
            <w:shd w:val="clear" w:color="auto" w:fill="FFFFFF" w:themeFill="background1"/>
          </w:tcPr>
          <w:p w14:paraId="1879D380" w14:textId="43F1EA93" w:rsidR="001B5028" w:rsidRPr="00A35954" w:rsidRDefault="00864F79" w:rsidP="001B5028">
            <w:pPr>
              <w:keepNext/>
              <w:widowControl w:val="0"/>
              <w:jc w:val="center"/>
              <w:rPr>
                <w:rFonts w:ascii="Arial Narrow" w:hAnsi="Arial Narrow"/>
                <w:sz w:val="20"/>
              </w:rPr>
            </w:pPr>
            <w:r w:rsidRPr="00A35954">
              <w:rPr>
                <w:rFonts w:ascii="Arial Narrow" w:hAnsi="Arial Narrow"/>
                <w:sz w:val="20"/>
              </w:rPr>
              <w:t>redacted</w:t>
            </w:r>
            <w:r w:rsidRPr="00A35954" w:rsidDel="00864F79">
              <w:rPr>
                <w:rFonts w:ascii="Arial Narrow" w:hAnsi="Arial Narrow"/>
                <w:sz w:val="20"/>
              </w:rPr>
              <w:t xml:space="preserve"> </w:t>
            </w:r>
            <w:r w:rsidR="001B5028" w:rsidRPr="00A35954">
              <w:rPr>
                <w:rFonts w:ascii="Arial Narrow" w:hAnsi="Arial Narrow"/>
                <w:sz w:val="20"/>
              </w:rPr>
              <w:t>(</w:t>
            </w:r>
            <w:r w:rsidRPr="00A35954">
              <w:rPr>
                <w:rFonts w:ascii="Arial Narrow" w:hAnsi="Arial Narrow"/>
                <w:sz w:val="20"/>
              </w:rPr>
              <w:t>redacted</w:t>
            </w:r>
            <w:r w:rsidR="001B5028" w:rsidRPr="00A35954">
              <w:rPr>
                <w:rFonts w:ascii="Arial Narrow" w:hAnsi="Arial Narrow"/>
                <w:sz w:val="20"/>
              </w:rPr>
              <w:t xml:space="preserve">, </w:t>
            </w:r>
            <w:r w:rsidRPr="00A35954">
              <w:rPr>
                <w:rFonts w:ascii="Arial Narrow" w:hAnsi="Arial Narrow"/>
                <w:sz w:val="20"/>
              </w:rPr>
              <w:t>redacted</w:t>
            </w:r>
            <w:r w:rsidR="001B5028" w:rsidRPr="00A35954">
              <w:rPr>
                <w:rFonts w:ascii="Arial Narrow" w:hAnsi="Arial Narrow"/>
                <w:sz w:val="20"/>
              </w:rPr>
              <w:t>)</w:t>
            </w:r>
          </w:p>
        </w:tc>
      </w:tr>
      <w:tr w:rsidR="001B5028" w:rsidRPr="00A35954" w14:paraId="601D0F25" w14:textId="77777777" w:rsidTr="001B5028">
        <w:tc>
          <w:tcPr>
            <w:tcW w:w="5000" w:type="pct"/>
            <w:gridSpan w:val="3"/>
            <w:shd w:val="clear" w:color="auto" w:fill="F2F2F2" w:themeFill="background1" w:themeFillShade="F2"/>
          </w:tcPr>
          <w:p w14:paraId="4AB6C129" w14:textId="77777777" w:rsidR="001B5028" w:rsidRPr="00A35954" w:rsidRDefault="001B5028" w:rsidP="001B5028">
            <w:pPr>
              <w:keepNext/>
              <w:widowControl w:val="0"/>
              <w:rPr>
                <w:rFonts w:ascii="Arial Narrow" w:hAnsi="Arial Narrow"/>
                <w:b/>
                <w:sz w:val="20"/>
              </w:rPr>
            </w:pPr>
            <w:r w:rsidRPr="00A35954">
              <w:rPr>
                <w:rFonts w:ascii="Arial Narrow" w:hAnsi="Arial Narrow"/>
                <w:b/>
                <w:sz w:val="20"/>
              </w:rPr>
              <w:t>Survival</w:t>
            </w:r>
          </w:p>
        </w:tc>
      </w:tr>
      <w:tr w:rsidR="00864F79" w:rsidRPr="00A35954" w14:paraId="6A334130" w14:textId="77777777" w:rsidTr="00864F79">
        <w:tc>
          <w:tcPr>
            <w:tcW w:w="1156" w:type="pct"/>
            <w:vAlign w:val="center"/>
          </w:tcPr>
          <w:p w14:paraId="55DAE2B2" w14:textId="77777777" w:rsidR="00864F79" w:rsidRPr="00A35954" w:rsidRDefault="00864F79" w:rsidP="00864F79">
            <w:pPr>
              <w:keepNext/>
              <w:widowControl w:val="0"/>
              <w:jc w:val="center"/>
              <w:rPr>
                <w:rFonts w:ascii="Arial Narrow" w:hAnsi="Arial Narrow"/>
                <w:i/>
                <w:sz w:val="20"/>
              </w:rPr>
            </w:pPr>
            <w:r w:rsidRPr="00A35954">
              <w:rPr>
                <w:rFonts w:ascii="Arial Narrow" w:hAnsi="Arial Narrow"/>
                <w:sz w:val="20"/>
              </w:rPr>
              <w:t>Deaths</w:t>
            </w:r>
          </w:p>
        </w:tc>
        <w:tc>
          <w:tcPr>
            <w:tcW w:w="1943" w:type="pct"/>
            <w:shd w:val="clear" w:color="auto" w:fill="FFFFFF" w:themeFill="background1"/>
          </w:tcPr>
          <w:p w14:paraId="4937A1DA" w14:textId="61FE072C"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redacted</w:t>
            </w:r>
          </w:p>
        </w:tc>
        <w:tc>
          <w:tcPr>
            <w:tcW w:w="1901" w:type="pct"/>
            <w:vAlign w:val="center"/>
          </w:tcPr>
          <w:p w14:paraId="76490434" w14:textId="77777777"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33</w:t>
            </w:r>
          </w:p>
        </w:tc>
      </w:tr>
      <w:tr w:rsidR="00864F79" w:rsidRPr="00A35954" w14:paraId="5E7157D3" w14:textId="77777777" w:rsidTr="003E5B0B">
        <w:tc>
          <w:tcPr>
            <w:tcW w:w="1156" w:type="pct"/>
            <w:vAlign w:val="center"/>
          </w:tcPr>
          <w:p w14:paraId="4B58C9D8" w14:textId="77777777" w:rsidR="00864F79" w:rsidRPr="00A35954" w:rsidRDefault="00864F79" w:rsidP="00864F79">
            <w:pPr>
              <w:keepNext/>
              <w:widowControl w:val="0"/>
              <w:jc w:val="center"/>
              <w:rPr>
                <w:rFonts w:ascii="Arial Narrow" w:hAnsi="Arial Narrow"/>
                <w:i/>
                <w:sz w:val="20"/>
              </w:rPr>
            </w:pPr>
            <w:r w:rsidRPr="00A35954">
              <w:rPr>
                <w:rFonts w:ascii="Arial Narrow" w:hAnsi="Arial Narrow"/>
                <w:sz w:val="20"/>
              </w:rPr>
              <w:t>1-year</w:t>
            </w:r>
          </w:p>
        </w:tc>
        <w:tc>
          <w:tcPr>
            <w:tcW w:w="1943" w:type="pct"/>
            <w:shd w:val="clear" w:color="auto" w:fill="FFFFFF" w:themeFill="background1"/>
          </w:tcPr>
          <w:p w14:paraId="28444387" w14:textId="66EEF5CB"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redacted</w:t>
            </w:r>
          </w:p>
        </w:tc>
        <w:tc>
          <w:tcPr>
            <w:tcW w:w="1901" w:type="pct"/>
          </w:tcPr>
          <w:p w14:paraId="5DDF66A3" w14:textId="77777777"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0.90</w:t>
            </w:r>
          </w:p>
        </w:tc>
      </w:tr>
      <w:tr w:rsidR="00864F79" w:rsidRPr="00A35954" w14:paraId="421281C8" w14:textId="77777777" w:rsidTr="003E5B0B">
        <w:tc>
          <w:tcPr>
            <w:tcW w:w="1156" w:type="pct"/>
            <w:vAlign w:val="center"/>
          </w:tcPr>
          <w:p w14:paraId="3D4326F9" w14:textId="77777777" w:rsidR="00864F79" w:rsidRPr="00A35954" w:rsidRDefault="00864F79" w:rsidP="00864F79">
            <w:pPr>
              <w:keepNext/>
              <w:widowControl w:val="0"/>
              <w:jc w:val="center"/>
              <w:rPr>
                <w:rFonts w:ascii="Arial Narrow" w:hAnsi="Arial Narrow"/>
                <w:i/>
                <w:sz w:val="20"/>
              </w:rPr>
            </w:pPr>
            <w:r w:rsidRPr="00A35954">
              <w:rPr>
                <w:rFonts w:ascii="Arial Narrow" w:hAnsi="Arial Narrow"/>
                <w:sz w:val="20"/>
              </w:rPr>
              <w:t>2-year</w:t>
            </w:r>
          </w:p>
        </w:tc>
        <w:tc>
          <w:tcPr>
            <w:tcW w:w="1943" w:type="pct"/>
            <w:shd w:val="clear" w:color="auto" w:fill="FFFFFF" w:themeFill="background1"/>
          </w:tcPr>
          <w:p w14:paraId="543AF8D2" w14:textId="1A2181BA"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redacted</w:t>
            </w:r>
          </w:p>
        </w:tc>
        <w:tc>
          <w:tcPr>
            <w:tcW w:w="1901" w:type="pct"/>
          </w:tcPr>
          <w:p w14:paraId="75686C5F" w14:textId="77777777"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0.75</w:t>
            </w:r>
          </w:p>
        </w:tc>
      </w:tr>
      <w:tr w:rsidR="00864F79" w:rsidRPr="00A35954" w14:paraId="3C6048C0" w14:textId="77777777" w:rsidTr="003E5B0B">
        <w:tc>
          <w:tcPr>
            <w:tcW w:w="1156" w:type="pct"/>
            <w:vAlign w:val="center"/>
          </w:tcPr>
          <w:p w14:paraId="5B09A681" w14:textId="77777777" w:rsidR="00864F79" w:rsidRPr="00A35954" w:rsidRDefault="00864F79" w:rsidP="00864F79">
            <w:pPr>
              <w:keepNext/>
              <w:widowControl w:val="0"/>
              <w:jc w:val="center"/>
              <w:rPr>
                <w:rFonts w:ascii="Arial Narrow" w:hAnsi="Arial Narrow"/>
                <w:i/>
                <w:sz w:val="20"/>
              </w:rPr>
            </w:pPr>
            <w:r w:rsidRPr="00A35954">
              <w:rPr>
                <w:rFonts w:ascii="Arial Narrow" w:hAnsi="Arial Narrow"/>
                <w:sz w:val="20"/>
              </w:rPr>
              <w:t>3-year</w:t>
            </w:r>
          </w:p>
        </w:tc>
        <w:tc>
          <w:tcPr>
            <w:tcW w:w="1943" w:type="pct"/>
            <w:shd w:val="clear" w:color="auto" w:fill="FFFFFF" w:themeFill="background1"/>
          </w:tcPr>
          <w:p w14:paraId="1C457C55" w14:textId="3AA5E1B2"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redacted</w:t>
            </w:r>
          </w:p>
        </w:tc>
        <w:tc>
          <w:tcPr>
            <w:tcW w:w="1901" w:type="pct"/>
          </w:tcPr>
          <w:p w14:paraId="30BF77B6" w14:textId="77777777"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0.63</w:t>
            </w:r>
          </w:p>
        </w:tc>
      </w:tr>
      <w:tr w:rsidR="00864F79" w:rsidRPr="00A35954" w14:paraId="360AB50D" w14:textId="77777777" w:rsidTr="003E5B0B">
        <w:tc>
          <w:tcPr>
            <w:tcW w:w="1156" w:type="pct"/>
            <w:vAlign w:val="center"/>
          </w:tcPr>
          <w:p w14:paraId="54D3BA1A" w14:textId="77777777" w:rsidR="00864F79" w:rsidRPr="00A35954" w:rsidRDefault="00864F79" w:rsidP="00864F79">
            <w:pPr>
              <w:keepNext/>
              <w:widowControl w:val="0"/>
              <w:jc w:val="center"/>
              <w:rPr>
                <w:rFonts w:ascii="Arial Narrow" w:hAnsi="Arial Narrow"/>
                <w:i/>
                <w:sz w:val="20"/>
              </w:rPr>
            </w:pPr>
            <w:r w:rsidRPr="00A35954">
              <w:rPr>
                <w:rFonts w:ascii="Arial Narrow" w:hAnsi="Arial Narrow"/>
                <w:sz w:val="20"/>
              </w:rPr>
              <w:t>5-year</w:t>
            </w:r>
          </w:p>
        </w:tc>
        <w:tc>
          <w:tcPr>
            <w:tcW w:w="1943" w:type="pct"/>
            <w:shd w:val="clear" w:color="auto" w:fill="FFFFFF" w:themeFill="background1"/>
          </w:tcPr>
          <w:p w14:paraId="599754CE" w14:textId="2B87BFBB"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redacted</w:t>
            </w:r>
          </w:p>
        </w:tc>
        <w:tc>
          <w:tcPr>
            <w:tcW w:w="1901" w:type="pct"/>
          </w:tcPr>
          <w:p w14:paraId="1D9D491E" w14:textId="77777777" w:rsidR="00864F79" w:rsidRPr="00A35954" w:rsidRDefault="00864F79" w:rsidP="00864F79">
            <w:pPr>
              <w:keepNext/>
              <w:widowControl w:val="0"/>
              <w:jc w:val="center"/>
              <w:rPr>
                <w:rFonts w:ascii="Arial Narrow" w:hAnsi="Arial Narrow"/>
                <w:sz w:val="20"/>
              </w:rPr>
            </w:pPr>
            <w:r w:rsidRPr="00A35954">
              <w:rPr>
                <w:rFonts w:ascii="Arial Narrow" w:hAnsi="Arial Narrow"/>
                <w:sz w:val="20"/>
              </w:rPr>
              <w:t>0.50</w:t>
            </w:r>
          </w:p>
        </w:tc>
      </w:tr>
      <w:tr w:rsidR="001B5028" w:rsidRPr="00A35954" w14:paraId="01881A32" w14:textId="77777777" w:rsidTr="003E5B0B">
        <w:tc>
          <w:tcPr>
            <w:tcW w:w="1156" w:type="pct"/>
            <w:vAlign w:val="center"/>
          </w:tcPr>
          <w:p w14:paraId="53D0938E" w14:textId="77777777" w:rsidR="001B5028" w:rsidRPr="00A35954" w:rsidRDefault="001B5028" w:rsidP="001B5028">
            <w:pPr>
              <w:keepNext/>
              <w:widowControl w:val="0"/>
              <w:jc w:val="center"/>
              <w:rPr>
                <w:rFonts w:ascii="Arial Narrow" w:hAnsi="Arial Narrow"/>
                <w:sz w:val="20"/>
              </w:rPr>
            </w:pPr>
            <w:r w:rsidRPr="00A35954">
              <w:rPr>
                <w:rFonts w:ascii="Arial Narrow" w:hAnsi="Arial Narrow"/>
                <w:sz w:val="20"/>
              </w:rPr>
              <w:t>Hazard ratio</w:t>
            </w:r>
          </w:p>
        </w:tc>
        <w:tc>
          <w:tcPr>
            <w:tcW w:w="3844" w:type="pct"/>
            <w:gridSpan w:val="2"/>
            <w:shd w:val="clear" w:color="auto" w:fill="FFFFFF" w:themeFill="background1"/>
          </w:tcPr>
          <w:p w14:paraId="03B994A4" w14:textId="2D2D0A43" w:rsidR="001B5028" w:rsidRPr="00A35954" w:rsidRDefault="00864F79" w:rsidP="001B5028">
            <w:pPr>
              <w:keepNext/>
              <w:widowControl w:val="0"/>
              <w:jc w:val="center"/>
              <w:rPr>
                <w:rFonts w:ascii="Arial Narrow" w:hAnsi="Arial Narrow"/>
                <w:sz w:val="20"/>
              </w:rPr>
            </w:pPr>
            <w:r w:rsidRPr="00A35954">
              <w:rPr>
                <w:rFonts w:ascii="Arial Narrow" w:hAnsi="Arial Narrow"/>
                <w:sz w:val="20"/>
              </w:rPr>
              <w:t>redacted</w:t>
            </w:r>
            <w:r w:rsidRPr="00A35954" w:rsidDel="00864F79">
              <w:rPr>
                <w:rFonts w:ascii="Arial Narrow" w:hAnsi="Arial Narrow"/>
                <w:sz w:val="20"/>
              </w:rPr>
              <w:t xml:space="preserve"> </w:t>
            </w:r>
            <w:r w:rsidR="001B5028" w:rsidRPr="00A35954">
              <w:rPr>
                <w:rFonts w:ascii="Arial Narrow" w:hAnsi="Arial Narrow"/>
                <w:sz w:val="20"/>
              </w:rPr>
              <w:t>(</w:t>
            </w:r>
            <w:r w:rsidRPr="00A35954">
              <w:rPr>
                <w:rFonts w:ascii="Arial Narrow" w:hAnsi="Arial Narrow"/>
                <w:sz w:val="20"/>
              </w:rPr>
              <w:t>redacted</w:t>
            </w:r>
            <w:r w:rsidR="001B5028" w:rsidRPr="00A35954">
              <w:rPr>
                <w:rFonts w:ascii="Arial Narrow" w:hAnsi="Arial Narrow"/>
                <w:sz w:val="20"/>
              </w:rPr>
              <w:t xml:space="preserve">, </w:t>
            </w:r>
            <w:r w:rsidRPr="00A35954">
              <w:rPr>
                <w:rFonts w:ascii="Arial Narrow" w:hAnsi="Arial Narrow"/>
                <w:sz w:val="20"/>
              </w:rPr>
              <w:t>redacted</w:t>
            </w:r>
            <w:r w:rsidR="001B5028" w:rsidRPr="00A35954">
              <w:rPr>
                <w:rFonts w:ascii="Arial Narrow" w:hAnsi="Arial Narrow"/>
                <w:sz w:val="20"/>
              </w:rPr>
              <w:t>)</w:t>
            </w:r>
          </w:p>
        </w:tc>
      </w:tr>
    </w:tbl>
    <w:p w14:paraId="5D618FA2" w14:textId="77777777" w:rsidR="001B5028" w:rsidRPr="00A35954" w:rsidRDefault="001B5028" w:rsidP="001B5028">
      <w:pPr>
        <w:keepNext/>
        <w:rPr>
          <w:rFonts w:ascii="Arial Narrow" w:hAnsi="Arial Narrow"/>
          <w:sz w:val="16"/>
        </w:rPr>
      </w:pPr>
      <w:r w:rsidRPr="00A35954">
        <w:rPr>
          <w:rFonts w:ascii="Arial Narrow" w:hAnsi="Arial Narrow"/>
          <w:sz w:val="16"/>
        </w:rPr>
        <w:t xml:space="preserve">DB </w:t>
      </w:r>
      <w:proofErr w:type="spellStart"/>
      <w:r w:rsidRPr="00A35954">
        <w:rPr>
          <w:rFonts w:ascii="Arial Narrow" w:hAnsi="Arial Narrow"/>
          <w:sz w:val="16"/>
        </w:rPr>
        <w:t>dinutuximab</w:t>
      </w:r>
      <w:proofErr w:type="spellEnd"/>
      <w:r w:rsidRPr="00A35954">
        <w:rPr>
          <w:rFonts w:ascii="Arial Narrow" w:hAnsi="Arial Narrow"/>
          <w:sz w:val="16"/>
        </w:rPr>
        <w:t xml:space="preserve"> beta; EFS event free survival; IL2 interleukin 2; LTI long term infusion; NR not reported; RA retinoic acid; OS overall survival; STI short term infusion; </w:t>
      </w:r>
    </w:p>
    <w:p w14:paraId="02D01EC9" w14:textId="1334B69D" w:rsidR="001B5028" w:rsidRPr="00A35954" w:rsidRDefault="001B5028" w:rsidP="001B5028">
      <w:pPr>
        <w:keepNext/>
        <w:tabs>
          <w:tab w:val="left" w:pos="142"/>
        </w:tabs>
        <w:rPr>
          <w:rFonts w:ascii="Arial Narrow" w:hAnsi="Arial Narrow"/>
          <w:sz w:val="16"/>
          <w:szCs w:val="16"/>
        </w:rPr>
      </w:pPr>
      <w:r w:rsidRPr="00A35954">
        <w:rPr>
          <w:rFonts w:ascii="Arial Narrow" w:hAnsi="Arial Narrow"/>
          <w:sz w:val="16"/>
          <w:szCs w:val="16"/>
        </w:rPr>
        <w:t xml:space="preserve"># There </w:t>
      </w:r>
      <w:r w:rsidR="00F02ED0" w:rsidRPr="00A35954">
        <w:rPr>
          <w:rFonts w:ascii="Arial Narrow" w:hAnsi="Arial Narrow"/>
          <w:sz w:val="16"/>
          <w:szCs w:val="16"/>
        </w:rPr>
        <w:t xml:space="preserve">was </w:t>
      </w:r>
      <w:r w:rsidRPr="00A35954">
        <w:rPr>
          <w:rFonts w:ascii="Arial Narrow" w:hAnsi="Arial Narrow"/>
          <w:sz w:val="16"/>
          <w:szCs w:val="16"/>
        </w:rPr>
        <w:t xml:space="preserve">a discrepancy in </w:t>
      </w:r>
      <w:r w:rsidR="00F02ED0" w:rsidRPr="00A35954">
        <w:rPr>
          <w:rFonts w:ascii="Arial Narrow" w:hAnsi="Arial Narrow"/>
          <w:sz w:val="16"/>
          <w:szCs w:val="16"/>
        </w:rPr>
        <w:t xml:space="preserve">patient numbers between </w:t>
      </w:r>
      <w:r w:rsidRPr="00A35954">
        <w:rPr>
          <w:rFonts w:ascii="Arial Narrow" w:hAnsi="Arial Narrow"/>
          <w:sz w:val="16"/>
          <w:szCs w:val="16"/>
        </w:rPr>
        <w:t>the MAIC methodology and analysis report</w:t>
      </w:r>
      <w:r w:rsidR="00F02ED0" w:rsidRPr="00A35954">
        <w:rPr>
          <w:rFonts w:ascii="Arial Narrow" w:hAnsi="Arial Narrow"/>
          <w:sz w:val="16"/>
          <w:szCs w:val="16"/>
        </w:rPr>
        <w:t xml:space="preserve"> (n=245) and the Sponsor’s submission (n=160)</w:t>
      </w:r>
    </w:p>
    <w:p w14:paraId="0539B74D" w14:textId="1A1B3E18" w:rsidR="001B5028" w:rsidRPr="00A35954" w:rsidRDefault="00E12418" w:rsidP="001F2235">
      <w:pPr>
        <w:keepNext/>
        <w:tabs>
          <w:tab w:val="left" w:pos="142"/>
        </w:tabs>
        <w:rPr>
          <w:rFonts w:ascii="Arial Narrow" w:hAnsi="Arial Narrow"/>
          <w:sz w:val="16"/>
          <w:szCs w:val="16"/>
        </w:rPr>
      </w:pPr>
      <w:r w:rsidRPr="00A35954">
        <w:rPr>
          <w:rFonts w:ascii="Arial Narrow" w:hAnsi="Arial Narrow"/>
          <w:sz w:val="16"/>
          <w:szCs w:val="16"/>
        </w:rPr>
        <w:t>Source:</w:t>
      </w:r>
      <w:r w:rsidR="009D2F49" w:rsidRPr="00A35954">
        <w:rPr>
          <w:rFonts w:ascii="Arial Narrow" w:hAnsi="Arial Narrow"/>
          <w:sz w:val="16"/>
          <w:szCs w:val="16"/>
        </w:rPr>
        <w:t xml:space="preserve"> Table 6, p</w:t>
      </w:r>
      <w:r w:rsidR="00D44AA4" w:rsidRPr="00A35954">
        <w:rPr>
          <w:rFonts w:ascii="Arial Narrow" w:hAnsi="Arial Narrow"/>
          <w:sz w:val="16"/>
          <w:szCs w:val="16"/>
        </w:rPr>
        <w:t>9 of the Departmental Overview</w:t>
      </w:r>
    </w:p>
    <w:p w14:paraId="1239B3E2" w14:textId="56B01A1A" w:rsidR="001B5028" w:rsidRPr="00A35954" w:rsidRDefault="001B5028" w:rsidP="00A35954">
      <w:pPr>
        <w:spacing w:before="240"/>
        <w:rPr>
          <w:rFonts w:ascii="Arial Narrow" w:hAnsi="Arial Narrow"/>
          <w:b/>
          <w:sz w:val="20"/>
        </w:rPr>
      </w:pPr>
      <w:bookmarkStart w:id="14" w:name="_Ref39841184"/>
      <w:r w:rsidRPr="00A35954">
        <w:rPr>
          <w:rFonts w:ascii="Arial Narrow" w:hAnsi="Arial Narrow"/>
          <w:b/>
          <w:sz w:val="20"/>
        </w:rPr>
        <w:t xml:space="preserve">Figure </w:t>
      </w:r>
      <w:r w:rsidR="00840515" w:rsidRPr="00A35954">
        <w:rPr>
          <w:rFonts w:ascii="Arial Narrow" w:hAnsi="Arial Narrow"/>
          <w:b/>
          <w:sz w:val="20"/>
        </w:rPr>
        <w:fldChar w:fldCharType="begin"/>
      </w:r>
      <w:r w:rsidR="00840515" w:rsidRPr="00A35954">
        <w:rPr>
          <w:rFonts w:ascii="Arial Narrow" w:hAnsi="Arial Narrow"/>
          <w:b/>
          <w:sz w:val="20"/>
        </w:rPr>
        <w:instrText xml:space="preserve"> SEQ Figure \* ARABIC </w:instrText>
      </w:r>
      <w:r w:rsidR="00840515" w:rsidRPr="00A35954">
        <w:rPr>
          <w:rFonts w:ascii="Arial Narrow" w:hAnsi="Arial Narrow"/>
          <w:b/>
          <w:sz w:val="20"/>
        </w:rPr>
        <w:fldChar w:fldCharType="separate"/>
      </w:r>
      <w:r w:rsidR="00991D81">
        <w:rPr>
          <w:rFonts w:ascii="Arial Narrow" w:hAnsi="Arial Narrow"/>
          <w:b/>
          <w:noProof/>
          <w:sz w:val="20"/>
        </w:rPr>
        <w:t>2</w:t>
      </w:r>
      <w:r w:rsidR="00840515" w:rsidRPr="00A35954">
        <w:rPr>
          <w:rFonts w:ascii="Arial Narrow" w:hAnsi="Arial Narrow"/>
          <w:b/>
          <w:sz w:val="20"/>
        </w:rPr>
        <w:fldChar w:fldCharType="end"/>
      </w:r>
      <w:bookmarkEnd w:id="14"/>
      <w:r w:rsidRPr="00A35954">
        <w:rPr>
          <w:rFonts w:ascii="Arial Narrow" w:hAnsi="Arial Narrow"/>
          <w:b/>
          <w:sz w:val="20"/>
        </w:rPr>
        <w:tab/>
        <w:t>Kaplan Meier of EFS and OS for DB + RA ± IL2 (302-R2) vs RA (Yu et al 2010) for HRNBL</w:t>
      </w:r>
      <w:r w:rsidR="00864F79" w:rsidRPr="00A35954">
        <w:rPr>
          <w:rFonts w:ascii="Arial Narrow" w:hAnsi="Arial Narrow"/>
          <w:b/>
          <w:sz w:val="20"/>
        </w:rPr>
        <w:t xml:space="preserve"> - Redacted</w:t>
      </w:r>
    </w:p>
    <w:p w14:paraId="5A97CB9B" w14:textId="77777777" w:rsidR="001B5028" w:rsidRPr="00F7369D" w:rsidRDefault="001B5028" w:rsidP="001F2235">
      <w:pPr>
        <w:spacing w:before="240"/>
        <w:rPr>
          <w:iCs/>
        </w:rPr>
      </w:pPr>
      <w:r w:rsidRPr="00F7369D">
        <w:rPr>
          <w:iCs/>
        </w:rPr>
        <w:t xml:space="preserve">The potential bias and limitations of </w:t>
      </w:r>
      <w:r>
        <w:rPr>
          <w:iCs/>
        </w:rPr>
        <w:t xml:space="preserve">the </w:t>
      </w:r>
      <w:r w:rsidRPr="00F7369D">
        <w:rPr>
          <w:iCs/>
        </w:rPr>
        <w:t>MAIC include:</w:t>
      </w:r>
    </w:p>
    <w:p w14:paraId="0C6AEB6E" w14:textId="77777777" w:rsidR="001B5028" w:rsidRPr="00F7369D" w:rsidRDefault="001B5028" w:rsidP="00FF7A76">
      <w:pPr>
        <w:pStyle w:val="ListParagraph"/>
        <w:numPr>
          <w:ilvl w:val="0"/>
          <w:numId w:val="30"/>
        </w:numPr>
        <w:ind w:left="709" w:hanging="349"/>
        <w:rPr>
          <w:iCs/>
        </w:rPr>
      </w:pPr>
      <w:r w:rsidRPr="00F7369D">
        <w:rPr>
          <w:iCs/>
        </w:rPr>
        <w:t xml:space="preserve">The MAIC may not have controlled for </w:t>
      </w:r>
      <w:proofErr w:type="gramStart"/>
      <w:r w:rsidRPr="00F7369D">
        <w:rPr>
          <w:iCs/>
        </w:rPr>
        <w:t>all important</w:t>
      </w:r>
      <w:proofErr w:type="gramEnd"/>
      <w:r w:rsidRPr="00F7369D">
        <w:rPr>
          <w:iCs/>
        </w:rPr>
        <w:t xml:space="preserve"> risk factors (known and unknown).</w:t>
      </w:r>
    </w:p>
    <w:p w14:paraId="7CD68092" w14:textId="77777777" w:rsidR="001B5028" w:rsidRPr="00F7369D" w:rsidRDefault="001B5028" w:rsidP="00FF7A76">
      <w:pPr>
        <w:pStyle w:val="ListParagraph"/>
        <w:numPr>
          <w:ilvl w:val="0"/>
          <w:numId w:val="30"/>
        </w:numPr>
        <w:ind w:left="709" w:hanging="349"/>
        <w:rPr>
          <w:iCs/>
        </w:rPr>
      </w:pPr>
      <w:r w:rsidRPr="00F7369D">
        <w:rPr>
          <w:iCs/>
        </w:rPr>
        <w:t>The MAIC did not adjust for type of consolidation therapy</w:t>
      </w:r>
      <w:r>
        <w:rPr>
          <w:iCs/>
        </w:rPr>
        <w:t>,</w:t>
      </w:r>
      <w:r w:rsidRPr="00F7369D">
        <w:rPr>
          <w:iCs/>
        </w:rPr>
        <w:t xml:space="preserve"> </w:t>
      </w:r>
      <w:r>
        <w:rPr>
          <w:iCs/>
        </w:rPr>
        <w:t xml:space="preserve">which may </w:t>
      </w:r>
      <w:proofErr w:type="gramStart"/>
      <w:r>
        <w:rPr>
          <w:iCs/>
        </w:rPr>
        <w:t>impact on</w:t>
      </w:r>
      <w:proofErr w:type="gramEnd"/>
      <w:r>
        <w:rPr>
          <w:iCs/>
        </w:rPr>
        <w:t xml:space="preserve"> the outcome.</w:t>
      </w:r>
    </w:p>
    <w:p w14:paraId="06208D1E" w14:textId="29D776C9" w:rsidR="001B5028" w:rsidRPr="001F2235" w:rsidRDefault="001B5028" w:rsidP="001B5028">
      <w:pPr>
        <w:pStyle w:val="ListParagraph"/>
        <w:numPr>
          <w:ilvl w:val="0"/>
          <w:numId w:val="30"/>
        </w:numPr>
        <w:ind w:left="709" w:hanging="349"/>
        <w:rPr>
          <w:iCs/>
        </w:rPr>
      </w:pPr>
      <w:r w:rsidRPr="00F7369D">
        <w:rPr>
          <w:iCs/>
        </w:rPr>
        <w:t xml:space="preserve">The submission presented limited detail about the estimation of the propensity score </w:t>
      </w:r>
      <w:proofErr w:type="gramStart"/>
      <w:r w:rsidRPr="00F7369D">
        <w:rPr>
          <w:iCs/>
        </w:rPr>
        <w:t>weights,</w:t>
      </w:r>
      <w:proofErr w:type="gramEnd"/>
      <w:r w:rsidRPr="00F7369D">
        <w:rPr>
          <w:iCs/>
        </w:rPr>
        <w:t xml:space="preserve"> however, matching to mean aggregate values for four risk factors in Yu et al 2010 ignores the distribution and covariance of the risk factor</w:t>
      </w:r>
      <w:r w:rsidR="001F2235">
        <w:rPr>
          <w:iCs/>
        </w:rPr>
        <w:t>s across the comparison groups.</w:t>
      </w:r>
    </w:p>
    <w:p w14:paraId="521B0143" w14:textId="51EB2F62" w:rsidR="00BC5CBF" w:rsidRDefault="00432574" w:rsidP="001F2235">
      <w:pPr>
        <w:spacing w:before="240"/>
      </w:pPr>
      <w:r>
        <w:t xml:space="preserve">The </w:t>
      </w:r>
      <w:r w:rsidR="00003528">
        <w:t xml:space="preserve">applicant’s </w:t>
      </w:r>
      <w:r>
        <w:t>pre</w:t>
      </w:r>
      <w:r w:rsidR="0005796E">
        <w:t>-</w:t>
      </w:r>
      <w:r>
        <w:t xml:space="preserve">MSAC response acknowledged the potential bias and limitations of the MAIC however, the applicant claimed the </w:t>
      </w:r>
      <w:r w:rsidR="00BC5CBF">
        <w:t xml:space="preserve">validity of the outcomes have been confirmed in a reanalysis performed by NICE’s </w:t>
      </w:r>
      <w:r w:rsidR="00142123">
        <w:t>Decision</w:t>
      </w:r>
      <w:r w:rsidR="00BC5CBF">
        <w:t xml:space="preserve"> Support Unit (</w:t>
      </w:r>
      <w:r w:rsidR="00BC5CBF" w:rsidRPr="00BC5CBF">
        <w:t xml:space="preserve">NICE </w:t>
      </w:r>
      <w:proofErr w:type="spellStart"/>
      <w:r w:rsidR="00BC5CBF" w:rsidRPr="00BC5CBF">
        <w:t>Qarziba</w:t>
      </w:r>
      <w:proofErr w:type="spellEnd"/>
      <w:r w:rsidR="00BC5CBF" w:rsidRPr="00BC5CBF">
        <w:t xml:space="preserve"> 2nd Comm</w:t>
      </w:r>
      <w:r w:rsidR="00BC5CBF">
        <w:t>ittee Meeting slides,</w:t>
      </w:r>
      <w:r w:rsidR="00FF7A76">
        <w:t xml:space="preserve"> </w:t>
      </w:r>
      <w:r w:rsidR="00BC5CBF">
        <w:t>10/4/2018,</w:t>
      </w:r>
      <w:r w:rsidR="00BC5CBF" w:rsidRPr="00BC5CBF">
        <w:t xml:space="preserve"> p.8</w:t>
      </w:r>
      <w:r w:rsidR="00BC5CBF">
        <w:t>).</w:t>
      </w:r>
    </w:p>
    <w:p w14:paraId="29D26E26" w14:textId="2C80508D" w:rsidR="001B5028" w:rsidRDefault="001B5028" w:rsidP="00A35954">
      <w:pPr>
        <w:pStyle w:val="Heading2"/>
        <w:keepNext/>
        <w:spacing w:before="240"/>
      </w:pPr>
      <w:proofErr w:type="spellStart"/>
      <w:r>
        <w:t>Dinutuximab</w:t>
      </w:r>
      <w:proofErr w:type="spellEnd"/>
      <w:r>
        <w:t xml:space="preserve"> alpha study</w:t>
      </w:r>
    </w:p>
    <w:p w14:paraId="721E0933" w14:textId="00D711BD" w:rsidR="001B5028" w:rsidRDefault="001B5028" w:rsidP="001B5028">
      <w:proofErr w:type="spellStart"/>
      <w:r>
        <w:rPr>
          <w:iCs/>
        </w:rPr>
        <w:t>Dinutuximab</w:t>
      </w:r>
      <w:proofErr w:type="spellEnd"/>
      <w:r>
        <w:rPr>
          <w:iCs/>
        </w:rPr>
        <w:t xml:space="preserve"> alpha (+ RA+ IL-2+GM-CSF) was compared to RA in the Yu 2010 study. Over 2.1 years of follow-up, the 2 year </w:t>
      </w:r>
      <w:r w:rsidRPr="004229A3">
        <w:rPr>
          <w:iCs/>
        </w:rPr>
        <w:t>EFS was 66% vs 46% for DA and RA (p=0.01), respectively and the 2 year OS was 86% vs 75% for DA and</w:t>
      </w:r>
      <w:r>
        <w:rPr>
          <w:iCs/>
        </w:rPr>
        <w:t xml:space="preserve"> RA (p=0.02), respectively (no hazard ratios were reported). D</w:t>
      </w:r>
      <w:r w:rsidRPr="00532B46">
        <w:rPr>
          <w:iCs/>
        </w:rPr>
        <w:t xml:space="preserve">ata from </w:t>
      </w:r>
      <w:r>
        <w:rPr>
          <w:iCs/>
        </w:rPr>
        <w:t xml:space="preserve">this study </w:t>
      </w:r>
      <w:r w:rsidRPr="00532B46">
        <w:rPr>
          <w:iCs/>
        </w:rPr>
        <w:t xml:space="preserve">with </w:t>
      </w:r>
      <w:r w:rsidRPr="00532B46">
        <w:t xml:space="preserve">longer </w:t>
      </w:r>
      <w:r>
        <w:t xml:space="preserve">follow-up (median 5.5 years – noting the study was </w:t>
      </w:r>
      <w:proofErr w:type="spellStart"/>
      <w:r>
        <w:t>unblinded</w:t>
      </w:r>
      <w:proofErr w:type="spellEnd"/>
      <w:r>
        <w:t xml:space="preserve"> prior to reaching the 3 year primary endpoint)</w:t>
      </w:r>
      <w:r w:rsidRPr="00532B46">
        <w:t xml:space="preserve">, </w:t>
      </w:r>
      <w:r>
        <w:t xml:space="preserve">showed </w:t>
      </w:r>
      <w:r w:rsidRPr="00532B46">
        <w:t>the curves for EFS converged, resulting in a non-significant difference between the immunot</w:t>
      </w:r>
      <w:r>
        <w:t>herapy and RA monotherapy arms (</w:t>
      </w:r>
      <w:r w:rsidRPr="00CB002C">
        <w:rPr>
          <w:szCs w:val="24"/>
        </w:rPr>
        <w:fldChar w:fldCharType="begin"/>
      </w:r>
      <w:r w:rsidRPr="00CB002C">
        <w:rPr>
          <w:szCs w:val="24"/>
        </w:rPr>
        <w:instrText xml:space="preserve"> REF _Ref40165436 \h </w:instrText>
      </w:r>
      <w:r w:rsidR="00CB002C" w:rsidRPr="00CB002C">
        <w:rPr>
          <w:szCs w:val="24"/>
        </w:rPr>
        <w:instrText xml:space="preserve"> \* MERGEFORMAT </w:instrText>
      </w:r>
      <w:r w:rsidRPr="00CB002C">
        <w:rPr>
          <w:szCs w:val="24"/>
        </w:rPr>
      </w:r>
      <w:r w:rsidRPr="00CB002C">
        <w:rPr>
          <w:szCs w:val="24"/>
        </w:rPr>
        <w:fldChar w:fldCharType="separate"/>
      </w:r>
      <w:r w:rsidR="00991D81" w:rsidRPr="00991D81">
        <w:rPr>
          <w:szCs w:val="24"/>
        </w:rPr>
        <w:t xml:space="preserve">Figure </w:t>
      </w:r>
      <w:r w:rsidR="00991D81" w:rsidRPr="00991D81">
        <w:rPr>
          <w:noProof/>
          <w:szCs w:val="24"/>
        </w:rPr>
        <w:t>3</w:t>
      </w:r>
      <w:r w:rsidRPr="00CB002C">
        <w:rPr>
          <w:szCs w:val="24"/>
        </w:rPr>
        <w:fldChar w:fldCharType="end"/>
      </w:r>
      <w:r>
        <w:t>)</w:t>
      </w:r>
      <w:r w:rsidRPr="00532B46">
        <w:t xml:space="preserve">. Immunotherapy was associated with </w:t>
      </w:r>
      <w:r>
        <w:t xml:space="preserve">statistically significant </w:t>
      </w:r>
      <w:r w:rsidRPr="00532B46">
        <w:t>improved survival compared to RA monotherapy, with the difference in the treatment arms for OS narrowing over time</w:t>
      </w:r>
      <w:r>
        <w:t xml:space="preserve">. </w:t>
      </w:r>
      <w:r w:rsidRPr="00532B46">
        <w:t xml:space="preserve">Given that both </w:t>
      </w:r>
      <w:r>
        <w:rPr>
          <w:iCs/>
        </w:rPr>
        <w:t>DB</w:t>
      </w:r>
      <w:r w:rsidRPr="00532B46">
        <w:t xml:space="preserve"> and </w:t>
      </w:r>
      <w:r>
        <w:t xml:space="preserve">DA </w:t>
      </w:r>
      <w:r w:rsidRPr="00532B46">
        <w:t xml:space="preserve">are anti-GD2 </w:t>
      </w:r>
      <w:r w:rsidRPr="00532B46">
        <w:lastRenderedPageBreak/>
        <w:t xml:space="preserve">antibodies, it is possible that both the EFS and OS curves for </w:t>
      </w:r>
      <w:r>
        <w:t xml:space="preserve">DB </w:t>
      </w:r>
      <w:r w:rsidRPr="00532B46">
        <w:t>vs RA will converge with longer follow-up.</w:t>
      </w:r>
    </w:p>
    <w:p w14:paraId="0553EBFB" w14:textId="00D1C54D" w:rsidR="001B5028" w:rsidRPr="00F7098F" w:rsidRDefault="001B5028" w:rsidP="00F7098F">
      <w:pPr>
        <w:spacing w:before="240"/>
        <w:rPr>
          <w:rFonts w:ascii="Arial Narrow" w:hAnsi="Arial Narrow"/>
          <w:b/>
          <w:sz w:val="20"/>
        </w:rPr>
      </w:pPr>
      <w:bookmarkStart w:id="15" w:name="_Ref40165436"/>
      <w:r w:rsidRPr="00F7098F">
        <w:rPr>
          <w:rFonts w:ascii="Arial Narrow" w:hAnsi="Arial Narrow"/>
          <w:b/>
          <w:sz w:val="20"/>
        </w:rPr>
        <w:t xml:space="preserve">Figure </w:t>
      </w:r>
      <w:r w:rsidR="00840515" w:rsidRPr="00F7098F">
        <w:rPr>
          <w:rFonts w:ascii="Arial Narrow" w:hAnsi="Arial Narrow"/>
          <w:b/>
          <w:sz w:val="20"/>
        </w:rPr>
        <w:fldChar w:fldCharType="begin"/>
      </w:r>
      <w:r w:rsidR="00840515" w:rsidRPr="00F7098F">
        <w:rPr>
          <w:rFonts w:ascii="Arial Narrow" w:hAnsi="Arial Narrow"/>
          <w:b/>
          <w:sz w:val="20"/>
        </w:rPr>
        <w:instrText xml:space="preserve"> SEQ Figure \* ARABIC </w:instrText>
      </w:r>
      <w:r w:rsidR="00840515" w:rsidRPr="00F7098F">
        <w:rPr>
          <w:rFonts w:ascii="Arial Narrow" w:hAnsi="Arial Narrow"/>
          <w:b/>
          <w:sz w:val="20"/>
        </w:rPr>
        <w:fldChar w:fldCharType="separate"/>
      </w:r>
      <w:r w:rsidR="00991D81">
        <w:rPr>
          <w:rFonts w:ascii="Arial Narrow" w:hAnsi="Arial Narrow"/>
          <w:b/>
          <w:noProof/>
          <w:sz w:val="20"/>
        </w:rPr>
        <w:t>3</w:t>
      </w:r>
      <w:r w:rsidR="00840515" w:rsidRPr="00F7098F">
        <w:rPr>
          <w:rFonts w:ascii="Arial Narrow" w:hAnsi="Arial Narrow"/>
          <w:b/>
          <w:sz w:val="20"/>
        </w:rPr>
        <w:fldChar w:fldCharType="end"/>
      </w:r>
      <w:bookmarkEnd w:id="15"/>
      <w:r w:rsidRPr="00F7098F">
        <w:rPr>
          <w:rFonts w:ascii="Arial Narrow" w:hAnsi="Arial Narrow"/>
          <w:b/>
          <w:sz w:val="20"/>
        </w:rPr>
        <w:tab/>
        <w:t xml:space="preserve">EFS and OS results for </w:t>
      </w:r>
      <w:proofErr w:type="spellStart"/>
      <w:r w:rsidRPr="00F7098F">
        <w:rPr>
          <w:rFonts w:ascii="Arial Narrow" w:hAnsi="Arial Narrow"/>
          <w:b/>
          <w:sz w:val="20"/>
        </w:rPr>
        <w:t>dinutuximab</w:t>
      </w:r>
      <w:proofErr w:type="spellEnd"/>
      <w:r w:rsidRPr="00F7098F">
        <w:rPr>
          <w:rFonts w:ascii="Arial Narrow" w:hAnsi="Arial Narrow"/>
          <w:b/>
          <w:sz w:val="20"/>
        </w:rPr>
        <w:t xml:space="preserve"> alpha + RA + IL-2 + GM-CSF vs RA monotherapy (median follow up 5.5 years)</w:t>
      </w:r>
    </w:p>
    <w:p w14:paraId="7F90B8CC" w14:textId="77777777" w:rsidR="001B5028" w:rsidRDefault="001B5028" w:rsidP="001B5028">
      <w:pPr>
        <w:pStyle w:val="ListBullet"/>
        <w:keepNext/>
        <w:keepLines/>
        <w:numPr>
          <w:ilvl w:val="0"/>
          <w:numId w:val="0"/>
        </w:numPr>
        <w:rPr>
          <w:color w:val="FF0000"/>
          <w:lang w:val="en-US"/>
        </w:rPr>
      </w:pPr>
      <w:r>
        <w:rPr>
          <w:noProof/>
        </w:rPr>
        <w:drawing>
          <wp:inline distT="0" distB="0" distL="0" distR="0" wp14:anchorId="20CA20CC" wp14:editId="05FCA86C">
            <wp:extent cx="5732145" cy="1903095"/>
            <wp:effectExtent l="0" t="0" r="1905" b="1905"/>
            <wp:docPr id="10" name="Picture 10" descr="EFS and OS results for dinutuximab alpha + RA + IL-2 + GM-CSF vs RA monotherapy (median follow up 5.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1903095"/>
                    </a:xfrm>
                    <a:prstGeom prst="rect">
                      <a:avLst/>
                    </a:prstGeom>
                  </pic:spPr>
                </pic:pic>
              </a:graphicData>
            </a:graphic>
          </wp:inline>
        </w:drawing>
      </w:r>
    </w:p>
    <w:p w14:paraId="6E0E6849" w14:textId="77777777" w:rsidR="001B5028" w:rsidRPr="00FA13A3" w:rsidRDefault="001B5028" w:rsidP="00EE173C">
      <w:pPr>
        <w:pStyle w:val="TableFooter"/>
        <w:rPr>
          <w:rFonts w:cs="Times New Roman"/>
          <w:iCs/>
          <w:szCs w:val="20"/>
          <w:u w:val="single"/>
        </w:rPr>
      </w:pPr>
      <w:r w:rsidRPr="00912536">
        <w:t>EFS</w:t>
      </w:r>
      <w:r>
        <w:t xml:space="preserve"> event free survival; GM-CSF granulocyte-macrophage colony stimulating factor; IL2 interleukin 2; RA retinoic acid; OS overall survival</w:t>
      </w:r>
    </w:p>
    <w:p w14:paraId="23E5EAB7" w14:textId="5D1F261B" w:rsidR="00EE173C" w:rsidRPr="001F2235" w:rsidRDefault="001B5028" w:rsidP="00EE173C">
      <w:pPr>
        <w:pStyle w:val="TableFooter"/>
        <w:rPr>
          <w:szCs w:val="16"/>
          <w:lang w:val="en-US"/>
        </w:rPr>
      </w:pPr>
      <w:r w:rsidRPr="00EE173C">
        <w:rPr>
          <w:szCs w:val="16"/>
          <w:lang w:val="en-US"/>
        </w:rPr>
        <w:t>Source:</w:t>
      </w:r>
      <w:r w:rsidRPr="004C733A">
        <w:rPr>
          <w:szCs w:val="16"/>
          <w:lang w:val="en-US"/>
        </w:rPr>
        <w:t xml:space="preserve"> S</w:t>
      </w:r>
      <w:r>
        <w:rPr>
          <w:szCs w:val="16"/>
          <w:lang w:val="en-US"/>
        </w:rPr>
        <w:t>lide 14 and 15, Yu</w:t>
      </w:r>
      <w:r w:rsidRPr="004C733A">
        <w:rPr>
          <w:szCs w:val="16"/>
          <w:lang w:val="en-US"/>
        </w:rPr>
        <w:t xml:space="preserve"> 2014 </w:t>
      </w:r>
      <w:r>
        <w:rPr>
          <w:szCs w:val="16"/>
          <w:lang w:val="en-US"/>
        </w:rPr>
        <w:t>presentation</w:t>
      </w:r>
    </w:p>
    <w:p w14:paraId="466A398F" w14:textId="4037C160" w:rsidR="00BC1364" w:rsidRDefault="001B5028" w:rsidP="001F2235">
      <w:pPr>
        <w:tabs>
          <w:tab w:val="left" w:pos="720"/>
          <w:tab w:val="left" w:pos="1140"/>
        </w:tabs>
        <w:spacing w:before="240" w:after="240"/>
        <w:rPr>
          <w:i/>
          <w:szCs w:val="24"/>
        </w:rPr>
      </w:pPr>
      <w:r w:rsidRPr="00142035">
        <w:rPr>
          <w:snapToGrid w:val="0"/>
          <w:szCs w:val="24"/>
        </w:rPr>
        <w:t xml:space="preserve">The PBAC ESC considered the estimated treatment effect for </w:t>
      </w:r>
      <w:r>
        <w:rPr>
          <w:snapToGrid w:val="0"/>
          <w:szCs w:val="24"/>
        </w:rPr>
        <w:t>DB</w:t>
      </w:r>
      <w:r w:rsidRPr="00142035">
        <w:rPr>
          <w:snapToGrid w:val="0"/>
          <w:szCs w:val="24"/>
        </w:rPr>
        <w:t xml:space="preserve"> (+ RA ± IL-2) versus retinoic acid (RA) monotherapy is highly uncertain. </w:t>
      </w:r>
      <w:r w:rsidRPr="00C97481">
        <w:rPr>
          <w:snapToGrid w:val="0"/>
          <w:szCs w:val="24"/>
        </w:rPr>
        <w:t>The updated submission continued to rely on a number of adjusted and naïve indirect comparisons to support the claim of superiority of DB + RA versus RA monotherapy.</w:t>
      </w:r>
    </w:p>
    <w:p w14:paraId="49AA62CC" w14:textId="77777777" w:rsidR="00BC1364" w:rsidRPr="00F715D1" w:rsidRDefault="00BC1364" w:rsidP="00F715D1">
      <w:pPr>
        <w:pStyle w:val="Heading1"/>
      </w:pPr>
      <w:r w:rsidRPr="00F715D1">
        <w:t>Economic evaluation</w:t>
      </w:r>
    </w:p>
    <w:p w14:paraId="4752D19B" w14:textId="4A21ABAC" w:rsidR="00DA1129" w:rsidRDefault="00DA1129" w:rsidP="001B5028">
      <w:r>
        <w:t xml:space="preserve">Three different versions of the economic model were utilised during the </w:t>
      </w:r>
      <w:r w:rsidR="001F2235">
        <w:t xml:space="preserve">evaluation of this submission. </w:t>
      </w:r>
      <w:r>
        <w:t>All had the same structure, but differed in key components</w:t>
      </w:r>
      <w:r w:rsidR="00FD1CFE">
        <w:t xml:space="preserve"> (see </w:t>
      </w:r>
      <w:r w:rsidR="00FF7A76" w:rsidRPr="00CB002C">
        <w:rPr>
          <w:szCs w:val="24"/>
        </w:rPr>
        <w:fldChar w:fldCharType="begin"/>
      </w:r>
      <w:r w:rsidR="00FF7A76" w:rsidRPr="00CB002C">
        <w:rPr>
          <w:szCs w:val="24"/>
        </w:rPr>
        <w:instrText xml:space="preserve"> REF _Ref39842941 \h </w:instrText>
      </w:r>
      <w:r w:rsidR="00CB002C" w:rsidRPr="00CB002C">
        <w:rPr>
          <w:szCs w:val="24"/>
        </w:rPr>
        <w:instrText xml:space="preserve"> \* MERGEFORMAT </w:instrText>
      </w:r>
      <w:r w:rsidR="00FF7A76" w:rsidRPr="00CB002C">
        <w:rPr>
          <w:szCs w:val="24"/>
        </w:rPr>
      </w:r>
      <w:r w:rsidR="00FF7A76" w:rsidRPr="00CB002C">
        <w:rPr>
          <w:szCs w:val="24"/>
        </w:rPr>
        <w:fldChar w:fldCharType="separate"/>
      </w:r>
      <w:r w:rsidR="00991D81" w:rsidRPr="00991D81">
        <w:rPr>
          <w:rFonts w:eastAsiaTheme="majorEastAsia"/>
          <w:szCs w:val="24"/>
        </w:rPr>
        <w:t xml:space="preserve">Table </w:t>
      </w:r>
      <w:r w:rsidR="00991D81" w:rsidRPr="00991D81">
        <w:rPr>
          <w:rFonts w:eastAsiaTheme="majorEastAsia"/>
          <w:noProof/>
          <w:szCs w:val="24"/>
        </w:rPr>
        <w:t>11</w:t>
      </w:r>
      <w:r w:rsidR="00FF7A76" w:rsidRPr="00CB002C">
        <w:rPr>
          <w:szCs w:val="24"/>
        </w:rPr>
        <w:fldChar w:fldCharType="end"/>
      </w:r>
      <w:r w:rsidR="00FD1CFE">
        <w:t>)</w:t>
      </w:r>
      <w:r>
        <w:t>.</w:t>
      </w:r>
    </w:p>
    <w:p w14:paraId="1EBDB710" w14:textId="77C1A57F" w:rsidR="00991D81" w:rsidRDefault="001B5028" w:rsidP="00991D81">
      <w:pPr>
        <w:spacing w:before="240"/>
      </w:pPr>
      <w:r w:rsidRPr="00596939">
        <w:t xml:space="preserve">The </w:t>
      </w:r>
      <w:r>
        <w:t xml:space="preserve">economic model provided in the updated </w:t>
      </w:r>
      <w:r w:rsidRPr="00596939">
        <w:t>submission</w:t>
      </w:r>
      <w:r w:rsidR="00DA1129">
        <w:t xml:space="preserve"> (MSAC ESC model)</w:t>
      </w:r>
      <w:r w:rsidRPr="00596939">
        <w:t xml:space="preserve"> </w:t>
      </w:r>
      <w:r>
        <w:t xml:space="preserve">had the same model structure as the model in the initial submission to the PBAC: </w:t>
      </w:r>
      <w:r w:rsidRPr="00596939">
        <w:t>two-part (</w:t>
      </w:r>
      <w:proofErr w:type="gramStart"/>
      <w:r w:rsidRPr="00596939">
        <w:t>short term</w:t>
      </w:r>
      <w:proofErr w:type="gramEnd"/>
      <w:r w:rsidRPr="00596939">
        <w:t xml:space="preserve"> + long-term model) partitioned survival analysis model with three health states: stable disease (EFS; no events), failure state (FS; progressive disease) and death.</w:t>
      </w:r>
      <w:r>
        <w:t xml:space="preserve"> The key components of </w:t>
      </w:r>
      <w:r w:rsidRPr="002F3342">
        <w:t xml:space="preserve">the economic evaluation are summarised in </w:t>
      </w:r>
      <w:bookmarkStart w:id="16" w:name="_Ref39842219"/>
      <w:r w:rsidR="00991D81">
        <w:t>Table 10.</w:t>
      </w:r>
    </w:p>
    <w:p w14:paraId="73AD4758" w14:textId="434D048C" w:rsidR="00FF7A76" w:rsidRPr="0013645A" w:rsidRDefault="00FF7A76" w:rsidP="001F2235">
      <w:pPr>
        <w:spacing w:before="240"/>
        <w:rPr>
          <w:szCs w:val="24"/>
        </w:rPr>
      </w:pPr>
      <w:r>
        <w:br w:type="page"/>
      </w:r>
    </w:p>
    <w:p w14:paraId="5DE7A459" w14:textId="02D5EFD7" w:rsidR="001B5028" w:rsidRPr="00625D9D" w:rsidRDefault="001B5028" w:rsidP="00625D9D">
      <w:pPr>
        <w:rPr>
          <w:rFonts w:ascii="Arial Narrow" w:hAnsi="Arial Narrow"/>
          <w:b/>
          <w:sz w:val="20"/>
        </w:rPr>
      </w:pPr>
      <w:r w:rsidRPr="00625D9D">
        <w:rPr>
          <w:rFonts w:ascii="Arial Narrow" w:hAnsi="Arial Narrow"/>
          <w:b/>
          <w:sz w:val="20"/>
        </w:rPr>
        <w:lastRenderedPageBreak/>
        <w:t xml:space="preserve">Table </w:t>
      </w:r>
      <w:r w:rsidR="00840515" w:rsidRPr="00625D9D">
        <w:rPr>
          <w:rFonts w:ascii="Arial Narrow" w:hAnsi="Arial Narrow"/>
          <w:b/>
          <w:sz w:val="20"/>
        </w:rPr>
        <w:fldChar w:fldCharType="begin"/>
      </w:r>
      <w:r w:rsidR="00840515" w:rsidRPr="00625D9D">
        <w:rPr>
          <w:rFonts w:ascii="Arial Narrow" w:hAnsi="Arial Narrow"/>
          <w:b/>
          <w:sz w:val="20"/>
        </w:rPr>
        <w:instrText xml:space="preserve"> SEQ Table \* ARABIC </w:instrText>
      </w:r>
      <w:r w:rsidR="00840515" w:rsidRPr="00625D9D">
        <w:rPr>
          <w:rFonts w:ascii="Arial Narrow" w:hAnsi="Arial Narrow"/>
          <w:b/>
          <w:sz w:val="20"/>
        </w:rPr>
        <w:fldChar w:fldCharType="separate"/>
      </w:r>
      <w:r w:rsidR="00991D81">
        <w:rPr>
          <w:rFonts w:ascii="Arial Narrow" w:hAnsi="Arial Narrow"/>
          <w:b/>
          <w:noProof/>
          <w:sz w:val="20"/>
        </w:rPr>
        <w:t>10</w:t>
      </w:r>
      <w:r w:rsidR="00840515" w:rsidRPr="00625D9D">
        <w:rPr>
          <w:rFonts w:ascii="Arial Narrow" w:hAnsi="Arial Narrow"/>
          <w:b/>
          <w:sz w:val="20"/>
        </w:rPr>
        <w:fldChar w:fldCharType="end"/>
      </w:r>
      <w:bookmarkEnd w:id="16"/>
      <w:r w:rsidRPr="00625D9D">
        <w:rPr>
          <w:rFonts w:ascii="Arial Narrow" w:hAnsi="Arial Narrow"/>
          <w:b/>
          <w:sz w:val="20"/>
        </w:rPr>
        <w:t xml:space="preserve"> </w:t>
      </w:r>
      <w:r w:rsidRPr="00625D9D">
        <w:rPr>
          <w:rFonts w:ascii="Arial Narrow" w:hAnsi="Arial Narrow"/>
          <w:b/>
          <w:sz w:val="20"/>
        </w:rPr>
        <w:tab/>
        <w:t>Key components of the economic evaluation</w:t>
      </w:r>
    </w:p>
    <w:tbl>
      <w:tblPr>
        <w:tblStyle w:val="TableGrid"/>
        <w:tblW w:w="5000" w:type="pct"/>
        <w:tblLook w:val="0000" w:firstRow="0" w:lastRow="0" w:firstColumn="0" w:lastColumn="0" w:noHBand="0" w:noVBand="0"/>
        <w:tblDescription w:val="Key components of the economic evaluation"/>
      </w:tblPr>
      <w:tblGrid>
        <w:gridCol w:w="1980"/>
        <w:gridCol w:w="7036"/>
      </w:tblGrid>
      <w:tr w:rsidR="001B5028" w:rsidRPr="00596939" w14:paraId="36EC99D3" w14:textId="77777777" w:rsidTr="00625D9D">
        <w:trPr>
          <w:tblHeader/>
        </w:trPr>
        <w:tc>
          <w:tcPr>
            <w:tcW w:w="1098" w:type="pct"/>
          </w:tcPr>
          <w:p w14:paraId="1A98D9D4" w14:textId="77777777" w:rsidR="001B5028" w:rsidRPr="00596939" w:rsidRDefault="001B5028" w:rsidP="001B5028">
            <w:pPr>
              <w:pStyle w:val="In-tableHeading"/>
              <w:rPr>
                <w:lang w:val="en-AU"/>
              </w:rPr>
            </w:pPr>
            <w:r w:rsidRPr="00596939">
              <w:rPr>
                <w:lang w:val="en-AU"/>
              </w:rPr>
              <w:t>Component</w:t>
            </w:r>
          </w:p>
        </w:tc>
        <w:tc>
          <w:tcPr>
            <w:tcW w:w="3902" w:type="pct"/>
          </w:tcPr>
          <w:p w14:paraId="74E95847" w14:textId="77777777" w:rsidR="001B5028" w:rsidRPr="00596939" w:rsidRDefault="001B5028" w:rsidP="001B5028">
            <w:pPr>
              <w:pStyle w:val="In-tableHeading"/>
              <w:jc w:val="center"/>
              <w:rPr>
                <w:lang w:val="en-AU"/>
              </w:rPr>
            </w:pPr>
            <w:r w:rsidRPr="00596939">
              <w:rPr>
                <w:lang w:val="en-AU"/>
              </w:rPr>
              <w:t>Description</w:t>
            </w:r>
          </w:p>
        </w:tc>
      </w:tr>
      <w:tr w:rsidR="001B5028" w:rsidRPr="00596939" w14:paraId="46C03D7B" w14:textId="77777777" w:rsidTr="00625D9D">
        <w:tc>
          <w:tcPr>
            <w:tcW w:w="1098" w:type="pct"/>
          </w:tcPr>
          <w:p w14:paraId="2DD5FB36" w14:textId="77777777" w:rsidR="001B5028" w:rsidRPr="00596939" w:rsidRDefault="001B5028" w:rsidP="001B5028">
            <w:pPr>
              <w:pStyle w:val="TableText0"/>
              <w:spacing w:before="0" w:after="0"/>
            </w:pPr>
            <w:r w:rsidRPr="00596939">
              <w:t>Type of analysis</w:t>
            </w:r>
          </w:p>
        </w:tc>
        <w:tc>
          <w:tcPr>
            <w:tcW w:w="3902" w:type="pct"/>
          </w:tcPr>
          <w:p w14:paraId="05130C01" w14:textId="77777777" w:rsidR="001B5028" w:rsidRPr="00596939" w:rsidRDefault="001B5028" w:rsidP="001B5028">
            <w:pPr>
              <w:pStyle w:val="TableText0"/>
              <w:spacing w:before="0" w:after="0"/>
            </w:pPr>
            <w:r w:rsidRPr="00596939">
              <w:t>Cost-effectiveness analysis, cost-utility analysis</w:t>
            </w:r>
          </w:p>
        </w:tc>
      </w:tr>
      <w:tr w:rsidR="001B5028" w:rsidRPr="00596939" w14:paraId="269B357C" w14:textId="77777777" w:rsidTr="00625D9D">
        <w:tc>
          <w:tcPr>
            <w:tcW w:w="1098" w:type="pct"/>
          </w:tcPr>
          <w:p w14:paraId="58037D96" w14:textId="77777777" w:rsidR="001B5028" w:rsidRPr="00596939" w:rsidRDefault="001B5028" w:rsidP="001B5028">
            <w:pPr>
              <w:pStyle w:val="TableText0"/>
              <w:spacing w:before="0" w:after="0"/>
            </w:pPr>
            <w:r w:rsidRPr="00596939">
              <w:t>Outcomes</w:t>
            </w:r>
          </w:p>
        </w:tc>
        <w:tc>
          <w:tcPr>
            <w:tcW w:w="3902" w:type="pct"/>
          </w:tcPr>
          <w:p w14:paraId="18F5BE88" w14:textId="77777777" w:rsidR="001B5028" w:rsidRPr="00596939" w:rsidRDefault="001B5028" w:rsidP="001B5028">
            <w:pPr>
              <w:pStyle w:val="TableText0"/>
              <w:spacing w:before="0" w:after="0"/>
            </w:pPr>
            <w:r w:rsidRPr="00596939">
              <w:t>LYs and QALYs gained</w:t>
            </w:r>
          </w:p>
        </w:tc>
      </w:tr>
      <w:tr w:rsidR="001B5028" w:rsidRPr="00596939" w14:paraId="174E8A00" w14:textId="77777777" w:rsidTr="00625D9D">
        <w:tc>
          <w:tcPr>
            <w:tcW w:w="1098" w:type="pct"/>
          </w:tcPr>
          <w:p w14:paraId="2B5F93DD" w14:textId="77777777" w:rsidR="001B5028" w:rsidRPr="00596939" w:rsidRDefault="001B5028" w:rsidP="001B5028">
            <w:pPr>
              <w:pStyle w:val="TableText0"/>
              <w:spacing w:before="0" w:after="0"/>
            </w:pPr>
            <w:r w:rsidRPr="00596939">
              <w:t>Treatments</w:t>
            </w:r>
          </w:p>
        </w:tc>
        <w:tc>
          <w:tcPr>
            <w:tcW w:w="3902" w:type="pct"/>
          </w:tcPr>
          <w:p w14:paraId="0CB85982" w14:textId="77777777" w:rsidR="001B5028" w:rsidRPr="00596939" w:rsidRDefault="001B5028" w:rsidP="001B5028">
            <w:pPr>
              <w:pStyle w:val="TableText0"/>
              <w:spacing w:before="0" w:after="0"/>
            </w:pPr>
            <w:r w:rsidRPr="00596939">
              <w:t>DB + RA vs RA monothera</w:t>
            </w:r>
            <w:r>
              <w:t>py for a maximum of five cycles</w:t>
            </w:r>
          </w:p>
        </w:tc>
      </w:tr>
      <w:tr w:rsidR="001B5028" w:rsidRPr="00596939" w14:paraId="13AA06CA" w14:textId="77777777" w:rsidTr="00625D9D">
        <w:tc>
          <w:tcPr>
            <w:tcW w:w="1098" w:type="pct"/>
          </w:tcPr>
          <w:p w14:paraId="3B10D733" w14:textId="77777777" w:rsidR="001B5028" w:rsidRPr="00596939" w:rsidRDefault="001B5028" w:rsidP="001B5028">
            <w:pPr>
              <w:pStyle w:val="TableText0"/>
              <w:spacing w:before="0" w:after="0"/>
            </w:pPr>
            <w:r w:rsidRPr="00596939">
              <w:t>Time horizon</w:t>
            </w:r>
          </w:p>
        </w:tc>
        <w:tc>
          <w:tcPr>
            <w:tcW w:w="3902" w:type="pct"/>
          </w:tcPr>
          <w:p w14:paraId="101C9805" w14:textId="77777777" w:rsidR="001B5028" w:rsidRPr="00596939" w:rsidRDefault="001B5028" w:rsidP="001B5028">
            <w:pPr>
              <w:pStyle w:val="TableText0"/>
              <w:spacing w:before="0" w:after="0"/>
            </w:pPr>
            <w:r w:rsidRPr="00596939">
              <w:t>90 years in the model base case, consisting of:</w:t>
            </w:r>
          </w:p>
          <w:p w14:paraId="3400BF26" w14:textId="77777777" w:rsidR="001B5028" w:rsidRPr="00596939" w:rsidRDefault="001B5028" w:rsidP="001B5028">
            <w:pPr>
              <w:pStyle w:val="TableText0"/>
              <w:spacing w:before="0" w:after="0"/>
            </w:pPr>
            <w:r w:rsidRPr="00596939">
              <w:t xml:space="preserve">- a short term model (10 year “cure threshold”); and </w:t>
            </w:r>
          </w:p>
          <w:p w14:paraId="1BB1EBA6" w14:textId="77777777" w:rsidR="001B5028" w:rsidRPr="00596939" w:rsidRDefault="001B5028" w:rsidP="001B5028">
            <w:pPr>
              <w:pStyle w:val="TableText0"/>
              <w:spacing w:before="0" w:after="0"/>
            </w:pPr>
            <w:r w:rsidRPr="00596939">
              <w:t xml:space="preserve">- </w:t>
            </w:r>
            <w:proofErr w:type="gramStart"/>
            <w:r w:rsidRPr="00596939">
              <w:t>a</w:t>
            </w:r>
            <w:proofErr w:type="gramEnd"/>
            <w:r w:rsidRPr="00596939">
              <w:t xml:space="preserve"> long term model to 90 years.</w:t>
            </w:r>
          </w:p>
        </w:tc>
      </w:tr>
      <w:tr w:rsidR="001B5028" w:rsidRPr="00596939" w14:paraId="699ADFA5" w14:textId="77777777" w:rsidTr="00625D9D">
        <w:tc>
          <w:tcPr>
            <w:tcW w:w="1098" w:type="pct"/>
          </w:tcPr>
          <w:p w14:paraId="7CD331CB" w14:textId="77777777" w:rsidR="001B5028" w:rsidRPr="00596939" w:rsidRDefault="001B5028" w:rsidP="001B5028">
            <w:pPr>
              <w:pStyle w:val="TableText0"/>
              <w:spacing w:before="0" w:after="0"/>
            </w:pPr>
            <w:r w:rsidRPr="00596939">
              <w:t>Methods used to generate results</w:t>
            </w:r>
          </w:p>
        </w:tc>
        <w:tc>
          <w:tcPr>
            <w:tcW w:w="3902" w:type="pct"/>
          </w:tcPr>
          <w:p w14:paraId="4D2A44B6" w14:textId="77777777" w:rsidR="001B5028" w:rsidRPr="00596939" w:rsidRDefault="001B5028" w:rsidP="001B5028">
            <w:pPr>
              <w:pStyle w:val="TableText0"/>
              <w:spacing w:before="0" w:after="0"/>
            </w:pPr>
            <w:r w:rsidRPr="00596939">
              <w:t>Partitioned survival model</w:t>
            </w:r>
          </w:p>
        </w:tc>
      </w:tr>
      <w:tr w:rsidR="001B5028" w:rsidRPr="00596939" w14:paraId="0D3AA718" w14:textId="77777777" w:rsidTr="00625D9D">
        <w:tc>
          <w:tcPr>
            <w:tcW w:w="1098" w:type="pct"/>
          </w:tcPr>
          <w:p w14:paraId="75829B7F" w14:textId="77777777" w:rsidR="001B5028" w:rsidRPr="00596939" w:rsidRDefault="001B5028" w:rsidP="001B5028">
            <w:pPr>
              <w:pStyle w:val="TableText0"/>
              <w:spacing w:before="0" w:after="0"/>
            </w:pPr>
            <w:r w:rsidRPr="00596939">
              <w:t>Health states</w:t>
            </w:r>
          </w:p>
        </w:tc>
        <w:tc>
          <w:tcPr>
            <w:tcW w:w="3902" w:type="pct"/>
          </w:tcPr>
          <w:p w14:paraId="2E94602F" w14:textId="77777777" w:rsidR="001B5028" w:rsidRPr="00596939" w:rsidRDefault="001B5028" w:rsidP="001B5028">
            <w:pPr>
              <w:pStyle w:val="TableText0"/>
              <w:spacing w:before="0" w:after="0"/>
            </w:pPr>
            <w:r w:rsidRPr="00596939">
              <w:t>Stable disease (EFS), failure state (FS; progressive disease) and death</w:t>
            </w:r>
          </w:p>
        </w:tc>
      </w:tr>
      <w:tr w:rsidR="001B5028" w:rsidRPr="00596939" w14:paraId="46BA62E0" w14:textId="77777777" w:rsidTr="00625D9D">
        <w:tc>
          <w:tcPr>
            <w:tcW w:w="1098" w:type="pct"/>
          </w:tcPr>
          <w:p w14:paraId="1E290A27" w14:textId="77777777" w:rsidR="001B5028" w:rsidRPr="00596939" w:rsidRDefault="001B5028" w:rsidP="001B5028">
            <w:pPr>
              <w:pStyle w:val="TableText0"/>
              <w:spacing w:before="0" w:after="0"/>
            </w:pPr>
            <w:r w:rsidRPr="00596939">
              <w:t>Cycle length</w:t>
            </w:r>
          </w:p>
        </w:tc>
        <w:tc>
          <w:tcPr>
            <w:tcW w:w="3902" w:type="pct"/>
          </w:tcPr>
          <w:p w14:paraId="27774A1E" w14:textId="77777777" w:rsidR="001B5028" w:rsidRPr="00596939" w:rsidRDefault="001B5028" w:rsidP="001B5028">
            <w:pPr>
              <w:pStyle w:val="TableText0"/>
              <w:spacing w:before="0" w:after="0"/>
            </w:pPr>
            <w:r w:rsidRPr="00596939">
              <w:t>Monthly for the short term model;</w:t>
            </w:r>
          </w:p>
          <w:p w14:paraId="26633379" w14:textId="77777777" w:rsidR="001B5028" w:rsidRPr="00596939" w:rsidRDefault="001B5028" w:rsidP="001B5028">
            <w:pPr>
              <w:pStyle w:val="TableText0"/>
              <w:spacing w:before="0" w:after="0"/>
            </w:pPr>
            <w:r w:rsidRPr="00596939">
              <w:t xml:space="preserve">Annually for the </w:t>
            </w:r>
            <w:proofErr w:type="gramStart"/>
            <w:r w:rsidRPr="00596939">
              <w:t>long term</w:t>
            </w:r>
            <w:proofErr w:type="gramEnd"/>
            <w:r w:rsidRPr="00596939">
              <w:t xml:space="preserve"> model.</w:t>
            </w:r>
          </w:p>
        </w:tc>
      </w:tr>
      <w:tr w:rsidR="001B5028" w:rsidRPr="00596939" w14:paraId="4115A7EC" w14:textId="77777777" w:rsidTr="00625D9D">
        <w:tc>
          <w:tcPr>
            <w:tcW w:w="1098" w:type="pct"/>
          </w:tcPr>
          <w:p w14:paraId="777014DF" w14:textId="77777777" w:rsidR="001B5028" w:rsidRPr="00596939" w:rsidRDefault="001B5028" w:rsidP="001B5028">
            <w:pPr>
              <w:pStyle w:val="TableText0"/>
              <w:spacing w:before="0" w:after="0"/>
            </w:pPr>
            <w:r w:rsidRPr="00596939">
              <w:t>Transition probabilities</w:t>
            </w:r>
          </w:p>
        </w:tc>
        <w:tc>
          <w:tcPr>
            <w:tcW w:w="3902" w:type="pct"/>
          </w:tcPr>
          <w:p w14:paraId="21DDA5A0" w14:textId="77777777" w:rsidR="001B5028" w:rsidRPr="00596939" w:rsidRDefault="001B5028" w:rsidP="001B5028">
            <w:pPr>
              <w:pStyle w:val="TableText0"/>
              <w:spacing w:before="0" w:after="0"/>
            </w:pPr>
            <w:r w:rsidRPr="00596939">
              <w:t xml:space="preserve">Transitions in the </w:t>
            </w:r>
            <w:proofErr w:type="gramStart"/>
            <w:r w:rsidRPr="00596939">
              <w:t>short term</w:t>
            </w:r>
            <w:proofErr w:type="gramEnd"/>
            <w:r w:rsidRPr="00596939">
              <w:t xml:space="preserve"> model are based on KM data (M</w:t>
            </w:r>
            <w:r>
              <w:t xml:space="preserve">AIC: 302-R2 v Yu et al) </w:t>
            </w:r>
            <w:r w:rsidRPr="00596939">
              <w:t>and extrapolated functions when KM data is not available.</w:t>
            </w:r>
            <w:r>
              <w:t xml:space="preserve"> </w:t>
            </w:r>
          </w:p>
          <w:p w14:paraId="4F27B348" w14:textId="77777777" w:rsidR="001B5028" w:rsidRPr="00596939" w:rsidRDefault="001B5028" w:rsidP="001B5028">
            <w:pPr>
              <w:pStyle w:val="TableText0"/>
              <w:spacing w:before="0" w:after="0"/>
            </w:pPr>
            <w:r>
              <w:t xml:space="preserve">Transitions in the </w:t>
            </w:r>
            <w:proofErr w:type="gramStart"/>
            <w:r>
              <w:t xml:space="preserve">long </w:t>
            </w:r>
            <w:r w:rsidRPr="00596939">
              <w:t>term</w:t>
            </w:r>
            <w:proofErr w:type="gramEnd"/>
            <w:r w:rsidRPr="00596939">
              <w:t xml:space="preserve"> model are informed by Australian life tables, </w:t>
            </w:r>
            <w:proofErr w:type="spellStart"/>
            <w:r w:rsidRPr="00596939">
              <w:t>Laverdière</w:t>
            </w:r>
            <w:proofErr w:type="spellEnd"/>
            <w:r w:rsidRPr="00596939">
              <w:t xml:space="preserve"> et al 2009 and an assumption.</w:t>
            </w:r>
          </w:p>
        </w:tc>
      </w:tr>
      <w:tr w:rsidR="001B5028" w:rsidRPr="00596939" w14:paraId="6624F244" w14:textId="77777777" w:rsidTr="00625D9D">
        <w:tc>
          <w:tcPr>
            <w:tcW w:w="1098" w:type="pct"/>
          </w:tcPr>
          <w:p w14:paraId="76D7EF9C" w14:textId="77777777" w:rsidR="001B5028" w:rsidRPr="00596939" w:rsidRDefault="001B5028" w:rsidP="001B5028">
            <w:pPr>
              <w:pStyle w:val="TableText0"/>
              <w:spacing w:before="0" w:after="0"/>
            </w:pPr>
            <w:r>
              <w:t xml:space="preserve"> </w:t>
            </w:r>
            <w:proofErr w:type="spellStart"/>
            <w:r>
              <w:t>HRQoL</w:t>
            </w:r>
            <w:proofErr w:type="spellEnd"/>
          </w:p>
        </w:tc>
        <w:tc>
          <w:tcPr>
            <w:tcW w:w="3902" w:type="pct"/>
          </w:tcPr>
          <w:p w14:paraId="55101C92" w14:textId="77777777" w:rsidR="001B5028" w:rsidRPr="00596939" w:rsidRDefault="001B5028" w:rsidP="001B5028">
            <w:pPr>
              <w:pStyle w:val="TableText0"/>
              <w:spacing w:before="0" w:after="0"/>
            </w:pPr>
            <w:r w:rsidRPr="00596939">
              <w:t xml:space="preserve">The submission first estimated paediatric population norms based on EQ-5D-5L adult population norms reported in the literature (McCaffrey et al 2016). Then a utility decrement was applied for the stable disease state (- 7.3%) and failure state (- 41.7%) based on HUI2 and HUI3 values from </w:t>
            </w:r>
            <w:proofErr w:type="spellStart"/>
            <w:r w:rsidRPr="00596939">
              <w:t>Portwine</w:t>
            </w:r>
            <w:proofErr w:type="spellEnd"/>
            <w:r w:rsidRPr="00596939">
              <w:t xml:space="preserve"> et al 2016 and Barr et al 1999. </w:t>
            </w:r>
          </w:p>
        </w:tc>
      </w:tr>
      <w:tr w:rsidR="001B5028" w:rsidRPr="00596939" w14:paraId="760824D0" w14:textId="77777777" w:rsidTr="00625D9D">
        <w:tc>
          <w:tcPr>
            <w:tcW w:w="1098" w:type="pct"/>
          </w:tcPr>
          <w:p w14:paraId="326F03C1" w14:textId="77777777" w:rsidR="001B5028" w:rsidRPr="00596939" w:rsidRDefault="001B5028" w:rsidP="001B5028">
            <w:pPr>
              <w:pStyle w:val="TableText0"/>
              <w:spacing w:before="0" w:after="0"/>
            </w:pPr>
            <w:r w:rsidRPr="00596939">
              <w:t>Costs</w:t>
            </w:r>
          </w:p>
        </w:tc>
        <w:tc>
          <w:tcPr>
            <w:tcW w:w="3902" w:type="pct"/>
          </w:tcPr>
          <w:p w14:paraId="67EFCFEA" w14:textId="77777777" w:rsidR="001B5028" w:rsidRPr="00596939" w:rsidRDefault="001B5028" w:rsidP="001B5028">
            <w:pPr>
              <w:pStyle w:val="TableText0"/>
              <w:spacing w:before="0" w:after="0"/>
            </w:pPr>
            <w:r w:rsidRPr="00596939">
              <w:rPr>
                <w:snapToGrid w:val="0"/>
              </w:rPr>
              <w:t>The submission estimated costs for treatment, administration, concomitant medications, monitoring, management of adverse events, ongoing health state costs and cost of death.</w:t>
            </w:r>
          </w:p>
        </w:tc>
      </w:tr>
      <w:tr w:rsidR="001B5028" w:rsidRPr="00596939" w14:paraId="743E5B90" w14:textId="77777777" w:rsidTr="00625D9D">
        <w:tc>
          <w:tcPr>
            <w:tcW w:w="1098" w:type="pct"/>
          </w:tcPr>
          <w:p w14:paraId="3179337A" w14:textId="77777777" w:rsidR="001B5028" w:rsidRPr="00596939" w:rsidRDefault="001B5028" w:rsidP="001B5028">
            <w:pPr>
              <w:pStyle w:val="TableText0"/>
              <w:spacing w:before="0" w:after="0"/>
            </w:pPr>
            <w:r w:rsidRPr="00596939">
              <w:t>Software package</w:t>
            </w:r>
          </w:p>
        </w:tc>
        <w:tc>
          <w:tcPr>
            <w:tcW w:w="3902" w:type="pct"/>
          </w:tcPr>
          <w:p w14:paraId="11B8A92A" w14:textId="77777777" w:rsidR="001B5028" w:rsidRPr="00596939" w:rsidRDefault="001B5028" w:rsidP="001B5028">
            <w:pPr>
              <w:pStyle w:val="TableText0"/>
              <w:spacing w:before="0" w:after="0"/>
            </w:pPr>
            <w:r w:rsidRPr="00596939">
              <w:t>Excel 2010</w:t>
            </w:r>
          </w:p>
        </w:tc>
      </w:tr>
    </w:tbl>
    <w:p w14:paraId="174BA311" w14:textId="77777777" w:rsidR="001B5028" w:rsidRDefault="001B5028" w:rsidP="00EE173C">
      <w:pPr>
        <w:pStyle w:val="TableFooter"/>
      </w:pPr>
      <w:r w:rsidRPr="0030722C">
        <w:t>EFS</w:t>
      </w:r>
      <w:r>
        <w:t xml:space="preserve"> event free survival; </w:t>
      </w:r>
      <w:proofErr w:type="spellStart"/>
      <w:r>
        <w:t>HRQoL</w:t>
      </w:r>
      <w:proofErr w:type="spellEnd"/>
      <w:r>
        <w:t xml:space="preserve"> health-related quality of life; LY life years; KM </w:t>
      </w:r>
      <w:proofErr w:type="spellStart"/>
      <w:r>
        <w:t>Kaplain</w:t>
      </w:r>
      <w:proofErr w:type="spellEnd"/>
      <w:r>
        <w:t xml:space="preserve"> Meier; MAIC matched adjusted indirect comparison; QALY quality adjusted life year</w:t>
      </w:r>
    </w:p>
    <w:p w14:paraId="75C8C80A" w14:textId="557E7F5B" w:rsidR="001B5028" w:rsidRPr="001F2235" w:rsidRDefault="00EE173C" w:rsidP="001F2235">
      <w:pPr>
        <w:pStyle w:val="TableFooter"/>
      </w:pPr>
      <w:r>
        <w:t>Source:</w:t>
      </w:r>
      <w:r w:rsidR="009D2F49">
        <w:t xml:space="preserve"> Table 7, p</w:t>
      </w:r>
      <w:r w:rsidR="00D44AA4">
        <w:t>11 of the Departmental Overview</w:t>
      </w:r>
    </w:p>
    <w:p w14:paraId="32AF15DA" w14:textId="500F4824" w:rsidR="001B5028" w:rsidRPr="00AF10DC" w:rsidRDefault="001B5028" w:rsidP="001F2235">
      <w:pPr>
        <w:spacing w:before="240" w:after="240"/>
        <w:rPr>
          <w:iCs/>
        </w:rPr>
      </w:pPr>
      <w:r w:rsidRPr="00CF4F85">
        <w:rPr>
          <w:iCs/>
        </w:rPr>
        <w:t xml:space="preserve">The </w:t>
      </w:r>
      <w:proofErr w:type="gramStart"/>
      <w:r w:rsidRPr="00CF4F85">
        <w:rPr>
          <w:iCs/>
        </w:rPr>
        <w:t>short term</w:t>
      </w:r>
      <w:proofErr w:type="gramEnd"/>
      <w:r w:rsidRPr="00CF4F85">
        <w:rPr>
          <w:iCs/>
        </w:rPr>
        <w:t xml:space="preserve"> model accounted for the submission’s proposed “cure threshold”, whereby patients who do not experience disease progression or relapse by ten years are assumed “cured”. All patients commence the </w:t>
      </w:r>
      <w:proofErr w:type="gramStart"/>
      <w:r w:rsidRPr="00CF4F85">
        <w:rPr>
          <w:iCs/>
        </w:rPr>
        <w:t>short term</w:t>
      </w:r>
      <w:proofErr w:type="gramEnd"/>
      <w:r w:rsidRPr="00CF4F85">
        <w:rPr>
          <w:iCs/>
        </w:rPr>
        <w:t xml:space="preserve"> model in the stable state, and are at risk of disease progression or death each cycle. Patients in the failure state remain at risk of death and cannot trans</w:t>
      </w:r>
      <w:r w:rsidR="001F2235">
        <w:rPr>
          <w:iCs/>
        </w:rPr>
        <w:t>ition back to the stable state.</w:t>
      </w:r>
    </w:p>
    <w:p w14:paraId="01E62D88" w14:textId="77777777" w:rsidR="001B5028" w:rsidRPr="00CF4F85" w:rsidRDefault="001B5028" w:rsidP="00FF7A76">
      <w:pPr>
        <w:pStyle w:val="3-BodyText"/>
        <w:numPr>
          <w:ilvl w:val="0"/>
          <w:numId w:val="0"/>
        </w:numPr>
        <w:spacing w:after="240"/>
        <w:rPr>
          <w:rFonts w:ascii="Times New Roman" w:hAnsi="Times New Roman" w:cs="Times New Roman"/>
          <w:iCs/>
          <w:snapToGrid/>
          <w:szCs w:val="20"/>
        </w:rPr>
      </w:pPr>
      <w:r w:rsidRPr="00CF4F85">
        <w:rPr>
          <w:rFonts w:ascii="Times New Roman" w:hAnsi="Times New Roman" w:cs="Times New Roman"/>
          <w:iCs/>
          <w:snapToGrid/>
          <w:szCs w:val="20"/>
        </w:rPr>
        <w:t xml:space="preserve">In the long term model (once the “cure threshold” is reached at ten years), patients remain in the same health state or transition to dead each cycle. </w:t>
      </w:r>
    </w:p>
    <w:p w14:paraId="766D6C01" w14:textId="77777777" w:rsidR="001B5028" w:rsidRDefault="001B5028" w:rsidP="00FF7A76">
      <w:pPr>
        <w:keepLines/>
        <w:spacing w:after="240"/>
        <w:rPr>
          <w:iCs/>
        </w:rPr>
      </w:pPr>
      <w:r w:rsidRPr="00CF4F85">
        <w:rPr>
          <w:iCs/>
        </w:rPr>
        <w:t xml:space="preserve">The model extrapolated OS and EFS in the DB arm after the last patient observation by using the estimated </w:t>
      </w:r>
      <w:r>
        <w:rPr>
          <w:iCs/>
        </w:rPr>
        <w:t xml:space="preserve">parametric regression directly, </w:t>
      </w:r>
      <w:r w:rsidRPr="00CF4F85">
        <w:rPr>
          <w:iCs/>
        </w:rPr>
        <w:t>irrespective of survival at that point</w:t>
      </w:r>
      <w:r>
        <w:rPr>
          <w:iCs/>
        </w:rPr>
        <w:t>. T</w:t>
      </w:r>
      <w:r w:rsidRPr="00CF4F85">
        <w:rPr>
          <w:iCs/>
        </w:rPr>
        <w:t xml:space="preserve">he </w:t>
      </w:r>
      <w:r>
        <w:rPr>
          <w:iCs/>
        </w:rPr>
        <w:t xml:space="preserve">model </w:t>
      </w:r>
      <w:r w:rsidRPr="00CF4F85">
        <w:rPr>
          <w:iCs/>
        </w:rPr>
        <w:t xml:space="preserve">extrapolated OS in the RA arm of the model based on the extrapolated survival in the </w:t>
      </w:r>
      <w:r>
        <w:rPr>
          <w:iCs/>
        </w:rPr>
        <w:t>DB</w:t>
      </w:r>
      <w:r w:rsidRPr="00CF4F85">
        <w:rPr>
          <w:iCs/>
        </w:rPr>
        <w:t xml:space="preserve"> arm of the model. </w:t>
      </w:r>
      <w:r w:rsidRPr="00474D6A">
        <w:rPr>
          <w:iCs/>
        </w:rPr>
        <w:t>That is, the difference between the two arms remained constant from six to ten years.</w:t>
      </w:r>
    </w:p>
    <w:p w14:paraId="5ED56C02" w14:textId="42405B04" w:rsidR="001B5028" w:rsidRDefault="001B5028" w:rsidP="00FF7A76">
      <w:pPr>
        <w:keepLines/>
        <w:spacing w:after="240"/>
      </w:pPr>
      <w:r w:rsidRPr="00596939">
        <w:t xml:space="preserve">To inform transitions in the </w:t>
      </w:r>
      <w:proofErr w:type="gramStart"/>
      <w:r w:rsidRPr="00596939">
        <w:t>short term</w:t>
      </w:r>
      <w:proofErr w:type="gramEnd"/>
      <w:r w:rsidRPr="00596939">
        <w:t xml:space="preserve"> model, the submission used results from the MAIC analysis presented</w:t>
      </w:r>
      <w:r>
        <w:t xml:space="preserve"> </w:t>
      </w:r>
      <w:r w:rsidRPr="002F3342">
        <w:rPr>
          <w:szCs w:val="24"/>
        </w:rPr>
        <w:fldChar w:fldCharType="begin"/>
      </w:r>
      <w:r w:rsidRPr="002F3342">
        <w:rPr>
          <w:szCs w:val="24"/>
        </w:rPr>
        <w:instrText xml:space="preserve"> REF _Ref39840033 \h </w:instrText>
      </w:r>
      <w:r w:rsidR="002F3342" w:rsidRPr="002F3342">
        <w:rPr>
          <w:szCs w:val="24"/>
        </w:rPr>
        <w:instrText xml:space="preserve"> \* MERGEFORMAT </w:instrText>
      </w:r>
      <w:r w:rsidRPr="002F3342">
        <w:rPr>
          <w:szCs w:val="24"/>
        </w:rPr>
      </w:r>
      <w:r w:rsidRPr="002F3342">
        <w:rPr>
          <w:szCs w:val="24"/>
        </w:rPr>
        <w:fldChar w:fldCharType="separate"/>
      </w:r>
      <w:r w:rsidR="00991D81" w:rsidRPr="00991D81">
        <w:rPr>
          <w:szCs w:val="24"/>
        </w:rPr>
        <w:t xml:space="preserve">Table </w:t>
      </w:r>
      <w:r w:rsidR="00991D81" w:rsidRPr="00991D81">
        <w:rPr>
          <w:noProof/>
          <w:szCs w:val="24"/>
        </w:rPr>
        <w:t>9</w:t>
      </w:r>
      <w:r w:rsidRPr="002F3342">
        <w:rPr>
          <w:szCs w:val="24"/>
        </w:rPr>
        <w:fldChar w:fldCharType="end"/>
      </w:r>
      <w:r>
        <w:t>.</w:t>
      </w:r>
    </w:p>
    <w:p w14:paraId="7E6D943D" w14:textId="6510A801" w:rsidR="001B5028" w:rsidRPr="001F2235" w:rsidRDefault="001B5028" w:rsidP="001F2235">
      <w:pPr>
        <w:keepLines/>
        <w:spacing w:after="120"/>
        <w:rPr>
          <w:iCs/>
        </w:rPr>
      </w:pPr>
      <w:r>
        <w:t>A summary of differences between the economic model submitted to PBAC and the economic model</w:t>
      </w:r>
      <w:r w:rsidR="00FD1CFE">
        <w:t>s</w:t>
      </w:r>
      <w:r>
        <w:t xml:space="preserve"> presented to MSAC</w:t>
      </w:r>
      <w:r w:rsidR="00744BC8">
        <w:t xml:space="preserve"> ESC</w:t>
      </w:r>
      <w:r w:rsidR="00FD1CFE">
        <w:t xml:space="preserve"> and MSAC </w:t>
      </w:r>
      <w:proofErr w:type="gramStart"/>
      <w:r w:rsidR="00FD1CFE">
        <w:t>are</w:t>
      </w:r>
      <w:r>
        <w:t xml:space="preserve"> provided</w:t>
      </w:r>
      <w:proofErr w:type="gramEnd"/>
      <w:r>
        <w:t xml:space="preserve"> in </w:t>
      </w:r>
      <w:r>
        <w:fldChar w:fldCharType="begin"/>
      </w:r>
      <w:r>
        <w:instrText xml:space="preserve"> REF _Ref39842941 \h  \* MERGEFORMAT </w:instrText>
      </w:r>
      <w:r>
        <w:fldChar w:fldCharType="separate"/>
      </w:r>
      <w:r w:rsidR="00991D81" w:rsidRPr="00991D81">
        <w:t>Table 11</w:t>
      </w:r>
      <w:r>
        <w:fldChar w:fldCharType="end"/>
      </w:r>
      <w:r>
        <w:t>.</w:t>
      </w:r>
      <w:r>
        <w:rPr>
          <w:i/>
        </w:rPr>
        <w:br w:type="page"/>
      </w:r>
    </w:p>
    <w:p w14:paraId="4CDCE66A" w14:textId="041ED8FA" w:rsidR="001B5028" w:rsidRPr="00F7098F" w:rsidRDefault="001B5028" w:rsidP="00F7098F">
      <w:pPr>
        <w:rPr>
          <w:rFonts w:ascii="Arial Narrow" w:eastAsiaTheme="majorEastAsia" w:hAnsi="Arial Narrow"/>
          <w:b/>
          <w:sz w:val="20"/>
        </w:rPr>
      </w:pPr>
      <w:bookmarkStart w:id="17" w:name="_Ref39842941"/>
      <w:r w:rsidRPr="00F7098F">
        <w:rPr>
          <w:rFonts w:ascii="Arial Narrow" w:eastAsiaTheme="majorEastAsia" w:hAnsi="Arial Narrow"/>
          <w:b/>
          <w:sz w:val="20"/>
        </w:rPr>
        <w:lastRenderedPageBreak/>
        <w:t xml:space="preserve">Table </w:t>
      </w:r>
      <w:r w:rsidRPr="00F7098F">
        <w:rPr>
          <w:rFonts w:ascii="Arial Narrow" w:eastAsiaTheme="majorEastAsia" w:hAnsi="Arial Narrow"/>
          <w:b/>
          <w:sz w:val="20"/>
        </w:rPr>
        <w:fldChar w:fldCharType="begin"/>
      </w:r>
      <w:r w:rsidRPr="00F7098F">
        <w:rPr>
          <w:rFonts w:ascii="Arial Narrow" w:eastAsiaTheme="majorEastAsia" w:hAnsi="Arial Narrow"/>
          <w:b/>
          <w:sz w:val="20"/>
        </w:rPr>
        <w:instrText xml:space="preserve"> SEQ Table \* ARABIC </w:instrText>
      </w:r>
      <w:r w:rsidRPr="00F7098F">
        <w:rPr>
          <w:rFonts w:ascii="Arial Narrow" w:eastAsiaTheme="majorEastAsia" w:hAnsi="Arial Narrow"/>
          <w:b/>
          <w:sz w:val="20"/>
        </w:rPr>
        <w:fldChar w:fldCharType="separate"/>
      </w:r>
      <w:r w:rsidR="00991D81">
        <w:rPr>
          <w:rFonts w:ascii="Arial Narrow" w:eastAsiaTheme="majorEastAsia" w:hAnsi="Arial Narrow"/>
          <w:b/>
          <w:noProof/>
          <w:sz w:val="20"/>
        </w:rPr>
        <w:t>11</w:t>
      </w:r>
      <w:r w:rsidRPr="00F7098F">
        <w:rPr>
          <w:rFonts w:ascii="Arial Narrow" w:eastAsiaTheme="majorEastAsia" w:hAnsi="Arial Narrow"/>
          <w:b/>
          <w:sz w:val="20"/>
        </w:rPr>
        <w:fldChar w:fldCharType="end"/>
      </w:r>
      <w:bookmarkEnd w:id="17"/>
      <w:r w:rsidRPr="00F7098F">
        <w:rPr>
          <w:rFonts w:ascii="Arial Narrow" w:eastAsiaTheme="majorEastAsia" w:hAnsi="Arial Narrow"/>
          <w:b/>
          <w:sz w:val="20"/>
        </w:rPr>
        <w:tab/>
        <w:t>Differences between the economic model submitted to the PBAC and the model</w:t>
      </w:r>
      <w:r w:rsidR="00FD1CFE" w:rsidRPr="00F7098F">
        <w:rPr>
          <w:rFonts w:ascii="Arial Narrow" w:eastAsiaTheme="majorEastAsia" w:hAnsi="Arial Narrow"/>
          <w:b/>
          <w:sz w:val="20"/>
        </w:rPr>
        <w:t>s</w:t>
      </w:r>
      <w:r w:rsidRPr="00F7098F">
        <w:rPr>
          <w:rFonts w:ascii="Arial Narrow" w:eastAsiaTheme="majorEastAsia" w:hAnsi="Arial Narrow"/>
          <w:b/>
          <w:sz w:val="20"/>
        </w:rPr>
        <w:t xml:space="preserve"> presented to MSAC</w:t>
      </w:r>
      <w:r w:rsidR="00E35C4A" w:rsidRPr="00F7098F">
        <w:rPr>
          <w:rFonts w:ascii="Arial Narrow" w:eastAsiaTheme="majorEastAsia" w:hAnsi="Arial Narrow"/>
          <w:b/>
          <w:sz w:val="20"/>
        </w:rPr>
        <w:t xml:space="preserve"> ESC</w:t>
      </w:r>
      <w:r w:rsidR="00FD1CFE" w:rsidRPr="00F7098F">
        <w:rPr>
          <w:rFonts w:ascii="Arial Narrow" w:eastAsiaTheme="majorEastAsia" w:hAnsi="Arial Narrow"/>
          <w:b/>
          <w:sz w:val="20"/>
        </w:rPr>
        <w:t xml:space="preserve"> and MSAC </w:t>
      </w:r>
    </w:p>
    <w:tbl>
      <w:tblPr>
        <w:tblStyle w:val="TableGrid"/>
        <w:tblW w:w="0" w:type="auto"/>
        <w:tblLook w:val="04A0" w:firstRow="1" w:lastRow="0" w:firstColumn="1" w:lastColumn="0" w:noHBand="0" w:noVBand="1"/>
        <w:tblDescription w:val="Differences between the economic model submitted to the PBAC and the models presented to MSAC ESC and MSAC "/>
      </w:tblPr>
      <w:tblGrid>
        <w:gridCol w:w="1252"/>
        <w:gridCol w:w="1349"/>
        <w:gridCol w:w="1292"/>
        <w:gridCol w:w="1347"/>
        <w:gridCol w:w="3776"/>
      </w:tblGrid>
      <w:tr w:rsidR="00DA1129" w:rsidRPr="00A22919" w14:paraId="78F76AE7" w14:textId="77777777" w:rsidTr="00840515">
        <w:trPr>
          <w:tblHeader/>
        </w:trPr>
        <w:tc>
          <w:tcPr>
            <w:tcW w:w="1252" w:type="dxa"/>
          </w:tcPr>
          <w:p w14:paraId="51804CE5" w14:textId="77777777" w:rsidR="00DA1129" w:rsidRPr="00A22919" w:rsidRDefault="00DA1129" w:rsidP="001B5028">
            <w:pPr>
              <w:rPr>
                <w:rFonts w:ascii="Arial Narrow" w:hAnsi="Arial Narrow"/>
                <w:b/>
                <w:sz w:val="20"/>
              </w:rPr>
            </w:pPr>
            <w:r>
              <w:rPr>
                <w:rFonts w:ascii="Arial Narrow" w:hAnsi="Arial Narrow"/>
                <w:b/>
                <w:sz w:val="20"/>
              </w:rPr>
              <w:t xml:space="preserve">Parameter </w:t>
            </w:r>
          </w:p>
        </w:tc>
        <w:tc>
          <w:tcPr>
            <w:tcW w:w="1349" w:type="dxa"/>
          </w:tcPr>
          <w:p w14:paraId="4212C59B" w14:textId="77777777" w:rsidR="00DA1129" w:rsidRPr="00A22919" w:rsidRDefault="00DA1129" w:rsidP="001B5028">
            <w:pPr>
              <w:rPr>
                <w:rFonts w:ascii="Arial Narrow" w:hAnsi="Arial Narrow"/>
                <w:b/>
                <w:sz w:val="20"/>
              </w:rPr>
            </w:pPr>
            <w:r w:rsidRPr="00A22919">
              <w:rPr>
                <w:rFonts w:ascii="Arial Narrow" w:hAnsi="Arial Narrow"/>
                <w:b/>
                <w:sz w:val="20"/>
              </w:rPr>
              <w:t>Model</w:t>
            </w:r>
            <w:r>
              <w:rPr>
                <w:rFonts w:ascii="Arial Narrow" w:hAnsi="Arial Narrow"/>
                <w:b/>
                <w:sz w:val="20"/>
              </w:rPr>
              <w:t xml:space="preserve"> considered by PBAC ESC</w:t>
            </w:r>
          </w:p>
        </w:tc>
        <w:tc>
          <w:tcPr>
            <w:tcW w:w="1292" w:type="dxa"/>
          </w:tcPr>
          <w:p w14:paraId="6533B209" w14:textId="465496A7" w:rsidR="00DA1129" w:rsidRPr="00A22919" w:rsidRDefault="00DA1129" w:rsidP="001B5028">
            <w:pPr>
              <w:rPr>
                <w:rFonts w:ascii="Arial Narrow" w:hAnsi="Arial Narrow"/>
                <w:b/>
                <w:sz w:val="20"/>
              </w:rPr>
            </w:pPr>
            <w:r>
              <w:rPr>
                <w:rFonts w:ascii="Arial Narrow" w:hAnsi="Arial Narrow"/>
                <w:b/>
                <w:sz w:val="20"/>
              </w:rPr>
              <w:t xml:space="preserve">Model presented to </w:t>
            </w:r>
            <w:r w:rsidRPr="00A22919">
              <w:rPr>
                <w:rFonts w:ascii="Arial Narrow" w:hAnsi="Arial Narrow"/>
                <w:b/>
                <w:sz w:val="20"/>
              </w:rPr>
              <w:t xml:space="preserve">MSAC </w:t>
            </w:r>
            <w:r>
              <w:rPr>
                <w:rFonts w:ascii="Arial Narrow" w:hAnsi="Arial Narrow"/>
                <w:b/>
                <w:sz w:val="20"/>
              </w:rPr>
              <w:t>ESC</w:t>
            </w:r>
          </w:p>
        </w:tc>
        <w:tc>
          <w:tcPr>
            <w:tcW w:w="1347" w:type="dxa"/>
          </w:tcPr>
          <w:p w14:paraId="66ECD498" w14:textId="0365AAF8" w:rsidR="00DA1129" w:rsidRPr="00A22919" w:rsidRDefault="00DA1129" w:rsidP="001B5028">
            <w:pPr>
              <w:rPr>
                <w:rFonts w:ascii="Arial Narrow" w:hAnsi="Arial Narrow"/>
                <w:b/>
                <w:sz w:val="20"/>
              </w:rPr>
            </w:pPr>
            <w:r>
              <w:rPr>
                <w:rFonts w:ascii="Arial Narrow" w:hAnsi="Arial Narrow"/>
                <w:b/>
                <w:sz w:val="20"/>
              </w:rPr>
              <w:t>Model considered by MSAC</w:t>
            </w:r>
          </w:p>
        </w:tc>
        <w:tc>
          <w:tcPr>
            <w:tcW w:w="3776" w:type="dxa"/>
          </w:tcPr>
          <w:p w14:paraId="0B41DE3C" w14:textId="0426FE0C" w:rsidR="00DA1129" w:rsidRPr="00A22919" w:rsidRDefault="00DA1129" w:rsidP="001B5028">
            <w:pPr>
              <w:rPr>
                <w:rFonts w:ascii="Arial Narrow" w:hAnsi="Arial Narrow"/>
                <w:b/>
                <w:sz w:val="20"/>
              </w:rPr>
            </w:pPr>
            <w:r w:rsidRPr="00A22919">
              <w:rPr>
                <w:rFonts w:ascii="Arial Narrow" w:hAnsi="Arial Narrow"/>
                <w:b/>
                <w:sz w:val="20"/>
              </w:rPr>
              <w:t>Comment</w:t>
            </w:r>
          </w:p>
        </w:tc>
      </w:tr>
      <w:tr w:rsidR="00DA1129" w14:paraId="2EABA24C" w14:textId="77777777" w:rsidTr="00635F9E">
        <w:tc>
          <w:tcPr>
            <w:tcW w:w="1252" w:type="dxa"/>
          </w:tcPr>
          <w:p w14:paraId="46CD0838" w14:textId="77777777" w:rsidR="00DA1129" w:rsidRPr="00A22919" w:rsidRDefault="00DA1129" w:rsidP="001B5028">
            <w:pPr>
              <w:rPr>
                <w:rFonts w:ascii="Arial Narrow" w:hAnsi="Arial Narrow"/>
                <w:sz w:val="20"/>
              </w:rPr>
            </w:pPr>
            <w:r w:rsidRPr="00A22919">
              <w:rPr>
                <w:rFonts w:ascii="Arial Narrow" w:hAnsi="Arial Narrow"/>
                <w:sz w:val="20"/>
              </w:rPr>
              <w:t>Inpatient use</w:t>
            </w:r>
          </w:p>
        </w:tc>
        <w:tc>
          <w:tcPr>
            <w:tcW w:w="1349" w:type="dxa"/>
          </w:tcPr>
          <w:p w14:paraId="42C12030" w14:textId="77777777" w:rsidR="00DA1129" w:rsidRPr="00A22919" w:rsidRDefault="00DA1129" w:rsidP="001B5028">
            <w:pPr>
              <w:rPr>
                <w:rFonts w:ascii="Arial Narrow" w:hAnsi="Arial Narrow"/>
                <w:sz w:val="20"/>
              </w:rPr>
            </w:pPr>
            <w:r w:rsidRPr="00A22919">
              <w:rPr>
                <w:rFonts w:ascii="Arial Narrow" w:hAnsi="Arial Narrow"/>
                <w:sz w:val="20"/>
              </w:rPr>
              <w:t>10.4 days over 50 days of treatment</w:t>
            </w:r>
          </w:p>
        </w:tc>
        <w:tc>
          <w:tcPr>
            <w:tcW w:w="1292" w:type="dxa"/>
          </w:tcPr>
          <w:p w14:paraId="05FCB519" w14:textId="77777777" w:rsidR="00DA1129" w:rsidRPr="00A22919" w:rsidRDefault="00DA1129" w:rsidP="001B5028">
            <w:pPr>
              <w:rPr>
                <w:rFonts w:ascii="Arial Narrow" w:hAnsi="Arial Narrow"/>
                <w:sz w:val="20"/>
              </w:rPr>
            </w:pPr>
            <w:r w:rsidRPr="00A22919">
              <w:rPr>
                <w:rFonts w:ascii="Arial Narrow" w:hAnsi="Arial Narrow"/>
                <w:sz w:val="20"/>
              </w:rPr>
              <w:t>19 days over 50 days of treatment</w:t>
            </w:r>
          </w:p>
        </w:tc>
        <w:tc>
          <w:tcPr>
            <w:tcW w:w="1347" w:type="dxa"/>
          </w:tcPr>
          <w:p w14:paraId="18A45C5C" w14:textId="2F9A49B5" w:rsidR="00DA1129" w:rsidRDefault="00DA1129" w:rsidP="001B5028">
            <w:pPr>
              <w:rPr>
                <w:rFonts w:ascii="Arial Narrow" w:hAnsi="Arial Narrow"/>
                <w:sz w:val="20"/>
              </w:rPr>
            </w:pPr>
            <w:r>
              <w:rPr>
                <w:rFonts w:ascii="Arial Narrow" w:hAnsi="Arial Narrow"/>
                <w:sz w:val="20"/>
              </w:rPr>
              <w:t>100%</w:t>
            </w:r>
          </w:p>
        </w:tc>
        <w:tc>
          <w:tcPr>
            <w:tcW w:w="3776" w:type="dxa"/>
          </w:tcPr>
          <w:p w14:paraId="4ABC2386" w14:textId="26A4BAF0" w:rsidR="00DA1129" w:rsidRPr="00A22919" w:rsidRDefault="00DA1129" w:rsidP="001B5028">
            <w:pPr>
              <w:rPr>
                <w:rFonts w:ascii="Arial Narrow" w:hAnsi="Arial Narrow"/>
                <w:sz w:val="20"/>
              </w:rPr>
            </w:pPr>
            <w:r>
              <w:rPr>
                <w:rFonts w:ascii="Arial Narrow" w:hAnsi="Arial Narrow"/>
                <w:sz w:val="20"/>
              </w:rPr>
              <w:t xml:space="preserve">The PBAC ESC requested the base case model assume all patients </w:t>
            </w:r>
            <w:proofErr w:type="gramStart"/>
            <w:r>
              <w:rPr>
                <w:rFonts w:ascii="Arial Narrow" w:hAnsi="Arial Narrow"/>
                <w:sz w:val="20"/>
              </w:rPr>
              <w:t>are treated</w:t>
            </w:r>
            <w:proofErr w:type="gramEnd"/>
            <w:r>
              <w:rPr>
                <w:rFonts w:ascii="Arial Narrow" w:hAnsi="Arial Narrow"/>
                <w:sz w:val="20"/>
              </w:rPr>
              <w:t xml:space="preserve"> as inpatients for the duration of their treatment (paragraph 6.50, PBAC ESC advice). This </w:t>
            </w:r>
            <w:proofErr w:type="gramStart"/>
            <w:r>
              <w:rPr>
                <w:rFonts w:ascii="Arial Narrow" w:hAnsi="Arial Narrow"/>
                <w:sz w:val="20"/>
              </w:rPr>
              <w:t>was provided</w:t>
            </w:r>
            <w:proofErr w:type="gramEnd"/>
            <w:r>
              <w:rPr>
                <w:rFonts w:ascii="Arial Narrow" w:hAnsi="Arial Narrow"/>
                <w:sz w:val="20"/>
              </w:rPr>
              <w:t xml:space="preserve"> as a sensitivity analysis in the updated submission.  </w:t>
            </w:r>
          </w:p>
        </w:tc>
      </w:tr>
      <w:tr w:rsidR="00DA1129" w14:paraId="252E9789" w14:textId="77777777" w:rsidTr="00FD1CFE">
        <w:tc>
          <w:tcPr>
            <w:tcW w:w="1252" w:type="dxa"/>
          </w:tcPr>
          <w:p w14:paraId="097E168E" w14:textId="77777777" w:rsidR="00DA1129" w:rsidRPr="00A22919" w:rsidRDefault="00DA1129" w:rsidP="001B5028">
            <w:pPr>
              <w:rPr>
                <w:rFonts w:ascii="Arial Narrow" w:hAnsi="Arial Narrow"/>
                <w:sz w:val="20"/>
              </w:rPr>
            </w:pPr>
            <w:r w:rsidRPr="00A22919">
              <w:rPr>
                <w:rFonts w:ascii="Arial Narrow" w:hAnsi="Arial Narrow"/>
                <w:sz w:val="20"/>
              </w:rPr>
              <w:t>Cost of administration</w:t>
            </w:r>
          </w:p>
        </w:tc>
        <w:tc>
          <w:tcPr>
            <w:tcW w:w="1349" w:type="dxa"/>
          </w:tcPr>
          <w:p w14:paraId="4533EA00" w14:textId="78C9AEFC" w:rsidR="00DA1129" w:rsidRDefault="00DA1129" w:rsidP="001B5028">
            <w:pPr>
              <w:rPr>
                <w:rFonts w:ascii="Arial Narrow" w:hAnsi="Arial Narrow"/>
                <w:sz w:val="20"/>
              </w:rPr>
            </w:pPr>
            <w:r w:rsidRPr="00A22919">
              <w:rPr>
                <w:rFonts w:ascii="Arial Narrow" w:hAnsi="Arial Narrow"/>
                <w:sz w:val="20"/>
              </w:rPr>
              <w:t>$</w:t>
            </w:r>
            <w:r w:rsidR="00864F79">
              <w:rPr>
                <w:rFonts w:ascii="Arial Narrow" w:hAnsi="Arial Narrow"/>
                <w:sz w:val="20"/>
              </w:rPr>
              <w:t>redacted</w:t>
            </w:r>
            <w:r w:rsidRPr="00A22919">
              <w:rPr>
                <w:rFonts w:ascii="Arial Narrow" w:hAnsi="Arial Narrow"/>
                <w:sz w:val="20"/>
              </w:rPr>
              <w:t xml:space="preserve"> per day </w:t>
            </w:r>
          </w:p>
          <w:p w14:paraId="7EAEFB97" w14:textId="2BE13343" w:rsidR="00DA1129" w:rsidRPr="00A22919" w:rsidRDefault="00DA1129" w:rsidP="005E4173">
            <w:pPr>
              <w:spacing w:before="240"/>
              <w:rPr>
                <w:rFonts w:ascii="Arial Narrow" w:hAnsi="Arial Narrow"/>
                <w:sz w:val="20"/>
              </w:rPr>
            </w:pPr>
            <w:r w:rsidRPr="00A22919">
              <w:rPr>
                <w:rFonts w:ascii="Arial Narrow" w:hAnsi="Arial Narrow"/>
                <w:sz w:val="20"/>
              </w:rPr>
              <w:t xml:space="preserve">Based on AR-DRG R63Z </w:t>
            </w:r>
          </w:p>
        </w:tc>
        <w:tc>
          <w:tcPr>
            <w:tcW w:w="1292" w:type="dxa"/>
          </w:tcPr>
          <w:p w14:paraId="2A487BD7" w14:textId="330BADAC" w:rsidR="00DA1129" w:rsidRPr="00A35954" w:rsidRDefault="00DA1129" w:rsidP="001B5028">
            <w:pPr>
              <w:rPr>
                <w:rFonts w:ascii="Arial Narrow" w:hAnsi="Arial Narrow"/>
                <w:sz w:val="20"/>
              </w:rPr>
            </w:pPr>
            <w:r w:rsidRPr="00A35954">
              <w:rPr>
                <w:rFonts w:ascii="Arial Narrow" w:hAnsi="Arial Narrow"/>
                <w:sz w:val="20"/>
              </w:rPr>
              <w:t>$</w:t>
            </w:r>
            <w:r w:rsidR="00864F79" w:rsidRPr="00A35954">
              <w:rPr>
                <w:rFonts w:ascii="Arial Narrow" w:hAnsi="Arial Narrow"/>
                <w:sz w:val="20"/>
              </w:rPr>
              <w:t>redacted</w:t>
            </w:r>
            <w:r w:rsidRPr="00A35954">
              <w:rPr>
                <w:rFonts w:ascii="Arial Narrow" w:hAnsi="Arial Narrow"/>
                <w:sz w:val="20"/>
              </w:rPr>
              <w:t xml:space="preserve"> per day</w:t>
            </w:r>
          </w:p>
          <w:p w14:paraId="21C5E404" w14:textId="77777777" w:rsidR="00DA1129" w:rsidRPr="00A35954" w:rsidRDefault="00DA1129" w:rsidP="001B5028">
            <w:pPr>
              <w:rPr>
                <w:rFonts w:ascii="Arial Narrow" w:hAnsi="Arial Narrow"/>
                <w:sz w:val="20"/>
              </w:rPr>
            </w:pPr>
            <w:r w:rsidRPr="00A35954">
              <w:rPr>
                <w:rFonts w:ascii="Arial Narrow" w:hAnsi="Arial Narrow"/>
                <w:sz w:val="20"/>
              </w:rPr>
              <w:t>Based on weighting and disaggregation of a number of AR-DRGs</w:t>
            </w:r>
          </w:p>
        </w:tc>
        <w:tc>
          <w:tcPr>
            <w:tcW w:w="1347" w:type="dxa"/>
          </w:tcPr>
          <w:p w14:paraId="3AC0A81A" w14:textId="28839FA2" w:rsidR="00FD1CFE" w:rsidRPr="001C4458" w:rsidRDefault="00FD1CFE" w:rsidP="001B5028">
            <w:pPr>
              <w:rPr>
                <w:rFonts w:ascii="Arial Narrow" w:hAnsi="Arial Narrow"/>
                <w:sz w:val="20"/>
              </w:rPr>
            </w:pPr>
            <w:r>
              <w:rPr>
                <w:rFonts w:ascii="Arial Narrow" w:hAnsi="Arial Narrow"/>
                <w:sz w:val="20"/>
              </w:rPr>
              <w:t xml:space="preserve">Based on </w:t>
            </w:r>
            <w:r w:rsidR="00160DFF">
              <w:rPr>
                <w:rFonts w:ascii="Arial Narrow" w:hAnsi="Arial Narrow"/>
                <w:sz w:val="20"/>
              </w:rPr>
              <w:t xml:space="preserve">(1) </w:t>
            </w:r>
            <w:r>
              <w:rPr>
                <w:rFonts w:ascii="Arial Narrow" w:hAnsi="Arial Narrow"/>
                <w:sz w:val="20"/>
              </w:rPr>
              <w:t>AR-DRG 165A</w:t>
            </w:r>
            <w:r w:rsidR="00160DFF">
              <w:rPr>
                <w:rFonts w:ascii="Arial Narrow" w:hAnsi="Arial Narrow"/>
                <w:sz w:val="20"/>
              </w:rPr>
              <w:t xml:space="preserve"> and (2) input from NSW Health.</w:t>
            </w:r>
          </w:p>
        </w:tc>
        <w:tc>
          <w:tcPr>
            <w:tcW w:w="3776" w:type="dxa"/>
          </w:tcPr>
          <w:p w14:paraId="3FC93622" w14:textId="747800B9" w:rsidR="00DA1129" w:rsidRPr="00A22919" w:rsidRDefault="00DA1129" w:rsidP="001B5028">
            <w:pPr>
              <w:rPr>
                <w:rFonts w:ascii="Arial Narrow" w:hAnsi="Arial Narrow"/>
                <w:sz w:val="20"/>
              </w:rPr>
            </w:pPr>
            <w:r w:rsidRPr="001C4458">
              <w:rPr>
                <w:rFonts w:ascii="Arial Narrow" w:hAnsi="Arial Narrow"/>
                <w:sz w:val="20"/>
              </w:rPr>
              <w:t xml:space="preserve">The </w:t>
            </w:r>
            <w:r>
              <w:rPr>
                <w:rFonts w:ascii="Arial Narrow" w:hAnsi="Arial Narrow"/>
                <w:sz w:val="20"/>
              </w:rPr>
              <w:t xml:space="preserve">PBAC </w:t>
            </w:r>
            <w:r w:rsidRPr="001C4458">
              <w:rPr>
                <w:rFonts w:ascii="Arial Narrow" w:hAnsi="Arial Narrow"/>
                <w:sz w:val="20"/>
              </w:rPr>
              <w:t xml:space="preserve">ESC </w:t>
            </w:r>
            <w:r>
              <w:rPr>
                <w:rFonts w:ascii="Arial Narrow" w:hAnsi="Arial Narrow"/>
                <w:sz w:val="20"/>
              </w:rPr>
              <w:t xml:space="preserve">considered use of the </w:t>
            </w:r>
            <w:r w:rsidRPr="001C4458">
              <w:rPr>
                <w:rFonts w:ascii="Arial Narrow" w:hAnsi="Arial Narrow"/>
                <w:sz w:val="20"/>
              </w:rPr>
              <w:t xml:space="preserve">AR-DRG for chemotherapy administration (R63Z) </w:t>
            </w:r>
            <w:r>
              <w:rPr>
                <w:rFonts w:ascii="Arial Narrow" w:hAnsi="Arial Narrow"/>
                <w:sz w:val="20"/>
              </w:rPr>
              <w:t>was</w:t>
            </w:r>
            <w:r w:rsidRPr="001C4458">
              <w:rPr>
                <w:rFonts w:ascii="Arial Narrow" w:hAnsi="Arial Narrow"/>
                <w:sz w:val="20"/>
              </w:rPr>
              <w:t xml:space="preserve"> not appropriate for </w:t>
            </w:r>
            <w:proofErr w:type="spellStart"/>
            <w:r w:rsidRPr="001C4458">
              <w:rPr>
                <w:rFonts w:ascii="Arial Narrow" w:hAnsi="Arial Narrow"/>
                <w:sz w:val="20"/>
              </w:rPr>
              <w:t>dinutuximab</w:t>
            </w:r>
            <w:proofErr w:type="spellEnd"/>
            <w:r w:rsidRPr="001C4458">
              <w:rPr>
                <w:rFonts w:ascii="Arial Narrow" w:hAnsi="Arial Narrow"/>
                <w:sz w:val="20"/>
              </w:rPr>
              <w:t xml:space="preserve"> </w:t>
            </w:r>
            <w:r>
              <w:rPr>
                <w:rFonts w:ascii="Arial Narrow" w:hAnsi="Arial Narrow"/>
                <w:sz w:val="20"/>
              </w:rPr>
              <w:t xml:space="preserve">beta (paragraph 6.45, PBAC ESC advice). The revised model used alternative AR-DRGs but the methodology applied is not appropriate (discussed further below). </w:t>
            </w:r>
          </w:p>
        </w:tc>
      </w:tr>
      <w:tr w:rsidR="00DA1129" w14:paraId="75771B44" w14:textId="77777777" w:rsidTr="00635F9E">
        <w:tc>
          <w:tcPr>
            <w:tcW w:w="1252" w:type="dxa"/>
          </w:tcPr>
          <w:p w14:paraId="07782CCD" w14:textId="77777777" w:rsidR="00DA1129" w:rsidRPr="00A22919" w:rsidRDefault="00DA1129" w:rsidP="001B5028">
            <w:pPr>
              <w:rPr>
                <w:rFonts w:ascii="Arial Narrow" w:hAnsi="Arial Narrow"/>
                <w:sz w:val="20"/>
              </w:rPr>
            </w:pPr>
            <w:r w:rsidRPr="00A22919">
              <w:rPr>
                <w:rFonts w:ascii="Arial Narrow" w:hAnsi="Arial Narrow"/>
                <w:sz w:val="20"/>
              </w:rPr>
              <w:t>Completion</w:t>
            </w:r>
          </w:p>
        </w:tc>
        <w:tc>
          <w:tcPr>
            <w:tcW w:w="1349" w:type="dxa"/>
          </w:tcPr>
          <w:p w14:paraId="285B79A2" w14:textId="77777777" w:rsidR="00DA1129" w:rsidRPr="00A22919" w:rsidRDefault="00DA1129" w:rsidP="001B5028">
            <w:pPr>
              <w:rPr>
                <w:rFonts w:ascii="Arial Narrow" w:hAnsi="Arial Narrow"/>
                <w:sz w:val="20"/>
              </w:rPr>
            </w:pPr>
            <w:r w:rsidRPr="00A22919">
              <w:rPr>
                <w:rFonts w:ascii="Arial Narrow" w:hAnsi="Arial Narrow"/>
                <w:sz w:val="20"/>
              </w:rPr>
              <w:t>Cycle 1: 100%</w:t>
            </w:r>
          </w:p>
          <w:p w14:paraId="5856086D" w14:textId="77777777" w:rsidR="00DA1129" w:rsidRPr="00A22919" w:rsidRDefault="00DA1129" w:rsidP="001B5028">
            <w:pPr>
              <w:rPr>
                <w:rFonts w:ascii="Arial Narrow" w:hAnsi="Arial Narrow"/>
                <w:sz w:val="20"/>
              </w:rPr>
            </w:pPr>
            <w:r w:rsidRPr="00A22919">
              <w:rPr>
                <w:rFonts w:ascii="Arial Narrow" w:hAnsi="Arial Narrow"/>
                <w:sz w:val="20"/>
              </w:rPr>
              <w:t>Cycle 2: 98.1%</w:t>
            </w:r>
          </w:p>
          <w:p w14:paraId="778E2FDC" w14:textId="77777777" w:rsidR="00DA1129" w:rsidRPr="00A22919" w:rsidRDefault="00DA1129" w:rsidP="001B5028">
            <w:pPr>
              <w:rPr>
                <w:rFonts w:ascii="Arial Narrow" w:hAnsi="Arial Narrow"/>
                <w:sz w:val="20"/>
              </w:rPr>
            </w:pPr>
            <w:r w:rsidRPr="00A22919">
              <w:rPr>
                <w:rFonts w:ascii="Arial Narrow" w:hAnsi="Arial Narrow"/>
                <w:sz w:val="20"/>
              </w:rPr>
              <w:t>Cycle 3: 95.9%</w:t>
            </w:r>
          </w:p>
          <w:p w14:paraId="24CF0B33" w14:textId="77777777" w:rsidR="00DA1129" w:rsidRPr="00A22919" w:rsidRDefault="00DA1129" w:rsidP="001B5028">
            <w:pPr>
              <w:rPr>
                <w:rFonts w:ascii="Arial Narrow" w:hAnsi="Arial Narrow"/>
                <w:sz w:val="20"/>
              </w:rPr>
            </w:pPr>
            <w:r w:rsidRPr="00A22919">
              <w:rPr>
                <w:rFonts w:ascii="Arial Narrow" w:hAnsi="Arial Narrow"/>
                <w:sz w:val="20"/>
              </w:rPr>
              <w:t>Cycle 4: 92.1%</w:t>
            </w:r>
          </w:p>
          <w:p w14:paraId="35ED7C2B" w14:textId="77777777" w:rsidR="00DA1129" w:rsidRPr="00A22919" w:rsidRDefault="00DA1129" w:rsidP="001B5028">
            <w:pPr>
              <w:rPr>
                <w:rFonts w:ascii="Arial Narrow" w:hAnsi="Arial Narrow"/>
                <w:sz w:val="20"/>
              </w:rPr>
            </w:pPr>
            <w:r w:rsidRPr="00A22919">
              <w:rPr>
                <w:rFonts w:ascii="Arial Narrow" w:hAnsi="Arial Narrow"/>
                <w:sz w:val="20"/>
              </w:rPr>
              <w:t>Cycle 5: 90.2%</w:t>
            </w:r>
          </w:p>
        </w:tc>
        <w:tc>
          <w:tcPr>
            <w:tcW w:w="1292" w:type="dxa"/>
          </w:tcPr>
          <w:p w14:paraId="72C152E3" w14:textId="77777777" w:rsidR="00DA1129" w:rsidRPr="00A22919" w:rsidRDefault="00DA1129" w:rsidP="001B5028">
            <w:pPr>
              <w:rPr>
                <w:rFonts w:ascii="Arial Narrow" w:hAnsi="Arial Narrow"/>
                <w:sz w:val="20"/>
              </w:rPr>
            </w:pPr>
            <w:r w:rsidRPr="00A22919">
              <w:rPr>
                <w:rFonts w:ascii="Arial Narrow" w:hAnsi="Arial Narrow"/>
                <w:sz w:val="20"/>
              </w:rPr>
              <w:t>100% for all cycles</w:t>
            </w:r>
          </w:p>
        </w:tc>
        <w:tc>
          <w:tcPr>
            <w:tcW w:w="1347" w:type="dxa"/>
          </w:tcPr>
          <w:p w14:paraId="20D61893" w14:textId="7EF4AEC7" w:rsidR="00DA1129" w:rsidRDefault="00FD1CFE" w:rsidP="001B5028">
            <w:pPr>
              <w:rPr>
                <w:rFonts w:ascii="Arial Narrow" w:hAnsi="Arial Narrow"/>
                <w:sz w:val="20"/>
              </w:rPr>
            </w:pPr>
            <w:r>
              <w:rPr>
                <w:rFonts w:ascii="Arial Narrow" w:hAnsi="Arial Narrow"/>
                <w:sz w:val="20"/>
              </w:rPr>
              <w:t>100% for all cycles</w:t>
            </w:r>
          </w:p>
        </w:tc>
        <w:tc>
          <w:tcPr>
            <w:tcW w:w="3776" w:type="dxa"/>
          </w:tcPr>
          <w:p w14:paraId="7D95C36D" w14:textId="0BFDC0B2" w:rsidR="00DA1129" w:rsidRPr="00A22919" w:rsidRDefault="00DA1129" w:rsidP="001B5028">
            <w:pPr>
              <w:rPr>
                <w:rFonts w:ascii="Arial Narrow" w:hAnsi="Arial Narrow"/>
                <w:sz w:val="20"/>
              </w:rPr>
            </w:pPr>
            <w:r>
              <w:rPr>
                <w:rFonts w:ascii="Arial Narrow" w:hAnsi="Arial Narrow"/>
                <w:sz w:val="20"/>
              </w:rPr>
              <w:t xml:space="preserve">The PBAC ESC completion rate </w:t>
            </w:r>
            <w:proofErr w:type="gramStart"/>
            <w:r>
              <w:rPr>
                <w:rFonts w:ascii="Arial Narrow" w:hAnsi="Arial Narrow"/>
                <w:sz w:val="20"/>
              </w:rPr>
              <w:t>is tested</w:t>
            </w:r>
            <w:proofErr w:type="gramEnd"/>
            <w:r>
              <w:rPr>
                <w:rFonts w:ascii="Arial Narrow" w:hAnsi="Arial Narrow"/>
                <w:sz w:val="20"/>
              </w:rPr>
              <w:t xml:space="preserve"> in sensitivity analysis.</w:t>
            </w:r>
          </w:p>
        </w:tc>
      </w:tr>
      <w:tr w:rsidR="00DA1129" w14:paraId="6CA76425" w14:textId="77777777" w:rsidTr="00635F9E">
        <w:tc>
          <w:tcPr>
            <w:tcW w:w="1252" w:type="dxa"/>
          </w:tcPr>
          <w:p w14:paraId="755DE47B" w14:textId="77777777" w:rsidR="00DA1129" w:rsidRPr="00A22919" w:rsidRDefault="00DA1129" w:rsidP="001B5028">
            <w:pPr>
              <w:rPr>
                <w:rFonts w:ascii="Arial Narrow" w:hAnsi="Arial Narrow"/>
                <w:sz w:val="20"/>
              </w:rPr>
            </w:pPr>
            <w:r w:rsidRPr="00A22919">
              <w:rPr>
                <w:rFonts w:ascii="Arial Narrow" w:hAnsi="Arial Narrow"/>
                <w:sz w:val="20"/>
              </w:rPr>
              <w:t>IL</w:t>
            </w:r>
            <w:r>
              <w:rPr>
                <w:rFonts w:ascii="Arial Narrow" w:hAnsi="Arial Narrow"/>
                <w:sz w:val="20"/>
              </w:rPr>
              <w:t>-2</w:t>
            </w:r>
            <w:r w:rsidRPr="00A22919">
              <w:rPr>
                <w:rFonts w:ascii="Arial Narrow" w:hAnsi="Arial Narrow"/>
                <w:sz w:val="20"/>
              </w:rPr>
              <w:t xml:space="preserve"> use</w:t>
            </w:r>
          </w:p>
        </w:tc>
        <w:tc>
          <w:tcPr>
            <w:tcW w:w="1349" w:type="dxa"/>
          </w:tcPr>
          <w:p w14:paraId="2E13285D" w14:textId="77777777" w:rsidR="00DA1129" w:rsidRPr="00A22919" w:rsidRDefault="00DA1129" w:rsidP="001B5028">
            <w:pPr>
              <w:rPr>
                <w:rFonts w:ascii="Arial Narrow" w:hAnsi="Arial Narrow"/>
                <w:sz w:val="20"/>
              </w:rPr>
            </w:pPr>
            <w:r w:rsidRPr="00A22919">
              <w:rPr>
                <w:rFonts w:ascii="Arial Narrow" w:hAnsi="Arial Narrow"/>
                <w:sz w:val="20"/>
              </w:rPr>
              <w:t>11%</w:t>
            </w:r>
          </w:p>
        </w:tc>
        <w:tc>
          <w:tcPr>
            <w:tcW w:w="1292" w:type="dxa"/>
          </w:tcPr>
          <w:p w14:paraId="30003DFF" w14:textId="77777777" w:rsidR="00DA1129" w:rsidRPr="00A22919" w:rsidRDefault="00DA1129" w:rsidP="001B5028">
            <w:pPr>
              <w:rPr>
                <w:rFonts w:ascii="Arial Narrow" w:hAnsi="Arial Narrow"/>
                <w:sz w:val="20"/>
              </w:rPr>
            </w:pPr>
            <w:r w:rsidRPr="00A22919">
              <w:rPr>
                <w:rFonts w:ascii="Arial Narrow" w:hAnsi="Arial Narrow"/>
                <w:sz w:val="20"/>
              </w:rPr>
              <w:t>0%</w:t>
            </w:r>
          </w:p>
        </w:tc>
        <w:tc>
          <w:tcPr>
            <w:tcW w:w="1347" w:type="dxa"/>
          </w:tcPr>
          <w:p w14:paraId="60C2962E" w14:textId="40BCF6EA" w:rsidR="00DA1129" w:rsidRDefault="00DA1129" w:rsidP="001B5028">
            <w:pPr>
              <w:rPr>
                <w:rFonts w:ascii="Arial Narrow" w:hAnsi="Arial Narrow"/>
                <w:sz w:val="20"/>
              </w:rPr>
            </w:pPr>
            <w:r>
              <w:rPr>
                <w:rFonts w:ascii="Arial Narrow" w:hAnsi="Arial Narrow"/>
                <w:sz w:val="20"/>
              </w:rPr>
              <w:t>0%</w:t>
            </w:r>
          </w:p>
        </w:tc>
        <w:tc>
          <w:tcPr>
            <w:tcW w:w="3776" w:type="dxa"/>
          </w:tcPr>
          <w:p w14:paraId="14571AAF" w14:textId="507983D0" w:rsidR="00DA1129" w:rsidRPr="00A22919" w:rsidRDefault="00DA1129" w:rsidP="001B5028">
            <w:pPr>
              <w:rPr>
                <w:rFonts w:ascii="Arial Narrow" w:hAnsi="Arial Narrow"/>
                <w:sz w:val="20"/>
              </w:rPr>
            </w:pPr>
            <w:r>
              <w:rPr>
                <w:rFonts w:ascii="Arial Narrow" w:hAnsi="Arial Narrow"/>
                <w:sz w:val="20"/>
              </w:rPr>
              <w:t xml:space="preserve">Removal of concomitant IL-2 is appropriate and consistent with approved PI.  </w:t>
            </w:r>
          </w:p>
        </w:tc>
      </w:tr>
      <w:tr w:rsidR="00DA1129" w14:paraId="48C8E9D4" w14:textId="77777777" w:rsidTr="00635F9E">
        <w:tc>
          <w:tcPr>
            <w:tcW w:w="1252" w:type="dxa"/>
          </w:tcPr>
          <w:p w14:paraId="6CB9BE99" w14:textId="77777777" w:rsidR="00DA1129" w:rsidRPr="00A22919" w:rsidRDefault="00DA1129" w:rsidP="001B5028">
            <w:pPr>
              <w:rPr>
                <w:rFonts w:ascii="Arial Narrow" w:hAnsi="Arial Narrow"/>
                <w:sz w:val="20"/>
              </w:rPr>
            </w:pPr>
            <w:r>
              <w:rPr>
                <w:rFonts w:ascii="Arial Narrow" w:hAnsi="Arial Narrow"/>
                <w:sz w:val="20"/>
              </w:rPr>
              <w:t>Extrapolation method</w:t>
            </w:r>
          </w:p>
        </w:tc>
        <w:tc>
          <w:tcPr>
            <w:tcW w:w="1349" w:type="dxa"/>
          </w:tcPr>
          <w:p w14:paraId="2CD1E7CC" w14:textId="77777777" w:rsidR="00DA1129" w:rsidRPr="00A22919" w:rsidRDefault="00DA1129" w:rsidP="001B5028">
            <w:pPr>
              <w:rPr>
                <w:rFonts w:ascii="Arial Narrow" w:hAnsi="Arial Narrow"/>
                <w:sz w:val="20"/>
              </w:rPr>
            </w:pPr>
            <w:proofErr w:type="spellStart"/>
            <w:r>
              <w:rPr>
                <w:rFonts w:ascii="Arial Narrow" w:hAnsi="Arial Narrow"/>
                <w:sz w:val="20"/>
              </w:rPr>
              <w:t>Gompertz</w:t>
            </w:r>
            <w:proofErr w:type="spellEnd"/>
            <w:r>
              <w:rPr>
                <w:rFonts w:ascii="Arial Narrow" w:hAnsi="Arial Narrow"/>
                <w:sz w:val="20"/>
              </w:rPr>
              <w:t xml:space="preserve"> for DB EFS and OS </w:t>
            </w:r>
          </w:p>
        </w:tc>
        <w:tc>
          <w:tcPr>
            <w:tcW w:w="1292" w:type="dxa"/>
          </w:tcPr>
          <w:p w14:paraId="0BB64C76" w14:textId="77777777" w:rsidR="00DA1129" w:rsidRPr="00A22919" w:rsidRDefault="00DA1129" w:rsidP="001B5028">
            <w:pPr>
              <w:rPr>
                <w:rFonts w:ascii="Arial Narrow" w:hAnsi="Arial Narrow"/>
                <w:sz w:val="20"/>
              </w:rPr>
            </w:pPr>
            <w:proofErr w:type="spellStart"/>
            <w:r>
              <w:rPr>
                <w:rFonts w:ascii="Arial Narrow" w:hAnsi="Arial Narrow"/>
                <w:sz w:val="20"/>
              </w:rPr>
              <w:t>Gompertz</w:t>
            </w:r>
            <w:proofErr w:type="spellEnd"/>
            <w:r>
              <w:rPr>
                <w:rFonts w:ascii="Arial Narrow" w:hAnsi="Arial Narrow"/>
                <w:sz w:val="20"/>
              </w:rPr>
              <w:t xml:space="preserve"> for DB EFS and OS </w:t>
            </w:r>
          </w:p>
        </w:tc>
        <w:tc>
          <w:tcPr>
            <w:tcW w:w="1347" w:type="dxa"/>
          </w:tcPr>
          <w:p w14:paraId="6F1E0FD1" w14:textId="2D617985" w:rsidR="00DA1129" w:rsidRDefault="00DA1129" w:rsidP="001B5028">
            <w:pPr>
              <w:rPr>
                <w:rFonts w:ascii="Arial Narrow" w:hAnsi="Arial Narrow"/>
                <w:sz w:val="20"/>
              </w:rPr>
            </w:pPr>
            <w:r>
              <w:rPr>
                <w:rFonts w:ascii="Arial Narrow" w:hAnsi="Arial Narrow"/>
                <w:sz w:val="20"/>
              </w:rPr>
              <w:t>Weibull</w:t>
            </w:r>
          </w:p>
        </w:tc>
        <w:tc>
          <w:tcPr>
            <w:tcW w:w="3776" w:type="dxa"/>
            <w:vMerge w:val="restart"/>
          </w:tcPr>
          <w:p w14:paraId="4537EA09" w14:textId="1D427DA0" w:rsidR="00DA1129" w:rsidRDefault="00DA1129" w:rsidP="001B5028">
            <w:pPr>
              <w:rPr>
                <w:rFonts w:ascii="Arial Narrow" w:hAnsi="Arial Narrow"/>
                <w:sz w:val="20"/>
              </w:rPr>
            </w:pPr>
            <w:r>
              <w:rPr>
                <w:rFonts w:ascii="Arial Narrow" w:hAnsi="Arial Narrow"/>
                <w:sz w:val="20"/>
              </w:rPr>
              <w:t xml:space="preserve">The PBAC ESC considered the </w:t>
            </w:r>
            <w:proofErr w:type="spellStart"/>
            <w:r>
              <w:rPr>
                <w:rFonts w:ascii="Arial Narrow" w:hAnsi="Arial Narrow"/>
                <w:sz w:val="20"/>
              </w:rPr>
              <w:t>Gompertz</w:t>
            </w:r>
            <w:proofErr w:type="spellEnd"/>
            <w:r>
              <w:rPr>
                <w:rFonts w:ascii="Arial Narrow" w:hAnsi="Arial Narrow"/>
                <w:sz w:val="20"/>
              </w:rPr>
              <w:t xml:space="preserve"> extrapolated function was the least conservative option and favoured </w:t>
            </w:r>
            <w:proofErr w:type="spellStart"/>
            <w:r>
              <w:rPr>
                <w:rFonts w:ascii="Arial Narrow" w:hAnsi="Arial Narrow"/>
                <w:sz w:val="20"/>
              </w:rPr>
              <w:t>dinutuximab</w:t>
            </w:r>
            <w:proofErr w:type="spellEnd"/>
            <w:r>
              <w:rPr>
                <w:rFonts w:ascii="Arial Narrow" w:hAnsi="Arial Narrow"/>
                <w:sz w:val="20"/>
              </w:rPr>
              <w:t xml:space="preserve"> beta (paragraph 6.40, PBAC ESC advice).The PBAC ESC considered convergence of the EFS and OS curves would be appropriate, noting the Yu 2014 data converged (paragraph 6.20, PBAC ESC advice). </w:t>
            </w:r>
          </w:p>
          <w:p w14:paraId="3F8B9AD4" w14:textId="236505E7" w:rsidR="00DA1129" w:rsidRDefault="00DA1129" w:rsidP="005E4173">
            <w:pPr>
              <w:spacing w:before="240"/>
              <w:rPr>
                <w:rFonts w:ascii="Arial Narrow" w:hAnsi="Arial Narrow"/>
                <w:sz w:val="20"/>
              </w:rPr>
            </w:pPr>
            <w:r>
              <w:rPr>
                <w:rFonts w:ascii="Arial Narrow" w:hAnsi="Arial Narrow"/>
                <w:sz w:val="20"/>
              </w:rPr>
              <w:t xml:space="preserve">The PBAC ESC noted applying the more conservative Weibull extrapolation also resulted in some convergence of EFS and OS </w:t>
            </w:r>
            <w:proofErr w:type="gramStart"/>
            <w:r>
              <w:rPr>
                <w:rFonts w:ascii="Arial Narrow" w:hAnsi="Arial Narrow"/>
                <w:sz w:val="20"/>
              </w:rPr>
              <w:t>curves which</w:t>
            </w:r>
            <w:proofErr w:type="gramEnd"/>
            <w:r>
              <w:rPr>
                <w:rFonts w:ascii="Arial Narrow" w:hAnsi="Arial Narrow"/>
                <w:sz w:val="20"/>
              </w:rPr>
              <w:t xml:space="preserve"> may be more appropriate (paragraph 6.49, PBAC ESC advice).</w:t>
            </w:r>
          </w:p>
          <w:p w14:paraId="7694E2AC" w14:textId="7A20ECB6" w:rsidR="00DA1129" w:rsidRPr="00A22919" w:rsidRDefault="00DA1129" w:rsidP="005E4173">
            <w:pPr>
              <w:spacing w:before="240"/>
              <w:rPr>
                <w:rFonts w:ascii="Arial Narrow" w:hAnsi="Arial Narrow"/>
                <w:sz w:val="20"/>
              </w:rPr>
            </w:pPr>
            <w:r>
              <w:rPr>
                <w:rFonts w:ascii="Arial Narrow" w:hAnsi="Arial Narrow"/>
                <w:sz w:val="20"/>
              </w:rPr>
              <w:t xml:space="preserve">Application of a Weibull extrapolation </w:t>
            </w:r>
            <w:proofErr w:type="gramStart"/>
            <w:r>
              <w:rPr>
                <w:rFonts w:ascii="Arial Narrow" w:hAnsi="Arial Narrow"/>
                <w:sz w:val="20"/>
              </w:rPr>
              <w:t>is provided</w:t>
            </w:r>
            <w:proofErr w:type="gramEnd"/>
            <w:r>
              <w:rPr>
                <w:rFonts w:ascii="Arial Narrow" w:hAnsi="Arial Narrow"/>
                <w:sz w:val="20"/>
              </w:rPr>
              <w:t xml:space="preserve"> as a sensitivity analysis. </w:t>
            </w:r>
          </w:p>
        </w:tc>
      </w:tr>
      <w:tr w:rsidR="00DA1129" w14:paraId="3351F1E6" w14:textId="77777777" w:rsidTr="00635F9E">
        <w:tc>
          <w:tcPr>
            <w:tcW w:w="1252" w:type="dxa"/>
          </w:tcPr>
          <w:p w14:paraId="5EBF41E8" w14:textId="77777777" w:rsidR="00DA1129" w:rsidRDefault="00DA1129" w:rsidP="001B5028">
            <w:pPr>
              <w:rPr>
                <w:rFonts w:ascii="Arial Narrow" w:hAnsi="Arial Narrow"/>
                <w:sz w:val="20"/>
              </w:rPr>
            </w:pPr>
            <w:r>
              <w:rPr>
                <w:rFonts w:ascii="Arial Narrow" w:hAnsi="Arial Narrow"/>
                <w:sz w:val="20"/>
              </w:rPr>
              <w:t>Convergence</w:t>
            </w:r>
          </w:p>
        </w:tc>
        <w:tc>
          <w:tcPr>
            <w:tcW w:w="1349" w:type="dxa"/>
          </w:tcPr>
          <w:p w14:paraId="6A503D97" w14:textId="77777777" w:rsidR="00DA1129" w:rsidRDefault="00DA1129" w:rsidP="001B5028">
            <w:pPr>
              <w:rPr>
                <w:rFonts w:ascii="Arial Narrow" w:hAnsi="Arial Narrow"/>
                <w:sz w:val="20"/>
              </w:rPr>
            </w:pPr>
            <w:r>
              <w:rPr>
                <w:rFonts w:ascii="Arial Narrow" w:hAnsi="Arial Narrow"/>
                <w:sz w:val="20"/>
              </w:rPr>
              <w:t>None</w:t>
            </w:r>
          </w:p>
        </w:tc>
        <w:tc>
          <w:tcPr>
            <w:tcW w:w="1292" w:type="dxa"/>
          </w:tcPr>
          <w:p w14:paraId="2357C1AB" w14:textId="77777777" w:rsidR="00DA1129" w:rsidRDefault="00DA1129" w:rsidP="001B5028">
            <w:pPr>
              <w:rPr>
                <w:rFonts w:ascii="Arial Narrow" w:hAnsi="Arial Narrow"/>
                <w:sz w:val="20"/>
              </w:rPr>
            </w:pPr>
            <w:r>
              <w:rPr>
                <w:rFonts w:ascii="Arial Narrow" w:hAnsi="Arial Narrow"/>
                <w:sz w:val="20"/>
              </w:rPr>
              <w:t>None</w:t>
            </w:r>
          </w:p>
        </w:tc>
        <w:tc>
          <w:tcPr>
            <w:tcW w:w="1347" w:type="dxa"/>
          </w:tcPr>
          <w:p w14:paraId="2E5D9C3D" w14:textId="64B7B6AB" w:rsidR="00DA1129" w:rsidRDefault="00FD1CFE" w:rsidP="001B5028">
            <w:pPr>
              <w:rPr>
                <w:rFonts w:ascii="Arial Narrow" w:hAnsi="Arial Narrow"/>
                <w:sz w:val="20"/>
              </w:rPr>
            </w:pPr>
            <w:r>
              <w:rPr>
                <w:rFonts w:ascii="Arial Narrow" w:hAnsi="Arial Narrow"/>
                <w:sz w:val="20"/>
              </w:rPr>
              <w:t>Some (as a result of using Weibull extrapolation)</w:t>
            </w:r>
          </w:p>
        </w:tc>
        <w:tc>
          <w:tcPr>
            <w:tcW w:w="3776" w:type="dxa"/>
            <w:vMerge/>
          </w:tcPr>
          <w:p w14:paraId="78AD819A" w14:textId="6F51C0C8" w:rsidR="00DA1129" w:rsidRDefault="00DA1129" w:rsidP="001B5028">
            <w:pPr>
              <w:rPr>
                <w:rFonts w:ascii="Arial Narrow" w:hAnsi="Arial Narrow"/>
                <w:sz w:val="20"/>
              </w:rPr>
            </w:pPr>
          </w:p>
        </w:tc>
      </w:tr>
      <w:tr w:rsidR="00DA1129" w14:paraId="75C391C4" w14:textId="77777777" w:rsidTr="00635F9E">
        <w:tc>
          <w:tcPr>
            <w:tcW w:w="1252" w:type="dxa"/>
          </w:tcPr>
          <w:p w14:paraId="69B9CF42" w14:textId="77777777" w:rsidR="00DA1129" w:rsidRDefault="00DA1129" w:rsidP="001B5028">
            <w:pPr>
              <w:rPr>
                <w:rFonts w:ascii="Arial Narrow" w:hAnsi="Arial Narrow"/>
                <w:sz w:val="20"/>
              </w:rPr>
            </w:pPr>
            <w:r>
              <w:rPr>
                <w:rFonts w:ascii="Arial Narrow" w:hAnsi="Arial Narrow"/>
                <w:sz w:val="20"/>
              </w:rPr>
              <w:t>BSA</w:t>
            </w:r>
          </w:p>
        </w:tc>
        <w:tc>
          <w:tcPr>
            <w:tcW w:w="1349" w:type="dxa"/>
          </w:tcPr>
          <w:p w14:paraId="1850F47D" w14:textId="77777777" w:rsidR="00DA1129" w:rsidRDefault="00DA1129" w:rsidP="001B5028">
            <w:pPr>
              <w:rPr>
                <w:rFonts w:ascii="Arial Narrow" w:hAnsi="Arial Narrow"/>
                <w:sz w:val="20"/>
              </w:rPr>
            </w:pPr>
            <w:r>
              <w:rPr>
                <w:rFonts w:ascii="Arial Narrow" w:hAnsi="Arial Narrow"/>
                <w:sz w:val="20"/>
              </w:rPr>
              <w:t>0.63m</w:t>
            </w:r>
            <w:r w:rsidRPr="007F1A90">
              <w:rPr>
                <w:rFonts w:ascii="Arial Narrow" w:hAnsi="Arial Narrow"/>
                <w:sz w:val="20"/>
                <w:vertAlign w:val="superscript"/>
              </w:rPr>
              <w:t>2</w:t>
            </w:r>
          </w:p>
        </w:tc>
        <w:tc>
          <w:tcPr>
            <w:tcW w:w="1292" w:type="dxa"/>
          </w:tcPr>
          <w:p w14:paraId="74C02D42" w14:textId="77777777" w:rsidR="00DA1129" w:rsidRDefault="00DA1129" w:rsidP="001B5028">
            <w:pPr>
              <w:rPr>
                <w:rFonts w:ascii="Arial Narrow" w:hAnsi="Arial Narrow"/>
                <w:sz w:val="20"/>
              </w:rPr>
            </w:pPr>
            <w:r>
              <w:rPr>
                <w:rFonts w:ascii="Arial Narrow" w:hAnsi="Arial Narrow"/>
                <w:sz w:val="20"/>
              </w:rPr>
              <w:t>0.63m</w:t>
            </w:r>
            <w:r w:rsidRPr="0077528B">
              <w:rPr>
                <w:rFonts w:ascii="Arial Narrow" w:hAnsi="Arial Narrow"/>
                <w:sz w:val="20"/>
                <w:vertAlign w:val="superscript"/>
              </w:rPr>
              <w:t>2</w:t>
            </w:r>
          </w:p>
        </w:tc>
        <w:tc>
          <w:tcPr>
            <w:tcW w:w="1347" w:type="dxa"/>
          </w:tcPr>
          <w:p w14:paraId="19F9FB40" w14:textId="21BA220A" w:rsidR="00DA1129" w:rsidRDefault="00FD1CFE" w:rsidP="001B5028">
            <w:pPr>
              <w:rPr>
                <w:rFonts w:ascii="Arial Narrow" w:hAnsi="Arial Narrow"/>
                <w:sz w:val="20"/>
              </w:rPr>
            </w:pPr>
            <w:r w:rsidRPr="00FD1CFE">
              <w:rPr>
                <w:rFonts w:ascii="Arial Narrow" w:hAnsi="Arial Narrow"/>
                <w:sz w:val="20"/>
              </w:rPr>
              <w:t>0.63m</w:t>
            </w:r>
            <w:r w:rsidRPr="00635F9E">
              <w:rPr>
                <w:rFonts w:ascii="Arial Narrow" w:hAnsi="Arial Narrow"/>
                <w:sz w:val="20"/>
                <w:vertAlign w:val="superscript"/>
              </w:rPr>
              <w:t>2</w:t>
            </w:r>
          </w:p>
        </w:tc>
        <w:tc>
          <w:tcPr>
            <w:tcW w:w="3776" w:type="dxa"/>
          </w:tcPr>
          <w:p w14:paraId="0B95329E" w14:textId="583F9312" w:rsidR="00DA1129" w:rsidRDefault="00DA1129" w:rsidP="001B5028">
            <w:pPr>
              <w:rPr>
                <w:rFonts w:ascii="Arial Narrow" w:hAnsi="Arial Narrow"/>
                <w:sz w:val="20"/>
              </w:rPr>
            </w:pPr>
            <w:r>
              <w:rPr>
                <w:rFonts w:ascii="Arial Narrow" w:hAnsi="Arial Narrow"/>
                <w:sz w:val="20"/>
              </w:rPr>
              <w:t xml:space="preserve">This value is based on the average in Study 302-R2. The PBAC ESC noted the model was sensitive to this assumption and the age and BSA of Australian patients is unknown (paragraph 6.43, PBAC ESC advice). </w:t>
            </w:r>
          </w:p>
        </w:tc>
      </w:tr>
    </w:tbl>
    <w:p w14:paraId="6ABBF926" w14:textId="77777777" w:rsidR="001B5028" w:rsidRDefault="001B5028" w:rsidP="00EE173C">
      <w:pPr>
        <w:pStyle w:val="TableFooter"/>
      </w:pPr>
      <w:r>
        <w:t xml:space="preserve">AR-DRG Australian Refined Diagnosis Related Groups; </w:t>
      </w:r>
      <w:r w:rsidRPr="00C23A97">
        <w:t>DB</w:t>
      </w:r>
      <w:r>
        <w:t xml:space="preserve"> </w:t>
      </w:r>
      <w:proofErr w:type="spellStart"/>
      <w:r>
        <w:t>dinutuximab</w:t>
      </w:r>
      <w:proofErr w:type="spellEnd"/>
      <w:r>
        <w:t xml:space="preserve"> beta; BSA body surface area; ESC economic subcommittee; EFS event free survival; OS overall survival; PBAC Pharmaceutical Benefits Advisory Committee; PI product information</w:t>
      </w:r>
    </w:p>
    <w:p w14:paraId="0D908460" w14:textId="2BFCA863" w:rsidR="001B5028" w:rsidRDefault="001B5028" w:rsidP="001F2235">
      <w:pPr>
        <w:pStyle w:val="TableFooter"/>
      </w:pPr>
      <w:r>
        <w:t xml:space="preserve">Source: </w:t>
      </w:r>
      <w:r w:rsidR="00D44AA4">
        <w:t>Table 8, p 12 of the Departmental Overview</w:t>
      </w:r>
    </w:p>
    <w:p w14:paraId="58007634" w14:textId="0C77D2E3" w:rsidR="006B1090" w:rsidRPr="00C47512" w:rsidRDefault="001B5028" w:rsidP="005E4173">
      <w:pPr>
        <w:spacing w:before="240"/>
        <w:rPr>
          <w:rFonts w:ascii="Arial Narrow" w:eastAsiaTheme="majorEastAsia" w:hAnsi="Arial Narrow"/>
          <w:b/>
          <w:sz w:val="20"/>
        </w:rPr>
      </w:pPr>
      <w:r>
        <w:t>The result of the economic evaluation</w:t>
      </w:r>
      <w:r w:rsidR="0051548D">
        <w:t xml:space="preserve"> in the submission</w:t>
      </w:r>
      <w:r>
        <w:t xml:space="preserve"> </w:t>
      </w:r>
      <w:proofErr w:type="gramStart"/>
      <w:r>
        <w:t>is presented</w:t>
      </w:r>
      <w:proofErr w:type="gramEnd"/>
      <w:r>
        <w:t xml:space="preserve"> in</w:t>
      </w:r>
      <w:r w:rsidR="00267379">
        <w:t xml:space="preserve"> </w:t>
      </w:r>
      <w:r w:rsidR="00267379" w:rsidRPr="00267379">
        <w:rPr>
          <w:szCs w:val="24"/>
        </w:rPr>
        <w:fldChar w:fldCharType="begin"/>
      </w:r>
      <w:r w:rsidR="00267379" w:rsidRPr="00267379">
        <w:rPr>
          <w:szCs w:val="24"/>
        </w:rPr>
        <w:instrText xml:space="preserve"> REF _Ref54010456 \h  \* MERGEFORMAT </w:instrText>
      </w:r>
      <w:r w:rsidR="00267379" w:rsidRPr="00267379">
        <w:rPr>
          <w:szCs w:val="24"/>
        </w:rPr>
      </w:r>
      <w:r w:rsidR="00267379" w:rsidRPr="00267379">
        <w:rPr>
          <w:szCs w:val="24"/>
        </w:rPr>
        <w:fldChar w:fldCharType="separate"/>
      </w:r>
      <w:r w:rsidR="00991D81" w:rsidRPr="00991D81">
        <w:rPr>
          <w:rFonts w:eastAsiaTheme="majorEastAsia"/>
          <w:szCs w:val="24"/>
        </w:rPr>
        <w:t xml:space="preserve">Table </w:t>
      </w:r>
      <w:r w:rsidR="00991D81" w:rsidRPr="00991D81">
        <w:rPr>
          <w:rFonts w:eastAsiaTheme="majorEastAsia"/>
          <w:noProof/>
          <w:szCs w:val="24"/>
        </w:rPr>
        <w:t>12</w:t>
      </w:r>
      <w:r w:rsidR="00267379" w:rsidRPr="00267379">
        <w:rPr>
          <w:szCs w:val="24"/>
        </w:rPr>
        <w:fldChar w:fldCharType="end"/>
      </w:r>
      <w:r>
        <w:t xml:space="preserve">. </w:t>
      </w:r>
      <w:proofErr w:type="gramStart"/>
      <w:r w:rsidR="00160DFF">
        <w:t>On the basis of</w:t>
      </w:r>
      <w:proofErr w:type="gramEnd"/>
      <w:r w:rsidR="00160DFF">
        <w:t xml:space="preserve"> the advice of the </w:t>
      </w:r>
      <w:r w:rsidR="00FD1CFE">
        <w:t xml:space="preserve">MSAC ESC a revised economic model was </w:t>
      </w:r>
      <w:r w:rsidR="00160DFF">
        <w:t>considered by MSAC.</w:t>
      </w:r>
      <w:bookmarkStart w:id="18" w:name="_Ref39846379"/>
      <w:r w:rsidR="006B1090">
        <w:rPr>
          <w:rFonts w:ascii="Arial Narrow" w:eastAsiaTheme="majorEastAsia" w:hAnsi="Arial Narrow"/>
          <w:b/>
          <w:sz w:val="20"/>
        </w:rPr>
        <w:br w:type="page"/>
      </w:r>
    </w:p>
    <w:p w14:paraId="7BD85511" w14:textId="19DAB87D" w:rsidR="001B5028" w:rsidRPr="00625D9D" w:rsidRDefault="001B5028" w:rsidP="00625D9D">
      <w:pPr>
        <w:spacing w:before="240"/>
        <w:rPr>
          <w:rFonts w:ascii="Arial Narrow" w:eastAsiaTheme="majorEastAsia" w:hAnsi="Arial Narrow"/>
          <w:b/>
          <w:sz w:val="20"/>
        </w:rPr>
      </w:pPr>
      <w:bookmarkStart w:id="19" w:name="_Ref54010456"/>
      <w:r w:rsidRPr="00625D9D">
        <w:rPr>
          <w:rFonts w:ascii="Arial Narrow" w:eastAsiaTheme="majorEastAsia" w:hAnsi="Arial Narrow"/>
          <w:b/>
          <w:sz w:val="20"/>
        </w:rPr>
        <w:lastRenderedPageBreak/>
        <w:t xml:space="preserve">Table </w:t>
      </w:r>
      <w:r w:rsidRPr="00625D9D">
        <w:rPr>
          <w:rFonts w:ascii="Arial Narrow" w:eastAsiaTheme="majorEastAsia" w:hAnsi="Arial Narrow"/>
          <w:b/>
          <w:sz w:val="20"/>
        </w:rPr>
        <w:fldChar w:fldCharType="begin"/>
      </w:r>
      <w:r w:rsidRPr="00625D9D">
        <w:rPr>
          <w:rFonts w:ascii="Arial Narrow" w:eastAsiaTheme="majorEastAsia" w:hAnsi="Arial Narrow"/>
          <w:b/>
          <w:sz w:val="20"/>
        </w:rPr>
        <w:instrText xml:space="preserve"> SEQ Table \* ARABIC </w:instrText>
      </w:r>
      <w:r w:rsidRPr="00625D9D">
        <w:rPr>
          <w:rFonts w:ascii="Arial Narrow" w:eastAsiaTheme="majorEastAsia" w:hAnsi="Arial Narrow"/>
          <w:b/>
          <w:sz w:val="20"/>
        </w:rPr>
        <w:fldChar w:fldCharType="separate"/>
      </w:r>
      <w:r w:rsidR="00991D81">
        <w:rPr>
          <w:rFonts w:ascii="Arial Narrow" w:eastAsiaTheme="majorEastAsia" w:hAnsi="Arial Narrow"/>
          <w:b/>
          <w:noProof/>
          <w:sz w:val="20"/>
        </w:rPr>
        <w:t>12</w:t>
      </w:r>
      <w:r w:rsidRPr="00625D9D">
        <w:rPr>
          <w:rFonts w:ascii="Arial Narrow" w:eastAsiaTheme="majorEastAsia" w:hAnsi="Arial Narrow"/>
          <w:b/>
          <w:sz w:val="20"/>
        </w:rPr>
        <w:fldChar w:fldCharType="end"/>
      </w:r>
      <w:bookmarkEnd w:id="18"/>
      <w:bookmarkEnd w:id="19"/>
      <w:r w:rsidRPr="00625D9D">
        <w:rPr>
          <w:rFonts w:ascii="Arial Narrow" w:eastAsiaTheme="majorEastAsia" w:hAnsi="Arial Narrow"/>
          <w:b/>
          <w:sz w:val="20"/>
        </w:rPr>
        <w:t xml:space="preserve"> </w:t>
      </w:r>
      <w:r w:rsidRPr="00625D9D">
        <w:rPr>
          <w:rFonts w:ascii="Arial Narrow" w:eastAsiaTheme="majorEastAsia" w:hAnsi="Arial Narrow"/>
          <w:b/>
          <w:sz w:val="20"/>
        </w:rPr>
        <w:tab/>
        <w:t xml:space="preserve">Results of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the economic evaluation "/>
      </w:tblPr>
      <w:tblGrid>
        <w:gridCol w:w="2757"/>
        <w:gridCol w:w="2451"/>
        <w:gridCol w:w="2297"/>
        <w:gridCol w:w="1511"/>
      </w:tblGrid>
      <w:tr w:rsidR="001B5028" w:rsidRPr="00A35954" w14:paraId="4D0EF845" w14:textId="77777777" w:rsidTr="001B5028">
        <w:trPr>
          <w:tblHeader/>
        </w:trPr>
        <w:tc>
          <w:tcPr>
            <w:tcW w:w="1529" w:type="pct"/>
            <w:vAlign w:val="center"/>
          </w:tcPr>
          <w:p w14:paraId="35445C85" w14:textId="77777777" w:rsidR="001B5028" w:rsidRPr="00A35954" w:rsidRDefault="001B5028" w:rsidP="001B5028">
            <w:pPr>
              <w:pStyle w:val="In-tableHeading"/>
              <w:keepNext w:val="0"/>
              <w:widowControl w:val="0"/>
              <w:rPr>
                <w:szCs w:val="20"/>
                <w:lang w:val="en-AU"/>
              </w:rPr>
            </w:pPr>
            <w:r w:rsidRPr="00A35954">
              <w:rPr>
                <w:szCs w:val="20"/>
                <w:lang w:val="en-AU"/>
              </w:rPr>
              <w:t>Component</w:t>
            </w:r>
          </w:p>
        </w:tc>
        <w:tc>
          <w:tcPr>
            <w:tcW w:w="1359" w:type="pct"/>
            <w:vAlign w:val="center"/>
          </w:tcPr>
          <w:p w14:paraId="1A9E3129" w14:textId="77777777" w:rsidR="001B5028" w:rsidRPr="00A35954" w:rsidRDefault="001B5028" w:rsidP="001B5028">
            <w:pPr>
              <w:pStyle w:val="In-tableHeading"/>
              <w:keepNext w:val="0"/>
              <w:widowControl w:val="0"/>
              <w:jc w:val="center"/>
              <w:rPr>
                <w:szCs w:val="20"/>
                <w:lang w:val="en-AU"/>
              </w:rPr>
            </w:pPr>
            <w:r w:rsidRPr="00A35954">
              <w:rPr>
                <w:szCs w:val="20"/>
                <w:lang w:val="en-AU"/>
              </w:rPr>
              <w:t>DB</w:t>
            </w:r>
          </w:p>
        </w:tc>
        <w:tc>
          <w:tcPr>
            <w:tcW w:w="1274" w:type="pct"/>
            <w:vAlign w:val="center"/>
          </w:tcPr>
          <w:p w14:paraId="41D0B960" w14:textId="77777777" w:rsidR="001B5028" w:rsidRPr="00A35954" w:rsidRDefault="001B5028" w:rsidP="001B5028">
            <w:pPr>
              <w:pStyle w:val="In-tableHeading"/>
              <w:keepNext w:val="0"/>
              <w:widowControl w:val="0"/>
              <w:jc w:val="center"/>
              <w:rPr>
                <w:szCs w:val="20"/>
                <w:lang w:val="en-AU"/>
              </w:rPr>
            </w:pPr>
            <w:r w:rsidRPr="00A35954">
              <w:rPr>
                <w:szCs w:val="20"/>
                <w:lang w:val="en-AU"/>
              </w:rPr>
              <w:t>RA</w:t>
            </w:r>
          </w:p>
        </w:tc>
        <w:tc>
          <w:tcPr>
            <w:tcW w:w="838" w:type="pct"/>
            <w:vAlign w:val="center"/>
          </w:tcPr>
          <w:p w14:paraId="7F647CA6" w14:textId="77777777" w:rsidR="001B5028" w:rsidRPr="00A35954" w:rsidRDefault="001B5028" w:rsidP="001B5028">
            <w:pPr>
              <w:pStyle w:val="In-tableHeading"/>
              <w:keepNext w:val="0"/>
              <w:widowControl w:val="0"/>
              <w:jc w:val="center"/>
              <w:rPr>
                <w:szCs w:val="20"/>
                <w:lang w:val="en-AU"/>
              </w:rPr>
            </w:pPr>
            <w:r w:rsidRPr="00A35954">
              <w:rPr>
                <w:szCs w:val="20"/>
                <w:lang w:val="en-AU"/>
              </w:rPr>
              <w:t>Increment</w:t>
            </w:r>
          </w:p>
        </w:tc>
      </w:tr>
      <w:tr w:rsidR="001B5028" w:rsidRPr="00A35954" w14:paraId="52F2498A" w14:textId="77777777" w:rsidTr="001B5028">
        <w:trPr>
          <w:trHeight w:val="144"/>
        </w:trPr>
        <w:tc>
          <w:tcPr>
            <w:tcW w:w="1529" w:type="pct"/>
            <w:tcBorders>
              <w:bottom w:val="single" w:sz="4" w:space="0" w:color="auto"/>
            </w:tcBorders>
            <w:vAlign w:val="center"/>
          </w:tcPr>
          <w:p w14:paraId="52575498" w14:textId="77777777" w:rsidR="001B5028" w:rsidRPr="00A35954" w:rsidRDefault="001B5028" w:rsidP="001B5028">
            <w:pPr>
              <w:pStyle w:val="TableText0"/>
              <w:widowControl w:val="0"/>
              <w:spacing w:before="0" w:after="0"/>
              <w:rPr>
                <w:rFonts w:ascii="Times" w:hAnsi="Times"/>
                <w:szCs w:val="20"/>
              </w:rPr>
            </w:pPr>
            <w:r w:rsidRPr="00A35954">
              <w:rPr>
                <w:szCs w:val="20"/>
              </w:rPr>
              <w:t>Costs</w:t>
            </w:r>
          </w:p>
        </w:tc>
        <w:tc>
          <w:tcPr>
            <w:tcW w:w="1359" w:type="pct"/>
            <w:tcBorders>
              <w:bottom w:val="single" w:sz="4" w:space="0" w:color="auto"/>
            </w:tcBorders>
            <w:vAlign w:val="center"/>
          </w:tcPr>
          <w:p w14:paraId="7B5529C6" w14:textId="4D94D97B" w:rsidR="001B5028" w:rsidRPr="00A35954" w:rsidRDefault="001B5028" w:rsidP="00864F79">
            <w:pPr>
              <w:pStyle w:val="TableText0"/>
              <w:widowControl w:val="0"/>
              <w:spacing w:before="0" w:after="0"/>
              <w:jc w:val="center"/>
              <w:rPr>
                <w:rFonts w:ascii="Times" w:hAnsi="Times"/>
                <w:szCs w:val="20"/>
              </w:rPr>
            </w:pPr>
            <w:r w:rsidRPr="00A35954">
              <w:rPr>
                <w:bCs/>
                <w:szCs w:val="20"/>
              </w:rPr>
              <w:t>$</w:t>
            </w:r>
            <w:r w:rsidR="00864F79" w:rsidRPr="00A35954">
              <w:rPr>
                <w:bCs/>
                <w:szCs w:val="20"/>
              </w:rPr>
              <w:t>redacted</w:t>
            </w:r>
          </w:p>
        </w:tc>
        <w:tc>
          <w:tcPr>
            <w:tcW w:w="1274" w:type="pct"/>
            <w:tcBorders>
              <w:bottom w:val="single" w:sz="4" w:space="0" w:color="auto"/>
            </w:tcBorders>
            <w:vAlign w:val="center"/>
          </w:tcPr>
          <w:p w14:paraId="0D3099FA" w14:textId="2211C12D" w:rsidR="001B5028" w:rsidRPr="00A35954" w:rsidRDefault="001B5028" w:rsidP="00864F79">
            <w:pPr>
              <w:pStyle w:val="TableText0"/>
              <w:widowControl w:val="0"/>
              <w:spacing w:before="0" w:after="0"/>
              <w:jc w:val="center"/>
              <w:rPr>
                <w:rFonts w:ascii="Times" w:hAnsi="Times"/>
                <w:szCs w:val="20"/>
              </w:rPr>
            </w:pPr>
            <w:r w:rsidRPr="00A35954">
              <w:rPr>
                <w:szCs w:val="20"/>
              </w:rPr>
              <w:t>$</w:t>
            </w:r>
            <w:r w:rsidR="00864F79" w:rsidRPr="00A35954">
              <w:rPr>
                <w:szCs w:val="20"/>
              </w:rPr>
              <w:t>redacted</w:t>
            </w:r>
          </w:p>
        </w:tc>
        <w:tc>
          <w:tcPr>
            <w:tcW w:w="838" w:type="pct"/>
            <w:tcBorders>
              <w:bottom w:val="single" w:sz="4" w:space="0" w:color="auto"/>
            </w:tcBorders>
            <w:vAlign w:val="center"/>
          </w:tcPr>
          <w:p w14:paraId="1C8FC7D7" w14:textId="4F4BAF5C" w:rsidR="001B5028" w:rsidRPr="00A35954" w:rsidRDefault="001B5028" w:rsidP="00864F79">
            <w:pPr>
              <w:pStyle w:val="TableText0"/>
              <w:widowControl w:val="0"/>
              <w:spacing w:before="0" w:after="0"/>
              <w:jc w:val="center"/>
              <w:rPr>
                <w:rFonts w:ascii="Times" w:hAnsi="Times"/>
                <w:szCs w:val="20"/>
              </w:rPr>
            </w:pPr>
            <w:r w:rsidRPr="00A35954">
              <w:rPr>
                <w:bCs/>
                <w:szCs w:val="20"/>
              </w:rPr>
              <w:t>$</w:t>
            </w:r>
            <w:r w:rsidR="00864F79" w:rsidRPr="00A35954">
              <w:rPr>
                <w:bCs/>
                <w:szCs w:val="20"/>
              </w:rPr>
              <w:t>redacted</w:t>
            </w:r>
          </w:p>
        </w:tc>
      </w:tr>
      <w:tr w:rsidR="001B5028" w:rsidRPr="00A35954" w14:paraId="03040848" w14:textId="77777777" w:rsidTr="001B5028">
        <w:tc>
          <w:tcPr>
            <w:tcW w:w="1529" w:type="pct"/>
            <w:tcBorders>
              <w:top w:val="single" w:sz="4" w:space="0" w:color="auto"/>
              <w:bottom w:val="single" w:sz="4" w:space="0" w:color="auto"/>
            </w:tcBorders>
            <w:vAlign w:val="center"/>
          </w:tcPr>
          <w:p w14:paraId="33FC0315" w14:textId="77777777" w:rsidR="001B5028" w:rsidRPr="00A35954" w:rsidRDefault="001B5028" w:rsidP="001B5028">
            <w:pPr>
              <w:pStyle w:val="TableText0"/>
              <w:widowControl w:val="0"/>
              <w:spacing w:before="0" w:after="0"/>
              <w:rPr>
                <w:rFonts w:ascii="Times" w:hAnsi="Times"/>
                <w:szCs w:val="20"/>
              </w:rPr>
            </w:pPr>
            <w:r w:rsidRPr="00A35954">
              <w:rPr>
                <w:szCs w:val="20"/>
              </w:rPr>
              <w:t>Life years</w:t>
            </w:r>
          </w:p>
        </w:tc>
        <w:tc>
          <w:tcPr>
            <w:tcW w:w="1359" w:type="pct"/>
            <w:tcBorders>
              <w:top w:val="single" w:sz="4" w:space="0" w:color="auto"/>
              <w:bottom w:val="single" w:sz="4" w:space="0" w:color="auto"/>
            </w:tcBorders>
            <w:vAlign w:val="center"/>
          </w:tcPr>
          <w:p w14:paraId="660F0F33" w14:textId="77777777" w:rsidR="001B5028" w:rsidRPr="00A35954" w:rsidRDefault="001B5028" w:rsidP="001B5028">
            <w:pPr>
              <w:pStyle w:val="TableText0"/>
              <w:widowControl w:val="0"/>
              <w:spacing w:before="0" w:after="0"/>
              <w:jc w:val="center"/>
              <w:rPr>
                <w:rFonts w:ascii="Times" w:hAnsi="Times"/>
                <w:szCs w:val="20"/>
              </w:rPr>
            </w:pPr>
            <w:r w:rsidRPr="00A35954">
              <w:rPr>
                <w:bCs/>
                <w:szCs w:val="20"/>
              </w:rPr>
              <w:t>39.5499</w:t>
            </w:r>
          </w:p>
        </w:tc>
        <w:tc>
          <w:tcPr>
            <w:tcW w:w="1274" w:type="pct"/>
            <w:tcBorders>
              <w:top w:val="single" w:sz="4" w:space="0" w:color="auto"/>
              <w:bottom w:val="single" w:sz="4" w:space="0" w:color="auto"/>
            </w:tcBorders>
            <w:vAlign w:val="center"/>
          </w:tcPr>
          <w:p w14:paraId="6AC6F7CF" w14:textId="77777777" w:rsidR="001B5028" w:rsidRPr="00A35954" w:rsidRDefault="001B5028" w:rsidP="001B5028">
            <w:pPr>
              <w:pStyle w:val="TableText0"/>
              <w:widowControl w:val="0"/>
              <w:spacing w:before="0" w:after="0"/>
              <w:jc w:val="center"/>
              <w:rPr>
                <w:rFonts w:ascii="Times" w:hAnsi="Times"/>
                <w:szCs w:val="20"/>
              </w:rPr>
            </w:pPr>
            <w:r w:rsidRPr="00A35954">
              <w:rPr>
                <w:szCs w:val="20"/>
              </w:rPr>
              <w:t>29.4986</w:t>
            </w:r>
          </w:p>
        </w:tc>
        <w:tc>
          <w:tcPr>
            <w:tcW w:w="838" w:type="pct"/>
            <w:tcBorders>
              <w:top w:val="single" w:sz="4" w:space="0" w:color="auto"/>
              <w:bottom w:val="single" w:sz="4" w:space="0" w:color="auto"/>
            </w:tcBorders>
            <w:vAlign w:val="center"/>
          </w:tcPr>
          <w:p w14:paraId="6E1DA9B2" w14:textId="77777777" w:rsidR="001B5028" w:rsidRPr="00A35954" w:rsidRDefault="001B5028" w:rsidP="001B5028">
            <w:pPr>
              <w:pStyle w:val="TableText0"/>
              <w:widowControl w:val="0"/>
              <w:spacing w:before="0" w:after="0"/>
              <w:jc w:val="center"/>
              <w:rPr>
                <w:szCs w:val="20"/>
              </w:rPr>
            </w:pPr>
            <w:r w:rsidRPr="00A35954">
              <w:rPr>
                <w:bCs/>
                <w:szCs w:val="20"/>
              </w:rPr>
              <w:t>10.0513</w:t>
            </w:r>
          </w:p>
        </w:tc>
      </w:tr>
      <w:tr w:rsidR="001B5028" w:rsidRPr="00A35954" w14:paraId="3A13E762" w14:textId="77777777" w:rsidTr="001B5028">
        <w:tc>
          <w:tcPr>
            <w:tcW w:w="1529" w:type="pct"/>
            <w:tcBorders>
              <w:top w:val="single" w:sz="4" w:space="0" w:color="auto"/>
            </w:tcBorders>
            <w:vAlign w:val="center"/>
          </w:tcPr>
          <w:p w14:paraId="4CBE53F3" w14:textId="77777777" w:rsidR="001B5028" w:rsidRPr="00A35954" w:rsidRDefault="001B5028" w:rsidP="001B5028">
            <w:pPr>
              <w:pStyle w:val="TableText0"/>
              <w:widowControl w:val="0"/>
              <w:spacing w:before="0" w:after="0"/>
              <w:rPr>
                <w:szCs w:val="20"/>
              </w:rPr>
            </w:pPr>
            <w:r w:rsidRPr="00A35954">
              <w:rPr>
                <w:szCs w:val="20"/>
              </w:rPr>
              <w:t>QALYs</w:t>
            </w:r>
          </w:p>
        </w:tc>
        <w:tc>
          <w:tcPr>
            <w:tcW w:w="1359" w:type="pct"/>
            <w:tcBorders>
              <w:top w:val="single" w:sz="4" w:space="0" w:color="auto"/>
            </w:tcBorders>
            <w:vAlign w:val="center"/>
          </w:tcPr>
          <w:p w14:paraId="3CA7680C" w14:textId="77777777" w:rsidR="001B5028" w:rsidRPr="00A35954" w:rsidRDefault="001B5028" w:rsidP="001B5028">
            <w:pPr>
              <w:pStyle w:val="TableText0"/>
              <w:widowControl w:val="0"/>
              <w:spacing w:before="0" w:after="0"/>
              <w:jc w:val="center"/>
              <w:rPr>
                <w:szCs w:val="20"/>
              </w:rPr>
            </w:pPr>
            <w:r w:rsidRPr="00A35954">
              <w:rPr>
                <w:bCs/>
                <w:szCs w:val="20"/>
              </w:rPr>
              <w:t>11.1990</w:t>
            </w:r>
          </w:p>
        </w:tc>
        <w:tc>
          <w:tcPr>
            <w:tcW w:w="1274" w:type="pct"/>
            <w:tcBorders>
              <w:top w:val="single" w:sz="4" w:space="0" w:color="auto"/>
            </w:tcBorders>
            <w:vAlign w:val="center"/>
          </w:tcPr>
          <w:p w14:paraId="7D4F6BDF" w14:textId="77777777" w:rsidR="001B5028" w:rsidRPr="00A35954" w:rsidRDefault="001B5028" w:rsidP="001B5028">
            <w:pPr>
              <w:pStyle w:val="TableText0"/>
              <w:widowControl w:val="0"/>
              <w:spacing w:before="0" w:after="0"/>
              <w:jc w:val="center"/>
              <w:rPr>
                <w:szCs w:val="20"/>
              </w:rPr>
            </w:pPr>
            <w:r w:rsidRPr="00A35954">
              <w:rPr>
                <w:szCs w:val="20"/>
              </w:rPr>
              <w:t>8.5639</w:t>
            </w:r>
          </w:p>
        </w:tc>
        <w:tc>
          <w:tcPr>
            <w:tcW w:w="838" w:type="pct"/>
            <w:tcBorders>
              <w:top w:val="single" w:sz="4" w:space="0" w:color="auto"/>
            </w:tcBorders>
            <w:vAlign w:val="center"/>
          </w:tcPr>
          <w:p w14:paraId="6AEA5035" w14:textId="77777777" w:rsidR="001B5028" w:rsidRPr="00A35954" w:rsidRDefault="001B5028" w:rsidP="001B5028">
            <w:pPr>
              <w:pStyle w:val="TableText0"/>
              <w:widowControl w:val="0"/>
              <w:spacing w:before="0" w:after="0"/>
              <w:jc w:val="center"/>
              <w:rPr>
                <w:szCs w:val="20"/>
              </w:rPr>
            </w:pPr>
            <w:r w:rsidRPr="00A35954">
              <w:rPr>
                <w:bCs/>
                <w:szCs w:val="20"/>
              </w:rPr>
              <w:t>2.6351</w:t>
            </w:r>
          </w:p>
        </w:tc>
      </w:tr>
      <w:tr w:rsidR="001B5028" w:rsidRPr="00A35954" w14:paraId="3BAD0E37" w14:textId="77777777" w:rsidTr="001B5028">
        <w:tc>
          <w:tcPr>
            <w:tcW w:w="4162" w:type="pct"/>
            <w:gridSpan w:val="3"/>
            <w:tcBorders>
              <w:bottom w:val="single" w:sz="4" w:space="0" w:color="auto"/>
            </w:tcBorders>
            <w:vAlign w:val="center"/>
          </w:tcPr>
          <w:p w14:paraId="28A06442" w14:textId="77777777" w:rsidR="001B5028" w:rsidRPr="00A35954" w:rsidRDefault="001B5028" w:rsidP="001B5028">
            <w:pPr>
              <w:pStyle w:val="TableText0"/>
              <w:widowControl w:val="0"/>
              <w:spacing w:before="0" w:after="0"/>
              <w:jc w:val="right"/>
              <w:rPr>
                <w:szCs w:val="20"/>
              </w:rPr>
            </w:pPr>
            <w:r w:rsidRPr="00A35954">
              <w:rPr>
                <w:szCs w:val="20"/>
              </w:rPr>
              <w:t>Incremental cost/extra life year gained</w:t>
            </w:r>
          </w:p>
        </w:tc>
        <w:tc>
          <w:tcPr>
            <w:tcW w:w="838" w:type="pct"/>
            <w:tcBorders>
              <w:bottom w:val="single" w:sz="4" w:space="0" w:color="auto"/>
            </w:tcBorders>
            <w:vAlign w:val="center"/>
          </w:tcPr>
          <w:p w14:paraId="2C3300A9" w14:textId="1DCD1B73" w:rsidR="001B5028" w:rsidRPr="00A35954" w:rsidRDefault="001B5028" w:rsidP="00864F79">
            <w:pPr>
              <w:pStyle w:val="TableText0"/>
              <w:widowControl w:val="0"/>
              <w:spacing w:before="0" w:after="0"/>
              <w:jc w:val="center"/>
              <w:rPr>
                <w:szCs w:val="20"/>
              </w:rPr>
            </w:pPr>
            <w:r w:rsidRPr="00A35954">
              <w:rPr>
                <w:bCs/>
                <w:szCs w:val="20"/>
              </w:rPr>
              <w:t>$</w:t>
            </w:r>
            <w:r w:rsidR="00864F79" w:rsidRPr="00A35954">
              <w:rPr>
                <w:bCs/>
                <w:szCs w:val="20"/>
              </w:rPr>
              <w:t>redacted</w:t>
            </w:r>
          </w:p>
        </w:tc>
      </w:tr>
      <w:tr w:rsidR="001B5028" w:rsidRPr="00A35954" w14:paraId="0EF049E8" w14:textId="77777777" w:rsidTr="001B5028">
        <w:tc>
          <w:tcPr>
            <w:tcW w:w="4162" w:type="pct"/>
            <w:gridSpan w:val="3"/>
            <w:tcBorders>
              <w:top w:val="single" w:sz="4" w:space="0" w:color="auto"/>
            </w:tcBorders>
            <w:vAlign w:val="center"/>
          </w:tcPr>
          <w:p w14:paraId="79071E02" w14:textId="77777777" w:rsidR="001B5028" w:rsidRPr="00A35954" w:rsidRDefault="001B5028" w:rsidP="001B5028">
            <w:pPr>
              <w:pStyle w:val="TableText0"/>
              <w:widowControl w:val="0"/>
              <w:spacing w:before="0" w:after="0"/>
              <w:jc w:val="right"/>
              <w:rPr>
                <w:rFonts w:ascii="Times" w:hAnsi="Times"/>
                <w:szCs w:val="20"/>
              </w:rPr>
            </w:pPr>
            <w:r w:rsidRPr="00A35954">
              <w:rPr>
                <w:szCs w:val="20"/>
              </w:rPr>
              <w:t>Incremental cost/extra QALY gained</w:t>
            </w:r>
          </w:p>
        </w:tc>
        <w:tc>
          <w:tcPr>
            <w:tcW w:w="838" w:type="pct"/>
            <w:tcBorders>
              <w:top w:val="single" w:sz="4" w:space="0" w:color="auto"/>
            </w:tcBorders>
            <w:vAlign w:val="center"/>
          </w:tcPr>
          <w:p w14:paraId="21171E40" w14:textId="3D02BD1C" w:rsidR="001B5028" w:rsidRPr="00A35954" w:rsidRDefault="001B5028" w:rsidP="00864F79">
            <w:pPr>
              <w:pStyle w:val="TableText0"/>
              <w:widowControl w:val="0"/>
              <w:spacing w:before="0" w:after="0"/>
              <w:jc w:val="center"/>
              <w:rPr>
                <w:rFonts w:ascii="Times" w:hAnsi="Times"/>
                <w:b/>
                <w:szCs w:val="20"/>
              </w:rPr>
            </w:pPr>
            <w:r w:rsidRPr="00A35954">
              <w:rPr>
                <w:bCs/>
                <w:szCs w:val="20"/>
              </w:rPr>
              <w:t>$</w:t>
            </w:r>
            <w:r w:rsidR="00864F79" w:rsidRPr="00A35954">
              <w:rPr>
                <w:bCs/>
                <w:szCs w:val="20"/>
              </w:rPr>
              <w:t>redacted</w:t>
            </w:r>
          </w:p>
        </w:tc>
      </w:tr>
    </w:tbl>
    <w:p w14:paraId="334FF5CA" w14:textId="672BF7B5" w:rsidR="001B5028" w:rsidRPr="00A35954" w:rsidRDefault="001B5028" w:rsidP="001B5028">
      <w:pPr>
        <w:pStyle w:val="TableFooter"/>
      </w:pPr>
      <w:r w:rsidRPr="00A35954">
        <w:t xml:space="preserve">Source: </w:t>
      </w:r>
      <w:r w:rsidR="009D2F49" w:rsidRPr="00A35954">
        <w:t>Table 9, p</w:t>
      </w:r>
      <w:r w:rsidR="00D44AA4" w:rsidRPr="00A35954">
        <w:t>12 of the Departmental Overview</w:t>
      </w:r>
    </w:p>
    <w:p w14:paraId="0D619889" w14:textId="4E0A3075" w:rsidR="001B5028" w:rsidRPr="00A35954" w:rsidRDefault="001B5028" w:rsidP="005B07D9">
      <w:pPr>
        <w:spacing w:before="120"/>
      </w:pPr>
      <w:r w:rsidRPr="00A35954">
        <w:t xml:space="preserve">A summary of the disaggregated costs </w:t>
      </w:r>
      <w:r w:rsidR="00160DFF" w:rsidRPr="00A35954">
        <w:t xml:space="preserve">from the model in the submission </w:t>
      </w:r>
      <w:proofErr w:type="gramStart"/>
      <w:r w:rsidRPr="00A35954">
        <w:t>is provided</w:t>
      </w:r>
      <w:proofErr w:type="gramEnd"/>
      <w:r w:rsidRPr="00A35954">
        <w:t xml:space="preserve"> in</w:t>
      </w:r>
      <w:r w:rsidR="00991D81">
        <w:rPr>
          <w:szCs w:val="24"/>
        </w:rPr>
        <w:t xml:space="preserve"> Table 13</w:t>
      </w:r>
      <w:r w:rsidR="001F2235" w:rsidRPr="00A35954">
        <w:t>.</w:t>
      </w:r>
    </w:p>
    <w:p w14:paraId="742579D6" w14:textId="3BA7619F" w:rsidR="001B5028" w:rsidRPr="00A35954" w:rsidRDefault="001B5028" w:rsidP="00F7098F">
      <w:pPr>
        <w:spacing w:before="240"/>
        <w:rPr>
          <w:rFonts w:ascii="Arial Narrow" w:eastAsiaTheme="majorEastAsia" w:hAnsi="Arial Narrow"/>
          <w:b/>
          <w:sz w:val="20"/>
        </w:rPr>
      </w:pPr>
      <w:bookmarkStart w:id="20" w:name="_Ref39846415"/>
      <w:r w:rsidRPr="00A35954">
        <w:rPr>
          <w:rFonts w:ascii="Arial Narrow" w:eastAsiaTheme="majorEastAsia" w:hAnsi="Arial Narrow"/>
          <w:b/>
          <w:sz w:val="20"/>
        </w:rPr>
        <w:t xml:space="preserve">Table </w:t>
      </w:r>
      <w:r w:rsidRPr="00A35954">
        <w:rPr>
          <w:rFonts w:ascii="Arial Narrow" w:eastAsiaTheme="majorEastAsia" w:hAnsi="Arial Narrow"/>
          <w:b/>
          <w:sz w:val="20"/>
        </w:rPr>
        <w:fldChar w:fldCharType="begin"/>
      </w:r>
      <w:r w:rsidRPr="00A35954">
        <w:rPr>
          <w:rFonts w:ascii="Arial Narrow" w:eastAsiaTheme="majorEastAsia" w:hAnsi="Arial Narrow"/>
          <w:b/>
          <w:sz w:val="20"/>
        </w:rPr>
        <w:instrText xml:space="preserve"> SEQ Table \* ARABIC </w:instrText>
      </w:r>
      <w:r w:rsidRPr="00A35954">
        <w:rPr>
          <w:rFonts w:ascii="Arial Narrow" w:eastAsiaTheme="majorEastAsia" w:hAnsi="Arial Narrow"/>
          <w:b/>
          <w:sz w:val="20"/>
        </w:rPr>
        <w:fldChar w:fldCharType="separate"/>
      </w:r>
      <w:r w:rsidR="00991D81">
        <w:rPr>
          <w:rFonts w:ascii="Arial Narrow" w:eastAsiaTheme="majorEastAsia" w:hAnsi="Arial Narrow"/>
          <w:b/>
          <w:noProof/>
          <w:sz w:val="20"/>
        </w:rPr>
        <w:t>13</w:t>
      </w:r>
      <w:r w:rsidRPr="00A35954">
        <w:rPr>
          <w:rFonts w:ascii="Arial Narrow" w:eastAsiaTheme="majorEastAsia" w:hAnsi="Arial Narrow"/>
          <w:b/>
          <w:sz w:val="20"/>
        </w:rPr>
        <w:fldChar w:fldCharType="end"/>
      </w:r>
      <w:bookmarkEnd w:id="20"/>
      <w:r w:rsidRPr="00A35954">
        <w:rPr>
          <w:rFonts w:ascii="Arial Narrow" w:eastAsiaTheme="majorEastAsia" w:hAnsi="Arial Narrow"/>
          <w:b/>
          <w:sz w:val="20"/>
        </w:rPr>
        <w:t xml:space="preserve"> </w:t>
      </w:r>
      <w:r w:rsidRPr="00A35954">
        <w:rPr>
          <w:rFonts w:ascii="Arial Narrow" w:eastAsiaTheme="majorEastAsia" w:hAnsi="Arial Narrow"/>
          <w:b/>
          <w:sz w:val="20"/>
        </w:rPr>
        <w:tab/>
        <w:t xml:space="preserve">Health care resource items: disaggregated summary of cost impacts </w:t>
      </w:r>
    </w:p>
    <w:tbl>
      <w:tblPr>
        <w:tblStyle w:val="TableGrid"/>
        <w:tblW w:w="5000" w:type="pct"/>
        <w:tblLook w:val="04A0" w:firstRow="1" w:lastRow="0" w:firstColumn="1" w:lastColumn="0" w:noHBand="0" w:noVBand="1"/>
        <w:tblDescription w:val="Health care resource items: disaggregated summary of cost impacts "/>
      </w:tblPr>
      <w:tblGrid>
        <w:gridCol w:w="3680"/>
        <w:gridCol w:w="1778"/>
        <w:gridCol w:w="1780"/>
        <w:gridCol w:w="1778"/>
      </w:tblGrid>
      <w:tr w:rsidR="001B5028" w:rsidRPr="00A35954" w14:paraId="223B8A94" w14:textId="77777777" w:rsidTr="00625D9D">
        <w:trPr>
          <w:tblHeader/>
        </w:trPr>
        <w:tc>
          <w:tcPr>
            <w:tcW w:w="2041" w:type="pct"/>
            <w:tcBorders>
              <w:bottom w:val="single" w:sz="4" w:space="0" w:color="auto"/>
            </w:tcBorders>
          </w:tcPr>
          <w:p w14:paraId="5CBFFE2D" w14:textId="77777777" w:rsidR="001B5028" w:rsidRPr="00A35954" w:rsidRDefault="001B5028" w:rsidP="001B5028">
            <w:pPr>
              <w:pStyle w:val="In-tableHeading"/>
              <w:rPr>
                <w:lang w:val="en-AU"/>
              </w:rPr>
            </w:pPr>
            <w:r w:rsidRPr="00A35954">
              <w:rPr>
                <w:lang w:val="en-AU"/>
              </w:rPr>
              <w:t>Resource item</w:t>
            </w:r>
          </w:p>
        </w:tc>
        <w:tc>
          <w:tcPr>
            <w:tcW w:w="986" w:type="pct"/>
            <w:tcBorders>
              <w:bottom w:val="single" w:sz="4" w:space="0" w:color="auto"/>
            </w:tcBorders>
          </w:tcPr>
          <w:p w14:paraId="4C86F2DE" w14:textId="77777777" w:rsidR="001B5028" w:rsidRPr="00A35954" w:rsidRDefault="001B5028" w:rsidP="001B5028">
            <w:pPr>
              <w:pStyle w:val="In-tableHeading"/>
              <w:jc w:val="center"/>
              <w:rPr>
                <w:lang w:val="en-AU"/>
              </w:rPr>
            </w:pPr>
            <w:r w:rsidRPr="00A35954">
              <w:rPr>
                <w:lang w:val="en-AU"/>
              </w:rPr>
              <w:t>DB cost</w:t>
            </w:r>
          </w:p>
        </w:tc>
        <w:tc>
          <w:tcPr>
            <w:tcW w:w="987" w:type="pct"/>
            <w:tcBorders>
              <w:bottom w:val="single" w:sz="4" w:space="0" w:color="auto"/>
            </w:tcBorders>
          </w:tcPr>
          <w:p w14:paraId="7020056A" w14:textId="77777777" w:rsidR="001B5028" w:rsidRPr="00A35954" w:rsidRDefault="001B5028" w:rsidP="001B5028">
            <w:pPr>
              <w:pStyle w:val="In-tableHeading"/>
              <w:jc w:val="center"/>
              <w:rPr>
                <w:lang w:val="en-AU"/>
              </w:rPr>
            </w:pPr>
            <w:r w:rsidRPr="00A35954">
              <w:rPr>
                <w:lang w:val="en-AU"/>
              </w:rPr>
              <w:t>RA cost</w:t>
            </w:r>
          </w:p>
        </w:tc>
        <w:tc>
          <w:tcPr>
            <w:tcW w:w="986" w:type="pct"/>
            <w:tcBorders>
              <w:bottom w:val="single" w:sz="4" w:space="0" w:color="auto"/>
            </w:tcBorders>
          </w:tcPr>
          <w:p w14:paraId="177C9A63" w14:textId="77777777" w:rsidR="001B5028" w:rsidRPr="00A35954" w:rsidRDefault="001B5028" w:rsidP="001B5028">
            <w:pPr>
              <w:pStyle w:val="In-tableHeading"/>
              <w:jc w:val="center"/>
              <w:rPr>
                <w:lang w:val="en-AU"/>
              </w:rPr>
            </w:pPr>
            <w:r w:rsidRPr="00A35954">
              <w:rPr>
                <w:lang w:val="en-AU"/>
              </w:rPr>
              <w:t>Incremental cost</w:t>
            </w:r>
          </w:p>
        </w:tc>
      </w:tr>
      <w:tr w:rsidR="00864F79" w:rsidRPr="00A35954" w14:paraId="7598C375" w14:textId="77777777" w:rsidTr="001F3808">
        <w:tc>
          <w:tcPr>
            <w:tcW w:w="2041" w:type="pct"/>
            <w:tcBorders>
              <w:bottom w:val="nil"/>
            </w:tcBorders>
          </w:tcPr>
          <w:p w14:paraId="61401599" w14:textId="77777777" w:rsidR="00864F79" w:rsidRPr="00A35954" w:rsidRDefault="00864F79" w:rsidP="00864F79">
            <w:pPr>
              <w:pStyle w:val="TableText0"/>
              <w:keepNext/>
              <w:spacing w:before="0" w:after="0"/>
              <w:ind w:left="164"/>
            </w:pPr>
            <w:r w:rsidRPr="00A35954">
              <w:t>Treatment costs</w:t>
            </w:r>
          </w:p>
        </w:tc>
        <w:tc>
          <w:tcPr>
            <w:tcW w:w="986" w:type="pct"/>
            <w:tcBorders>
              <w:bottom w:val="nil"/>
            </w:tcBorders>
            <w:shd w:val="clear" w:color="auto" w:fill="auto"/>
          </w:tcPr>
          <w:p w14:paraId="72897382" w14:textId="6AD55E26" w:rsidR="00864F79" w:rsidRPr="00A35954" w:rsidRDefault="00864F79" w:rsidP="00864F79">
            <w:pPr>
              <w:pStyle w:val="TableText0"/>
              <w:keepNext/>
              <w:spacing w:before="0" w:after="0"/>
              <w:jc w:val="center"/>
            </w:pPr>
            <w:r w:rsidRPr="00A35954">
              <w:t>$redacted</w:t>
            </w:r>
          </w:p>
        </w:tc>
        <w:tc>
          <w:tcPr>
            <w:tcW w:w="987" w:type="pct"/>
            <w:tcBorders>
              <w:bottom w:val="nil"/>
            </w:tcBorders>
          </w:tcPr>
          <w:p w14:paraId="1E2135C5" w14:textId="19D4B175" w:rsidR="00864F79" w:rsidRPr="00A35954" w:rsidRDefault="00864F79" w:rsidP="00864F79">
            <w:pPr>
              <w:pStyle w:val="TableText0"/>
              <w:keepNext/>
              <w:spacing w:before="0" w:after="0"/>
              <w:jc w:val="center"/>
            </w:pPr>
            <w:r w:rsidRPr="00A35954">
              <w:t>$redacted</w:t>
            </w:r>
          </w:p>
        </w:tc>
        <w:tc>
          <w:tcPr>
            <w:tcW w:w="986" w:type="pct"/>
            <w:tcBorders>
              <w:bottom w:val="nil"/>
            </w:tcBorders>
            <w:shd w:val="clear" w:color="auto" w:fill="auto"/>
          </w:tcPr>
          <w:p w14:paraId="7B187DA3" w14:textId="6CBA488C" w:rsidR="00864F79" w:rsidRPr="00A35954" w:rsidRDefault="00864F79" w:rsidP="00864F79">
            <w:pPr>
              <w:pStyle w:val="TableText0"/>
              <w:keepNext/>
              <w:spacing w:before="0" w:after="0"/>
              <w:jc w:val="center"/>
            </w:pPr>
            <w:r w:rsidRPr="00A35954">
              <w:t>$redacted</w:t>
            </w:r>
          </w:p>
        </w:tc>
      </w:tr>
      <w:tr w:rsidR="00864F79" w:rsidRPr="00A35954" w14:paraId="664225DC" w14:textId="77777777" w:rsidTr="001F3808">
        <w:tc>
          <w:tcPr>
            <w:tcW w:w="2041" w:type="pct"/>
            <w:tcBorders>
              <w:top w:val="nil"/>
              <w:bottom w:val="nil"/>
            </w:tcBorders>
          </w:tcPr>
          <w:p w14:paraId="008F596B" w14:textId="77777777" w:rsidR="00864F79" w:rsidRPr="00A35954" w:rsidRDefault="00864F79" w:rsidP="00864F79">
            <w:pPr>
              <w:pStyle w:val="TableText0"/>
              <w:keepNext/>
              <w:spacing w:before="0" w:after="0"/>
              <w:ind w:left="318"/>
              <w:rPr>
                <w:color w:val="262626" w:themeColor="text1" w:themeTint="D9"/>
              </w:rPr>
            </w:pPr>
            <w:r w:rsidRPr="00A35954">
              <w:rPr>
                <w:color w:val="262626" w:themeColor="text1" w:themeTint="D9"/>
              </w:rPr>
              <w:tab/>
              <w:t>DB</w:t>
            </w:r>
          </w:p>
        </w:tc>
        <w:tc>
          <w:tcPr>
            <w:tcW w:w="986" w:type="pct"/>
            <w:tcBorders>
              <w:top w:val="nil"/>
              <w:bottom w:val="nil"/>
            </w:tcBorders>
            <w:shd w:val="clear" w:color="auto" w:fill="auto"/>
          </w:tcPr>
          <w:p w14:paraId="1665FF5E" w14:textId="4D3A7338" w:rsidR="00864F79" w:rsidRPr="00A35954" w:rsidRDefault="00864F79" w:rsidP="00864F79">
            <w:pPr>
              <w:pStyle w:val="TableText0"/>
              <w:keepNext/>
              <w:spacing w:before="0" w:after="0"/>
              <w:jc w:val="center"/>
            </w:pPr>
            <w:r w:rsidRPr="00A35954">
              <w:t>$redacted</w:t>
            </w:r>
          </w:p>
        </w:tc>
        <w:tc>
          <w:tcPr>
            <w:tcW w:w="987" w:type="pct"/>
            <w:tcBorders>
              <w:top w:val="nil"/>
              <w:bottom w:val="nil"/>
            </w:tcBorders>
          </w:tcPr>
          <w:p w14:paraId="6202740B" w14:textId="573A3470" w:rsidR="00864F79" w:rsidRPr="00A35954" w:rsidRDefault="00864F79" w:rsidP="00864F79">
            <w:pPr>
              <w:pStyle w:val="TableText0"/>
              <w:keepNext/>
              <w:spacing w:before="0" w:after="0"/>
              <w:jc w:val="center"/>
            </w:pPr>
            <w:r w:rsidRPr="00A35954">
              <w:t>$redacted</w:t>
            </w:r>
          </w:p>
        </w:tc>
        <w:tc>
          <w:tcPr>
            <w:tcW w:w="986" w:type="pct"/>
            <w:tcBorders>
              <w:top w:val="nil"/>
              <w:bottom w:val="nil"/>
            </w:tcBorders>
            <w:shd w:val="clear" w:color="auto" w:fill="auto"/>
          </w:tcPr>
          <w:p w14:paraId="132AA680" w14:textId="693F5937" w:rsidR="00864F79" w:rsidRPr="00A35954" w:rsidRDefault="00864F79" w:rsidP="00864F79">
            <w:pPr>
              <w:pStyle w:val="TableText0"/>
              <w:keepNext/>
              <w:spacing w:before="0" w:after="0"/>
              <w:jc w:val="center"/>
            </w:pPr>
            <w:r w:rsidRPr="00A35954">
              <w:t>$redacted</w:t>
            </w:r>
          </w:p>
        </w:tc>
      </w:tr>
      <w:tr w:rsidR="00864F79" w:rsidRPr="00A35954" w14:paraId="0BDCAF15" w14:textId="77777777" w:rsidTr="00625D9D">
        <w:tc>
          <w:tcPr>
            <w:tcW w:w="2041" w:type="pct"/>
            <w:tcBorders>
              <w:top w:val="nil"/>
              <w:bottom w:val="nil"/>
            </w:tcBorders>
          </w:tcPr>
          <w:p w14:paraId="12B34CF4" w14:textId="77777777" w:rsidR="00864F79" w:rsidRPr="00A35954" w:rsidRDefault="00864F79" w:rsidP="00864F79">
            <w:pPr>
              <w:pStyle w:val="TableText0"/>
              <w:keepNext/>
              <w:spacing w:before="0" w:after="0"/>
              <w:ind w:left="318"/>
              <w:rPr>
                <w:color w:val="262626" w:themeColor="text1" w:themeTint="D9"/>
              </w:rPr>
            </w:pPr>
            <w:r w:rsidRPr="00A35954">
              <w:rPr>
                <w:color w:val="262626" w:themeColor="text1" w:themeTint="D9"/>
              </w:rPr>
              <w:tab/>
              <w:t>Administration &amp; hospitalisation</w:t>
            </w:r>
          </w:p>
        </w:tc>
        <w:tc>
          <w:tcPr>
            <w:tcW w:w="986" w:type="pct"/>
            <w:tcBorders>
              <w:top w:val="nil"/>
              <w:bottom w:val="nil"/>
            </w:tcBorders>
          </w:tcPr>
          <w:p w14:paraId="039BF2ED" w14:textId="1DDFA173" w:rsidR="00864F79" w:rsidRPr="00A35954" w:rsidRDefault="00864F79" w:rsidP="00864F79">
            <w:pPr>
              <w:pStyle w:val="TableText0"/>
              <w:keepNext/>
              <w:spacing w:before="0" w:after="0"/>
              <w:jc w:val="center"/>
            </w:pPr>
            <w:r w:rsidRPr="00A35954">
              <w:t>$redacted</w:t>
            </w:r>
          </w:p>
        </w:tc>
        <w:tc>
          <w:tcPr>
            <w:tcW w:w="987" w:type="pct"/>
            <w:tcBorders>
              <w:top w:val="nil"/>
              <w:bottom w:val="nil"/>
            </w:tcBorders>
          </w:tcPr>
          <w:p w14:paraId="10C3301D" w14:textId="211B9D01" w:rsidR="00864F79" w:rsidRPr="00A35954" w:rsidRDefault="00864F79" w:rsidP="00864F79">
            <w:pPr>
              <w:pStyle w:val="TableText0"/>
              <w:keepNext/>
              <w:spacing w:before="0" w:after="0"/>
              <w:jc w:val="center"/>
            </w:pPr>
            <w:r w:rsidRPr="00A35954">
              <w:t>$redacted</w:t>
            </w:r>
          </w:p>
        </w:tc>
        <w:tc>
          <w:tcPr>
            <w:tcW w:w="986" w:type="pct"/>
            <w:tcBorders>
              <w:top w:val="nil"/>
              <w:bottom w:val="nil"/>
            </w:tcBorders>
          </w:tcPr>
          <w:p w14:paraId="2B197CFD" w14:textId="52B60F3C" w:rsidR="00864F79" w:rsidRPr="00A35954" w:rsidRDefault="00864F79" w:rsidP="00864F79">
            <w:pPr>
              <w:pStyle w:val="TableText0"/>
              <w:keepNext/>
              <w:spacing w:before="0" w:after="0"/>
              <w:jc w:val="center"/>
            </w:pPr>
            <w:r w:rsidRPr="00A35954">
              <w:t>$redacted</w:t>
            </w:r>
          </w:p>
        </w:tc>
      </w:tr>
      <w:tr w:rsidR="00864F79" w:rsidRPr="00A35954" w14:paraId="27AF568C" w14:textId="77777777" w:rsidTr="00625D9D">
        <w:tc>
          <w:tcPr>
            <w:tcW w:w="2041" w:type="pct"/>
            <w:tcBorders>
              <w:top w:val="nil"/>
              <w:bottom w:val="nil"/>
            </w:tcBorders>
          </w:tcPr>
          <w:p w14:paraId="2C3582CF" w14:textId="77777777" w:rsidR="00864F79" w:rsidRPr="00A35954" w:rsidRDefault="00864F79" w:rsidP="00864F79">
            <w:pPr>
              <w:pStyle w:val="TableText0"/>
              <w:keepNext/>
              <w:spacing w:before="0" w:after="0"/>
              <w:ind w:left="318"/>
              <w:rPr>
                <w:color w:val="262626" w:themeColor="text1" w:themeTint="D9"/>
              </w:rPr>
            </w:pPr>
            <w:r w:rsidRPr="00A35954">
              <w:rPr>
                <w:color w:val="262626" w:themeColor="text1" w:themeTint="D9"/>
              </w:rPr>
              <w:tab/>
              <w:t>Retinoic acid</w:t>
            </w:r>
          </w:p>
        </w:tc>
        <w:tc>
          <w:tcPr>
            <w:tcW w:w="986" w:type="pct"/>
            <w:tcBorders>
              <w:top w:val="nil"/>
              <w:bottom w:val="nil"/>
            </w:tcBorders>
          </w:tcPr>
          <w:p w14:paraId="1BE8124C" w14:textId="2E55D3C6" w:rsidR="00864F79" w:rsidRPr="00A35954" w:rsidRDefault="00864F79" w:rsidP="00864F79">
            <w:pPr>
              <w:pStyle w:val="TableText0"/>
              <w:keepNext/>
              <w:spacing w:before="0" w:after="0"/>
              <w:jc w:val="center"/>
            </w:pPr>
            <w:r w:rsidRPr="00A35954">
              <w:t>$redacted</w:t>
            </w:r>
          </w:p>
        </w:tc>
        <w:tc>
          <w:tcPr>
            <w:tcW w:w="987" w:type="pct"/>
            <w:tcBorders>
              <w:top w:val="nil"/>
              <w:bottom w:val="nil"/>
            </w:tcBorders>
          </w:tcPr>
          <w:p w14:paraId="3112B1F2" w14:textId="00ED4800" w:rsidR="00864F79" w:rsidRPr="00A35954" w:rsidRDefault="00864F79" w:rsidP="00864F79">
            <w:pPr>
              <w:pStyle w:val="TableText0"/>
              <w:keepNext/>
              <w:spacing w:before="0" w:after="0"/>
              <w:jc w:val="center"/>
            </w:pPr>
            <w:r w:rsidRPr="00A35954">
              <w:t>$redacted</w:t>
            </w:r>
          </w:p>
        </w:tc>
        <w:tc>
          <w:tcPr>
            <w:tcW w:w="986" w:type="pct"/>
            <w:tcBorders>
              <w:top w:val="nil"/>
              <w:bottom w:val="nil"/>
            </w:tcBorders>
          </w:tcPr>
          <w:p w14:paraId="35415D91" w14:textId="32647F3D" w:rsidR="00864F79" w:rsidRPr="00A35954" w:rsidRDefault="00864F79" w:rsidP="00864F79">
            <w:pPr>
              <w:pStyle w:val="TableText0"/>
              <w:keepNext/>
              <w:spacing w:before="0" w:after="0"/>
              <w:jc w:val="center"/>
            </w:pPr>
            <w:r w:rsidRPr="00A35954">
              <w:t>$redacted</w:t>
            </w:r>
          </w:p>
        </w:tc>
      </w:tr>
      <w:tr w:rsidR="00864F79" w:rsidRPr="00A35954" w14:paraId="29F429E9" w14:textId="77777777" w:rsidTr="00625D9D">
        <w:tc>
          <w:tcPr>
            <w:tcW w:w="2041" w:type="pct"/>
            <w:tcBorders>
              <w:top w:val="nil"/>
              <w:bottom w:val="nil"/>
            </w:tcBorders>
          </w:tcPr>
          <w:p w14:paraId="0C980EA8" w14:textId="77777777" w:rsidR="00864F79" w:rsidRPr="00A35954" w:rsidRDefault="00864F79" w:rsidP="00864F79">
            <w:pPr>
              <w:pStyle w:val="TableText0"/>
              <w:keepNext/>
              <w:spacing w:before="0" w:after="0"/>
              <w:ind w:left="164"/>
              <w:rPr>
                <w:b/>
                <w:bCs/>
              </w:rPr>
            </w:pPr>
            <w:r w:rsidRPr="00A35954">
              <w:t>Concomitant medication</w:t>
            </w:r>
          </w:p>
        </w:tc>
        <w:tc>
          <w:tcPr>
            <w:tcW w:w="986" w:type="pct"/>
            <w:tcBorders>
              <w:top w:val="nil"/>
              <w:bottom w:val="nil"/>
            </w:tcBorders>
          </w:tcPr>
          <w:p w14:paraId="4076F5AF" w14:textId="0C833821" w:rsidR="00864F79" w:rsidRPr="00A35954" w:rsidRDefault="00864F79" w:rsidP="00864F79">
            <w:pPr>
              <w:pStyle w:val="TableText0"/>
              <w:keepNext/>
              <w:spacing w:before="0" w:after="0"/>
              <w:jc w:val="center"/>
            </w:pPr>
            <w:r w:rsidRPr="00A35954">
              <w:t>$redacted</w:t>
            </w:r>
          </w:p>
        </w:tc>
        <w:tc>
          <w:tcPr>
            <w:tcW w:w="987" w:type="pct"/>
            <w:tcBorders>
              <w:top w:val="nil"/>
              <w:bottom w:val="nil"/>
            </w:tcBorders>
          </w:tcPr>
          <w:p w14:paraId="2EBC0C53" w14:textId="3843E56B" w:rsidR="00864F79" w:rsidRPr="00A35954" w:rsidRDefault="00864F79" w:rsidP="00864F79">
            <w:pPr>
              <w:pStyle w:val="TableText0"/>
              <w:keepNext/>
              <w:spacing w:before="0" w:after="0"/>
              <w:jc w:val="center"/>
            </w:pPr>
            <w:r w:rsidRPr="00A35954">
              <w:t>$redacted</w:t>
            </w:r>
          </w:p>
        </w:tc>
        <w:tc>
          <w:tcPr>
            <w:tcW w:w="986" w:type="pct"/>
            <w:tcBorders>
              <w:top w:val="nil"/>
              <w:bottom w:val="nil"/>
            </w:tcBorders>
          </w:tcPr>
          <w:p w14:paraId="7F318625" w14:textId="288CF444" w:rsidR="00864F79" w:rsidRPr="00A35954" w:rsidRDefault="00864F79" w:rsidP="00864F79">
            <w:pPr>
              <w:pStyle w:val="TableText0"/>
              <w:keepNext/>
              <w:spacing w:before="0" w:after="0"/>
              <w:jc w:val="center"/>
            </w:pPr>
            <w:r w:rsidRPr="00A35954">
              <w:t>$redacted</w:t>
            </w:r>
          </w:p>
        </w:tc>
      </w:tr>
      <w:tr w:rsidR="00864F79" w:rsidRPr="00A35954" w14:paraId="44AE73ED" w14:textId="77777777" w:rsidTr="00625D9D">
        <w:tc>
          <w:tcPr>
            <w:tcW w:w="2041" w:type="pct"/>
            <w:tcBorders>
              <w:top w:val="nil"/>
              <w:bottom w:val="nil"/>
            </w:tcBorders>
          </w:tcPr>
          <w:p w14:paraId="16F89BD9" w14:textId="77777777" w:rsidR="00864F79" w:rsidRPr="00A35954" w:rsidRDefault="00864F79" w:rsidP="00864F79">
            <w:pPr>
              <w:pStyle w:val="TableText0"/>
              <w:keepNext/>
              <w:spacing w:before="0" w:after="0"/>
              <w:ind w:left="164"/>
              <w:rPr>
                <w:color w:val="808080" w:themeColor="background1" w:themeShade="80"/>
              </w:rPr>
            </w:pPr>
            <w:r w:rsidRPr="00A35954">
              <w:t>Management of adverse events</w:t>
            </w:r>
          </w:p>
        </w:tc>
        <w:tc>
          <w:tcPr>
            <w:tcW w:w="986" w:type="pct"/>
            <w:tcBorders>
              <w:top w:val="nil"/>
              <w:bottom w:val="nil"/>
            </w:tcBorders>
          </w:tcPr>
          <w:p w14:paraId="5A7FA341" w14:textId="14ECA8A4" w:rsidR="00864F79" w:rsidRPr="00A35954" w:rsidRDefault="00864F79" w:rsidP="00864F79">
            <w:pPr>
              <w:pStyle w:val="TableText0"/>
              <w:keepNext/>
              <w:spacing w:before="0" w:after="0"/>
              <w:jc w:val="center"/>
            </w:pPr>
            <w:r w:rsidRPr="00A35954">
              <w:t>$redacted</w:t>
            </w:r>
          </w:p>
        </w:tc>
        <w:tc>
          <w:tcPr>
            <w:tcW w:w="987" w:type="pct"/>
            <w:tcBorders>
              <w:top w:val="nil"/>
              <w:bottom w:val="nil"/>
            </w:tcBorders>
          </w:tcPr>
          <w:p w14:paraId="6DA6E321" w14:textId="1F8EADEF" w:rsidR="00864F79" w:rsidRPr="00A35954" w:rsidRDefault="00864F79" w:rsidP="00864F79">
            <w:pPr>
              <w:pStyle w:val="TableText0"/>
              <w:keepNext/>
              <w:spacing w:before="0" w:after="0"/>
              <w:jc w:val="center"/>
            </w:pPr>
            <w:r w:rsidRPr="00A35954">
              <w:t>$redacted</w:t>
            </w:r>
          </w:p>
        </w:tc>
        <w:tc>
          <w:tcPr>
            <w:tcW w:w="986" w:type="pct"/>
            <w:tcBorders>
              <w:top w:val="nil"/>
              <w:bottom w:val="nil"/>
            </w:tcBorders>
          </w:tcPr>
          <w:p w14:paraId="3664661F" w14:textId="12646172" w:rsidR="00864F79" w:rsidRPr="00A35954" w:rsidRDefault="00864F79" w:rsidP="00864F79">
            <w:pPr>
              <w:pStyle w:val="TableText0"/>
              <w:keepNext/>
              <w:spacing w:before="0" w:after="0"/>
              <w:jc w:val="center"/>
            </w:pPr>
            <w:r w:rsidRPr="00A35954">
              <w:t>$redacted</w:t>
            </w:r>
          </w:p>
        </w:tc>
      </w:tr>
      <w:tr w:rsidR="00864F79" w:rsidRPr="00A35954" w14:paraId="0C4E4768" w14:textId="77777777" w:rsidTr="00625D9D">
        <w:tc>
          <w:tcPr>
            <w:tcW w:w="2041" w:type="pct"/>
            <w:tcBorders>
              <w:top w:val="nil"/>
              <w:bottom w:val="nil"/>
            </w:tcBorders>
          </w:tcPr>
          <w:p w14:paraId="73A21B91" w14:textId="77777777" w:rsidR="00864F79" w:rsidRPr="00A35954" w:rsidRDefault="00864F79" w:rsidP="00864F79">
            <w:pPr>
              <w:pStyle w:val="TableText0"/>
              <w:keepNext/>
              <w:spacing w:before="0" w:after="0"/>
              <w:ind w:left="164"/>
            </w:pPr>
            <w:r w:rsidRPr="00A35954">
              <w:t>Monitoring</w:t>
            </w:r>
          </w:p>
        </w:tc>
        <w:tc>
          <w:tcPr>
            <w:tcW w:w="986" w:type="pct"/>
            <w:tcBorders>
              <w:top w:val="nil"/>
              <w:bottom w:val="nil"/>
            </w:tcBorders>
          </w:tcPr>
          <w:p w14:paraId="2D088D07" w14:textId="681A442F" w:rsidR="00864F79" w:rsidRPr="00A35954" w:rsidRDefault="00864F79" w:rsidP="00864F79">
            <w:pPr>
              <w:pStyle w:val="TableText0"/>
              <w:keepNext/>
              <w:spacing w:before="0" w:after="0"/>
              <w:jc w:val="center"/>
            </w:pPr>
            <w:r w:rsidRPr="00A35954">
              <w:t>$redacted</w:t>
            </w:r>
          </w:p>
        </w:tc>
        <w:tc>
          <w:tcPr>
            <w:tcW w:w="987" w:type="pct"/>
            <w:tcBorders>
              <w:top w:val="nil"/>
              <w:bottom w:val="nil"/>
            </w:tcBorders>
          </w:tcPr>
          <w:p w14:paraId="3C17090E" w14:textId="4A7758EE" w:rsidR="00864F79" w:rsidRPr="00A35954" w:rsidRDefault="00864F79" w:rsidP="00864F79">
            <w:pPr>
              <w:pStyle w:val="TableText0"/>
              <w:keepNext/>
              <w:spacing w:before="0" w:after="0"/>
              <w:jc w:val="center"/>
            </w:pPr>
            <w:r w:rsidRPr="00A35954">
              <w:t>$redacted</w:t>
            </w:r>
          </w:p>
        </w:tc>
        <w:tc>
          <w:tcPr>
            <w:tcW w:w="986" w:type="pct"/>
            <w:tcBorders>
              <w:top w:val="nil"/>
              <w:bottom w:val="nil"/>
            </w:tcBorders>
          </w:tcPr>
          <w:p w14:paraId="5AC32AD0" w14:textId="3CB5A373" w:rsidR="00864F79" w:rsidRPr="00A35954" w:rsidRDefault="00864F79" w:rsidP="00864F79">
            <w:pPr>
              <w:pStyle w:val="TableText0"/>
              <w:keepNext/>
              <w:spacing w:before="0" w:after="0"/>
              <w:jc w:val="center"/>
            </w:pPr>
            <w:r w:rsidRPr="00A35954">
              <w:t>$redacted</w:t>
            </w:r>
          </w:p>
        </w:tc>
      </w:tr>
      <w:tr w:rsidR="00864F79" w:rsidRPr="00A35954" w14:paraId="6D45B35C" w14:textId="77777777" w:rsidTr="00625D9D">
        <w:tc>
          <w:tcPr>
            <w:tcW w:w="2041" w:type="pct"/>
            <w:tcBorders>
              <w:top w:val="nil"/>
              <w:bottom w:val="nil"/>
            </w:tcBorders>
          </w:tcPr>
          <w:p w14:paraId="32160C17" w14:textId="77777777" w:rsidR="00864F79" w:rsidRPr="00A35954" w:rsidRDefault="00864F79" w:rsidP="00864F79">
            <w:pPr>
              <w:pStyle w:val="TableText0"/>
              <w:keepNext/>
              <w:spacing w:before="0" w:after="0"/>
              <w:ind w:left="164"/>
            </w:pPr>
            <w:r w:rsidRPr="00A35954">
              <w:t>Stable health state</w:t>
            </w:r>
          </w:p>
        </w:tc>
        <w:tc>
          <w:tcPr>
            <w:tcW w:w="986" w:type="pct"/>
            <w:tcBorders>
              <w:top w:val="nil"/>
              <w:bottom w:val="nil"/>
            </w:tcBorders>
          </w:tcPr>
          <w:p w14:paraId="12DAA7BF" w14:textId="4A3328CE" w:rsidR="00864F79" w:rsidRPr="00A35954" w:rsidRDefault="00864F79" w:rsidP="00864F79">
            <w:pPr>
              <w:pStyle w:val="TableText0"/>
              <w:keepNext/>
              <w:spacing w:before="0" w:after="0"/>
              <w:jc w:val="center"/>
            </w:pPr>
            <w:r w:rsidRPr="00A35954">
              <w:t>$redacted</w:t>
            </w:r>
          </w:p>
        </w:tc>
        <w:tc>
          <w:tcPr>
            <w:tcW w:w="987" w:type="pct"/>
            <w:tcBorders>
              <w:top w:val="nil"/>
              <w:bottom w:val="nil"/>
            </w:tcBorders>
          </w:tcPr>
          <w:p w14:paraId="6962189C" w14:textId="14676E9F" w:rsidR="00864F79" w:rsidRPr="00A35954" w:rsidRDefault="00864F79" w:rsidP="00864F79">
            <w:pPr>
              <w:pStyle w:val="TableText0"/>
              <w:keepNext/>
              <w:spacing w:before="0" w:after="0"/>
              <w:jc w:val="center"/>
            </w:pPr>
            <w:r w:rsidRPr="00A35954">
              <w:t>$redacted</w:t>
            </w:r>
          </w:p>
        </w:tc>
        <w:tc>
          <w:tcPr>
            <w:tcW w:w="986" w:type="pct"/>
            <w:tcBorders>
              <w:top w:val="nil"/>
              <w:bottom w:val="nil"/>
            </w:tcBorders>
          </w:tcPr>
          <w:p w14:paraId="73570AC9" w14:textId="1B3E5640" w:rsidR="00864F79" w:rsidRPr="00A35954" w:rsidRDefault="00864F79" w:rsidP="00864F79">
            <w:pPr>
              <w:pStyle w:val="TableText0"/>
              <w:keepNext/>
              <w:spacing w:before="0" w:after="0"/>
              <w:jc w:val="center"/>
            </w:pPr>
            <w:r w:rsidRPr="00A35954">
              <w:t>$redacted</w:t>
            </w:r>
          </w:p>
        </w:tc>
      </w:tr>
      <w:tr w:rsidR="00864F79" w:rsidRPr="00A35954" w14:paraId="4D3B5806" w14:textId="77777777" w:rsidTr="00625D9D">
        <w:tc>
          <w:tcPr>
            <w:tcW w:w="2041" w:type="pct"/>
            <w:tcBorders>
              <w:top w:val="nil"/>
              <w:bottom w:val="nil"/>
            </w:tcBorders>
          </w:tcPr>
          <w:p w14:paraId="25FEB175" w14:textId="77777777" w:rsidR="00864F79" w:rsidRPr="00A35954" w:rsidRDefault="00864F79" w:rsidP="00864F79">
            <w:pPr>
              <w:pStyle w:val="TableText0"/>
              <w:keepNext/>
              <w:spacing w:before="0" w:after="0"/>
              <w:ind w:left="164"/>
            </w:pPr>
            <w:r w:rsidRPr="00A35954">
              <w:t>Failure health state</w:t>
            </w:r>
          </w:p>
        </w:tc>
        <w:tc>
          <w:tcPr>
            <w:tcW w:w="986" w:type="pct"/>
            <w:tcBorders>
              <w:top w:val="nil"/>
              <w:bottom w:val="nil"/>
            </w:tcBorders>
          </w:tcPr>
          <w:p w14:paraId="36EA91AC" w14:textId="336A0904" w:rsidR="00864F79" w:rsidRPr="00A35954" w:rsidRDefault="00864F79" w:rsidP="00864F79">
            <w:pPr>
              <w:pStyle w:val="TableText0"/>
              <w:keepNext/>
              <w:spacing w:before="0" w:after="0"/>
              <w:jc w:val="center"/>
              <w:rPr>
                <w:iCs/>
              </w:rPr>
            </w:pPr>
            <w:r w:rsidRPr="00A35954">
              <w:t>$redacted</w:t>
            </w:r>
          </w:p>
        </w:tc>
        <w:tc>
          <w:tcPr>
            <w:tcW w:w="987" w:type="pct"/>
            <w:tcBorders>
              <w:top w:val="nil"/>
              <w:bottom w:val="nil"/>
            </w:tcBorders>
          </w:tcPr>
          <w:p w14:paraId="5FE347DA" w14:textId="4883BE55" w:rsidR="00864F79" w:rsidRPr="00A35954" w:rsidRDefault="00864F79" w:rsidP="00864F79">
            <w:pPr>
              <w:pStyle w:val="TableText0"/>
              <w:keepNext/>
              <w:spacing w:before="0" w:after="0"/>
              <w:jc w:val="center"/>
              <w:rPr>
                <w:iCs/>
              </w:rPr>
            </w:pPr>
            <w:r w:rsidRPr="00A35954">
              <w:t>$redacted</w:t>
            </w:r>
          </w:p>
        </w:tc>
        <w:tc>
          <w:tcPr>
            <w:tcW w:w="986" w:type="pct"/>
            <w:tcBorders>
              <w:top w:val="nil"/>
              <w:bottom w:val="nil"/>
            </w:tcBorders>
          </w:tcPr>
          <w:p w14:paraId="2D486444" w14:textId="11BBA593" w:rsidR="00864F79" w:rsidRPr="00A35954" w:rsidRDefault="00864F79" w:rsidP="00864F79">
            <w:pPr>
              <w:pStyle w:val="TableText0"/>
              <w:keepNext/>
              <w:spacing w:before="0" w:after="0"/>
              <w:jc w:val="center"/>
              <w:rPr>
                <w:iCs/>
              </w:rPr>
            </w:pPr>
            <w:r w:rsidRPr="00A35954">
              <w:t>$redacted</w:t>
            </w:r>
          </w:p>
        </w:tc>
      </w:tr>
      <w:tr w:rsidR="00864F79" w:rsidRPr="00A35954" w14:paraId="4606A69C" w14:textId="77777777" w:rsidTr="00625D9D">
        <w:tc>
          <w:tcPr>
            <w:tcW w:w="2041" w:type="pct"/>
            <w:tcBorders>
              <w:top w:val="nil"/>
            </w:tcBorders>
          </w:tcPr>
          <w:p w14:paraId="78ACB76B" w14:textId="77777777" w:rsidR="00864F79" w:rsidRPr="00A35954" w:rsidRDefault="00864F79" w:rsidP="00864F79">
            <w:pPr>
              <w:pStyle w:val="TableText0"/>
              <w:keepNext/>
              <w:spacing w:before="0" w:after="0"/>
              <w:ind w:left="164"/>
            </w:pPr>
            <w:r w:rsidRPr="00A35954">
              <w:t>Dead health state (end of life costs)</w:t>
            </w:r>
          </w:p>
        </w:tc>
        <w:tc>
          <w:tcPr>
            <w:tcW w:w="986" w:type="pct"/>
            <w:tcBorders>
              <w:top w:val="nil"/>
            </w:tcBorders>
          </w:tcPr>
          <w:p w14:paraId="15056A87" w14:textId="1BFA763E" w:rsidR="00864F79" w:rsidRPr="00A35954" w:rsidRDefault="00864F79" w:rsidP="00864F79">
            <w:pPr>
              <w:pStyle w:val="TableText0"/>
              <w:keepNext/>
              <w:spacing w:before="0" w:after="0"/>
              <w:jc w:val="center"/>
              <w:rPr>
                <w:bCs/>
                <w:iCs/>
              </w:rPr>
            </w:pPr>
            <w:r w:rsidRPr="00A35954">
              <w:t>$redacted</w:t>
            </w:r>
          </w:p>
        </w:tc>
        <w:tc>
          <w:tcPr>
            <w:tcW w:w="987" w:type="pct"/>
            <w:tcBorders>
              <w:top w:val="nil"/>
            </w:tcBorders>
          </w:tcPr>
          <w:p w14:paraId="0BD46AD4" w14:textId="3C20CC89" w:rsidR="00864F79" w:rsidRPr="00A35954" w:rsidRDefault="00864F79" w:rsidP="00864F79">
            <w:pPr>
              <w:pStyle w:val="TableText0"/>
              <w:keepNext/>
              <w:spacing w:before="0" w:after="0"/>
              <w:jc w:val="center"/>
              <w:rPr>
                <w:bCs/>
              </w:rPr>
            </w:pPr>
            <w:r w:rsidRPr="00A35954">
              <w:t>$redacted</w:t>
            </w:r>
          </w:p>
        </w:tc>
        <w:tc>
          <w:tcPr>
            <w:tcW w:w="986" w:type="pct"/>
            <w:tcBorders>
              <w:top w:val="nil"/>
              <w:bottom w:val="single" w:sz="4" w:space="0" w:color="auto"/>
            </w:tcBorders>
          </w:tcPr>
          <w:p w14:paraId="6F12F9D1" w14:textId="3415E293" w:rsidR="00864F79" w:rsidRPr="00A35954" w:rsidRDefault="00864F79" w:rsidP="00864F79">
            <w:pPr>
              <w:pStyle w:val="TableText0"/>
              <w:keepNext/>
              <w:spacing w:before="0" w:after="0"/>
              <w:jc w:val="center"/>
              <w:rPr>
                <w:bCs/>
              </w:rPr>
            </w:pPr>
            <w:r w:rsidRPr="00A35954">
              <w:t>$redacted</w:t>
            </w:r>
          </w:p>
        </w:tc>
      </w:tr>
      <w:tr w:rsidR="00864F79" w:rsidRPr="00A35954" w14:paraId="2E8FF488" w14:textId="77777777" w:rsidTr="001F3808">
        <w:tc>
          <w:tcPr>
            <w:tcW w:w="2041" w:type="pct"/>
          </w:tcPr>
          <w:p w14:paraId="083286DE" w14:textId="77777777" w:rsidR="00864F79" w:rsidRPr="00A35954" w:rsidRDefault="00864F79" w:rsidP="00864F79">
            <w:pPr>
              <w:pStyle w:val="TableText0"/>
              <w:keepNext/>
              <w:spacing w:before="0" w:after="0"/>
              <w:rPr>
                <w:b/>
                <w:bCs/>
              </w:rPr>
            </w:pPr>
            <w:r w:rsidRPr="00A35954">
              <w:rPr>
                <w:b/>
              </w:rPr>
              <w:t>Total costs</w:t>
            </w:r>
          </w:p>
        </w:tc>
        <w:tc>
          <w:tcPr>
            <w:tcW w:w="986" w:type="pct"/>
            <w:shd w:val="clear" w:color="auto" w:fill="auto"/>
          </w:tcPr>
          <w:p w14:paraId="156C9E1C" w14:textId="25F236B7" w:rsidR="00864F79" w:rsidRPr="00A35954" w:rsidRDefault="00864F79" w:rsidP="00864F79">
            <w:pPr>
              <w:pStyle w:val="TableText0"/>
              <w:keepNext/>
              <w:spacing w:before="0" w:after="0"/>
              <w:jc w:val="center"/>
              <w:rPr>
                <w:b/>
                <w:bCs/>
              </w:rPr>
            </w:pPr>
            <w:r w:rsidRPr="00A35954">
              <w:t>$redacted</w:t>
            </w:r>
          </w:p>
        </w:tc>
        <w:tc>
          <w:tcPr>
            <w:tcW w:w="987" w:type="pct"/>
          </w:tcPr>
          <w:p w14:paraId="02FA5924" w14:textId="2403B11E" w:rsidR="00864F79" w:rsidRPr="00A35954" w:rsidRDefault="00864F79" w:rsidP="00864F79">
            <w:pPr>
              <w:pStyle w:val="TableText0"/>
              <w:keepNext/>
              <w:spacing w:before="0" w:after="0"/>
              <w:jc w:val="center"/>
              <w:rPr>
                <w:b/>
                <w:bCs/>
              </w:rPr>
            </w:pPr>
            <w:r w:rsidRPr="00A35954">
              <w:t>$redacted</w:t>
            </w:r>
          </w:p>
        </w:tc>
        <w:tc>
          <w:tcPr>
            <w:tcW w:w="986" w:type="pct"/>
            <w:tcBorders>
              <w:top w:val="single" w:sz="4" w:space="0" w:color="auto"/>
            </w:tcBorders>
            <w:shd w:val="clear" w:color="auto" w:fill="auto"/>
          </w:tcPr>
          <w:p w14:paraId="593A59B2" w14:textId="65AAD925" w:rsidR="00864F79" w:rsidRPr="00A35954" w:rsidRDefault="00864F79" w:rsidP="00864F79">
            <w:pPr>
              <w:pStyle w:val="TableText0"/>
              <w:keepNext/>
              <w:spacing w:before="0" w:after="0"/>
              <w:jc w:val="center"/>
              <w:rPr>
                <w:b/>
                <w:bCs/>
              </w:rPr>
            </w:pPr>
            <w:r w:rsidRPr="00A35954">
              <w:t>$redacted</w:t>
            </w:r>
          </w:p>
        </w:tc>
      </w:tr>
    </w:tbl>
    <w:p w14:paraId="4765C1F0" w14:textId="28F4478F" w:rsidR="001B5028" w:rsidRDefault="001B5028" w:rsidP="001F2235">
      <w:pPr>
        <w:pStyle w:val="TableFooter"/>
      </w:pPr>
      <w:r w:rsidRPr="00A35954">
        <w:t xml:space="preserve">Source: </w:t>
      </w:r>
      <w:r w:rsidR="009D2F49" w:rsidRPr="00A35954">
        <w:t>Table 10, p</w:t>
      </w:r>
      <w:r w:rsidR="00B202D3" w:rsidRPr="00A35954">
        <w:t>13 of the Departmental Overview</w:t>
      </w:r>
    </w:p>
    <w:p w14:paraId="25CDED47" w14:textId="77777777" w:rsidR="001B5028" w:rsidRDefault="001B5028" w:rsidP="001F2235">
      <w:pPr>
        <w:pStyle w:val="Heading2"/>
        <w:spacing w:before="240"/>
      </w:pPr>
      <w:r>
        <w:t>Cost of administration</w:t>
      </w:r>
    </w:p>
    <w:p w14:paraId="78B87876" w14:textId="79D47DE9" w:rsidR="001B5028" w:rsidRDefault="001B5028" w:rsidP="001B5028">
      <w:r>
        <w:t>The economic model submitted to the PBAC applied the</w:t>
      </w:r>
      <w:r w:rsidRPr="009454F6">
        <w:t xml:space="preserve"> chemotherapy administration </w:t>
      </w:r>
      <w:r>
        <w:t xml:space="preserve">AR-DRG </w:t>
      </w:r>
      <w:r w:rsidRPr="009454F6">
        <w:t>(R63Z)</w:t>
      </w:r>
      <w:r>
        <w:t xml:space="preserve"> </w:t>
      </w:r>
      <w:proofErr w:type="gramStart"/>
      <w:r>
        <w:t>which</w:t>
      </w:r>
      <w:proofErr w:type="gramEnd"/>
      <w:r w:rsidRPr="009454F6">
        <w:t xml:space="preserve"> </w:t>
      </w:r>
      <w:r>
        <w:t xml:space="preserve">the ESC considered </w:t>
      </w:r>
      <w:r w:rsidRPr="009454F6">
        <w:t xml:space="preserve">was not appropriate. </w:t>
      </w:r>
      <w:r>
        <w:t xml:space="preserve">The revised model used </w:t>
      </w:r>
      <w:proofErr w:type="gramStart"/>
      <w:r>
        <w:t>more appropriate AR-DRGs</w:t>
      </w:r>
      <w:proofErr w:type="gramEnd"/>
      <w:r>
        <w:t xml:space="preserve"> but applied an inappropriate methodology to determine the</w:t>
      </w:r>
      <w:r w:rsidR="001F2235">
        <w:t xml:space="preserve"> cost of administration of DB.</w:t>
      </w:r>
    </w:p>
    <w:p w14:paraId="025009E0" w14:textId="51A754EC" w:rsidR="001B5028" w:rsidRDefault="001B5028" w:rsidP="001F2235">
      <w:pPr>
        <w:spacing w:before="240"/>
      </w:pPr>
      <w:r>
        <w:t xml:space="preserve">National Hospital Cost Data Collection (NHCDC) costs </w:t>
      </w:r>
      <w:proofErr w:type="gramStart"/>
      <w:r>
        <w:t>should have been applied</w:t>
      </w:r>
      <w:proofErr w:type="gramEnd"/>
      <w:r>
        <w:t xml:space="preserve"> (rather </w:t>
      </w:r>
      <w:r w:rsidRPr="007713D1">
        <w:t>than the National Efficient Price Determination costs th</w:t>
      </w:r>
      <w:r>
        <w:t>at</w:t>
      </w:r>
      <w:r w:rsidRPr="007713D1">
        <w:t xml:space="preserve"> were applied</w:t>
      </w:r>
      <w:r>
        <w:t xml:space="preserve">) and the ‘total cost’ column for the relevant AR-DRG </w:t>
      </w:r>
      <w:r w:rsidRPr="009454F6">
        <w:t>should be the basis for determining the unit cost for an episode of hospitalisation</w:t>
      </w:r>
      <w:r>
        <w:rPr>
          <w:rStyle w:val="FootnoteReference"/>
        </w:rPr>
        <w:footnoteReference w:id="5"/>
      </w:r>
      <w:r w:rsidRPr="009454F6">
        <w:t>.</w:t>
      </w:r>
    </w:p>
    <w:p w14:paraId="79B5492A" w14:textId="56002769" w:rsidR="001B5028" w:rsidRDefault="001B5028" w:rsidP="001F2235">
      <w:pPr>
        <w:spacing w:before="240"/>
      </w:pPr>
      <w:r>
        <w:t xml:space="preserve">The applicant considered AR-DRGs I65A, I65B, K64A, Q60A and R62A were relevant to </w:t>
      </w:r>
      <w:proofErr w:type="spellStart"/>
      <w:r>
        <w:t>neuroblastoma</w:t>
      </w:r>
      <w:proofErr w:type="spellEnd"/>
      <w:r>
        <w:t xml:space="preserve"> hospital admissions (</w:t>
      </w:r>
      <w:r>
        <w:fldChar w:fldCharType="begin"/>
      </w:r>
      <w:r>
        <w:instrText xml:space="preserve"> REF _Ref40082434 \h  \* MERGEFORMAT </w:instrText>
      </w:r>
      <w:r>
        <w:fldChar w:fldCharType="separate"/>
      </w:r>
      <w:r w:rsidR="00991D81" w:rsidRPr="00991D81">
        <w:t>Table 14</w:t>
      </w:r>
      <w:r>
        <w:fldChar w:fldCharType="end"/>
      </w:r>
      <w:r w:rsidR="005D7049">
        <w:t xml:space="preserve">). </w:t>
      </w:r>
      <w:r>
        <w:t xml:space="preserve">The LTI of DB is given over 10 days; therefore, the average length of stay for I65A appears reasonable (9.4 days) and is tested as a per cycle cost in a sensitivity analysis. It </w:t>
      </w:r>
      <w:proofErr w:type="gramStart"/>
      <w:r>
        <w:t>should be noted</w:t>
      </w:r>
      <w:proofErr w:type="gramEnd"/>
      <w:r>
        <w:t xml:space="preserve"> that the cost of monitoring, concomitant medications and adverse event management are assumed to be included in the AR-DRG episode cost,</w:t>
      </w:r>
      <w:r w:rsidR="001F2235">
        <w:t xml:space="preserve"> rather than costed separately.</w:t>
      </w:r>
    </w:p>
    <w:p w14:paraId="3AC4D328" w14:textId="066C1354" w:rsidR="001B5028" w:rsidRPr="00625D9D" w:rsidRDefault="001B5028" w:rsidP="00625D9D">
      <w:pPr>
        <w:spacing w:before="240"/>
        <w:rPr>
          <w:rFonts w:ascii="Arial Narrow" w:eastAsiaTheme="majorEastAsia" w:hAnsi="Arial Narrow"/>
          <w:b/>
          <w:sz w:val="20"/>
        </w:rPr>
      </w:pPr>
      <w:r w:rsidRPr="00625D9D">
        <w:rPr>
          <w:rFonts w:ascii="Arial Narrow" w:hAnsi="Arial Narrow"/>
          <w:b/>
          <w:sz w:val="20"/>
        </w:rPr>
        <w:t xml:space="preserve"> </w:t>
      </w:r>
      <w:bookmarkStart w:id="21" w:name="_Ref40082434"/>
      <w:r w:rsidRPr="00625D9D">
        <w:rPr>
          <w:rFonts w:ascii="Arial Narrow" w:eastAsiaTheme="majorEastAsia" w:hAnsi="Arial Narrow"/>
          <w:b/>
          <w:sz w:val="20"/>
        </w:rPr>
        <w:t xml:space="preserve">Table </w:t>
      </w:r>
      <w:r w:rsidRPr="00625D9D">
        <w:rPr>
          <w:rFonts w:ascii="Arial Narrow" w:eastAsiaTheme="majorEastAsia" w:hAnsi="Arial Narrow"/>
          <w:b/>
          <w:sz w:val="20"/>
        </w:rPr>
        <w:fldChar w:fldCharType="begin"/>
      </w:r>
      <w:r w:rsidRPr="00625D9D">
        <w:rPr>
          <w:rFonts w:ascii="Arial Narrow" w:eastAsiaTheme="majorEastAsia" w:hAnsi="Arial Narrow"/>
          <w:b/>
          <w:sz w:val="20"/>
        </w:rPr>
        <w:instrText xml:space="preserve"> SEQ Table \* ARABIC </w:instrText>
      </w:r>
      <w:r w:rsidRPr="00625D9D">
        <w:rPr>
          <w:rFonts w:ascii="Arial Narrow" w:eastAsiaTheme="majorEastAsia" w:hAnsi="Arial Narrow"/>
          <w:b/>
          <w:sz w:val="20"/>
        </w:rPr>
        <w:fldChar w:fldCharType="separate"/>
      </w:r>
      <w:r w:rsidR="00991D81">
        <w:rPr>
          <w:rFonts w:ascii="Arial Narrow" w:eastAsiaTheme="majorEastAsia" w:hAnsi="Arial Narrow"/>
          <w:b/>
          <w:noProof/>
          <w:sz w:val="20"/>
        </w:rPr>
        <w:t>14</w:t>
      </w:r>
      <w:r w:rsidRPr="00625D9D">
        <w:rPr>
          <w:rFonts w:ascii="Arial Narrow" w:eastAsiaTheme="majorEastAsia" w:hAnsi="Arial Narrow"/>
          <w:b/>
          <w:sz w:val="20"/>
        </w:rPr>
        <w:fldChar w:fldCharType="end"/>
      </w:r>
      <w:bookmarkEnd w:id="21"/>
      <w:r w:rsidRPr="00625D9D">
        <w:rPr>
          <w:rFonts w:ascii="Arial Narrow" w:eastAsiaTheme="majorEastAsia" w:hAnsi="Arial Narrow"/>
          <w:b/>
          <w:sz w:val="20"/>
        </w:rPr>
        <w:t xml:space="preserve"> Relevant AR-DRGs associated with administration of DB</w:t>
      </w:r>
    </w:p>
    <w:tbl>
      <w:tblPr>
        <w:tblStyle w:val="TableGrid"/>
        <w:tblW w:w="0" w:type="auto"/>
        <w:tblLook w:val="04A0" w:firstRow="1" w:lastRow="0" w:firstColumn="1" w:lastColumn="0" w:noHBand="0" w:noVBand="1"/>
        <w:tblDescription w:val="Relevant AR-DRGs associated with administration of DB"/>
      </w:tblPr>
      <w:tblGrid>
        <w:gridCol w:w="1380"/>
        <w:gridCol w:w="3860"/>
        <w:gridCol w:w="1418"/>
        <w:gridCol w:w="1134"/>
        <w:gridCol w:w="1134"/>
      </w:tblGrid>
      <w:tr w:rsidR="001B5028" w14:paraId="3F0A8C3C" w14:textId="77777777" w:rsidTr="00840515">
        <w:trPr>
          <w:tblHeader/>
        </w:trPr>
        <w:tc>
          <w:tcPr>
            <w:tcW w:w="1380" w:type="dxa"/>
          </w:tcPr>
          <w:p w14:paraId="2BE58BF6" w14:textId="77777777" w:rsidR="001B5028" w:rsidRPr="004E3FEF" w:rsidRDefault="001B5028" w:rsidP="001B5028">
            <w:pPr>
              <w:rPr>
                <w:rFonts w:ascii="Arial Narrow" w:hAnsi="Arial Narrow"/>
                <w:b/>
                <w:sz w:val="20"/>
              </w:rPr>
            </w:pPr>
            <w:r>
              <w:rPr>
                <w:rFonts w:ascii="Arial Narrow" w:hAnsi="Arial Narrow"/>
                <w:b/>
                <w:sz w:val="20"/>
              </w:rPr>
              <w:t>AR-</w:t>
            </w:r>
            <w:r w:rsidRPr="004E3FEF">
              <w:rPr>
                <w:rFonts w:ascii="Arial Narrow" w:hAnsi="Arial Narrow"/>
                <w:b/>
                <w:sz w:val="20"/>
              </w:rPr>
              <w:t>DRG</w:t>
            </w:r>
          </w:p>
        </w:tc>
        <w:tc>
          <w:tcPr>
            <w:tcW w:w="3860" w:type="dxa"/>
          </w:tcPr>
          <w:p w14:paraId="20371B76" w14:textId="77777777" w:rsidR="001B5028" w:rsidRPr="004E3FEF" w:rsidRDefault="001B5028" w:rsidP="001B5028">
            <w:pPr>
              <w:rPr>
                <w:rFonts w:ascii="Arial Narrow" w:hAnsi="Arial Narrow"/>
                <w:b/>
                <w:sz w:val="20"/>
              </w:rPr>
            </w:pPr>
            <w:r w:rsidRPr="004E3FEF">
              <w:rPr>
                <w:rFonts w:ascii="Arial Narrow" w:hAnsi="Arial Narrow"/>
                <w:b/>
                <w:sz w:val="20"/>
              </w:rPr>
              <w:t>Description</w:t>
            </w:r>
          </w:p>
        </w:tc>
        <w:tc>
          <w:tcPr>
            <w:tcW w:w="1418" w:type="dxa"/>
            <w:tcBorders>
              <w:bottom w:val="single" w:sz="4" w:space="0" w:color="auto"/>
            </w:tcBorders>
          </w:tcPr>
          <w:p w14:paraId="7D252F17" w14:textId="77777777" w:rsidR="001B5028" w:rsidRPr="004E3FEF" w:rsidRDefault="001B5028" w:rsidP="001B5028">
            <w:pPr>
              <w:rPr>
                <w:rFonts w:ascii="Arial Narrow" w:hAnsi="Arial Narrow"/>
                <w:b/>
                <w:sz w:val="20"/>
              </w:rPr>
            </w:pPr>
            <w:r>
              <w:rPr>
                <w:rFonts w:ascii="Arial Narrow" w:hAnsi="Arial Narrow"/>
                <w:b/>
                <w:sz w:val="20"/>
              </w:rPr>
              <w:t>No. of  separations</w:t>
            </w:r>
          </w:p>
        </w:tc>
        <w:tc>
          <w:tcPr>
            <w:tcW w:w="1134" w:type="dxa"/>
            <w:tcBorders>
              <w:bottom w:val="single" w:sz="4" w:space="0" w:color="auto"/>
            </w:tcBorders>
          </w:tcPr>
          <w:p w14:paraId="168C9286" w14:textId="77777777" w:rsidR="001B5028" w:rsidRPr="004E3FEF" w:rsidRDefault="001B5028" w:rsidP="001B5028">
            <w:pPr>
              <w:jc w:val="center"/>
              <w:rPr>
                <w:rFonts w:ascii="Arial Narrow" w:hAnsi="Arial Narrow"/>
                <w:b/>
                <w:sz w:val="20"/>
              </w:rPr>
            </w:pPr>
            <w:r w:rsidRPr="004E3FEF">
              <w:rPr>
                <w:rFonts w:ascii="Arial Narrow" w:hAnsi="Arial Narrow"/>
                <w:b/>
                <w:sz w:val="20"/>
              </w:rPr>
              <w:t>ALOS</w:t>
            </w:r>
          </w:p>
        </w:tc>
        <w:tc>
          <w:tcPr>
            <w:tcW w:w="1134" w:type="dxa"/>
            <w:tcBorders>
              <w:bottom w:val="single" w:sz="4" w:space="0" w:color="auto"/>
            </w:tcBorders>
          </w:tcPr>
          <w:p w14:paraId="29DDDA40" w14:textId="77777777" w:rsidR="001B5028" w:rsidRPr="004E3FEF" w:rsidRDefault="001B5028" w:rsidP="001B5028">
            <w:pPr>
              <w:jc w:val="center"/>
              <w:rPr>
                <w:rFonts w:ascii="Arial Narrow" w:hAnsi="Arial Narrow"/>
                <w:b/>
                <w:sz w:val="20"/>
              </w:rPr>
            </w:pPr>
            <w:r>
              <w:rPr>
                <w:rFonts w:ascii="Arial Narrow" w:hAnsi="Arial Narrow"/>
                <w:b/>
                <w:sz w:val="20"/>
              </w:rPr>
              <w:t>C</w:t>
            </w:r>
            <w:r w:rsidRPr="004E3FEF">
              <w:rPr>
                <w:rFonts w:ascii="Arial Narrow" w:hAnsi="Arial Narrow"/>
                <w:b/>
                <w:sz w:val="20"/>
              </w:rPr>
              <w:t>ost</w:t>
            </w:r>
          </w:p>
        </w:tc>
      </w:tr>
      <w:tr w:rsidR="001B5028" w:rsidRPr="004E3FEF" w14:paraId="51E30025" w14:textId="77777777" w:rsidTr="001B5028">
        <w:tc>
          <w:tcPr>
            <w:tcW w:w="1380" w:type="dxa"/>
            <w:tcBorders>
              <w:bottom w:val="single" w:sz="4" w:space="0" w:color="auto"/>
            </w:tcBorders>
          </w:tcPr>
          <w:p w14:paraId="12B2C27A" w14:textId="77777777" w:rsidR="001B5028" w:rsidRPr="004E3FEF" w:rsidRDefault="001B5028" w:rsidP="001B5028">
            <w:pPr>
              <w:rPr>
                <w:rFonts w:ascii="Arial Narrow" w:hAnsi="Arial Narrow"/>
                <w:sz w:val="20"/>
              </w:rPr>
            </w:pPr>
            <w:r w:rsidRPr="004E3FEF">
              <w:rPr>
                <w:rFonts w:ascii="Arial Narrow" w:hAnsi="Arial Narrow"/>
                <w:sz w:val="20"/>
              </w:rPr>
              <w:t>I65A</w:t>
            </w:r>
          </w:p>
        </w:tc>
        <w:tc>
          <w:tcPr>
            <w:tcW w:w="3860" w:type="dxa"/>
            <w:tcBorders>
              <w:bottom w:val="single" w:sz="4" w:space="0" w:color="auto"/>
            </w:tcBorders>
          </w:tcPr>
          <w:p w14:paraId="6EDB6C47" w14:textId="77777777" w:rsidR="001B5028" w:rsidRPr="004E3FEF" w:rsidRDefault="001B5028" w:rsidP="001B5028">
            <w:pPr>
              <w:rPr>
                <w:rFonts w:ascii="Arial Narrow" w:hAnsi="Arial Narrow"/>
                <w:sz w:val="20"/>
              </w:rPr>
            </w:pPr>
            <w:r w:rsidRPr="004E3FEF">
              <w:rPr>
                <w:rFonts w:ascii="Arial Narrow" w:hAnsi="Arial Narrow"/>
                <w:sz w:val="20"/>
              </w:rPr>
              <w:t>MUSCULOSK MALIG NEOPLASM, MAJC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2D5D534" w14:textId="77777777" w:rsidR="001B5028" w:rsidRPr="004E3FEF" w:rsidRDefault="001B5028" w:rsidP="001B5028">
            <w:pPr>
              <w:jc w:val="center"/>
              <w:rPr>
                <w:rFonts w:ascii="Arial Narrow" w:hAnsi="Arial Narrow"/>
                <w:sz w:val="20"/>
              </w:rPr>
            </w:pPr>
            <w:r w:rsidRPr="004E3FEF">
              <w:rPr>
                <w:rFonts w:ascii="Arial Narrow" w:hAnsi="Arial Narrow" w:cs="Arial"/>
                <w:color w:val="000000"/>
                <w:sz w:val="20"/>
              </w:rPr>
              <w:t>1,571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611E02" w14:textId="77777777" w:rsidR="001B5028" w:rsidRPr="004E3FEF" w:rsidRDefault="001B5028" w:rsidP="001B5028">
            <w:pPr>
              <w:jc w:val="center"/>
              <w:rPr>
                <w:rFonts w:ascii="Arial Narrow" w:hAnsi="Arial Narrow"/>
                <w:sz w:val="20"/>
              </w:rPr>
            </w:pPr>
            <w:r w:rsidRPr="004E3FEF">
              <w:rPr>
                <w:rFonts w:ascii="Arial Narrow" w:hAnsi="Arial Narrow" w:cs="Arial"/>
                <w:color w:val="000000"/>
                <w:sz w:val="20"/>
              </w:rPr>
              <w:t>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8C8FEC7" w14:textId="77777777" w:rsidR="001B5028" w:rsidRPr="004E3FEF" w:rsidRDefault="001B5028" w:rsidP="001B5028">
            <w:pPr>
              <w:jc w:val="center"/>
              <w:rPr>
                <w:rFonts w:ascii="Arial Narrow" w:hAnsi="Arial Narrow"/>
                <w:sz w:val="20"/>
              </w:rPr>
            </w:pPr>
            <w:r>
              <w:rPr>
                <w:rFonts w:ascii="Arial Narrow" w:hAnsi="Arial Narrow" w:cs="Arial"/>
                <w:color w:val="000000"/>
                <w:sz w:val="20"/>
              </w:rPr>
              <w:t>$</w:t>
            </w:r>
            <w:r w:rsidRPr="004E3FEF">
              <w:rPr>
                <w:rFonts w:ascii="Arial Narrow" w:hAnsi="Arial Narrow" w:cs="Arial"/>
                <w:color w:val="000000"/>
                <w:sz w:val="20"/>
              </w:rPr>
              <w:t>17,555</w:t>
            </w:r>
          </w:p>
        </w:tc>
      </w:tr>
      <w:tr w:rsidR="001B5028" w:rsidRPr="004E3FEF" w14:paraId="6C573043" w14:textId="77777777" w:rsidTr="001B5028">
        <w:tc>
          <w:tcPr>
            <w:tcW w:w="1380" w:type="dxa"/>
            <w:tcBorders>
              <w:top w:val="single" w:sz="4" w:space="0" w:color="auto"/>
              <w:left w:val="single" w:sz="4" w:space="0" w:color="auto"/>
              <w:bottom w:val="single" w:sz="4" w:space="0" w:color="auto"/>
              <w:right w:val="single" w:sz="4" w:space="0" w:color="auto"/>
            </w:tcBorders>
            <w:shd w:val="clear" w:color="000000" w:fill="FFFFFF"/>
            <w:vAlign w:val="bottom"/>
          </w:tcPr>
          <w:p w14:paraId="0C895BFE" w14:textId="77777777" w:rsidR="001B5028" w:rsidRPr="004E3FEF" w:rsidRDefault="001B5028" w:rsidP="001B5028">
            <w:pPr>
              <w:rPr>
                <w:rFonts w:ascii="Arial Narrow" w:hAnsi="Arial Narrow"/>
                <w:sz w:val="20"/>
              </w:rPr>
            </w:pPr>
            <w:r w:rsidRPr="004E3FEF">
              <w:rPr>
                <w:rFonts w:ascii="Arial Narrow" w:hAnsi="Arial Narrow"/>
                <w:sz w:val="20"/>
              </w:rPr>
              <w:t>I65B</w:t>
            </w:r>
          </w:p>
        </w:tc>
        <w:tc>
          <w:tcPr>
            <w:tcW w:w="3860" w:type="dxa"/>
            <w:tcBorders>
              <w:top w:val="single" w:sz="4" w:space="0" w:color="auto"/>
              <w:left w:val="single" w:sz="4" w:space="0" w:color="auto"/>
              <w:bottom w:val="single" w:sz="4" w:space="0" w:color="auto"/>
              <w:right w:val="single" w:sz="4" w:space="0" w:color="auto"/>
            </w:tcBorders>
            <w:shd w:val="clear" w:color="000000" w:fill="FFFFFF"/>
            <w:vAlign w:val="bottom"/>
          </w:tcPr>
          <w:p w14:paraId="0C9ADCDE" w14:textId="77777777" w:rsidR="001B5028" w:rsidRPr="004E3FEF" w:rsidRDefault="001B5028" w:rsidP="001B5028">
            <w:pPr>
              <w:rPr>
                <w:rFonts w:ascii="Arial Narrow" w:hAnsi="Arial Narrow"/>
                <w:sz w:val="20"/>
              </w:rPr>
            </w:pPr>
            <w:r w:rsidRPr="004E3FEF">
              <w:rPr>
                <w:rFonts w:ascii="Arial Narrow" w:hAnsi="Arial Narrow"/>
                <w:sz w:val="20"/>
              </w:rPr>
              <w:t>MUSCULOSK MALIG NEOPLASM, MINC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C17EFF7" w14:textId="77777777" w:rsidR="001B5028" w:rsidRPr="004E3FEF" w:rsidRDefault="001B5028" w:rsidP="001B5028">
            <w:pPr>
              <w:jc w:val="center"/>
              <w:rPr>
                <w:rFonts w:ascii="Arial Narrow" w:hAnsi="Arial Narrow"/>
                <w:sz w:val="20"/>
              </w:rPr>
            </w:pPr>
            <w:r w:rsidRPr="004E3FEF">
              <w:rPr>
                <w:rFonts w:ascii="Arial Narrow" w:hAnsi="Arial Narrow" w:cs="Arial"/>
                <w:color w:val="000000"/>
                <w:sz w:val="20"/>
              </w:rPr>
              <w:t>3,212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D5D9CDD" w14:textId="77777777" w:rsidR="001B5028" w:rsidRPr="004E3FEF" w:rsidRDefault="001B5028" w:rsidP="001B5028">
            <w:pPr>
              <w:jc w:val="center"/>
              <w:rPr>
                <w:rFonts w:ascii="Arial Narrow" w:hAnsi="Arial Narrow"/>
                <w:sz w:val="20"/>
              </w:rPr>
            </w:pPr>
            <w:r w:rsidRPr="004E3FEF">
              <w:rPr>
                <w:rFonts w:ascii="Arial Narrow" w:hAnsi="Arial Narrow" w:cs="Arial"/>
                <w:color w:val="000000"/>
                <w:sz w:val="20"/>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B57A4B8" w14:textId="77777777" w:rsidR="001B5028" w:rsidRPr="004E3FEF" w:rsidRDefault="001B5028" w:rsidP="001B5028">
            <w:pPr>
              <w:jc w:val="center"/>
              <w:rPr>
                <w:rFonts w:ascii="Arial Narrow" w:hAnsi="Arial Narrow"/>
                <w:sz w:val="20"/>
              </w:rPr>
            </w:pPr>
            <w:r>
              <w:rPr>
                <w:rFonts w:ascii="Arial Narrow" w:hAnsi="Arial Narrow" w:cs="Arial"/>
                <w:color w:val="000000"/>
                <w:sz w:val="20"/>
              </w:rPr>
              <w:t>$</w:t>
            </w:r>
            <w:r w:rsidRPr="004E3FEF">
              <w:rPr>
                <w:rFonts w:ascii="Arial Narrow" w:hAnsi="Arial Narrow" w:cs="Arial"/>
                <w:color w:val="000000"/>
                <w:sz w:val="20"/>
              </w:rPr>
              <w:t>7,454</w:t>
            </w:r>
          </w:p>
        </w:tc>
      </w:tr>
      <w:tr w:rsidR="001B5028" w:rsidRPr="004E3FEF" w14:paraId="23B14899" w14:textId="77777777" w:rsidTr="001B5028">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67E35946" w14:textId="77777777" w:rsidR="001B5028" w:rsidRPr="004E3FEF" w:rsidRDefault="001B5028" w:rsidP="001B5028">
            <w:pPr>
              <w:rPr>
                <w:rFonts w:ascii="Arial Narrow" w:hAnsi="Arial Narrow"/>
                <w:sz w:val="20"/>
              </w:rPr>
            </w:pPr>
            <w:r w:rsidRPr="004E3FEF">
              <w:rPr>
                <w:rFonts w:ascii="Arial Narrow" w:hAnsi="Arial Narrow"/>
                <w:sz w:val="20"/>
              </w:rPr>
              <w:t>K64A</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bottom"/>
          </w:tcPr>
          <w:p w14:paraId="17E4B1AB" w14:textId="77777777" w:rsidR="001B5028" w:rsidRPr="004E3FEF" w:rsidRDefault="001B5028" w:rsidP="001B5028">
            <w:pPr>
              <w:rPr>
                <w:rFonts w:ascii="Arial Narrow" w:hAnsi="Arial Narrow"/>
                <w:sz w:val="20"/>
              </w:rPr>
            </w:pPr>
            <w:r w:rsidRPr="004E3FEF">
              <w:rPr>
                <w:rFonts w:ascii="Arial Narrow" w:hAnsi="Arial Narrow"/>
                <w:sz w:val="20"/>
              </w:rPr>
              <w:t>ENDOCRINE DISORDERS, MAJC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B809B6D" w14:textId="77777777" w:rsidR="001B5028" w:rsidRPr="004E3FEF" w:rsidRDefault="001B5028" w:rsidP="001B5028">
            <w:pPr>
              <w:jc w:val="center"/>
              <w:rPr>
                <w:rFonts w:ascii="Arial Narrow" w:hAnsi="Arial Narrow"/>
                <w:sz w:val="20"/>
              </w:rPr>
            </w:pPr>
            <w:r w:rsidRPr="004E3FEF">
              <w:rPr>
                <w:rFonts w:ascii="Arial Narrow" w:hAnsi="Arial Narrow" w:cs="Arial"/>
                <w:color w:val="000000"/>
                <w:sz w:val="20"/>
              </w:rPr>
              <w:t>4,305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FD7882D" w14:textId="77777777" w:rsidR="001B5028" w:rsidRPr="004E3FEF" w:rsidRDefault="001B5028" w:rsidP="001B5028">
            <w:pPr>
              <w:jc w:val="center"/>
              <w:rPr>
                <w:rFonts w:ascii="Arial Narrow" w:hAnsi="Arial Narrow"/>
                <w:sz w:val="20"/>
              </w:rPr>
            </w:pPr>
            <w:r w:rsidRPr="004E3FEF">
              <w:rPr>
                <w:rFonts w:ascii="Arial Narrow" w:hAnsi="Arial Narrow" w:cs="Arial"/>
                <w:color w:val="000000"/>
                <w:sz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A900F8D" w14:textId="77777777" w:rsidR="001B5028" w:rsidRPr="004E3FEF" w:rsidRDefault="001B5028" w:rsidP="001B5028">
            <w:pPr>
              <w:jc w:val="center"/>
              <w:rPr>
                <w:rFonts w:ascii="Arial Narrow" w:hAnsi="Arial Narrow"/>
                <w:sz w:val="20"/>
              </w:rPr>
            </w:pPr>
            <w:r>
              <w:rPr>
                <w:rFonts w:ascii="Arial Narrow" w:hAnsi="Arial Narrow" w:cs="Arial"/>
                <w:color w:val="000000"/>
                <w:sz w:val="20"/>
              </w:rPr>
              <w:t>$</w:t>
            </w:r>
            <w:r w:rsidRPr="004E3FEF">
              <w:rPr>
                <w:rFonts w:ascii="Arial Narrow" w:hAnsi="Arial Narrow" w:cs="Arial"/>
                <w:color w:val="000000"/>
                <w:sz w:val="20"/>
              </w:rPr>
              <w:t>8,395</w:t>
            </w:r>
          </w:p>
        </w:tc>
      </w:tr>
      <w:tr w:rsidR="001B5028" w:rsidRPr="004E3FEF" w14:paraId="5B5C7ABA" w14:textId="77777777" w:rsidTr="001B5028">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633AEE25" w14:textId="77777777" w:rsidR="001B5028" w:rsidRPr="004E3FEF" w:rsidRDefault="001B5028" w:rsidP="001B5028">
            <w:pPr>
              <w:rPr>
                <w:rFonts w:ascii="Arial Narrow" w:hAnsi="Arial Narrow"/>
                <w:sz w:val="20"/>
              </w:rPr>
            </w:pPr>
            <w:r w:rsidRPr="004E3FEF">
              <w:rPr>
                <w:rFonts w:ascii="Arial Narrow" w:hAnsi="Arial Narrow"/>
                <w:sz w:val="20"/>
              </w:rPr>
              <w:t>Q60A</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bottom"/>
          </w:tcPr>
          <w:p w14:paraId="66CEF61A" w14:textId="77777777" w:rsidR="001B5028" w:rsidRPr="004E3FEF" w:rsidRDefault="001B5028" w:rsidP="001B5028">
            <w:pPr>
              <w:rPr>
                <w:rFonts w:ascii="Arial Narrow" w:hAnsi="Arial Narrow"/>
                <w:sz w:val="20"/>
              </w:rPr>
            </w:pPr>
            <w:r w:rsidRPr="004E3FEF">
              <w:rPr>
                <w:rFonts w:ascii="Arial Narrow" w:hAnsi="Arial Narrow"/>
                <w:sz w:val="20"/>
              </w:rPr>
              <w:t>RETICLENDO&amp;IMMUNITY DIS, MAJC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CC43C88" w14:textId="77777777" w:rsidR="001B5028" w:rsidRPr="004E3FEF" w:rsidRDefault="001B5028" w:rsidP="001B5028">
            <w:pPr>
              <w:jc w:val="center"/>
              <w:rPr>
                <w:rFonts w:ascii="Arial Narrow" w:hAnsi="Arial Narrow"/>
                <w:sz w:val="20"/>
              </w:rPr>
            </w:pPr>
            <w:r w:rsidRPr="004E3FEF">
              <w:rPr>
                <w:rFonts w:ascii="Arial Narrow" w:hAnsi="Arial Narrow" w:cs="Arial"/>
                <w:color w:val="000000"/>
                <w:sz w:val="20"/>
              </w:rPr>
              <w:t>10,980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F52F542" w14:textId="77777777" w:rsidR="001B5028" w:rsidRPr="004E3FEF" w:rsidRDefault="001B5028" w:rsidP="001B5028">
            <w:pPr>
              <w:jc w:val="center"/>
              <w:rPr>
                <w:rFonts w:ascii="Arial Narrow" w:hAnsi="Arial Narrow"/>
                <w:sz w:val="20"/>
              </w:rPr>
            </w:pPr>
            <w:r w:rsidRPr="004E3FEF">
              <w:rPr>
                <w:rFonts w:ascii="Arial Narrow" w:hAnsi="Arial Narrow" w:cs="Arial"/>
                <w:color w:val="000000"/>
                <w:sz w:val="20"/>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C97EC99" w14:textId="77777777" w:rsidR="001B5028" w:rsidRPr="004E3FEF" w:rsidRDefault="001B5028" w:rsidP="001B5028">
            <w:pPr>
              <w:jc w:val="center"/>
              <w:rPr>
                <w:rFonts w:ascii="Arial Narrow" w:hAnsi="Arial Narrow"/>
                <w:sz w:val="20"/>
              </w:rPr>
            </w:pPr>
            <w:r>
              <w:rPr>
                <w:rFonts w:ascii="Arial Narrow" w:hAnsi="Arial Narrow" w:cs="Arial"/>
                <w:color w:val="000000"/>
                <w:sz w:val="20"/>
              </w:rPr>
              <w:t>$</w:t>
            </w:r>
            <w:r w:rsidRPr="004E3FEF">
              <w:rPr>
                <w:rFonts w:ascii="Arial Narrow" w:hAnsi="Arial Narrow" w:cs="Arial"/>
                <w:color w:val="000000"/>
                <w:sz w:val="20"/>
              </w:rPr>
              <w:t>9,962</w:t>
            </w:r>
          </w:p>
        </w:tc>
      </w:tr>
      <w:tr w:rsidR="001B5028" w:rsidRPr="004E3FEF" w14:paraId="54588BE0" w14:textId="77777777" w:rsidTr="001B5028">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05DD26E9" w14:textId="77777777" w:rsidR="001B5028" w:rsidRPr="004E3FEF" w:rsidRDefault="001B5028" w:rsidP="001B5028">
            <w:pPr>
              <w:rPr>
                <w:rFonts w:ascii="Arial Narrow" w:hAnsi="Arial Narrow"/>
                <w:sz w:val="20"/>
              </w:rPr>
            </w:pPr>
            <w:r w:rsidRPr="004E3FEF">
              <w:rPr>
                <w:rFonts w:ascii="Arial Narrow" w:hAnsi="Arial Narrow"/>
                <w:sz w:val="20"/>
              </w:rPr>
              <w:t>R62A</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bottom"/>
          </w:tcPr>
          <w:p w14:paraId="102A7D5B" w14:textId="77777777" w:rsidR="001B5028" w:rsidRPr="004E3FEF" w:rsidRDefault="001B5028" w:rsidP="001B5028">
            <w:pPr>
              <w:rPr>
                <w:rFonts w:ascii="Arial Narrow" w:hAnsi="Arial Narrow"/>
                <w:sz w:val="20"/>
              </w:rPr>
            </w:pPr>
            <w:r w:rsidRPr="004E3FEF">
              <w:rPr>
                <w:rFonts w:ascii="Arial Narrow" w:hAnsi="Arial Narrow"/>
                <w:sz w:val="20"/>
              </w:rPr>
              <w:t>OTHER NEOPLASTIC DIS, MAJC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917D530" w14:textId="77777777" w:rsidR="001B5028" w:rsidRPr="004E3FEF" w:rsidRDefault="001B5028" w:rsidP="001B5028">
            <w:pPr>
              <w:jc w:val="center"/>
              <w:rPr>
                <w:rFonts w:ascii="Arial Narrow" w:hAnsi="Arial Narrow"/>
                <w:sz w:val="20"/>
              </w:rPr>
            </w:pPr>
            <w:r w:rsidRPr="004E3FEF">
              <w:rPr>
                <w:rFonts w:ascii="Arial Narrow" w:hAnsi="Arial Narrow" w:cs="Arial"/>
                <w:color w:val="000000"/>
                <w:sz w:val="20"/>
              </w:rPr>
              <w:t>751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25A7711" w14:textId="77777777" w:rsidR="001B5028" w:rsidRPr="004E3FEF" w:rsidRDefault="001B5028" w:rsidP="001B5028">
            <w:pPr>
              <w:jc w:val="center"/>
              <w:rPr>
                <w:rFonts w:ascii="Arial Narrow" w:hAnsi="Arial Narrow"/>
                <w:sz w:val="20"/>
              </w:rPr>
            </w:pPr>
            <w:r w:rsidRPr="004E3FEF">
              <w:rPr>
                <w:rFonts w:ascii="Arial Narrow" w:hAnsi="Arial Narrow" w:cs="Arial"/>
                <w:color w:val="000000"/>
                <w:sz w:val="20"/>
              </w:rPr>
              <w:t>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3969ED7" w14:textId="77777777" w:rsidR="001B5028" w:rsidRPr="004E3FEF" w:rsidRDefault="001B5028" w:rsidP="001B5028">
            <w:pPr>
              <w:jc w:val="center"/>
              <w:rPr>
                <w:rFonts w:ascii="Arial Narrow" w:hAnsi="Arial Narrow"/>
                <w:sz w:val="20"/>
              </w:rPr>
            </w:pPr>
            <w:r>
              <w:rPr>
                <w:rFonts w:ascii="Arial Narrow" w:hAnsi="Arial Narrow" w:cs="Arial"/>
                <w:color w:val="000000"/>
                <w:sz w:val="20"/>
              </w:rPr>
              <w:t>$</w:t>
            </w:r>
            <w:r w:rsidRPr="004E3FEF">
              <w:rPr>
                <w:rFonts w:ascii="Arial Narrow" w:hAnsi="Arial Narrow" w:cs="Arial"/>
                <w:color w:val="000000"/>
                <w:sz w:val="20"/>
              </w:rPr>
              <w:t>15,920</w:t>
            </w:r>
          </w:p>
        </w:tc>
      </w:tr>
    </w:tbl>
    <w:p w14:paraId="63FAEE2F" w14:textId="77777777" w:rsidR="001B5028" w:rsidRDefault="001B5028" w:rsidP="001B5028">
      <w:pPr>
        <w:rPr>
          <w:rFonts w:ascii="Arial Narrow" w:hAnsi="Arial Narrow"/>
          <w:sz w:val="16"/>
        </w:rPr>
      </w:pPr>
      <w:r>
        <w:rPr>
          <w:rFonts w:ascii="Arial Narrow" w:hAnsi="Arial Narrow"/>
          <w:sz w:val="16"/>
        </w:rPr>
        <w:t>ALOS average length of stay; AR-DRG Australian refined diagnosis related group</w:t>
      </w:r>
    </w:p>
    <w:p w14:paraId="3B5DF943" w14:textId="6AA8D311" w:rsidR="001B5028" w:rsidRPr="001F2235" w:rsidRDefault="001B5028" w:rsidP="001B5028">
      <w:pPr>
        <w:rPr>
          <w:rFonts w:ascii="Arial Narrow" w:hAnsi="Arial Narrow"/>
          <w:sz w:val="16"/>
        </w:rPr>
      </w:pPr>
      <w:r w:rsidRPr="000E2412">
        <w:rPr>
          <w:rFonts w:ascii="Arial Narrow" w:hAnsi="Arial Narrow"/>
          <w:sz w:val="16"/>
        </w:rPr>
        <w:t>Source: COST WEIGHTS FOR AR-DRG VERSION 9.0, Round 21 (2016-17).</w:t>
      </w:r>
    </w:p>
    <w:p w14:paraId="1F30616C" w14:textId="77777777" w:rsidR="001B5028" w:rsidRDefault="001B5028" w:rsidP="001F2235">
      <w:pPr>
        <w:pStyle w:val="Heading2"/>
        <w:spacing w:before="240"/>
      </w:pPr>
      <w:r w:rsidRPr="00C13545">
        <w:lastRenderedPageBreak/>
        <w:t>Reduced hospitalisation associated with LTI</w:t>
      </w:r>
    </w:p>
    <w:p w14:paraId="563507F7" w14:textId="1765141B" w:rsidR="001B5028" w:rsidRDefault="001B5028" w:rsidP="001B5028">
      <w:r>
        <w:t xml:space="preserve">The base case economic model </w:t>
      </w:r>
      <w:r w:rsidR="00160DFF">
        <w:t xml:space="preserve">in the submission to MSAC ESC </w:t>
      </w:r>
      <w:r>
        <w:t>assumed all patients were hospitalised for the 10 days of Cycle 1, 6 days of Cycle 2, 3 days of Cycle 3 and all treatment is administered as an outpatient for Cycl</w:t>
      </w:r>
      <w:r w:rsidR="005D7049">
        <w:t>es 4 and 5. The applicant claimed</w:t>
      </w:r>
      <w:r>
        <w:t xml:space="preserve"> that treatment with the LTI of DB </w:t>
      </w:r>
      <w:proofErr w:type="gramStart"/>
      <w:r>
        <w:t>will</w:t>
      </w:r>
      <w:proofErr w:type="gramEnd"/>
      <w:r>
        <w:t xml:space="preserve"> allow patients to be discharged from hospital early (for Cycles 2 and 3) or treated as outpatients (for Cycles 4 and 5). However, there is limited evidence available for this assumption in the HRNBL setting. Given the age and health status of patients, the adverse event profile and the requirement for significant pain management, it is likely a majority of patients will require hospitalisation for treatment. The applicant stated most European patients are treated as a combination of inpatients and outpatients for cycles 1 to 3 and exclusively as outpatients for cycles </w:t>
      </w:r>
      <w:proofErr w:type="gramStart"/>
      <w:r>
        <w:t>4</w:t>
      </w:r>
      <w:proofErr w:type="gramEnd"/>
      <w:r>
        <w:t xml:space="preserve"> and 5 but the relevance to the Australi</w:t>
      </w:r>
      <w:r w:rsidR="001F2235">
        <w:t>an hospital setting is unclear.</w:t>
      </w:r>
    </w:p>
    <w:p w14:paraId="708B29D7" w14:textId="1B044DA9" w:rsidR="001B5028" w:rsidRDefault="001B5028" w:rsidP="001F2235">
      <w:pPr>
        <w:spacing w:before="240"/>
      </w:pPr>
      <w:r>
        <w:t xml:space="preserve">A letter from the Australian and New Zealand </w:t>
      </w:r>
      <w:proofErr w:type="spellStart"/>
      <w:r>
        <w:t>Childrens</w:t>
      </w:r>
      <w:proofErr w:type="spellEnd"/>
      <w:r>
        <w:t xml:space="preserve"> Haematology/Oncology Group (ANZCHOG) in support of DB </w:t>
      </w:r>
      <w:proofErr w:type="gramStart"/>
      <w:r>
        <w:t>makes reference</w:t>
      </w:r>
      <w:proofErr w:type="gramEnd"/>
      <w:r>
        <w:t xml:space="preserve"> to </w:t>
      </w:r>
      <w:proofErr w:type="spellStart"/>
      <w:r>
        <w:t>blinatumomab</w:t>
      </w:r>
      <w:proofErr w:type="spellEnd"/>
      <w:r>
        <w:t xml:space="preserve"> as an example of where the model of initiating treatment as an inpatient and then moving to outpatient treatment has provided significant benefit to patients. The Department noted, unlike the DB PI, the </w:t>
      </w:r>
      <w:proofErr w:type="spellStart"/>
      <w:r>
        <w:t>blinatumomab</w:t>
      </w:r>
      <w:proofErr w:type="spellEnd"/>
      <w:r>
        <w:t xml:space="preserve"> PI recommends a minimum period of hospitalisation per </w:t>
      </w:r>
      <w:proofErr w:type="gramStart"/>
      <w:r>
        <w:t>cycle,</w:t>
      </w:r>
      <w:proofErr w:type="gramEnd"/>
      <w:r>
        <w:t xml:space="preserve"> is administered as a continuous infusion over 28 days and does not require concomitant morphine. The difference in administration profiles of </w:t>
      </w:r>
      <w:proofErr w:type="spellStart"/>
      <w:r>
        <w:t>blinatumomab</w:t>
      </w:r>
      <w:proofErr w:type="spellEnd"/>
      <w:r>
        <w:t xml:space="preserve"> and DB may make th</w:t>
      </w:r>
      <w:r w:rsidR="001F2235">
        <w:t>e comparison unreasonable.</w:t>
      </w:r>
    </w:p>
    <w:p w14:paraId="25D10C4D" w14:textId="77777777" w:rsidR="001B5028" w:rsidRDefault="001B5028" w:rsidP="001F2235">
      <w:pPr>
        <w:pStyle w:val="Heading2"/>
        <w:spacing w:before="240"/>
      </w:pPr>
      <w:r>
        <w:t>Discount rate</w:t>
      </w:r>
    </w:p>
    <w:p w14:paraId="0A28FDB9" w14:textId="6891D402" w:rsidR="001B5028" w:rsidRDefault="001B5028" w:rsidP="001B5028">
      <w:r>
        <w:t>The base case economic model applied a discount rate of 5% to costs and outcomes. The applicant request</w:t>
      </w:r>
      <w:r w:rsidR="005D7049">
        <w:t>ed</w:t>
      </w:r>
      <w:r>
        <w:t xml:space="preserve"> MSAC to consider applying a lower discount rate to </w:t>
      </w:r>
      <w:proofErr w:type="gramStart"/>
      <w:r>
        <w:t>reflect that</w:t>
      </w:r>
      <w:proofErr w:type="gramEnd"/>
      <w:r>
        <w:t xml:space="preserve"> “the incremental life gained by a young person should be valued more highly than that gained by older patients”. A sensitivity analysis applying a 2% discoun</w:t>
      </w:r>
      <w:r w:rsidR="005D7049">
        <w:t xml:space="preserve">t rate to costs and outcomes </w:t>
      </w:r>
      <w:proofErr w:type="gramStart"/>
      <w:r w:rsidR="005D7049">
        <w:t xml:space="preserve">is </w:t>
      </w:r>
      <w:r w:rsidR="001F2235">
        <w:t>presented</w:t>
      </w:r>
      <w:proofErr w:type="gramEnd"/>
      <w:r w:rsidR="001F2235">
        <w:t xml:space="preserve"> below.</w:t>
      </w:r>
    </w:p>
    <w:p w14:paraId="619A681D" w14:textId="77777777" w:rsidR="001B5028" w:rsidRPr="0054761C" w:rsidRDefault="001B5028" w:rsidP="001F2235">
      <w:pPr>
        <w:pStyle w:val="Heading2"/>
        <w:spacing w:before="240"/>
      </w:pPr>
      <w:r w:rsidRPr="0054761C">
        <w:t>Using alternate data source for RA data</w:t>
      </w:r>
    </w:p>
    <w:p w14:paraId="397EC761" w14:textId="05BC5092" w:rsidR="001B5028" w:rsidRDefault="001B5028" w:rsidP="001B5028">
      <w:r>
        <w:t>The submission provided a sensitivity analysis using an alternative data source for the comparator arm (RA). The analysis used data from Study 302-R1 which was a study comparing different chemotherapy regimens as consolidation therapy for HRNBL, followed by RA (refer to the PBAC ESC advice, Tables 2 to 6 for more details of this study). This analysis is a naïve comparison of single treatment arms (rather than a ma</w:t>
      </w:r>
      <w:r w:rsidR="001F2235">
        <w:t>tched or adjusted comparison).</w:t>
      </w:r>
    </w:p>
    <w:p w14:paraId="4FB3B1F9" w14:textId="77777777" w:rsidR="001B5028" w:rsidRDefault="001B5028" w:rsidP="001F2235">
      <w:pPr>
        <w:pStyle w:val="Heading2"/>
        <w:spacing w:before="240"/>
      </w:pPr>
      <w:r>
        <w:t>Sensitivity analyses</w:t>
      </w:r>
    </w:p>
    <w:p w14:paraId="68BCE4E9" w14:textId="14CC51A7" w:rsidR="005D7049" w:rsidRPr="001F2235" w:rsidRDefault="001B5028">
      <w:r>
        <w:t>Sensitivity analyses</w:t>
      </w:r>
      <w:r w:rsidR="00160DFF">
        <w:t xml:space="preserve"> conducted by the applicant</w:t>
      </w:r>
      <w:r>
        <w:t xml:space="preserve"> </w:t>
      </w:r>
      <w:proofErr w:type="gramStart"/>
      <w:r>
        <w:t>are presented</w:t>
      </w:r>
      <w:proofErr w:type="gramEnd"/>
      <w:r>
        <w:t xml:space="preserve"> in</w:t>
      </w:r>
      <w:r w:rsidR="0048211C">
        <w:t xml:space="preserve"> </w:t>
      </w:r>
      <w:r w:rsidR="0048211C" w:rsidRPr="0048211C">
        <w:rPr>
          <w:szCs w:val="24"/>
        </w:rPr>
        <w:fldChar w:fldCharType="begin"/>
      </w:r>
      <w:r w:rsidR="0048211C" w:rsidRPr="0048211C">
        <w:rPr>
          <w:szCs w:val="24"/>
        </w:rPr>
        <w:instrText xml:space="preserve"> REF _Ref54010574 \h  \* MERGEFORMAT </w:instrText>
      </w:r>
      <w:r w:rsidR="0048211C" w:rsidRPr="0048211C">
        <w:rPr>
          <w:szCs w:val="24"/>
        </w:rPr>
      </w:r>
      <w:r w:rsidR="0048211C" w:rsidRPr="0048211C">
        <w:rPr>
          <w:szCs w:val="24"/>
        </w:rPr>
        <w:fldChar w:fldCharType="separate"/>
      </w:r>
      <w:r w:rsidR="00991D81" w:rsidRPr="00991D81">
        <w:rPr>
          <w:rFonts w:eastAsiaTheme="majorEastAsia"/>
          <w:szCs w:val="24"/>
        </w:rPr>
        <w:t xml:space="preserve">Table </w:t>
      </w:r>
      <w:r w:rsidR="00991D81" w:rsidRPr="00991D81">
        <w:rPr>
          <w:rFonts w:eastAsiaTheme="majorEastAsia"/>
          <w:noProof/>
          <w:szCs w:val="24"/>
        </w:rPr>
        <w:t>15</w:t>
      </w:r>
      <w:r w:rsidR="0048211C" w:rsidRPr="0048211C">
        <w:rPr>
          <w:szCs w:val="24"/>
        </w:rPr>
        <w:fldChar w:fldCharType="end"/>
      </w:r>
      <w:r>
        <w:rPr>
          <w:szCs w:val="24"/>
        </w:rPr>
        <w:t>.</w:t>
      </w:r>
      <w:r w:rsidR="00160DFF">
        <w:rPr>
          <w:szCs w:val="24"/>
        </w:rPr>
        <w:t xml:space="preserve"> The MSAC consider two of these sensitivity analyses (indicated by italicised text) to be the more appropriate </w:t>
      </w:r>
      <w:bookmarkStart w:id="22" w:name="_Ref40081793"/>
      <w:r w:rsidR="001F2235">
        <w:rPr>
          <w:szCs w:val="24"/>
        </w:rPr>
        <w:t xml:space="preserve">base-cases for </w:t>
      </w:r>
      <w:proofErr w:type="gramStart"/>
      <w:r w:rsidR="001F2235">
        <w:rPr>
          <w:szCs w:val="24"/>
        </w:rPr>
        <w:t>decision making</w:t>
      </w:r>
      <w:proofErr w:type="gramEnd"/>
      <w:r w:rsidR="001F2235">
        <w:rPr>
          <w:szCs w:val="24"/>
        </w:rPr>
        <w:t>.</w:t>
      </w:r>
      <w:r w:rsidR="005D7049">
        <w:rPr>
          <w:rFonts w:eastAsiaTheme="majorEastAsia"/>
        </w:rPr>
        <w:br w:type="page"/>
      </w:r>
    </w:p>
    <w:p w14:paraId="5AAB8C89" w14:textId="7EB3C378" w:rsidR="001B5028" w:rsidRPr="00625D9D" w:rsidRDefault="001B5028" w:rsidP="00625D9D">
      <w:pPr>
        <w:rPr>
          <w:rFonts w:ascii="Arial Narrow" w:eastAsiaTheme="majorEastAsia" w:hAnsi="Arial Narrow"/>
          <w:b/>
          <w:sz w:val="20"/>
        </w:rPr>
      </w:pPr>
      <w:bookmarkStart w:id="23" w:name="_Ref54010574"/>
      <w:r w:rsidRPr="00625D9D">
        <w:rPr>
          <w:rFonts w:ascii="Arial Narrow" w:eastAsiaTheme="majorEastAsia" w:hAnsi="Arial Narrow"/>
          <w:b/>
          <w:sz w:val="20"/>
        </w:rPr>
        <w:lastRenderedPageBreak/>
        <w:t xml:space="preserve">Table </w:t>
      </w:r>
      <w:r w:rsidRPr="00625D9D">
        <w:rPr>
          <w:rFonts w:ascii="Arial Narrow" w:eastAsiaTheme="majorEastAsia" w:hAnsi="Arial Narrow"/>
          <w:b/>
          <w:sz w:val="20"/>
        </w:rPr>
        <w:fldChar w:fldCharType="begin"/>
      </w:r>
      <w:r w:rsidRPr="00625D9D">
        <w:rPr>
          <w:rFonts w:ascii="Arial Narrow" w:eastAsiaTheme="majorEastAsia" w:hAnsi="Arial Narrow"/>
          <w:b/>
          <w:sz w:val="20"/>
        </w:rPr>
        <w:instrText xml:space="preserve"> SEQ Table \* ARABIC </w:instrText>
      </w:r>
      <w:r w:rsidRPr="00625D9D">
        <w:rPr>
          <w:rFonts w:ascii="Arial Narrow" w:eastAsiaTheme="majorEastAsia" w:hAnsi="Arial Narrow"/>
          <w:b/>
          <w:sz w:val="20"/>
        </w:rPr>
        <w:fldChar w:fldCharType="separate"/>
      </w:r>
      <w:r w:rsidR="00991D81">
        <w:rPr>
          <w:rFonts w:ascii="Arial Narrow" w:eastAsiaTheme="majorEastAsia" w:hAnsi="Arial Narrow"/>
          <w:b/>
          <w:noProof/>
          <w:sz w:val="20"/>
        </w:rPr>
        <w:t>15</w:t>
      </w:r>
      <w:r w:rsidRPr="00625D9D">
        <w:rPr>
          <w:rFonts w:ascii="Arial Narrow" w:eastAsiaTheme="majorEastAsia" w:hAnsi="Arial Narrow"/>
          <w:b/>
          <w:sz w:val="20"/>
        </w:rPr>
        <w:fldChar w:fldCharType="end"/>
      </w:r>
      <w:bookmarkEnd w:id="22"/>
      <w:bookmarkEnd w:id="23"/>
      <w:r w:rsidRPr="00625D9D">
        <w:rPr>
          <w:rFonts w:ascii="Arial Narrow" w:eastAsiaTheme="majorEastAsia" w:hAnsi="Arial Narrow"/>
          <w:b/>
          <w:sz w:val="20"/>
        </w:rPr>
        <w:t xml:space="preserve"> </w:t>
      </w:r>
      <w:r w:rsidRPr="00625D9D">
        <w:rPr>
          <w:rFonts w:ascii="Arial Narrow" w:eastAsiaTheme="majorEastAsia" w:hAnsi="Arial Narrow"/>
          <w:b/>
          <w:sz w:val="20"/>
        </w:rPr>
        <w:tab/>
        <w:t>Sensitivity analyses</w:t>
      </w:r>
    </w:p>
    <w:tbl>
      <w:tblPr>
        <w:tblStyle w:val="TableGrid"/>
        <w:tblW w:w="5000" w:type="pct"/>
        <w:tblLook w:val="04A0" w:firstRow="1" w:lastRow="0" w:firstColumn="1" w:lastColumn="0" w:noHBand="0" w:noVBand="1"/>
        <w:tblDescription w:val="Sensitivity analyses"/>
      </w:tblPr>
      <w:tblGrid>
        <w:gridCol w:w="5111"/>
        <w:gridCol w:w="1630"/>
        <w:gridCol w:w="1138"/>
        <w:gridCol w:w="1137"/>
      </w:tblGrid>
      <w:tr w:rsidR="001B5028" w:rsidRPr="00A35954" w14:paraId="103144CA" w14:textId="77777777" w:rsidTr="001E4857">
        <w:trPr>
          <w:tblHeader/>
        </w:trPr>
        <w:tc>
          <w:tcPr>
            <w:tcW w:w="2835" w:type="pct"/>
          </w:tcPr>
          <w:p w14:paraId="023B3838" w14:textId="77777777" w:rsidR="001B5028" w:rsidRPr="00A35954" w:rsidRDefault="001B5028" w:rsidP="001B5028">
            <w:pPr>
              <w:pStyle w:val="In-tableHeading"/>
              <w:keepNext w:val="0"/>
              <w:rPr>
                <w:lang w:val="en-AU"/>
              </w:rPr>
            </w:pPr>
            <w:r w:rsidRPr="00A35954">
              <w:rPr>
                <w:lang w:val="en-AU"/>
              </w:rPr>
              <w:t>Analyses</w:t>
            </w:r>
          </w:p>
        </w:tc>
        <w:tc>
          <w:tcPr>
            <w:tcW w:w="904" w:type="pct"/>
          </w:tcPr>
          <w:p w14:paraId="34E864A8" w14:textId="77777777" w:rsidR="001B5028" w:rsidRPr="00A35954" w:rsidRDefault="001B5028" w:rsidP="001B5028">
            <w:pPr>
              <w:pStyle w:val="In-tableHeading"/>
              <w:keepNext w:val="0"/>
              <w:jc w:val="center"/>
              <w:rPr>
                <w:lang w:val="en-AU"/>
              </w:rPr>
            </w:pPr>
            <w:r w:rsidRPr="00A35954">
              <w:rPr>
                <w:lang w:val="en-AU"/>
              </w:rPr>
              <w:t>Incremental cost</w:t>
            </w:r>
          </w:p>
        </w:tc>
        <w:tc>
          <w:tcPr>
            <w:tcW w:w="631" w:type="pct"/>
          </w:tcPr>
          <w:p w14:paraId="526A503B" w14:textId="77777777" w:rsidR="001B5028" w:rsidRPr="00A35954" w:rsidRDefault="001B5028" w:rsidP="001B5028">
            <w:pPr>
              <w:pStyle w:val="In-tableHeading"/>
              <w:keepNext w:val="0"/>
              <w:jc w:val="center"/>
              <w:rPr>
                <w:lang w:val="en-AU"/>
              </w:rPr>
            </w:pPr>
            <w:r w:rsidRPr="00A35954">
              <w:rPr>
                <w:lang w:val="en-AU"/>
              </w:rPr>
              <w:t>Incremental QALYs</w:t>
            </w:r>
          </w:p>
        </w:tc>
        <w:tc>
          <w:tcPr>
            <w:tcW w:w="631" w:type="pct"/>
          </w:tcPr>
          <w:p w14:paraId="5394D80D" w14:textId="77777777" w:rsidR="001B5028" w:rsidRPr="00A35954" w:rsidRDefault="001B5028" w:rsidP="001B5028">
            <w:pPr>
              <w:pStyle w:val="In-tableHeading"/>
              <w:keepNext w:val="0"/>
              <w:jc w:val="center"/>
              <w:rPr>
                <w:lang w:val="en-AU"/>
              </w:rPr>
            </w:pPr>
            <w:r w:rsidRPr="00A35954">
              <w:rPr>
                <w:lang w:val="en-AU"/>
              </w:rPr>
              <w:t>Incremental cost per QALY</w:t>
            </w:r>
          </w:p>
        </w:tc>
      </w:tr>
      <w:tr w:rsidR="001E4857" w:rsidRPr="00A35954" w14:paraId="0C64F731" w14:textId="77777777" w:rsidTr="001E4857">
        <w:tc>
          <w:tcPr>
            <w:tcW w:w="2835" w:type="pct"/>
          </w:tcPr>
          <w:p w14:paraId="4D28B999" w14:textId="77777777" w:rsidR="001E4857" w:rsidRPr="00A35954" w:rsidRDefault="001E4857" w:rsidP="001E4857">
            <w:pPr>
              <w:pStyle w:val="TableText0"/>
              <w:rPr>
                <w:b/>
              </w:rPr>
            </w:pPr>
            <w:r w:rsidRPr="00A35954">
              <w:rPr>
                <w:b/>
              </w:rPr>
              <w:t>Base case</w:t>
            </w:r>
          </w:p>
        </w:tc>
        <w:tc>
          <w:tcPr>
            <w:tcW w:w="904" w:type="pct"/>
            <w:shd w:val="clear" w:color="auto" w:fill="FFFFFF" w:themeFill="background1"/>
          </w:tcPr>
          <w:p w14:paraId="2E64EF9C" w14:textId="17AC611E" w:rsidR="001E4857" w:rsidRPr="00A35954" w:rsidRDefault="001E4857" w:rsidP="001E4857">
            <w:pPr>
              <w:pStyle w:val="TableText0"/>
              <w:jc w:val="center"/>
            </w:pPr>
            <w:r w:rsidRPr="00A35954">
              <w:t>$redacted</w:t>
            </w:r>
          </w:p>
        </w:tc>
        <w:tc>
          <w:tcPr>
            <w:tcW w:w="631" w:type="pct"/>
            <w:shd w:val="clear" w:color="auto" w:fill="FFFFFF" w:themeFill="background1"/>
          </w:tcPr>
          <w:p w14:paraId="71490305" w14:textId="77777777" w:rsidR="001E4857" w:rsidRPr="00A35954" w:rsidRDefault="001E4857" w:rsidP="001E4857">
            <w:pPr>
              <w:pStyle w:val="TableText0"/>
              <w:jc w:val="center"/>
            </w:pPr>
            <w:r w:rsidRPr="00A35954">
              <w:rPr>
                <w:bCs/>
                <w:szCs w:val="20"/>
              </w:rPr>
              <w:t>2.6351</w:t>
            </w:r>
          </w:p>
        </w:tc>
        <w:tc>
          <w:tcPr>
            <w:tcW w:w="631" w:type="pct"/>
            <w:shd w:val="clear" w:color="auto" w:fill="FFFFFF" w:themeFill="background1"/>
          </w:tcPr>
          <w:p w14:paraId="1905BE5F" w14:textId="0F3D8C7C" w:rsidR="001E4857" w:rsidRPr="00A35954" w:rsidRDefault="001E4857" w:rsidP="001E4857">
            <w:pPr>
              <w:pStyle w:val="TableText0"/>
              <w:jc w:val="center"/>
            </w:pPr>
            <w:r w:rsidRPr="00A35954">
              <w:t>$redacted</w:t>
            </w:r>
          </w:p>
        </w:tc>
      </w:tr>
      <w:tr w:rsidR="001E4857" w:rsidRPr="00A35954" w14:paraId="70D3AABA" w14:textId="77777777" w:rsidTr="001E4857">
        <w:tc>
          <w:tcPr>
            <w:tcW w:w="2835" w:type="pct"/>
          </w:tcPr>
          <w:p w14:paraId="186BBA84" w14:textId="77777777" w:rsidR="001E4857" w:rsidRPr="00A35954" w:rsidRDefault="001E4857" w:rsidP="001E4857">
            <w:pPr>
              <w:pStyle w:val="TableText0"/>
              <w:rPr>
                <w:iCs/>
              </w:rPr>
            </w:pPr>
            <w:r w:rsidRPr="00A35954">
              <w:rPr>
                <w:iCs/>
              </w:rPr>
              <w:t xml:space="preserve">Weibull extrapolation for EFS and OS for DB arm (base case </w:t>
            </w:r>
            <w:proofErr w:type="spellStart"/>
            <w:r w:rsidRPr="00A35954">
              <w:rPr>
                <w:iCs/>
              </w:rPr>
              <w:t>Gompertz</w:t>
            </w:r>
            <w:proofErr w:type="spellEnd"/>
            <w:r w:rsidRPr="00A35954">
              <w:rPr>
                <w:iCs/>
              </w:rPr>
              <w:t xml:space="preserve">); RA arm unchanged from base case </w:t>
            </w:r>
          </w:p>
        </w:tc>
        <w:tc>
          <w:tcPr>
            <w:tcW w:w="904" w:type="pct"/>
            <w:shd w:val="clear" w:color="auto" w:fill="FFFFFF" w:themeFill="background1"/>
          </w:tcPr>
          <w:p w14:paraId="77DF17C4" w14:textId="33059DFC" w:rsidR="001E4857" w:rsidRPr="00A35954" w:rsidRDefault="001E4857" w:rsidP="001E4857">
            <w:pPr>
              <w:pStyle w:val="TableText0"/>
              <w:jc w:val="center"/>
              <w:rPr>
                <w:iCs/>
              </w:rPr>
            </w:pPr>
            <w:r w:rsidRPr="00A35954">
              <w:t>$redacted</w:t>
            </w:r>
          </w:p>
        </w:tc>
        <w:tc>
          <w:tcPr>
            <w:tcW w:w="631" w:type="pct"/>
            <w:shd w:val="clear" w:color="auto" w:fill="FFFFFF" w:themeFill="background1"/>
          </w:tcPr>
          <w:p w14:paraId="449FB4C9" w14:textId="3974FDE7" w:rsidR="001E4857" w:rsidRPr="00A35954" w:rsidRDefault="001E4857" w:rsidP="001E4857">
            <w:pPr>
              <w:pStyle w:val="TableText0"/>
              <w:jc w:val="center"/>
              <w:rPr>
                <w:iCs/>
              </w:rPr>
            </w:pPr>
            <w:r w:rsidRPr="00A35954">
              <w:rPr>
                <w:iCs/>
              </w:rPr>
              <w:t>redacted</w:t>
            </w:r>
          </w:p>
        </w:tc>
        <w:tc>
          <w:tcPr>
            <w:tcW w:w="631" w:type="pct"/>
            <w:shd w:val="clear" w:color="auto" w:fill="FFFFFF" w:themeFill="background1"/>
          </w:tcPr>
          <w:p w14:paraId="3DE76327" w14:textId="79BB97ED" w:rsidR="001E4857" w:rsidRPr="00A35954" w:rsidRDefault="001E4857" w:rsidP="001E4857">
            <w:pPr>
              <w:pStyle w:val="TableText0"/>
              <w:jc w:val="center"/>
              <w:rPr>
                <w:iCs/>
              </w:rPr>
            </w:pPr>
            <w:r w:rsidRPr="00A35954">
              <w:t>$redacted</w:t>
            </w:r>
          </w:p>
        </w:tc>
      </w:tr>
      <w:tr w:rsidR="001E4857" w:rsidRPr="00A35954" w14:paraId="2AB7AF35" w14:textId="77777777" w:rsidTr="001E4857">
        <w:tc>
          <w:tcPr>
            <w:tcW w:w="2835" w:type="pct"/>
          </w:tcPr>
          <w:p w14:paraId="0349A06E" w14:textId="474E7A57" w:rsidR="001E4857" w:rsidRPr="00A35954" w:rsidRDefault="001E4857" w:rsidP="001E4857">
            <w:pPr>
              <w:pStyle w:val="TableText0"/>
            </w:pPr>
            <w:r w:rsidRPr="00A35954">
              <w:t>100% inpatient treatment (cost $redacted per cycle)</w:t>
            </w:r>
          </w:p>
        </w:tc>
        <w:tc>
          <w:tcPr>
            <w:tcW w:w="904" w:type="pct"/>
            <w:shd w:val="clear" w:color="auto" w:fill="FFFFFF" w:themeFill="background1"/>
          </w:tcPr>
          <w:p w14:paraId="3A9C3D01" w14:textId="32AA4F61" w:rsidR="001E4857" w:rsidRPr="00A35954" w:rsidRDefault="001E4857" w:rsidP="001E4857">
            <w:pPr>
              <w:pStyle w:val="TableText0"/>
              <w:jc w:val="center"/>
              <w:rPr>
                <w:iCs/>
              </w:rPr>
            </w:pPr>
            <w:r w:rsidRPr="00A35954">
              <w:t>$redacted</w:t>
            </w:r>
          </w:p>
        </w:tc>
        <w:tc>
          <w:tcPr>
            <w:tcW w:w="631" w:type="pct"/>
            <w:shd w:val="clear" w:color="auto" w:fill="FFFFFF" w:themeFill="background1"/>
          </w:tcPr>
          <w:p w14:paraId="16DD2D2E" w14:textId="77777777" w:rsidR="001E4857" w:rsidRPr="00A35954" w:rsidRDefault="001E4857" w:rsidP="001E4857">
            <w:pPr>
              <w:pStyle w:val="TableText0"/>
              <w:jc w:val="center"/>
              <w:rPr>
                <w:iCs/>
              </w:rPr>
            </w:pPr>
            <w:r w:rsidRPr="00A35954">
              <w:rPr>
                <w:iCs/>
              </w:rPr>
              <w:t>2.6351</w:t>
            </w:r>
          </w:p>
        </w:tc>
        <w:tc>
          <w:tcPr>
            <w:tcW w:w="631" w:type="pct"/>
            <w:shd w:val="clear" w:color="auto" w:fill="FFFFFF" w:themeFill="background1"/>
          </w:tcPr>
          <w:p w14:paraId="3E1AF1B6" w14:textId="70649908" w:rsidR="001E4857" w:rsidRPr="00A35954" w:rsidRDefault="001E4857" w:rsidP="001E4857">
            <w:pPr>
              <w:pStyle w:val="TableText0"/>
              <w:jc w:val="center"/>
              <w:rPr>
                <w:iCs/>
              </w:rPr>
            </w:pPr>
            <w:r w:rsidRPr="00A35954">
              <w:t>$redacted</w:t>
            </w:r>
          </w:p>
        </w:tc>
      </w:tr>
      <w:tr w:rsidR="001E4857" w:rsidRPr="00A35954" w14:paraId="0BECD705" w14:textId="77777777" w:rsidTr="001E4857">
        <w:tc>
          <w:tcPr>
            <w:tcW w:w="2835" w:type="pct"/>
          </w:tcPr>
          <w:p w14:paraId="63C940CB" w14:textId="77777777" w:rsidR="001E4857" w:rsidRPr="00A35954" w:rsidRDefault="001E4857" w:rsidP="001E4857">
            <w:pPr>
              <w:pStyle w:val="TableText0"/>
            </w:pPr>
            <w:r w:rsidRPr="00A35954">
              <w:t>2% discount rate</w:t>
            </w:r>
          </w:p>
        </w:tc>
        <w:tc>
          <w:tcPr>
            <w:tcW w:w="904" w:type="pct"/>
            <w:shd w:val="clear" w:color="auto" w:fill="FFFFFF" w:themeFill="background1"/>
          </w:tcPr>
          <w:p w14:paraId="3AC7A2F5" w14:textId="5D0CEC03" w:rsidR="001E4857" w:rsidRPr="00A35954" w:rsidRDefault="001E4857" w:rsidP="001E4857">
            <w:pPr>
              <w:pStyle w:val="TableText0"/>
              <w:jc w:val="center"/>
              <w:rPr>
                <w:iCs/>
              </w:rPr>
            </w:pPr>
            <w:r w:rsidRPr="00A35954">
              <w:t>$redacted</w:t>
            </w:r>
          </w:p>
        </w:tc>
        <w:tc>
          <w:tcPr>
            <w:tcW w:w="631" w:type="pct"/>
            <w:shd w:val="clear" w:color="auto" w:fill="FFFFFF" w:themeFill="background1"/>
          </w:tcPr>
          <w:p w14:paraId="17C36A79" w14:textId="280BFFBA" w:rsidR="001E4857" w:rsidRPr="00A35954" w:rsidRDefault="001E4857" w:rsidP="001E4857">
            <w:pPr>
              <w:jc w:val="center"/>
              <w:rPr>
                <w:rFonts w:ascii="Arial Narrow" w:hAnsi="Arial Narrow" w:cs="Tahoma"/>
                <w:iCs/>
                <w:sz w:val="20"/>
                <w:szCs w:val="22"/>
                <w:lang w:eastAsia="en-US"/>
              </w:rPr>
            </w:pPr>
            <w:r w:rsidRPr="00A35954">
              <w:rPr>
                <w:rFonts w:ascii="Arial Narrow" w:hAnsi="Arial Narrow" w:cs="Tahoma"/>
                <w:iCs/>
                <w:sz w:val="20"/>
                <w:szCs w:val="22"/>
                <w:lang w:eastAsia="en-US"/>
              </w:rPr>
              <w:t>redacted</w:t>
            </w:r>
          </w:p>
        </w:tc>
        <w:tc>
          <w:tcPr>
            <w:tcW w:w="631" w:type="pct"/>
            <w:shd w:val="clear" w:color="auto" w:fill="FFFFFF" w:themeFill="background1"/>
          </w:tcPr>
          <w:p w14:paraId="3ED852CA" w14:textId="35FBB704" w:rsidR="001E4857" w:rsidRPr="00A35954" w:rsidRDefault="001E4857" w:rsidP="001E4857">
            <w:pPr>
              <w:pStyle w:val="TableText0"/>
              <w:jc w:val="center"/>
              <w:rPr>
                <w:iCs/>
              </w:rPr>
            </w:pPr>
            <w:r w:rsidRPr="00A35954">
              <w:t>$redacted</w:t>
            </w:r>
          </w:p>
        </w:tc>
      </w:tr>
      <w:tr w:rsidR="001E4857" w:rsidRPr="00A35954" w14:paraId="27A23883" w14:textId="77777777" w:rsidTr="001E4857">
        <w:tc>
          <w:tcPr>
            <w:tcW w:w="2835" w:type="pct"/>
          </w:tcPr>
          <w:p w14:paraId="180180CF" w14:textId="77777777" w:rsidR="001E4857" w:rsidRPr="00A35954" w:rsidRDefault="001E4857" w:rsidP="001E4857">
            <w:pPr>
              <w:pStyle w:val="TableText0"/>
            </w:pPr>
            <w:r w:rsidRPr="00A35954">
              <w:t>Using data from Study 302-R1 to inform the RA treatment arm</w:t>
            </w:r>
          </w:p>
        </w:tc>
        <w:tc>
          <w:tcPr>
            <w:tcW w:w="904" w:type="pct"/>
            <w:shd w:val="clear" w:color="auto" w:fill="FFFFFF" w:themeFill="background1"/>
          </w:tcPr>
          <w:p w14:paraId="0CB73C33" w14:textId="34223E05" w:rsidR="001E4857" w:rsidRPr="00A35954" w:rsidRDefault="001E4857" w:rsidP="001E4857">
            <w:pPr>
              <w:pStyle w:val="TableText0"/>
              <w:jc w:val="center"/>
              <w:rPr>
                <w:iCs/>
              </w:rPr>
            </w:pPr>
            <w:r w:rsidRPr="00A35954">
              <w:t>$redacted</w:t>
            </w:r>
          </w:p>
        </w:tc>
        <w:tc>
          <w:tcPr>
            <w:tcW w:w="631" w:type="pct"/>
            <w:shd w:val="clear" w:color="auto" w:fill="FFFFFF" w:themeFill="background1"/>
          </w:tcPr>
          <w:p w14:paraId="6C8D3070" w14:textId="13F6753C" w:rsidR="001E4857" w:rsidRPr="00A35954" w:rsidRDefault="001E4857" w:rsidP="001E4857">
            <w:pPr>
              <w:jc w:val="center"/>
              <w:rPr>
                <w:rFonts w:ascii="Arial Narrow" w:hAnsi="Arial Narrow" w:cs="Tahoma"/>
                <w:iCs/>
                <w:sz w:val="20"/>
                <w:szCs w:val="22"/>
                <w:lang w:eastAsia="en-US"/>
              </w:rPr>
            </w:pPr>
            <w:r w:rsidRPr="00A35954">
              <w:rPr>
                <w:rFonts w:ascii="Arial Narrow" w:hAnsi="Arial Narrow" w:cs="Tahoma"/>
                <w:iCs/>
                <w:sz w:val="20"/>
                <w:szCs w:val="22"/>
                <w:lang w:eastAsia="en-US"/>
              </w:rPr>
              <w:t>redacted</w:t>
            </w:r>
          </w:p>
        </w:tc>
        <w:tc>
          <w:tcPr>
            <w:tcW w:w="631" w:type="pct"/>
            <w:shd w:val="clear" w:color="auto" w:fill="FFFFFF" w:themeFill="background1"/>
          </w:tcPr>
          <w:p w14:paraId="7F883690" w14:textId="7B4F500A" w:rsidR="001E4857" w:rsidRPr="00A35954" w:rsidRDefault="001E4857" w:rsidP="001E4857">
            <w:pPr>
              <w:pStyle w:val="TableText0"/>
              <w:jc w:val="center"/>
              <w:rPr>
                <w:iCs/>
              </w:rPr>
            </w:pPr>
            <w:r w:rsidRPr="00A35954">
              <w:t>$redacted</w:t>
            </w:r>
          </w:p>
        </w:tc>
      </w:tr>
      <w:tr w:rsidR="001E4857" w:rsidRPr="00A35954" w14:paraId="6F71F04A" w14:textId="77777777" w:rsidTr="001E4857">
        <w:tc>
          <w:tcPr>
            <w:tcW w:w="2835" w:type="pct"/>
          </w:tcPr>
          <w:p w14:paraId="155EB95B" w14:textId="77777777" w:rsidR="001E4857" w:rsidRPr="00A35954" w:rsidRDefault="001E4857" w:rsidP="001E4857">
            <w:pPr>
              <w:pStyle w:val="TableText0"/>
            </w:pPr>
            <w:r w:rsidRPr="00A35954">
              <w:t xml:space="preserve">100% inpatient treatment </w:t>
            </w:r>
            <w:r w:rsidRPr="00A35954">
              <w:rPr>
                <w:u w:val="single"/>
              </w:rPr>
              <w:t>and</w:t>
            </w:r>
            <w:r w:rsidRPr="00A35954">
              <w:t xml:space="preserve"> assuming AR-DRG I65A per cycle </w:t>
            </w:r>
            <w:r w:rsidRPr="00A35954">
              <w:rPr>
                <w:u w:val="single"/>
              </w:rPr>
              <w:t>and</w:t>
            </w:r>
            <w:r w:rsidRPr="00A35954">
              <w:t xml:space="preserve"> removing cost of monitoring, AEs and concomitant medications</w:t>
            </w:r>
          </w:p>
        </w:tc>
        <w:tc>
          <w:tcPr>
            <w:tcW w:w="904" w:type="pct"/>
            <w:shd w:val="clear" w:color="auto" w:fill="FFFFFF" w:themeFill="background1"/>
          </w:tcPr>
          <w:p w14:paraId="1CBAD24B" w14:textId="02D24EEF" w:rsidR="001E4857" w:rsidRPr="00A35954" w:rsidRDefault="001E4857" w:rsidP="001E4857">
            <w:pPr>
              <w:pStyle w:val="TableText0"/>
              <w:jc w:val="center"/>
              <w:rPr>
                <w:iCs/>
              </w:rPr>
            </w:pPr>
            <w:r w:rsidRPr="00A35954">
              <w:t>$redacted</w:t>
            </w:r>
          </w:p>
        </w:tc>
        <w:tc>
          <w:tcPr>
            <w:tcW w:w="631" w:type="pct"/>
            <w:shd w:val="clear" w:color="auto" w:fill="FFFFFF" w:themeFill="background1"/>
          </w:tcPr>
          <w:p w14:paraId="46224643" w14:textId="77777777" w:rsidR="001E4857" w:rsidRPr="00A35954" w:rsidRDefault="001E4857" w:rsidP="001E4857">
            <w:pPr>
              <w:jc w:val="center"/>
              <w:rPr>
                <w:rFonts w:ascii="Arial Narrow" w:hAnsi="Arial Narrow" w:cs="Tahoma"/>
                <w:iCs/>
                <w:sz w:val="20"/>
                <w:szCs w:val="22"/>
                <w:lang w:eastAsia="en-US"/>
              </w:rPr>
            </w:pPr>
            <w:r w:rsidRPr="00A35954">
              <w:rPr>
                <w:rFonts w:ascii="Arial Narrow" w:hAnsi="Arial Narrow" w:cs="Tahoma"/>
                <w:iCs/>
                <w:sz w:val="20"/>
                <w:szCs w:val="22"/>
                <w:lang w:eastAsia="en-US"/>
              </w:rPr>
              <w:t>2.6351</w:t>
            </w:r>
          </w:p>
        </w:tc>
        <w:tc>
          <w:tcPr>
            <w:tcW w:w="631" w:type="pct"/>
            <w:shd w:val="clear" w:color="auto" w:fill="FFFFFF" w:themeFill="background1"/>
          </w:tcPr>
          <w:p w14:paraId="2BEE48F7" w14:textId="5CDA28BA" w:rsidR="001E4857" w:rsidRPr="00A35954" w:rsidRDefault="001E4857" w:rsidP="001E4857">
            <w:pPr>
              <w:pStyle w:val="TableText0"/>
              <w:jc w:val="center"/>
              <w:rPr>
                <w:iCs/>
              </w:rPr>
            </w:pPr>
            <w:r w:rsidRPr="00A35954">
              <w:t>$redacted</w:t>
            </w:r>
          </w:p>
        </w:tc>
      </w:tr>
      <w:tr w:rsidR="001B5028" w:rsidRPr="00A35954" w14:paraId="15D0AC1B" w14:textId="77777777" w:rsidTr="001E4857">
        <w:tc>
          <w:tcPr>
            <w:tcW w:w="2835" w:type="pct"/>
          </w:tcPr>
          <w:p w14:paraId="011C2872" w14:textId="77777777" w:rsidR="001B5028" w:rsidRPr="00A35954" w:rsidRDefault="001B5028" w:rsidP="001B5028">
            <w:pPr>
              <w:pStyle w:val="TableText0"/>
              <w:rPr>
                <w:i/>
              </w:rPr>
            </w:pPr>
            <w:r w:rsidRPr="00A35954">
              <w:rPr>
                <w:i/>
              </w:rPr>
              <w:t xml:space="preserve">100% inpatient treatment </w:t>
            </w:r>
            <w:r w:rsidRPr="00A35954">
              <w:rPr>
                <w:i/>
                <w:u w:val="single"/>
              </w:rPr>
              <w:t>and</w:t>
            </w:r>
            <w:r w:rsidRPr="00A35954">
              <w:rPr>
                <w:i/>
              </w:rPr>
              <w:t xml:space="preserve"> assuming AR-DRG I65A per cycle </w:t>
            </w:r>
            <w:r w:rsidRPr="00A35954">
              <w:rPr>
                <w:i/>
                <w:u w:val="single"/>
              </w:rPr>
              <w:t>and</w:t>
            </w:r>
            <w:r w:rsidRPr="00A35954">
              <w:rPr>
                <w:i/>
              </w:rPr>
              <w:t xml:space="preserve"> removing cost of monitoring, AEs and concomitant medications </w:t>
            </w:r>
            <w:r w:rsidRPr="00A35954">
              <w:rPr>
                <w:i/>
                <w:u w:val="single"/>
              </w:rPr>
              <w:t>and</w:t>
            </w:r>
            <w:r w:rsidRPr="00A35954">
              <w:rPr>
                <w:i/>
              </w:rPr>
              <w:t xml:space="preserve"> Weibull extrapolation </w:t>
            </w:r>
          </w:p>
        </w:tc>
        <w:tc>
          <w:tcPr>
            <w:tcW w:w="904" w:type="pct"/>
            <w:shd w:val="clear" w:color="auto" w:fill="FFFFFF" w:themeFill="background1"/>
          </w:tcPr>
          <w:p w14:paraId="5E742D9B" w14:textId="127A51F8" w:rsidR="001B5028" w:rsidRPr="005E4173" w:rsidRDefault="001E4857" w:rsidP="005E4173">
            <w:pPr>
              <w:jc w:val="center"/>
              <w:rPr>
                <w:rFonts w:ascii="Arial Narrow" w:hAnsi="Arial Narrow" w:cs="Tahoma"/>
                <w:i/>
                <w:iCs/>
                <w:sz w:val="20"/>
                <w:szCs w:val="22"/>
                <w:lang w:eastAsia="en-US"/>
              </w:rPr>
            </w:pPr>
            <w:r w:rsidRPr="00A35954">
              <w:rPr>
                <w:rFonts w:ascii="Arial Narrow" w:hAnsi="Arial Narrow" w:cs="Tahoma"/>
                <w:i/>
                <w:iCs/>
                <w:sz w:val="20"/>
                <w:szCs w:val="22"/>
                <w:lang w:eastAsia="en-US"/>
              </w:rPr>
              <w:t>$redacted</w:t>
            </w:r>
          </w:p>
        </w:tc>
        <w:tc>
          <w:tcPr>
            <w:tcW w:w="631" w:type="pct"/>
            <w:shd w:val="clear" w:color="auto" w:fill="FFFFFF" w:themeFill="background1"/>
          </w:tcPr>
          <w:p w14:paraId="581DF854" w14:textId="4A8F38F0" w:rsidR="001B5028" w:rsidRPr="00A35954" w:rsidRDefault="001E4857" w:rsidP="005E4173">
            <w:pPr>
              <w:jc w:val="center"/>
              <w:rPr>
                <w:rFonts w:ascii="Arial Narrow" w:hAnsi="Arial Narrow" w:cs="Tahoma"/>
                <w:i/>
                <w:iCs/>
                <w:sz w:val="20"/>
                <w:szCs w:val="22"/>
                <w:lang w:eastAsia="en-US"/>
              </w:rPr>
            </w:pPr>
            <w:r w:rsidRPr="00A35954">
              <w:rPr>
                <w:rFonts w:ascii="Arial Narrow" w:hAnsi="Arial Narrow" w:cs="Tahoma"/>
                <w:i/>
                <w:iCs/>
                <w:sz w:val="20"/>
                <w:szCs w:val="22"/>
                <w:lang w:eastAsia="en-US"/>
              </w:rPr>
              <w:t>redacted</w:t>
            </w:r>
          </w:p>
        </w:tc>
        <w:tc>
          <w:tcPr>
            <w:tcW w:w="631" w:type="pct"/>
            <w:shd w:val="clear" w:color="auto" w:fill="FFFFFF" w:themeFill="background1"/>
          </w:tcPr>
          <w:p w14:paraId="10CCA488" w14:textId="004A6D9B" w:rsidR="001B5028" w:rsidRPr="00A35954" w:rsidRDefault="001E4857" w:rsidP="001B5028">
            <w:pPr>
              <w:pStyle w:val="TableText0"/>
              <w:jc w:val="center"/>
              <w:rPr>
                <w:i/>
                <w:iCs/>
              </w:rPr>
            </w:pPr>
            <w:r w:rsidRPr="00A35954">
              <w:rPr>
                <w:i/>
                <w:iCs/>
              </w:rPr>
              <w:t>$redacted</w:t>
            </w:r>
          </w:p>
        </w:tc>
      </w:tr>
      <w:tr w:rsidR="00112C39" w:rsidRPr="00A35954" w14:paraId="62F63856" w14:textId="77777777" w:rsidTr="001E4857">
        <w:tc>
          <w:tcPr>
            <w:tcW w:w="2835" w:type="pct"/>
          </w:tcPr>
          <w:p w14:paraId="1D7E7BCD" w14:textId="285E9499" w:rsidR="00112C39" w:rsidRPr="00A35954" w:rsidRDefault="00112C39" w:rsidP="00112C39">
            <w:pPr>
              <w:pStyle w:val="TableText0"/>
              <w:rPr>
                <w:i/>
              </w:rPr>
            </w:pPr>
            <w:r w:rsidRPr="00A35954">
              <w:rPr>
                <w:i/>
              </w:rPr>
              <w:t xml:space="preserve">100% inpatient treatment </w:t>
            </w:r>
            <w:r w:rsidRPr="00A35954">
              <w:rPr>
                <w:i/>
                <w:u w:val="single"/>
              </w:rPr>
              <w:t>and</w:t>
            </w:r>
            <w:r w:rsidRPr="00A35954">
              <w:rPr>
                <w:i/>
              </w:rPr>
              <w:t xml:space="preserve"> assuming administration cost as provided by NSW </w:t>
            </w:r>
            <w:r w:rsidRPr="00A35954">
              <w:rPr>
                <w:i/>
                <w:u w:val="single"/>
              </w:rPr>
              <w:t>and</w:t>
            </w:r>
            <w:r w:rsidRPr="00A35954">
              <w:rPr>
                <w:i/>
              </w:rPr>
              <w:t xml:space="preserve"> Weibull extrapolation</w:t>
            </w:r>
          </w:p>
        </w:tc>
        <w:tc>
          <w:tcPr>
            <w:tcW w:w="904" w:type="pct"/>
            <w:shd w:val="clear" w:color="auto" w:fill="FFFFFF" w:themeFill="background1"/>
          </w:tcPr>
          <w:p w14:paraId="1860201F" w14:textId="4A55B77C" w:rsidR="00112C39" w:rsidRPr="00A35954" w:rsidRDefault="001E4857" w:rsidP="001B5028">
            <w:pPr>
              <w:jc w:val="center"/>
              <w:rPr>
                <w:rFonts w:ascii="Arial Narrow" w:hAnsi="Arial Narrow" w:cs="Tahoma"/>
                <w:i/>
                <w:iCs/>
                <w:sz w:val="20"/>
                <w:szCs w:val="22"/>
                <w:lang w:eastAsia="en-US"/>
              </w:rPr>
            </w:pPr>
            <w:r w:rsidRPr="00A35954">
              <w:rPr>
                <w:rFonts w:ascii="Arial Narrow" w:hAnsi="Arial Narrow" w:cs="Tahoma"/>
                <w:i/>
                <w:iCs/>
                <w:sz w:val="20"/>
                <w:szCs w:val="22"/>
                <w:lang w:eastAsia="en-US"/>
              </w:rPr>
              <w:t>$redacted</w:t>
            </w:r>
          </w:p>
        </w:tc>
        <w:tc>
          <w:tcPr>
            <w:tcW w:w="631" w:type="pct"/>
            <w:shd w:val="clear" w:color="auto" w:fill="FFFFFF" w:themeFill="background1"/>
          </w:tcPr>
          <w:p w14:paraId="3ABD0507" w14:textId="4082C0BA" w:rsidR="00112C39" w:rsidRPr="00A35954" w:rsidRDefault="001E4857" w:rsidP="005E4173">
            <w:pPr>
              <w:jc w:val="center"/>
              <w:rPr>
                <w:rFonts w:ascii="Arial Narrow" w:hAnsi="Arial Narrow" w:cs="Tahoma"/>
                <w:i/>
                <w:iCs/>
                <w:sz w:val="20"/>
                <w:szCs w:val="22"/>
                <w:lang w:eastAsia="en-US"/>
              </w:rPr>
            </w:pPr>
            <w:r w:rsidRPr="00A35954">
              <w:rPr>
                <w:rFonts w:ascii="Arial Narrow" w:hAnsi="Arial Narrow" w:cs="Tahoma"/>
                <w:i/>
                <w:iCs/>
                <w:sz w:val="20"/>
                <w:szCs w:val="22"/>
                <w:lang w:eastAsia="en-US"/>
              </w:rPr>
              <w:t>redacted</w:t>
            </w:r>
          </w:p>
        </w:tc>
        <w:tc>
          <w:tcPr>
            <w:tcW w:w="631" w:type="pct"/>
            <w:shd w:val="clear" w:color="auto" w:fill="FFFFFF" w:themeFill="background1"/>
          </w:tcPr>
          <w:p w14:paraId="0076A720" w14:textId="51F94C9C" w:rsidR="00112C39" w:rsidRPr="00A35954" w:rsidRDefault="001E4857" w:rsidP="001B5028">
            <w:pPr>
              <w:pStyle w:val="TableText0"/>
              <w:jc w:val="center"/>
              <w:rPr>
                <w:i/>
                <w:iCs/>
              </w:rPr>
            </w:pPr>
            <w:r w:rsidRPr="00A35954">
              <w:rPr>
                <w:i/>
                <w:iCs/>
              </w:rPr>
              <w:t>$redacted</w:t>
            </w:r>
          </w:p>
        </w:tc>
      </w:tr>
    </w:tbl>
    <w:p w14:paraId="01675237" w14:textId="77777777" w:rsidR="001B5028" w:rsidRPr="00A35954" w:rsidRDefault="001B5028" w:rsidP="001B5028">
      <w:pPr>
        <w:pStyle w:val="TableFooter"/>
      </w:pPr>
      <w:r w:rsidRPr="00A35954">
        <w:t xml:space="preserve">AE adverse event; DB </w:t>
      </w:r>
      <w:proofErr w:type="spellStart"/>
      <w:r w:rsidRPr="00A35954">
        <w:t>dinutuximab</w:t>
      </w:r>
      <w:proofErr w:type="spellEnd"/>
      <w:r w:rsidRPr="00A35954">
        <w:t xml:space="preserve"> beta; EFS event free survival; RA retinoic acid; OS overall survival</w:t>
      </w:r>
    </w:p>
    <w:p w14:paraId="4A3155E1" w14:textId="012B2EE2" w:rsidR="00F02ED0" w:rsidRPr="00A35954" w:rsidRDefault="001B5028" w:rsidP="008D3155">
      <w:pPr>
        <w:pStyle w:val="TableFooter"/>
        <w:spacing w:after="240"/>
      </w:pPr>
      <w:r w:rsidRPr="00A35954">
        <w:t xml:space="preserve">Source: </w:t>
      </w:r>
      <w:proofErr w:type="spellStart"/>
      <w:r w:rsidRPr="00A35954">
        <w:t>ModelHR</w:t>
      </w:r>
      <w:proofErr w:type="spellEnd"/>
      <w:r w:rsidRPr="00A35954">
        <w:t>, Cell GR: GV: $</w:t>
      </w:r>
      <w:r w:rsidR="001E4857" w:rsidRPr="00A35954">
        <w:t>redacted</w:t>
      </w:r>
      <w:r w:rsidRPr="00A35954">
        <w:t xml:space="preserve"> AND Results, W13, W14 and W15 = $0 [and Results D11, F11 to Weibull]</w:t>
      </w:r>
    </w:p>
    <w:p w14:paraId="1F4890BD" w14:textId="478BB9B6" w:rsidR="001B5028" w:rsidRPr="00A35954" w:rsidRDefault="001F2235" w:rsidP="001F2235">
      <w:pPr>
        <w:pStyle w:val="Heading2"/>
        <w:tabs>
          <w:tab w:val="left" w:pos="5196"/>
        </w:tabs>
        <w:spacing w:before="240"/>
      </w:pPr>
      <w:r w:rsidRPr="00A35954">
        <w:t>Cost per patient</w:t>
      </w:r>
    </w:p>
    <w:p w14:paraId="22150F2A" w14:textId="3EBEF346" w:rsidR="001B5028" w:rsidRPr="00A35954" w:rsidRDefault="001B5028" w:rsidP="001F2235">
      <w:pPr>
        <w:spacing w:after="240"/>
      </w:pPr>
      <w:r w:rsidRPr="00A35954">
        <w:t>The total drug and administration cost per patient (based on a BSA of 0.63m</w:t>
      </w:r>
      <w:r w:rsidRPr="00A35954">
        <w:rPr>
          <w:vertAlign w:val="superscript"/>
        </w:rPr>
        <w:t>2</w:t>
      </w:r>
      <w:r w:rsidRPr="00A35954">
        <w:t xml:space="preserve">), is summarised in </w:t>
      </w:r>
      <w:r w:rsidRPr="00A35954">
        <w:fldChar w:fldCharType="begin"/>
      </w:r>
      <w:r w:rsidRPr="00A35954">
        <w:instrText xml:space="preserve"> REF _Ref40167020 \h  \* MERGEFORMAT </w:instrText>
      </w:r>
      <w:r w:rsidRPr="00A35954">
        <w:fldChar w:fldCharType="separate"/>
      </w:r>
      <w:r w:rsidR="00991D81" w:rsidRPr="00991D81">
        <w:t>Table 16</w:t>
      </w:r>
      <w:r w:rsidRPr="00A35954">
        <w:fldChar w:fldCharType="end"/>
      </w:r>
      <w:r w:rsidRPr="00A35954">
        <w:t>.</w:t>
      </w:r>
    </w:p>
    <w:p w14:paraId="1CF38A03" w14:textId="36357E72" w:rsidR="001B5028" w:rsidRPr="00A35954" w:rsidRDefault="001B5028" w:rsidP="00625D9D">
      <w:pPr>
        <w:rPr>
          <w:rFonts w:ascii="Arial Narrow" w:eastAsiaTheme="majorEastAsia" w:hAnsi="Arial Narrow"/>
          <w:b/>
          <w:sz w:val="20"/>
        </w:rPr>
      </w:pPr>
      <w:bookmarkStart w:id="24" w:name="_Ref40167020"/>
      <w:r w:rsidRPr="00A35954">
        <w:rPr>
          <w:rFonts w:ascii="Arial Narrow" w:eastAsiaTheme="majorEastAsia" w:hAnsi="Arial Narrow"/>
          <w:b/>
          <w:sz w:val="20"/>
        </w:rPr>
        <w:t xml:space="preserve">Table </w:t>
      </w:r>
      <w:r w:rsidRPr="00A35954">
        <w:rPr>
          <w:rFonts w:ascii="Arial Narrow" w:eastAsiaTheme="majorEastAsia" w:hAnsi="Arial Narrow"/>
          <w:b/>
          <w:sz w:val="20"/>
        </w:rPr>
        <w:fldChar w:fldCharType="begin"/>
      </w:r>
      <w:r w:rsidRPr="00A35954">
        <w:rPr>
          <w:rFonts w:ascii="Arial Narrow" w:eastAsiaTheme="majorEastAsia" w:hAnsi="Arial Narrow"/>
          <w:b/>
          <w:sz w:val="20"/>
        </w:rPr>
        <w:instrText xml:space="preserve"> SEQ Table \* ARABIC </w:instrText>
      </w:r>
      <w:r w:rsidRPr="00A35954">
        <w:rPr>
          <w:rFonts w:ascii="Arial Narrow" w:eastAsiaTheme="majorEastAsia" w:hAnsi="Arial Narrow"/>
          <w:b/>
          <w:sz w:val="20"/>
        </w:rPr>
        <w:fldChar w:fldCharType="separate"/>
      </w:r>
      <w:r w:rsidR="00991D81">
        <w:rPr>
          <w:rFonts w:ascii="Arial Narrow" w:eastAsiaTheme="majorEastAsia" w:hAnsi="Arial Narrow"/>
          <w:b/>
          <w:noProof/>
          <w:sz w:val="20"/>
        </w:rPr>
        <w:t>16</w:t>
      </w:r>
      <w:r w:rsidRPr="00A35954">
        <w:rPr>
          <w:rFonts w:ascii="Arial Narrow" w:eastAsiaTheme="majorEastAsia" w:hAnsi="Arial Narrow"/>
          <w:b/>
          <w:sz w:val="20"/>
        </w:rPr>
        <w:fldChar w:fldCharType="end"/>
      </w:r>
      <w:bookmarkEnd w:id="24"/>
      <w:r w:rsidR="00625D9D" w:rsidRPr="00A35954">
        <w:rPr>
          <w:rFonts w:ascii="Arial Narrow" w:eastAsiaTheme="majorEastAsia" w:hAnsi="Arial Narrow"/>
          <w:b/>
          <w:sz w:val="20"/>
        </w:rPr>
        <w:t xml:space="preserve"> </w:t>
      </w:r>
      <w:r w:rsidR="00625D9D" w:rsidRPr="00A35954">
        <w:rPr>
          <w:rFonts w:ascii="Arial Narrow" w:eastAsiaTheme="majorEastAsia" w:hAnsi="Arial Narrow"/>
          <w:b/>
          <w:sz w:val="20"/>
        </w:rPr>
        <w:tab/>
        <w:t>Cost per patient</w:t>
      </w:r>
    </w:p>
    <w:tbl>
      <w:tblPr>
        <w:tblStyle w:val="TableGrid"/>
        <w:tblW w:w="0" w:type="auto"/>
        <w:tblLook w:val="04A0" w:firstRow="1" w:lastRow="0" w:firstColumn="1" w:lastColumn="0" w:noHBand="0" w:noVBand="1"/>
        <w:tblDescription w:val="Cost per patient  "/>
      </w:tblPr>
      <w:tblGrid>
        <w:gridCol w:w="3964"/>
        <w:gridCol w:w="1684"/>
        <w:gridCol w:w="1684"/>
        <w:gridCol w:w="1684"/>
      </w:tblGrid>
      <w:tr w:rsidR="001B5028" w:rsidRPr="00A35954" w14:paraId="1D76FDBE" w14:textId="77777777" w:rsidTr="00840515">
        <w:trPr>
          <w:tblHeader/>
        </w:trPr>
        <w:tc>
          <w:tcPr>
            <w:tcW w:w="3964" w:type="dxa"/>
          </w:tcPr>
          <w:p w14:paraId="46026111" w14:textId="77777777" w:rsidR="001B5028" w:rsidRPr="00A35954" w:rsidRDefault="001B5028" w:rsidP="001B5028">
            <w:pPr>
              <w:rPr>
                <w:rFonts w:ascii="Arial Narrow" w:hAnsi="Arial Narrow"/>
                <w:sz w:val="20"/>
              </w:rPr>
            </w:pPr>
          </w:p>
        </w:tc>
        <w:tc>
          <w:tcPr>
            <w:tcW w:w="1684" w:type="dxa"/>
          </w:tcPr>
          <w:p w14:paraId="6452AA0E" w14:textId="77777777" w:rsidR="001B5028" w:rsidRPr="00A35954" w:rsidRDefault="001B5028" w:rsidP="001B5028">
            <w:pPr>
              <w:jc w:val="center"/>
              <w:rPr>
                <w:rFonts w:ascii="Arial Narrow" w:hAnsi="Arial Narrow"/>
                <w:b/>
                <w:sz w:val="20"/>
              </w:rPr>
            </w:pPr>
            <w:r w:rsidRPr="00A35954">
              <w:rPr>
                <w:rFonts w:ascii="Arial Narrow" w:hAnsi="Arial Narrow"/>
                <w:b/>
                <w:sz w:val="20"/>
              </w:rPr>
              <w:t>DB cost</w:t>
            </w:r>
          </w:p>
        </w:tc>
        <w:tc>
          <w:tcPr>
            <w:tcW w:w="1684" w:type="dxa"/>
          </w:tcPr>
          <w:p w14:paraId="5252D5F8" w14:textId="77777777" w:rsidR="001B5028" w:rsidRPr="00A35954" w:rsidRDefault="001B5028" w:rsidP="001B5028">
            <w:pPr>
              <w:jc w:val="center"/>
              <w:rPr>
                <w:rFonts w:ascii="Arial Narrow" w:hAnsi="Arial Narrow"/>
                <w:b/>
                <w:sz w:val="20"/>
              </w:rPr>
            </w:pPr>
            <w:r w:rsidRPr="00A35954">
              <w:rPr>
                <w:rFonts w:ascii="Arial Narrow" w:hAnsi="Arial Narrow"/>
                <w:b/>
                <w:sz w:val="20"/>
              </w:rPr>
              <w:t>Administration cost</w:t>
            </w:r>
          </w:p>
        </w:tc>
        <w:tc>
          <w:tcPr>
            <w:tcW w:w="1684" w:type="dxa"/>
          </w:tcPr>
          <w:p w14:paraId="4EE760BC" w14:textId="77777777" w:rsidR="001B5028" w:rsidRPr="00A35954" w:rsidRDefault="001B5028" w:rsidP="001B5028">
            <w:pPr>
              <w:jc w:val="center"/>
              <w:rPr>
                <w:rFonts w:ascii="Arial Narrow" w:hAnsi="Arial Narrow"/>
                <w:b/>
                <w:sz w:val="20"/>
              </w:rPr>
            </w:pPr>
            <w:r w:rsidRPr="00A35954">
              <w:rPr>
                <w:rFonts w:ascii="Arial Narrow" w:hAnsi="Arial Narrow"/>
                <w:b/>
                <w:sz w:val="20"/>
              </w:rPr>
              <w:t>Total</w:t>
            </w:r>
          </w:p>
        </w:tc>
      </w:tr>
      <w:tr w:rsidR="001B5028" w:rsidRPr="00A35954" w14:paraId="5A0F0AEF" w14:textId="77777777" w:rsidTr="00A256AA">
        <w:tc>
          <w:tcPr>
            <w:tcW w:w="3964" w:type="dxa"/>
          </w:tcPr>
          <w:p w14:paraId="78F115A5" w14:textId="77777777" w:rsidR="001B5028" w:rsidRPr="00A35954" w:rsidRDefault="001B5028" w:rsidP="001B5028">
            <w:pPr>
              <w:rPr>
                <w:rFonts w:ascii="Arial Narrow" w:hAnsi="Arial Narrow"/>
                <w:sz w:val="20"/>
              </w:rPr>
            </w:pPr>
            <w:r w:rsidRPr="00A35954">
              <w:rPr>
                <w:rFonts w:ascii="Arial Narrow" w:hAnsi="Arial Narrow"/>
                <w:sz w:val="20"/>
              </w:rPr>
              <w:t>Base case (assuming 38% of inpatient treatment i.e. 19 days out of 50 days)</w:t>
            </w:r>
          </w:p>
        </w:tc>
        <w:tc>
          <w:tcPr>
            <w:tcW w:w="1684" w:type="dxa"/>
            <w:shd w:val="clear" w:color="auto" w:fill="auto"/>
          </w:tcPr>
          <w:p w14:paraId="53D860EA" w14:textId="6AD3A860" w:rsidR="001B5028" w:rsidRPr="00A35954" w:rsidRDefault="001E4857" w:rsidP="001B5028">
            <w:pPr>
              <w:jc w:val="center"/>
              <w:rPr>
                <w:rFonts w:ascii="Arial Narrow" w:hAnsi="Arial Narrow"/>
                <w:sz w:val="20"/>
              </w:rPr>
            </w:pPr>
            <w:r w:rsidRPr="00A35954">
              <w:rPr>
                <w:rFonts w:ascii="Arial Narrow" w:hAnsi="Arial Narrow"/>
                <w:sz w:val="20"/>
              </w:rPr>
              <w:t>$redacted</w:t>
            </w:r>
          </w:p>
        </w:tc>
        <w:tc>
          <w:tcPr>
            <w:tcW w:w="1684" w:type="dxa"/>
            <w:shd w:val="clear" w:color="auto" w:fill="FFFFFF" w:themeFill="background1"/>
          </w:tcPr>
          <w:p w14:paraId="2F0AC228" w14:textId="3E4E0CCE" w:rsidR="001B5028" w:rsidRPr="00A35954" w:rsidRDefault="001E4857" w:rsidP="001B5028">
            <w:pPr>
              <w:jc w:val="center"/>
              <w:rPr>
                <w:rFonts w:ascii="Arial Narrow" w:hAnsi="Arial Narrow"/>
                <w:sz w:val="20"/>
              </w:rPr>
            </w:pPr>
            <w:r w:rsidRPr="00A35954">
              <w:rPr>
                <w:rFonts w:ascii="Arial Narrow" w:hAnsi="Arial Narrow"/>
                <w:sz w:val="20"/>
              </w:rPr>
              <w:t>$redacted</w:t>
            </w:r>
          </w:p>
        </w:tc>
        <w:tc>
          <w:tcPr>
            <w:tcW w:w="1684" w:type="dxa"/>
            <w:shd w:val="clear" w:color="auto" w:fill="auto"/>
          </w:tcPr>
          <w:p w14:paraId="4AC74781" w14:textId="77A489CD" w:rsidR="001B5028" w:rsidRPr="00A35954" w:rsidRDefault="001B5028" w:rsidP="001E4857">
            <w:pPr>
              <w:jc w:val="center"/>
              <w:rPr>
                <w:rFonts w:ascii="Arial Narrow" w:hAnsi="Arial Narrow"/>
                <w:sz w:val="20"/>
              </w:rPr>
            </w:pPr>
            <w:r w:rsidRPr="00A35954">
              <w:rPr>
                <w:rFonts w:ascii="Arial Narrow" w:hAnsi="Arial Narrow"/>
                <w:sz w:val="20"/>
              </w:rPr>
              <w:t>$</w:t>
            </w:r>
            <w:r w:rsidR="001E4857" w:rsidRPr="00A35954">
              <w:rPr>
                <w:rFonts w:ascii="Arial Narrow" w:hAnsi="Arial Narrow"/>
                <w:sz w:val="20"/>
              </w:rPr>
              <w:t>redacted</w:t>
            </w:r>
            <w:r w:rsidRPr="00A35954">
              <w:rPr>
                <w:rFonts w:ascii="Arial Narrow" w:hAnsi="Arial Narrow"/>
                <w:sz w:val="20"/>
                <w:vertAlign w:val="superscript"/>
              </w:rPr>
              <w:t>1</w:t>
            </w:r>
          </w:p>
        </w:tc>
      </w:tr>
      <w:tr w:rsidR="001E4857" w:rsidRPr="00A35954" w14:paraId="34D72CDF" w14:textId="77777777" w:rsidTr="00A256AA">
        <w:tc>
          <w:tcPr>
            <w:tcW w:w="3964" w:type="dxa"/>
          </w:tcPr>
          <w:p w14:paraId="0E236252" w14:textId="77777777" w:rsidR="001E4857" w:rsidRPr="00A35954" w:rsidRDefault="001E4857" w:rsidP="001E4857">
            <w:pPr>
              <w:rPr>
                <w:rFonts w:ascii="Arial Narrow" w:hAnsi="Arial Narrow"/>
                <w:sz w:val="20"/>
              </w:rPr>
            </w:pPr>
            <w:r w:rsidRPr="00A35954">
              <w:rPr>
                <w:rFonts w:ascii="Arial Narrow" w:hAnsi="Arial Narrow"/>
                <w:sz w:val="20"/>
              </w:rPr>
              <w:t xml:space="preserve">Base case (assuming 100% of inpatient treatment) </w:t>
            </w:r>
          </w:p>
        </w:tc>
        <w:tc>
          <w:tcPr>
            <w:tcW w:w="1684" w:type="dxa"/>
            <w:shd w:val="clear" w:color="auto" w:fill="auto"/>
          </w:tcPr>
          <w:p w14:paraId="7E7FA20D" w14:textId="611080E0"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684" w:type="dxa"/>
            <w:shd w:val="clear" w:color="auto" w:fill="FFFFFF" w:themeFill="background1"/>
          </w:tcPr>
          <w:p w14:paraId="0178CAC2" w14:textId="1109EC57" w:rsidR="001E4857" w:rsidRPr="00A35954" w:rsidRDefault="001E4857" w:rsidP="001E4857">
            <w:pPr>
              <w:jc w:val="center"/>
              <w:rPr>
                <w:rFonts w:ascii="Arial Narrow" w:hAnsi="Arial Narrow"/>
                <w:sz w:val="20"/>
              </w:rPr>
            </w:pPr>
            <w:r w:rsidRPr="00A35954">
              <w:rPr>
                <w:rFonts w:ascii="Arial Narrow" w:hAnsi="Arial Narrow"/>
                <w:sz w:val="20"/>
              </w:rPr>
              <w:t>$redacted</w:t>
            </w:r>
            <w:r w:rsidRPr="00A35954">
              <w:rPr>
                <w:rFonts w:ascii="Arial Narrow" w:hAnsi="Arial Narrow"/>
                <w:sz w:val="20"/>
                <w:vertAlign w:val="superscript"/>
              </w:rPr>
              <w:t>2</w:t>
            </w:r>
          </w:p>
        </w:tc>
        <w:tc>
          <w:tcPr>
            <w:tcW w:w="1684" w:type="dxa"/>
            <w:shd w:val="clear" w:color="auto" w:fill="auto"/>
          </w:tcPr>
          <w:p w14:paraId="120715AC" w14:textId="17197458" w:rsidR="001E4857" w:rsidRPr="00A35954" w:rsidRDefault="001E4857" w:rsidP="001E4857">
            <w:pPr>
              <w:jc w:val="center"/>
              <w:rPr>
                <w:rFonts w:ascii="Arial Narrow" w:hAnsi="Arial Narrow"/>
                <w:sz w:val="20"/>
              </w:rPr>
            </w:pPr>
            <w:r w:rsidRPr="00A35954">
              <w:rPr>
                <w:rFonts w:ascii="Arial Narrow" w:hAnsi="Arial Narrow"/>
                <w:sz w:val="20"/>
              </w:rPr>
              <w:t>$redacted</w:t>
            </w:r>
          </w:p>
        </w:tc>
      </w:tr>
      <w:tr w:rsidR="001E4857" w:rsidRPr="00A35954" w14:paraId="63470E95" w14:textId="77777777" w:rsidTr="00A256AA">
        <w:tc>
          <w:tcPr>
            <w:tcW w:w="3964" w:type="dxa"/>
          </w:tcPr>
          <w:p w14:paraId="3DE12DA2" w14:textId="77777777" w:rsidR="001E4857" w:rsidRPr="00A35954" w:rsidRDefault="001E4857" w:rsidP="001E4857">
            <w:pPr>
              <w:rPr>
                <w:rFonts w:ascii="Arial Narrow" w:hAnsi="Arial Narrow"/>
                <w:sz w:val="20"/>
              </w:rPr>
            </w:pPr>
            <w:r w:rsidRPr="00A35954">
              <w:rPr>
                <w:rFonts w:ascii="Arial Narrow" w:hAnsi="Arial Narrow"/>
                <w:sz w:val="20"/>
              </w:rPr>
              <w:t>Sensitivity analysis assuming 100% inpatient treatment and AR-DRGI65A</w:t>
            </w:r>
          </w:p>
        </w:tc>
        <w:tc>
          <w:tcPr>
            <w:tcW w:w="1684" w:type="dxa"/>
            <w:shd w:val="clear" w:color="auto" w:fill="auto"/>
          </w:tcPr>
          <w:p w14:paraId="02A06E0B" w14:textId="4B2FB8A2"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684" w:type="dxa"/>
            <w:shd w:val="clear" w:color="auto" w:fill="FFFFFF" w:themeFill="background1"/>
          </w:tcPr>
          <w:p w14:paraId="5FAA510B" w14:textId="4321DE24" w:rsidR="001E4857" w:rsidRPr="00A35954" w:rsidRDefault="001E4857" w:rsidP="001E4857">
            <w:pPr>
              <w:jc w:val="center"/>
              <w:rPr>
                <w:rFonts w:ascii="Arial Narrow" w:hAnsi="Arial Narrow"/>
                <w:sz w:val="20"/>
              </w:rPr>
            </w:pPr>
            <w:r w:rsidRPr="00A35954">
              <w:rPr>
                <w:rFonts w:ascii="Arial Narrow" w:hAnsi="Arial Narrow" w:hint="eastAsia"/>
                <w:sz w:val="20"/>
              </w:rPr>
              <w:t>$</w:t>
            </w:r>
            <w:r w:rsidRPr="00A35954">
              <w:rPr>
                <w:rFonts w:ascii="Arial Narrow" w:hAnsi="Arial Narrow"/>
                <w:sz w:val="20"/>
              </w:rPr>
              <w:t>redacted</w:t>
            </w:r>
            <w:r w:rsidRPr="00A35954">
              <w:rPr>
                <w:rFonts w:ascii="Arial Narrow" w:hAnsi="Arial Narrow"/>
                <w:sz w:val="20"/>
                <w:vertAlign w:val="superscript"/>
              </w:rPr>
              <w:t>3</w:t>
            </w:r>
          </w:p>
        </w:tc>
        <w:tc>
          <w:tcPr>
            <w:tcW w:w="1684" w:type="dxa"/>
            <w:shd w:val="clear" w:color="auto" w:fill="auto"/>
          </w:tcPr>
          <w:p w14:paraId="23F403EB" w14:textId="7E08914A" w:rsidR="001E4857" w:rsidRPr="00A35954" w:rsidRDefault="001E4857" w:rsidP="001E4857">
            <w:pPr>
              <w:jc w:val="center"/>
              <w:rPr>
                <w:rFonts w:ascii="Arial Narrow" w:hAnsi="Arial Narrow"/>
                <w:sz w:val="20"/>
              </w:rPr>
            </w:pPr>
            <w:r w:rsidRPr="00A35954">
              <w:rPr>
                <w:rFonts w:ascii="Arial Narrow" w:hAnsi="Arial Narrow"/>
                <w:sz w:val="20"/>
              </w:rPr>
              <w:t>$redacted</w:t>
            </w:r>
          </w:p>
        </w:tc>
      </w:tr>
      <w:tr w:rsidR="001E4857" w:rsidRPr="00A35954" w14:paraId="5E0606AB" w14:textId="77777777" w:rsidTr="0014188F">
        <w:tc>
          <w:tcPr>
            <w:tcW w:w="3964" w:type="dxa"/>
          </w:tcPr>
          <w:p w14:paraId="3A800695" w14:textId="18030CBF" w:rsidR="001E4857" w:rsidRPr="00A35954" w:rsidRDefault="001E4857" w:rsidP="001E4857">
            <w:pPr>
              <w:rPr>
                <w:rFonts w:ascii="Arial Narrow" w:hAnsi="Arial Narrow"/>
                <w:sz w:val="20"/>
              </w:rPr>
            </w:pPr>
            <w:r w:rsidRPr="00A35954">
              <w:rPr>
                <w:rFonts w:ascii="Arial Narrow" w:hAnsi="Arial Narrow"/>
                <w:sz w:val="20"/>
              </w:rPr>
              <w:t>100% inpatient treatment and administration costs as estimated by NSW</w:t>
            </w:r>
          </w:p>
        </w:tc>
        <w:tc>
          <w:tcPr>
            <w:tcW w:w="1684" w:type="dxa"/>
            <w:shd w:val="clear" w:color="auto" w:fill="auto"/>
          </w:tcPr>
          <w:p w14:paraId="5C896781" w14:textId="5AC27878"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684" w:type="dxa"/>
            <w:shd w:val="clear" w:color="auto" w:fill="auto"/>
          </w:tcPr>
          <w:p w14:paraId="1E54B6DA" w14:textId="1476D72F" w:rsidR="001E4857" w:rsidRPr="00A35954" w:rsidRDefault="001E4857" w:rsidP="00B53B0F">
            <w:pPr>
              <w:jc w:val="center"/>
              <w:rPr>
                <w:rFonts w:ascii="Arial Narrow" w:hAnsi="Arial Narrow"/>
                <w:sz w:val="20"/>
              </w:rPr>
            </w:pPr>
            <w:r w:rsidRPr="00A35954">
              <w:rPr>
                <w:rFonts w:ascii="Arial Narrow" w:hAnsi="Arial Narrow"/>
                <w:sz w:val="20"/>
              </w:rPr>
              <w:t>$</w:t>
            </w:r>
            <w:r w:rsidR="00B53B0F">
              <w:rPr>
                <w:rFonts w:ascii="Arial Narrow" w:hAnsi="Arial Narrow"/>
                <w:sz w:val="20"/>
              </w:rPr>
              <w:t>redacted</w:t>
            </w:r>
          </w:p>
        </w:tc>
        <w:tc>
          <w:tcPr>
            <w:tcW w:w="1684" w:type="dxa"/>
            <w:shd w:val="clear" w:color="auto" w:fill="auto"/>
          </w:tcPr>
          <w:p w14:paraId="32F78DC1" w14:textId="55ED7A3A" w:rsidR="001E4857" w:rsidRPr="00A35954" w:rsidRDefault="001E4857" w:rsidP="001E4857">
            <w:pPr>
              <w:jc w:val="center"/>
              <w:rPr>
                <w:rFonts w:ascii="Arial Narrow" w:hAnsi="Arial Narrow"/>
                <w:sz w:val="20"/>
              </w:rPr>
            </w:pPr>
            <w:r w:rsidRPr="00A35954">
              <w:rPr>
                <w:rFonts w:ascii="Arial Narrow" w:hAnsi="Arial Narrow"/>
                <w:sz w:val="20"/>
              </w:rPr>
              <w:t>$redacted</w:t>
            </w:r>
          </w:p>
        </w:tc>
      </w:tr>
    </w:tbl>
    <w:p w14:paraId="38075D85" w14:textId="6A29C575" w:rsidR="001B5028" w:rsidRPr="00A35954" w:rsidRDefault="00F02ED0" w:rsidP="001B5028">
      <w:pPr>
        <w:pStyle w:val="TableFooter"/>
      </w:pPr>
      <w:r w:rsidRPr="00A35954">
        <w:t xml:space="preserve">1. </w:t>
      </w:r>
      <w:r w:rsidR="001B5028" w:rsidRPr="00A35954">
        <w:t>Does not include cost of concomitant medication ($</w:t>
      </w:r>
      <w:r w:rsidR="001E4857" w:rsidRPr="00A35954">
        <w:t>redacted</w:t>
      </w:r>
      <w:r w:rsidR="001B5028" w:rsidRPr="00A35954">
        <w:t>), management of AEs ($</w:t>
      </w:r>
      <w:r w:rsidR="001E4857" w:rsidRPr="00A35954">
        <w:t>redacted</w:t>
      </w:r>
      <w:r w:rsidR="001B5028" w:rsidRPr="00A35954">
        <w:t>) and cost of monitoring ($</w:t>
      </w:r>
      <w:r w:rsidR="001E4857" w:rsidRPr="00A35954">
        <w:t>redacted</w:t>
      </w:r>
      <w:r w:rsidR="001B5028" w:rsidRPr="00A35954">
        <w:t>)</w:t>
      </w:r>
    </w:p>
    <w:p w14:paraId="0D9B86AB" w14:textId="61681139" w:rsidR="001B5028" w:rsidRPr="00A35954" w:rsidRDefault="00F02ED0" w:rsidP="001B5028">
      <w:pPr>
        <w:pStyle w:val="TableFooter"/>
      </w:pPr>
      <w:r w:rsidRPr="00A35954">
        <w:t xml:space="preserve">2. </w:t>
      </w:r>
      <w:r w:rsidR="001B5028" w:rsidRPr="00A35954">
        <w:t>$</w:t>
      </w:r>
      <w:r w:rsidR="001E4857" w:rsidRPr="00A35954">
        <w:t>redacted</w:t>
      </w:r>
      <w:r w:rsidR="001B5028" w:rsidRPr="00A35954">
        <w:t xml:space="preserve"> for 5 cycles</w:t>
      </w:r>
    </w:p>
    <w:p w14:paraId="228A0F50" w14:textId="276BFA10" w:rsidR="00BC1364" w:rsidRPr="00A35954" w:rsidRDefault="00F02ED0" w:rsidP="001B5028">
      <w:pPr>
        <w:pStyle w:val="TableFooter"/>
      </w:pPr>
      <w:r w:rsidRPr="00A35954">
        <w:t xml:space="preserve">3. </w:t>
      </w:r>
      <w:r w:rsidR="001B5028" w:rsidRPr="00A35954">
        <w:t>$</w:t>
      </w:r>
      <w:r w:rsidR="001E4857" w:rsidRPr="00A35954">
        <w:t>redacted</w:t>
      </w:r>
      <w:r w:rsidR="001B5028" w:rsidRPr="00A35954">
        <w:t xml:space="preserve"> for 5 cycles</w:t>
      </w:r>
    </w:p>
    <w:p w14:paraId="68642D36" w14:textId="07821CBA" w:rsidR="0005796E" w:rsidRPr="00A35954" w:rsidRDefault="00EE173C" w:rsidP="001B5028">
      <w:pPr>
        <w:pStyle w:val="TableFooter"/>
      </w:pPr>
      <w:r w:rsidRPr="00A35954">
        <w:t>Source:</w:t>
      </w:r>
      <w:r w:rsidR="00B202D3" w:rsidRPr="00A35954">
        <w:t xml:space="preserve"> Table 13, p1</w:t>
      </w:r>
      <w:r w:rsidR="00F02ED0" w:rsidRPr="00A35954">
        <w:t>7</w:t>
      </w:r>
      <w:r w:rsidR="00B202D3" w:rsidRPr="00A35954">
        <w:t xml:space="preserve"> of the Departmental Overview</w:t>
      </w:r>
    </w:p>
    <w:p w14:paraId="62C2C600" w14:textId="65CB8696" w:rsidR="007D23B4" w:rsidRDefault="0005796E" w:rsidP="001F2235">
      <w:pPr>
        <w:spacing w:before="240"/>
      </w:pPr>
      <w:r w:rsidRPr="00A35954">
        <w:t xml:space="preserve">The </w:t>
      </w:r>
      <w:r w:rsidR="00F02ED0" w:rsidRPr="00A35954">
        <w:t xml:space="preserve">applicant’s </w:t>
      </w:r>
      <w:r w:rsidRPr="00A35954">
        <w:t xml:space="preserve">pre-MSAC response </w:t>
      </w:r>
      <w:r w:rsidR="007D23B4" w:rsidRPr="00A35954">
        <w:t>presented</w:t>
      </w:r>
      <w:r w:rsidRPr="00A35954">
        <w:t xml:space="preserve"> </w:t>
      </w:r>
      <w:r w:rsidR="005D7049" w:rsidRPr="00A35954">
        <w:t>a number of revised ICERs</w:t>
      </w:r>
      <w:r w:rsidR="007D23B4" w:rsidRPr="00A35954">
        <w:t xml:space="preserve"> that explored</w:t>
      </w:r>
      <w:r w:rsidR="00D9760D" w:rsidRPr="00A35954">
        <w:t xml:space="preserve"> </w:t>
      </w:r>
      <w:r w:rsidR="005D7049" w:rsidRPr="00A35954">
        <w:br/>
      </w:r>
      <w:r w:rsidR="00D9760D" w:rsidRPr="00A35954">
        <w:t>(</w:t>
      </w:r>
      <w:proofErr w:type="spellStart"/>
      <w:r w:rsidR="00D9760D" w:rsidRPr="00A35954">
        <w:t>i</w:t>
      </w:r>
      <w:proofErr w:type="spellEnd"/>
      <w:r w:rsidR="00D9760D" w:rsidRPr="00A35954">
        <w:t xml:space="preserve">) a </w:t>
      </w:r>
      <w:r w:rsidR="007D23B4" w:rsidRPr="00A35954">
        <w:t>reduction in h</w:t>
      </w:r>
      <w:r w:rsidRPr="00A35954">
        <w:t>ospital stay from 10 to 5 days</w:t>
      </w:r>
      <w:r w:rsidR="007D23B4" w:rsidRPr="00A35954">
        <w:t xml:space="preserve"> to reflect STI protoco</w:t>
      </w:r>
      <w:r w:rsidR="00D9760D" w:rsidRPr="00A35954">
        <w:t xml:space="preserve">l (ii) </w:t>
      </w:r>
      <w:r w:rsidR="007D23B4" w:rsidRPr="00A35954">
        <w:t>alternate AR-DRG code</w:t>
      </w:r>
      <w:r w:rsidR="00D9760D" w:rsidRPr="00A35954">
        <w:t xml:space="preserve">s (iii) </w:t>
      </w:r>
      <w:r w:rsidR="007D23B4" w:rsidRPr="00A35954">
        <w:t xml:space="preserve">alternate parametric </w:t>
      </w:r>
      <w:r w:rsidR="008F229C" w:rsidRPr="00A35954">
        <w:t xml:space="preserve">extrapolation methods </w:t>
      </w:r>
      <w:r w:rsidR="00D9760D" w:rsidRPr="00A35954">
        <w:t xml:space="preserve">and </w:t>
      </w:r>
      <w:proofErr w:type="gramStart"/>
      <w:r w:rsidR="00D9760D" w:rsidRPr="00A35954">
        <w:t xml:space="preserve">(iv) </w:t>
      </w:r>
      <w:r w:rsidR="007D23B4" w:rsidRPr="00A35954">
        <w:t>variable</w:t>
      </w:r>
      <w:proofErr w:type="gramEnd"/>
      <w:r w:rsidR="007D23B4" w:rsidRPr="00A35954">
        <w:t xml:space="preserve"> discoun</w:t>
      </w:r>
      <w:r w:rsidR="001C671F" w:rsidRPr="00A35954">
        <w:t>t</w:t>
      </w:r>
      <w:r w:rsidR="007D23B4" w:rsidRPr="00A35954">
        <w:t xml:space="preserve"> rates.</w:t>
      </w:r>
    </w:p>
    <w:p w14:paraId="59DA74FE" w14:textId="77777777" w:rsidR="00BC1364" w:rsidRPr="00F715D1" w:rsidRDefault="00BC1364" w:rsidP="00F715D1">
      <w:pPr>
        <w:pStyle w:val="Heading1"/>
      </w:pPr>
      <w:r w:rsidRPr="00F715D1">
        <w:t>Financial/budgetary impacts</w:t>
      </w:r>
    </w:p>
    <w:p w14:paraId="47315A58" w14:textId="79352C8D" w:rsidR="005D7049" w:rsidRPr="00922BD4" w:rsidRDefault="00EE173C">
      <w:pPr>
        <w:rPr>
          <w:rFonts w:ascii="Arial Narrow" w:eastAsiaTheme="majorEastAsia" w:hAnsi="Arial Narrow"/>
          <w:b/>
          <w:sz w:val="20"/>
        </w:rPr>
      </w:pPr>
      <w:r>
        <w:t xml:space="preserve">The </w:t>
      </w:r>
      <w:proofErr w:type="gramStart"/>
      <w:r>
        <w:t>applicant’s</w:t>
      </w:r>
      <w:proofErr w:type="gramEnd"/>
      <w:r>
        <w:t xml:space="preserve"> estimated overall cost of providing public funding for DB is summarised in</w:t>
      </w:r>
      <w:r w:rsidR="0046667A">
        <w:t xml:space="preserve"> </w:t>
      </w:r>
      <w:r w:rsidR="0046667A" w:rsidRPr="0046667A">
        <w:rPr>
          <w:szCs w:val="24"/>
        </w:rPr>
        <w:fldChar w:fldCharType="begin"/>
      </w:r>
      <w:r w:rsidR="0046667A" w:rsidRPr="0046667A">
        <w:rPr>
          <w:szCs w:val="24"/>
        </w:rPr>
        <w:instrText xml:space="preserve"> REF _Ref54010608 \h  \* MERGEFORMAT </w:instrText>
      </w:r>
      <w:r w:rsidR="0046667A" w:rsidRPr="0046667A">
        <w:rPr>
          <w:szCs w:val="24"/>
        </w:rPr>
      </w:r>
      <w:r w:rsidR="0046667A" w:rsidRPr="0046667A">
        <w:rPr>
          <w:szCs w:val="24"/>
        </w:rPr>
        <w:fldChar w:fldCharType="separate"/>
      </w:r>
      <w:r w:rsidR="00991D81" w:rsidRPr="00991D81">
        <w:rPr>
          <w:rFonts w:eastAsiaTheme="majorEastAsia"/>
          <w:szCs w:val="24"/>
        </w:rPr>
        <w:t xml:space="preserve">Table </w:t>
      </w:r>
      <w:r w:rsidR="00991D81" w:rsidRPr="00991D81">
        <w:rPr>
          <w:rFonts w:eastAsiaTheme="majorEastAsia"/>
          <w:noProof/>
          <w:szCs w:val="24"/>
        </w:rPr>
        <w:t>17</w:t>
      </w:r>
      <w:r w:rsidR="0046667A" w:rsidRPr="0046667A">
        <w:rPr>
          <w:szCs w:val="24"/>
        </w:rPr>
        <w:fldChar w:fldCharType="end"/>
      </w:r>
      <w:r>
        <w:t>. This estimate assumes 19 days of inpatient treatment (out of 50 days) consistent with the assumption applied in the base case economic model.</w:t>
      </w:r>
      <w:r w:rsidR="005B07D9">
        <w:t xml:space="preserve"> </w:t>
      </w:r>
      <w:r w:rsidR="00A12DE8">
        <w:t xml:space="preserve">The MSAC considered the estimated number of patients with HRNBL was reasonable and noted the </w:t>
      </w:r>
      <w:r w:rsidR="00666DFF">
        <w:t>total drug cost</w:t>
      </w:r>
      <w:r w:rsidR="00160DFF">
        <w:t xml:space="preserve"> will </w:t>
      </w:r>
      <w:r w:rsidR="00A12DE8">
        <w:t xml:space="preserve">need to </w:t>
      </w:r>
      <w:proofErr w:type="gramStart"/>
      <w:r w:rsidR="00160DFF">
        <w:t>be updated</w:t>
      </w:r>
      <w:proofErr w:type="gramEnd"/>
      <w:r w:rsidR="00160DFF">
        <w:t xml:space="preserve"> following agreement on a revised price.</w:t>
      </w:r>
      <w:bookmarkStart w:id="25" w:name="_Ref40096749"/>
      <w:r w:rsidR="005D7049">
        <w:rPr>
          <w:rFonts w:eastAsiaTheme="majorEastAsia"/>
        </w:rPr>
        <w:br w:type="page"/>
      </w:r>
    </w:p>
    <w:p w14:paraId="60639F87" w14:textId="36AE0427" w:rsidR="00EE173C" w:rsidRPr="00625D9D" w:rsidRDefault="00EE173C" w:rsidP="00625D9D">
      <w:pPr>
        <w:rPr>
          <w:rFonts w:ascii="Arial Narrow" w:eastAsiaTheme="majorEastAsia" w:hAnsi="Arial Narrow"/>
          <w:b/>
          <w:sz w:val="20"/>
        </w:rPr>
      </w:pPr>
      <w:bookmarkStart w:id="26" w:name="_Ref54010608"/>
      <w:r w:rsidRPr="00625D9D">
        <w:rPr>
          <w:rFonts w:ascii="Arial Narrow" w:eastAsiaTheme="majorEastAsia" w:hAnsi="Arial Narrow"/>
          <w:b/>
          <w:sz w:val="20"/>
        </w:rPr>
        <w:lastRenderedPageBreak/>
        <w:t xml:space="preserve">Table </w:t>
      </w:r>
      <w:r w:rsidRPr="00625D9D">
        <w:rPr>
          <w:rFonts w:ascii="Arial Narrow" w:eastAsiaTheme="majorEastAsia" w:hAnsi="Arial Narrow"/>
          <w:b/>
          <w:sz w:val="20"/>
        </w:rPr>
        <w:fldChar w:fldCharType="begin"/>
      </w:r>
      <w:r w:rsidRPr="00625D9D">
        <w:rPr>
          <w:rFonts w:ascii="Arial Narrow" w:eastAsiaTheme="majorEastAsia" w:hAnsi="Arial Narrow"/>
          <w:b/>
          <w:sz w:val="20"/>
        </w:rPr>
        <w:instrText xml:space="preserve"> SEQ Table \* ARABIC </w:instrText>
      </w:r>
      <w:r w:rsidRPr="00625D9D">
        <w:rPr>
          <w:rFonts w:ascii="Arial Narrow" w:eastAsiaTheme="majorEastAsia" w:hAnsi="Arial Narrow"/>
          <w:b/>
          <w:sz w:val="20"/>
        </w:rPr>
        <w:fldChar w:fldCharType="separate"/>
      </w:r>
      <w:r w:rsidR="00991D81">
        <w:rPr>
          <w:rFonts w:ascii="Arial Narrow" w:eastAsiaTheme="majorEastAsia" w:hAnsi="Arial Narrow"/>
          <w:b/>
          <w:noProof/>
          <w:sz w:val="20"/>
        </w:rPr>
        <w:t>17</w:t>
      </w:r>
      <w:r w:rsidRPr="00625D9D">
        <w:rPr>
          <w:rFonts w:ascii="Arial Narrow" w:eastAsiaTheme="majorEastAsia" w:hAnsi="Arial Narrow"/>
          <w:b/>
          <w:sz w:val="20"/>
        </w:rPr>
        <w:fldChar w:fldCharType="end"/>
      </w:r>
      <w:bookmarkEnd w:id="25"/>
      <w:bookmarkEnd w:id="26"/>
      <w:r w:rsidRPr="00625D9D">
        <w:rPr>
          <w:rFonts w:ascii="Arial Narrow" w:eastAsiaTheme="majorEastAsia" w:hAnsi="Arial Narrow"/>
          <w:b/>
          <w:sz w:val="20"/>
        </w:rPr>
        <w:t xml:space="preserve"> </w:t>
      </w:r>
      <w:r w:rsidRPr="00625D9D">
        <w:rPr>
          <w:rFonts w:ascii="Arial Narrow" w:eastAsiaTheme="majorEastAsia" w:hAnsi="Arial Narrow"/>
          <w:b/>
          <w:sz w:val="20"/>
        </w:rPr>
        <w:tab/>
        <w:t>Financial impact</w:t>
      </w:r>
    </w:p>
    <w:tbl>
      <w:tblPr>
        <w:tblStyle w:val="TableGrid"/>
        <w:tblW w:w="9067" w:type="dxa"/>
        <w:tblLayout w:type="fixed"/>
        <w:tblLook w:val="04A0" w:firstRow="1" w:lastRow="0" w:firstColumn="1" w:lastColumn="0" w:noHBand="0" w:noVBand="1"/>
        <w:tblDescription w:val="Financial impact"/>
      </w:tblPr>
      <w:tblGrid>
        <w:gridCol w:w="1271"/>
        <w:gridCol w:w="1559"/>
        <w:gridCol w:w="1039"/>
        <w:gridCol w:w="1040"/>
        <w:gridCol w:w="1039"/>
        <w:gridCol w:w="1040"/>
        <w:gridCol w:w="1039"/>
        <w:gridCol w:w="1040"/>
      </w:tblGrid>
      <w:tr w:rsidR="006B00A5" w:rsidRPr="00F65C40" w14:paraId="29874B06" w14:textId="77777777" w:rsidTr="00840515">
        <w:trPr>
          <w:tblHeader/>
        </w:trPr>
        <w:tc>
          <w:tcPr>
            <w:tcW w:w="1271" w:type="dxa"/>
          </w:tcPr>
          <w:p w14:paraId="68EBDC86" w14:textId="77777777" w:rsidR="006B00A5" w:rsidRPr="00F65C40" w:rsidRDefault="006B00A5" w:rsidP="009D2F49">
            <w:pPr>
              <w:rPr>
                <w:rFonts w:ascii="Arial Narrow" w:hAnsi="Arial Narrow"/>
                <w:sz w:val="20"/>
              </w:rPr>
            </w:pPr>
          </w:p>
        </w:tc>
        <w:tc>
          <w:tcPr>
            <w:tcW w:w="1559" w:type="dxa"/>
          </w:tcPr>
          <w:p w14:paraId="060E8C8B" w14:textId="77777777" w:rsidR="006B00A5" w:rsidRPr="000C5739" w:rsidRDefault="006B00A5" w:rsidP="009D2F49">
            <w:pPr>
              <w:rPr>
                <w:rFonts w:ascii="Arial Narrow" w:hAnsi="Arial Narrow"/>
                <w:b/>
                <w:sz w:val="20"/>
              </w:rPr>
            </w:pPr>
            <w:r w:rsidRPr="000C5739">
              <w:rPr>
                <w:rFonts w:ascii="Arial Narrow" w:hAnsi="Arial Narrow"/>
                <w:b/>
                <w:sz w:val="20"/>
              </w:rPr>
              <w:t>Assumption</w:t>
            </w:r>
          </w:p>
        </w:tc>
        <w:tc>
          <w:tcPr>
            <w:tcW w:w="1039" w:type="dxa"/>
          </w:tcPr>
          <w:p w14:paraId="77326F95" w14:textId="77777777" w:rsidR="006B00A5" w:rsidRPr="000C5739" w:rsidRDefault="006B00A5" w:rsidP="009D2F49">
            <w:pPr>
              <w:rPr>
                <w:rFonts w:ascii="Arial Narrow" w:hAnsi="Arial Narrow"/>
                <w:b/>
                <w:sz w:val="20"/>
              </w:rPr>
            </w:pPr>
            <w:r w:rsidRPr="000C5739">
              <w:rPr>
                <w:rFonts w:ascii="Arial Narrow" w:hAnsi="Arial Narrow"/>
                <w:b/>
                <w:sz w:val="20"/>
              </w:rPr>
              <w:t>Year 1</w:t>
            </w:r>
          </w:p>
        </w:tc>
        <w:tc>
          <w:tcPr>
            <w:tcW w:w="1040" w:type="dxa"/>
          </w:tcPr>
          <w:p w14:paraId="64EFA515" w14:textId="77777777" w:rsidR="006B00A5" w:rsidRPr="000C5739" w:rsidRDefault="006B00A5" w:rsidP="009D2F49">
            <w:pPr>
              <w:rPr>
                <w:rFonts w:ascii="Arial Narrow" w:hAnsi="Arial Narrow"/>
                <w:b/>
                <w:sz w:val="20"/>
              </w:rPr>
            </w:pPr>
            <w:r w:rsidRPr="000C5739">
              <w:rPr>
                <w:rFonts w:ascii="Arial Narrow" w:hAnsi="Arial Narrow"/>
                <w:b/>
                <w:sz w:val="20"/>
              </w:rPr>
              <w:t>Year 2</w:t>
            </w:r>
          </w:p>
        </w:tc>
        <w:tc>
          <w:tcPr>
            <w:tcW w:w="1039" w:type="dxa"/>
          </w:tcPr>
          <w:p w14:paraId="589CFD81" w14:textId="77777777" w:rsidR="006B00A5" w:rsidRPr="000C5739" w:rsidRDefault="006B00A5" w:rsidP="009D2F49">
            <w:pPr>
              <w:rPr>
                <w:rFonts w:ascii="Arial Narrow" w:hAnsi="Arial Narrow"/>
                <w:b/>
                <w:sz w:val="20"/>
              </w:rPr>
            </w:pPr>
            <w:r w:rsidRPr="000C5739">
              <w:rPr>
                <w:rFonts w:ascii="Arial Narrow" w:hAnsi="Arial Narrow"/>
                <w:b/>
                <w:sz w:val="20"/>
              </w:rPr>
              <w:t>Year 3</w:t>
            </w:r>
          </w:p>
        </w:tc>
        <w:tc>
          <w:tcPr>
            <w:tcW w:w="1040" w:type="dxa"/>
          </w:tcPr>
          <w:p w14:paraId="19B626C4" w14:textId="77777777" w:rsidR="006B00A5" w:rsidRPr="000C5739" w:rsidRDefault="006B00A5" w:rsidP="009D2F49">
            <w:pPr>
              <w:rPr>
                <w:rFonts w:ascii="Arial Narrow" w:hAnsi="Arial Narrow"/>
                <w:b/>
                <w:sz w:val="20"/>
              </w:rPr>
            </w:pPr>
            <w:r w:rsidRPr="000C5739">
              <w:rPr>
                <w:rFonts w:ascii="Arial Narrow" w:hAnsi="Arial Narrow"/>
                <w:b/>
                <w:sz w:val="20"/>
              </w:rPr>
              <w:t>Year 4</w:t>
            </w:r>
          </w:p>
        </w:tc>
        <w:tc>
          <w:tcPr>
            <w:tcW w:w="1039" w:type="dxa"/>
          </w:tcPr>
          <w:p w14:paraId="7BF9EC11" w14:textId="77777777" w:rsidR="006B00A5" w:rsidRPr="000C5739" w:rsidRDefault="006B00A5" w:rsidP="009D2F49">
            <w:pPr>
              <w:rPr>
                <w:rFonts w:ascii="Arial Narrow" w:hAnsi="Arial Narrow"/>
                <w:b/>
                <w:sz w:val="20"/>
              </w:rPr>
            </w:pPr>
            <w:r w:rsidRPr="000C5739">
              <w:rPr>
                <w:rFonts w:ascii="Arial Narrow" w:hAnsi="Arial Narrow"/>
                <w:b/>
                <w:sz w:val="20"/>
              </w:rPr>
              <w:t>Year 5</w:t>
            </w:r>
          </w:p>
        </w:tc>
        <w:tc>
          <w:tcPr>
            <w:tcW w:w="1040" w:type="dxa"/>
          </w:tcPr>
          <w:p w14:paraId="3DE2313A" w14:textId="77777777" w:rsidR="006B00A5" w:rsidRPr="000C5739" w:rsidRDefault="006B00A5" w:rsidP="009D2F49">
            <w:pPr>
              <w:rPr>
                <w:rFonts w:ascii="Arial Narrow" w:hAnsi="Arial Narrow"/>
                <w:b/>
                <w:sz w:val="20"/>
              </w:rPr>
            </w:pPr>
            <w:r w:rsidRPr="000C5739">
              <w:rPr>
                <w:rFonts w:ascii="Arial Narrow" w:hAnsi="Arial Narrow"/>
                <w:b/>
                <w:sz w:val="20"/>
              </w:rPr>
              <w:t>Year 6</w:t>
            </w:r>
          </w:p>
        </w:tc>
      </w:tr>
      <w:tr w:rsidR="006B00A5" w:rsidRPr="00F65C40" w14:paraId="0C451847" w14:textId="77777777" w:rsidTr="001F77B0">
        <w:tc>
          <w:tcPr>
            <w:tcW w:w="9067" w:type="dxa"/>
            <w:gridSpan w:val="8"/>
          </w:tcPr>
          <w:p w14:paraId="6987729E" w14:textId="5D71DFA4" w:rsidR="006B00A5" w:rsidRDefault="006B00A5" w:rsidP="009D2F49">
            <w:pPr>
              <w:rPr>
                <w:rFonts w:ascii="Arial Narrow" w:hAnsi="Arial Narrow"/>
                <w:sz w:val="20"/>
              </w:rPr>
            </w:pPr>
            <w:r>
              <w:rPr>
                <w:rFonts w:ascii="Arial Narrow" w:hAnsi="Arial Narrow"/>
                <w:sz w:val="20"/>
              </w:rPr>
              <w:t>Number of patients</w:t>
            </w:r>
          </w:p>
        </w:tc>
      </w:tr>
      <w:tr w:rsidR="006B00A5" w:rsidRPr="00F65C40" w14:paraId="6FB40835" w14:textId="77777777" w:rsidTr="006B00A5">
        <w:tc>
          <w:tcPr>
            <w:tcW w:w="1271" w:type="dxa"/>
          </w:tcPr>
          <w:p w14:paraId="51C11F74" w14:textId="77777777" w:rsidR="006B00A5" w:rsidRPr="00F65C40" w:rsidRDefault="006B00A5" w:rsidP="009D2F49">
            <w:pPr>
              <w:rPr>
                <w:rFonts w:ascii="Arial Narrow" w:hAnsi="Arial Narrow"/>
                <w:sz w:val="20"/>
              </w:rPr>
            </w:pPr>
            <w:r>
              <w:rPr>
                <w:rFonts w:ascii="Arial Narrow" w:hAnsi="Arial Narrow"/>
                <w:sz w:val="20"/>
              </w:rPr>
              <w:t>With NBL</w:t>
            </w:r>
          </w:p>
        </w:tc>
        <w:tc>
          <w:tcPr>
            <w:tcW w:w="1559" w:type="dxa"/>
          </w:tcPr>
          <w:p w14:paraId="5793D36F" w14:textId="77777777" w:rsidR="006B00A5" w:rsidRPr="00F65C40" w:rsidRDefault="006B00A5" w:rsidP="009D2F49">
            <w:pPr>
              <w:rPr>
                <w:rFonts w:ascii="Arial Narrow" w:hAnsi="Arial Narrow"/>
                <w:sz w:val="20"/>
              </w:rPr>
            </w:pPr>
            <w:r>
              <w:rPr>
                <w:rFonts w:ascii="Arial Narrow" w:hAnsi="Arial Narrow"/>
                <w:sz w:val="20"/>
              </w:rPr>
              <w:t>Incidence of 10.4 per million 0 to 14 year olds</w:t>
            </w:r>
          </w:p>
        </w:tc>
        <w:tc>
          <w:tcPr>
            <w:tcW w:w="1039" w:type="dxa"/>
          </w:tcPr>
          <w:p w14:paraId="5D231BD2" w14:textId="77777777" w:rsidR="006B00A5" w:rsidRPr="00F65C40" w:rsidRDefault="006B00A5" w:rsidP="009D2F49">
            <w:pPr>
              <w:jc w:val="center"/>
              <w:rPr>
                <w:rFonts w:ascii="Arial Narrow" w:hAnsi="Arial Narrow"/>
                <w:sz w:val="20"/>
              </w:rPr>
            </w:pPr>
            <w:r>
              <w:rPr>
                <w:rFonts w:ascii="Arial Narrow" w:hAnsi="Arial Narrow"/>
                <w:sz w:val="20"/>
              </w:rPr>
              <w:t>50</w:t>
            </w:r>
          </w:p>
        </w:tc>
        <w:tc>
          <w:tcPr>
            <w:tcW w:w="1040" w:type="dxa"/>
          </w:tcPr>
          <w:p w14:paraId="26EF209B" w14:textId="77777777" w:rsidR="006B00A5" w:rsidRPr="00F65C40" w:rsidRDefault="006B00A5" w:rsidP="009D2F49">
            <w:pPr>
              <w:jc w:val="center"/>
              <w:rPr>
                <w:rFonts w:ascii="Arial Narrow" w:hAnsi="Arial Narrow"/>
                <w:sz w:val="20"/>
              </w:rPr>
            </w:pPr>
            <w:r>
              <w:rPr>
                <w:rFonts w:ascii="Arial Narrow" w:hAnsi="Arial Narrow"/>
                <w:sz w:val="20"/>
              </w:rPr>
              <w:t>52</w:t>
            </w:r>
          </w:p>
        </w:tc>
        <w:tc>
          <w:tcPr>
            <w:tcW w:w="1039" w:type="dxa"/>
          </w:tcPr>
          <w:p w14:paraId="3EC2A191" w14:textId="77777777" w:rsidR="006B00A5" w:rsidRPr="00F65C40" w:rsidRDefault="006B00A5" w:rsidP="009D2F49">
            <w:pPr>
              <w:jc w:val="center"/>
              <w:rPr>
                <w:rFonts w:ascii="Arial Narrow" w:hAnsi="Arial Narrow"/>
                <w:sz w:val="20"/>
              </w:rPr>
            </w:pPr>
            <w:r>
              <w:rPr>
                <w:rFonts w:ascii="Arial Narrow" w:hAnsi="Arial Narrow"/>
                <w:sz w:val="20"/>
              </w:rPr>
              <w:t>54</w:t>
            </w:r>
          </w:p>
        </w:tc>
        <w:tc>
          <w:tcPr>
            <w:tcW w:w="1040" w:type="dxa"/>
          </w:tcPr>
          <w:p w14:paraId="4BBD078D" w14:textId="77777777" w:rsidR="006B00A5" w:rsidRPr="00F65C40" w:rsidRDefault="006B00A5" w:rsidP="009D2F49">
            <w:pPr>
              <w:jc w:val="center"/>
              <w:rPr>
                <w:rFonts w:ascii="Arial Narrow" w:hAnsi="Arial Narrow"/>
                <w:sz w:val="20"/>
              </w:rPr>
            </w:pPr>
            <w:r>
              <w:rPr>
                <w:rFonts w:ascii="Arial Narrow" w:hAnsi="Arial Narrow"/>
                <w:sz w:val="20"/>
              </w:rPr>
              <w:t>55</w:t>
            </w:r>
          </w:p>
        </w:tc>
        <w:tc>
          <w:tcPr>
            <w:tcW w:w="1039" w:type="dxa"/>
          </w:tcPr>
          <w:p w14:paraId="2DD777D4" w14:textId="77777777" w:rsidR="006B00A5" w:rsidRPr="00F65C40" w:rsidRDefault="006B00A5" w:rsidP="009D2F49">
            <w:pPr>
              <w:jc w:val="center"/>
              <w:rPr>
                <w:rFonts w:ascii="Arial Narrow" w:hAnsi="Arial Narrow"/>
                <w:sz w:val="20"/>
              </w:rPr>
            </w:pPr>
            <w:r>
              <w:rPr>
                <w:rFonts w:ascii="Arial Narrow" w:hAnsi="Arial Narrow"/>
                <w:sz w:val="20"/>
              </w:rPr>
              <w:t>57</w:t>
            </w:r>
          </w:p>
        </w:tc>
        <w:tc>
          <w:tcPr>
            <w:tcW w:w="1040" w:type="dxa"/>
          </w:tcPr>
          <w:p w14:paraId="3E1CBE0F" w14:textId="77777777" w:rsidR="006B00A5" w:rsidRPr="00F65C40" w:rsidRDefault="006B00A5" w:rsidP="009D2F49">
            <w:pPr>
              <w:jc w:val="center"/>
              <w:rPr>
                <w:rFonts w:ascii="Arial Narrow" w:hAnsi="Arial Narrow"/>
                <w:sz w:val="20"/>
              </w:rPr>
            </w:pPr>
            <w:r>
              <w:rPr>
                <w:rFonts w:ascii="Arial Narrow" w:hAnsi="Arial Narrow"/>
                <w:sz w:val="20"/>
              </w:rPr>
              <w:t>59</w:t>
            </w:r>
          </w:p>
        </w:tc>
      </w:tr>
      <w:tr w:rsidR="006B00A5" w:rsidRPr="00F65C40" w14:paraId="281A13E5" w14:textId="77777777" w:rsidTr="006B00A5">
        <w:tc>
          <w:tcPr>
            <w:tcW w:w="1271" w:type="dxa"/>
          </w:tcPr>
          <w:p w14:paraId="68ABD363" w14:textId="77777777" w:rsidR="006B00A5" w:rsidRDefault="006B00A5" w:rsidP="009D2F49">
            <w:pPr>
              <w:rPr>
                <w:rFonts w:ascii="Arial Narrow" w:hAnsi="Arial Narrow"/>
                <w:sz w:val="20"/>
              </w:rPr>
            </w:pPr>
            <w:r>
              <w:rPr>
                <w:rFonts w:ascii="Arial Narrow" w:hAnsi="Arial Narrow"/>
                <w:sz w:val="20"/>
              </w:rPr>
              <w:t>With HRNBL</w:t>
            </w:r>
          </w:p>
        </w:tc>
        <w:tc>
          <w:tcPr>
            <w:tcW w:w="1559" w:type="dxa"/>
          </w:tcPr>
          <w:p w14:paraId="0756E957" w14:textId="77777777" w:rsidR="006B00A5" w:rsidRPr="00F65C40" w:rsidRDefault="006B00A5" w:rsidP="009D2F49">
            <w:pPr>
              <w:rPr>
                <w:rFonts w:ascii="Arial Narrow" w:hAnsi="Arial Narrow"/>
                <w:sz w:val="20"/>
              </w:rPr>
            </w:pPr>
            <w:r>
              <w:rPr>
                <w:rFonts w:ascii="Arial Narrow" w:hAnsi="Arial Narrow"/>
                <w:sz w:val="20"/>
              </w:rPr>
              <w:t>~56%</w:t>
            </w:r>
          </w:p>
        </w:tc>
        <w:tc>
          <w:tcPr>
            <w:tcW w:w="1039" w:type="dxa"/>
            <w:tcBorders>
              <w:bottom w:val="single" w:sz="4" w:space="0" w:color="auto"/>
            </w:tcBorders>
          </w:tcPr>
          <w:p w14:paraId="2C42563E" w14:textId="77777777" w:rsidR="006B00A5" w:rsidRPr="00F65C40" w:rsidRDefault="006B00A5" w:rsidP="009D2F49">
            <w:pPr>
              <w:jc w:val="center"/>
              <w:rPr>
                <w:rFonts w:ascii="Arial Narrow" w:hAnsi="Arial Narrow"/>
                <w:sz w:val="20"/>
              </w:rPr>
            </w:pPr>
            <w:r>
              <w:rPr>
                <w:rFonts w:ascii="Arial Narrow" w:hAnsi="Arial Narrow"/>
                <w:sz w:val="20"/>
              </w:rPr>
              <w:t>28</w:t>
            </w:r>
          </w:p>
        </w:tc>
        <w:tc>
          <w:tcPr>
            <w:tcW w:w="1040" w:type="dxa"/>
            <w:tcBorders>
              <w:bottom w:val="single" w:sz="4" w:space="0" w:color="auto"/>
            </w:tcBorders>
          </w:tcPr>
          <w:p w14:paraId="07F365BD" w14:textId="77777777" w:rsidR="006B00A5" w:rsidRPr="00F65C40" w:rsidRDefault="006B00A5" w:rsidP="009D2F49">
            <w:pPr>
              <w:jc w:val="center"/>
              <w:rPr>
                <w:rFonts w:ascii="Arial Narrow" w:hAnsi="Arial Narrow"/>
                <w:sz w:val="20"/>
              </w:rPr>
            </w:pPr>
            <w:r>
              <w:rPr>
                <w:rFonts w:ascii="Arial Narrow" w:hAnsi="Arial Narrow"/>
                <w:sz w:val="20"/>
              </w:rPr>
              <w:t>29</w:t>
            </w:r>
          </w:p>
        </w:tc>
        <w:tc>
          <w:tcPr>
            <w:tcW w:w="1039" w:type="dxa"/>
            <w:tcBorders>
              <w:bottom w:val="single" w:sz="4" w:space="0" w:color="auto"/>
            </w:tcBorders>
          </w:tcPr>
          <w:p w14:paraId="1F92B5A4" w14:textId="77777777" w:rsidR="006B00A5" w:rsidRPr="00F65C40" w:rsidRDefault="006B00A5" w:rsidP="009D2F49">
            <w:pPr>
              <w:jc w:val="center"/>
              <w:rPr>
                <w:rFonts w:ascii="Arial Narrow" w:hAnsi="Arial Narrow"/>
                <w:sz w:val="20"/>
              </w:rPr>
            </w:pPr>
            <w:r>
              <w:rPr>
                <w:rFonts w:ascii="Arial Narrow" w:hAnsi="Arial Narrow"/>
                <w:sz w:val="20"/>
              </w:rPr>
              <w:t>30</w:t>
            </w:r>
          </w:p>
        </w:tc>
        <w:tc>
          <w:tcPr>
            <w:tcW w:w="1040" w:type="dxa"/>
            <w:tcBorders>
              <w:bottom w:val="single" w:sz="4" w:space="0" w:color="auto"/>
            </w:tcBorders>
          </w:tcPr>
          <w:p w14:paraId="5A4F0DF9" w14:textId="77777777" w:rsidR="006B00A5" w:rsidRPr="00F65C40" w:rsidRDefault="006B00A5" w:rsidP="009D2F49">
            <w:pPr>
              <w:jc w:val="center"/>
              <w:rPr>
                <w:rFonts w:ascii="Arial Narrow" w:hAnsi="Arial Narrow"/>
                <w:sz w:val="20"/>
              </w:rPr>
            </w:pPr>
            <w:r>
              <w:rPr>
                <w:rFonts w:ascii="Arial Narrow" w:hAnsi="Arial Narrow"/>
                <w:sz w:val="20"/>
              </w:rPr>
              <w:t>31</w:t>
            </w:r>
          </w:p>
        </w:tc>
        <w:tc>
          <w:tcPr>
            <w:tcW w:w="1039" w:type="dxa"/>
            <w:tcBorders>
              <w:bottom w:val="single" w:sz="4" w:space="0" w:color="auto"/>
            </w:tcBorders>
          </w:tcPr>
          <w:p w14:paraId="25D7E88B" w14:textId="77777777" w:rsidR="006B00A5" w:rsidRPr="00F65C40" w:rsidRDefault="006B00A5" w:rsidP="009D2F49">
            <w:pPr>
              <w:jc w:val="center"/>
              <w:rPr>
                <w:rFonts w:ascii="Arial Narrow" w:hAnsi="Arial Narrow"/>
                <w:sz w:val="20"/>
              </w:rPr>
            </w:pPr>
            <w:r>
              <w:rPr>
                <w:rFonts w:ascii="Arial Narrow" w:hAnsi="Arial Narrow"/>
                <w:sz w:val="20"/>
              </w:rPr>
              <w:t>32</w:t>
            </w:r>
          </w:p>
        </w:tc>
        <w:tc>
          <w:tcPr>
            <w:tcW w:w="1040" w:type="dxa"/>
            <w:tcBorders>
              <w:bottom w:val="single" w:sz="4" w:space="0" w:color="auto"/>
            </w:tcBorders>
          </w:tcPr>
          <w:p w14:paraId="6700E33A" w14:textId="77777777" w:rsidR="006B00A5" w:rsidRPr="00F65C40" w:rsidRDefault="006B00A5" w:rsidP="009D2F49">
            <w:pPr>
              <w:jc w:val="center"/>
              <w:rPr>
                <w:rFonts w:ascii="Arial Narrow" w:hAnsi="Arial Narrow"/>
                <w:sz w:val="20"/>
              </w:rPr>
            </w:pPr>
            <w:r>
              <w:rPr>
                <w:rFonts w:ascii="Arial Narrow" w:hAnsi="Arial Narrow"/>
                <w:sz w:val="20"/>
              </w:rPr>
              <w:t>33</w:t>
            </w:r>
          </w:p>
        </w:tc>
      </w:tr>
      <w:tr w:rsidR="006B00A5" w:rsidRPr="00F65C40" w14:paraId="06C37DD2" w14:textId="77777777" w:rsidTr="001F77B0">
        <w:tc>
          <w:tcPr>
            <w:tcW w:w="9067" w:type="dxa"/>
            <w:gridSpan w:val="8"/>
            <w:tcBorders>
              <w:right w:val="single" w:sz="4" w:space="0" w:color="auto"/>
            </w:tcBorders>
          </w:tcPr>
          <w:p w14:paraId="61835793" w14:textId="42206FCA" w:rsidR="006B00A5" w:rsidRPr="000C5739" w:rsidRDefault="006B00A5" w:rsidP="009D2F49">
            <w:pPr>
              <w:rPr>
                <w:rFonts w:ascii="Arial Narrow" w:hAnsi="Arial Narrow"/>
                <w:sz w:val="20"/>
              </w:rPr>
            </w:pPr>
            <w:r>
              <w:rPr>
                <w:rFonts w:ascii="Arial Narrow" w:hAnsi="Arial Narrow"/>
                <w:sz w:val="20"/>
              </w:rPr>
              <w:t>Drug cost</w:t>
            </w:r>
          </w:p>
        </w:tc>
      </w:tr>
      <w:tr w:rsidR="001E4857" w:rsidRPr="00A35954" w14:paraId="32CF84CA" w14:textId="77777777" w:rsidTr="001E4857">
        <w:tc>
          <w:tcPr>
            <w:tcW w:w="1271" w:type="dxa"/>
          </w:tcPr>
          <w:p w14:paraId="14BE857B" w14:textId="77777777" w:rsidR="001E4857" w:rsidRPr="00A35954" w:rsidRDefault="001E4857" w:rsidP="001E4857">
            <w:pPr>
              <w:rPr>
                <w:rFonts w:ascii="Arial Narrow" w:hAnsi="Arial Narrow"/>
                <w:sz w:val="20"/>
              </w:rPr>
            </w:pPr>
            <w:r w:rsidRPr="00A35954">
              <w:rPr>
                <w:rFonts w:ascii="Arial Narrow" w:hAnsi="Arial Narrow"/>
                <w:sz w:val="20"/>
              </w:rPr>
              <w:t xml:space="preserve">Total vials </w:t>
            </w:r>
          </w:p>
        </w:tc>
        <w:tc>
          <w:tcPr>
            <w:tcW w:w="1559" w:type="dxa"/>
            <w:shd w:val="clear" w:color="auto" w:fill="auto"/>
          </w:tcPr>
          <w:p w14:paraId="456BAD12" w14:textId="31282E67" w:rsidR="001E4857" w:rsidRPr="00A35954" w:rsidRDefault="001E4857" w:rsidP="001E4857">
            <w:pPr>
              <w:rPr>
                <w:rFonts w:ascii="Arial Narrow" w:hAnsi="Arial Narrow"/>
                <w:sz w:val="20"/>
              </w:rPr>
            </w:pPr>
            <w:r w:rsidRPr="00A35954">
              <w:rPr>
                <w:rFonts w:ascii="Arial Narrow" w:hAnsi="Arial Narrow"/>
                <w:sz w:val="20"/>
              </w:rPr>
              <w:t>redacted per cycle (based on BSA of 0.63m</w:t>
            </w:r>
            <w:r w:rsidRPr="00A35954">
              <w:rPr>
                <w:rFonts w:ascii="Arial Narrow" w:hAnsi="Arial Narrow"/>
                <w:sz w:val="20"/>
                <w:vertAlign w:val="superscript"/>
              </w:rPr>
              <w:t>2</w:t>
            </w:r>
            <w:r w:rsidRPr="00A35954">
              <w:rPr>
                <w:rFonts w:ascii="Arial Narrow" w:hAnsi="Arial Narrow"/>
                <w:sz w:val="20"/>
              </w:rPr>
              <w:t>)</w:t>
            </w:r>
            <w:r w:rsidRPr="00A35954">
              <w:rPr>
                <w:rFonts w:ascii="Arial Narrow" w:hAnsi="Arial Narrow"/>
                <w:sz w:val="20"/>
                <w:vertAlign w:val="superscript"/>
              </w:rPr>
              <w:t xml:space="preserve"> </w:t>
            </w:r>
            <w:r w:rsidRPr="00A35954">
              <w:rPr>
                <w:rFonts w:ascii="Arial Narrow" w:hAnsi="Arial Narrow"/>
                <w:sz w:val="20"/>
              </w:rPr>
              <w:t>for 5 cycles</w:t>
            </w:r>
          </w:p>
          <w:p w14:paraId="4EDB5A23" w14:textId="77777777" w:rsidR="001E4857" w:rsidRPr="00A35954" w:rsidRDefault="001E4857" w:rsidP="001E4857">
            <w:pPr>
              <w:rPr>
                <w:rFonts w:ascii="Arial Narrow" w:hAnsi="Arial Narrow"/>
                <w:sz w:val="20"/>
              </w:rPr>
            </w:pPr>
          </w:p>
        </w:tc>
        <w:tc>
          <w:tcPr>
            <w:tcW w:w="1039" w:type="dxa"/>
            <w:tcBorders>
              <w:top w:val="single" w:sz="4" w:space="0" w:color="auto"/>
              <w:left w:val="nil"/>
              <w:bottom w:val="single" w:sz="4" w:space="0" w:color="auto"/>
              <w:right w:val="single" w:sz="4" w:space="0" w:color="auto"/>
            </w:tcBorders>
            <w:shd w:val="clear" w:color="auto" w:fill="FFFFFF" w:themeFill="background1"/>
          </w:tcPr>
          <w:p w14:paraId="501DDF4F" w14:textId="611F5D37"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14:paraId="250CB770" w14:textId="3246117A"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tcPr>
          <w:p w14:paraId="73E60014" w14:textId="36153AAB"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14:paraId="599DE88A" w14:textId="627F0500"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tcPr>
          <w:p w14:paraId="19EED7EB" w14:textId="573C1B40"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DE076B" w14:textId="5DBA026B" w:rsidR="001E4857" w:rsidRPr="00A35954" w:rsidRDefault="001E4857" w:rsidP="001E4857">
            <w:pPr>
              <w:jc w:val="center"/>
              <w:rPr>
                <w:rFonts w:ascii="Arial Narrow" w:hAnsi="Arial Narrow"/>
                <w:sz w:val="20"/>
              </w:rPr>
            </w:pPr>
            <w:r w:rsidRPr="00A35954">
              <w:rPr>
                <w:rFonts w:ascii="Arial Narrow" w:hAnsi="Arial Narrow"/>
                <w:sz w:val="20"/>
              </w:rPr>
              <w:t>redacted</w:t>
            </w:r>
          </w:p>
        </w:tc>
      </w:tr>
      <w:tr w:rsidR="001E4857" w:rsidRPr="00A35954" w14:paraId="7C2F82C9" w14:textId="77777777" w:rsidTr="001E4857">
        <w:tc>
          <w:tcPr>
            <w:tcW w:w="1271" w:type="dxa"/>
          </w:tcPr>
          <w:p w14:paraId="5E260908" w14:textId="77777777" w:rsidR="001E4857" w:rsidRPr="00A35954" w:rsidRDefault="001E4857" w:rsidP="001E4857">
            <w:pPr>
              <w:rPr>
                <w:rFonts w:ascii="Arial Narrow" w:hAnsi="Arial Narrow"/>
                <w:sz w:val="20"/>
              </w:rPr>
            </w:pPr>
            <w:r w:rsidRPr="00A35954">
              <w:rPr>
                <w:rFonts w:ascii="Arial Narrow" w:hAnsi="Arial Narrow"/>
                <w:sz w:val="20"/>
              </w:rPr>
              <w:t>Total drug cost</w:t>
            </w:r>
          </w:p>
        </w:tc>
        <w:tc>
          <w:tcPr>
            <w:tcW w:w="1559" w:type="dxa"/>
            <w:shd w:val="clear" w:color="auto" w:fill="auto"/>
          </w:tcPr>
          <w:p w14:paraId="3D097880" w14:textId="4C0F4B19" w:rsidR="001E4857" w:rsidRPr="00A35954" w:rsidRDefault="001E4857" w:rsidP="001E4857">
            <w:pPr>
              <w:rPr>
                <w:rFonts w:ascii="Arial Narrow" w:hAnsi="Arial Narrow"/>
                <w:sz w:val="20"/>
              </w:rPr>
            </w:pPr>
            <w:r w:rsidRPr="00A35954">
              <w:rPr>
                <w:rFonts w:ascii="Arial Narrow" w:hAnsi="Arial Narrow"/>
                <w:sz w:val="20"/>
              </w:rPr>
              <w:t>$redacted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F608837" w14:textId="60107E43"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255664EC" w14:textId="17F399DE"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nil"/>
              <w:bottom w:val="single" w:sz="4" w:space="0" w:color="auto"/>
              <w:right w:val="single" w:sz="4" w:space="0" w:color="auto"/>
            </w:tcBorders>
            <w:shd w:val="clear" w:color="auto" w:fill="auto"/>
          </w:tcPr>
          <w:p w14:paraId="7E6A7B63" w14:textId="54F8597D"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560C7402" w14:textId="686CE775"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nil"/>
              <w:bottom w:val="single" w:sz="4" w:space="0" w:color="auto"/>
              <w:right w:val="single" w:sz="4" w:space="0" w:color="auto"/>
            </w:tcBorders>
            <w:shd w:val="clear" w:color="auto" w:fill="auto"/>
          </w:tcPr>
          <w:p w14:paraId="36CB520F" w14:textId="583C1C7E"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3117E16B" w14:textId="3821EC99" w:rsidR="001E4857" w:rsidRPr="00A35954" w:rsidRDefault="001E4857" w:rsidP="001E4857">
            <w:pPr>
              <w:jc w:val="center"/>
              <w:rPr>
                <w:rFonts w:ascii="Arial Narrow" w:hAnsi="Arial Narrow"/>
                <w:sz w:val="20"/>
              </w:rPr>
            </w:pPr>
            <w:r w:rsidRPr="00A35954">
              <w:rPr>
                <w:rFonts w:ascii="Arial Narrow" w:hAnsi="Arial Narrow"/>
                <w:sz w:val="20"/>
              </w:rPr>
              <w:t>$redacted</w:t>
            </w:r>
          </w:p>
        </w:tc>
      </w:tr>
      <w:tr w:rsidR="006B00A5" w:rsidRPr="00A35954" w14:paraId="29D29BE4" w14:textId="77777777" w:rsidTr="001F77B0">
        <w:tc>
          <w:tcPr>
            <w:tcW w:w="9067" w:type="dxa"/>
            <w:gridSpan w:val="8"/>
            <w:tcBorders>
              <w:right w:val="single" w:sz="4" w:space="0" w:color="auto"/>
            </w:tcBorders>
          </w:tcPr>
          <w:p w14:paraId="70C0A6F9" w14:textId="71942EA6" w:rsidR="006B00A5" w:rsidRPr="00A35954" w:rsidRDefault="006B00A5" w:rsidP="009D2F49">
            <w:pPr>
              <w:rPr>
                <w:rFonts w:ascii="Arial Narrow" w:hAnsi="Arial Narrow"/>
                <w:sz w:val="20"/>
              </w:rPr>
            </w:pPr>
            <w:r w:rsidRPr="00A35954">
              <w:rPr>
                <w:rFonts w:ascii="Arial Narrow" w:hAnsi="Arial Narrow"/>
                <w:sz w:val="20"/>
              </w:rPr>
              <w:t>Administration costs</w:t>
            </w:r>
          </w:p>
        </w:tc>
      </w:tr>
      <w:tr w:rsidR="001E4857" w:rsidRPr="00A35954" w14:paraId="114484E1" w14:textId="77777777" w:rsidTr="001E4857">
        <w:tc>
          <w:tcPr>
            <w:tcW w:w="1271" w:type="dxa"/>
          </w:tcPr>
          <w:p w14:paraId="0FB33001" w14:textId="77777777" w:rsidR="001E4857" w:rsidRPr="00A35954" w:rsidRDefault="001E4857" w:rsidP="001E4857">
            <w:pPr>
              <w:rPr>
                <w:rFonts w:ascii="Arial Narrow" w:hAnsi="Arial Narrow"/>
                <w:sz w:val="20"/>
              </w:rPr>
            </w:pPr>
            <w:r w:rsidRPr="00A35954">
              <w:rPr>
                <w:rFonts w:ascii="Arial Narrow" w:hAnsi="Arial Narrow"/>
                <w:sz w:val="20"/>
              </w:rPr>
              <w:t>Hospital admission costs</w:t>
            </w:r>
            <w:r w:rsidRPr="00A35954">
              <w:rPr>
                <w:rFonts w:ascii="Arial Narrow" w:hAnsi="Arial Narrow"/>
                <w:sz w:val="20"/>
                <w:vertAlign w:val="superscript"/>
              </w:rPr>
              <w:t>1</w:t>
            </w:r>
          </w:p>
        </w:tc>
        <w:tc>
          <w:tcPr>
            <w:tcW w:w="1559" w:type="dxa"/>
          </w:tcPr>
          <w:p w14:paraId="470E992E" w14:textId="77777777" w:rsidR="001E4857" w:rsidRPr="00A35954" w:rsidRDefault="001E4857" w:rsidP="001E4857">
            <w:pPr>
              <w:rPr>
                <w:rFonts w:ascii="Arial Narrow" w:hAnsi="Arial Narrow"/>
                <w:sz w:val="20"/>
                <w:vertAlign w:val="superscript"/>
              </w:rPr>
            </w:pPr>
            <w:r w:rsidRPr="00A35954">
              <w:rPr>
                <w:rFonts w:ascii="Arial Narrow" w:hAnsi="Arial Narrow"/>
                <w:sz w:val="20"/>
              </w:rPr>
              <w:t>Assuming 19 days inpatient treatment</w:t>
            </w:r>
            <w:r w:rsidRPr="00A35954">
              <w:rPr>
                <w:rFonts w:ascii="Arial Narrow" w:hAnsi="Arial Narrow"/>
                <w:sz w:val="20"/>
                <w:vertAlign w:val="superscript"/>
              </w:rPr>
              <w:t>2</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617556D" w14:textId="6CCE30F5"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1834F6AA" w14:textId="610F02A5"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nil"/>
              <w:bottom w:val="single" w:sz="4" w:space="0" w:color="auto"/>
              <w:right w:val="single" w:sz="4" w:space="0" w:color="auto"/>
            </w:tcBorders>
            <w:shd w:val="clear" w:color="auto" w:fill="auto"/>
          </w:tcPr>
          <w:p w14:paraId="42E796D9" w14:textId="3D92DA36"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4992DA6C" w14:textId="5E7DD602"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nil"/>
              <w:bottom w:val="single" w:sz="4" w:space="0" w:color="auto"/>
              <w:right w:val="single" w:sz="4" w:space="0" w:color="auto"/>
            </w:tcBorders>
            <w:shd w:val="clear" w:color="auto" w:fill="auto"/>
          </w:tcPr>
          <w:p w14:paraId="21D2480A" w14:textId="6AE03666"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1B226334" w14:textId="32D70F74" w:rsidR="001E4857" w:rsidRPr="00A35954" w:rsidRDefault="001E4857" w:rsidP="001E4857">
            <w:pPr>
              <w:jc w:val="center"/>
              <w:rPr>
                <w:rFonts w:ascii="Arial Narrow" w:hAnsi="Arial Narrow"/>
                <w:sz w:val="20"/>
              </w:rPr>
            </w:pPr>
            <w:r w:rsidRPr="00A35954">
              <w:rPr>
                <w:rFonts w:ascii="Arial Narrow" w:hAnsi="Arial Narrow"/>
                <w:sz w:val="20"/>
              </w:rPr>
              <w:t>$redacted</w:t>
            </w:r>
          </w:p>
        </w:tc>
      </w:tr>
      <w:tr w:rsidR="001E4857" w:rsidRPr="00A35954" w14:paraId="3D4158CF" w14:textId="77777777" w:rsidTr="001E4857">
        <w:tc>
          <w:tcPr>
            <w:tcW w:w="2830" w:type="dxa"/>
            <w:gridSpan w:val="2"/>
          </w:tcPr>
          <w:p w14:paraId="014CB90D" w14:textId="4E360764" w:rsidR="001E4857" w:rsidRPr="00A35954" w:rsidRDefault="001E4857" w:rsidP="001E4857">
            <w:pPr>
              <w:rPr>
                <w:rFonts w:ascii="Arial Narrow" w:hAnsi="Arial Narrow"/>
                <w:sz w:val="20"/>
              </w:rPr>
            </w:pPr>
            <w:r w:rsidRPr="00A35954">
              <w:rPr>
                <w:rFonts w:ascii="Arial Narrow" w:hAnsi="Arial Narrow"/>
                <w:sz w:val="20"/>
              </w:rPr>
              <w:t>Total cost</w:t>
            </w:r>
          </w:p>
        </w:tc>
        <w:tc>
          <w:tcPr>
            <w:tcW w:w="1039" w:type="dxa"/>
            <w:tcBorders>
              <w:top w:val="single" w:sz="4" w:space="0" w:color="auto"/>
              <w:left w:val="nil"/>
              <w:bottom w:val="single" w:sz="4" w:space="0" w:color="auto"/>
              <w:right w:val="single" w:sz="4" w:space="0" w:color="auto"/>
            </w:tcBorders>
            <w:shd w:val="clear" w:color="auto" w:fill="auto"/>
          </w:tcPr>
          <w:p w14:paraId="7763D068" w14:textId="2F1E9E33"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B3F17D3" w14:textId="5535A62F"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E81CA33" w14:textId="55090CA9"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36EA7B" w14:textId="04D5E860"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9CE565D" w14:textId="511D9C54"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BD3F3EA" w14:textId="62B685FA" w:rsidR="001E4857" w:rsidRPr="00A35954" w:rsidRDefault="001E4857" w:rsidP="001E4857">
            <w:pPr>
              <w:jc w:val="center"/>
              <w:rPr>
                <w:rFonts w:ascii="Arial Narrow" w:hAnsi="Arial Narrow"/>
                <w:sz w:val="20"/>
              </w:rPr>
            </w:pPr>
            <w:r w:rsidRPr="00A35954">
              <w:rPr>
                <w:rFonts w:ascii="Arial Narrow" w:hAnsi="Arial Narrow"/>
                <w:sz w:val="20"/>
              </w:rPr>
              <w:t>$redacted</w:t>
            </w:r>
          </w:p>
        </w:tc>
      </w:tr>
    </w:tbl>
    <w:p w14:paraId="0EF8E055" w14:textId="77777777" w:rsidR="00EE173C" w:rsidRPr="00A35954" w:rsidRDefault="00EE173C" w:rsidP="00EE173C">
      <w:pPr>
        <w:pStyle w:val="ListParagraph"/>
        <w:numPr>
          <w:ilvl w:val="0"/>
          <w:numId w:val="32"/>
        </w:numPr>
        <w:jc w:val="both"/>
        <w:rPr>
          <w:rFonts w:ascii="Arial Narrow" w:hAnsi="Arial Narrow"/>
          <w:sz w:val="18"/>
          <w:szCs w:val="18"/>
        </w:rPr>
      </w:pPr>
      <w:r w:rsidRPr="00A35954">
        <w:rPr>
          <w:rFonts w:ascii="Arial Narrow" w:hAnsi="Arial Narrow"/>
          <w:sz w:val="18"/>
          <w:szCs w:val="18"/>
        </w:rPr>
        <w:t>Summary worksheet, D43 to I43</w:t>
      </w:r>
    </w:p>
    <w:p w14:paraId="7CC2DC44" w14:textId="509167C1" w:rsidR="00EE173C" w:rsidRPr="00A35954" w:rsidRDefault="00EE173C" w:rsidP="00EE173C">
      <w:pPr>
        <w:pStyle w:val="ListParagraph"/>
        <w:numPr>
          <w:ilvl w:val="0"/>
          <w:numId w:val="32"/>
        </w:numPr>
        <w:jc w:val="both"/>
        <w:rPr>
          <w:rFonts w:ascii="Arial Narrow" w:hAnsi="Arial Narrow"/>
          <w:sz w:val="18"/>
          <w:szCs w:val="18"/>
        </w:rPr>
      </w:pPr>
      <w:r w:rsidRPr="00A35954">
        <w:rPr>
          <w:rFonts w:ascii="Arial Narrow" w:hAnsi="Arial Narrow"/>
          <w:sz w:val="18"/>
          <w:szCs w:val="18"/>
        </w:rPr>
        <w:t>Inpatient cost $</w:t>
      </w:r>
      <w:r w:rsidR="001E4857" w:rsidRPr="00A35954">
        <w:rPr>
          <w:rFonts w:ascii="Arial Narrow" w:hAnsi="Arial Narrow"/>
          <w:sz w:val="18"/>
          <w:szCs w:val="18"/>
        </w:rPr>
        <w:t>redacted</w:t>
      </w:r>
      <w:r w:rsidRPr="00A35954">
        <w:rPr>
          <w:rFonts w:ascii="Arial Narrow" w:hAnsi="Arial Narrow"/>
          <w:sz w:val="18"/>
          <w:szCs w:val="18"/>
        </w:rPr>
        <w:t xml:space="preserve"> plus cost of monitoring, concomitant medications and AEs</w:t>
      </w:r>
    </w:p>
    <w:p w14:paraId="573E1803" w14:textId="4BA22A91" w:rsidR="00EE173C" w:rsidRPr="00A35954" w:rsidRDefault="00EE173C" w:rsidP="00EE173C">
      <w:pPr>
        <w:pStyle w:val="TableFooter"/>
      </w:pPr>
      <w:r w:rsidRPr="00A35954">
        <w:t xml:space="preserve">Source: </w:t>
      </w:r>
      <w:r w:rsidR="009D2F49" w:rsidRPr="00A35954">
        <w:t>Table 14, p</w:t>
      </w:r>
      <w:r w:rsidR="00B202D3" w:rsidRPr="00A35954">
        <w:t>15 of the Departmental Overview</w:t>
      </w:r>
    </w:p>
    <w:p w14:paraId="2A41338E" w14:textId="64085066" w:rsidR="00EE173C" w:rsidRPr="00A35954" w:rsidRDefault="00EE173C" w:rsidP="001F2235">
      <w:pPr>
        <w:spacing w:before="240"/>
      </w:pPr>
      <w:r w:rsidRPr="00A35954">
        <w:t xml:space="preserve">The applicant presented a sensitivity analysis assuming patients used </w:t>
      </w:r>
      <w:proofErr w:type="gramStart"/>
      <w:r w:rsidRPr="00A35954">
        <w:t>5</w:t>
      </w:r>
      <w:proofErr w:type="gramEnd"/>
      <w:r w:rsidRPr="00A35954">
        <w:t xml:space="preserve"> vials of DB per cycle which increased the</w:t>
      </w:r>
      <w:r w:rsidR="001F2235" w:rsidRPr="00A35954">
        <w:t xml:space="preserve"> drug cost to $</w:t>
      </w:r>
      <w:r w:rsidR="001E4857" w:rsidRPr="00A35954">
        <w:rPr>
          <w:b/>
        </w:rPr>
        <w:t>redacted</w:t>
      </w:r>
      <w:r w:rsidR="001F2235" w:rsidRPr="00A35954">
        <w:t xml:space="preserve"> in Year 6.</w:t>
      </w:r>
    </w:p>
    <w:p w14:paraId="5FEE810F" w14:textId="0598CCB9" w:rsidR="00EE173C" w:rsidRDefault="00EE173C" w:rsidP="001F2235">
      <w:pPr>
        <w:spacing w:before="240"/>
      </w:pPr>
      <w:r w:rsidRPr="00A35954">
        <w:t>Assuming the cost of administering DB is $</w:t>
      </w:r>
      <w:r w:rsidR="001E4857" w:rsidRPr="00A35954">
        <w:rPr>
          <w:b/>
        </w:rPr>
        <w:t>redacted</w:t>
      </w:r>
      <w:r w:rsidR="006B1090" w:rsidRPr="00A35954">
        <w:rPr>
          <w:b/>
        </w:rPr>
        <w:t xml:space="preserve"> </w:t>
      </w:r>
      <w:r w:rsidRPr="00A35954">
        <w:t>per cycle per patient (including the cost of monitoring, concomitant medications and AEs), the total hospital admission cost would be $</w:t>
      </w:r>
      <w:r w:rsidR="001E4857" w:rsidRPr="00A35954">
        <w:rPr>
          <w:b/>
        </w:rPr>
        <w:t>redacted</w:t>
      </w:r>
      <w:r w:rsidR="006B1090" w:rsidRPr="00A35954">
        <w:rPr>
          <w:b/>
        </w:rPr>
        <w:t xml:space="preserve"> </w:t>
      </w:r>
      <w:r w:rsidRPr="00A35954">
        <w:t>in Year 1, increasing to $</w:t>
      </w:r>
      <w:r w:rsidR="001E4857" w:rsidRPr="00A35954">
        <w:rPr>
          <w:b/>
        </w:rPr>
        <w:t>redacted</w:t>
      </w:r>
      <w:r w:rsidR="006B1090" w:rsidRPr="00A35954">
        <w:rPr>
          <w:b/>
        </w:rPr>
        <w:t xml:space="preserve"> </w:t>
      </w:r>
      <w:r w:rsidRPr="00A35954">
        <w:t>in Year 6.</w:t>
      </w:r>
    </w:p>
    <w:p w14:paraId="5BDA038D" w14:textId="78056580" w:rsidR="00EE173C" w:rsidRDefault="00EE173C" w:rsidP="001F2235">
      <w:pPr>
        <w:spacing w:before="240" w:after="240"/>
      </w:pPr>
      <w:r>
        <w:t xml:space="preserve">The estimated overall financial cost of public funding for DB and </w:t>
      </w:r>
      <w:r w:rsidRPr="00FC1EA5">
        <w:t>assuming 100% inpatient treatment using AR-DRG</w:t>
      </w:r>
      <w:r>
        <w:t xml:space="preserve"> </w:t>
      </w:r>
      <w:r w:rsidRPr="00FC1EA5">
        <w:t>I65A</w:t>
      </w:r>
      <w:r>
        <w:t xml:space="preserve"> </w:t>
      </w:r>
      <w:proofErr w:type="gramStart"/>
      <w:r>
        <w:t>is provided</w:t>
      </w:r>
      <w:proofErr w:type="gramEnd"/>
      <w:r>
        <w:t xml:space="preserve"> in </w:t>
      </w:r>
      <w:r>
        <w:fldChar w:fldCharType="begin"/>
      </w:r>
      <w:r>
        <w:instrText xml:space="preserve"> REF _Ref40689542 \h  \* MERGEFORMAT </w:instrText>
      </w:r>
      <w:r>
        <w:fldChar w:fldCharType="separate"/>
      </w:r>
      <w:r w:rsidR="00991D81" w:rsidRPr="00991D81">
        <w:t>Table 18</w:t>
      </w:r>
      <w:r>
        <w:fldChar w:fldCharType="end"/>
      </w:r>
      <w:r>
        <w:t xml:space="preserve">. It </w:t>
      </w:r>
      <w:proofErr w:type="gramStart"/>
      <w:r>
        <w:t>should be noted</w:t>
      </w:r>
      <w:proofErr w:type="gramEnd"/>
      <w:r>
        <w:t xml:space="preserve"> that the hospital cost is likely being incurred currently with the use of DA (under the compassionate access program).  </w:t>
      </w:r>
      <w:r w:rsidR="00294133">
        <w:t xml:space="preserve">MSAC noted the financial impact using the administration cost provided by NSW </w:t>
      </w:r>
      <w:proofErr w:type="gramStart"/>
      <w:r w:rsidR="00294133">
        <w:t>will</w:t>
      </w:r>
      <w:proofErr w:type="gramEnd"/>
      <w:r w:rsidR="00294133">
        <w:t xml:space="preserve"> be lower than the total cost presented in </w:t>
      </w:r>
      <w:r w:rsidR="00294133" w:rsidRPr="008D0663">
        <w:rPr>
          <w:szCs w:val="24"/>
        </w:rPr>
        <w:fldChar w:fldCharType="begin"/>
      </w:r>
      <w:r w:rsidR="00294133" w:rsidRPr="008D0663">
        <w:rPr>
          <w:szCs w:val="24"/>
        </w:rPr>
        <w:instrText xml:space="preserve"> REF _Ref40689542 \h </w:instrText>
      </w:r>
      <w:r w:rsidR="008D0663" w:rsidRPr="008D0663">
        <w:rPr>
          <w:szCs w:val="24"/>
        </w:rPr>
        <w:instrText xml:space="preserve"> \* MERGEFORMAT </w:instrText>
      </w:r>
      <w:r w:rsidR="00294133" w:rsidRPr="008D0663">
        <w:rPr>
          <w:szCs w:val="24"/>
        </w:rPr>
      </w:r>
      <w:r w:rsidR="00294133" w:rsidRPr="008D0663">
        <w:rPr>
          <w:szCs w:val="24"/>
        </w:rPr>
        <w:fldChar w:fldCharType="separate"/>
      </w:r>
      <w:r w:rsidR="00991D81" w:rsidRPr="00991D81">
        <w:rPr>
          <w:rFonts w:eastAsiaTheme="majorEastAsia"/>
          <w:szCs w:val="24"/>
        </w:rPr>
        <w:t xml:space="preserve">Table </w:t>
      </w:r>
      <w:r w:rsidR="00991D81" w:rsidRPr="00991D81">
        <w:rPr>
          <w:rFonts w:eastAsiaTheme="majorEastAsia"/>
          <w:noProof/>
          <w:szCs w:val="24"/>
        </w:rPr>
        <w:t>18</w:t>
      </w:r>
      <w:r w:rsidR="00294133" w:rsidRPr="008D0663">
        <w:rPr>
          <w:szCs w:val="24"/>
        </w:rPr>
        <w:fldChar w:fldCharType="end"/>
      </w:r>
      <w:r w:rsidR="00294133">
        <w:t>.</w:t>
      </w:r>
    </w:p>
    <w:p w14:paraId="50B0C59F" w14:textId="486B110B" w:rsidR="00EE173C" w:rsidRPr="00F7098F" w:rsidRDefault="00EE173C" w:rsidP="00F7098F">
      <w:pPr>
        <w:rPr>
          <w:rFonts w:ascii="Arial Narrow" w:eastAsiaTheme="majorEastAsia" w:hAnsi="Arial Narrow"/>
          <w:b/>
          <w:sz w:val="20"/>
        </w:rPr>
      </w:pPr>
      <w:bookmarkStart w:id="27" w:name="_Ref40689542"/>
      <w:r w:rsidRPr="00F7098F">
        <w:rPr>
          <w:rFonts w:ascii="Arial Narrow" w:eastAsiaTheme="majorEastAsia" w:hAnsi="Arial Narrow"/>
          <w:b/>
          <w:sz w:val="20"/>
        </w:rPr>
        <w:t xml:space="preserve">Table </w:t>
      </w:r>
      <w:r w:rsidRPr="00F7098F">
        <w:rPr>
          <w:rFonts w:ascii="Arial Narrow" w:eastAsiaTheme="majorEastAsia" w:hAnsi="Arial Narrow"/>
          <w:b/>
          <w:sz w:val="20"/>
        </w:rPr>
        <w:fldChar w:fldCharType="begin"/>
      </w:r>
      <w:r w:rsidRPr="00F7098F">
        <w:rPr>
          <w:rFonts w:ascii="Arial Narrow" w:eastAsiaTheme="majorEastAsia" w:hAnsi="Arial Narrow"/>
          <w:b/>
          <w:sz w:val="20"/>
        </w:rPr>
        <w:instrText xml:space="preserve"> SEQ Table \* ARABIC </w:instrText>
      </w:r>
      <w:r w:rsidRPr="00F7098F">
        <w:rPr>
          <w:rFonts w:ascii="Arial Narrow" w:eastAsiaTheme="majorEastAsia" w:hAnsi="Arial Narrow"/>
          <w:b/>
          <w:sz w:val="20"/>
        </w:rPr>
        <w:fldChar w:fldCharType="separate"/>
      </w:r>
      <w:r w:rsidR="00991D81">
        <w:rPr>
          <w:rFonts w:ascii="Arial Narrow" w:eastAsiaTheme="majorEastAsia" w:hAnsi="Arial Narrow"/>
          <w:b/>
          <w:noProof/>
          <w:sz w:val="20"/>
        </w:rPr>
        <w:t>18</w:t>
      </w:r>
      <w:r w:rsidRPr="00F7098F">
        <w:rPr>
          <w:rFonts w:ascii="Arial Narrow" w:eastAsiaTheme="majorEastAsia" w:hAnsi="Arial Narrow"/>
          <w:b/>
          <w:sz w:val="20"/>
        </w:rPr>
        <w:fldChar w:fldCharType="end"/>
      </w:r>
      <w:bookmarkEnd w:id="27"/>
      <w:r w:rsidRPr="00F7098F">
        <w:rPr>
          <w:rFonts w:ascii="Arial Narrow" w:eastAsiaTheme="majorEastAsia" w:hAnsi="Arial Narrow"/>
          <w:b/>
          <w:sz w:val="20"/>
        </w:rPr>
        <w:t xml:space="preserve"> </w:t>
      </w:r>
      <w:r w:rsidRPr="00F7098F">
        <w:rPr>
          <w:rFonts w:ascii="Arial Narrow" w:eastAsiaTheme="majorEastAsia" w:hAnsi="Arial Narrow"/>
          <w:b/>
          <w:sz w:val="20"/>
        </w:rPr>
        <w:tab/>
        <w:t>Financial impact: assuming 100% inpatient treatment and using AR-DRGI65A</w:t>
      </w:r>
    </w:p>
    <w:tbl>
      <w:tblPr>
        <w:tblStyle w:val="TableGrid"/>
        <w:tblW w:w="10847" w:type="dxa"/>
        <w:tblLayout w:type="fixed"/>
        <w:tblLook w:val="04A0" w:firstRow="1" w:lastRow="0" w:firstColumn="1" w:lastColumn="0" w:noHBand="0" w:noVBand="1"/>
        <w:tblDescription w:val="Financial impact: assuming 100% inpatient treatment and using AR-DRGI65A"/>
      </w:tblPr>
      <w:tblGrid>
        <w:gridCol w:w="1271"/>
        <w:gridCol w:w="1559"/>
        <w:gridCol w:w="1039"/>
        <w:gridCol w:w="1040"/>
        <w:gridCol w:w="1039"/>
        <w:gridCol w:w="1040"/>
        <w:gridCol w:w="1039"/>
        <w:gridCol w:w="1040"/>
        <w:gridCol w:w="1780"/>
      </w:tblGrid>
      <w:tr w:rsidR="00EE173C" w:rsidRPr="00F65C40" w14:paraId="4483C334" w14:textId="77777777" w:rsidTr="00840515">
        <w:trPr>
          <w:gridAfter w:val="1"/>
          <w:wAfter w:w="1780" w:type="dxa"/>
          <w:tblHeader/>
        </w:trPr>
        <w:tc>
          <w:tcPr>
            <w:tcW w:w="1271" w:type="dxa"/>
          </w:tcPr>
          <w:p w14:paraId="289A4EF0" w14:textId="77777777" w:rsidR="00EE173C" w:rsidRPr="00F65C40" w:rsidRDefault="00EE173C" w:rsidP="005D7049">
            <w:pPr>
              <w:rPr>
                <w:rFonts w:ascii="Arial Narrow" w:hAnsi="Arial Narrow"/>
                <w:sz w:val="20"/>
              </w:rPr>
            </w:pPr>
          </w:p>
        </w:tc>
        <w:tc>
          <w:tcPr>
            <w:tcW w:w="1559" w:type="dxa"/>
          </w:tcPr>
          <w:p w14:paraId="42D30F6D" w14:textId="77777777" w:rsidR="00EE173C" w:rsidRPr="000C5739" w:rsidRDefault="00EE173C" w:rsidP="005D7049">
            <w:pPr>
              <w:rPr>
                <w:rFonts w:ascii="Arial Narrow" w:hAnsi="Arial Narrow"/>
                <w:b/>
                <w:sz w:val="20"/>
              </w:rPr>
            </w:pPr>
            <w:r w:rsidRPr="000C5739">
              <w:rPr>
                <w:rFonts w:ascii="Arial Narrow" w:hAnsi="Arial Narrow"/>
                <w:b/>
                <w:sz w:val="20"/>
              </w:rPr>
              <w:t>Assumption</w:t>
            </w:r>
          </w:p>
        </w:tc>
        <w:tc>
          <w:tcPr>
            <w:tcW w:w="1039" w:type="dxa"/>
          </w:tcPr>
          <w:p w14:paraId="360391F4" w14:textId="77777777" w:rsidR="00EE173C" w:rsidRPr="000C5739" w:rsidRDefault="00EE173C" w:rsidP="005D7049">
            <w:pPr>
              <w:rPr>
                <w:rFonts w:ascii="Arial Narrow" w:hAnsi="Arial Narrow"/>
                <w:b/>
                <w:sz w:val="20"/>
              </w:rPr>
            </w:pPr>
            <w:r w:rsidRPr="000C5739">
              <w:rPr>
                <w:rFonts w:ascii="Arial Narrow" w:hAnsi="Arial Narrow"/>
                <w:b/>
                <w:sz w:val="20"/>
              </w:rPr>
              <w:t>Year 1</w:t>
            </w:r>
          </w:p>
        </w:tc>
        <w:tc>
          <w:tcPr>
            <w:tcW w:w="1040" w:type="dxa"/>
          </w:tcPr>
          <w:p w14:paraId="420310D0" w14:textId="77777777" w:rsidR="00EE173C" w:rsidRPr="000C5739" w:rsidRDefault="00EE173C" w:rsidP="005D7049">
            <w:pPr>
              <w:rPr>
                <w:rFonts w:ascii="Arial Narrow" w:hAnsi="Arial Narrow"/>
                <w:b/>
                <w:sz w:val="20"/>
              </w:rPr>
            </w:pPr>
            <w:r w:rsidRPr="000C5739">
              <w:rPr>
                <w:rFonts w:ascii="Arial Narrow" w:hAnsi="Arial Narrow"/>
                <w:b/>
                <w:sz w:val="20"/>
              </w:rPr>
              <w:t>Year 2</w:t>
            </w:r>
          </w:p>
        </w:tc>
        <w:tc>
          <w:tcPr>
            <w:tcW w:w="1039" w:type="dxa"/>
          </w:tcPr>
          <w:p w14:paraId="0AA8C6DE" w14:textId="77777777" w:rsidR="00EE173C" w:rsidRPr="000C5739" w:rsidRDefault="00EE173C" w:rsidP="005D7049">
            <w:pPr>
              <w:rPr>
                <w:rFonts w:ascii="Arial Narrow" w:hAnsi="Arial Narrow"/>
                <w:b/>
                <w:sz w:val="20"/>
              </w:rPr>
            </w:pPr>
            <w:r w:rsidRPr="000C5739">
              <w:rPr>
                <w:rFonts w:ascii="Arial Narrow" w:hAnsi="Arial Narrow"/>
                <w:b/>
                <w:sz w:val="20"/>
              </w:rPr>
              <w:t>Year 3</w:t>
            </w:r>
          </w:p>
        </w:tc>
        <w:tc>
          <w:tcPr>
            <w:tcW w:w="1040" w:type="dxa"/>
          </w:tcPr>
          <w:p w14:paraId="07E1FB2F" w14:textId="77777777" w:rsidR="00EE173C" w:rsidRPr="000C5739" w:rsidRDefault="00EE173C" w:rsidP="005D7049">
            <w:pPr>
              <w:rPr>
                <w:rFonts w:ascii="Arial Narrow" w:hAnsi="Arial Narrow"/>
                <w:b/>
                <w:sz w:val="20"/>
              </w:rPr>
            </w:pPr>
            <w:r w:rsidRPr="000C5739">
              <w:rPr>
                <w:rFonts w:ascii="Arial Narrow" w:hAnsi="Arial Narrow"/>
                <w:b/>
                <w:sz w:val="20"/>
              </w:rPr>
              <w:t>Year 4</w:t>
            </w:r>
          </w:p>
        </w:tc>
        <w:tc>
          <w:tcPr>
            <w:tcW w:w="1039" w:type="dxa"/>
          </w:tcPr>
          <w:p w14:paraId="036DE6F6" w14:textId="77777777" w:rsidR="00EE173C" w:rsidRPr="000C5739" w:rsidRDefault="00EE173C" w:rsidP="005D7049">
            <w:pPr>
              <w:rPr>
                <w:rFonts w:ascii="Arial Narrow" w:hAnsi="Arial Narrow"/>
                <w:b/>
                <w:sz w:val="20"/>
              </w:rPr>
            </w:pPr>
            <w:r w:rsidRPr="000C5739">
              <w:rPr>
                <w:rFonts w:ascii="Arial Narrow" w:hAnsi="Arial Narrow"/>
                <w:b/>
                <w:sz w:val="20"/>
              </w:rPr>
              <w:t>Year 5</w:t>
            </w:r>
          </w:p>
        </w:tc>
        <w:tc>
          <w:tcPr>
            <w:tcW w:w="1040" w:type="dxa"/>
          </w:tcPr>
          <w:p w14:paraId="2A421747" w14:textId="77777777" w:rsidR="00EE173C" w:rsidRPr="000C5739" w:rsidRDefault="00EE173C" w:rsidP="005D7049">
            <w:pPr>
              <w:rPr>
                <w:rFonts w:ascii="Arial Narrow" w:hAnsi="Arial Narrow"/>
                <w:b/>
                <w:sz w:val="20"/>
              </w:rPr>
            </w:pPr>
            <w:r w:rsidRPr="000C5739">
              <w:rPr>
                <w:rFonts w:ascii="Arial Narrow" w:hAnsi="Arial Narrow"/>
                <w:b/>
                <w:sz w:val="20"/>
              </w:rPr>
              <w:t>Year 6</w:t>
            </w:r>
          </w:p>
        </w:tc>
      </w:tr>
      <w:tr w:rsidR="00EE173C" w:rsidRPr="00F65C40" w14:paraId="107CF158" w14:textId="77777777" w:rsidTr="009D2F49">
        <w:trPr>
          <w:gridAfter w:val="1"/>
          <w:wAfter w:w="1780" w:type="dxa"/>
        </w:trPr>
        <w:tc>
          <w:tcPr>
            <w:tcW w:w="9067" w:type="dxa"/>
            <w:gridSpan w:val="8"/>
          </w:tcPr>
          <w:p w14:paraId="0DE47584" w14:textId="77777777" w:rsidR="00EE173C" w:rsidRDefault="00EE173C" w:rsidP="005D7049">
            <w:pPr>
              <w:rPr>
                <w:rFonts w:ascii="Arial Narrow" w:hAnsi="Arial Narrow"/>
                <w:sz w:val="20"/>
              </w:rPr>
            </w:pPr>
          </w:p>
        </w:tc>
      </w:tr>
      <w:tr w:rsidR="001E4857" w:rsidRPr="00A35954" w14:paraId="5F2EB006" w14:textId="77777777" w:rsidTr="001E4857">
        <w:trPr>
          <w:gridAfter w:val="1"/>
          <w:wAfter w:w="1780" w:type="dxa"/>
        </w:trPr>
        <w:tc>
          <w:tcPr>
            <w:tcW w:w="1271" w:type="dxa"/>
          </w:tcPr>
          <w:p w14:paraId="24436CC6" w14:textId="77777777" w:rsidR="001E4857" w:rsidRPr="00A35954" w:rsidRDefault="001E4857" w:rsidP="001E4857">
            <w:pPr>
              <w:rPr>
                <w:rFonts w:ascii="Arial Narrow" w:hAnsi="Arial Narrow"/>
                <w:sz w:val="20"/>
              </w:rPr>
            </w:pPr>
            <w:r w:rsidRPr="00A35954">
              <w:rPr>
                <w:rFonts w:ascii="Arial Narrow" w:hAnsi="Arial Narrow"/>
                <w:sz w:val="20"/>
              </w:rPr>
              <w:t>Total drug cost</w:t>
            </w:r>
          </w:p>
        </w:tc>
        <w:tc>
          <w:tcPr>
            <w:tcW w:w="1559" w:type="dxa"/>
          </w:tcPr>
          <w:p w14:paraId="49B0BD6C" w14:textId="478E22D8" w:rsidR="001E4857" w:rsidRPr="00A35954" w:rsidRDefault="001E4857" w:rsidP="001E4857">
            <w:pPr>
              <w:rPr>
                <w:rFonts w:ascii="Arial Narrow" w:hAnsi="Arial Narrow"/>
                <w:sz w:val="20"/>
              </w:rPr>
            </w:pPr>
            <w:r w:rsidRPr="00A35954">
              <w:rPr>
                <w:rFonts w:ascii="Arial Narrow" w:hAnsi="Arial Narrow"/>
                <w:sz w:val="20"/>
              </w:rPr>
              <w:t>$redacted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C5FBBBE" w14:textId="69F1427C"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1FB223E5" w14:textId="3C579922"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nil"/>
              <w:bottom w:val="single" w:sz="4" w:space="0" w:color="auto"/>
              <w:right w:val="single" w:sz="4" w:space="0" w:color="auto"/>
            </w:tcBorders>
            <w:shd w:val="clear" w:color="auto" w:fill="auto"/>
          </w:tcPr>
          <w:p w14:paraId="1017C0B1" w14:textId="4281F8EF"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7A47F820" w14:textId="0649FF3B"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nil"/>
              <w:bottom w:val="single" w:sz="4" w:space="0" w:color="auto"/>
              <w:right w:val="single" w:sz="4" w:space="0" w:color="auto"/>
            </w:tcBorders>
            <w:shd w:val="clear" w:color="auto" w:fill="auto"/>
          </w:tcPr>
          <w:p w14:paraId="3606DBD0" w14:textId="4D72D96A"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402B7B87" w14:textId="5C95950A" w:rsidR="001E4857" w:rsidRPr="00A35954" w:rsidRDefault="001E4857" w:rsidP="001E4857">
            <w:pPr>
              <w:jc w:val="center"/>
              <w:rPr>
                <w:rFonts w:ascii="Arial Narrow" w:hAnsi="Arial Narrow"/>
                <w:sz w:val="20"/>
              </w:rPr>
            </w:pPr>
            <w:r w:rsidRPr="00A35954">
              <w:rPr>
                <w:rFonts w:ascii="Arial Narrow" w:hAnsi="Arial Narrow"/>
                <w:sz w:val="20"/>
              </w:rPr>
              <w:t>$redacted</w:t>
            </w:r>
          </w:p>
        </w:tc>
      </w:tr>
      <w:tr w:rsidR="00EE173C" w:rsidRPr="00A35954" w14:paraId="00E4964C" w14:textId="77777777" w:rsidTr="009D2F49">
        <w:trPr>
          <w:gridAfter w:val="1"/>
          <w:wAfter w:w="1780" w:type="dxa"/>
        </w:trPr>
        <w:tc>
          <w:tcPr>
            <w:tcW w:w="9067" w:type="dxa"/>
            <w:gridSpan w:val="8"/>
            <w:tcBorders>
              <w:right w:val="single" w:sz="4" w:space="0" w:color="auto"/>
            </w:tcBorders>
          </w:tcPr>
          <w:p w14:paraId="1D23C90C" w14:textId="77777777" w:rsidR="00EE173C" w:rsidRPr="00A35954" w:rsidRDefault="00EE173C" w:rsidP="005D7049">
            <w:pPr>
              <w:rPr>
                <w:rFonts w:ascii="Arial Narrow" w:hAnsi="Arial Narrow"/>
                <w:sz w:val="20"/>
              </w:rPr>
            </w:pPr>
            <w:r w:rsidRPr="00A35954">
              <w:rPr>
                <w:rFonts w:ascii="Arial Narrow" w:hAnsi="Arial Narrow"/>
                <w:sz w:val="20"/>
              </w:rPr>
              <w:t>Administration costs</w:t>
            </w:r>
          </w:p>
        </w:tc>
      </w:tr>
      <w:tr w:rsidR="001E4857" w:rsidRPr="00A35954" w14:paraId="69017D54" w14:textId="77777777" w:rsidTr="001E4857">
        <w:trPr>
          <w:gridAfter w:val="1"/>
          <w:wAfter w:w="1780" w:type="dxa"/>
        </w:trPr>
        <w:tc>
          <w:tcPr>
            <w:tcW w:w="1271" w:type="dxa"/>
          </w:tcPr>
          <w:p w14:paraId="5C669948" w14:textId="77777777" w:rsidR="001E4857" w:rsidRPr="00A35954" w:rsidRDefault="001E4857" w:rsidP="001E4857">
            <w:pPr>
              <w:rPr>
                <w:rFonts w:ascii="Arial Narrow" w:hAnsi="Arial Narrow"/>
                <w:sz w:val="20"/>
              </w:rPr>
            </w:pPr>
            <w:r w:rsidRPr="00A35954">
              <w:rPr>
                <w:rFonts w:ascii="Arial Narrow" w:hAnsi="Arial Narrow"/>
                <w:sz w:val="20"/>
              </w:rPr>
              <w:t xml:space="preserve">Hospital admission costs </w:t>
            </w:r>
          </w:p>
        </w:tc>
        <w:tc>
          <w:tcPr>
            <w:tcW w:w="1559" w:type="dxa"/>
          </w:tcPr>
          <w:p w14:paraId="6713376C" w14:textId="77777777" w:rsidR="001E4857" w:rsidRPr="00A35954" w:rsidRDefault="001E4857" w:rsidP="001E4857">
            <w:pPr>
              <w:rPr>
                <w:rFonts w:ascii="Arial Narrow" w:hAnsi="Arial Narrow"/>
                <w:sz w:val="20"/>
              </w:rPr>
            </w:pPr>
            <w:r w:rsidRPr="00A35954">
              <w:rPr>
                <w:rFonts w:ascii="Arial Narrow" w:hAnsi="Arial Narrow"/>
                <w:sz w:val="20"/>
              </w:rPr>
              <w:t>100% inpatient treatment, using AR-DRG I65A cost</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7420E7D" w14:textId="057B4EDF"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6C32AC98" w14:textId="5B9C6645"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nil"/>
              <w:bottom w:val="single" w:sz="4" w:space="0" w:color="auto"/>
              <w:right w:val="single" w:sz="4" w:space="0" w:color="auto"/>
            </w:tcBorders>
            <w:shd w:val="clear" w:color="auto" w:fill="auto"/>
          </w:tcPr>
          <w:p w14:paraId="6F144597" w14:textId="42F02590"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77BEB427" w14:textId="730FEBF3"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nil"/>
              <w:bottom w:val="single" w:sz="4" w:space="0" w:color="auto"/>
              <w:right w:val="single" w:sz="4" w:space="0" w:color="auto"/>
            </w:tcBorders>
            <w:shd w:val="clear" w:color="auto" w:fill="auto"/>
          </w:tcPr>
          <w:p w14:paraId="6A123793" w14:textId="640222A2"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nil"/>
              <w:bottom w:val="single" w:sz="4" w:space="0" w:color="auto"/>
              <w:right w:val="single" w:sz="4" w:space="0" w:color="auto"/>
            </w:tcBorders>
            <w:shd w:val="clear" w:color="auto" w:fill="auto"/>
          </w:tcPr>
          <w:p w14:paraId="57EAE289" w14:textId="52059E0D" w:rsidR="001E4857" w:rsidRPr="00A35954" w:rsidRDefault="001E4857" w:rsidP="001E4857">
            <w:pPr>
              <w:jc w:val="center"/>
              <w:rPr>
                <w:rFonts w:ascii="Arial Narrow" w:hAnsi="Arial Narrow"/>
                <w:sz w:val="20"/>
              </w:rPr>
            </w:pPr>
            <w:r w:rsidRPr="00A35954">
              <w:rPr>
                <w:rFonts w:ascii="Arial Narrow" w:hAnsi="Arial Narrow"/>
                <w:sz w:val="20"/>
              </w:rPr>
              <w:t>$redacted</w:t>
            </w:r>
          </w:p>
        </w:tc>
      </w:tr>
      <w:tr w:rsidR="001E4857" w:rsidRPr="00F65C40" w14:paraId="51FBFF0F" w14:textId="77777777" w:rsidTr="001E4857">
        <w:tc>
          <w:tcPr>
            <w:tcW w:w="2830" w:type="dxa"/>
            <w:gridSpan w:val="2"/>
          </w:tcPr>
          <w:p w14:paraId="7931FE5E" w14:textId="77777777" w:rsidR="001E4857" w:rsidRPr="00A35954" w:rsidRDefault="001E4857" w:rsidP="001E4857">
            <w:pPr>
              <w:rPr>
                <w:rFonts w:ascii="Arial Narrow" w:hAnsi="Arial Narrow"/>
                <w:sz w:val="20"/>
              </w:rPr>
            </w:pPr>
            <w:r w:rsidRPr="00A35954">
              <w:rPr>
                <w:rFonts w:ascii="Arial Narrow" w:hAnsi="Arial Narrow"/>
                <w:sz w:val="20"/>
              </w:rPr>
              <w:t>Total cost</w:t>
            </w:r>
          </w:p>
        </w:tc>
        <w:tc>
          <w:tcPr>
            <w:tcW w:w="1039" w:type="dxa"/>
            <w:tcBorders>
              <w:top w:val="single" w:sz="4" w:space="0" w:color="auto"/>
              <w:left w:val="nil"/>
              <w:bottom w:val="single" w:sz="4" w:space="0" w:color="auto"/>
              <w:right w:val="single" w:sz="4" w:space="0" w:color="auto"/>
            </w:tcBorders>
            <w:shd w:val="clear" w:color="auto" w:fill="auto"/>
          </w:tcPr>
          <w:p w14:paraId="0DF849D9" w14:textId="7ED40EDC"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935BA50" w14:textId="6E765FA3"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D39568B" w14:textId="55C6D729"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BB9F746" w14:textId="3DF56CFA"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38501E1C" w14:textId="4BEF0B15"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49FDE4D" w14:textId="58E375A7" w:rsidR="001E4857" w:rsidRPr="00A35954" w:rsidRDefault="001E4857" w:rsidP="001E4857">
            <w:pPr>
              <w:jc w:val="center"/>
              <w:rPr>
                <w:rFonts w:ascii="Arial Narrow" w:hAnsi="Arial Narrow"/>
                <w:sz w:val="20"/>
              </w:rPr>
            </w:pPr>
            <w:r w:rsidRPr="00A35954">
              <w:rPr>
                <w:rFonts w:ascii="Arial Narrow" w:hAnsi="Arial Narrow"/>
                <w:sz w:val="20"/>
              </w:rPr>
              <w:t>$redacted</w:t>
            </w:r>
          </w:p>
        </w:tc>
        <w:tc>
          <w:tcPr>
            <w:tcW w:w="1780" w:type="dxa"/>
            <w:tcBorders>
              <w:top w:val="nil"/>
              <w:left w:val="single" w:sz="4" w:space="0" w:color="auto"/>
              <w:bottom w:val="nil"/>
              <w:right w:val="nil"/>
            </w:tcBorders>
            <w:shd w:val="clear" w:color="auto" w:fill="auto"/>
            <w:vAlign w:val="bottom"/>
          </w:tcPr>
          <w:p w14:paraId="342030C7" w14:textId="77777777" w:rsidR="001E4857" w:rsidRPr="00F65C40" w:rsidRDefault="001E4857" w:rsidP="001E4857"/>
        </w:tc>
      </w:tr>
    </w:tbl>
    <w:p w14:paraId="4B74C834" w14:textId="45A5E0AB" w:rsidR="00EE173C" w:rsidRPr="00B02E35" w:rsidRDefault="00EE173C" w:rsidP="005D7049">
      <w:pPr>
        <w:pStyle w:val="TableFooter"/>
      </w:pPr>
      <w:r>
        <w:t xml:space="preserve">Source: </w:t>
      </w:r>
      <w:r w:rsidR="009D2F49">
        <w:t>Table 15, p</w:t>
      </w:r>
      <w:r w:rsidR="00B202D3">
        <w:t>16 of the Departmental Overview</w:t>
      </w:r>
    </w:p>
    <w:p w14:paraId="5A313FFE" w14:textId="7777777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Description w:val="Issues identified by ESC for MSAC consideration"/>
      </w:tblPr>
      <w:tblGrid>
        <w:gridCol w:w="3256"/>
        <w:gridCol w:w="5760"/>
      </w:tblGrid>
      <w:tr w:rsidR="001B5028" w14:paraId="6E8990C8" w14:textId="77777777" w:rsidTr="00840515">
        <w:trPr>
          <w:tblHeader/>
        </w:trPr>
        <w:tc>
          <w:tcPr>
            <w:tcW w:w="3256" w:type="dxa"/>
            <w:tcBorders>
              <w:top w:val="single" w:sz="4" w:space="0" w:color="auto"/>
              <w:left w:val="single" w:sz="4" w:space="0" w:color="auto"/>
              <w:bottom w:val="single" w:sz="4" w:space="0" w:color="auto"/>
              <w:right w:val="single" w:sz="4" w:space="0" w:color="auto"/>
            </w:tcBorders>
            <w:hideMark/>
          </w:tcPr>
          <w:p w14:paraId="2E70C998" w14:textId="77777777" w:rsidR="001B5028" w:rsidRDefault="001B5028" w:rsidP="001B5028">
            <w:pPr>
              <w:pStyle w:val="TableHeading"/>
            </w:pPr>
            <w:r>
              <w:t>ESC key issue</w:t>
            </w:r>
          </w:p>
        </w:tc>
        <w:tc>
          <w:tcPr>
            <w:tcW w:w="5760" w:type="dxa"/>
            <w:tcBorders>
              <w:top w:val="single" w:sz="4" w:space="0" w:color="auto"/>
              <w:left w:val="single" w:sz="4" w:space="0" w:color="auto"/>
              <w:bottom w:val="single" w:sz="4" w:space="0" w:color="auto"/>
              <w:right w:val="single" w:sz="4" w:space="0" w:color="auto"/>
            </w:tcBorders>
            <w:hideMark/>
          </w:tcPr>
          <w:p w14:paraId="37F28949" w14:textId="77777777" w:rsidR="001B5028" w:rsidRDefault="001B5028" w:rsidP="001B5028">
            <w:pPr>
              <w:pStyle w:val="TableHeading"/>
            </w:pPr>
            <w:r>
              <w:t>ESC advice to MSAC</w:t>
            </w:r>
          </w:p>
        </w:tc>
      </w:tr>
      <w:tr w:rsidR="001B5028" w14:paraId="2E5DBC1F" w14:textId="77777777" w:rsidTr="001B5028">
        <w:tc>
          <w:tcPr>
            <w:tcW w:w="3256" w:type="dxa"/>
            <w:tcBorders>
              <w:top w:val="single" w:sz="4" w:space="0" w:color="auto"/>
              <w:left w:val="single" w:sz="4" w:space="0" w:color="auto"/>
              <w:bottom w:val="single" w:sz="4" w:space="0" w:color="auto"/>
              <w:right w:val="single" w:sz="4" w:space="0" w:color="auto"/>
            </w:tcBorders>
          </w:tcPr>
          <w:p w14:paraId="2E842BA3" w14:textId="77777777" w:rsidR="001B5028" w:rsidRDefault="001B5028" w:rsidP="001B5028">
            <w:pPr>
              <w:pStyle w:val="TableText"/>
            </w:pPr>
            <w:r>
              <w:t>C</w:t>
            </w:r>
            <w:r w:rsidRPr="009871E3">
              <w:t>ircumstances of the application</w:t>
            </w:r>
          </w:p>
        </w:tc>
        <w:tc>
          <w:tcPr>
            <w:tcW w:w="5760" w:type="dxa"/>
            <w:tcBorders>
              <w:top w:val="single" w:sz="4" w:space="0" w:color="auto"/>
              <w:left w:val="single" w:sz="4" w:space="0" w:color="auto"/>
              <w:bottom w:val="single" w:sz="4" w:space="0" w:color="auto"/>
              <w:right w:val="single" w:sz="4" w:space="0" w:color="auto"/>
            </w:tcBorders>
          </w:tcPr>
          <w:p w14:paraId="1F8AE41C" w14:textId="77777777" w:rsidR="001B5028" w:rsidRDefault="001B5028" w:rsidP="001B5028">
            <w:pPr>
              <w:pStyle w:val="TableText"/>
            </w:pPr>
            <w:r>
              <w:t>To note advice provided by the Pharmaceutical Benefits Advisory Committee Economics Subcommittee (PBAC ESC).</w:t>
            </w:r>
          </w:p>
        </w:tc>
      </w:tr>
      <w:tr w:rsidR="001B5028" w14:paraId="2FB3E289" w14:textId="77777777" w:rsidTr="001B5028">
        <w:tc>
          <w:tcPr>
            <w:tcW w:w="3256" w:type="dxa"/>
            <w:tcBorders>
              <w:top w:val="single" w:sz="4" w:space="0" w:color="auto"/>
              <w:left w:val="single" w:sz="4" w:space="0" w:color="auto"/>
              <w:bottom w:val="single" w:sz="4" w:space="0" w:color="auto"/>
              <w:right w:val="single" w:sz="4" w:space="0" w:color="auto"/>
            </w:tcBorders>
            <w:hideMark/>
          </w:tcPr>
          <w:p w14:paraId="5D06C2B5" w14:textId="77777777" w:rsidR="001B5028" w:rsidRDefault="001B5028" w:rsidP="001B5028">
            <w:pPr>
              <w:pStyle w:val="TableText"/>
            </w:pPr>
            <w:r>
              <w:t>Treatment setting (inpatient versus outpatient use)</w:t>
            </w:r>
          </w:p>
        </w:tc>
        <w:tc>
          <w:tcPr>
            <w:tcW w:w="5760" w:type="dxa"/>
            <w:tcBorders>
              <w:top w:val="single" w:sz="4" w:space="0" w:color="auto"/>
              <w:left w:val="single" w:sz="4" w:space="0" w:color="auto"/>
              <w:bottom w:val="single" w:sz="4" w:space="0" w:color="auto"/>
              <w:right w:val="single" w:sz="4" w:space="0" w:color="auto"/>
            </w:tcBorders>
            <w:hideMark/>
          </w:tcPr>
          <w:p w14:paraId="67688499" w14:textId="77777777" w:rsidR="001B5028" w:rsidRDefault="001B5028" w:rsidP="001B5028">
            <w:pPr>
              <w:pStyle w:val="TableText"/>
            </w:pPr>
            <w:r>
              <w:t xml:space="preserve">The applicant proposed that a majority (62%) of use of </w:t>
            </w:r>
            <w:proofErr w:type="spellStart"/>
            <w:r>
              <w:t>dinutuximab</w:t>
            </w:r>
            <w:proofErr w:type="spellEnd"/>
            <w:r>
              <w:t xml:space="preserve"> beta (DB) </w:t>
            </w:r>
            <w:proofErr w:type="gramStart"/>
            <w:r>
              <w:t>will</w:t>
            </w:r>
            <w:proofErr w:type="gramEnd"/>
            <w:r>
              <w:t xml:space="preserve"> be in the outpatient setting with no evidence to support this assumption. The ESC considered that it is likely all patients </w:t>
            </w:r>
            <w:proofErr w:type="gramStart"/>
            <w:r>
              <w:t>would be treated</w:t>
            </w:r>
            <w:proofErr w:type="gramEnd"/>
            <w:r>
              <w:t xml:space="preserve"> as inpatients initially but noted outpatient treatment should not be precluded for the small number of patients that may be able to tolerate it. The ESC considered 100% inpatient use to be a more appropriate assumption to </w:t>
            </w:r>
            <w:proofErr w:type="gramStart"/>
            <w:r>
              <w:t>be used</w:t>
            </w:r>
            <w:proofErr w:type="gramEnd"/>
            <w:r>
              <w:t xml:space="preserve"> in the economic model.   </w:t>
            </w:r>
          </w:p>
        </w:tc>
      </w:tr>
      <w:tr w:rsidR="001B5028" w14:paraId="29EFEC7D" w14:textId="77777777" w:rsidTr="001B5028">
        <w:tc>
          <w:tcPr>
            <w:tcW w:w="3256" w:type="dxa"/>
            <w:tcBorders>
              <w:top w:val="single" w:sz="4" w:space="0" w:color="auto"/>
              <w:left w:val="single" w:sz="4" w:space="0" w:color="auto"/>
              <w:bottom w:val="single" w:sz="4" w:space="0" w:color="auto"/>
              <w:right w:val="single" w:sz="4" w:space="0" w:color="auto"/>
            </w:tcBorders>
            <w:hideMark/>
          </w:tcPr>
          <w:p w14:paraId="23066C66" w14:textId="77777777" w:rsidR="001B5028" w:rsidRDefault="001B5028" w:rsidP="001B5028">
            <w:pPr>
              <w:pStyle w:val="TableText"/>
            </w:pPr>
            <w:r>
              <w:t>Uncertain treatment effect</w:t>
            </w:r>
          </w:p>
        </w:tc>
        <w:tc>
          <w:tcPr>
            <w:tcW w:w="5760" w:type="dxa"/>
            <w:tcBorders>
              <w:top w:val="single" w:sz="4" w:space="0" w:color="auto"/>
              <w:left w:val="single" w:sz="4" w:space="0" w:color="auto"/>
              <w:bottom w:val="single" w:sz="4" w:space="0" w:color="auto"/>
              <w:right w:val="single" w:sz="4" w:space="0" w:color="auto"/>
            </w:tcBorders>
            <w:hideMark/>
          </w:tcPr>
          <w:p w14:paraId="48795B99" w14:textId="77777777" w:rsidR="001B5028" w:rsidRDefault="001B5028" w:rsidP="001B5028">
            <w:pPr>
              <w:pStyle w:val="TableText"/>
            </w:pPr>
            <w:r>
              <w:t xml:space="preserve">The ESC considered the estimated treatment effect for DB + retinoic acid (RA) vs RA alone </w:t>
            </w:r>
            <w:proofErr w:type="gramStart"/>
            <w:r>
              <w:t>is based</w:t>
            </w:r>
            <w:proofErr w:type="gramEnd"/>
            <w:r>
              <w:t xml:space="preserve"> on adjusted and naïve indirect comparisons and is therefore highly uncertain. </w:t>
            </w:r>
          </w:p>
          <w:p w14:paraId="72BBCE8D" w14:textId="77777777" w:rsidR="001B5028" w:rsidRDefault="001B5028" w:rsidP="001B5028">
            <w:pPr>
              <w:pStyle w:val="TableText"/>
            </w:pPr>
            <w:r>
              <w:t xml:space="preserve">The ESC noted there is limited clinical data available for the </w:t>
            </w:r>
            <w:proofErr w:type="gramStart"/>
            <w:r>
              <w:t>long term</w:t>
            </w:r>
            <w:proofErr w:type="gramEnd"/>
            <w:r>
              <w:t xml:space="preserve"> infusion (LTI) which the applicant claims will be predominantly used in clinical practice.</w:t>
            </w:r>
          </w:p>
        </w:tc>
      </w:tr>
      <w:tr w:rsidR="001B5028" w14:paraId="38C1E504" w14:textId="77777777" w:rsidTr="001B5028">
        <w:tc>
          <w:tcPr>
            <w:tcW w:w="3256" w:type="dxa"/>
            <w:tcBorders>
              <w:top w:val="single" w:sz="4" w:space="0" w:color="auto"/>
              <w:left w:val="single" w:sz="4" w:space="0" w:color="auto"/>
              <w:bottom w:val="single" w:sz="4" w:space="0" w:color="auto"/>
              <w:right w:val="single" w:sz="4" w:space="0" w:color="auto"/>
            </w:tcBorders>
            <w:hideMark/>
          </w:tcPr>
          <w:p w14:paraId="74503539" w14:textId="77777777" w:rsidR="001B5028" w:rsidRDefault="001B5028" w:rsidP="001B5028">
            <w:pPr>
              <w:pStyle w:val="TableText"/>
            </w:pPr>
            <w:r>
              <w:t>Respecify base case to include requested changes from PBAC ESC</w:t>
            </w:r>
          </w:p>
        </w:tc>
        <w:tc>
          <w:tcPr>
            <w:tcW w:w="5760" w:type="dxa"/>
            <w:tcBorders>
              <w:top w:val="single" w:sz="4" w:space="0" w:color="auto"/>
              <w:left w:val="single" w:sz="4" w:space="0" w:color="auto"/>
              <w:bottom w:val="single" w:sz="4" w:space="0" w:color="auto"/>
              <w:right w:val="single" w:sz="4" w:space="0" w:color="auto"/>
            </w:tcBorders>
            <w:hideMark/>
          </w:tcPr>
          <w:p w14:paraId="4416C64A" w14:textId="511594A4" w:rsidR="001B5028" w:rsidRDefault="001B5028" w:rsidP="001E4857">
            <w:pPr>
              <w:pStyle w:val="TableText"/>
            </w:pPr>
            <w:r>
              <w:t>The ESC considered it was appropriate to revise the economic model to include (</w:t>
            </w:r>
            <w:proofErr w:type="spellStart"/>
            <w:r>
              <w:t>i</w:t>
            </w:r>
            <w:proofErr w:type="spellEnd"/>
            <w:r>
              <w:t xml:space="preserve">) 100% inpatient use (ii) cost of administration based on AR-DRG I65A per cycle (which includes the cost of monitoring, AEs and concomitant medications) (iii) Weibull extrapolation of OS. The ESC noted the revised model resulted in an </w:t>
            </w:r>
            <w:r w:rsidRPr="00A35954">
              <w:t>ICER of $</w:t>
            </w:r>
            <w:r w:rsidR="001E4857" w:rsidRPr="00A35954">
              <w:rPr>
                <w:b/>
              </w:rPr>
              <w:t>redacted</w:t>
            </w:r>
            <w:r>
              <w:t xml:space="preserve">/ QALY gained and advised this was an appropriate respecified base case for MSAC consideration. The ESC further noted the economic model </w:t>
            </w:r>
            <w:proofErr w:type="gramStart"/>
            <w:r>
              <w:t>is based</w:t>
            </w:r>
            <w:proofErr w:type="gramEnd"/>
            <w:r>
              <w:t xml:space="preserve"> on an uncertain treatment effect (as discussed above).  </w:t>
            </w:r>
          </w:p>
        </w:tc>
      </w:tr>
      <w:tr w:rsidR="001B5028" w14:paraId="3B7C6E3F" w14:textId="77777777" w:rsidTr="001B5028">
        <w:tc>
          <w:tcPr>
            <w:tcW w:w="3256" w:type="dxa"/>
            <w:hideMark/>
          </w:tcPr>
          <w:p w14:paraId="017BA605" w14:textId="77777777" w:rsidR="001B5028" w:rsidRDefault="001B5028" w:rsidP="001B5028">
            <w:pPr>
              <w:pStyle w:val="TableText"/>
            </w:pPr>
            <w:r>
              <w:t>Differential discounting</w:t>
            </w:r>
          </w:p>
        </w:tc>
        <w:tc>
          <w:tcPr>
            <w:tcW w:w="5760" w:type="dxa"/>
            <w:hideMark/>
          </w:tcPr>
          <w:p w14:paraId="7F9CBFF1" w14:textId="77777777" w:rsidR="001B5028" w:rsidRDefault="001B5028" w:rsidP="001B5028">
            <w:pPr>
              <w:pStyle w:val="TableText"/>
            </w:pPr>
            <w:r>
              <w:t xml:space="preserve">The applicant requested a lower discount rate (2%) be applied to the benefits and costs in the economic model, </w:t>
            </w:r>
            <w:proofErr w:type="gramStart"/>
            <w:r>
              <w:t>claiming</w:t>
            </w:r>
            <w:proofErr w:type="gramEnd"/>
            <w:r>
              <w:t xml:space="preserve"> “the incremental life gained by a young person should be valued more highly than that gained by older patients”. The ESC noted the MSAC could discuss this issue in the context of what would constitute an acceptable ICER in this patient population, rather than introducing differential discounting.</w:t>
            </w:r>
          </w:p>
        </w:tc>
      </w:tr>
    </w:tbl>
    <w:p w14:paraId="666DA27F" w14:textId="77777777" w:rsidR="006A0D97" w:rsidRDefault="00F56D7F" w:rsidP="005D7049">
      <w:pPr>
        <w:keepNext/>
        <w:spacing w:before="240" w:after="240"/>
        <w:rPr>
          <w:b/>
        </w:rPr>
      </w:pPr>
      <w:r w:rsidRPr="00F56D7F">
        <w:rPr>
          <w:b/>
        </w:rPr>
        <w:t>ESC discussion</w:t>
      </w:r>
    </w:p>
    <w:p w14:paraId="16FFD874" w14:textId="77777777" w:rsidR="001B5028" w:rsidRPr="007A546D" w:rsidRDefault="001B5028" w:rsidP="001B5028">
      <w:pPr>
        <w:pStyle w:val="NormalWeb"/>
        <w:rPr>
          <w:rFonts w:ascii="TimesNewRomanPSMT" w:hAnsi="TimesNewRomanPSMT"/>
        </w:rPr>
      </w:pPr>
      <w:r>
        <w:t xml:space="preserve">The Evaluation Sub-Committee (ESC) noted the circumstances of the application as outlined under Section 2 (Background). </w:t>
      </w:r>
      <w:r>
        <w:rPr>
          <w:rFonts w:ascii="TimesNewRomanPSMT" w:hAnsi="TimesNewRomanPSMT"/>
        </w:rPr>
        <w:t xml:space="preserve"> </w:t>
      </w:r>
    </w:p>
    <w:p w14:paraId="0471E49E" w14:textId="7F7210DF" w:rsidR="001B5028" w:rsidRDefault="001B5028" w:rsidP="001B5028">
      <w:r>
        <w:t xml:space="preserve">The ESC noted the advice provided by the Pharmaceutical Benefits Advisory Committee Economics Subcommittee (PBAC ESC) on the application, as well as an overview of clinical data presented by the Department. The </w:t>
      </w:r>
      <w:r w:rsidRPr="006900E4">
        <w:t>ESC noted that the submission and the pre-ESC response continued to rely on</w:t>
      </w:r>
      <w:r>
        <w:t xml:space="preserve"> a matched adjusted indirect comparison (MAIC) </w:t>
      </w:r>
      <w:r w:rsidRPr="006900E4">
        <w:t xml:space="preserve">to support the claim </w:t>
      </w:r>
      <w:r>
        <w:t xml:space="preserve">that </w:t>
      </w:r>
      <w:proofErr w:type="spellStart"/>
      <w:r>
        <w:t>dinutuximab</w:t>
      </w:r>
      <w:proofErr w:type="spellEnd"/>
      <w:r>
        <w:t xml:space="preserve"> beta (DB) + retinoic acid (RA) is superior to RA alone for the treatment of high-risk </w:t>
      </w:r>
      <w:proofErr w:type="spellStart"/>
      <w:r>
        <w:t>neuroblastoma</w:t>
      </w:r>
      <w:proofErr w:type="spellEnd"/>
      <w:r>
        <w:t xml:space="preserve"> (HRNBL)</w:t>
      </w:r>
      <w:r w:rsidRPr="006900E4">
        <w:t xml:space="preserve">. </w:t>
      </w:r>
      <w:r>
        <w:t xml:space="preserve">The </w:t>
      </w:r>
      <w:r w:rsidRPr="006900E4">
        <w:t xml:space="preserve">ESC </w:t>
      </w:r>
      <w:r>
        <w:t xml:space="preserve">considered that the treatment effect continued to be </w:t>
      </w:r>
      <w:r w:rsidRPr="006900E4">
        <w:t>highly uncertain.</w:t>
      </w:r>
    </w:p>
    <w:p w14:paraId="0EC0EBE4" w14:textId="218F6982" w:rsidR="001B5028" w:rsidRDefault="001B5028" w:rsidP="001F2235">
      <w:pPr>
        <w:spacing w:before="240"/>
      </w:pPr>
      <w:r>
        <w:t xml:space="preserve">The submission and pre-ESC response continued to claim that outpatient use is feasible and suggested consultation with overseas clinicians. However, the ESC noted that the relevance of overseas settings to the Australian context is unclear. The submission also suggested a comparison with </w:t>
      </w:r>
      <w:proofErr w:type="spellStart"/>
      <w:r>
        <w:t>blinatumomab</w:t>
      </w:r>
      <w:proofErr w:type="spellEnd"/>
      <w:r>
        <w:t xml:space="preserve">, which is available as outpatient therapy; however, the ESC </w:t>
      </w:r>
      <w:r>
        <w:lastRenderedPageBreak/>
        <w:t xml:space="preserve">considered that this comparison </w:t>
      </w:r>
      <w:proofErr w:type="gramStart"/>
      <w:r>
        <w:t>may</w:t>
      </w:r>
      <w:proofErr w:type="gramEnd"/>
      <w:r>
        <w:t xml:space="preserve"> be unreasonable, given the different administration and adverse event profiles for DB and </w:t>
      </w:r>
      <w:proofErr w:type="spellStart"/>
      <w:r>
        <w:t>blinatumomab</w:t>
      </w:r>
      <w:proofErr w:type="spellEnd"/>
      <w:r>
        <w:t xml:space="preserve">. The ESC considered it unlikely patients with HRNBL would be treated with DB in a non-admitted or day admitted setting, although acknowledged outpatient treatment is not precluded and may be possible in a small number of patients for at least part of some treatment cycles. However, the </w:t>
      </w:r>
      <w:proofErr w:type="gramStart"/>
      <w:r>
        <w:t>applicant’s</w:t>
      </w:r>
      <w:proofErr w:type="gramEnd"/>
      <w:r>
        <w:t xml:space="preserve"> continued claim that the majority of use of DB will be in the outpatient setting is not supported by the evidence provided.</w:t>
      </w:r>
    </w:p>
    <w:p w14:paraId="4A830E8E" w14:textId="0D373AD9" w:rsidR="001B5028" w:rsidRPr="001F2235" w:rsidRDefault="001B5028" w:rsidP="001F2235">
      <w:pPr>
        <w:spacing w:before="240"/>
      </w:pPr>
      <w:r>
        <w:t>The ESC noted the risk of serious adverse events associated with DB treatment, as well as limitations in the quality of evidence</w:t>
      </w:r>
      <w:r w:rsidR="001F2235">
        <w:t xml:space="preserve"> for safety and effectiveness.</w:t>
      </w:r>
    </w:p>
    <w:p w14:paraId="3DB04ABC" w14:textId="0E1259B2" w:rsidR="001B5028" w:rsidRDefault="001B5028" w:rsidP="001F2235">
      <w:pPr>
        <w:spacing w:before="240"/>
      </w:pPr>
      <w:r w:rsidRPr="00760C03">
        <w:rPr>
          <w:bCs/>
          <w:snapToGrid w:val="0"/>
          <w:szCs w:val="24"/>
        </w:rPr>
        <w:t xml:space="preserve">The ESC noted the applicant’s claim that the </w:t>
      </w:r>
      <w:proofErr w:type="gramStart"/>
      <w:r>
        <w:rPr>
          <w:bCs/>
          <w:snapToGrid w:val="0"/>
          <w:szCs w:val="24"/>
        </w:rPr>
        <w:t>long term</w:t>
      </w:r>
      <w:proofErr w:type="gramEnd"/>
      <w:r>
        <w:rPr>
          <w:bCs/>
          <w:snapToGrid w:val="0"/>
          <w:szCs w:val="24"/>
        </w:rPr>
        <w:t xml:space="preserve"> infusion (</w:t>
      </w:r>
      <w:r w:rsidRPr="00760C03">
        <w:rPr>
          <w:bCs/>
          <w:snapToGrid w:val="0"/>
          <w:szCs w:val="24"/>
        </w:rPr>
        <w:t>LTI</w:t>
      </w:r>
      <w:r>
        <w:rPr>
          <w:bCs/>
          <w:snapToGrid w:val="0"/>
          <w:szCs w:val="24"/>
        </w:rPr>
        <w:t>)</w:t>
      </w:r>
      <w:r w:rsidRPr="00760C03">
        <w:rPr>
          <w:bCs/>
          <w:snapToGrid w:val="0"/>
          <w:szCs w:val="24"/>
        </w:rPr>
        <w:t xml:space="preserve"> dosing regimen for HRNBL is associated with improved tolerability and the same treatment effect compared to the</w:t>
      </w:r>
      <w:r>
        <w:rPr>
          <w:bCs/>
          <w:snapToGrid w:val="0"/>
          <w:szCs w:val="24"/>
        </w:rPr>
        <w:t xml:space="preserve"> short term infusion</w:t>
      </w:r>
      <w:r w:rsidRPr="00760C03">
        <w:rPr>
          <w:bCs/>
          <w:snapToGrid w:val="0"/>
          <w:szCs w:val="24"/>
        </w:rPr>
        <w:t xml:space="preserve"> </w:t>
      </w:r>
      <w:r>
        <w:rPr>
          <w:bCs/>
          <w:snapToGrid w:val="0"/>
          <w:szCs w:val="24"/>
        </w:rPr>
        <w:t>(</w:t>
      </w:r>
      <w:r w:rsidRPr="00760C03">
        <w:rPr>
          <w:bCs/>
          <w:snapToGrid w:val="0"/>
          <w:szCs w:val="24"/>
        </w:rPr>
        <w:t>STI</w:t>
      </w:r>
      <w:r>
        <w:rPr>
          <w:bCs/>
          <w:snapToGrid w:val="0"/>
          <w:szCs w:val="24"/>
        </w:rPr>
        <w:t>)</w:t>
      </w:r>
      <w:r w:rsidRPr="00760C03">
        <w:rPr>
          <w:bCs/>
          <w:snapToGrid w:val="0"/>
          <w:szCs w:val="24"/>
        </w:rPr>
        <w:t xml:space="preserve"> regimen</w:t>
      </w:r>
      <w:r>
        <w:rPr>
          <w:bCs/>
          <w:snapToGrid w:val="0"/>
          <w:szCs w:val="24"/>
        </w:rPr>
        <w:t>,</w:t>
      </w:r>
      <w:r w:rsidRPr="00760C03">
        <w:rPr>
          <w:bCs/>
          <w:snapToGrid w:val="0"/>
          <w:szCs w:val="24"/>
        </w:rPr>
        <w:t xml:space="preserve"> but considered this was inadequately supported.</w:t>
      </w:r>
    </w:p>
    <w:p w14:paraId="2F2FD28F" w14:textId="77777777" w:rsidR="001B5028" w:rsidRDefault="001B5028" w:rsidP="001F2235">
      <w:pPr>
        <w:pStyle w:val="NormalBeforeBullet"/>
        <w:spacing w:before="240"/>
      </w:pPr>
      <w:r>
        <w:t>The ESC noted that the PBAC ESC had suggested a number of changes to parameters</w:t>
      </w:r>
      <w:r w:rsidRPr="00F51F00">
        <w:t xml:space="preserve"> </w:t>
      </w:r>
      <w:r>
        <w:t xml:space="preserve">in the economic model. Not all of these </w:t>
      </w:r>
      <w:proofErr w:type="gramStart"/>
      <w:r>
        <w:t>had been incorporated</w:t>
      </w:r>
      <w:proofErr w:type="gramEnd"/>
      <w:r>
        <w:t xml:space="preserve"> into the model, and some were included as sensitivity analyses rather than changing the base case:</w:t>
      </w:r>
    </w:p>
    <w:p w14:paraId="58AD7DA2" w14:textId="77777777" w:rsidR="001B5028" w:rsidRDefault="001B5028" w:rsidP="001B5028">
      <w:pPr>
        <w:pStyle w:val="Bullet"/>
      </w:pPr>
      <w:r>
        <w:t xml:space="preserve">Inpatient use: PBAC ESC requested that the base case model should assume that all patients </w:t>
      </w:r>
      <w:proofErr w:type="gramStart"/>
      <w:r>
        <w:t>are treated</w:t>
      </w:r>
      <w:proofErr w:type="gramEnd"/>
      <w:r>
        <w:t xml:space="preserve"> as inpatients for the duration of their treatment. This was included in sensitivity analyses in the updated submission.</w:t>
      </w:r>
    </w:p>
    <w:p w14:paraId="12B986D9" w14:textId="77777777" w:rsidR="001B5028" w:rsidRDefault="001B5028" w:rsidP="001B5028">
      <w:pPr>
        <w:pStyle w:val="Bullet"/>
      </w:pPr>
      <w:r>
        <w:t>Cost of administration: PBAC ESC considered that use of the Australian Refined Diagnosis Related Group (AR-DRG) for chemotherapy administration (R63Z) was not appropriate. The revised model used alternative AR-DRGs, but ESC considered that the methodology applied to calculate a daily cost was not appropriate.</w:t>
      </w:r>
    </w:p>
    <w:p w14:paraId="7276E1E2" w14:textId="77777777" w:rsidR="001B5028" w:rsidRDefault="001B5028" w:rsidP="001B5028">
      <w:pPr>
        <w:pStyle w:val="BulletLast"/>
        <w:spacing w:after="240"/>
      </w:pPr>
      <w:r>
        <w:t xml:space="preserve">Extrapolation method and convergence: PBAC ESC considered that the </w:t>
      </w:r>
      <w:proofErr w:type="spellStart"/>
      <w:r>
        <w:t>Gompertz</w:t>
      </w:r>
      <w:proofErr w:type="spellEnd"/>
      <w:r>
        <w:t xml:space="preserve"> extrapolation function was the least conservative option and favoured DB. The PBAC ESC requested use of the Weibull extrapolation method, but this </w:t>
      </w:r>
      <w:proofErr w:type="gramStart"/>
      <w:r>
        <w:t>was provided</w:t>
      </w:r>
      <w:proofErr w:type="gramEnd"/>
      <w:r>
        <w:t xml:space="preserve"> in sensitivity analyses only. The PBAC ESC also considered that convergence of the curves for overall survival would be appropriate (based on data from Yu 2014), and that some convergence </w:t>
      </w:r>
      <w:proofErr w:type="gramStart"/>
      <w:r>
        <w:t>is observed</w:t>
      </w:r>
      <w:proofErr w:type="gramEnd"/>
      <w:r>
        <w:t xml:space="preserve"> using the Weibull extrapolation method.</w:t>
      </w:r>
    </w:p>
    <w:p w14:paraId="72EE4C6D" w14:textId="40B91AD0" w:rsidR="001B5028" w:rsidRDefault="001B5028" w:rsidP="001B5028">
      <w:r>
        <w:t>The base case incremental cost-effectiveness ratio (ICER) in the submission, without incorporating all the changes requested by the PBAC ESC, was $</w:t>
      </w:r>
      <w:r w:rsidR="001E4857" w:rsidRPr="001E4857">
        <w:rPr>
          <w:b/>
        </w:rPr>
        <w:t>redacted</w:t>
      </w:r>
      <w:r>
        <w:t>. Multivariate sensitivity analysis that combined all the PBAC ESC’s changes resulted in an ICER of $</w:t>
      </w:r>
      <w:r w:rsidR="001E4857" w:rsidRPr="001E4857">
        <w:rPr>
          <w:b/>
        </w:rPr>
        <w:t>redacted</w:t>
      </w:r>
      <w:r>
        <w:t xml:space="preserve">. The ESC considered that this multivariate analysis </w:t>
      </w:r>
      <w:proofErr w:type="gramStart"/>
      <w:r>
        <w:t>should be considered</w:t>
      </w:r>
      <w:proofErr w:type="gramEnd"/>
      <w:r>
        <w:t xml:space="preserve"> the respecified base case for MSAC consideration. </w:t>
      </w:r>
    </w:p>
    <w:p w14:paraId="2AA4E577" w14:textId="2E0B4B4A" w:rsidR="001B5028" w:rsidRDefault="001B5028" w:rsidP="001F2235">
      <w:pPr>
        <w:spacing w:before="240"/>
      </w:pPr>
      <w:r>
        <w:t>Financial and budgetary impacts were also revised by the Department to include 100% inpatient treatment using AR-DRG I65A, resulting in a total cost of $</w:t>
      </w:r>
      <w:r w:rsidR="001E4857" w:rsidRPr="001E4857">
        <w:rPr>
          <w:b/>
        </w:rPr>
        <w:t>redacted</w:t>
      </w:r>
      <w:r>
        <w:t xml:space="preserve"> million to $</w:t>
      </w:r>
      <w:r w:rsidR="001E4857" w:rsidRPr="001E4857">
        <w:rPr>
          <w:b/>
        </w:rPr>
        <w:t>redacted</w:t>
      </w:r>
      <w:r>
        <w:t xml:space="preserve"> million per year. The ESC noted that the number of eligible patients and the average number of vials used per patient per course was uncertain.</w:t>
      </w:r>
    </w:p>
    <w:p w14:paraId="1303D49C" w14:textId="77777777" w:rsidR="001B5028" w:rsidRDefault="001B5028" w:rsidP="001F2235">
      <w:pPr>
        <w:spacing w:before="240"/>
      </w:pPr>
      <w:r>
        <w:t xml:space="preserve">The ESC noted the applicant’s request for a lower discount rate, </w:t>
      </w:r>
      <w:proofErr w:type="gramStart"/>
      <w:r>
        <w:t>claiming that</w:t>
      </w:r>
      <w:proofErr w:type="gramEnd"/>
      <w:r>
        <w:t xml:space="preserve"> “the incremental life gained by a young person should be valued more highly than that gained by older patients”. ESC noted that MSAC could discuss this issue in the context of what would constitute an acceptable ICER, rather than introducing differential discounting.</w:t>
      </w:r>
    </w:p>
    <w:p w14:paraId="3FA57BBC" w14:textId="41B21F0F" w:rsidR="001B5028" w:rsidRPr="001F2235" w:rsidRDefault="001B5028" w:rsidP="001F2235">
      <w:r>
        <w:t>Overall, ESC considered that the updated submission, supplemented with additional economic and financial analyses from the Department, included sufficient details for consideration by MSAC.</w:t>
      </w:r>
    </w:p>
    <w:p w14:paraId="4A88BCEE" w14:textId="77777777" w:rsidR="00D90A38" w:rsidRPr="00F715D1" w:rsidRDefault="00BC1364" w:rsidP="00F715D1">
      <w:pPr>
        <w:pStyle w:val="Heading1"/>
      </w:pPr>
      <w:r w:rsidRPr="00F715D1">
        <w:lastRenderedPageBreak/>
        <w:t>Other significant factors</w:t>
      </w:r>
    </w:p>
    <w:p w14:paraId="7AC4C3EF" w14:textId="77777777" w:rsidR="00BC1364" w:rsidRPr="00EE173C" w:rsidRDefault="00BC1364" w:rsidP="001F2235">
      <w:pPr>
        <w:spacing w:before="240" w:after="240"/>
        <w:rPr>
          <w:szCs w:val="24"/>
        </w:rPr>
      </w:pPr>
      <w:r w:rsidRPr="00EE173C">
        <w:rPr>
          <w:szCs w:val="24"/>
        </w:rPr>
        <w:t>Nil</w:t>
      </w:r>
    </w:p>
    <w:p w14:paraId="699DA0FB"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2859EE7B" w14:textId="78953726" w:rsidR="007F73BD" w:rsidRPr="001E4857" w:rsidRDefault="007F73BD" w:rsidP="00F715D1">
      <w:pPr>
        <w:spacing w:after="240"/>
        <w:rPr>
          <w:szCs w:val="24"/>
        </w:rPr>
      </w:pPr>
      <w:r w:rsidRPr="001E4857">
        <w:rPr>
          <w:szCs w:val="24"/>
        </w:rPr>
        <w:t xml:space="preserve">The Sponsor is pleased with the MSAC recommendation and will work with Government for rapid access to </w:t>
      </w:r>
      <w:proofErr w:type="spellStart"/>
      <w:r w:rsidRPr="001E4857">
        <w:rPr>
          <w:szCs w:val="24"/>
        </w:rPr>
        <w:t>Qarziba</w:t>
      </w:r>
      <w:proofErr w:type="spellEnd"/>
      <w:r w:rsidRPr="001E4857">
        <w:rPr>
          <w:szCs w:val="24"/>
        </w:rPr>
        <w:t xml:space="preserve"> for </w:t>
      </w:r>
      <w:proofErr w:type="gramStart"/>
      <w:r w:rsidRPr="001E4857">
        <w:rPr>
          <w:szCs w:val="24"/>
        </w:rPr>
        <w:t>high risk</w:t>
      </w:r>
      <w:proofErr w:type="gramEnd"/>
      <w:r w:rsidRPr="001E4857">
        <w:rPr>
          <w:szCs w:val="24"/>
        </w:rPr>
        <w:t xml:space="preserve"> </w:t>
      </w:r>
      <w:proofErr w:type="spellStart"/>
      <w:r w:rsidRPr="001E4857">
        <w:rPr>
          <w:szCs w:val="24"/>
        </w:rPr>
        <w:t>neuroblastoma</w:t>
      </w:r>
      <w:proofErr w:type="spellEnd"/>
      <w:r w:rsidRPr="001E4857">
        <w:rPr>
          <w:szCs w:val="24"/>
        </w:rPr>
        <w:t>.</w:t>
      </w:r>
      <w:r w:rsidR="00B47468" w:rsidRPr="001E4857">
        <w:rPr>
          <w:szCs w:val="24"/>
        </w:rPr>
        <w:t xml:space="preserve">  The Sponsor wishes to thank MSAC and the Department for their commitment to this vulnerable group of patients.</w:t>
      </w:r>
    </w:p>
    <w:p w14:paraId="2A0BA385" w14:textId="77777777" w:rsidR="00BC1364" w:rsidRPr="00F715D1" w:rsidRDefault="00271F18" w:rsidP="00F715D1">
      <w:pPr>
        <w:pStyle w:val="Heading1"/>
      </w:pPr>
      <w:r w:rsidRPr="00F715D1">
        <w:t>Further information on MSAC</w:t>
      </w:r>
    </w:p>
    <w:p w14:paraId="1B8CF292"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A40E45" w16cid:durableId="2332A3FC"/>
  <w16cid:commentId w16cid:paraId="73074C64" w16cid:durableId="230A3D99"/>
  <w16cid:commentId w16cid:paraId="1FFDC9F4" w16cid:durableId="2326C8CC"/>
  <w16cid:commentId w16cid:paraId="322FEB91" w16cid:durableId="2326CC01"/>
  <w16cid:commentId w16cid:paraId="4C730D27" w16cid:durableId="2332A400"/>
  <w16cid:commentId w16cid:paraId="7397BFD2" w16cid:durableId="2332A4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EA580" w14:textId="77777777" w:rsidR="00864F79" w:rsidRDefault="00864F79" w:rsidP="00065623">
      <w:r>
        <w:separator/>
      </w:r>
    </w:p>
  </w:endnote>
  <w:endnote w:type="continuationSeparator" w:id="0">
    <w:p w14:paraId="5389CEAB" w14:textId="77777777" w:rsidR="00864F79" w:rsidRDefault="00864F79"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14AFFAE0" w14:textId="325DDE03" w:rsidR="00864F79" w:rsidRDefault="00864F79">
        <w:pPr>
          <w:pStyle w:val="Footer"/>
          <w:jc w:val="right"/>
        </w:pPr>
        <w:r>
          <w:fldChar w:fldCharType="begin"/>
        </w:r>
        <w:r>
          <w:instrText xml:space="preserve"> PAGE   \* MERGEFORMAT </w:instrText>
        </w:r>
        <w:r>
          <w:fldChar w:fldCharType="separate"/>
        </w:r>
        <w:r w:rsidR="00B53B0F">
          <w:rPr>
            <w:noProof/>
          </w:rPr>
          <w:t>19</w:t>
        </w:r>
        <w:r>
          <w:rPr>
            <w:noProof/>
          </w:rPr>
          <w:fldChar w:fldCharType="end"/>
        </w:r>
      </w:p>
    </w:sdtContent>
  </w:sdt>
  <w:p w14:paraId="3E3811FB" w14:textId="77777777" w:rsidR="00864F79" w:rsidRDefault="00864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B4570" w14:textId="77777777" w:rsidR="00864F79" w:rsidRDefault="00864F79" w:rsidP="00065623">
      <w:r>
        <w:separator/>
      </w:r>
    </w:p>
  </w:footnote>
  <w:footnote w:type="continuationSeparator" w:id="0">
    <w:p w14:paraId="0B3CEEAE" w14:textId="77777777" w:rsidR="00864F79" w:rsidRDefault="00864F79" w:rsidP="00065623">
      <w:r>
        <w:continuationSeparator/>
      </w:r>
    </w:p>
  </w:footnote>
  <w:footnote w:id="1">
    <w:p w14:paraId="2607C486" w14:textId="1F929A3B" w:rsidR="00864F79" w:rsidRDefault="00864F79">
      <w:pPr>
        <w:pStyle w:val="FootnoteText"/>
      </w:pPr>
      <w:r w:rsidRPr="00B53B0F">
        <w:rPr>
          <w:rStyle w:val="FootnoteReference"/>
        </w:rPr>
        <w:footnoteRef/>
      </w:r>
      <w:r w:rsidRPr="00B53B0F">
        <w:t xml:space="preserve"> $</w:t>
      </w:r>
      <w:r w:rsidR="00B53B0F" w:rsidRPr="00B53B0F">
        <w:t>redacted</w:t>
      </w:r>
      <w:r w:rsidRPr="00B53B0F">
        <w:t xml:space="preserve"> - $</w:t>
      </w:r>
      <w:r w:rsidR="00B53B0F" w:rsidRPr="00B53B0F">
        <w:t>redacted</w:t>
      </w:r>
      <w:r w:rsidRPr="00B53B0F">
        <w:t xml:space="preserve"> = $</w:t>
      </w:r>
      <w:r w:rsidR="00B53B0F" w:rsidRPr="00B53B0F">
        <w:t>redacted</w:t>
      </w:r>
    </w:p>
  </w:footnote>
  <w:footnote w:id="2">
    <w:p w14:paraId="166DA0AE" w14:textId="77777777" w:rsidR="00864F79" w:rsidRDefault="00864F79" w:rsidP="001B5028">
      <w:pPr>
        <w:pStyle w:val="FootnoteText"/>
      </w:pPr>
      <w:r>
        <w:rPr>
          <w:rStyle w:val="FootnoteReference"/>
        </w:rPr>
        <w:footnoteRef/>
      </w:r>
      <w:r>
        <w:t xml:space="preserve"> </w:t>
      </w:r>
      <w:proofErr w:type="spellStart"/>
      <w:r>
        <w:t>Youlden</w:t>
      </w:r>
      <w:proofErr w:type="spellEnd"/>
      <w:r>
        <w:t xml:space="preserve"> D, Jones B, Cundy T et al. Incidence and outcomes of </w:t>
      </w:r>
      <w:proofErr w:type="spellStart"/>
      <w:r>
        <w:t>neuroblastoma</w:t>
      </w:r>
      <w:proofErr w:type="spellEnd"/>
      <w:r>
        <w:t xml:space="preserve"> in Australian children: A population-based study (1983 – 2015) </w:t>
      </w:r>
      <w:r w:rsidRPr="00D442E6">
        <w:t xml:space="preserve">[published online ahead of print, 2020 Feb 18]. J </w:t>
      </w:r>
      <w:proofErr w:type="spellStart"/>
      <w:r w:rsidRPr="00D442E6">
        <w:t>Paediatr</w:t>
      </w:r>
      <w:proofErr w:type="spellEnd"/>
      <w:r w:rsidRPr="00D442E6">
        <w:t xml:space="preserve"> Child Health. 2020;10.1111/jpc.14810.</w:t>
      </w:r>
    </w:p>
  </w:footnote>
  <w:footnote w:id="3">
    <w:p w14:paraId="06B9FDB2" w14:textId="77777777" w:rsidR="00864F79" w:rsidRDefault="00864F79" w:rsidP="001B5028">
      <w:pPr>
        <w:pStyle w:val="FootnoteText"/>
      </w:pPr>
      <w:r>
        <w:rPr>
          <w:rStyle w:val="FootnoteReference"/>
        </w:rPr>
        <w:footnoteRef/>
      </w:r>
      <w:r>
        <w:t xml:space="preserve"> Smith and Foster. High-risk </w:t>
      </w:r>
      <w:proofErr w:type="spellStart"/>
      <w:r>
        <w:t>neuroblastoma</w:t>
      </w:r>
      <w:proofErr w:type="spellEnd"/>
      <w:r>
        <w:t xml:space="preserve"> treatment review. Children 2018; 5, 114.  </w:t>
      </w:r>
    </w:p>
  </w:footnote>
  <w:footnote w:id="4">
    <w:p w14:paraId="284637E8" w14:textId="77777777" w:rsidR="00864F79" w:rsidRDefault="00864F79" w:rsidP="001B5028">
      <w:pPr>
        <w:pStyle w:val="FootnoteText"/>
      </w:pPr>
      <w:r>
        <w:rPr>
          <w:rStyle w:val="FootnoteReference"/>
        </w:rPr>
        <w:footnoteRef/>
      </w:r>
      <w:r>
        <w:t xml:space="preserve"> </w:t>
      </w:r>
      <w:r w:rsidRPr="00342B6E">
        <w:t xml:space="preserve">International Society of Paediatric Oncology European </w:t>
      </w:r>
      <w:proofErr w:type="spellStart"/>
      <w:r w:rsidRPr="00342B6E">
        <w:t>Neuroblastoma</w:t>
      </w:r>
      <w:proofErr w:type="spellEnd"/>
      <w:r w:rsidRPr="00342B6E">
        <w:t xml:space="preserve"> Research Network</w:t>
      </w:r>
    </w:p>
  </w:footnote>
  <w:footnote w:id="5">
    <w:p w14:paraId="28DB997F" w14:textId="280EFE7A" w:rsidR="00864F79" w:rsidRDefault="00864F79" w:rsidP="001B5028">
      <w:pPr>
        <w:pStyle w:val="FootnoteText"/>
      </w:pPr>
      <w:r>
        <w:rPr>
          <w:rStyle w:val="FootnoteReference"/>
        </w:rPr>
        <w:footnoteRef/>
      </w:r>
      <w:r>
        <w:t xml:space="preserve"> </w:t>
      </w:r>
      <w:hyperlink r:id="rId1" w:tooltip="Link to PBS website for the Manual of resource items and their associated unit costs" w:history="1">
        <w:r>
          <w:rPr>
            <w:rStyle w:val="Hyperlink"/>
          </w:rPr>
          <w:t>http://www.pbs.gov.au/industry/useful-resources/manual/manual-of-resource-items-and-associated-unit-costs-dec-2016.pdf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F941F86"/>
    <w:lvl w:ilvl="0">
      <w:start w:val="1"/>
      <w:numFmt w:val="bullet"/>
      <w:pStyle w:val="ListBullet"/>
      <w:lvlText w:val=""/>
      <w:lvlJc w:val="left"/>
      <w:pPr>
        <w:tabs>
          <w:tab w:val="num" w:pos="1069"/>
        </w:tabs>
        <w:ind w:left="1069" w:hanging="360"/>
      </w:pPr>
      <w:rPr>
        <w:rFonts w:ascii="Symbol" w:hAnsi="Symbol"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BD1BE3"/>
    <w:multiLevelType w:val="hybridMultilevel"/>
    <w:tmpl w:val="FB42DF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55440B"/>
    <w:multiLevelType w:val="hybridMultilevel"/>
    <w:tmpl w:val="5EA6920C"/>
    <w:lvl w:ilvl="0" w:tplc="FFFFFFFF">
      <w:start w:val="1"/>
      <w:numFmt w:val="bullet"/>
      <w:lvlText w:val="•"/>
      <w:lvlJc w:val="left"/>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02575"/>
    <w:multiLevelType w:val="hybridMultilevel"/>
    <w:tmpl w:val="A81A57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A200D0"/>
    <w:multiLevelType w:val="hybridMultilevel"/>
    <w:tmpl w:val="BB44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F54FC"/>
    <w:multiLevelType w:val="hybridMultilevel"/>
    <w:tmpl w:val="1ED061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CD5EF3"/>
    <w:multiLevelType w:val="hybridMultilevel"/>
    <w:tmpl w:val="C3C8660E"/>
    <w:lvl w:ilvl="0" w:tplc="E97E1A3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1860AB6"/>
    <w:multiLevelType w:val="hybridMultilevel"/>
    <w:tmpl w:val="1646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160330A"/>
    <w:multiLevelType w:val="hybridMultilevel"/>
    <w:tmpl w:val="9F226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D5373C"/>
    <w:multiLevelType w:val="hybridMultilevel"/>
    <w:tmpl w:val="5D34F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288"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
  </w:num>
  <w:num w:numId="4">
    <w:abstractNumId w:val="21"/>
  </w:num>
  <w:num w:numId="5">
    <w:abstractNumId w:val="14"/>
  </w:num>
  <w:num w:numId="6">
    <w:abstractNumId w:val="20"/>
  </w:num>
  <w:num w:numId="7">
    <w:abstractNumId w:val="26"/>
  </w:num>
  <w:num w:numId="8">
    <w:abstractNumId w:val="15"/>
  </w:num>
  <w:num w:numId="9">
    <w:abstractNumId w:val="36"/>
  </w:num>
  <w:num w:numId="10">
    <w:abstractNumId w:val="1"/>
  </w:num>
  <w:num w:numId="11">
    <w:abstractNumId w:val="24"/>
  </w:num>
  <w:num w:numId="12">
    <w:abstractNumId w:val="27"/>
  </w:num>
  <w:num w:numId="13">
    <w:abstractNumId w:val="6"/>
  </w:num>
  <w:num w:numId="14">
    <w:abstractNumId w:val="31"/>
  </w:num>
  <w:num w:numId="15">
    <w:abstractNumId w:val="23"/>
  </w:num>
  <w:num w:numId="16">
    <w:abstractNumId w:val="28"/>
  </w:num>
  <w:num w:numId="17">
    <w:abstractNumId w:val="16"/>
  </w:num>
  <w:num w:numId="18">
    <w:abstractNumId w:val="17"/>
  </w:num>
  <w:num w:numId="19">
    <w:abstractNumId w:val="30"/>
  </w:num>
  <w:num w:numId="20">
    <w:abstractNumId w:val="29"/>
  </w:num>
  <w:num w:numId="21">
    <w:abstractNumId w:val="5"/>
  </w:num>
  <w:num w:numId="22">
    <w:abstractNumId w:val="13"/>
  </w:num>
  <w:num w:numId="23">
    <w:abstractNumId w:val="4"/>
  </w:num>
  <w:num w:numId="24">
    <w:abstractNumId w:val="11"/>
  </w:num>
  <w:num w:numId="25">
    <w:abstractNumId w:val="8"/>
  </w:num>
  <w:num w:numId="26">
    <w:abstractNumId w:val="35"/>
  </w:num>
  <w:num w:numId="27">
    <w:abstractNumId w:val="7"/>
  </w:num>
  <w:num w:numId="28">
    <w:abstractNumId w:val="34"/>
  </w:num>
  <w:num w:numId="29">
    <w:abstractNumId w:val="0"/>
  </w:num>
  <w:num w:numId="30">
    <w:abstractNumId w:val="22"/>
  </w:num>
  <w:num w:numId="31">
    <w:abstractNumId w:val="10"/>
  </w:num>
  <w:num w:numId="32">
    <w:abstractNumId w:val="3"/>
  </w:num>
  <w:num w:numId="33">
    <w:abstractNumId w:val="12"/>
  </w:num>
  <w:num w:numId="34">
    <w:abstractNumId w:val="33"/>
  </w:num>
  <w:num w:numId="35">
    <w:abstractNumId w:val="25"/>
  </w:num>
  <w:num w:numId="36">
    <w:abstractNumId w:val="1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3528"/>
    <w:rsid w:val="00007312"/>
    <w:rsid w:val="00011A36"/>
    <w:rsid w:val="0001311B"/>
    <w:rsid w:val="000317F2"/>
    <w:rsid w:val="00043FE9"/>
    <w:rsid w:val="00046324"/>
    <w:rsid w:val="000464D0"/>
    <w:rsid w:val="00047606"/>
    <w:rsid w:val="0005367A"/>
    <w:rsid w:val="000570D2"/>
    <w:rsid w:val="0005796E"/>
    <w:rsid w:val="00065623"/>
    <w:rsid w:val="0006577B"/>
    <w:rsid w:val="00066F32"/>
    <w:rsid w:val="0007517F"/>
    <w:rsid w:val="000756B9"/>
    <w:rsid w:val="00083E00"/>
    <w:rsid w:val="00096B67"/>
    <w:rsid w:val="00096DAF"/>
    <w:rsid w:val="000A6099"/>
    <w:rsid w:val="000B6853"/>
    <w:rsid w:val="000C219D"/>
    <w:rsid w:val="000C2F47"/>
    <w:rsid w:val="000D2B9A"/>
    <w:rsid w:val="000D3D88"/>
    <w:rsid w:val="000D6C00"/>
    <w:rsid w:val="000E4E04"/>
    <w:rsid w:val="000F14B4"/>
    <w:rsid w:val="000F75DF"/>
    <w:rsid w:val="00101567"/>
    <w:rsid w:val="001023DC"/>
    <w:rsid w:val="00112C39"/>
    <w:rsid w:val="00121777"/>
    <w:rsid w:val="001277B0"/>
    <w:rsid w:val="00127EA0"/>
    <w:rsid w:val="001328FA"/>
    <w:rsid w:val="00133E47"/>
    <w:rsid w:val="0013645A"/>
    <w:rsid w:val="0014188F"/>
    <w:rsid w:val="00142123"/>
    <w:rsid w:val="00147AAF"/>
    <w:rsid w:val="001552C0"/>
    <w:rsid w:val="00155C47"/>
    <w:rsid w:val="00160DFF"/>
    <w:rsid w:val="0016109F"/>
    <w:rsid w:val="001640B1"/>
    <w:rsid w:val="00167323"/>
    <w:rsid w:val="001842B7"/>
    <w:rsid w:val="0018435E"/>
    <w:rsid w:val="0018540A"/>
    <w:rsid w:val="001861EA"/>
    <w:rsid w:val="00196DA9"/>
    <w:rsid w:val="001B5028"/>
    <w:rsid w:val="001C671F"/>
    <w:rsid w:val="001D1F59"/>
    <w:rsid w:val="001D60A2"/>
    <w:rsid w:val="001E3F42"/>
    <w:rsid w:val="001E4857"/>
    <w:rsid w:val="001E7A3A"/>
    <w:rsid w:val="001F182D"/>
    <w:rsid w:val="001F2235"/>
    <w:rsid w:val="001F2CF0"/>
    <w:rsid w:val="001F3808"/>
    <w:rsid w:val="001F77B0"/>
    <w:rsid w:val="002041A1"/>
    <w:rsid w:val="002054F0"/>
    <w:rsid w:val="002078CE"/>
    <w:rsid w:val="002131EB"/>
    <w:rsid w:val="002204FB"/>
    <w:rsid w:val="0022169D"/>
    <w:rsid w:val="002248F8"/>
    <w:rsid w:val="00230D6B"/>
    <w:rsid w:val="00232068"/>
    <w:rsid w:val="002330F2"/>
    <w:rsid w:val="00235BD0"/>
    <w:rsid w:val="00235E16"/>
    <w:rsid w:val="00237A94"/>
    <w:rsid w:val="00243D9E"/>
    <w:rsid w:val="00245A63"/>
    <w:rsid w:val="00253B66"/>
    <w:rsid w:val="00261DF1"/>
    <w:rsid w:val="002669C3"/>
    <w:rsid w:val="00267379"/>
    <w:rsid w:val="00270684"/>
    <w:rsid w:val="00271F18"/>
    <w:rsid w:val="00273C7D"/>
    <w:rsid w:val="00277F22"/>
    <w:rsid w:val="0028237B"/>
    <w:rsid w:val="00282779"/>
    <w:rsid w:val="0028334D"/>
    <w:rsid w:val="00287AD2"/>
    <w:rsid w:val="00292416"/>
    <w:rsid w:val="00294133"/>
    <w:rsid w:val="002B7FFA"/>
    <w:rsid w:val="002C06F4"/>
    <w:rsid w:val="002C23C9"/>
    <w:rsid w:val="002C2BCF"/>
    <w:rsid w:val="002C7CD7"/>
    <w:rsid w:val="002E1C42"/>
    <w:rsid w:val="002F279D"/>
    <w:rsid w:val="002F3342"/>
    <w:rsid w:val="002F43B8"/>
    <w:rsid w:val="002F65B6"/>
    <w:rsid w:val="00310321"/>
    <w:rsid w:val="00324224"/>
    <w:rsid w:val="00327A95"/>
    <w:rsid w:val="00336856"/>
    <w:rsid w:val="0034068C"/>
    <w:rsid w:val="0034554D"/>
    <w:rsid w:val="00345DA3"/>
    <w:rsid w:val="00352224"/>
    <w:rsid w:val="00354574"/>
    <w:rsid w:val="00355472"/>
    <w:rsid w:val="0036064A"/>
    <w:rsid w:val="003671E6"/>
    <w:rsid w:val="00367805"/>
    <w:rsid w:val="003724D2"/>
    <w:rsid w:val="00375BE6"/>
    <w:rsid w:val="00384272"/>
    <w:rsid w:val="00386D67"/>
    <w:rsid w:val="003945B8"/>
    <w:rsid w:val="003D4781"/>
    <w:rsid w:val="003D7F29"/>
    <w:rsid w:val="003E3A1D"/>
    <w:rsid w:val="003E5861"/>
    <w:rsid w:val="003E5B0B"/>
    <w:rsid w:val="003E5EED"/>
    <w:rsid w:val="003E70F4"/>
    <w:rsid w:val="003F01DB"/>
    <w:rsid w:val="003F309C"/>
    <w:rsid w:val="003F37FC"/>
    <w:rsid w:val="00405A6B"/>
    <w:rsid w:val="00407B1F"/>
    <w:rsid w:val="0041184F"/>
    <w:rsid w:val="00414C57"/>
    <w:rsid w:val="0041758C"/>
    <w:rsid w:val="004229A3"/>
    <w:rsid w:val="00432574"/>
    <w:rsid w:val="00433FC5"/>
    <w:rsid w:val="004539DE"/>
    <w:rsid w:val="004639AE"/>
    <w:rsid w:val="0046667A"/>
    <w:rsid w:val="0048211C"/>
    <w:rsid w:val="00483154"/>
    <w:rsid w:val="004A12BE"/>
    <w:rsid w:val="004A2CF1"/>
    <w:rsid w:val="004A48FA"/>
    <w:rsid w:val="004A7AB3"/>
    <w:rsid w:val="004A7E0B"/>
    <w:rsid w:val="004B2130"/>
    <w:rsid w:val="004C0531"/>
    <w:rsid w:val="004C3035"/>
    <w:rsid w:val="004C307F"/>
    <w:rsid w:val="004E1B87"/>
    <w:rsid w:val="004E4BA8"/>
    <w:rsid w:val="004F340F"/>
    <w:rsid w:val="004F7B7C"/>
    <w:rsid w:val="0051548D"/>
    <w:rsid w:val="0052243D"/>
    <w:rsid w:val="00524207"/>
    <w:rsid w:val="00532435"/>
    <w:rsid w:val="00550354"/>
    <w:rsid w:val="00566B61"/>
    <w:rsid w:val="00571236"/>
    <w:rsid w:val="00584FC2"/>
    <w:rsid w:val="005953A1"/>
    <w:rsid w:val="005A4362"/>
    <w:rsid w:val="005B07D9"/>
    <w:rsid w:val="005B5434"/>
    <w:rsid w:val="005C6DD1"/>
    <w:rsid w:val="005D0332"/>
    <w:rsid w:val="005D0D8C"/>
    <w:rsid w:val="005D7049"/>
    <w:rsid w:val="005E4173"/>
    <w:rsid w:val="00600AE5"/>
    <w:rsid w:val="006103C3"/>
    <w:rsid w:val="0061314B"/>
    <w:rsid w:val="00616670"/>
    <w:rsid w:val="00616811"/>
    <w:rsid w:val="0061699D"/>
    <w:rsid w:val="006172D3"/>
    <w:rsid w:val="00625D9D"/>
    <w:rsid w:val="00635F9E"/>
    <w:rsid w:val="00640A46"/>
    <w:rsid w:val="006574BD"/>
    <w:rsid w:val="00662832"/>
    <w:rsid w:val="00666DFF"/>
    <w:rsid w:val="00675BE0"/>
    <w:rsid w:val="006776AE"/>
    <w:rsid w:val="0069581D"/>
    <w:rsid w:val="006A0D97"/>
    <w:rsid w:val="006B00A5"/>
    <w:rsid w:val="006B1090"/>
    <w:rsid w:val="006B19A5"/>
    <w:rsid w:val="006B1F86"/>
    <w:rsid w:val="006B55A8"/>
    <w:rsid w:val="006C0A91"/>
    <w:rsid w:val="006C1FA5"/>
    <w:rsid w:val="006D3285"/>
    <w:rsid w:val="006F77A4"/>
    <w:rsid w:val="007013AB"/>
    <w:rsid w:val="007054BB"/>
    <w:rsid w:val="00707064"/>
    <w:rsid w:val="00713B89"/>
    <w:rsid w:val="00722976"/>
    <w:rsid w:val="00724C12"/>
    <w:rsid w:val="0072576A"/>
    <w:rsid w:val="00730683"/>
    <w:rsid w:val="00734952"/>
    <w:rsid w:val="007416DA"/>
    <w:rsid w:val="00744BC8"/>
    <w:rsid w:val="0075261F"/>
    <w:rsid w:val="0075311C"/>
    <w:rsid w:val="0075468E"/>
    <w:rsid w:val="00757328"/>
    <w:rsid w:val="007603B9"/>
    <w:rsid w:val="007665D8"/>
    <w:rsid w:val="00766E36"/>
    <w:rsid w:val="007765F4"/>
    <w:rsid w:val="00776633"/>
    <w:rsid w:val="0077763C"/>
    <w:rsid w:val="007813C4"/>
    <w:rsid w:val="00784D53"/>
    <w:rsid w:val="00797797"/>
    <w:rsid w:val="007A63C9"/>
    <w:rsid w:val="007B32D1"/>
    <w:rsid w:val="007B7095"/>
    <w:rsid w:val="007C3E41"/>
    <w:rsid w:val="007D1ACB"/>
    <w:rsid w:val="007D23B4"/>
    <w:rsid w:val="007D24E1"/>
    <w:rsid w:val="007D538D"/>
    <w:rsid w:val="007D6288"/>
    <w:rsid w:val="007D63F2"/>
    <w:rsid w:val="007F4CE9"/>
    <w:rsid w:val="007F4E20"/>
    <w:rsid w:val="007F73BD"/>
    <w:rsid w:val="00805BDD"/>
    <w:rsid w:val="00822C7E"/>
    <w:rsid w:val="00827CEC"/>
    <w:rsid w:val="0083544A"/>
    <w:rsid w:val="00840515"/>
    <w:rsid w:val="00842A91"/>
    <w:rsid w:val="00845352"/>
    <w:rsid w:val="00847060"/>
    <w:rsid w:val="00847A36"/>
    <w:rsid w:val="00851295"/>
    <w:rsid w:val="00856A33"/>
    <w:rsid w:val="00864F79"/>
    <w:rsid w:val="0087527B"/>
    <w:rsid w:val="00892620"/>
    <w:rsid w:val="008A3F45"/>
    <w:rsid w:val="008B112B"/>
    <w:rsid w:val="008C39FF"/>
    <w:rsid w:val="008C6106"/>
    <w:rsid w:val="008C778E"/>
    <w:rsid w:val="008C7D37"/>
    <w:rsid w:val="008D0663"/>
    <w:rsid w:val="008D0FC4"/>
    <w:rsid w:val="008D3155"/>
    <w:rsid w:val="008D5885"/>
    <w:rsid w:val="008F229C"/>
    <w:rsid w:val="00915FE9"/>
    <w:rsid w:val="00922BD4"/>
    <w:rsid w:val="00923FA2"/>
    <w:rsid w:val="0092563C"/>
    <w:rsid w:val="009360ED"/>
    <w:rsid w:val="00940D16"/>
    <w:rsid w:val="0096060D"/>
    <w:rsid w:val="00965DD7"/>
    <w:rsid w:val="00974A50"/>
    <w:rsid w:val="0097585A"/>
    <w:rsid w:val="00980B42"/>
    <w:rsid w:val="00991D81"/>
    <w:rsid w:val="009924B0"/>
    <w:rsid w:val="009942C9"/>
    <w:rsid w:val="009A32BA"/>
    <w:rsid w:val="009B35C4"/>
    <w:rsid w:val="009B6C17"/>
    <w:rsid w:val="009C596F"/>
    <w:rsid w:val="009C630A"/>
    <w:rsid w:val="009D2F49"/>
    <w:rsid w:val="009E0D98"/>
    <w:rsid w:val="009F0BE8"/>
    <w:rsid w:val="009F517E"/>
    <w:rsid w:val="00A00D36"/>
    <w:rsid w:val="00A068A1"/>
    <w:rsid w:val="00A1207D"/>
    <w:rsid w:val="00A12DE8"/>
    <w:rsid w:val="00A12FD8"/>
    <w:rsid w:val="00A131D5"/>
    <w:rsid w:val="00A17309"/>
    <w:rsid w:val="00A21032"/>
    <w:rsid w:val="00A256AA"/>
    <w:rsid w:val="00A30907"/>
    <w:rsid w:val="00A31A77"/>
    <w:rsid w:val="00A346FC"/>
    <w:rsid w:val="00A35954"/>
    <w:rsid w:val="00A44534"/>
    <w:rsid w:val="00A46D77"/>
    <w:rsid w:val="00A6376C"/>
    <w:rsid w:val="00A762DF"/>
    <w:rsid w:val="00A846F2"/>
    <w:rsid w:val="00A84A49"/>
    <w:rsid w:val="00A84D74"/>
    <w:rsid w:val="00A84F93"/>
    <w:rsid w:val="00AA13E9"/>
    <w:rsid w:val="00AB1AC5"/>
    <w:rsid w:val="00AB1ADC"/>
    <w:rsid w:val="00AB3BFC"/>
    <w:rsid w:val="00AC4F2E"/>
    <w:rsid w:val="00AD00AC"/>
    <w:rsid w:val="00AD0C37"/>
    <w:rsid w:val="00AD2F69"/>
    <w:rsid w:val="00AD385F"/>
    <w:rsid w:val="00AD720F"/>
    <w:rsid w:val="00AE40ED"/>
    <w:rsid w:val="00AE6E2A"/>
    <w:rsid w:val="00AF4529"/>
    <w:rsid w:val="00B03EAB"/>
    <w:rsid w:val="00B202D3"/>
    <w:rsid w:val="00B214CB"/>
    <w:rsid w:val="00B22F72"/>
    <w:rsid w:val="00B31E9C"/>
    <w:rsid w:val="00B35595"/>
    <w:rsid w:val="00B47468"/>
    <w:rsid w:val="00B51C6D"/>
    <w:rsid w:val="00B53036"/>
    <w:rsid w:val="00B53B0F"/>
    <w:rsid w:val="00B7736E"/>
    <w:rsid w:val="00B83DD2"/>
    <w:rsid w:val="00B86D64"/>
    <w:rsid w:val="00B97F6C"/>
    <w:rsid w:val="00BA4AC5"/>
    <w:rsid w:val="00BB0218"/>
    <w:rsid w:val="00BC1364"/>
    <w:rsid w:val="00BC2667"/>
    <w:rsid w:val="00BC5CBF"/>
    <w:rsid w:val="00BC7DE9"/>
    <w:rsid w:val="00BD3ED5"/>
    <w:rsid w:val="00BD4E91"/>
    <w:rsid w:val="00BD73DD"/>
    <w:rsid w:val="00BE20A1"/>
    <w:rsid w:val="00BE382C"/>
    <w:rsid w:val="00BE767B"/>
    <w:rsid w:val="00BF479B"/>
    <w:rsid w:val="00BF6C37"/>
    <w:rsid w:val="00C02577"/>
    <w:rsid w:val="00C05CA9"/>
    <w:rsid w:val="00C06B0B"/>
    <w:rsid w:val="00C204FB"/>
    <w:rsid w:val="00C20BEE"/>
    <w:rsid w:val="00C2158D"/>
    <w:rsid w:val="00C27302"/>
    <w:rsid w:val="00C31499"/>
    <w:rsid w:val="00C474CA"/>
    <w:rsid w:val="00C47512"/>
    <w:rsid w:val="00C553D4"/>
    <w:rsid w:val="00C65020"/>
    <w:rsid w:val="00C67DD2"/>
    <w:rsid w:val="00C725CB"/>
    <w:rsid w:val="00C76F5C"/>
    <w:rsid w:val="00C77957"/>
    <w:rsid w:val="00C7795E"/>
    <w:rsid w:val="00C96BAD"/>
    <w:rsid w:val="00CA6944"/>
    <w:rsid w:val="00CB002C"/>
    <w:rsid w:val="00CB0F8E"/>
    <w:rsid w:val="00CB6E25"/>
    <w:rsid w:val="00CB7E7D"/>
    <w:rsid w:val="00CC2911"/>
    <w:rsid w:val="00CE5ED8"/>
    <w:rsid w:val="00CF0C6D"/>
    <w:rsid w:val="00CF4E81"/>
    <w:rsid w:val="00CF7307"/>
    <w:rsid w:val="00CF7C68"/>
    <w:rsid w:val="00D06B58"/>
    <w:rsid w:val="00D124FA"/>
    <w:rsid w:val="00D12B9B"/>
    <w:rsid w:val="00D1759A"/>
    <w:rsid w:val="00D2671B"/>
    <w:rsid w:val="00D304BD"/>
    <w:rsid w:val="00D340DE"/>
    <w:rsid w:val="00D41D88"/>
    <w:rsid w:val="00D44AA4"/>
    <w:rsid w:val="00D44D24"/>
    <w:rsid w:val="00D46511"/>
    <w:rsid w:val="00D55723"/>
    <w:rsid w:val="00D62FAD"/>
    <w:rsid w:val="00D64355"/>
    <w:rsid w:val="00D64B0B"/>
    <w:rsid w:val="00D70450"/>
    <w:rsid w:val="00D83BFD"/>
    <w:rsid w:val="00D8500B"/>
    <w:rsid w:val="00D90A38"/>
    <w:rsid w:val="00D9233D"/>
    <w:rsid w:val="00D930E0"/>
    <w:rsid w:val="00D93690"/>
    <w:rsid w:val="00D95739"/>
    <w:rsid w:val="00D9760D"/>
    <w:rsid w:val="00DA0515"/>
    <w:rsid w:val="00DA1129"/>
    <w:rsid w:val="00DA171E"/>
    <w:rsid w:val="00DA2054"/>
    <w:rsid w:val="00DA56AA"/>
    <w:rsid w:val="00DA7A73"/>
    <w:rsid w:val="00DB5833"/>
    <w:rsid w:val="00DD2858"/>
    <w:rsid w:val="00DE71AB"/>
    <w:rsid w:val="00DF489D"/>
    <w:rsid w:val="00E03E33"/>
    <w:rsid w:val="00E059E0"/>
    <w:rsid w:val="00E06506"/>
    <w:rsid w:val="00E12418"/>
    <w:rsid w:val="00E1317B"/>
    <w:rsid w:val="00E35C4A"/>
    <w:rsid w:val="00E3642A"/>
    <w:rsid w:val="00E415C4"/>
    <w:rsid w:val="00E43732"/>
    <w:rsid w:val="00E438FA"/>
    <w:rsid w:val="00E50016"/>
    <w:rsid w:val="00E50EAA"/>
    <w:rsid w:val="00E60F1E"/>
    <w:rsid w:val="00E656D6"/>
    <w:rsid w:val="00E710F4"/>
    <w:rsid w:val="00E71F76"/>
    <w:rsid w:val="00E773E2"/>
    <w:rsid w:val="00E77A84"/>
    <w:rsid w:val="00E977EE"/>
    <w:rsid w:val="00EA2F24"/>
    <w:rsid w:val="00EA309D"/>
    <w:rsid w:val="00EA5C0E"/>
    <w:rsid w:val="00EA6799"/>
    <w:rsid w:val="00EA67A2"/>
    <w:rsid w:val="00EA772A"/>
    <w:rsid w:val="00EB630F"/>
    <w:rsid w:val="00EB6B6F"/>
    <w:rsid w:val="00EC0FED"/>
    <w:rsid w:val="00EC1362"/>
    <w:rsid w:val="00EC4F98"/>
    <w:rsid w:val="00EC760F"/>
    <w:rsid w:val="00EE15BD"/>
    <w:rsid w:val="00EE173C"/>
    <w:rsid w:val="00F02C0E"/>
    <w:rsid w:val="00F02ED0"/>
    <w:rsid w:val="00F03160"/>
    <w:rsid w:val="00F04560"/>
    <w:rsid w:val="00F12F02"/>
    <w:rsid w:val="00F131D8"/>
    <w:rsid w:val="00F24240"/>
    <w:rsid w:val="00F27D5E"/>
    <w:rsid w:val="00F32C64"/>
    <w:rsid w:val="00F32E0D"/>
    <w:rsid w:val="00F35134"/>
    <w:rsid w:val="00F37B9C"/>
    <w:rsid w:val="00F41812"/>
    <w:rsid w:val="00F53620"/>
    <w:rsid w:val="00F56D7F"/>
    <w:rsid w:val="00F7098F"/>
    <w:rsid w:val="00F715D1"/>
    <w:rsid w:val="00F72715"/>
    <w:rsid w:val="00F73333"/>
    <w:rsid w:val="00F878CB"/>
    <w:rsid w:val="00F91530"/>
    <w:rsid w:val="00F95D8F"/>
    <w:rsid w:val="00FA6B47"/>
    <w:rsid w:val="00FB350A"/>
    <w:rsid w:val="00FB4C5D"/>
    <w:rsid w:val="00FC6EAA"/>
    <w:rsid w:val="00FD0063"/>
    <w:rsid w:val="00FD01F9"/>
    <w:rsid w:val="00FD1CFE"/>
    <w:rsid w:val="00FD3865"/>
    <w:rsid w:val="00FD49BF"/>
    <w:rsid w:val="00FE1C3F"/>
    <w:rsid w:val="00FE27BB"/>
    <w:rsid w:val="00FE731D"/>
    <w:rsid w:val="00FF7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0CB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1B5028"/>
    <w:pPr>
      <w:spacing w:after="240"/>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aliases w:val="KMC16 - Footnote Text"/>
    <w:basedOn w:val="Normal"/>
    <w:link w:val="FootnoteTextChar"/>
    <w:qFormat/>
    <w:rsid w:val="00065623"/>
    <w:rPr>
      <w:sz w:val="20"/>
    </w:rPr>
  </w:style>
  <w:style w:type="character" w:customStyle="1" w:styleId="FootnoteTextChar">
    <w:name w:val="Footnote Text Char"/>
    <w:aliases w:val="KMC16 - 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aliases w:val="KMC16 - Footnote Reference"/>
    <w:basedOn w:val="DefaultParagraphFont"/>
    <w:rsid w:val="00065623"/>
    <w:rPr>
      <w:rFonts w:cs="Times New Roman"/>
      <w:vertAlign w:val="superscript"/>
    </w:rPr>
  </w:style>
  <w:style w:type="paragraph" w:styleId="ListParagraph">
    <w:name w:val="List Paragraph"/>
    <w:aliases w:val="Styl moj,Akapit z listą1,Akapit z listą11,Body Text Bullet Points,Numbered para,BulletPoints,List Paragraph1,Bullet point,List Paragraph11,Recommendation,Section heading,Footnote,Bullets Points,Table Legend,Bullet1,Bullet 1,Bullet List"/>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qFormat/>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1B5028"/>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Table Gridbeth,CMA Table Template,ASD Table,new style"/>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uiPriority w:val="99"/>
    <w:qFormat/>
    <w:rsid w:val="001B5028"/>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uiPriority w:val="99"/>
    <w:rsid w:val="001B5028"/>
    <w:rPr>
      <w:rFonts w:ascii="Arial Narrow" w:eastAsia="Times New Roman" w:hAnsi="Arial Narrow" w:cs="Tahoma"/>
      <w:b/>
      <w:noProof/>
      <w:sz w:val="20"/>
      <w:szCs w:val="20"/>
    </w:rPr>
  </w:style>
  <w:style w:type="paragraph" w:customStyle="1" w:styleId="TableText">
    <w:name w:val="TableText"/>
    <w:basedOn w:val="Normal"/>
    <w:uiPriority w:val="99"/>
    <w:semiHidden/>
    <w:rsid w:val="001B5028"/>
    <w:pPr>
      <w:keepNext/>
      <w:spacing w:before="60" w:after="60"/>
    </w:pPr>
    <w:rPr>
      <w:color w:val="000000"/>
      <w:sz w:val="21"/>
      <w:szCs w:val="21"/>
    </w:rPr>
  </w:style>
  <w:style w:type="paragraph" w:styleId="NormalWeb">
    <w:name w:val="Normal (Web)"/>
    <w:basedOn w:val="Normal"/>
    <w:uiPriority w:val="99"/>
    <w:semiHidden/>
    <w:unhideWhenUsed/>
    <w:rsid w:val="001B5028"/>
    <w:pPr>
      <w:spacing w:before="100" w:beforeAutospacing="1" w:after="100" w:afterAutospacing="1"/>
    </w:pPr>
    <w:rPr>
      <w:szCs w:val="24"/>
      <w:lang w:eastAsia="en-GB"/>
    </w:rPr>
  </w:style>
  <w:style w:type="paragraph" w:customStyle="1" w:styleId="BulletBeforeDash">
    <w:name w:val="BulletBeforeDash"/>
    <w:basedOn w:val="Normal"/>
    <w:uiPriority w:val="99"/>
    <w:semiHidden/>
    <w:rsid w:val="001B5028"/>
    <w:pPr>
      <w:numPr>
        <w:numId w:val="26"/>
      </w:numPr>
      <w:ind w:left="720"/>
    </w:pPr>
    <w:rPr>
      <w:color w:val="000000"/>
    </w:rPr>
  </w:style>
  <w:style w:type="paragraph" w:customStyle="1" w:styleId="Bullet">
    <w:name w:val="Bullet"/>
    <w:basedOn w:val="BulletBeforeDash"/>
    <w:uiPriority w:val="99"/>
    <w:semiHidden/>
    <w:qFormat/>
    <w:rsid w:val="001B5028"/>
    <w:pPr>
      <w:spacing w:after="120"/>
    </w:pPr>
  </w:style>
  <w:style w:type="paragraph" w:customStyle="1" w:styleId="BulletLast">
    <w:name w:val="BulletLast"/>
    <w:basedOn w:val="Bullet"/>
    <w:uiPriority w:val="99"/>
    <w:semiHidden/>
    <w:qFormat/>
    <w:rsid w:val="001B5028"/>
  </w:style>
  <w:style w:type="paragraph" w:customStyle="1" w:styleId="NormalBeforeBullet">
    <w:name w:val="NormalBeforeBullet"/>
    <w:basedOn w:val="Normal"/>
    <w:uiPriority w:val="99"/>
    <w:semiHidden/>
    <w:qFormat/>
    <w:rsid w:val="001B5028"/>
    <w:pPr>
      <w:keepNext/>
      <w:spacing w:after="120"/>
    </w:pPr>
    <w:rPr>
      <w:color w:val="00000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1B5028"/>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1B5028"/>
    <w:rPr>
      <w:rFonts w:ascii="Arial Narrow" w:eastAsia="Times New Roman" w:hAnsi="Arial Narrow" w:cs="Arial"/>
      <w:b/>
      <w:bCs/>
      <w:iCs/>
      <w:sz w:val="20"/>
      <w:szCs w:val="20"/>
      <w:lang w:eastAsia="en-US"/>
    </w:rPr>
  </w:style>
  <w:style w:type="character" w:customStyle="1" w:styleId="ListParagraphChar">
    <w:name w:val="List Paragraph Char"/>
    <w:aliases w:val="Styl moj Char,Akapit z listą1 Char,Akapit z listą11 Char,Body Text Bullet Points Char,Numbered para Char,BulletPoints Char,List Paragraph1 Char,Bullet point Char,List Paragraph11 Char,Recommendation Char,Section heading Char"/>
    <w:link w:val="ListParagraph"/>
    <w:uiPriority w:val="34"/>
    <w:qFormat/>
    <w:rsid w:val="001B5028"/>
    <w:rPr>
      <w:rFonts w:eastAsia="Times New Roman"/>
      <w:sz w:val="24"/>
      <w:szCs w:val="20"/>
    </w:rPr>
  </w:style>
  <w:style w:type="paragraph" w:customStyle="1" w:styleId="TableText0">
    <w:name w:val="Table Text"/>
    <w:basedOn w:val="Normal"/>
    <w:link w:val="TableTextChar"/>
    <w:qFormat/>
    <w:rsid w:val="001B5028"/>
    <w:pPr>
      <w:spacing w:before="40" w:after="40"/>
      <w:jc w:val="both"/>
    </w:pPr>
    <w:rPr>
      <w:rFonts w:ascii="Arial Narrow" w:hAnsi="Arial Narrow" w:cs="Tahoma"/>
      <w:sz w:val="20"/>
      <w:szCs w:val="22"/>
      <w:lang w:eastAsia="en-US"/>
    </w:rPr>
  </w:style>
  <w:style w:type="character" w:customStyle="1" w:styleId="TableTextChar">
    <w:name w:val="Table Text Char"/>
    <w:link w:val="TableText0"/>
    <w:rsid w:val="001B5028"/>
    <w:rPr>
      <w:rFonts w:ascii="Arial Narrow" w:eastAsia="Times New Roman" w:hAnsi="Arial Narrow" w:cs="Tahoma"/>
      <w:sz w:val="20"/>
      <w:lang w:eastAsia="en-US"/>
    </w:rPr>
  </w:style>
  <w:style w:type="paragraph" w:customStyle="1" w:styleId="In-tableHeading">
    <w:name w:val="In-table Heading"/>
    <w:qFormat/>
    <w:rsid w:val="001B5028"/>
    <w:pPr>
      <w:keepNext/>
    </w:pPr>
    <w:rPr>
      <w:rFonts w:ascii="Arial Narrow" w:eastAsiaTheme="majorEastAsia" w:hAnsi="Arial Narrow"/>
      <w:b/>
      <w:sz w:val="20"/>
      <w:szCs w:val="24"/>
      <w:lang w:val="en-US"/>
    </w:rPr>
  </w:style>
  <w:style w:type="paragraph" w:customStyle="1" w:styleId="2-SectionHeading">
    <w:name w:val="2-Section Heading"/>
    <w:qFormat/>
    <w:rsid w:val="001B5028"/>
    <w:pPr>
      <w:keepNext/>
      <w:numPr>
        <w:numId w:val="28"/>
      </w:numPr>
      <w:spacing w:before="240" w:after="120"/>
      <w:outlineLvl w:val="0"/>
    </w:pPr>
    <w:rPr>
      <w:rFonts w:asciiTheme="minorHAnsi" w:eastAsia="Times New Roman" w:hAnsiTheme="minorHAnsi" w:cs="Arial"/>
      <w:b/>
      <w:snapToGrid w:val="0"/>
      <w:sz w:val="32"/>
      <w:szCs w:val="32"/>
    </w:rPr>
  </w:style>
  <w:style w:type="paragraph" w:customStyle="1" w:styleId="3-BodyText">
    <w:name w:val="3-Body Text"/>
    <w:basedOn w:val="ListParagraph"/>
    <w:link w:val="3-BodyTextChar"/>
    <w:qFormat/>
    <w:rsid w:val="001B5028"/>
    <w:pPr>
      <w:numPr>
        <w:ilvl w:val="1"/>
        <w:numId w:val="28"/>
      </w:numPr>
      <w:spacing w:after="120"/>
      <w:ind w:left="2137"/>
      <w:contextualSpacing w:val="0"/>
      <w:jc w:val="both"/>
    </w:pPr>
    <w:rPr>
      <w:rFonts w:asciiTheme="minorHAnsi" w:hAnsiTheme="minorHAnsi" w:cs="Arial"/>
      <w:snapToGrid w:val="0"/>
      <w:szCs w:val="24"/>
    </w:rPr>
  </w:style>
  <w:style w:type="character" w:customStyle="1" w:styleId="3-BodyTextChar">
    <w:name w:val="3-Body Text Char"/>
    <w:basedOn w:val="DefaultParagraphFont"/>
    <w:link w:val="3-BodyText"/>
    <w:rsid w:val="001B5028"/>
    <w:rPr>
      <w:rFonts w:asciiTheme="minorHAnsi" w:eastAsia="Times New Roman" w:hAnsiTheme="minorHAnsi" w:cs="Arial"/>
      <w:snapToGrid w:val="0"/>
      <w:sz w:val="24"/>
      <w:szCs w:val="24"/>
    </w:rPr>
  </w:style>
  <w:style w:type="paragraph" w:customStyle="1" w:styleId="TableFigureHeading">
    <w:name w:val="Table/Figure Heading"/>
    <w:next w:val="In-tableHeading"/>
    <w:link w:val="TableFigureHeadingChar"/>
    <w:qFormat/>
    <w:rsid w:val="001B5028"/>
    <w:pPr>
      <w:keepNext/>
    </w:pPr>
    <w:rPr>
      <w:rFonts w:ascii="Arial Narrow" w:eastAsiaTheme="majorEastAsia" w:hAnsi="Arial Narrow" w:cstheme="majorBidi"/>
      <w:b/>
      <w:bCs/>
      <w:sz w:val="20"/>
      <w:szCs w:val="24"/>
    </w:rPr>
  </w:style>
  <w:style w:type="character" w:customStyle="1" w:styleId="TableFigureHeadingChar">
    <w:name w:val="Table/Figure Heading Char"/>
    <w:basedOn w:val="DefaultParagraphFont"/>
    <w:link w:val="TableFigureHeading"/>
    <w:rsid w:val="001B5028"/>
    <w:rPr>
      <w:rFonts w:ascii="Arial Narrow" w:eastAsiaTheme="majorEastAsia" w:hAnsi="Arial Narrow" w:cstheme="majorBidi"/>
      <w:b/>
      <w:bCs/>
      <w:sz w:val="20"/>
      <w:szCs w:val="24"/>
    </w:rPr>
  </w:style>
  <w:style w:type="paragraph" w:customStyle="1" w:styleId="TableFooter">
    <w:name w:val="Table Footer"/>
    <w:basedOn w:val="Normal"/>
    <w:link w:val="TableFooterChar"/>
    <w:qFormat/>
    <w:rsid w:val="001B5028"/>
    <w:pPr>
      <w:jc w:val="both"/>
    </w:pPr>
    <w:rPr>
      <w:rFonts w:ascii="Arial Narrow" w:hAnsi="Arial Narrow" w:cs="Arial"/>
      <w:sz w:val="18"/>
      <w:szCs w:val="24"/>
    </w:rPr>
  </w:style>
  <w:style w:type="character" w:customStyle="1" w:styleId="TableFooterChar">
    <w:name w:val="Table Footer Char"/>
    <w:link w:val="TableFooter"/>
    <w:rsid w:val="001B5028"/>
    <w:rPr>
      <w:rFonts w:ascii="Arial Narrow" w:eastAsia="Times New Roman" w:hAnsi="Arial Narrow" w:cs="Arial"/>
      <w:sz w:val="18"/>
      <w:szCs w:val="24"/>
    </w:rPr>
  </w:style>
  <w:style w:type="paragraph" w:styleId="ListBullet">
    <w:name w:val="List Bullet"/>
    <w:basedOn w:val="Normal"/>
    <w:unhideWhenUsed/>
    <w:rsid w:val="001B5028"/>
    <w:pPr>
      <w:numPr>
        <w:numId w:val="29"/>
      </w:numPr>
      <w:contextualSpacing/>
      <w:jc w:val="both"/>
    </w:pPr>
    <w:rPr>
      <w:rFonts w:ascii="Calibri" w:hAnsi="Calibri" w:cs="Arial"/>
      <w:szCs w:val="24"/>
    </w:rPr>
  </w:style>
  <w:style w:type="paragraph" w:customStyle="1" w:styleId="TableHeading0">
    <w:name w:val="Table Heading"/>
    <w:basedOn w:val="TableofFigures"/>
    <w:qFormat/>
    <w:rsid w:val="001B5028"/>
    <w:pPr>
      <w:spacing w:line="259" w:lineRule="auto"/>
      <w:jc w:val="both"/>
    </w:pPr>
    <w:rPr>
      <w:rFonts w:ascii="Arial Narrow" w:eastAsiaTheme="minorEastAsia" w:hAnsi="Arial Narrow" w:cstheme="minorBidi"/>
      <w:b/>
      <w:sz w:val="20"/>
      <w:szCs w:val="22"/>
      <w:lang w:eastAsia="zh-CN"/>
    </w:rPr>
  </w:style>
  <w:style w:type="paragraph" w:customStyle="1" w:styleId="TableFigureFooter">
    <w:name w:val="Table/Figure Footer"/>
    <w:basedOn w:val="Normal"/>
    <w:link w:val="TableFigureFooterChar"/>
    <w:qFormat/>
    <w:rsid w:val="001B5028"/>
    <w:pPr>
      <w:spacing w:after="120"/>
      <w:contextualSpacing/>
      <w:jc w:val="both"/>
    </w:pPr>
    <w:rPr>
      <w:rFonts w:ascii="Arial Narrow" w:hAnsi="Arial Narrow" w:cs="Arial"/>
      <w:snapToGrid w:val="0"/>
      <w:sz w:val="18"/>
      <w:szCs w:val="22"/>
    </w:rPr>
  </w:style>
  <w:style w:type="character" w:customStyle="1" w:styleId="TableFigureFooterChar">
    <w:name w:val="Table/Figure Footer Char"/>
    <w:link w:val="TableFigureFooter"/>
    <w:rsid w:val="001B5028"/>
    <w:rPr>
      <w:rFonts w:ascii="Arial Narrow" w:eastAsia="Times New Roman" w:hAnsi="Arial Narrow" w:cs="Arial"/>
      <w:snapToGrid w:val="0"/>
      <w:sz w:val="18"/>
    </w:rPr>
  </w:style>
  <w:style w:type="paragraph" w:customStyle="1" w:styleId="KMC16-Tablecontent">
    <w:name w:val="KMC16 - Table content"/>
    <w:basedOn w:val="Normal"/>
    <w:link w:val="KMC16-TablecontentChar"/>
    <w:qFormat/>
    <w:rsid w:val="001B5028"/>
    <w:pPr>
      <w:spacing w:before="40" w:after="40"/>
      <w:jc w:val="both"/>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1B5028"/>
    <w:rPr>
      <w:rFonts w:ascii="Arial Narrow" w:eastAsia="Times New Roman" w:hAnsi="Arial Narrow" w:cs="Arial"/>
      <w:color w:val="000000"/>
      <w:sz w:val="20"/>
      <w:lang w:val="en-GB" w:eastAsia="en-US"/>
    </w:rPr>
  </w:style>
  <w:style w:type="paragraph" w:styleId="TableofFigures">
    <w:name w:val="table of figures"/>
    <w:basedOn w:val="Normal"/>
    <w:next w:val="Normal"/>
    <w:uiPriority w:val="99"/>
    <w:semiHidden/>
    <w:unhideWhenUsed/>
    <w:rsid w:val="001B5028"/>
  </w:style>
  <w:style w:type="paragraph" w:customStyle="1" w:styleId="KMC16ES-tabletext">
    <w:name w:val="KMC16 ES - table text"/>
    <w:basedOn w:val="Normal"/>
    <w:qFormat/>
    <w:rsid w:val="007D23B4"/>
    <w:pPr>
      <w:keepNext/>
      <w:spacing w:after="40"/>
    </w:pPr>
    <w:rPr>
      <w:rFonts w:ascii="Arial Narrow" w:eastAsiaTheme="minorHAnsi" w:hAnsi="Arial Narrow" w:cstheme="minorBidi"/>
      <w:color w:val="000000" w:themeColor="text1"/>
      <w:sz w:val="20"/>
      <w:lang w:eastAsia="en-US"/>
    </w:rPr>
  </w:style>
  <w:style w:type="paragraph" w:customStyle="1" w:styleId="KMC16ES-TFNotes">
    <w:name w:val="KMC16 ES - TF Notes"/>
    <w:basedOn w:val="Normal"/>
    <w:qFormat/>
    <w:rsid w:val="007D23B4"/>
    <w:pPr>
      <w:spacing w:after="40"/>
      <w:jc w:val="both"/>
    </w:pPr>
    <w:rPr>
      <w:rFonts w:ascii="Arial Narrow" w:eastAsiaTheme="minorHAnsi" w:hAnsi="Arial Narrow" w:cstheme="minorBidi"/>
      <w:color w:val="808080" w:themeColor="background1" w:themeShade="80"/>
      <w:sz w:val="18"/>
      <w:szCs w:val="18"/>
      <w:lang w:eastAsia="en-US"/>
    </w:rPr>
  </w:style>
  <w:style w:type="paragraph" w:customStyle="1" w:styleId="KMC16ES-TFTitle">
    <w:name w:val="KMC16 ES - TF Title"/>
    <w:basedOn w:val="Normal"/>
    <w:qFormat/>
    <w:rsid w:val="007D23B4"/>
    <w:pPr>
      <w:spacing w:after="40"/>
      <w:jc w:val="both"/>
    </w:pPr>
    <w:rPr>
      <w:rFonts w:ascii="Arial Narrow" w:eastAsiaTheme="minorHAnsi" w:hAnsi="Arial Narrow" w:cstheme="minorBidi"/>
      <w:b/>
      <w:color w:val="7030A0"/>
      <w:sz w:val="20"/>
      <w:lang w:eastAsia="en-US"/>
    </w:rPr>
  </w:style>
  <w:style w:type="paragraph" w:styleId="Revision">
    <w:name w:val="Revision"/>
    <w:hidden/>
    <w:uiPriority w:val="99"/>
    <w:semiHidden/>
    <w:rsid w:val="003E5B0B"/>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 TargetMode="Externa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dustry/useful-resources/manual/manual-of-resource-items-and-associated-unit-costs-dec-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9AF6-5B2A-4D59-9FC1-F7D9E900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8956</Words>
  <Characters>50458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2020-10-23T01:08:00Z</dcterms:created>
  <dcterms:modified xsi:type="dcterms:W3CDTF">2020-10-23T02:58:00Z</dcterms:modified>
</cp:coreProperties>
</file>