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743CD" w14:textId="77777777" w:rsidR="00BC1364" w:rsidRPr="00707064" w:rsidRDefault="00C67DD2" w:rsidP="00F715D1">
      <w:pPr>
        <w:spacing w:after="240"/>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4CCBA67C" wp14:editId="3BBED22B">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E80F3BA" w14:textId="291E92F8" w:rsidR="00BC1364" w:rsidRPr="00F715D1" w:rsidRDefault="00BF479B" w:rsidP="00A42656">
      <w:pPr>
        <w:pStyle w:val="Title"/>
      </w:pPr>
      <w:r w:rsidRPr="00F715D1">
        <w:t>Public Summary Document</w:t>
      </w:r>
    </w:p>
    <w:p w14:paraId="741301E8" w14:textId="77777777" w:rsidR="00BC1364" w:rsidRPr="00F715D1" w:rsidRDefault="00BC1364" w:rsidP="00F715D1">
      <w:pPr>
        <w:pStyle w:val="Subtitle"/>
      </w:pPr>
      <w:r w:rsidRPr="00F715D1">
        <w:t xml:space="preserve">Application No. </w:t>
      </w:r>
      <w:r w:rsidR="0016645E" w:rsidRPr="0016645E">
        <w:t>1342.5 Gene expression profiling of 21 genes in breast cancer to quantify the risk of disease recurrence and predict adjuvant chemotherapy benefit</w:t>
      </w:r>
    </w:p>
    <w:p w14:paraId="183D0B3C" w14:textId="77777777"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16645E" w:rsidRPr="0016645E">
        <w:rPr>
          <w:rFonts w:ascii="Arial" w:hAnsi="Arial" w:cs="Arial"/>
          <w:b/>
          <w:szCs w:val="24"/>
        </w:rPr>
        <w:t>Specialised Therapeutics Australia Pty Ltd</w:t>
      </w:r>
    </w:p>
    <w:p w14:paraId="78E4AA46"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16645E">
        <w:rPr>
          <w:rFonts w:ascii="Arial" w:hAnsi="Arial" w:cs="Arial"/>
          <w:b/>
          <w:szCs w:val="24"/>
        </w:rPr>
        <w:t>76</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16645E">
        <w:rPr>
          <w:rFonts w:ascii="Arial" w:hAnsi="Arial" w:cs="Arial"/>
          <w:b/>
          <w:szCs w:val="24"/>
        </w:rPr>
        <w:t>1-2 August 2019</w:t>
      </w:r>
    </w:p>
    <w:p w14:paraId="77654972"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8" w:tooltip="Link to Medical Services Advisory Committee website" w:history="1">
        <w:r w:rsidR="00F715D1" w:rsidRPr="00F715D1">
          <w:rPr>
            <w:rStyle w:val="Hyperlink"/>
            <w:szCs w:val="24"/>
          </w:rPr>
          <w:t>visit the MSAC website</w:t>
        </w:r>
      </w:hyperlink>
    </w:p>
    <w:p w14:paraId="03BF8ABC" w14:textId="7C74299B" w:rsidR="003D7F29" w:rsidRPr="00F715D1" w:rsidRDefault="003D7F29" w:rsidP="00F715D1">
      <w:pPr>
        <w:pStyle w:val="Heading1"/>
      </w:pPr>
      <w:r w:rsidRPr="00F715D1">
        <w:t>Purpose of application</w:t>
      </w:r>
    </w:p>
    <w:p w14:paraId="663A0C8F" w14:textId="5B515BAE" w:rsidR="0016645E" w:rsidRDefault="00153B49" w:rsidP="0016645E">
      <w:pPr>
        <w:pStyle w:val="Default"/>
        <w:spacing w:after="240"/>
      </w:pPr>
      <w:r>
        <w:t>A</w:t>
      </w:r>
      <w:r w:rsidR="0016645E">
        <w:t xml:space="preserve"> resubmission </w:t>
      </w:r>
      <w:r w:rsidR="00922FA7">
        <w:t>seeking</w:t>
      </w:r>
      <w:r w:rsidR="0016645E">
        <w:t xml:space="preserve"> </w:t>
      </w:r>
      <w:r w:rsidR="002176CB">
        <w:t xml:space="preserve">public funding </w:t>
      </w:r>
      <w:r w:rsidR="00922FA7">
        <w:t>for the</w:t>
      </w:r>
      <w:r w:rsidR="002176CB">
        <w:t xml:space="preserve"> </w:t>
      </w:r>
      <w:r w:rsidR="0016645E">
        <w:t>gene expression profiling (GEP) test using the real-time reverse-transcriptase polymerase chain reaction (RT-PCR) technique for 21 genes (Oncotype</w:t>
      </w:r>
      <w:r w:rsidR="00A52F8F">
        <w:t> </w:t>
      </w:r>
      <w:r w:rsidR="0016645E">
        <w:t>DX</w:t>
      </w:r>
      <w:r w:rsidR="0016645E" w:rsidRPr="008730A4">
        <w:rPr>
          <w:vertAlign w:val="superscript"/>
        </w:rPr>
        <w:t>®</w:t>
      </w:r>
      <w:r w:rsidR="0016645E">
        <w:t xml:space="preserve">) in </w:t>
      </w:r>
      <w:r w:rsidR="005F1DD7">
        <w:t>patients</w:t>
      </w:r>
      <w:r w:rsidR="0016645E">
        <w:t xml:space="preserve"> with newly diagnosed stage I or II breast cancer, who are oestrogen receptor positive (ER-positive) or progesterone receptor positive (PR-positive), Human Epidermal Growth Factor Receptor 2 negative (</w:t>
      </w:r>
      <w:r w:rsidR="0016645E" w:rsidRPr="0017313C">
        <w:rPr>
          <w:i/>
        </w:rPr>
        <w:t>HER2</w:t>
      </w:r>
      <w:r w:rsidR="0016645E">
        <w:t xml:space="preserve">-negative), and lymph node negative (LN-negative), was received </w:t>
      </w:r>
      <w:r w:rsidR="002176CB">
        <w:t xml:space="preserve">from Specialised Therapeutics </w:t>
      </w:r>
      <w:r w:rsidR="0016645E" w:rsidRPr="006E0071">
        <w:t>by the Department of Health</w:t>
      </w:r>
      <w:r w:rsidR="0016645E">
        <w:t>.</w:t>
      </w:r>
    </w:p>
    <w:p w14:paraId="5C00C7FA" w14:textId="77777777" w:rsidR="00E977EE" w:rsidRPr="00F715D1" w:rsidRDefault="00E977EE" w:rsidP="00F715D1">
      <w:pPr>
        <w:pStyle w:val="Heading1"/>
      </w:pPr>
      <w:r w:rsidRPr="00F715D1">
        <w:t>MSAC’s advice to the Minister</w:t>
      </w:r>
      <w:r w:rsidR="007921B0">
        <w:t xml:space="preserve"> </w:t>
      </w:r>
      <w:r w:rsidR="00A2530B">
        <w:t xml:space="preserve">- </w:t>
      </w:r>
      <w:r w:rsidR="007921B0">
        <w:t>August 2019</w:t>
      </w:r>
    </w:p>
    <w:p w14:paraId="2504AF98" w14:textId="4DED9D89" w:rsidR="00CA3907" w:rsidRDefault="00CA3907" w:rsidP="00CA3907">
      <w:r w:rsidRPr="001342D1">
        <w:t xml:space="preserve">After considering the strength of the available evidence in relation to comparative safety, </w:t>
      </w:r>
      <w:r>
        <w:t>clinical effectiveness and cost-</w:t>
      </w:r>
      <w:r w:rsidRPr="001342D1">
        <w:t xml:space="preserve">effectiveness, </w:t>
      </w:r>
      <w:r>
        <w:t xml:space="preserve">MSAC did not support public funding for this gene expression profiling test for patients with breast cancer primarily because its ability to identify those who could safely be spared the addition of chemotherapy to </w:t>
      </w:r>
      <w:r w:rsidR="00B5533C">
        <w:t>endocrine</w:t>
      </w:r>
      <w:r>
        <w:t xml:space="preserve"> therapy was not demonstrated by the new trial. The re</w:t>
      </w:r>
      <w:r w:rsidR="004419A7">
        <w:t>-</w:t>
      </w:r>
      <w:r>
        <w:t>analysis of previously provided evidence was also insufficient to change the previous conclusion that the test could not satisfactorily identify those intermediate</w:t>
      </w:r>
      <w:r w:rsidR="00BF4EEF">
        <w:t>-</w:t>
      </w:r>
      <w:r>
        <w:t xml:space="preserve">risk patients who would benefit from the addition of chemotherapy to </w:t>
      </w:r>
      <w:r w:rsidR="00B5533C">
        <w:t>endocrine</w:t>
      </w:r>
      <w:r>
        <w:t xml:space="preserve"> therapy</w:t>
      </w:r>
      <w:r w:rsidRPr="00770BCB">
        <w:t>.</w:t>
      </w:r>
    </w:p>
    <w:p w14:paraId="3FD111AB" w14:textId="0FAC113E" w:rsidR="00550354" w:rsidRPr="00F715D1" w:rsidRDefault="00550354" w:rsidP="00F715D1">
      <w:pPr>
        <w:pStyle w:val="Heading1"/>
      </w:pPr>
      <w:r w:rsidRPr="00F715D1">
        <w:t>Summary of consideration and rationale for MSAC’s advice</w:t>
      </w:r>
    </w:p>
    <w:p w14:paraId="163D72C2" w14:textId="45A84636" w:rsidR="005B2ACA" w:rsidRDefault="00C60D2B" w:rsidP="00CA3907">
      <w:pPr>
        <w:pStyle w:val="NormalBeforeBullet"/>
        <w:rPr>
          <w:i/>
          <w:szCs w:val="24"/>
        </w:rPr>
      </w:pPr>
      <w:r w:rsidRPr="00D62F22">
        <w:rPr>
          <w:i/>
          <w:szCs w:val="24"/>
          <w:u w:val="single"/>
        </w:rPr>
        <w:t>Note</w:t>
      </w:r>
      <w:r>
        <w:rPr>
          <w:i/>
          <w:szCs w:val="24"/>
        </w:rPr>
        <w:t xml:space="preserve">: due to the technical nature of many </w:t>
      </w:r>
      <w:r w:rsidR="00190777">
        <w:rPr>
          <w:i/>
          <w:szCs w:val="24"/>
        </w:rPr>
        <w:t>aspects</w:t>
      </w:r>
      <w:r>
        <w:rPr>
          <w:i/>
          <w:szCs w:val="24"/>
        </w:rPr>
        <w:t xml:space="preserve"> of MSAC’s considerations, this summary is divided into two parts:</w:t>
      </w:r>
    </w:p>
    <w:p w14:paraId="0FB5D235" w14:textId="6B63A9B7" w:rsidR="00C60D2B" w:rsidRPr="00375B02" w:rsidRDefault="00C60D2B" w:rsidP="00375B02">
      <w:pPr>
        <w:pStyle w:val="Bullet"/>
        <w:numPr>
          <w:ilvl w:val="0"/>
          <w:numId w:val="3"/>
        </w:numPr>
        <w:spacing w:after="120" w:line="240" w:lineRule="auto"/>
        <w:ind w:left="720"/>
        <w:rPr>
          <w:rFonts w:ascii="Times New Roman" w:hAnsi="Times New Roman" w:cs="Times New Roman"/>
          <w:i/>
          <w:sz w:val="24"/>
          <w:szCs w:val="24"/>
        </w:rPr>
      </w:pPr>
      <w:r w:rsidRPr="00375B02">
        <w:rPr>
          <w:rFonts w:ascii="Times New Roman" w:hAnsi="Times New Roman" w:cs="Times New Roman"/>
          <w:i/>
          <w:sz w:val="24"/>
          <w:szCs w:val="24"/>
        </w:rPr>
        <w:t>a standard summary with its usual lay summary</w:t>
      </w:r>
    </w:p>
    <w:p w14:paraId="6972CAF0" w14:textId="29313C4F" w:rsidR="00C60D2B" w:rsidRPr="00375B02" w:rsidRDefault="00C60D2B" w:rsidP="00375B02">
      <w:pPr>
        <w:pStyle w:val="Bullet"/>
        <w:numPr>
          <w:ilvl w:val="0"/>
          <w:numId w:val="3"/>
        </w:numPr>
        <w:spacing w:after="120" w:line="240" w:lineRule="auto"/>
        <w:ind w:left="720"/>
        <w:rPr>
          <w:rFonts w:ascii="Times New Roman" w:hAnsi="Times New Roman" w:cs="Times New Roman"/>
          <w:i/>
          <w:sz w:val="24"/>
          <w:szCs w:val="24"/>
        </w:rPr>
      </w:pPr>
      <w:r w:rsidRPr="00375B02">
        <w:rPr>
          <w:rFonts w:ascii="Times New Roman" w:hAnsi="Times New Roman" w:cs="Times New Roman"/>
          <w:i/>
          <w:sz w:val="24"/>
          <w:szCs w:val="24"/>
        </w:rPr>
        <w:t xml:space="preserve">a more technical description of </w:t>
      </w:r>
      <w:r w:rsidR="00190777" w:rsidRPr="00375B02">
        <w:rPr>
          <w:rFonts w:ascii="Times New Roman" w:hAnsi="Times New Roman" w:cs="Times New Roman"/>
          <w:i/>
          <w:sz w:val="24"/>
          <w:szCs w:val="24"/>
        </w:rPr>
        <w:t xml:space="preserve">some aspects of </w:t>
      </w:r>
      <w:r w:rsidRPr="00375B02">
        <w:rPr>
          <w:rFonts w:ascii="Times New Roman" w:hAnsi="Times New Roman" w:cs="Times New Roman"/>
          <w:i/>
          <w:sz w:val="24"/>
          <w:szCs w:val="24"/>
        </w:rPr>
        <w:t>MSAC’s considerations.</w:t>
      </w:r>
    </w:p>
    <w:p w14:paraId="542F5956" w14:textId="6A20BCEB" w:rsidR="00C60D2B" w:rsidRPr="00BE569D" w:rsidRDefault="00C60D2B" w:rsidP="00BE569D">
      <w:pPr>
        <w:pStyle w:val="Heading2"/>
        <w:rPr>
          <w:i w:val="0"/>
          <w:u w:val="single"/>
        </w:rPr>
      </w:pPr>
      <w:r w:rsidRPr="00BE569D">
        <w:rPr>
          <w:i w:val="0"/>
          <w:u w:val="single"/>
        </w:rPr>
        <w:lastRenderedPageBreak/>
        <w:t>Standard summary of consideration and rationale for MSAC’s advice</w:t>
      </w:r>
    </w:p>
    <w:p w14:paraId="529F907B" w14:textId="5B370A5C" w:rsidR="00CA3907" w:rsidRPr="00CA3907" w:rsidRDefault="00D62F22" w:rsidP="00CA3907">
      <w:pPr>
        <w:pStyle w:val="NormalBeforeBullet"/>
        <w:rPr>
          <w:szCs w:val="24"/>
        </w:rPr>
      </w:pPr>
      <w:r>
        <w:rPr>
          <w:szCs w:val="24"/>
        </w:rPr>
        <w:t xml:space="preserve">MSAC noted that </w:t>
      </w:r>
      <w:r w:rsidR="00CA3907" w:rsidRPr="00CA3907">
        <w:rPr>
          <w:szCs w:val="24"/>
        </w:rPr>
        <w:t>Oncotype DX generates a Recurrence Score</w:t>
      </w:r>
      <w:r w:rsidR="00CA3907" w:rsidRPr="00CA3907">
        <w:rPr>
          <w:szCs w:val="24"/>
          <w:vertAlign w:val="superscript"/>
        </w:rPr>
        <w:t>®</w:t>
      </w:r>
      <w:r w:rsidR="00CA3907" w:rsidRPr="00CA3907">
        <w:rPr>
          <w:szCs w:val="24"/>
        </w:rPr>
        <w:t xml:space="preserve"> (RS) that </w:t>
      </w:r>
      <w:r w:rsidR="005F0212">
        <w:rPr>
          <w:szCs w:val="24"/>
        </w:rPr>
        <w:t xml:space="preserve">the applicant claims </w:t>
      </w:r>
      <w:r w:rsidR="00CA3907" w:rsidRPr="00CA3907">
        <w:rPr>
          <w:szCs w:val="24"/>
        </w:rPr>
        <w:t xml:space="preserve">can be used to identify patients </w:t>
      </w:r>
      <w:r w:rsidR="000F69CB">
        <w:rPr>
          <w:szCs w:val="24"/>
        </w:rPr>
        <w:t xml:space="preserve">with early breast cancer following surgery </w:t>
      </w:r>
      <w:r w:rsidR="00CA3907" w:rsidRPr="00CA3907">
        <w:rPr>
          <w:szCs w:val="24"/>
        </w:rPr>
        <w:t>who would:</w:t>
      </w:r>
    </w:p>
    <w:p w14:paraId="4E76A3D6" w14:textId="16F949D1" w:rsidR="00CA3907" w:rsidRPr="00D62F22" w:rsidRDefault="000F69CB" w:rsidP="00375B02">
      <w:pPr>
        <w:pStyle w:val="Bullet"/>
        <w:numPr>
          <w:ilvl w:val="0"/>
          <w:numId w:val="3"/>
        </w:numPr>
        <w:spacing w:after="120" w:line="240" w:lineRule="auto"/>
        <w:ind w:left="720"/>
        <w:rPr>
          <w:rFonts w:ascii="Times New Roman" w:hAnsi="Times New Roman" w:cs="Times New Roman"/>
          <w:bCs/>
          <w:sz w:val="24"/>
          <w:szCs w:val="24"/>
        </w:rPr>
      </w:pPr>
      <w:r w:rsidRPr="00D62F22">
        <w:rPr>
          <w:rFonts w:ascii="Times New Roman" w:hAnsi="Times New Roman" w:cs="Times New Roman"/>
          <w:sz w:val="24"/>
          <w:szCs w:val="24"/>
        </w:rPr>
        <w:t xml:space="preserve">be likely </w:t>
      </w:r>
      <w:r w:rsidR="007237B9" w:rsidRPr="00D62F22">
        <w:rPr>
          <w:rFonts w:ascii="Times New Roman" w:hAnsi="Times New Roman" w:cs="Times New Roman"/>
          <w:sz w:val="24"/>
          <w:szCs w:val="24"/>
          <w:u w:val="single"/>
        </w:rPr>
        <w:t>to receive no</w:t>
      </w:r>
      <w:r w:rsidR="007237B9" w:rsidRPr="00D62F22">
        <w:rPr>
          <w:rFonts w:ascii="Times New Roman" w:hAnsi="Times New Roman" w:cs="Times New Roman"/>
          <w:sz w:val="24"/>
          <w:szCs w:val="24"/>
        </w:rPr>
        <w:t xml:space="preserve"> </w:t>
      </w:r>
      <w:r w:rsidR="00CA3907" w:rsidRPr="00D62F22">
        <w:rPr>
          <w:rFonts w:ascii="Times New Roman" w:hAnsi="Times New Roman" w:cs="Times New Roman"/>
          <w:sz w:val="24"/>
          <w:szCs w:val="24"/>
        </w:rPr>
        <w:t>benefit</w:t>
      </w:r>
      <w:r w:rsidR="007237B9" w:rsidRPr="00D62F22">
        <w:rPr>
          <w:rFonts w:ascii="Times New Roman" w:hAnsi="Times New Roman" w:cs="Times New Roman"/>
          <w:sz w:val="24"/>
          <w:szCs w:val="24"/>
        </w:rPr>
        <w:t>,</w:t>
      </w:r>
      <w:r w:rsidR="00CA3907" w:rsidRPr="00D62F22">
        <w:rPr>
          <w:rFonts w:ascii="Times New Roman" w:hAnsi="Times New Roman" w:cs="Times New Roman"/>
          <w:sz w:val="24"/>
          <w:szCs w:val="24"/>
        </w:rPr>
        <w:t xml:space="preserve"> </w:t>
      </w:r>
      <w:r w:rsidR="00A63CA9" w:rsidRPr="00D62F22">
        <w:rPr>
          <w:rFonts w:ascii="Times New Roman" w:hAnsi="Times New Roman" w:cs="Times New Roman"/>
          <w:sz w:val="24"/>
          <w:szCs w:val="24"/>
        </w:rPr>
        <w:t>in terms of cancer outcomes</w:t>
      </w:r>
      <w:r w:rsidR="007237B9" w:rsidRPr="00D62F22">
        <w:rPr>
          <w:rFonts w:ascii="Times New Roman" w:hAnsi="Times New Roman" w:cs="Times New Roman"/>
          <w:sz w:val="24"/>
          <w:szCs w:val="24"/>
        </w:rPr>
        <w:t>,</w:t>
      </w:r>
      <w:r w:rsidR="00A63CA9" w:rsidRPr="00D62F22">
        <w:rPr>
          <w:rFonts w:ascii="Times New Roman" w:hAnsi="Times New Roman" w:cs="Times New Roman"/>
          <w:sz w:val="24"/>
          <w:szCs w:val="24"/>
        </w:rPr>
        <w:t xml:space="preserve"> </w:t>
      </w:r>
      <w:r w:rsidR="00CA3907" w:rsidRPr="00D62F22">
        <w:rPr>
          <w:rFonts w:ascii="Times New Roman" w:hAnsi="Times New Roman" w:cs="Times New Roman"/>
          <w:sz w:val="24"/>
          <w:szCs w:val="24"/>
        </w:rPr>
        <w:t xml:space="preserve">from receiving </w:t>
      </w:r>
      <w:r w:rsidRPr="00D62F22">
        <w:rPr>
          <w:rFonts w:ascii="Times New Roman" w:hAnsi="Times New Roman" w:cs="Times New Roman"/>
          <w:sz w:val="24"/>
          <w:szCs w:val="24"/>
        </w:rPr>
        <w:t xml:space="preserve">adjuvant </w:t>
      </w:r>
      <w:r w:rsidR="00CA3907" w:rsidRPr="00D62F22">
        <w:rPr>
          <w:rFonts w:ascii="Times New Roman" w:hAnsi="Times New Roman" w:cs="Times New Roman"/>
          <w:sz w:val="24"/>
          <w:szCs w:val="24"/>
        </w:rPr>
        <w:t xml:space="preserve">chemotherapy </w:t>
      </w:r>
      <w:r w:rsidR="007237B9" w:rsidRPr="00D62F22">
        <w:rPr>
          <w:rFonts w:ascii="Times New Roman" w:hAnsi="Times New Roman" w:cs="Times New Roman"/>
          <w:sz w:val="24"/>
          <w:szCs w:val="24"/>
        </w:rPr>
        <w:t>(in addition to</w:t>
      </w:r>
      <w:r w:rsidRPr="00D62F22">
        <w:rPr>
          <w:rFonts w:ascii="Times New Roman" w:hAnsi="Times New Roman" w:cs="Times New Roman"/>
          <w:sz w:val="24"/>
          <w:szCs w:val="24"/>
        </w:rPr>
        <w:t xml:space="preserve"> </w:t>
      </w:r>
      <w:r w:rsidR="00B5533C" w:rsidRPr="00D62F22">
        <w:rPr>
          <w:rFonts w:ascii="Times New Roman" w:hAnsi="Times New Roman" w:cs="Times New Roman"/>
          <w:sz w:val="24"/>
          <w:szCs w:val="24"/>
        </w:rPr>
        <w:t>endocrine</w:t>
      </w:r>
      <w:r w:rsidR="00CA3907" w:rsidRPr="00D62F22">
        <w:rPr>
          <w:rFonts w:ascii="Times New Roman" w:hAnsi="Times New Roman" w:cs="Times New Roman"/>
          <w:sz w:val="24"/>
          <w:szCs w:val="24"/>
        </w:rPr>
        <w:t xml:space="preserve"> therapy</w:t>
      </w:r>
      <w:r w:rsidR="007237B9" w:rsidRPr="00D62F22">
        <w:rPr>
          <w:rFonts w:ascii="Times New Roman" w:hAnsi="Times New Roman" w:cs="Times New Roman"/>
          <w:sz w:val="24"/>
          <w:szCs w:val="24"/>
        </w:rPr>
        <w:t>),</w:t>
      </w:r>
      <w:r w:rsidR="00CA3907" w:rsidRPr="00D62F22">
        <w:rPr>
          <w:rFonts w:ascii="Times New Roman" w:hAnsi="Times New Roman" w:cs="Times New Roman"/>
          <w:sz w:val="24"/>
          <w:szCs w:val="24"/>
        </w:rPr>
        <w:t xml:space="preserve"> </w:t>
      </w:r>
      <w:r w:rsidR="007237B9" w:rsidRPr="00D62F22">
        <w:rPr>
          <w:rFonts w:ascii="Times New Roman" w:hAnsi="Times New Roman" w:cs="Times New Roman"/>
          <w:sz w:val="24"/>
          <w:szCs w:val="24"/>
        </w:rPr>
        <w:t xml:space="preserve">and </w:t>
      </w:r>
      <w:r w:rsidRPr="00D62F22">
        <w:rPr>
          <w:rFonts w:ascii="Times New Roman" w:hAnsi="Times New Roman" w:cs="Times New Roman"/>
          <w:sz w:val="24"/>
          <w:szCs w:val="24"/>
        </w:rPr>
        <w:t>who would not have been identified through usual c</w:t>
      </w:r>
      <w:r w:rsidR="00505C5E" w:rsidRPr="00D62F22">
        <w:rPr>
          <w:rFonts w:ascii="Times New Roman" w:hAnsi="Times New Roman" w:cs="Times New Roman"/>
          <w:sz w:val="24"/>
          <w:szCs w:val="24"/>
        </w:rPr>
        <w:t>are</w:t>
      </w:r>
      <w:r w:rsidRPr="00D62F22">
        <w:rPr>
          <w:rFonts w:ascii="Times New Roman" w:hAnsi="Times New Roman" w:cs="Times New Roman"/>
          <w:sz w:val="24"/>
          <w:szCs w:val="24"/>
        </w:rPr>
        <w:t xml:space="preserve"> </w:t>
      </w:r>
      <w:r w:rsidR="00CA3907" w:rsidRPr="00D62F22">
        <w:rPr>
          <w:rFonts w:ascii="Times New Roman" w:hAnsi="Times New Roman" w:cs="Times New Roman"/>
          <w:sz w:val="24"/>
          <w:szCs w:val="24"/>
        </w:rPr>
        <w:t>(referred to as “</w:t>
      </w:r>
      <w:r w:rsidR="00CA3907" w:rsidRPr="00D62F22">
        <w:rPr>
          <w:rFonts w:ascii="Times New Roman" w:hAnsi="Times New Roman" w:cs="Times New Roman"/>
          <w:bCs/>
          <w:sz w:val="24"/>
          <w:szCs w:val="24"/>
        </w:rPr>
        <w:t>chemotherapy sparing”)</w:t>
      </w:r>
    </w:p>
    <w:p w14:paraId="38782AD3" w14:textId="67FA0B54" w:rsidR="00CA3907" w:rsidRPr="00A42656" w:rsidRDefault="00CA3907" w:rsidP="00375B02">
      <w:pPr>
        <w:pStyle w:val="Bullet"/>
        <w:numPr>
          <w:ilvl w:val="0"/>
          <w:numId w:val="3"/>
        </w:numPr>
        <w:spacing w:after="120" w:line="240" w:lineRule="auto"/>
        <w:ind w:left="720"/>
        <w:rPr>
          <w:rFonts w:ascii="Times New Roman" w:hAnsi="Times New Roman" w:cs="Times New Roman"/>
          <w:sz w:val="24"/>
          <w:szCs w:val="24"/>
        </w:rPr>
      </w:pPr>
      <w:r w:rsidRPr="00A42656">
        <w:rPr>
          <w:rFonts w:ascii="Times New Roman" w:hAnsi="Times New Roman" w:cs="Times New Roman"/>
          <w:sz w:val="24"/>
          <w:szCs w:val="24"/>
        </w:rPr>
        <w:t>be likely to benefit</w:t>
      </w:r>
      <w:r w:rsidR="007237B9">
        <w:rPr>
          <w:rFonts w:ascii="Times New Roman" w:hAnsi="Times New Roman" w:cs="Times New Roman"/>
          <w:sz w:val="24"/>
          <w:szCs w:val="24"/>
        </w:rPr>
        <w:t>,</w:t>
      </w:r>
      <w:r w:rsidRPr="00A42656">
        <w:rPr>
          <w:rFonts w:ascii="Times New Roman" w:hAnsi="Times New Roman" w:cs="Times New Roman"/>
          <w:sz w:val="24"/>
          <w:szCs w:val="24"/>
        </w:rPr>
        <w:t xml:space="preserve"> </w:t>
      </w:r>
      <w:r w:rsidR="00A63CA9" w:rsidRPr="00A42656">
        <w:rPr>
          <w:rFonts w:ascii="Times New Roman" w:hAnsi="Times New Roman" w:cs="Times New Roman"/>
          <w:sz w:val="24"/>
          <w:szCs w:val="24"/>
        </w:rPr>
        <w:t>in terms of cancer outcomes</w:t>
      </w:r>
      <w:r w:rsidR="007237B9">
        <w:rPr>
          <w:rFonts w:ascii="Times New Roman" w:hAnsi="Times New Roman" w:cs="Times New Roman"/>
          <w:sz w:val="24"/>
          <w:szCs w:val="24"/>
        </w:rPr>
        <w:t>,</w:t>
      </w:r>
      <w:r w:rsidR="00A63CA9" w:rsidRPr="00A42656">
        <w:rPr>
          <w:rFonts w:ascii="Times New Roman" w:hAnsi="Times New Roman" w:cs="Times New Roman"/>
          <w:sz w:val="24"/>
          <w:szCs w:val="24"/>
        </w:rPr>
        <w:t xml:space="preserve"> </w:t>
      </w:r>
      <w:r w:rsidRPr="00A42656">
        <w:rPr>
          <w:rFonts w:ascii="Times New Roman" w:hAnsi="Times New Roman" w:cs="Times New Roman"/>
          <w:sz w:val="24"/>
          <w:szCs w:val="24"/>
        </w:rPr>
        <w:t xml:space="preserve">from </w:t>
      </w:r>
      <w:r w:rsidRPr="00A42656">
        <w:rPr>
          <w:rFonts w:ascii="Times New Roman" w:hAnsi="Times New Roman" w:cs="Times New Roman"/>
          <w:sz w:val="24"/>
          <w:szCs w:val="24"/>
          <w:lang w:val="en-US"/>
        </w:rPr>
        <w:t>receiving</w:t>
      </w:r>
      <w:r w:rsidRPr="00A42656">
        <w:rPr>
          <w:rFonts w:ascii="Times New Roman" w:hAnsi="Times New Roman" w:cs="Times New Roman"/>
          <w:sz w:val="24"/>
          <w:szCs w:val="24"/>
        </w:rPr>
        <w:t xml:space="preserve"> adjuvant chemotherapy </w:t>
      </w:r>
      <w:r w:rsidR="007237B9">
        <w:rPr>
          <w:rFonts w:ascii="Times New Roman" w:hAnsi="Times New Roman" w:cs="Times New Roman"/>
          <w:sz w:val="24"/>
          <w:szCs w:val="24"/>
        </w:rPr>
        <w:t xml:space="preserve">(in addition to </w:t>
      </w:r>
      <w:r w:rsidR="00B5533C" w:rsidRPr="00B5533C">
        <w:rPr>
          <w:rFonts w:ascii="Times New Roman" w:hAnsi="Times New Roman" w:cs="Times New Roman"/>
          <w:sz w:val="24"/>
          <w:szCs w:val="24"/>
        </w:rPr>
        <w:t>endocrine</w:t>
      </w:r>
      <w:r w:rsidR="000F69CB" w:rsidRPr="00A42656">
        <w:rPr>
          <w:rFonts w:ascii="Times New Roman" w:hAnsi="Times New Roman" w:cs="Times New Roman"/>
          <w:sz w:val="24"/>
          <w:szCs w:val="24"/>
        </w:rPr>
        <w:t xml:space="preserve"> therapy</w:t>
      </w:r>
      <w:r w:rsidR="007237B9">
        <w:rPr>
          <w:rFonts w:ascii="Times New Roman" w:hAnsi="Times New Roman" w:cs="Times New Roman"/>
          <w:sz w:val="24"/>
          <w:szCs w:val="24"/>
        </w:rPr>
        <w:t>), and</w:t>
      </w:r>
      <w:r w:rsidR="000F69CB" w:rsidRPr="00A42656">
        <w:rPr>
          <w:rFonts w:ascii="Times New Roman" w:hAnsi="Times New Roman" w:cs="Times New Roman"/>
          <w:sz w:val="24"/>
          <w:szCs w:val="24"/>
        </w:rPr>
        <w:t xml:space="preserve"> </w:t>
      </w:r>
      <w:r w:rsidRPr="00A42656">
        <w:rPr>
          <w:rFonts w:ascii="Times New Roman" w:hAnsi="Times New Roman" w:cs="Times New Roman"/>
          <w:sz w:val="24"/>
          <w:szCs w:val="24"/>
        </w:rPr>
        <w:t xml:space="preserve">who would not have been identified through </w:t>
      </w:r>
      <w:r w:rsidR="000F69CB" w:rsidRPr="00A42656">
        <w:rPr>
          <w:rFonts w:ascii="Times New Roman" w:hAnsi="Times New Roman" w:cs="Times New Roman"/>
          <w:sz w:val="24"/>
          <w:szCs w:val="24"/>
        </w:rPr>
        <w:t xml:space="preserve">usual </w:t>
      </w:r>
      <w:r w:rsidR="00505C5E" w:rsidRPr="00A42656">
        <w:rPr>
          <w:rFonts w:ascii="Times New Roman" w:hAnsi="Times New Roman" w:cs="Times New Roman"/>
          <w:sz w:val="24"/>
          <w:szCs w:val="24"/>
        </w:rPr>
        <w:t xml:space="preserve">care </w:t>
      </w:r>
      <w:r w:rsidRPr="00A42656">
        <w:rPr>
          <w:rFonts w:ascii="Times New Roman" w:hAnsi="Times New Roman" w:cs="Times New Roman"/>
          <w:sz w:val="24"/>
          <w:szCs w:val="24"/>
        </w:rPr>
        <w:t>(referred to as “chemotherapy indicating”).</w:t>
      </w:r>
    </w:p>
    <w:p w14:paraId="761C34D5" w14:textId="034FE0B5" w:rsidR="00CA3907" w:rsidRDefault="00CA3907" w:rsidP="00E2362C">
      <w:pPr>
        <w:spacing w:after="240"/>
      </w:pPr>
      <w:r>
        <w:t xml:space="preserve">MSAC noted that the recommended RS </w:t>
      </w:r>
      <w:r w:rsidR="000F69CB">
        <w:t>thresholds for clinical decision making had changed from 18 and 30 in the previous submissions to</w:t>
      </w:r>
      <w:r>
        <w:t xml:space="preserve"> recommending adjuvant chemotherapy </w:t>
      </w:r>
      <w:r w:rsidR="000F69CB">
        <w:t xml:space="preserve">with endocrine therapy </w:t>
      </w:r>
      <w:r>
        <w:t xml:space="preserve">(≥26) versus endocrine therapy alone (&lt;26). MSAC noted that the </w:t>
      </w:r>
      <w:r w:rsidR="000F69CB">
        <w:t xml:space="preserve">threshold </w:t>
      </w:r>
      <w:r>
        <w:t>was adjusted to minimise the potential for under</w:t>
      </w:r>
      <w:r w:rsidR="00A45F4C">
        <w:t>-</w:t>
      </w:r>
      <w:r>
        <w:t xml:space="preserve">treatment </w:t>
      </w:r>
      <w:r w:rsidR="00A63CA9">
        <w:t xml:space="preserve">with chemotherapy </w:t>
      </w:r>
      <w:r>
        <w:t xml:space="preserve">in both high-risk and intermediate-risk patients. </w:t>
      </w:r>
      <w:r w:rsidR="003E409E">
        <w:t>T</w:t>
      </w:r>
      <w:r>
        <w:t xml:space="preserve">he resubmission </w:t>
      </w:r>
      <w:r w:rsidR="003E409E">
        <w:t>simply used the RS from the</w:t>
      </w:r>
      <w:r w:rsidR="000F69CB">
        <w:t xml:space="preserve"> </w:t>
      </w:r>
      <w:r w:rsidR="00567001">
        <w:t xml:space="preserve">recently published randomised </w:t>
      </w:r>
      <w:r w:rsidR="000F69CB">
        <w:t>trial (TAILORx</w:t>
      </w:r>
      <w:r w:rsidR="00567001">
        <w:t>, Sparano et al., NEJM 2018</w:t>
      </w:r>
      <w:r w:rsidR="000F69CB">
        <w:t xml:space="preserve">) and </w:t>
      </w:r>
      <w:r>
        <w:t xml:space="preserve">did not provide any </w:t>
      </w:r>
      <w:r w:rsidR="003E409E">
        <w:t xml:space="preserve">other </w:t>
      </w:r>
      <w:r>
        <w:t xml:space="preserve">evidence to support the </w:t>
      </w:r>
      <w:r w:rsidR="000F69CB">
        <w:t xml:space="preserve">selection of the </w:t>
      </w:r>
      <w:r>
        <w:t>revised threshold.</w:t>
      </w:r>
    </w:p>
    <w:p w14:paraId="7E91E7E0" w14:textId="0DD2AE36" w:rsidR="00CA3907" w:rsidRDefault="00CA3907" w:rsidP="00E2362C">
      <w:pPr>
        <w:spacing w:after="240"/>
      </w:pPr>
      <w:r>
        <w:t xml:space="preserve">MSAC noted that the proposed fee </w:t>
      </w:r>
      <w:r w:rsidR="00505C5E">
        <w:t>wa</w:t>
      </w:r>
      <w:r w:rsidR="00CB051E">
        <w:t>s</w:t>
      </w:r>
      <w:r>
        <w:t xml:space="preserve"> higher than that in the previous submission</w:t>
      </w:r>
      <w:r w:rsidR="000F69CB">
        <w:t>s,</w:t>
      </w:r>
      <w:r>
        <w:t xml:space="preserve"> but no justification for the increase was provided. MSAC considered the proposed fee to be higher than </w:t>
      </w:r>
      <w:r w:rsidR="007237B9">
        <w:t xml:space="preserve">expected </w:t>
      </w:r>
      <w:r>
        <w:t xml:space="preserve">for </w:t>
      </w:r>
      <w:r w:rsidR="000F69CB">
        <w:t xml:space="preserve">conducting </w:t>
      </w:r>
      <w:r>
        <w:t>a gene expression assay.</w:t>
      </w:r>
    </w:p>
    <w:p w14:paraId="4EA4AB10" w14:textId="177AF800" w:rsidR="000F69CB" w:rsidRDefault="00CA3907" w:rsidP="00E2362C">
      <w:pPr>
        <w:spacing w:after="240"/>
      </w:pPr>
      <w:r>
        <w:t xml:space="preserve">MSAC acknowledged that </w:t>
      </w:r>
      <w:r w:rsidR="00C55DED">
        <w:t xml:space="preserve">targeted </w:t>
      </w:r>
      <w:r>
        <w:t>gene</w:t>
      </w:r>
      <w:r w:rsidR="000F69CB">
        <w:t xml:space="preserve"> expression</w:t>
      </w:r>
      <w:r>
        <w:t xml:space="preserve"> assays </w:t>
      </w:r>
      <w:r w:rsidR="0031026D">
        <w:t xml:space="preserve">potentially </w:t>
      </w:r>
      <w:r w:rsidR="00C55DED">
        <w:t xml:space="preserve">provide a means </w:t>
      </w:r>
      <w:r>
        <w:t xml:space="preserve">to stratify risk in </w:t>
      </w:r>
      <w:r w:rsidR="000F69CB">
        <w:t xml:space="preserve">early </w:t>
      </w:r>
      <w:r>
        <w:t>breast cancer</w:t>
      </w:r>
      <w:r w:rsidR="00C55DED">
        <w:t>.</w:t>
      </w:r>
      <w:r>
        <w:t xml:space="preserve"> However, there has been no head-to-head </w:t>
      </w:r>
      <w:r w:rsidR="000F69CB">
        <w:t xml:space="preserve">randomised </w:t>
      </w:r>
      <w:r>
        <w:t xml:space="preserve">comparison of </w:t>
      </w:r>
      <w:r w:rsidRPr="00770BCB">
        <w:t>Oncotype</w:t>
      </w:r>
      <w:r w:rsidR="00D344CD">
        <w:t> </w:t>
      </w:r>
      <w:r w:rsidRPr="00770BCB">
        <w:t>DX</w:t>
      </w:r>
      <w:r>
        <w:t xml:space="preserve"> with prediction of risk </w:t>
      </w:r>
      <w:r w:rsidR="000F69CB">
        <w:t xml:space="preserve">and treatment response </w:t>
      </w:r>
      <w:r w:rsidR="00CB051E">
        <w:t xml:space="preserve">against existing usual </w:t>
      </w:r>
      <w:r w:rsidR="00C55DED">
        <w:t xml:space="preserve">practice decision </w:t>
      </w:r>
      <w:r w:rsidR="00CB051E">
        <w:t xml:space="preserve">algorithms </w:t>
      </w:r>
      <w:r w:rsidR="00C55DED">
        <w:t xml:space="preserve">which </w:t>
      </w:r>
      <w:r w:rsidR="00CB051E">
        <w:t>combin</w:t>
      </w:r>
      <w:r w:rsidR="00C55DED">
        <w:t>e</w:t>
      </w:r>
      <w:r w:rsidR="00CB051E">
        <w:t xml:space="preserve"> clinical </w:t>
      </w:r>
      <w:r w:rsidR="00C55DED">
        <w:t xml:space="preserve">and pathological information </w:t>
      </w:r>
      <w:r>
        <w:t>(e.g. IHC-4)</w:t>
      </w:r>
      <w:r w:rsidR="00C55DED">
        <w:t>. As yet, it</w:t>
      </w:r>
      <w:r>
        <w:t xml:space="preserve"> has not been proven that </w:t>
      </w:r>
      <w:r w:rsidRPr="00770BCB">
        <w:t>Oncotype</w:t>
      </w:r>
      <w:r>
        <w:t> </w:t>
      </w:r>
      <w:r w:rsidRPr="00770BCB">
        <w:t>DX</w:t>
      </w:r>
      <w:r>
        <w:t xml:space="preserve"> testing is </w:t>
      </w:r>
      <w:r w:rsidR="000F69CB">
        <w:t>either non</w:t>
      </w:r>
      <w:r w:rsidR="000D71F5">
        <w:t>-</w:t>
      </w:r>
      <w:r w:rsidR="000F69CB">
        <w:t xml:space="preserve">inferior or </w:t>
      </w:r>
      <w:r>
        <w:t xml:space="preserve">superior to </w:t>
      </w:r>
      <w:r w:rsidR="000F69CB">
        <w:t xml:space="preserve">usual </w:t>
      </w:r>
      <w:r w:rsidR="00505C5E">
        <w:t>clinical practice</w:t>
      </w:r>
      <w:r w:rsidR="000F69CB">
        <w:t>.</w:t>
      </w:r>
      <w:r w:rsidR="0031026D">
        <w:t xml:space="preserve"> </w:t>
      </w:r>
      <w:r w:rsidR="00567001">
        <w:t>All p</w:t>
      </w:r>
      <w:r w:rsidR="0031026D">
        <w:t xml:space="preserve">atients in the key </w:t>
      </w:r>
      <w:r w:rsidR="00567001">
        <w:t>trial</w:t>
      </w:r>
      <w:r w:rsidR="0031026D">
        <w:t xml:space="preserve">, </w:t>
      </w:r>
      <w:r w:rsidR="0031026D" w:rsidRPr="0031026D">
        <w:t>TAILORx</w:t>
      </w:r>
      <w:r w:rsidR="00567001">
        <w:t>,</w:t>
      </w:r>
      <w:r w:rsidR="0031026D" w:rsidRPr="0031026D">
        <w:t xml:space="preserve"> were risk-str</w:t>
      </w:r>
      <w:r w:rsidR="004B16BB">
        <w:t>atified via Oncotype </w:t>
      </w:r>
      <w:r w:rsidR="0031026D" w:rsidRPr="0031026D">
        <w:t>DX</w:t>
      </w:r>
      <w:r w:rsidR="00567001">
        <w:t>,</w:t>
      </w:r>
      <w:r w:rsidR="0031026D" w:rsidRPr="0031026D">
        <w:t xml:space="preserve"> thus there is no “non-Oncotype</w:t>
      </w:r>
      <w:r w:rsidR="004216BB">
        <w:t> </w:t>
      </w:r>
      <w:r w:rsidR="00567001">
        <w:t>DX</w:t>
      </w:r>
      <w:r w:rsidR="0031026D" w:rsidRPr="0031026D">
        <w:t xml:space="preserve">” sub-group that could be used to </w:t>
      </w:r>
      <w:r w:rsidR="005F0212">
        <w:t>inform</w:t>
      </w:r>
      <w:r w:rsidR="0031026D" w:rsidRPr="0031026D">
        <w:t xml:space="preserve"> the desired </w:t>
      </w:r>
      <w:r w:rsidR="0031026D">
        <w:t xml:space="preserve">direct </w:t>
      </w:r>
      <w:r w:rsidR="0031026D" w:rsidRPr="0031026D">
        <w:t xml:space="preserve">comparison. </w:t>
      </w:r>
      <w:r w:rsidR="0031026D">
        <w:t>Put simply,</w:t>
      </w:r>
      <w:r w:rsidR="0031026D" w:rsidRPr="0031026D">
        <w:t xml:space="preserve"> TAILORx does provide a measure of the relative performance of the Oncotype</w:t>
      </w:r>
      <w:r w:rsidR="00D344CD">
        <w:t> </w:t>
      </w:r>
      <w:r w:rsidR="0031026D" w:rsidRPr="0031026D">
        <w:t>DX tool, but only relative to itself.</w:t>
      </w:r>
    </w:p>
    <w:p w14:paraId="538DC407" w14:textId="6AF1ECD2" w:rsidR="00CA3907" w:rsidRDefault="00CA3907" w:rsidP="00E2362C">
      <w:pPr>
        <w:spacing w:after="240"/>
      </w:pPr>
      <w:r>
        <w:t>MSAC recalled that Oncotype DX testing is performed by one laboratory based in the U</w:t>
      </w:r>
      <w:r w:rsidR="006C62D1">
        <w:t xml:space="preserve">nited </w:t>
      </w:r>
      <w:r>
        <w:t>S</w:t>
      </w:r>
      <w:r w:rsidR="006C62D1">
        <w:t xml:space="preserve">tates of </w:t>
      </w:r>
      <w:r>
        <w:t>A</w:t>
      </w:r>
      <w:r w:rsidR="006C62D1">
        <w:t>merica (USA), and has not been subject to regulatory approval by USA’s Food and Drug Administration</w:t>
      </w:r>
      <w:r>
        <w:t xml:space="preserve">. MSAC noted </w:t>
      </w:r>
      <w:r w:rsidR="00C55DED">
        <w:t>the differences in regulation, oversight, standards and accreditation between</w:t>
      </w:r>
      <w:r>
        <w:t xml:space="preserve"> Australia </w:t>
      </w:r>
      <w:r w:rsidR="00C55DED">
        <w:t>and the</w:t>
      </w:r>
      <w:r>
        <w:t xml:space="preserve"> USA</w:t>
      </w:r>
      <w:r w:rsidR="00C55DED">
        <w:t>. The implications of these differences would need further consideration should the test be recommended for funding.</w:t>
      </w:r>
    </w:p>
    <w:p w14:paraId="387C9C2C" w14:textId="4BD3E45F" w:rsidR="006E3EBC" w:rsidRDefault="006E3EBC" w:rsidP="00E2362C">
      <w:pPr>
        <w:spacing w:after="240"/>
      </w:pPr>
      <w:r>
        <w:t>MSAC noted that the eligible population requested for funding had been changed from the previous submissions</w:t>
      </w:r>
      <w:r w:rsidR="00CB3E7F">
        <w:t xml:space="preserve"> to match the eligibility criteria of the TAILORx </w:t>
      </w:r>
      <w:r w:rsidR="00567001">
        <w:t>trial</w:t>
      </w:r>
      <w:r w:rsidR="00EE493C">
        <w:t xml:space="preserve">, the results of which had been </w:t>
      </w:r>
      <w:r w:rsidR="00C55DED">
        <w:t xml:space="preserve">recently </w:t>
      </w:r>
      <w:r w:rsidR="00EE493C">
        <w:t>published</w:t>
      </w:r>
      <w:r w:rsidR="00C55DED">
        <w:t xml:space="preserve">. </w:t>
      </w:r>
      <w:r w:rsidR="0093329A">
        <w:t>Notable differences were the removal of</w:t>
      </w:r>
      <w:r w:rsidR="00CB3E7F">
        <w:t xml:space="preserve"> node positive patients and the </w:t>
      </w:r>
      <w:r w:rsidR="0093329A">
        <w:t>narrower specification of tumour size (1.1-5</w:t>
      </w:r>
      <w:r w:rsidR="00356299">
        <w:t>.0</w:t>
      </w:r>
      <w:r w:rsidR="008E7FE9">
        <w:t> </w:t>
      </w:r>
      <w:r w:rsidR="0093329A">
        <w:t>cm</w:t>
      </w:r>
      <w:r w:rsidR="00356299">
        <w:t>,</w:t>
      </w:r>
      <w:r w:rsidR="0093329A">
        <w:t xml:space="preserve"> or 5</w:t>
      </w:r>
      <w:r w:rsidR="008E7FE9">
        <w:t> </w:t>
      </w:r>
      <w:r w:rsidR="0093329A">
        <w:t>mm-1</w:t>
      </w:r>
      <w:r w:rsidR="00356299">
        <w:t>.0</w:t>
      </w:r>
      <w:r w:rsidR="008E7FE9">
        <w:t> </w:t>
      </w:r>
      <w:r w:rsidR="0093329A">
        <w:t>cm with unfavourable histology).</w:t>
      </w:r>
    </w:p>
    <w:p w14:paraId="0311E7F4" w14:textId="55F18FE8" w:rsidR="00CA3907" w:rsidRPr="00C87871" w:rsidRDefault="00CA3907" w:rsidP="00E2362C">
      <w:pPr>
        <w:spacing w:after="240"/>
      </w:pPr>
      <w:r>
        <w:t xml:space="preserve">MSAC noted that the comparator was usual care involving clinico-pathological risk prediction. However, “usual care” did not specify which risk prediction models were used. Data to support claims of </w:t>
      </w:r>
      <w:r w:rsidR="00505C5E">
        <w:t xml:space="preserve">the </w:t>
      </w:r>
      <w:r>
        <w:t>clinical utility of Oncotype DX testing with usual care compared with usual care alone were not presented</w:t>
      </w:r>
      <w:r w:rsidR="0031026D">
        <w:t xml:space="preserve"> or available from the TAILORx </w:t>
      </w:r>
      <w:r w:rsidR="00AB665C">
        <w:t>trial</w:t>
      </w:r>
      <w:r w:rsidR="0031026D">
        <w:t xml:space="preserve"> (which as noted above reported on the rela</w:t>
      </w:r>
      <w:r w:rsidR="004B16BB">
        <w:t>tive performance of Oncotype </w:t>
      </w:r>
      <w:r w:rsidR="0031026D">
        <w:t>D</w:t>
      </w:r>
      <w:r w:rsidR="004B16BB">
        <w:t>X</w:t>
      </w:r>
      <w:r w:rsidR="0031026D">
        <w:t xml:space="preserve"> with itself)</w:t>
      </w:r>
      <w:r>
        <w:t>.</w:t>
      </w:r>
    </w:p>
    <w:p w14:paraId="45AB4EF1" w14:textId="7863320A" w:rsidR="00CA3907" w:rsidRDefault="00CA3907" w:rsidP="00E2362C">
      <w:pPr>
        <w:spacing w:after="240"/>
      </w:pPr>
      <w:r w:rsidRPr="005D5F60">
        <w:t xml:space="preserve">MSAC </w:t>
      </w:r>
      <w:r>
        <w:t xml:space="preserve">recalled that the major issue in previous submissions was that </w:t>
      </w:r>
      <w:r w:rsidR="00505C5E">
        <w:t xml:space="preserve">comparative </w:t>
      </w:r>
      <w:r w:rsidRPr="005D5F60">
        <w:t xml:space="preserve">clinical utility </w:t>
      </w:r>
      <w:r w:rsidR="00505C5E">
        <w:t xml:space="preserve">had </w:t>
      </w:r>
      <w:r>
        <w:t>not been demonstrated</w:t>
      </w:r>
      <w:r w:rsidR="00505C5E">
        <w:t xml:space="preserve"> in Australia (or elsewhere)</w:t>
      </w:r>
      <w:r w:rsidRPr="005D5F60">
        <w:t xml:space="preserve">. </w:t>
      </w:r>
      <w:r>
        <w:t xml:space="preserve">MSAC noted that the new </w:t>
      </w:r>
      <w:r>
        <w:lastRenderedPageBreak/>
        <w:t xml:space="preserve">evidence in the resubmission </w:t>
      </w:r>
      <w:r w:rsidR="00505C5E">
        <w:t xml:space="preserve">did not directly </w:t>
      </w:r>
      <w:r>
        <w:t xml:space="preserve">address this concern. Substantial uncertainty </w:t>
      </w:r>
      <w:r w:rsidR="00505C5E">
        <w:t xml:space="preserve">remains </w:t>
      </w:r>
      <w:r>
        <w:t xml:space="preserve">about the </w:t>
      </w:r>
      <w:r w:rsidRPr="00663A76">
        <w:t xml:space="preserve">relative analytic performance, clinical validity and especially clinical utility </w:t>
      </w:r>
      <w:r w:rsidR="00E5278D">
        <w:t xml:space="preserve">of Oncotype DX </w:t>
      </w:r>
      <w:r w:rsidRPr="00663A76">
        <w:t>in the Australian context</w:t>
      </w:r>
      <w:r>
        <w:t>.</w:t>
      </w:r>
    </w:p>
    <w:p w14:paraId="1CB75D3F" w14:textId="50CAA7F9" w:rsidR="00CA3907" w:rsidRPr="00E2362C" w:rsidRDefault="00CA3907" w:rsidP="00E2362C">
      <w:pPr>
        <w:spacing w:after="240"/>
        <w:rPr>
          <w:lang w:val="en-US"/>
        </w:rPr>
      </w:pPr>
      <w:r>
        <w:t xml:space="preserve">Evidence provided to support Oncotype DX testing to identify patients in the </w:t>
      </w:r>
      <w:r w:rsidR="00505C5E">
        <w:t>“</w:t>
      </w:r>
      <w:r w:rsidRPr="009B0EDC">
        <w:rPr>
          <w:bCs/>
        </w:rPr>
        <w:t>chemotherapy sparing</w:t>
      </w:r>
      <w:r w:rsidR="00505C5E">
        <w:rPr>
          <w:bCs/>
        </w:rPr>
        <w:t>”</w:t>
      </w:r>
      <w:r>
        <w:rPr>
          <w:bCs/>
        </w:rPr>
        <w:t xml:space="preserve"> group was from </w:t>
      </w:r>
      <w:r>
        <w:t xml:space="preserve">the TAILORx </w:t>
      </w:r>
      <w:r w:rsidR="00567001">
        <w:t>trial</w:t>
      </w:r>
      <w:r w:rsidR="00A829F5">
        <w:t xml:space="preserve"> (based on the results reported </w:t>
      </w:r>
      <w:r w:rsidR="00CB3E7F">
        <w:t>by</w:t>
      </w:r>
      <w:r w:rsidR="00A829F5">
        <w:t xml:space="preserve"> </w:t>
      </w:r>
      <w:r w:rsidR="0080434D">
        <w:rPr>
          <w:lang w:val="en-US"/>
        </w:rPr>
        <w:t>Sparano et al. (</w:t>
      </w:r>
      <w:r w:rsidR="00A829F5">
        <w:rPr>
          <w:lang w:val="en-US"/>
        </w:rPr>
        <w:t>NEJM, 201</w:t>
      </w:r>
      <w:r w:rsidR="00E46670">
        <w:rPr>
          <w:lang w:val="en-US"/>
        </w:rPr>
        <w:t>8</w:t>
      </w:r>
      <w:r w:rsidR="0080434D">
        <w:rPr>
          <w:lang w:val="en-US"/>
        </w:rPr>
        <w:t>)</w:t>
      </w:r>
      <w:r>
        <w:t xml:space="preserve">. This </w:t>
      </w:r>
      <w:r w:rsidR="00567001">
        <w:t>trial</w:t>
      </w:r>
      <w:r>
        <w:t xml:space="preserve"> was a randomised comparison of chemotherapy </w:t>
      </w:r>
      <w:r w:rsidR="00505C5E">
        <w:t xml:space="preserve">plus endocrine therapy </w:t>
      </w:r>
      <w:r>
        <w:t xml:space="preserve">versus endocrine therapy alone. MSAC noted that the trial was </w:t>
      </w:r>
      <w:r w:rsidRPr="008813A8">
        <w:t>designed to show non</w:t>
      </w:r>
      <w:r>
        <w:t>-</w:t>
      </w:r>
      <w:r w:rsidRPr="008813A8">
        <w:t xml:space="preserve">inferiority </w:t>
      </w:r>
      <w:r w:rsidR="00F34F9E">
        <w:t xml:space="preserve">in terms of cancer outcomes </w:t>
      </w:r>
      <w:r w:rsidRPr="008813A8">
        <w:t>of endocrine the</w:t>
      </w:r>
      <w:r w:rsidR="00BF4EEF">
        <w:t>rapy alone for invasive disease-</w:t>
      </w:r>
      <w:r w:rsidRPr="008813A8">
        <w:t>free survival</w:t>
      </w:r>
      <w:r>
        <w:t xml:space="preserve"> in women at intermediate risk of breast cancer (</w:t>
      </w:r>
      <w:r>
        <w:rPr>
          <w:lang w:val="en-US"/>
        </w:rPr>
        <w:t>RS</w:t>
      </w:r>
      <w:r w:rsidRPr="00C93317">
        <w:rPr>
          <w:lang w:val="en-US"/>
        </w:rPr>
        <w:t xml:space="preserve"> threshold of 11</w:t>
      </w:r>
      <w:r w:rsidR="00BF4EEF">
        <w:rPr>
          <w:lang w:val="en-US"/>
        </w:rPr>
        <w:t>-</w:t>
      </w:r>
      <w:r w:rsidRPr="00C93317">
        <w:rPr>
          <w:lang w:val="en-US"/>
        </w:rPr>
        <w:t>25</w:t>
      </w:r>
      <w:r>
        <w:rPr>
          <w:lang w:val="en-US"/>
        </w:rPr>
        <w:t>)</w:t>
      </w:r>
      <w:r w:rsidR="00116F26">
        <w:rPr>
          <w:lang w:val="en-US"/>
        </w:rPr>
        <w:t xml:space="preserve">. </w:t>
      </w:r>
      <w:r w:rsidR="00F34F9E">
        <w:rPr>
          <w:lang w:val="en-US"/>
        </w:rPr>
        <w:t>As such,</w:t>
      </w:r>
      <w:r>
        <w:t xml:space="preserve"> it was not a randomised comparison of Oncotype DX </w:t>
      </w:r>
      <w:r w:rsidR="00505C5E">
        <w:t>against</w:t>
      </w:r>
      <w:r w:rsidR="00F34F9E">
        <w:t xml:space="preserve"> any</w:t>
      </w:r>
      <w:r>
        <w:rPr>
          <w:lang w:val="en-US"/>
        </w:rPr>
        <w:t xml:space="preserve"> </w:t>
      </w:r>
      <w:r w:rsidRPr="00663A76">
        <w:rPr>
          <w:lang w:val="en-US"/>
        </w:rPr>
        <w:t>other risk prediction method</w:t>
      </w:r>
      <w:r w:rsidR="00F34F9E">
        <w:rPr>
          <w:lang w:val="en-US"/>
        </w:rPr>
        <w:t xml:space="preserve"> to assess non-inferiority or superiority in terms of cancer outcome</w:t>
      </w:r>
      <w:r w:rsidRPr="00663A76">
        <w:rPr>
          <w:lang w:val="en-US"/>
        </w:rPr>
        <w:t>s</w:t>
      </w:r>
      <w:r>
        <w:rPr>
          <w:lang w:val="en-US"/>
        </w:rPr>
        <w:t xml:space="preserve">. MSAC therefore considered that the </w:t>
      </w:r>
      <w:r w:rsidR="00567001">
        <w:t>trial</w:t>
      </w:r>
      <w:r w:rsidRPr="00663A76">
        <w:rPr>
          <w:lang w:val="en-US"/>
        </w:rPr>
        <w:t xml:space="preserve"> d</w:t>
      </w:r>
      <w:r w:rsidR="00505C5E">
        <w:rPr>
          <w:lang w:val="en-US"/>
        </w:rPr>
        <w:t>id</w:t>
      </w:r>
      <w:r w:rsidRPr="00663A76">
        <w:rPr>
          <w:lang w:val="en-US"/>
        </w:rPr>
        <w:t xml:space="preserve"> not provide </w:t>
      </w:r>
      <w:r w:rsidR="007237B9">
        <w:rPr>
          <w:lang w:val="en-US"/>
        </w:rPr>
        <w:t xml:space="preserve">direct </w:t>
      </w:r>
      <w:r w:rsidRPr="00663A76">
        <w:rPr>
          <w:lang w:val="en-US"/>
        </w:rPr>
        <w:t xml:space="preserve">evidence of </w:t>
      </w:r>
      <w:r w:rsidR="000D71F5">
        <w:rPr>
          <w:lang w:val="en-US"/>
        </w:rPr>
        <w:t xml:space="preserve">the </w:t>
      </w:r>
      <w:r w:rsidRPr="00663A76">
        <w:rPr>
          <w:lang w:val="en-US"/>
        </w:rPr>
        <w:t>comparative effectiveness</w:t>
      </w:r>
      <w:r w:rsidR="000D71F5">
        <w:rPr>
          <w:lang w:val="en-US"/>
        </w:rPr>
        <w:t xml:space="preserve"> of Oncotype D</w:t>
      </w:r>
      <w:r w:rsidR="004B16BB">
        <w:rPr>
          <w:lang w:val="en-US"/>
        </w:rPr>
        <w:t>X</w:t>
      </w:r>
      <w:r>
        <w:rPr>
          <w:lang w:val="en-US"/>
        </w:rPr>
        <w:t>.</w:t>
      </w:r>
      <w:r w:rsidR="00C943A8">
        <w:rPr>
          <w:lang w:val="en-US"/>
        </w:rPr>
        <w:t xml:space="preserve"> In this regard, the randomised comparison for MammaPrint</w:t>
      </w:r>
      <w:r w:rsidR="00C943A8" w:rsidRPr="00C943A8">
        <w:rPr>
          <w:vertAlign w:val="superscript"/>
          <w:lang w:val="en-US"/>
        </w:rPr>
        <w:t>®</w:t>
      </w:r>
      <w:r w:rsidR="00C943A8">
        <w:rPr>
          <w:lang w:val="en-US"/>
        </w:rPr>
        <w:t xml:space="preserve"> </w:t>
      </w:r>
      <w:r w:rsidR="00A52968">
        <w:rPr>
          <w:lang w:val="en-US"/>
        </w:rPr>
        <w:t xml:space="preserve">in MINDACT (Cardoso et al, 2016) </w:t>
      </w:r>
      <w:r w:rsidR="00C943A8">
        <w:rPr>
          <w:lang w:val="en-US"/>
        </w:rPr>
        <w:t xml:space="preserve">was more </w:t>
      </w:r>
      <w:r w:rsidR="0031026D">
        <w:rPr>
          <w:lang w:val="en-US"/>
        </w:rPr>
        <w:t xml:space="preserve">clinically </w:t>
      </w:r>
      <w:r w:rsidR="00C943A8">
        <w:rPr>
          <w:lang w:val="en-US"/>
        </w:rPr>
        <w:t xml:space="preserve">relevant because it compared the outcomes following </w:t>
      </w:r>
      <w:r w:rsidR="00A52968">
        <w:rPr>
          <w:lang w:val="en-US"/>
        </w:rPr>
        <w:t>chemotherapy plus endocrine therapy or endocrine therapy alone in patients who had discordant clinical and genomic risk predictions.</w:t>
      </w:r>
      <w:r w:rsidR="0031026D">
        <w:rPr>
          <w:lang w:val="en-US"/>
        </w:rPr>
        <w:t xml:space="preserve"> In other words, MINDACT </w:t>
      </w:r>
      <w:r w:rsidR="008D51F2">
        <w:rPr>
          <w:lang w:val="en-US"/>
        </w:rPr>
        <w:t>quantified the</w:t>
      </w:r>
      <w:r w:rsidR="0031026D">
        <w:rPr>
          <w:lang w:val="en-US"/>
        </w:rPr>
        <w:t xml:space="preserve"> </w:t>
      </w:r>
      <w:r w:rsidR="008D51F2">
        <w:rPr>
          <w:lang w:val="en-US"/>
        </w:rPr>
        <w:t>differential outcomes of</w:t>
      </w:r>
      <w:r w:rsidR="0031026D">
        <w:rPr>
          <w:lang w:val="en-US"/>
        </w:rPr>
        <w:t xml:space="preserve"> patient</w:t>
      </w:r>
      <w:r w:rsidR="008D51F2">
        <w:rPr>
          <w:lang w:val="en-US"/>
        </w:rPr>
        <w:t>s according to the use of a gene expression profile</w:t>
      </w:r>
      <w:r w:rsidR="00AB665C">
        <w:rPr>
          <w:lang w:val="en-US"/>
        </w:rPr>
        <w:t xml:space="preserve"> or not</w:t>
      </w:r>
      <w:r w:rsidR="008D51F2">
        <w:rPr>
          <w:lang w:val="en-US"/>
        </w:rPr>
        <w:t xml:space="preserve">. The </w:t>
      </w:r>
      <w:r w:rsidR="00567001">
        <w:t>trial</w:t>
      </w:r>
      <w:r w:rsidR="008D51F2">
        <w:rPr>
          <w:lang w:val="en-US"/>
        </w:rPr>
        <w:t xml:space="preserve"> design of TAILORx does not allow such a comparison</w:t>
      </w:r>
      <w:r w:rsidR="00AB665C">
        <w:rPr>
          <w:lang w:val="en-US"/>
        </w:rPr>
        <w:t>,</w:t>
      </w:r>
      <w:r w:rsidR="008D51F2">
        <w:rPr>
          <w:lang w:val="en-US"/>
        </w:rPr>
        <w:t xml:space="preserve"> but rather reports the relative performance of Oncotype</w:t>
      </w:r>
      <w:r w:rsidR="00D344CD">
        <w:rPr>
          <w:lang w:val="en-US"/>
        </w:rPr>
        <w:t> </w:t>
      </w:r>
      <w:r w:rsidR="008D51F2">
        <w:rPr>
          <w:lang w:val="en-US"/>
        </w:rPr>
        <w:t>DX with itself.</w:t>
      </w:r>
    </w:p>
    <w:p w14:paraId="4180FF32" w14:textId="577C9B39" w:rsidR="00CA3907" w:rsidRDefault="00CA3907" w:rsidP="00CA3907">
      <w:pPr>
        <w:pStyle w:val="NormalBeforeBullet"/>
      </w:pPr>
      <w:r>
        <w:t xml:space="preserve">MSAC </w:t>
      </w:r>
      <w:r w:rsidR="00505C5E">
        <w:t>further identified</w:t>
      </w:r>
      <w:r>
        <w:t xml:space="preserve"> a number of</w:t>
      </w:r>
      <w:r w:rsidR="00460458">
        <w:t xml:space="preserve"> methodological</w:t>
      </w:r>
      <w:r>
        <w:t xml:space="preserve"> issues with the design</w:t>
      </w:r>
      <w:r w:rsidR="00D86BFE">
        <w:t>,</w:t>
      </w:r>
      <w:r>
        <w:t xml:space="preserve"> conduct </w:t>
      </w:r>
      <w:r w:rsidR="00D86BFE">
        <w:t xml:space="preserve">and reporting </w:t>
      </w:r>
      <w:r>
        <w:t xml:space="preserve">of the TAILORx </w:t>
      </w:r>
      <w:r w:rsidR="00567001">
        <w:t>trial</w:t>
      </w:r>
      <w:r>
        <w:t xml:space="preserve"> that </w:t>
      </w:r>
      <w:r w:rsidRPr="00C93317">
        <w:t xml:space="preserve">substantially increase </w:t>
      </w:r>
      <w:r w:rsidR="00505C5E">
        <w:t xml:space="preserve">uncertainty and </w:t>
      </w:r>
      <w:r>
        <w:t>the risk of bias</w:t>
      </w:r>
      <w:r w:rsidRPr="00C93317">
        <w:t xml:space="preserve"> </w:t>
      </w:r>
      <w:r w:rsidR="00B5156B">
        <w:t xml:space="preserve">towards concluding non-inferiority and thus </w:t>
      </w:r>
      <w:r w:rsidR="00505C5E">
        <w:t>in favour of Oncotype DX</w:t>
      </w:r>
      <w:r w:rsidR="00B40673">
        <w:t xml:space="preserve"> (further details are provided in the technical description below)</w:t>
      </w:r>
      <w:r>
        <w:t>:</w:t>
      </w:r>
    </w:p>
    <w:p w14:paraId="0CCAFBAE" w14:textId="521F05C0" w:rsidR="00CA3907" w:rsidRPr="00CA3907" w:rsidRDefault="00B659E8" w:rsidP="00375B02">
      <w:pPr>
        <w:pStyle w:val="Bullet"/>
        <w:numPr>
          <w:ilvl w:val="0"/>
          <w:numId w:val="3"/>
        </w:numPr>
        <w:spacing w:after="120" w:line="240" w:lineRule="auto"/>
        <w:ind w:left="720"/>
        <w:rPr>
          <w:rFonts w:ascii="Times New Roman" w:hAnsi="Times New Roman" w:cs="Times New Roman"/>
          <w:sz w:val="24"/>
          <w:szCs w:val="24"/>
        </w:rPr>
      </w:pPr>
      <w:r>
        <w:rPr>
          <w:rFonts w:ascii="Times New Roman" w:hAnsi="Times New Roman" w:cs="Times New Roman"/>
          <w:sz w:val="24"/>
          <w:szCs w:val="24"/>
        </w:rPr>
        <w:t>randomisation was not used to inform a comparison of Oncotype DX with current best supported clinical judgement</w:t>
      </w:r>
      <w:r w:rsidRPr="00CA39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is, </w:t>
      </w:r>
      <w:r w:rsidR="00CA3907" w:rsidRPr="00CA3907">
        <w:rPr>
          <w:rFonts w:ascii="Times New Roman" w:hAnsi="Times New Roman" w:cs="Times New Roman"/>
          <w:sz w:val="24"/>
          <w:szCs w:val="24"/>
          <w:lang w:val="en-US"/>
        </w:rPr>
        <w:t xml:space="preserve">RS </w:t>
      </w:r>
      <w:r w:rsidR="00EE493C">
        <w:rPr>
          <w:rFonts w:ascii="Times New Roman" w:hAnsi="Times New Roman" w:cs="Times New Roman"/>
          <w:sz w:val="24"/>
          <w:szCs w:val="24"/>
          <w:lang w:val="en-US"/>
        </w:rPr>
        <w:t>in the range of 11</w:t>
      </w:r>
      <w:r w:rsidR="00126F5A">
        <w:rPr>
          <w:rFonts w:ascii="Times New Roman" w:hAnsi="Times New Roman" w:cs="Times New Roman"/>
          <w:sz w:val="24"/>
          <w:szCs w:val="24"/>
          <w:lang w:val="en-US"/>
        </w:rPr>
        <w:t>-</w:t>
      </w:r>
      <w:r w:rsidR="00EE493C">
        <w:rPr>
          <w:rFonts w:ascii="Times New Roman" w:hAnsi="Times New Roman" w:cs="Times New Roman"/>
          <w:sz w:val="24"/>
          <w:szCs w:val="24"/>
          <w:lang w:val="en-US"/>
        </w:rPr>
        <w:t xml:space="preserve">25 </w:t>
      </w:r>
      <w:r w:rsidR="00CA3907" w:rsidRPr="00CA3907">
        <w:rPr>
          <w:rFonts w:ascii="Times New Roman" w:hAnsi="Times New Roman" w:cs="Times New Roman"/>
          <w:sz w:val="24"/>
          <w:szCs w:val="24"/>
          <w:lang w:val="en-US"/>
        </w:rPr>
        <w:t>was used as a stratifying variable</w:t>
      </w:r>
      <w:r>
        <w:rPr>
          <w:rFonts w:ascii="Times New Roman" w:hAnsi="Times New Roman" w:cs="Times New Roman"/>
          <w:sz w:val="24"/>
          <w:szCs w:val="24"/>
          <w:lang w:val="en-US"/>
        </w:rPr>
        <w:t xml:space="preserve"> to identify all </w:t>
      </w:r>
      <w:r w:rsidR="00E5278D">
        <w:rPr>
          <w:rFonts w:ascii="Times New Roman" w:hAnsi="Times New Roman" w:cs="Times New Roman"/>
          <w:sz w:val="24"/>
          <w:szCs w:val="24"/>
          <w:lang w:val="en-US"/>
        </w:rPr>
        <w:t xml:space="preserve">trial </w:t>
      </w:r>
      <w:r>
        <w:rPr>
          <w:rFonts w:ascii="Times New Roman" w:hAnsi="Times New Roman" w:cs="Times New Roman"/>
          <w:sz w:val="24"/>
          <w:szCs w:val="24"/>
          <w:lang w:val="en-US"/>
        </w:rPr>
        <w:t>participants who were then randomised</w:t>
      </w:r>
      <w:r w:rsidR="007E3772">
        <w:rPr>
          <w:rFonts w:ascii="Times New Roman" w:hAnsi="Times New Roman" w:cs="Times New Roman"/>
          <w:sz w:val="24"/>
          <w:szCs w:val="24"/>
        </w:rPr>
        <w:t>)</w:t>
      </w:r>
    </w:p>
    <w:p w14:paraId="23C341F9" w14:textId="4C122D5C" w:rsidR="00625886" w:rsidRPr="00A50B28" w:rsidRDefault="00B40C63" w:rsidP="00375B02">
      <w:pPr>
        <w:pStyle w:val="Bullet"/>
        <w:numPr>
          <w:ilvl w:val="0"/>
          <w:numId w:val="3"/>
        </w:numPr>
        <w:tabs>
          <w:tab w:val="clear" w:pos="360"/>
        </w:tabs>
        <w:spacing w:after="120" w:line="240" w:lineRule="auto"/>
        <w:ind w:left="720"/>
        <w:rPr>
          <w:rFonts w:ascii="Times New Roman" w:hAnsi="Times New Roman" w:cs="Times New Roman"/>
          <w:sz w:val="24"/>
          <w:szCs w:val="24"/>
        </w:rPr>
      </w:pPr>
      <w:r w:rsidRPr="00A50B28">
        <w:rPr>
          <w:rFonts w:ascii="Times New Roman" w:hAnsi="Times New Roman" w:cs="Times New Roman"/>
          <w:sz w:val="24"/>
          <w:szCs w:val="24"/>
          <w:lang w:val="en-US"/>
        </w:rPr>
        <w:t xml:space="preserve">substantial and differential changes </w:t>
      </w:r>
      <w:r w:rsidR="00A87824" w:rsidRPr="00A50B28">
        <w:rPr>
          <w:rFonts w:ascii="Times New Roman" w:hAnsi="Times New Roman" w:cs="Times New Roman"/>
          <w:sz w:val="24"/>
          <w:szCs w:val="24"/>
          <w:lang w:val="en-US"/>
        </w:rPr>
        <w:t xml:space="preserve">in the flow of </w:t>
      </w:r>
      <w:r w:rsidR="00625886" w:rsidRPr="00A50B28">
        <w:rPr>
          <w:rFonts w:ascii="Times New Roman" w:hAnsi="Times New Roman" w:cs="Times New Roman"/>
          <w:sz w:val="24"/>
          <w:szCs w:val="24"/>
          <w:lang w:val="en-US"/>
        </w:rPr>
        <w:t xml:space="preserve">the numbers of patients randomised to each </w:t>
      </w:r>
      <w:r w:rsidR="00050D9E" w:rsidRPr="00A50B28">
        <w:rPr>
          <w:rFonts w:ascii="Times New Roman" w:hAnsi="Times New Roman" w:cs="Times New Roman"/>
          <w:sz w:val="24"/>
          <w:szCs w:val="24"/>
          <w:lang w:val="en-US"/>
        </w:rPr>
        <w:t>group we</w:t>
      </w:r>
      <w:r w:rsidR="00625886" w:rsidRPr="00A50B28">
        <w:rPr>
          <w:rFonts w:ascii="Times New Roman" w:hAnsi="Times New Roman" w:cs="Times New Roman"/>
          <w:sz w:val="24"/>
          <w:szCs w:val="24"/>
          <w:lang w:val="en-US"/>
        </w:rPr>
        <w:t>re</w:t>
      </w:r>
      <w:r w:rsidR="00050D9E" w:rsidRPr="00A50B28">
        <w:rPr>
          <w:rFonts w:ascii="Times New Roman" w:hAnsi="Times New Roman" w:cs="Times New Roman"/>
          <w:sz w:val="24"/>
          <w:szCs w:val="24"/>
          <w:lang w:val="en-US"/>
        </w:rPr>
        <w:t xml:space="preserve"> reported</w:t>
      </w:r>
      <w:r w:rsidR="00A87824" w:rsidRPr="00A50B28">
        <w:rPr>
          <w:rFonts w:ascii="Times New Roman" w:hAnsi="Times New Roman" w:cs="Times New Roman"/>
          <w:sz w:val="24"/>
          <w:szCs w:val="24"/>
          <w:lang w:val="en-US"/>
        </w:rPr>
        <w:t xml:space="preserve"> in </w:t>
      </w:r>
      <w:r w:rsidR="007E0521">
        <w:rPr>
          <w:rFonts w:ascii="Times New Roman" w:hAnsi="Times New Roman" w:cs="Times New Roman"/>
          <w:sz w:val="24"/>
          <w:szCs w:val="24"/>
          <w:lang w:val="en-US"/>
        </w:rPr>
        <w:t xml:space="preserve">the trial </w:t>
      </w:r>
      <w:r w:rsidR="00625886" w:rsidRPr="00A50B28">
        <w:rPr>
          <w:rFonts w:ascii="Times New Roman" w:hAnsi="Times New Roman" w:cs="Times New Roman"/>
          <w:sz w:val="24"/>
          <w:szCs w:val="24"/>
          <w:lang w:val="en-US"/>
        </w:rPr>
        <w:t xml:space="preserve">all </w:t>
      </w:r>
      <w:r w:rsidR="00625886" w:rsidRPr="00A50B28">
        <w:rPr>
          <w:rFonts w:ascii="Times New Roman" w:hAnsi="Times New Roman" w:cs="Times New Roman"/>
          <w:sz w:val="24"/>
          <w:szCs w:val="24"/>
        </w:rPr>
        <w:t>tend to</w:t>
      </w:r>
      <w:r w:rsidR="007237B9" w:rsidRPr="00A50B28">
        <w:rPr>
          <w:rFonts w:ascii="Times New Roman" w:hAnsi="Times New Roman" w:cs="Times New Roman"/>
          <w:sz w:val="24"/>
          <w:szCs w:val="24"/>
          <w:lang w:val="en-US"/>
        </w:rPr>
        <w:t xml:space="preserve"> diminish any</w:t>
      </w:r>
      <w:r w:rsidR="00625886" w:rsidRPr="00A50B28">
        <w:rPr>
          <w:rFonts w:ascii="Times New Roman" w:hAnsi="Times New Roman" w:cs="Times New Roman"/>
          <w:sz w:val="24"/>
          <w:szCs w:val="24"/>
          <w:lang w:val="en-US"/>
        </w:rPr>
        <w:t xml:space="preserve"> true differences between the </w:t>
      </w:r>
      <w:r w:rsidR="00050D9E" w:rsidRPr="00A50B28">
        <w:rPr>
          <w:rFonts w:ascii="Times New Roman" w:hAnsi="Times New Roman" w:cs="Times New Roman"/>
          <w:sz w:val="24"/>
          <w:szCs w:val="24"/>
          <w:lang w:val="en-US"/>
        </w:rPr>
        <w:t>randomised groups</w:t>
      </w:r>
      <w:r w:rsidR="006B1564" w:rsidRPr="00A50B28">
        <w:rPr>
          <w:rFonts w:ascii="Times New Roman" w:hAnsi="Times New Roman" w:cs="Times New Roman"/>
          <w:sz w:val="24"/>
          <w:szCs w:val="24"/>
          <w:lang w:val="en-US"/>
        </w:rPr>
        <w:t>,</w:t>
      </w:r>
      <w:r w:rsidR="00625886" w:rsidRPr="00A50B28">
        <w:rPr>
          <w:rFonts w:ascii="Times New Roman" w:hAnsi="Times New Roman" w:cs="Times New Roman"/>
          <w:sz w:val="24"/>
          <w:szCs w:val="24"/>
          <w:lang w:val="en-US"/>
        </w:rPr>
        <w:t xml:space="preserve"> and thus bias the </w:t>
      </w:r>
      <w:r w:rsidR="00E5278D">
        <w:rPr>
          <w:rFonts w:ascii="Times New Roman" w:hAnsi="Times New Roman" w:cs="Times New Roman"/>
          <w:sz w:val="24"/>
          <w:szCs w:val="24"/>
          <w:lang w:val="en-US"/>
        </w:rPr>
        <w:t xml:space="preserve">trial </w:t>
      </w:r>
      <w:r w:rsidR="00625886" w:rsidRPr="00A50B28">
        <w:rPr>
          <w:rFonts w:ascii="Times New Roman" w:hAnsi="Times New Roman" w:cs="Times New Roman"/>
          <w:sz w:val="24"/>
          <w:szCs w:val="24"/>
          <w:lang w:val="en-US"/>
        </w:rPr>
        <w:t>results towards concluding non</w:t>
      </w:r>
      <w:r w:rsidR="00450F67" w:rsidRPr="00A50B28">
        <w:rPr>
          <w:rFonts w:ascii="Times New Roman" w:hAnsi="Times New Roman" w:cs="Times New Roman"/>
          <w:sz w:val="24"/>
          <w:szCs w:val="24"/>
          <w:lang w:val="en-US"/>
        </w:rPr>
        <w:t>-</w:t>
      </w:r>
      <w:r w:rsidR="007E0521">
        <w:rPr>
          <w:rFonts w:ascii="Times New Roman" w:hAnsi="Times New Roman" w:cs="Times New Roman"/>
          <w:sz w:val="24"/>
          <w:szCs w:val="24"/>
          <w:lang w:val="en-US"/>
        </w:rPr>
        <w:t>inferiority</w:t>
      </w:r>
    </w:p>
    <w:p w14:paraId="418E544E" w14:textId="7F00ED10" w:rsidR="00507A22" w:rsidRPr="005D5F60" w:rsidRDefault="00507A22" w:rsidP="00375B02">
      <w:pPr>
        <w:pStyle w:val="BulletLast"/>
        <w:numPr>
          <w:ilvl w:val="0"/>
          <w:numId w:val="3"/>
        </w:numPr>
        <w:ind w:left="720"/>
      </w:pPr>
      <w:r>
        <w:t xml:space="preserve">use of an intention-to-treat (ITT) analysis was inappropriate for a non-inferiority trial design and </w:t>
      </w:r>
      <w:r w:rsidR="00142B30">
        <w:t xml:space="preserve">also </w:t>
      </w:r>
      <w:r>
        <w:t>biased the results towards concluding non-inferiority</w:t>
      </w:r>
      <w:r w:rsidR="00142B30">
        <w:t>.</w:t>
      </w:r>
    </w:p>
    <w:p w14:paraId="1F8AD8AF" w14:textId="3EEF4500" w:rsidR="00A829F5" w:rsidRPr="00E2362C" w:rsidRDefault="00CA3907" w:rsidP="00E2362C">
      <w:pPr>
        <w:spacing w:after="240"/>
      </w:pPr>
      <w:r>
        <w:rPr>
          <w:lang w:val="en-US"/>
        </w:rPr>
        <w:t>MSAC also noted new evidence from a</w:t>
      </w:r>
      <w:r w:rsidR="00A829F5">
        <w:rPr>
          <w:lang w:val="en-US"/>
        </w:rPr>
        <w:t xml:space="preserve"> subsequent </w:t>
      </w:r>
      <w:r>
        <w:rPr>
          <w:lang w:val="en-US"/>
        </w:rPr>
        <w:t>analysis of the T</w:t>
      </w:r>
      <w:r w:rsidR="00CB051E">
        <w:rPr>
          <w:lang w:val="en-US"/>
        </w:rPr>
        <w:t xml:space="preserve">AILORx </w:t>
      </w:r>
      <w:r w:rsidR="00567001">
        <w:t>trial</w:t>
      </w:r>
      <w:r w:rsidR="00CB051E">
        <w:rPr>
          <w:lang w:val="en-US"/>
        </w:rPr>
        <w:t xml:space="preserve"> by Sparano et al. </w:t>
      </w:r>
      <w:r w:rsidR="0080434D">
        <w:rPr>
          <w:lang w:val="en-US"/>
        </w:rPr>
        <w:t>(</w:t>
      </w:r>
      <w:r>
        <w:rPr>
          <w:lang w:val="en-US"/>
        </w:rPr>
        <w:t>NEJM, 2019</w:t>
      </w:r>
      <w:r w:rsidR="0080434D">
        <w:rPr>
          <w:lang w:val="en-US"/>
        </w:rPr>
        <w:t>)</w:t>
      </w:r>
      <w:r>
        <w:rPr>
          <w:lang w:val="en-US"/>
        </w:rPr>
        <w:t xml:space="preserve"> investigating whether combining </w:t>
      </w:r>
      <w:r w:rsidR="00B95AE3">
        <w:rPr>
          <w:lang w:val="en-US"/>
        </w:rPr>
        <w:t xml:space="preserve">a further assessment of </w:t>
      </w:r>
      <w:r w:rsidR="003A221F">
        <w:rPr>
          <w:lang w:val="en-US"/>
        </w:rPr>
        <w:t>“</w:t>
      </w:r>
      <w:r>
        <w:rPr>
          <w:lang w:val="en-US"/>
        </w:rPr>
        <w:t>clinical risk</w:t>
      </w:r>
      <w:r w:rsidR="003A221F">
        <w:rPr>
          <w:lang w:val="en-US"/>
        </w:rPr>
        <w:t>”</w:t>
      </w:r>
      <w:r>
        <w:rPr>
          <w:lang w:val="en-US"/>
        </w:rPr>
        <w:t xml:space="preserve"> </w:t>
      </w:r>
      <w:r w:rsidR="00B95AE3">
        <w:rPr>
          <w:lang w:val="en-US"/>
        </w:rPr>
        <w:t xml:space="preserve">with </w:t>
      </w:r>
      <w:r>
        <w:rPr>
          <w:lang w:val="en-US"/>
        </w:rPr>
        <w:t xml:space="preserve">RS has </w:t>
      </w:r>
      <w:r w:rsidR="00B95AE3">
        <w:rPr>
          <w:lang w:val="en-US"/>
        </w:rPr>
        <w:t xml:space="preserve">further </w:t>
      </w:r>
      <w:r>
        <w:rPr>
          <w:lang w:val="en-US"/>
        </w:rPr>
        <w:t>prognostic value</w:t>
      </w:r>
      <w:r w:rsidR="00B95AE3">
        <w:rPr>
          <w:lang w:val="en-US"/>
        </w:rPr>
        <w:t xml:space="preserve"> beyond RS alone</w:t>
      </w:r>
      <w:r>
        <w:rPr>
          <w:lang w:val="en-US"/>
        </w:rPr>
        <w:t xml:space="preserve">. </w:t>
      </w:r>
      <w:r w:rsidR="003A221F">
        <w:rPr>
          <w:lang w:val="en-US"/>
        </w:rPr>
        <w:t>“</w:t>
      </w:r>
      <w:r w:rsidR="00A829F5">
        <w:t xml:space="preserve">Clinical </w:t>
      </w:r>
      <w:r w:rsidRPr="006B56E8">
        <w:t>risk</w:t>
      </w:r>
      <w:r w:rsidR="003A221F">
        <w:t>”</w:t>
      </w:r>
      <w:r w:rsidRPr="006B56E8">
        <w:t xml:space="preserve"> of breast cancer recurrence </w:t>
      </w:r>
      <w:r>
        <w:t xml:space="preserve">was classified </w:t>
      </w:r>
      <w:r w:rsidRPr="006B56E8">
        <w:t xml:space="preserve">as </w:t>
      </w:r>
      <w:r w:rsidR="003A221F">
        <w:t>“</w:t>
      </w:r>
      <w:r w:rsidRPr="006B56E8">
        <w:t>low</w:t>
      </w:r>
      <w:r w:rsidR="003A221F">
        <w:t>”</w:t>
      </w:r>
      <w:r w:rsidRPr="006B56E8">
        <w:t xml:space="preserve"> or </w:t>
      </w:r>
      <w:r w:rsidR="003A221F">
        <w:t>“</w:t>
      </w:r>
      <w:r w:rsidRPr="006B56E8">
        <w:t>high</w:t>
      </w:r>
      <w:r w:rsidR="003A221F">
        <w:t>”</w:t>
      </w:r>
      <w:r w:rsidRPr="006B56E8">
        <w:t xml:space="preserve"> </w:t>
      </w:r>
      <w:r>
        <w:t>based on</w:t>
      </w:r>
      <w:r w:rsidRPr="006B56E8">
        <w:t xml:space="preserve"> tumo</w:t>
      </w:r>
      <w:r>
        <w:t>u</w:t>
      </w:r>
      <w:r w:rsidRPr="006B56E8">
        <w:t>r size and histologic grade</w:t>
      </w:r>
      <w:r>
        <w:t xml:space="preserve">. </w:t>
      </w:r>
      <w:r w:rsidR="003A221F">
        <w:t>“</w:t>
      </w:r>
      <w:r>
        <w:t>Clinical risk</w:t>
      </w:r>
      <w:r w:rsidR="003A221F">
        <w:t>”</w:t>
      </w:r>
      <w:r>
        <w:t xml:space="preserve"> was generally prognostic of distant recurrence</w:t>
      </w:r>
      <w:r w:rsidR="009C7285">
        <w:t xml:space="preserve"> in women with an intermediate RS of 11-25</w:t>
      </w:r>
      <w:r>
        <w:t xml:space="preserve">. In women under 50 years of age receiving endocrine therapy alone, the risk of distant recurrence at 9 years was </w:t>
      </w:r>
      <w:r w:rsidR="00D344CD">
        <w:t xml:space="preserve">less than </w:t>
      </w:r>
      <w:r w:rsidR="009C7285">
        <w:t>2</w:t>
      </w:r>
      <w:r>
        <w:t xml:space="preserve">% for women with a low RS </w:t>
      </w:r>
      <w:r w:rsidR="009C7285">
        <w:t xml:space="preserve">of 0-10 </w:t>
      </w:r>
      <w:r>
        <w:t xml:space="preserve">(irrespective of </w:t>
      </w:r>
      <w:r w:rsidR="003A221F">
        <w:t>“</w:t>
      </w:r>
      <w:r>
        <w:t>clinical risk</w:t>
      </w:r>
      <w:r w:rsidR="003A221F">
        <w:t>”</w:t>
      </w:r>
      <w:r>
        <w:t xml:space="preserve">) and </w:t>
      </w:r>
      <w:r w:rsidR="009C7285">
        <w:t>a</w:t>
      </w:r>
      <w:r w:rsidR="00B148F5">
        <w:t>round</w:t>
      </w:r>
      <w:r w:rsidR="009C7285">
        <w:t xml:space="preserve"> 5% </w:t>
      </w:r>
      <w:r w:rsidR="00B95AE3">
        <w:t xml:space="preserve">for </w:t>
      </w:r>
      <w:r>
        <w:t xml:space="preserve">women with an intermediate RS </w:t>
      </w:r>
      <w:r w:rsidR="00B72A62">
        <w:t xml:space="preserve">of 11-25 </w:t>
      </w:r>
      <w:r>
        <w:t xml:space="preserve">and </w:t>
      </w:r>
      <w:r w:rsidR="003A221F">
        <w:t>“</w:t>
      </w:r>
      <w:r>
        <w:t>low clinical risk</w:t>
      </w:r>
      <w:r w:rsidR="003A221F">
        <w:t>”</w:t>
      </w:r>
      <w:r>
        <w:t>. However, for women under 50</w:t>
      </w:r>
      <w:r w:rsidR="009C7285">
        <w:t> years of age</w:t>
      </w:r>
      <w:r>
        <w:t xml:space="preserve"> with </w:t>
      </w:r>
      <w:r w:rsidR="00B321B5">
        <w:t>an intermediate RS of 11-25</w:t>
      </w:r>
      <w:r w:rsidR="00860B4A">
        <w:t xml:space="preserve"> and “high clinical risk”</w:t>
      </w:r>
      <w:r>
        <w:t xml:space="preserve">, the risk of distant recurrence at 9 years </w:t>
      </w:r>
      <w:r w:rsidR="00B148F5">
        <w:t>was 12</w:t>
      </w:r>
      <w:r w:rsidR="006E29B5">
        <w:t>.3±2.4</w:t>
      </w:r>
      <w:r w:rsidR="00B148F5">
        <w:t xml:space="preserve">% </w:t>
      </w:r>
      <w:r>
        <w:t xml:space="preserve">for women with who received endocrine therapy alone, and </w:t>
      </w:r>
      <w:r w:rsidR="00860B4A">
        <w:t>6</w:t>
      </w:r>
      <w:r w:rsidR="006E29B5">
        <w:t>.1±1.8</w:t>
      </w:r>
      <w:r>
        <w:t>% for women who received chemo</w:t>
      </w:r>
      <w:r w:rsidR="00A829F5">
        <w:t xml:space="preserve">therapy plus </w:t>
      </w:r>
      <w:r>
        <w:t xml:space="preserve">endocrine therapy. MSAC therefore concluded </w:t>
      </w:r>
      <w:r>
        <w:rPr>
          <w:lang w:val="en-US"/>
        </w:rPr>
        <w:t>that for some women under 50 years of age</w:t>
      </w:r>
      <w:r w:rsidR="009C7285">
        <w:rPr>
          <w:lang w:val="en-US"/>
        </w:rPr>
        <w:t xml:space="preserve"> and an intermediate RS of 11-25</w:t>
      </w:r>
      <w:r>
        <w:rPr>
          <w:lang w:val="en-US"/>
        </w:rPr>
        <w:t xml:space="preserve">, withholding chemotherapy </w:t>
      </w:r>
      <w:r w:rsidR="00A829F5">
        <w:rPr>
          <w:lang w:val="en-US"/>
        </w:rPr>
        <w:t xml:space="preserve">is more likely to result in </w:t>
      </w:r>
      <w:r w:rsidR="00B148F5">
        <w:rPr>
          <w:lang w:val="en-US"/>
        </w:rPr>
        <w:t xml:space="preserve">an important worsening of </w:t>
      </w:r>
      <w:r w:rsidR="00A829F5">
        <w:rPr>
          <w:lang w:val="en-US"/>
        </w:rPr>
        <w:t>cancer outcomes</w:t>
      </w:r>
      <w:r>
        <w:rPr>
          <w:lang w:val="en-US"/>
        </w:rPr>
        <w:t>.</w:t>
      </w:r>
    </w:p>
    <w:p w14:paraId="551B2AC7" w14:textId="20C5FFD1" w:rsidR="00116F26" w:rsidRDefault="002059AA" w:rsidP="00E2362C">
      <w:pPr>
        <w:spacing w:after="240"/>
      </w:pPr>
      <w:r>
        <w:rPr>
          <w:rFonts w:cs="Arial"/>
        </w:rPr>
        <w:lastRenderedPageBreak/>
        <w:t xml:space="preserve">Overall, </w:t>
      </w:r>
      <w:r w:rsidR="00116F26" w:rsidRPr="00472040">
        <w:rPr>
          <w:rFonts w:cs="Arial"/>
        </w:rPr>
        <w:t xml:space="preserve">MSAC </w:t>
      </w:r>
      <w:r w:rsidR="00116F26">
        <w:rPr>
          <w:rFonts w:cs="Arial"/>
        </w:rPr>
        <w:t>concluded</w:t>
      </w:r>
      <w:r w:rsidR="00116F26" w:rsidRPr="00472040">
        <w:rPr>
          <w:rFonts w:cs="Arial"/>
        </w:rPr>
        <w:t xml:space="preserve"> that non-inferiority and clinical utility of </w:t>
      </w:r>
      <w:r w:rsidR="00116F26" w:rsidRPr="00472040">
        <w:rPr>
          <w:lang w:val="en-US"/>
        </w:rPr>
        <w:t>Oncotype</w:t>
      </w:r>
      <w:r w:rsidR="00116F26">
        <w:rPr>
          <w:lang w:val="en-US"/>
        </w:rPr>
        <w:t> </w:t>
      </w:r>
      <w:r w:rsidR="00116F26" w:rsidRPr="00472040">
        <w:rPr>
          <w:lang w:val="en-US"/>
        </w:rPr>
        <w:t>D</w:t>
      </w:r>
      <w:r w:rsidR="00E87685" w:rsidRPr="00472040">
        <w:rPr>
          <w:lang w:val="en-US"/>
        </w:rPr>
        <w:t>X</w:t>
      </w:r>
      <w:r w:rsidR="00116F26">
        <w:rPr>
          <w:lang w:val="en-US"/>
        </w:rPr>
        <w:t xml:space="preserve"> testing</w:t>
      </w:r>
      <w:r w:rsidR="00C61CB7">
        <w:rPr>
          <w:rFonts w:cs="Arial"/>
        </w:rPr>
        <w:t xml:space="preserve"> </w:t>
      </w:r>
      <w:r w:rsidR="00116F26" w:rsidRPr="00472040">
        <w:rPr>
          <w:rFonts w:cs="Arial"/>
        </w:rPr>
        <w:t>were not demonstrated</w:t>
      </w:r>
      <w:r w:rsidR="00116F26">
        <w:rPr>
          <w:rFonts w:cs="Arial"/>
        </w:rPr>
        <w:t xml:space="preserve"> </w:t>
      </w:r>
      <w:r w:rsidR="00676DDB">
        <w:rPr>
          <w:rFonts w:cs="Arial"/>
        </w:rPr>
        <w:t>for the “chemotherapy sparing” group</w:t>
      </w:r>
      <w:r w:rsidR="00116F26" w:rsidRPr="00974921">
        <w:t>.</w:t>
      </w:r>
      <w:r w:rsidR="00116F26" w:rsidRPr="00EB119F">
        <w:rPr>
          <w:rFonts w:cs="Arial"/>
        </w:rPr>
        <w:t xml:space="preserve"> </w:t>
      </w:r>
      <w:r w:rsidR="00116F26">
        <w:rPr>
          <w:rFonts w:cs="Arial"/>
        </w:rPr>
        <w:t xml:space="preserve">MSAC accepted that, for most patients, </w:t>
      </w:r>
      <w:r w:rsidR="00450F67">
        <w:rPr>
          <w:rFonts w:cs="Arial"/>
        </w:rPr>
        <w:t xml:space="preserve">relying on the results of </w:t>
      </w:r>
      <w:r w:rsidR="00116F26" w:rsidRPr="00472040">
        <w:rPr>
          <w:lang w:val="en-US"/>
        </w:rPr>
        <w:t>Oncotype</w:t>
      </w:r>
      <w:r w:rsidR="00116F26">
        <w:rPr>
          <w:lang w:val="en-US"/>
        </w:rPr>
        <w:t> </w:t>
      </w:r>
      <w:r w:rsidR="00116F26" w:rsidRPr="00472040">
        <w:rPr>
          <w:lang w:val="en-US"/>
        </w:rPr>
        <w:t>D</w:t>
      </w:r>
      <w:r w:rsidR="00A42656" w:rsidRPr="00472040">
        <w:rPr>
          <w:lang w:val="en-US"/>
        </w:rPr>
        <w:t>X</w:t>
      </w:r>
      <w:r w:rsidR="00116F26">
        <w:rPr>
          <w:lang w:val="en-US"/>
        </w:rPr>
        <w:t xml:space="preserve"> testing </w:t>
      </w:r>
      <w:r w:rsidR="00450F67">
        <w:rPr>
          <w:lang w:val="en-US"/>
        </w:rPr>
        <w:t xml:space="preserve">to </w:t>
      </w:r>
      <w:r w:rsidR="00676DDB">
        <w:rPr>
          <w:lang w:val="en-US"/>
        </w:rPr>
        <w:t xml:space="preserve">spare the addition of chemotherapy </w:t>
      </w:r>
      <w:r w:rsidR="00116F26">
        <w:rPr>
          <w:lang w:val="en-US"/>
        </w:rPr>
        <w:t xml:space="preserve">does not appear to cause harm, but </w:t>
      </w:r>
      <w:r w:rsidR="00676DDB">
        <w:rPr>
          <w:lang w:val="en-US"/>
        </w:rPr>
        <w:t xml:space="preserve">for an important minority, </w:t>
      </w:r>
      <w:r w:rsidR="00381018">
        <w:rPr>
          <w:lang w:val="en-US"/>
        </w:rPr>
        <w:t>this</w:t>
      </w:r>
      <w:r w:rsidR="00116F26">
        <w:rPr>
          <w:lang w:val="en-US"/>
        </w:rPr>
        <w:t xml:space="preserve"> </w:t>
      </w:r>
      <w:r w:rsidR="00CE324C">
        <w:rPr>
          <w:lang w:val="en-US"/>
        </w:rPr>
        <w:t>c</w:t>
      </w:r>
      <w:r w:rsidR="00676DDB">
        <w:rPr>
          <w:lang w:val="en-US"/>
        </w:rPr>
        <w:t>ould result in poorer cancer outcomes</w:t>
      </w:r>
      <w:r w:rsidR="00116F26">
        <w:rPr>
          <w:lang w:val="en-US"/>
        </w:rPr>
        <w:t>.</w:t>
      </w:r>
      <w:r w:rsidR="00676DDB">
        <w:rPr>
          <w:lang w:val="en-US"/>
        </w:rPr>
        <w:t xml:space="preserve"> </w:t>
      </w:r>
      <w:r w:rsidR="00050D9E">
        <w:rPr>
          <w:lang w:val="en-US"/>
        </w:rPr>
        <w:t>Further</w:t>
      </w:r>
      <w:r w:rsidR="00676DDB" w:rsidRPr="00974921">
        <w:t xml:space="preserve">, </w:t>
      </w:r>
      <w:r w:rsidR="0006188F">
        <w:t xml:space="preserve">the </w:t>
      </w:r>
      <w:r w:rsidR="00AA3056">
        <w:t xml:space="preserve">modelled </w:t>
      </w:r>
      <w:r w:rsidR="0006188F">
        <w:t xml:space="preserve">economic </w:t>
      </w:r>
      <w:r w:rsidR="00AA3056">
        <w:t>evaluation</w:t>
      </w:r>
      <w:r w:rsidR="0006188F">
        <w:t xml:space="preserve"> relied on the assumption </w:t>
      </w:r>
      <w:r w:rsidR="00676DDB" w:rsidRPr="00974921">
        <w:t xml:space="preserve">that </w:t>
      </w:r>
      <w:r w:rsidR="00676DDB" w:rsidRPr="00974921">
        <w:rPr>
          <w:lang w:val="en-US"/>
        </w:rPr>
        <w:t>Oncotype</w:t>
      </w:r>
      <w:r w:rsidR="00676DDB">
        <w:rPr>
          <w:lang w:val="en-US"/>
        </w:rPr>
        <w:t> </w:t>
      </w:r>
      <w:r w:rsidR="00676DDB" w:rsidRPr="00974921">
        <w:rPr>
          <w:lang w:val="en-US"/>
        </w:rPr>
        <w:t>D</w:t>
      </w:r>
      <w:r w:rsidR="00A42656" w:rsidRPr="00974921">
        <w:rPr>
          <w:lang w:val="en-US"/>
        </w:rPr>
        <w:t>X</w:t>
      </w:r>
      <w:r w:rsidR="00676DDB" w:rsidRPr="00974921">
        <w:t xml:space="preserve"> </w:t>
      </w:r>
      <w:r w:rsidR="00676DDB">
        <w:t xml:space="preserve">testing </w:t>
      </w:r>
      <w:r w:rsidR="00676DDB" w:rsidRPr="00974921">
        <w:t>w</w:t>
      </w:r>
      <w:r w:rsidR="00676DDB">
        <w:t>ould</w:t>
      </w:r>
      <w:r w:rsidR="00676DDB" w:rsidRPr="00974921">
        <w:t xml:space="preserve"> lead to </w:t>
      </w:r>
      <w:r w:rsidR="0006188F">
        <w:t>a marked</w:t>
      </w:r>
      <w:r w:rsidR="00050D9E">
        <w:t xml:space="preserve"> </w:t>
      </w:r>
      <w:r w:rsidR="00676DDB" w:rsidRPr="00974921">
        <w:t xml:space="preserve">reduction in use of chemotherapy in those </w:t>
      </w:r>
      <w:r w:rsidR="00050D9E">
        <w:t xml:space="preserve">patients </w:t>
      </w:r>
      <w:r w:rsidR="00676DDB" w:rsidRPr="00974921">
        <w:t>who</w:t>
      </w:r>
      <w:r w:rsidR="00050D9E">
        <w:t>se RS is less than 26.</w:t>
      </w:r>
      <w:r w:rsidR="008D51F2">
        <w:t xml:space="preserve"> Th</w:t>
      </w:r>
      <w:r w:rsidR="0006188F">
        <w:t xml:space="preserve">e validity of this assumption was not supported by the TAILORx </w:t>
      </w:r>
      <w:r w:rsidR="00567001">
        <w:t>trial</w:t>
      </w:r>
      <w:r w:rsidR="0006188F">
        <w:t xml:space="preserve"> which showed </w:t>
      </w:r>
      <w:r w:rsidR="008D51F2">
        <w:t xml:space="preserve">a high and differential loss to follow up and a high rate of non-adherence to </w:t>
      </w:r>
      <w:r w:rsidR="00CE324C">
        <w:t xml:space="preserve">recommendations based on </w:t>
      </w:r>
      <w:r w:rsidR="008D51F2">
        <w:t>the test results.</w:t>
      </w:r>
    </w:p>
    <w:p w14:paraId="593230AE" w14:textId="5688E4E6" w:rsidR="00A829F5" w:rsidRDefault="00CA3907" w:rsidP="00CA3907">
      <w:pPr>
        <w:rPr>
          <w:rFonts w:cs="Arial"/>
        </w:rPr>
      </w:pPr>
      <w:r>
        <w:rPr>
          <w:rFonts w:cs="Arial"/>
        </w:rPr>
        <w:t xml:space="preserve">MSAC </w:t>
      </w:r>
      <w:r w:rsidR="002059AA">
        <w:rPr>
          <w:rFonts w:cs="Arial"/>
        </w:rPr>
        <w:t xml:space="preserve">then </w:t>
      </w:r>
      <w:r>
        <w:rPr>
          <w:rFonts w:cs="Arial"/>
        </w:rPr>
        <w:t>noted that re</w:t>
      </w:r>
      <w:r w:rsidR="004419A7">
        <w:rPr>
          <w:rFonts w:cs="Arial"/>
        </w:rPr>
        <w:t>-</w:t>
      </w:r>
      <w:r>
        <w:rPr>
          <w:rFonts w:cs="Arial"/>
        </w:rPr>
        <w:t>analys</w:t>
      </w:r>
      <w:r w:rsidR="006E3EBC">
        <w:rPr>
          <w:rFonts w:cs="Arial"/>
        </w:rPr>
        <w:t>e</w:t>
      </w:r>
      <w:r>
        <w:rPr>
          <w:rFonts w:cs="Arial"/>
        </w:rPr>
        <w:t xml:space="preserve">s of data </w:t>
      </w:r>
      <w:r w:rsidR="00CB051E">
        <w:rPr>
          <w:rFonts w:cs="Arial"/>
        </w:rPr>
        <w:t>reported by Geyer et </w:t>
      </w:r>
      <w:r w:rsidR="00CB3E7F">
        <w:rPr>
          <w:rFonts w:cs="Arial"/>
        </w:rPr>
        <w:t>al.</w:t>
      </w:r>
      <w:r w:rsidR="00CB051E">
        <w:rPr>
          <w:rFonts w:cs="Arial"/>
        </w:rPr>
        <w:t xml:space="preserve"> </w:t>
      </w:r>
      <w:r w:rsidR="0080434D">
        <w:rPr>
          <w:rFonts w:cs="Arial"/>
        </w:rPr>
        <w:t>(</w:t>
      </w:r>
      <w:r w:rsidR="00E73958">
        <w:rPr>
          <w:rFonts w:cs="Arial"/>
        </w:rPr>
        <w:t xml:space="preserve">NPJ </w:t>
      </w:r>
      <w:r w:rsidR="00CB3E7F">
        <w:rPr>
          <w:rFonts w:cs="Arial"/>
        </w:rPr>
        <w:t xml:space="preserve">Breast Cancer, </w:t>
      </w:r>
      <w:r w:rsidR="00E73958">
        <w:rPr>
          <w:rFonts w:cs="Arial"/>
        </w:rPr>
        <w:t>2018</w:t>
      </w:r>
      <w:r w:rsidR="0080434D">
        <w:rPr>
          <w:rFonts w:cs="Arial"/>
        </w:rPr>
        <w:t>)</w:t>
      </w:r>
      <w:r w:rsidR="00CB3E7F">
        <w:rPr>
          <w:rFonts w:cs="Arial"/>
        </w:rPr>
        <w:t xml:space="preserve"> </w:t>
      </w:r>
      <w:r>
        <w:rPr>
          <w:rFonts w:cs="Arial"/>
        </w:rPr>
        <w:t xml:space="preserve">from the NSABP B-20 </w:t>
      </w:r>
      <w:r w:rsidR="00E5278D">
        <w:rPr>
          <w:rFonts w:cs="Arial"/>
        </w:rPr>
        <w:t>study</w:t>
      </w:r>
      <w:r>
        <w:rPr>
          <w:rFonts w:cs="Arial"/>
        </w:rPr>
        <w:t xml:space="preserve"> w</w:t>
      </w:r>
      <w:r w:rsidR="006E3EBC">
        <w:rPr>
          <w:rFonts w:cs="Arial"/>
        </w:rPr>
        <w:t>ere</w:t>
      </w:r>
      <w:r>
        <w:rPr>
          <w:rFonts w:cs="Arial"/>
        </w:rPr>
        <w:t xml:space="preserve"> presented as evidence to support </w:t>
      </w:r>
      <w:r>
        <w:t xml:space="preserve">Oncotype DX testing </w:t>
      </w:r>
      <w:r w:rsidR="006E3EBC">
        <w:t xml:space="preserve">using the revised RS threshold </w:t>
      </w:r>
      <w:r>
        <w:t xml:space="preserve">to identify </w:t>
      </w:r>
      <w:r w:rsidR="00E46670">
        <w:t xml:space="preserve">cancer outcome improvements for </w:t>
      </w:r>
      <w:r>
        <w:t xml:space="preserve">patients in the </w:t>
      </w:r>
      <w:r w:rsidR="006E3EBC">
        <w:t>“</w:t>
      </w:r>
      <w:r w:rsidRPr="009B0EDC">
        <w:rPr>
          <w:bCs/>
        </w:rPr>
        <w:t xml:space="preserve">chemotherapy </w:t>
      </w:r>
      <w:r>
        <w:rPr>
          <w:bCs/>
        </w:rPr>
        <w:t>indicat</w:t>
      </w:r>
      <w:r w:rsidRPr="009B0EDC">
        <w:rPr>
          <w:bCs/>
        </w:rPr>
        <w:t>ing</w:t>
      </w:r>
      <w:r w:rsidR="006E3EBC">
        <w:rPr>
          <w:bCs/>
        </w:rPr>
        <w:t>”</w:t>
      </w:r>
      <w:r>
        <w:rPr>
          <w:bCs/>
        </w:rPr>
        <w:t xml:space="preserve"> group, </w:t>
      </w:r>
      <w:r w:rsidR="006E3EBC">
        <w:rPr>
          <w:bCs/>
        </w:rPr>
        <w:t>including a re</w:t>
      </w:r>
      <w:r w:rsidR="004419A7">
        <w:rPr>
          <w:bCs/>
        </w:rPr>
        <w:t>-</w:t>
      </w:r>
      <w:r w:rsidR="006E3EBC">
        <w:rPr>
          <w:bCs/>
        </w:rPr>
        <w:t xml:space="preserve">analysis that also excluded </w:t>
      </w:r>
      <w:r>
        <w:rPr>
          <w:bCs/>
        </w:rPr>
        <w:t xml:space="preserve">those </w:t>
      </w:r>
      <w:r w:rsidR="006E3EBC">
        <w:rPr>
          <w:bCs/>
        </w:rPr>
        <w:t xml:space="preserve">women </w:t>
      </w:r>
      <w:r>
        <w:rPr>
          <w:bCs/>
        </w:rPr>
        <w:t xml:space="preserve">who </w:t>
      </w:r>
      <w:r w:rsidR="006E3EBC">
        <w:rPr>
          <w:bCs/>
        </w:rPr>
        <w:t>we</w:t>
      </w:r>
      <w:r>
        <w:rPr>
          <w:bCs/>
        </w:rPr>
        <w:t xml:space="preserve">re </w:t>
      </w:r>
      <w:r w:rsidRPr="009939FA">
        <w:rPr>
          <w:bCs/>
          <w:i/>
        </w:rPr>
        <w:t>HER</w:t>
      </w:r>
      <w:r>
        <w:rPr>
          <w:bCs/>
        </w:rPr>
        <w:t>-</w:t>
      </w:r>
      <w:r w:rsidR="006E3EBC">
        <w:rPr>
          <w:bCs/>
        </w:rPr>
        <w:t>posi</w:t>
      </w:r>
      <w:r>
        <w:rPr>
          <w:bCs/>
        </w:rPr>
        <w:t xml:space="preserve">tive. </w:t>
      </w:r>
      <w:r w:rsidR="00CB3E7F">
        <w:rPr>
          <w:bCs/>
        </w:rPr>
        <w:t xml:space="preserve">Although more closely aligning with the </w:t>
      </w:r>
      <w:r w:rsidR="00116F26">
        <w:rPr>
          <w:bCs/>
        </w:rPr>
        <w:t>revised</w:t>
      </w:r>
      <w:r w:rsidR="00CB3E7F">
        <w:rPr>
          <w:bCs/>
        </w:rPr>
        <w:t xml:space="preserve"> RS threshold and the eligible population</w:t>
      </w:r>
      <w:r w:rsidR="00116F26">
        <w:rPr>
          <w:bCs/>
        </w:rPr>
        <w:t>, MSAC concluded that these retrospective re</w:t>
      </w:r>
      <w:r w:rsidR="004419A7">
        <w:rPr>
          <w:bCs/>
        </w:rPr>
        <w:t>-</w:t>
      </w:r>
      <w:r w:rsidR="00116F26">
        <w:rPr>
          <w:bCs/>
        </w:rPr>
        <w:t>analyses did not strengthen the evidence previously available to support the claim for Oncotype D</w:t>
      </w:r>
      <w:r w:rsidR="00A42656">
        <w:rPr>
          <w:bCs/>
        </w:rPr>
        <w:t>X</w:t>
      </w:r>
      <w:r w:rsidR="00116F26">
        <w:rPr>
          <w:bCs/>
        </w:rPr>
        <w:t xml:space="preserve"> </w:t>
      </w:r>
      <w:r w:rsidR="00676DDB">
        <w:rPr>
          <w:bCs/>
        </w:rPr>
        <w:t xml:space="preserve">resulting in </w:t>
      </w:r>
      <w:r w:rsidR="00116F26">
        <w:rPr>
          <w:bCs/>
        </w:rPr>
        <w:t xml:space="preserve">superior </w:t>
      </w:r>
      <w:r w:rsidR="00676DDB">
        <w:rPr>
          <w:bCs/>
        </w:rPr>
        <w:t xml:space="preserve">cancer outcomes </w:t>
      </w:r>
      <w:r w:rsidR="00116F26">
        <w:rPr>
          <w:bCs/>
        </w:rPr>
        <w:t>in the “chemotherapy indicating” group.</w:t>
      </w:r>
    </w:p>
    <w:p w14:paraId="209A472C" w14:textId="1391145D" w:rsidR="00A829F5" w:rsidRDefault="00CA3907" w:rsidP="00E2362C">
      <w:pPr>
        <w:spacing w:before="240" w:after="240"/>
      </w:pPr>
      <w:r>
        <w:t xml:space="preserve">MSAC </w:t>
      </w:r>
      <w:r w:rsidRPr="00257501">
        <w:rPr>
          <w:rFonts w:cs="Arial"/>
        </w:rPr>
        <w:t>considered</w:t>
      </w:r>
      <w:r>
        <w:t xml:space="preserve"> the </w:t>
      </w:r>
      <w:r w:rsidR="00AA3056">
        <w:t xml:space="preserve">modelled </w:t>
      </w:r>
      <w:r>
        <w:t xml:space="preserve">economic </w:t>
      </w:r>
      <w:r w:rsidR="00AA3056">
        <w:t>evaluation</w:t>
      </w:r>
      <w:r>
        <w:t xml:space="preserve"> to be </w:t>
      </w:r>
      <w:r w:rsidR="00B5156B">
        <w:t>unreliable</w:t>
      </w:r>
      <w:r w:rsidRPr="00257501">
        <w:t xml:space="preserve"> </w:t>
      </w:r>
      <w:r>
        <w:t xml:space="preserve">and highly favourable to </w:t>
      </w:r>
      <w:r w:rsidRPr="00472040">
        <w:rPr>
          <w:lang w:val="en-US"/>
        </w:rPr>
        <w:t>Oncotype</w:t>
      </w:r>
      <w:r>
        <w:rPr>
          <w:lang w:val="en-US"/>
        </w:rPr>
        <w:t> </w:t>
      </w:r>
      <w:r w:rsidRPr="00472040">
        <w:rPr>
          <w:lang w:val="en-US"/>
        </w:rPr>
        <w:t>D</w:t>
      </w:r>
      <w:r w:rsidR="00A42656" w:rsidRPr="00472040">
        <w:rPr>
          <w:lang w:val="en-US"/>
        </w:rPr>
        <w:t>X</w:t>
      </w:r>
      <w:r>
        <w:rPr>
          <w:lang w:val="en-US"/>
        </w:rPr>
        <w:t xml:space="preserve">. MSAC </w:t>
      </w:r>
      <w:r>
        <w:t xml:space="preserve">concluded that </w:t>
      </w:r>
      <w:r>
        <w:rPr>
          <w:lang w:val="en-US"/>
        </w:rPr>
        <w:t>cost-effectiveness is</w:t>
      </w:r>
      <w:r w:rsidR="00676DDB">
        <w:t xml:space="preserve"> uncertain.</w:t>
      </w:r>
    </w:p>
    <w:p w14:paraId="05767FEF" w14:textId="39525C8B" w:rsidR="00CA3907" w:rsidRDefault="00CA3907" w:rsidP="00CA3907">
      <w:pPr>
        <w:pStyle w:val="NormalBeforeBullet"/>
      </w:pPr>
      <w:r>
        <w:t xml:space="preserve">MSAC noted that the drivers of the </w:t>
      </w:r>
      <w:r w:rsidR="00AA3056">
        <w:t xml:space="preserve">modelled </w:t>
      </w:r>
      <w:r>
        <w:t xml:space="preserve">economic </w:t>
      </w:r>
      <w:r w:rsidR="00AA3056">
        <w:t>evaluation</w:t>
      </w:r>
      <w:r>
        <w:t xml:space="preserve"> </w:t>
      </w:r>
      <w:r w:rsidR="00A829F5">
        <w:t>we</w:t>
      </w:r>
      <w:r>
        <w:t>re:</w:t>
      </w:r>
    </w:p>
    <w:p w14:paraId="7680DC0F" w14:textId="77777777" w:rsidR="00CD2966" w:rsidRPr="00A829F5" w:rsidRDefault="00CD2966" w:rsidP="00375B02">
      <w:pPr>
        <w:pStyle w:val="Bullet"/>
        <w:numPr>
          <w:ilvl w:val="0"/>
          <w:numId w:val="3"/>
        </w:numPr>
        <w:spacing w:after="120" w:line="240" w:lineRule="auto"/>
        <w:ind w:left="714" w:hanging="357"/>
        <w:rPr>
          <w:rFonts w:ascii="Times New Roman" w:hAnsi="Times New Roman" w:cs="Times New Roman"/>
          <w:i/>
          <w:sz w:val="24"/>
          <w:szCs w:val="24"/>
        </w:rPr>
      </w:pPr>
      <w:r w:rsidRPr="00A829F5">
        <w:rPr>
          <w:rFonts w:ascii="Times New Roman" w:hAnsi="Times New Roman" w:cs="Times New Roman"/>
          <w:i/>
          <w:sz w:val="24"/>
          <w:szCs w:val="24"/>
        </w:rPr>
        <w:t>the proportion</w:t>
      </w:r>
      <w:r>
        <w:rPr>
          <w:rFonts w:ascii="Times New Roman" w:hAnsi="Times New Roman" w:cs="Times New Roman"/>
          <w:i/>
          <w:sz w:val="24"/>
          <w:szCs w:val="24"/>
        </w:rPr>
        <w:t>s</w:t>
      </w:r>
      <w:r w:rsidRPr="00A829F5">
        <w:rPr>
          <w:rFonts w:ascii="Times New Roman" w:hAnsi="Times New Roman" w:cs="Times New Roman"/>
          <w:i/>
          <w:sz w:val="24"/>
          <w:szCs w:val="24"/>
        </w:rPr>
        <w:t xml:space="preserve"> of patients in the </w:t>
      </w:r>
      <w:r w:rsidRPr="00740A88">
        <w:rPr>
          <w:rFonts w:ascii="Times New Roman" w:hAnsi="Times New Roman" w:cs="Times New Roman"/>
          <w:i/>
          <w:sz w:val="24"/>
          <w:szCs w:val="24"/>
        </w:rPr>
        <w:t>“chemotherapy indicating”</w:t>
      </w:r>
      <w:r>
        <w:rPr>
          <w:rFonts w:ascii="Times New Roman" w:hAnsi="Times New Roman" w:cs="Times New Roman"/>
          <w:i/>
          <w:sz w:val="24"/>
          <w:szCs w:val="24"/>
        </w:rPr>
        <w:t xml:space="preserve"> component</w:t>
      </w:r>
      <w:r w:rsidRPr="00A829F5">
        <w:rPr>
          <w:rFonts w:ascii="Times New Roman" w:hAnsi="Times New Roman" w:cs="Times New Roman"/>
          <w:i/>
          <w:sz w:val="24"/>
          <w:szCs w:val="24"/>
        </w:rPr>
        <w:t xml:space="preserve"> who get each treatment</w:t>
      </w:r>
    </w:p>
    <w:p w14:paraId="48871626" w14:textId="77777777" w:rsidR="00CD2966" w:rsidRPr="00DF277A" w:rsidRDefault="00CD2966" w:rsidP="00FC1671">
      <w:pPr>
        <w:pStyle w:val="NormalIndent"/>
        <w:spacing w:after="120"/>
        <w:ind w:left="720"/>
        <w:rPr>
          <w:lang w:val="en-US"/>
        </w:rPr>
      </w:pPr>
      <w:r>
        <w:rPr>
          <w:lang w:val="en-US"/>
        </w:rPr>
        <w:t xml:space="preserve">MSAC noted that the major driver of the model was the health benefits that accrue to the </w:t>
      </w:r>
      <w:r w:rsidRPr="00A42656">
        <w:rPr>
          <w:szCs w:val="24"/>
        </w:rPr>
        <w:t>“chemotherapy indicating”</w:t>
      </w:r>
      <w:r>
        <w:rPr>
          <w:szCs w:val="24"/>
        </w:rPr>
        <w:t xml:space="preserve"> component of the model arising in the </w:t>
      </w:r>
      <w:r>
        <w:rPr>
          <w:lang w:val="en-US"/>
        </w:rPr>
        <w:t xml:space="preserve">high-risk group (a greater proportion of whom receive chemotherapy in the Oncotype DX arm); however, the clinical claims for this component of the model were based on the Geyer et al. 2018 retrospective re-analysis of the </w:t>
      </w:r>
      <w:r w:rsidRPr="006F2C2A">
        <w:t>NSABP</w:t>
      </w:r>
      <w:r>
        <w:t> </w:t>
      </w:r>
      <w:r w:rsidRPr="006F2C2A">
        <w:t xml:space="preserve">B-20 </w:t>
      </w:r>
      <w:r>
        <w:t>study</w:t>
      </w:r>
      <w:r>
        <w:rPr>
          <w:lang w:val="en-US"/>
        </w:rPr>
        <w:t>.</w:t>
      </w:r>
    </w:p>
    <w:p w14:paraId="2E16A833" w14:textId="77777777" w:rsidR="00CA3907" w:rsidRPr="00A829F5" w:rsidRDefault="00CA3907" w:rsidP="00375B02">
      <w:pPr>
        <w:pStyle w:val="Bullet"/>
        <w:numPr>
          <w:ilvl w:val="0"/>
          <w:numId w:val="3"/>
        </w:numPr>
        <w:spacing w:after="120" w:line="240" w:lineRule="auto"/>
        <w:ind w:left="720"/>
        <w:rPr>
          <w:rFonts w:ascii="Times New Roman" w:hAnsi="Times New Roman" w:cs="Times New Roman"/>
          <w:i/>
          <w:sz w:val="24"/>
          <w:szCs w:val="24"/>
        </w:rPr>
      </w:pPr>
      <w:r w:rsidRPr="00A829F5">
        <w:rPr>
          <w:rFonts w:ascii="Times New Roman" w:hAnsi="Times New Roman" w:cs="Times New Roman"/>
          <w:i/>
          <w:sz w:val="24"/>
          <w:szCs w:val="24"/>
        </w:rPr>
        <w:t>adherence to Oncotype DX</w:t>
      </w:r>
      <w:r w:rsidRPr="00A829F5">
        <w:rPr>
          <w:rFonts w:ascii="Times New Roman" w:hAnsi="Times New Roman" w:cs="Times New Roman"/>
          <w:i/>
          <w:sz w:val="24"/>
          <w:szCs w:val="24"/>
          <w:lang w:val="en-US"/>
        </w:rPr>
        <w:t xml:space="preserve"> recommendations in</w:t>
      </w:r>
      <w:r w:rsidRPr="00A829F5">
        <w:rPr>
          <w:rFonts w:ascii="Times New Roman" w:hAnsi="Times New Roman" w:cs="Times New Roman"/>
          <w:i/>
          <w:sz w:val="24"/>
          <w:szCs w:val="24"/>
        </w:rPr>
        <w:t xml:space="preserve"> decision-making</w:t>
      </w:r>
    </w:p>
    <w:p w14:paraId="363F8518" w14:textId="42BA9F78" w:rsidR="00CA3907" w:rsidRPr="00A829F5" w:rsidRDefault="00CA3907" w:rsidP="00CA3907">
      <w:pPr>
        <w:pStyle w:val="NormalIndent"/>
        <w:spacing w:after="120"/>
        <w:ind w:left="720"/>
        <w:rPr>
          <w:szCs w:val="24"/>
          <w:highlight w:val="yellow"/>
        </w:rPr>
      </w:pPr>
      <w:r w:rsidRPr="00A829F5">
        <w:rPr>
          <w:szCs w:val="24"/>
        </w:rPr>
        <w:t>MSAC noted that the model assumed very high rates of adherence (</w:t>
      </w:r>
      <w:r w:rsidR="00FE0A41">
        <w:rPr>
          <w:szCs w:val="24"/>
        </w:rPr>
        <w:t xml:space="preserve">93.6% to </w:t>
      </w:r>
      <w:r w:rsidRPr="00A829F5">
        <w:rPr>
          <w:szCs w:val="24"/>
          <w:lang w:val="en-US"/>
        </w:rPr>
        <w:t>9</w:t>
      </w:r>
      <w:r w:rsidR="00FE0A41">
        <w:rPr>
          <w:szCs w:val="24"/>
          <w:lang w:val="en-US"/>
        </w:rPr>
        <w:t>9.</w:t>
      </w:r>
      <w:r w:rsidRPr="00A829F5">
        <w:rPr>
          <w:szCs w:val="24"/>
          <w:lang w:val="en-US"/>
        </w:rPr>
        <w:t>5%)</w:t>
      </w:r>
      <w:r w:rsidRPr="00A829F5">
        <w:rPr>
          <w:szCs w:val="24"/>
        </w:rPr>
        <w:t xml:space="preserve"> to Oncotype DX</w:t>
      </w:r>
      <w:r w:rsidR="00740A88">
        <w:rPr>
          <w:szCs w:val="24"/>
        </w:rPr>
        <w:t>-based</w:t>
      </w:r>
      <w:r w:rsidRPr="00A829F5">
        <w:rPr>
          <w:szCs w:val="24"/>
          <w:lang w:val="en-US"/>
        </w:rPr>
        <w:t xml:space="preserve"> recommendations for </w:t>
      </w:r>
      <w:r w:rsidR="00740A88">
        <w:rPr>
          <w:szCs w:val="24"/>
          <w:lang w:val="en-US"/>
        </w:rPr>
        <w:t>therapy management</w:t>
      </w:r>
      <w:r w:rsidRPr="00A829F5">
        <w:rPr>
          <w:szCs w:val="24"/>
          <w:lang w:val="en-US"/>
        </w:rPr>
        <w:t xml:space="preserve">, but this was inconsistent with </w:t>
      </w:r>
      <w:r w:rsidR="00B778C3">
        <w:rPr>
          <w:szCs w:val="24"/>
          <w:lang w:val="en-US"/>
        </w:rPr>
        <w:t xml:space="preserve">substantially </w:t>
      </w:r>
      <w:r w:rsidR="00A829F5">
        <w:rPr>
          <w:szCs w:val="24"/>
          <w:lang w:val="en-US"/>
        </w:rPr>
        <w:t xml:space="preserve">lower rates of </w:t>
      </w:r>
      <w:r w:rsidRPr="00A829F5">
        <w:rPr>
          <w:szCs w:val="24"/>
          <w:lang w:val="en-US"/>
        </w:rPr>
        <w:t xml:space="preserve">adherence observed in the TAILORx </w:t>
      </w:r>
      <w:r w:rsidR="00567001">
        <w:t>trial</w:t>
      </w:r>
      <w:r w:rsidRPr="00A829F5">
        <w:rPr>
          <w:szCs w:val="24"/>
          <w:lang w:val="en-US"/>
        </w:rPr>
        <w:t>.</w:t>
      </w:r>
    </w:p>
    <w:p w14:paraId="3DE1B805" w14:textId="6F549EDD" w:rsidR="00CA3907" w:rsidRPr="00A829F5" w:rsidRDefault="00A829F5" w:rsidP="00375B02">
      <w:pPr>
        <w:pStyle w:val="Bullet"/>
        <w:numPr>
          <w:ilvl w:val="0"/>
          <w:numId w:val="3"/>
        </w:numPr>
        <w:spacing w:after="120" w:line="240" w:lineRule="auto"/>
        <w:ind w:left="720"/>
        <w:rPr>
          <w:rFonts w:ascii="Times New Roman" w:hAnsi="Times New Roman" w:cs="Times New Roman"/>
          <w:i/>
          <w:sz w:val="24"/>
          <w:szCs w:val="24"/>
        </w:rPr>
      </w:pPr>
      <w:r w:rsidRPr="00A829F5">
        <w:rPr>
          <w:rFonts w:ascii="Times New Roman" w:hAnsi="Times New Roman" w:cs="Times New Roman"/>
          <w:i/>
          <w:sz w:val="24"/>
          <w:szCs w:val="24"/>
        </w:rPr>
        <w:t>the comparator</w:t>
      </w:r>
    </w:p>
    <w:p w14:paraId="175D6A8A" w14:textId="29495983" w:rsidR="00CA3907" w:rsidRPr="00A829F5" w:rsidRDefault="00CA3907" w:rsidP="00CA3907">
      <w:pPr>
        <w:pStyle w:val="NormalIndent"/>
        <w:spacing w:after="120"/>
        <w:ind w:left="720"/>
        <w:rPr>
          <w:szCs w:val="24"/>
          <w:lang w:val="en-US"/>
        </w:rPr>
      </w:pPr>
      <w:r w:rsidRPr="00A829F5">
        <w:rPr>
          <w:szCs w:val="24"/>
          <w:lang w:val="en-US"/>
        </w:rPr>
        <w:t xml:space="preserve">MSAC noted that inputs used in the model indicated that </w:t>
      </w:r>
      <w:r w:rsidR="00CE324C">
        <w:rPr>
          <w:szCs w:val="24"/>
          <w:lang w:val="en-US"/>
        </w:rPr>
        <w:t xml:space="preserve">relying on </w:t>
      </w:r>
      <w:r w:rsidRPr="00A829F5">
        <w:rPr>
          <w:szCs w:val="24"/>
        </w:rPr>
        <w:t>Oncotype DX</w:t>
      </w:r>
      <w:r w:rsidRPr="00A829F5">
        <w:rPr>
          <w:szCs w:val="24"/>
          <w:lang w:val="en-US"/>
        </w:rPr>
        <w:t xml:space="preserve"> testing </w:t>
      </w:r>
      <w:r w:rsidR="00CE324C">
        <w:rPr>
          <w:szCs w:val="24"/>
          <w:lang w:val="en-US"/>
        </w:rPr>
        <w:t>would change</w:t>
      </w:r>
      <w:r w:rsidRPr="00A829F5">
        <w:rPr>
          <w:szCs w:val="24"/>
          <w:lang w:val="en-US"/>
        </w:rPr>
        <w:t xml:space="preserve"> clinical practice </w:t>
      </w:r>
      <w:r w:rsidR="00CE324C">
        <w:rPr>
          <w:szCs w:val="24"/>
          <w:lang w:val="en-US"/>
        </w:rPr>
        <w:t>substantially</w:t>
      </w:r>
      <w:r w:rsidR="00740A88">
        <w:rPr>
          <w:szCs w:val="24"/>
          <w:lang w:val="en-US"/>
        </w:rPr>
        <w:t xml:space="preserve"> from existing management</w:t>
      </w:r>
      <w:r w:rsidR="00FE0A41">
        <w:rPr>
          <w:szCs w:val="24"/>
          <w:lang w:val="en-US"/>
        </w:rPr>
        <w:t xml:space="preserve">, which assumes low analytic performance and adherence to current </w:t>
      </w:r>
      <w:r w:rsidR="008D3413">
        <w:rPr>
          <w:szCs w:val="24"/>
          <w:lang w:val="en-US"/>
        </w:rPr>
        <w:t>prognostic algorithms</w:t>
      </w:r>
      <w:r w:rsidRPr="00A829F5">
        <w:rPr>
          <w:szCs w:val="24"/>
          <w:lang w:val="en-US"/>
        </w:rPr>
        <w:t>, but the sour</w:t>
      </w:r>
      <w:r w:rsidR="00CB051E">
        <w:rPr>
          <w:szCs w:val="24"/>
          <w:lang w:val="en-US"/>
        </w:rPr>
        <w:t xml:space="preserve">ce of these data </w:t>
      </w:r>
      <w:r w:rsidR="00740A88">
        <w:rPr>
          <w:szCs w:val="24"/>
          <w:lang w:val="en-US"/>
        </w:rPr>
        <w:t xml:space="preserve">for </w:t>
      </w:r>
      <w:r w:rsidR="00FE0A41">
        <w:rPr>
          <w:szCs w:val="24"/>
          <w:lang w:val="en-US"/>
        </w:rPr>
        <w:t xml:space="preserve">existing </w:t>
      </w:r>
      <w:r w:rsidR="00740A88">
        <w:rPr>
          <w:szCs w:val="24"/>
          <w:lang w:val="en-US"/>
        </w:rPr>
        <w:t xml:space="preserve">management </w:t>
      </w:r>
      <w:r w:rsidR="00CB051E">
        <w:rPr>
          <w:szCs w:val="24"/>
          <w:lang w:val="en-US"/>
        </w:rPr>
        <w:t>was not clear.</w:t>
      </w:r>
    </w:p>
    <w:p w14:paraId="46D6C26B" w14:textId="223F48F0" w:rsidR="00A829F5" w:rsidRDefault="00CA3907" w:rsidP="00E2362C">
      <w:pPr>
        <w:spacing w:after="240"/>
      </w:pPr>
      <w:r w:rsidRPr="00B621E1">
        <w:t>MSA</w:t>
      </w:r>
      <w:r w:rsidR="00CB051E">
        <w:t xml:space="preserve">C also noted that the clinical </w:t>
      </w:r>
      <w:r w:rsidR="00CB051E">
        <w:rPr>
          <w:lang w:val="en-US"/>
        </w:rPr>
        <w:t>claim</w:t>
      </w:r>
      <w:r w:rsidR="004419A7">
        <w:rPr>
          <w:lang w:val="en-US"/>
        </w:rPr>
        <w:t xml:space="preserve"> of non-inferiority in the </w:t>
      </w:r>
      <w:r w:rsidR="004419A7">
        <w:rPr>
          <w:szCs w:val="24"/>
        </w:rPr>
        <w:t>“chemotherapy spar</w:t>
      </w:r>
      <w:r w:rsidR="004419A7" w:rsidRPr="00A42656">
        <w:rPr>
          <w:szCs w:val="24"/>
        </w:rPr>
        <w:t>ing”</w:t>
      </w:r>
      <w:r w:rsidR="004419A7">
        <w:rPr>
          <w:szCs w:val="24"/>
        </w:rPr>
        <w:t xml:space="preserve"> component of the model</w:t>
      </w:r>
      <w:r w:rsidR="004419A7" w:rsidRPr="00B621E1">
        <w:rPr>
          <w:lang w:val="en-US"/>
        </w:rPr>
        <w:t xml:space="preserve"> </w:t>
      </w:r>
      <w:r w:rsidR="004419A7">
        <w:rPr>
          <w:lang w:val="en-US"/>
        </w:rPr>
        <w:t xml:space="preserve">was based on the group recording an </w:t>
      </w:r>
      <w:r w:rsidRPr="00B621E1">
        <w:rPr>
          <w:lang w:val="en-US"/>
        </w:rPr>
        <w:t xml:space="preserve">intermediate-risk </w:t>
      </w:r>
      <w:r w:rsidR="004419A7">
        <w:rPr>
          <w:lang w:val="en-US"/>
        </w:rPr>
        <w:t xml:space="preserve">RS in the </w:t>
      </w:r>
      <w:r w:rsidR="004419A7" w:rsidRPr="00B621E1">
        <w:rPr>
          <w:lang w:val="en-US"/>
        </w:rPr>
        <w:t xml:space="preserve">TAILORx </w:t>
      </w:r>
      <w:r w:rsidR="004419A7">
        <w:rPr>
          <w:lang w:val="en-US"/>
        </w:rPr>
        <w:t>trial</w:t>
      </w:r>
      <w:r w:rsidRPr="00B621E1">
        <w:rPr>
          <w:lang w:val="en-US"/>
        </w:rPr>
        <w:t xml:space="preserve">, but </w:t>
      </w:r>
      <w:r w:rsidRPr="00B621E1">
        <w:t>change</w:t>
      </w:r>
      <w:r w:rsidR="004419A7">
        <w:t>s</w:t>
      </w:r>
      <w:r w:rsidRPr="00B621E1">
        <w:rPr>
          <w:lang w:val="en-US"/>
        </w:rPr>
        <w:t xml:space="preserve"> in care w</w:t>
      </w:r>
      <w:r w:rsidR="004419A7">
        <w:rPr>
          <w:lang w:val="en-US"/>
        </w:rPr>
        <w:t>ere</w:t>
      </w:r>
      <w:r w:rsidRPr="00B621E1">
        <w:rPr>
          <w:lang w:val="en-US"/>
        </w:rPr>
        <w:t xml:space="preserve"> also modelled for</w:t>
      </w:r>
      <w:r w:rsidR="00A829F5">
        <w:rPr>
          <w:lang w:val="en-US"/>
        </w:rPr>
        <w:t xml:space="preserve"> th</w:t>
      </w:r>
      <w:r w:rsidR="004419A7">
        <w:rPr>
          <w:lang w:val="en-US"/>
        </w:rPr>
        <w:t>os</w:t>
      </w:r>
      <w:r w:rsidR="00A829F5">
        <w:rPr>
          <w:lang w:val="en-US"/>
        </w:rPr>
        <w:t xml:space="preserve">e </w:t>
      </w:r>
      <w:r w:rsidR="004419A7">
        <w:rPr>
          <w:lang w:val="en-US"/>
        </w:rPr>
        <w:t xml:space="preserve">who would have recorded either a </w:t>
      </w:r>
      <w:r w:rsidR="00A829F5">
        <w:rPr>
          <w:lang w:val="en-US"/>
        </w:rPr>
        <w:t xml:space="preserve">low- </w:t>
      </w:r>
      <w:r w:rsidR="004419A7">
        <w:rPr>
          <w:lang w:val="en-US"/>
        </w:rPr>
        <w:t xml:space="preserve">or </w:t>
      </w:r>
      <w:r w:rsidR="00A829F5">
        <w:rPr>
          <w:lang w:val="en-US"/>
        </w:rPr>
        <w:t xml:space="preserve">high-risk </w:t>
      </w:r>
      <w:r w:rsidR="004419A7">
        <w:rPr>
          <w:lang w:val="en-US"/>
        </w:rPr>
        <w:t>RS in the TAILORx trial</w:t>
      </w:r>
      <w:r w:rsidR="00A829F5">
        <w:rPr>
          <w:lang w:val="en-US"/>
        </w:rPr>
        <w:t>.</w:t>
      </w:r>
    </w:p>
    <w:p w14:paraId="1FAE848B" w14:textId="31C03230" w:rsidR="00CA3907" w:rsidRDefault="00CA3907" w:rsidP="00CA3907">
      <w:r w:rsidRPr="00B621E1">
        <w:t>MSAC noted that</w:t>
      </w:r>
      <w:r>
        <w:t>,</w:t>
      </w:r>
      <w:r w:rsidRPr="00B621E1">
        <w:t xml:space="preserve"> in the base case, </w:t>
      </w:r>
      <w:r w:rsidR="004419A7">
        <w:t>“</w:t>
      </w:r>
      <w:r w:rsidRPr="00B621E1">
        <w:t>chemotherapy sparing</w:t>
      </w:r>
      <w:r w:rsidR="004419A7">
        <w:t>”</w:t>
      </w:r>
      <w:r w:rsidRPr="00B621E1">
        <w:t xml:space="preserve"> and </w:t>
      </w:r>
      <w:r w:rsidR="004419A7">
        <w:t>“</w:t>
      </w:r>
      <w:r w:rsidRPr="00B621E1">
        <w:t>chemotherapy indicating</w:t>
      </w:r>
      <w:r w:rsidR="004419A7">
        <w:t>”</w:t>
      </w:r>
      <w:r w:rsidRPr="00B621E1">
        <w:t xml:space="preserve"> groups </w:t>
      </w:r>
      <w:r>
        <w:t>had</w:t>
      </w:r>
      <w:r w:rsidRPr="00B621E1">
        <w:t xml:space="preserve"> differential effects on the incremental cost-effectiveness ratio (ICER). The base case ICER </w:t>
      </w:r>
      <w:r>
        <w:t>was</w:t>
      </w:r>
      <w:r w:rsidRPr="00B621E1">
        <w:t xml:space="preserve"> more favourable when the two subpopulations </w:t>
      </w:r>
      <w:r>
        <w:t>were</w:t>
      </w:r>
      <w:r w:rsidRPr="00B621E1">
        <w:t xml:space="preserve"> combined, but </w:t>
      </w:r>
      <w:r>
        <w:t>this was</w:t>
      </w:r>
      <w:r w:rsidRPr="00B621E1">
        <w:t xml:space="preserve"> driven by benefits in the </w:t>
      </w:r>
      <w:r w:rsidR="004419A7">
        <w:t>“</w:t>
      </w:r>
      <w:r w:rsidRPr="00B621E1">
        <w:t>chemotherapy indicating</w:t>
      </w:r>
      <w:r w:rsidR="004419A7">
        <w:t>”</w:t>
      </w:r>
      <w:r w:rsidRPr="00B621E1">
        <w:t xml:space="preserve"> group for which data </w:t>
      </w:r>
      <w:r>
        <w:t>are</w:t>
      </w:r>
      <w:r w:rsidRPr="00B621E1">
        <w:t xml:space="preserve"> weaker.</w:t>
      </w:r>
    </w:p>
    <w:p w14:paraId="7A16FD7B" w14:textId="72210D4B" w:rsidR="00A829F5" w:rsidRDefault="00CA3907" w:rsidP="00E2362C">
      <w:pPr>
        <w:spacing w:after="240"/>
      </w:pPr>
      <w:r w:rsidRPr="00B621E1">
        <w:lastRenderedPageBreak/>
        <w:t>MSAC noted that the ICER increased in the revised model</w:t>
      </w:r>
      <w:r>
        <w:t>,</w:t>
      </w:r>
      <w:r w:rsidRPr="00B621E1">
        <w:t xml:space="preserve"> which included four cycles of chemotherapy rather than six. MSAC considered that this </w:t>
      </w:r>
      <w:r w:rsidR="00A52F8F">
        <w:t xml:space="preserve">counter-intuitive result </w:t>
      </w:r>
      <w:r w:rsidR="00EE493C">
        <w:t xml:space="preserve">also raised doubts about the reliability of </w:t>
      </w:r>
      <w:r w:rsidRPr="00B621E1">
        <w:t>the model.</w:t>
      </w:r>
    </w:p>
    <w:p w14:paraId="2D2BF924" w14:textId="7866821A" w:rsidR="00A829F5" w:rsidRDefault="00CA3907" w:rsidP="00E2362C">
      <w:pPr>
        <w:spacing w:after="240"/>
      </w:pPr>
      <w:r>
        <w:t>MSAC considered that the revised estimated budget impact is uncertain due to the uncertain uptake rate.</w:t>
      </w:r>
    </w:p>
    <w:p w14:paraId="4A5C8C25" w14:textId="696CE1C8" w:rsidR="00CA3907" w:rsidRDefault="00CA3907" w:rsidP="00CA3907">
      <w:r>
        <w:t xml:space="preserve">MSAC acknowledged that the choice of whether to receive chemotherapy or not </w:t>
      </w:r>
      <w:r w:rsidR="00A52F8F">
        <w:t xml:space="preserve">in the context of this application for Oncotype DX </w:t>
      </w:r>
      <w:r>
        <w:t xml:space="preserve">is a high stakes decision, and </w:t>
      </w:r>
      <w:r w:rsidR="005F1DD7">
        <w:t>patients</w:t>
      </w:r>
      <w:r>
        <w:t xml:space="preserve"> and clinicians need as much </w:t>
      </w:r>
      <w:r w:rsidR="00E92C4C">
        <w:t xml:space="preserve">reliable </w:t>
      </w:r>
      <w:r>
        <w:t xml:space="preserve">information as possible to be confident in the decision they make. MSAC also acknowledged that avoiding unnecessary chemotherapy is highly desirable and valuable. However, MSAC concluded that the </w:t>
      </w:r>
      <w:r w:rsidR="00017212">
        <w:t xml:space="preserve">TAILORx </w:t>
      </w:r>
      <w:r>
        <w:t>evidence presented for Oncotype DX</w:t>
      </w:r>
      <w:r>
        <w:rPr>
          <w:lang w:val="en-US"/>
        </w:rPr>
        <w:t xml:space="preserve"> testing </w:t>
      </w:r>
      <w:r>
        <w:t xml:space="preserve">does not provide high enough certainty about </w:t>
      </w:r>
      <w:r w:rsidR="00017212">
        <w:t xml:space="preserve">the extent to which Oncotype DX provides additional assurance over usual care regarding </w:t>
      </w:r>
      <w:r>
        <w:t>which</w:t>
      </w:r>
      <w:r>
        <w:rPr>
          <w:lang w:val="en-US"/>
        </w:rPr>
        <w:t xml:space="preserve"> </w:t>
      </w:r>
      <w:r w:rsidR="005F1DD7">
        <w:t>patients</w:t>
      </w:r>
      <w:r>
        <w:t xml:space="preserve"> can avoid </w:t>
      </w:r>
      <w:r>
        <w:rPr>
          <w:lang w:val="en-US"/>
        </w:rPr>
        <w:t xml:space="preserve">chemotherapy safely. </w:t>
      </w:r>
      <w:r w:rsidR="00017212">
        <w:rPr>
          <w:lang w:val="en-US"/>
        </w:rPr>
        <w:t xml:space="preserve">MSAC further acknowledged that adding necessary chemotherapy is also highly desirable and valuable. However, MSAC concluded that the Geyer et al. 2018 re-analyses provided no more </w:t>
      </w:r>
      <w:r w:rsidR="00017212">
        <w:t xml:space="preserve">certainty </w:t>
      </w:r>
      <w:r w:rsidR="00FC1671">
        <w:rPr>
          <w:lang w:val="en-US"/>
        </w:rPr>
        <w:t>than the previous retrospective analyses</w:t>
      </w:r>
      <w:r w:rsidR="00FC1671">
        <w:t xml:space="preserve"> </w:t>
      </w:r>
      <w:r w:rsidR="00017212">
        <w:t>about the extent to which Oncotype DX provides additional assurance over usual care regarding which</w:t>
      </w:r>
      <w:r w:rsidR="00017212">
        <w:rPr>
          <w:lang w:val="en-US"/>
        </w:rPr>
        <w:t xml:space="preserve"> </w:t>
      </w:r>
      <w:r w:rsidR="005F1DD7">
        <w:t>patients</w:t>
      </w:r>
      <w:r w:rsidR="00017212">
        <w:t xml:space="preserve"> need to add </w:t>
      </w:r>
      <w:r w:rsidR="00017212">
        <w:rPr>
          <w:lang w:val="en-US"/>
        </w:rPr>
        <w:t>chemotherapy.</w:t>
      </w:r>
    </w:p>
    <w:p w14:paraId="2C347661" w14:textId="77777777" w:rsidR="00CA3907" w:rsidRPr="00BE569D" w:rsidRDefault="00CA3907" w:rsidP="00BE569D">
      <w:pPr>
        <w:pStyle w:val="Heading3"/>
        <w:spacing w:before="240"/>
        <w:rPr>
          <w:rFonts w:ascii="Times New Roman" w:hAnsi="Times New Roman" w:cs="Times New Roman"/>
          <w:i/>
          <w:color w:val="auto"/>
        </w:rPr>
      </w:pPr>
      <w:r w:rsidRPr="00BE569D">
        <w:rPr>
          <w:rFonts w:ascii="Times New Roman" w:hAnsi="Times New Roman" w:cs="Times New Roman"/>
          <w:i/>
          <w:color w:val="auto"/>
        </w:rPr>
        <w:t>Lay summary</w:t>
      </w:r>
    </w:p>
    <w:p w14:paraId="23974278" w14:textId="000F36C0" w:rsidR="005F1DD7" w:rsidRDefault="005F1DD7" w:rsidP="00E2362C">
      <w:pPr>
        <w:spacing w:after="240"/>
      </w:pPr>
      <w:r>
        <w:t>Specialised Therapeutics Australia Pty Ltd has applied for public funding of Oncotype</w:t>
      </w:r>
      <w:r w:rsidR="0097532C">
        <w:t> </w:t>
      </w:r>
      <w:r>
        <w:t>DX testing, a type of genetic testing that is claimed to help determine the risk of a patient getting breast cancer again after they have had surgery.</w:t>
      </w:r>
    </w:p>
    <w:p w14:paraId="4F1B4DC2" w14:textId="164A403F" w:rsidR="005F1DD7" w:rsidRDefault="0097532C" w:rsidP="00E2362C">
      <w:pPr>
        <w:spacing w:after="240"/>
      </w:pPr>
      <w:r>
        <w:t>The Oncotype </w:t>
      </w:r>
      <w:r w:rsidR="005F1DD7">
        <w:t xml:space="preserve">DX test is performed in a single laboratory in the </w:t>
      </w:r>
      <w:r w:rsidR="005F0212">
        <w:t>United States of America (</w:t>
      </w:r>
      <w:r w:rsidR="005F1DD7">
        <w:t>USA</w:t>
      </w:r>
      <w:r w:rsidR="005F0212">
        <w:t>)</w:t>
      </w:r>
      <w:r w:rsidR="005F1DD7">
        <w:t>. It has not been approved for use by the U</w:t>
      </w:r>
      <w:r w:rsidR="005F0212">
        <w:t xml:space="preserve">SA’s </w:t>
      </w:r>
      <w:r w:rsidR="005F1DD7">
        <w:t>Food and Drug Administration nor by the Australian Therapeutic Goods Administration: agencies who assess the safety of medical tests and products.</w:t>
      </w:r>
    </w:p>
    <w:p w14:paraId="4145107A" w14:textId="686F143A" w:rsidR="005F1DD7" w:rsidRDefault="005F1DD7" w:rsidP="00E2362C">
      <w:pPr>
        <w:spacing w:after="240"/>
      </w:pPr>
      <w:r>
        <w:t xml:space="preserve">Currently, </w:t>
      </w:r>
      <w:r w:rsidR="007D5687">
        <w:t xml:space="preserve">combining </w:t>
      </w:r>
      <w:r>
        <w:t>information from clinical assessments</w:t>
      </w:r>
      <w:r w:rsidR="003E475A">
        <w:t xml:space="preserve"> </w:t>
      </w:r>
      <w:r>
        <w:t>and pathology test</w:t>
      </w:r>
      <w:r w:rsidR="007D5687">
        <w:t xml:space="preserve"> result</w:t>
      </w:r>
      <w:r>
        <w:t>s help</w:t>
      </w:r>
      <w:r w:rsidR="003E475A">
        <w:t>s</w:t>
      </w:r>
      <w:r>
        <w:t xml:space="preserve"> doctors calculate whether a </w:t>
      </w:r>
      <w:r w:rsidR="007D5687">
        <w:t>patient</w:t>
      </w:r>
      <w:r>
        <w:t xml:space="preserve"> has a low, intermediate or high risk of breast cancer returning after surgery. This helps the </w:t>
      </w:r>
      <w:r w:rsidR="007D5687">
        <w:t>patient</w:t>
      </w:r>
      <w:r>
        <w:t xml:space="preserve"> decide, with </w:t>
      </w:r>
      <w:r w:rsidR="007D5687">
        <w:t>their</w:t>
      </w:r>
      <w:r>
        <w:t xml:space="preserve"> treating clinicians, whether to have </w:t>
      </w:r>
      <w:r w:rsidR="003E475A">
        <w:t xml:space="preserve">chemotherapy in addition to their </w:t>
      </w:r>
      <w:r>
        <w:t xml:space="preserve">hormone therapy. Specialised Therapeutics claims that this decision is most difficult for </w:t>
      </w:r>
      <w:r w:rsidR="007D5687">
        <w:t xml:space="preserve">patients </w:t>
      </w:r>
      <w:r>
        <w:t xml:space="preserve">whose </w:t>
      </w:r>
      <w:r w:rsidR="003E475A">
        <w:t xml:space="preserve">existing </w:t>
      </w:r>
      <w:r w:rsidR="007D5687">
        <w:t>information</w:t>
      </w:r>
      <w:r>
        <w:t xml:space="preserve"> show</w:t>
      </w:r>
      <w:r w:rsidR="00B20A59">
        <w:t>s</w:t>
      </w:r>
      <w:r>
        <w:t xml:space="preserve"> they have an intermediate risk of the cancer </w:t>
      </w:r>
      <w:r w:rsidR="0097532C">
        <w:t>returning and that the Oncotype </w:t>
      </w:r>
      <w:r>
        <w:t xml:space="preserve">DX genetic test can </w:t>
      </w:r>
      <w:r w:rsidR="007D5687">
        <w:t xml:space="preserve">then </w:t>
      </w:r>
      <w:r>
        <w:t xml:space="preserve">provide valuable extra information to help this group of </w:t>
      </w:r>
      <w:r w:rsidR="007D5687">
        <w:t>patients</w:t>
      </w:r>
      <w:r>
        <w:t>. Specialised Therapeutics presented the results from a new trial, the TAILORx trial, to MSAC to help supp</w:t>
      </w:r>
      <w:r w:rsidR="0097532C">
        <w:t>ort its claims that an Oncotype </w:t>
      </w:r>
      <w:r>
        <w:t>DX score of 25 or less means chemotherapy is not necessary, whereas a score of 26 or higher means chemotherapy would be beneficial.</w:t>
      </w:r>
    </w:p>
    <w:p w14:paraId="18C3FC5D" w14:textId="277322D2" w:rsidR="005F1DD7" w:rsidRDefault="005F1DD7" w:rsidP="00E2362C">
      <w:pPr>
        <w:spacing w:after="240"/>
      </w:pPr>
      <w:r>
        <w:t xml:space="preserve">MSAC acknowledges that </w:t>
      </w:r>
      <w:r w:rsidR="007D5687">
        <w:t>patients</w:t>
      </w:r>
      <w:r>
        <w:t xml:space="preserve"> and clinicians need as much reliable information as possible to make decisions about whether or not to have chemotherapy following surgery for breast cancer.</w:t>
      </w:r>
    </w:p>
    <w:p w14:paraId="0CB8502D" w14:textId="16FF7AD0" w:rsidR="005F1DD7" w:rsidRDefault="005F1DD7" w:rsidP="00E2362C">
      <w:pPr>
        <w:spacing w:after="240"/>
      </w:pPr>
      <w:r>
        <w:t xml:space="preserve">MSAC advised the Minister for Health that the evidence presented </w:t>
      </w:r>
      <w:r w:rsidR="0097532C">
        <w:t xml:space="preserve">for Oncotype DX </w:t>
      </w:r>
      <w:r>
        <w:t xml:space="preserve">did not give </w:t>
      </w:r>
      <w:r w:rsidR="0097532C">
        <w:t xml:space="preserve">the Committee confidence </w:t>
      </w:r>
      <w:r>
        <w:t xml:space="preserve">that </w:t>
      </w:r>
      <w:r w:rsidR="0097532C">
        <w:t>the test</w:t>
      </w:r>
      <w:r>
        <w:t xml:space="preserve"> would identify those </w:t>
      </w:r>
      <w:r w:rsidR="003E475A">
        <w:t>patients</w:t>
      </w:r>
      <w:r>
        <w:t xml:space="preserve"> who could safely </w:t>
      </w:r>
      <w:r w:rsidR="0097532C">
        <w:t>avoid</w:t>
      </w:r>
      <w:r>
        <w:t xml:space="preserve"> chemotherapy or those </w:t>
      </w:r>
      <w:r w:rsidR="003E475A">
        <w:t>patients</w:t>
      </w:r>
      <w:r>
        <w:t xml:space="preserve"> who would benefit from </w:t>
      </w:r>
      <w:r w:rsidR="003E475A">
        <w:t>adding</w:t>
      </w:r>
      <w:r>
        <w:t xml:space="preserve"> chemotherapy. In particular, the TAILORx trial did not compare outcomes for wo</w:t>
      </w:r>
      <w:r w:rsidR="0097532C">
        <w:t>men who were given the Oncotype </w:t>
      </w:r>
      <w:r>
        <w:t>DX test with those who were not.</w:t>
      </w:r>
      <w:r w:rsidR="007D5687">
        <w:t xml:space="preserve"> </w:t>
      </w:r>
      <w:r>
        <w:t>This means there is no way of kno</w:t>
      </w:r>
      <w:r w:rsidR="0097532C">
        <w:t>wing whether adding an Oncotype </w:t>
      </w:r>
      <w:r>
        <w:t xml:space="preserve">DX test score to the </w:t>
      </w:r>
      <w:r w:rsidR="007D5687">
        <w:t xml:space="preserve">information patients </w:t>
      </w:r>
      <w:r>
        <w:t xml:space="preserve">already get after their surgery will give them </w:t>
      </w:r>
      <w:r w:rsidR="003E475A">
        <w:t xml:space="preserve">an </w:t>
      </w:r>
      <w:r>
        <w:t xml:space="preserve">additional, reliable </w:t>
      </w:r>
      <w:r w:rsidR="003E475A">
        <w:t xml:space="preserve">basis </w:t>
      </w:r>
      <w:r>
        <w:t xml:space="preserve">to make treatment decisions that lead to better long-term outcomes. MSAC also advised that there were problems with how the TAILORx </w:t>
      </w:r>
      <w:r>
        <w:lastRenderedPageBreak/>
        <w:t xml:space="preserve">trial ran, including that many of the women who started the </w:t>
      </w:r>
      <w:r w:rsidR="003E475A">
        <w:t>trial</w:t>
      </w:r>
      <w:r>
        <w:t xml:space="preserve"> dropped out before it was finished, so MSAC cou</w:t>
      </w:r>
      <w:r w:rsidR="0097532C">
        <w:t>ld not be sure that an Oncotype </w:t>
      </w:r>
      <w:r>
        <w:t xml:space="preserve">DX test score between 11 and 25 means it is in fact safe to </w:t>
      </w:r>
      <w:r w:rsidR="0097532C">
        <w:t>avoid</w:t>
      </w:r>
      <w:r w:rsidR="003E475A">
        <w:t xml:space="preserve"> chemotherapy.</w:t>
      </w:r>
    </w:p>
    <w:p w14:paraId="6C7FD2BD" w14:textId="3D17F854" w:rsidR="00C60D2B" w:rsidRDefault="005F1DD7" w:rsidP="00CA3907">
      <w:pPr>
        <w:rPr>
          <w:lang w:val="en-US"/>
        </w:rPr>
      </w:pPr>
      <w:r>
        <w:t xml:space="preserve">MSAC acknowledges that </w:t>
      </w:r>
      <w:r w:rsidR="0097532C">
        <w:t xml:space="preserve">funding </w:t>
      </w:r>
      <w:r>
        <w:t xml:space="preserve">advice </w:t>
      </w:r>
      <w:r w:rsidR="0097532C">
        <w:t>differs across</w:t>
      </w:r>
      <w:r>
        <w:t xml:space="preserve"> the </w:t>
      </w:r>
      <w:r w:rsidR="0097532C">
        <w:t xml:space="preserve">world, particularly when tests have been assessed on the basis of preliminary information. MSAC has based its advice on the most up to date information – which in this case includes the full analysis of </w:t>
      </w:r>
      <w:r>
        <w:t>the TAILORx results. MSAC considered that</w:t>
      </w:r>
      <w:r w:rsidR="003E475A">
        <w:t>,</w:t>
      </w:r>
      <w:r>
        <w:t xml:space="preserve"> based on all the evidence, Australian </w:t>
      </w:r>
      <w:r w:rsidR="003E475A">
        <w:t>patients</w:t>
      </w:r>
      <w:r w:rsidR="005E14FE">
        <w:t xml:space="preserve"> </w:t>
      </w:r>
      <w:r>
        <w:t xml:space="preserve">would </w:t>
      </w:r>
      <w:r w:rsidR="003E475A">
        <w:t xml:space="preserve">likely </w:t>
      </w:r>
      <w:r>
        <w:t xml:space="preserve">have better cancer outcomes </w:t>
      </w:r>
      <w:r w:rsidR="005E14FE">
        <w:t xml:space="preserve">overall </w:t>
      </w:r>
      <w:r>
        <w:t xml:space="preserve">if they and their doctors continue to use </w:t>
      </w:r>
      <w:r w:rsidR="003E475A">
        <w:t>existing</w:t>
      </w:r>
      <w:r>
        <w:t xml:space="preserve"> </w:t>
      </w:r>
      <w:r w:rsidR="003E475A">
        <w:t>information to decide on follow-</w:t>
      </w:r>
      <w:r>
        <w:t>up treatment after surgery for breast cancer.</w:t>
      </w:r>
    </w:p>
    <w:p w14:paraId="40FB56F8" w14:textId="0C5F8F47" w:rsidR="007E0521" w:rsidRPr="00E2362C" w:rsidRDefault="00C60D2B" w:rsidP="00E2362C">
      <w:pPr>
        <w:pStyle w:val="Heading2"/>
        <w:spacing w:before="240" w:after="240"/>
        <w:rPr>
          <w:i w:val="0"/>
          <w:u w:val="single"/>
        </w:rPr>
      </w:pPr>
      <w:r w:rsidRPr="00BE569D">
        <w:rPr>
          <w:i w:val="0"/>
          <w:u w:val="single"/>
        </w:rPr>
        <w:t>Technical aspects of consideration and rationale for MSAC’s advice</w:t>
      </w:r>
    </w:p>
    <w:p w14:paraId="69966E8A" w14:textId="3FE221F2" w:rsidR="00C60D2B" w:rsidRPr="00C60D2B" w:rsidRDefault="00C60D2B" w:rsidP="00E2362C">
      <w:pPr>
        <w:pStyle w:val="ListParagraph"/>
        <w:keepNext/>
        <w:numPr>
          <w:ilvl w:val="0"/>
          <w:numId w:val="10"/>
        </w:numPr>
        <w:spacing w:after="240"/>
        <w:ind w:left="425" w:hanging="425"/>
        <w:contextualSpacing w:val="0"/>
        <w:rPr>
          <w:i/>
        </w:rPr>
      </w:pPr>
      <w:r>
        <w:rPr>
          <w:i/>
        </w:rPr>
        <w:t>Oncotype </w:t>
      </w:r>
      <w:r w:rsidRPr="00C60D2B">
        <w:rPr>
          <w:i/>
        </w:rPr>
        <w:t>DX may be inferior than current approaches when guiding patients towards the “chemotherapy sparing” option (in terms of the likelihood of clinically meaningful worsening of cancer outcomes)</w:t>
      </w:r>
    </w:p>
    <w:p w14:paraId="72FA85C2" w14:textId="3D692F62" w:rsidR="00C60D2B" w:rsidRPr="00E2362C" w:rsidRDefault="00C60D2B" w:rsidP="00E2362C">
      <w:pPr>
        <w:pStyle w:val="ListParagraph"/>
        <w:numPr>
          <w:ilvl w:val="1"/>
          <w:numId w:val="10"/>
        </w:numPr>
        <w:spacing w:after="240"/>
        <w:ind w:left="851" w:hanging="448"/>
        <w:contextualSpacing w:val="0"/>
      </w:pPr>
      <w:r w:rsidRPr="000F6DA4">
        <w:rPr>
          <w:i/>
        </w:rPr>
        <w:t xml:space="preserve">Incorrect comparison in </w:t>
      </w:r>
      <w:r>
        <w:rPr>
          <w:i/>
        </w:rPr>
        <w:t xml:space="preserve">the </w:t>
      </w:r>
      <w:r w:rsidRPr="000F6DA4">
        <w:rPr>
          <w:i/>
        </w:rPr>
        <w:t>submitted randomised trial</w:t>
      </w:r>
      <w:r>
        <w:rPr>
          <w:i/>
        </w:rPr>
        <w:t xml:space="preserve"> (TAILORx)</w:t>
      </w:r>
      <w:r>
        <w:br/>
      </w:r>
      <w:r w:rsidR="00B40673">
        <w:t>MSAC considered that t</w:t>
      </w:r>
      <w:r>
        <w:t xml:space="preserve">he preferred randomised comparison (like MINDACT for MammaPrint) </w:t>
      </w:r>
      <w:r w:rsidR="00B555EC">
        <w:t>would be between using Oncotype </w:t>
      </w:r>
      <w:r>
        <w:t>DX or using current approaches. The actual comparison relied on an Oncotype</w:t>
      </w:r>
      <w:r w:rsidR="00B555EC">
        <w:t> </w:t>
      </w:r>
      <w:r>
        <w:t xml:space="preserve">DX result for both arms; patients with a particular range of results were randomised to adjuvant chemotherapy with endocrine therapy or to versus endocrine therapy alone. This makes it difficult to apply the results of this trial to address the question of how the uptake of this test in Australia would affect the health of patients proposed as being suitable candidates </w:t>
      </w:r>
      <w:r w:rsidRPr="00E2362C">
        <w:t>for the test.</w:t>
      </w:r>
    </w:p>
    <w:p w14:paraId="1F8182A0" w14:textId="77777777" w:rsidR="00AB13DA" w:rsidRDefault="00AB13DA" w:rsidP="00375B02">
      <w:pPr>
        <w:pStyle w:val="ListParagraph"/>
        <w:numPr>
          <w:ilvl w:val="1"/>
          <w:numId w:val="10"/>
        </w:numPr>
        <w:spacing w:after="160"/>
        <w:ind w:left="851" w:hanging="448"/>
        <w:rPr>
          <w:i/>
        </w:rPr>
      </w:pPr>
      <w:r>
        <w:rPr>
          <w:i/>
        </w:rPr>
        <w:t>Flawed conduct of the submitted randomised trial</w:t>
      </w:r>
    </w:p>
    <w:p w14:paraId="264BBD76" w14:textId="77777777" w:rsidR="00E2362C" w:rsidRPr="00E2362C" w:rsidRDefault="00B40673" w:rsidP="00E2362C">
      <w:pPr>
        <w:pStyle w:val="ListParagraph"/>
        <w:numPr>
          <w:ilvl w:val="2"/>
          <w:numId w:val="10"/>
        </w:numPr>
        <w:spacing w:before="240" w:after="120"/>
        <w:ind w:left="1276" w:hanging="425"/>
        <w:rPr>
          <w:i/>
        </w:rPr>
      </w:pPr>
      <w:r>
        <w:t>MSAC considered that t</w:t>
      </w:r>
      <w:r w:rsidR="00AB13DA">
        <w:t>he extensive and differential losses of randomised participants after entering the trial suggest</w:t>
      </w:r>
      <w:r>
        <w:t>ed</w:t>
      </w:r>
      <w:r w:rsidR="00AB13DA">
        <w:t xml:space="preserve"> that important biases </w:t>
      </w:r>
      <w:r w:rsidR="00CE324C">
        <w:t>contributing to at least partially inform</w:t>
      </w:r>
      <w:r w:rsidR="007C5A63">
        <w:t>ative</w:t>
      </w:r>
      <w:r w:rsidR="00CE324C">
        <w:t xml:space="preserve"> censoring </w:t>
      </w:r>
      <w:r w:rsidR="00AB13DA">
        <w:t xml:space="preserve">were not adequately minimised in the trial. </w:t>
      </w:r>
      <w:r w:rsidR="00CE324C">
        <w:t xml:space="preserve">Such biases </w:t>
      </w:r>
      <w:r w:rsidR="00AB13DA">
        <w:t>would be expected to extend the upper limit</w:t>
      </w:r>
      <w:r w:rsidR="00AF100B">
        <w:t>s</w:t>
      </w:r>
      <w:r w:rsidR="00AB13DA">
        <w:t xml:space="preserve"> of the 95% confidence interval</w:t>
      </w:r>
      <w:r w:rsidR="00AF100B">
        <w:t>s towards and possibly beyond the prespecified minimal clinically important differences (MCIDs)</w:t>
      </w:r>
      <w:r w:rsidR="00AB13DA">
        <w:t>.</w:t>
      </w:r>
    </w:p>
    <w:p w14:paraId="60F8A854" w14:textId="77777777" w:rsidR="00E2362C" w:rsidRDefault="00E2362C" w:rsidP="00E2362C">
      <w:pPr>
        <w:pStyle w:val="ListParagraph"/>
        <w:spacing w:before="240" w:after="120"/>
        <w:ind w:left="1276"/>
      </w:pPr>
    </w:p>
    <w:p w14:paraId="045FE116" w14:textId="7E6E1A6C" w:rsidR="007E0521" w:rsidRPr="007E0521" w:rsidRDefault="00ED6586" w:rsidP="00E2362C">
      <w:pPr>
        <w:pStyle w:val="ListParagraph"/>
        <w:spacing w:before="240" w:after="120"/>
        <w:ind w:left="1276"/>
        <w:rPr>
          <w:i/>
        </w:rPr>
      </w:pPr>
      <w:r>
        <w:t>Specifically,</w:t>
      </w:r>
      <w:r w:rsidRPr="00ED6586">
        <w:rPr>
          <w:szCs w:val="24"/>
          <w:lang w:val="en-US"/>
        </w:rPr>
        <w:t xml:space="preserve"> </w:t>
      </w:r>
      <w:r w:rsidRPr="00A50B28">
        <w:rPr>
          <w:szCs w:val="24"/>
          <w:lang w:val="en-US"/>
        </w:rPr>
        <w:t>in the context of a trial recording low events overall (836 events of invasive disease recurrence in a total of 6907 patients with an RS of 11</w:t>
      </w:r>
      <w:r w:rsidR="00126F5A">
        <w:rPr>
          <w:szCs w:val="24"/>
          <w:lang w:val="en-US"/>
        </w:rPr>
        <w:t>-</w:t>
      </w:r>
      <w:r w:rsidRPr="00A50B28">
        <w:rPr>
          <w:szCs w:val="24"/>
          <w:lang w:val="en-US"/>
        </w:rPr>
        <w:t xml:space="preserve">25 randomised, such that 12% experienced such an event), substantial and differential changes in the flow of the numbers of patients randomised to each group were reported in Figure 1 of Sparano et al. (NEJM, 2018), see Table 1 below. </w:t>
      </w:r>
      <w:r w:rsidR="007E0521">
        <w:rPr>
          <w:szCs w:val="24"/>
          <w:lang w:val="en-US"/>
        </w:rPr>
        <w:t>O</w:t>
      </w:r>
      <w:r w:rsidRPr="00A50B28">
        <w:rPr>
          <w:szCs w:val="24"/>
          <w:lang w:val="en-US"/>
        </w:rPr>
        <w:t xml:space="preserve">f the 3449 assigned to the chemotherapy plus endocrine therapy arm, 1101 (32%) </w:t>
      </w:r>
      <w:r w:rsidR="005F0212">
        <w:rPr>
          <w:szCs w:val="24"/>
          <w:lang w:val="en-US"/>
        </w:rPr>
        <w:t xml:space="preserve">would </w:t>
      </w:r>
      <w:r w:rsidRPr="00A50B28">
        <w:rPr>
          <w:szCs w:val="24"/>
          <w:lang w:val="en-US"/>
        </w:rPr>
        <w:t xml:space="preserve">not contribute to </w:t>
      </w:r>
      <w:r w:rsidR="005F0212">
        <w:rPr>
          <w:szCs w:val="24"/>
          <w:lang w:val="en-US"/>
        </w:rPr>
        <w:t>a</w:t>
      </w:r>
      <w:r w:rsidRPr="00A50B28">
        <w:rPr>
          <w:szCs w:val="24"/>
          <w:lang w:val="en-US"/>
        </w:rPr>
        <w:t xml:space="preserve"> per protocol analysis, yet only 584 (17%) of the 3458 assigned to the endocrine therapy alone arm did not contribute to this analysis. The </w:t>
      </w:r>
      <w:r w:rsidR="00CE324C">
        <w:rPr>
          <w:szCs w:val="24"/>
          <w:lang w:val="en-US"/>
        </w:rPr>
        <w:t xml:space="preserve">mostly </w:t>
      </w:r>
      <w:r w:rsidRPr="00A50B28">
        <w:rPr>
          <w:szCs w:val="24"/>
          <w:lang w:val="en-US"/>
        </w:rPr>
        <w:t>differential changes between the</w:t>
      </w:r>
      <w:r w:rsidR="00CE324C">
        <w:rPr>
          <w:szCs w:val="24"/>
          <w:lang w:val="en-US"/>
        </w:rPr>
        <w:t>se</w:t>
      </w:r>
      <w:r w:rsidRPr="00A50B28">
        <w:rPr>
          <w:szCs w:val="24"/>
          <w:lang w:val="en-US"/>
        </w:rPr>
        <w:t xml:space="preserve"> two </w:t>
      </w:r>
      <w:r w:rsidR="007A0F5B">
        <w:rPr>
          <w:szCs w:val="24"/>
          <w:lang w:val="en-US"/>
        </w:rPr>
        <w:t xml:space="preserve">randomised </w:t>
      </w:r>
      <w:r w:rsidR="00CE324C">
        <w:rPr>
          <w:szCs w:val="24"/>
          <w:lang w:val="en-US"/>
        </w:rPr>
        <w:t>arms</w:t>
      </w:r>
      <w:r w:rsidRPr="00A50B28">
        <w:rPr>
          <w:szCs w:val="24"/>
          <w:lang w:val="en-US"/>
        </w:rPr>
        <w:t xml:space="preserve"> </w:t>
      </w:r>
      <w:r w:rsidR="00CE324C">
        <w:rPr>
          <w:szCs w:val="24"/>
          <w:lang w:val="en-US"/>
        </w:rPr>
        <w:t xml:space="preserve">listed below </w:t>
      </w:r>
      <w:r w:rsidRPr="00A50B28">
        <w:rPr>
          <w:szCs w:val="24"/>
        </w:rPr>
        <w:t>tend to</w:t>
      </w:r>
      <w:r w:rsidRPr="00A50B28">
        <w:rPr>
          <w:szCs w:val="24"/>
          <w:lang w:val="en-US"/>
        </w:rPr>
        <w:t xml:space="preserve"> diminish any true differences </w:t>
      </w:r>
      <w:r w:rsidR="00CE324C">
        <w:rPr>
          <w:szCs w:val="24"/>
          <w:lang w:val="en-US"/>
        </w:rPr>
        <w:t xml:space="preserve">in the trial results </w:t>
      </w:r>
      <w:r w:rsidRPr="00A50B28">
        <w:rPr>
          <w:szCs w:val="24"/>
          <w:lang w:val="en-US"/>
        </w:rPr>
        <w:t>between the</w:t>
      </w:r>
      <w:r w:rsidR="007A0F5B">
        <w:rPr>
          <w:szCs w:val="24"/>
          <w:lang w:val="en-US"/>
        </w:rPr>
        <w:t>m</w:t>
      </w:r>
      <w:r w:rsidRPr="00A50B28">
        <w:rPr>
          <w:szCs w:val="24"/>
          <w:lang w:val="en-US"/>
        </w:rPr>
        <w:t>, and thus bias the</w:t>
      </w:r>
      <w:r w:rsidR="00CE324C">
        <w:rPr>
          <w:szCs w:val="24"/>
          <w:lang w:val="en-US"/>
        </w:rPr>
        <w:t>m</w:t>
      </w:r>
      <w:r w:rsidRPr="00A50B28">
        <w:rPr>
          <w:szCs w:val="24"/>
          <w:lang w:val="en-US"/>
        </w:rPr>
        <w:t xml:space="preserve"> towards concluding non-inferiority:</w:t>
      </w:r>
    </w:p>
    <w:p w14:paraId="687C057B" w14:textId="05C55DC6" w:rsidR="007E0521" w:rsidRPr="00CA3907" w:rsidRDefault="007E0521" w:rsidP="00375B02">
      <w:pPr>
        <w:pStyle w:val="Bullet"/>
        <w:numPr>
          <w:ilvl w:val="1"/>
          <w:numId w:val="3"/>
        </w:numPr>
        <w:tabs>
          <w:tab w:val="clear" w:pos="1440"/>
        </w:tabs>
        <w:spacing w:after="120" w:line="240" w:lineRule="auto"/>
        <w:ind w:left="1559" w:hanging="357"/>
        <w:rPr>
          <w:rFonts w:ascii="Times New Roman" w:hAnsi="Times New Roman" w:cs="Times New Roman"/>
          <w:sz w:val="24"/>
          <w:szCs w:val="24"/>
        </w:rPr>
      </w:pPr>
      <w:r w:rsidRPr="00CA3907">
        <w:rPr>
          <w:rFonts w:ascii="Times New Roman" w:hAnsi="Times New Roman" w:cs="Times New Roman"/>
          <w:sz w:val="24"/>
          <w:szCs w:val="24"/>
        </w:rPr>
        <w:t xml:space="preserve">patients </w:t>
      </w:r>
      <w:r>
        <w:rPr>
          <w:rFonts w:ascii="Times New Roman" w:hAnsi="Times New Roman" w:cs="Times New Roman"/>
          <w:sz w:val="24"/>
          <w:szCs w:val="24"/>
        </w:rPr>
        <w:t xml:space="preserve">who </w:t>
      </w:r>
      <w:r w:rsidRPr="00CA3907">
        <w:rPr>
          <w:rFonts w:ascii="Times New Roman" w:hAnsi="Times New Roman" w:cs="Times New Roman"/>
          <w:sz w:val="24"/>
          <w:szCs w:val="24"/>
        </w:rPr>
        <w:t xml:space="preserve">were excluded </w:t>
      </w:r>
      <w:r w:rsidR="00CE324C">
        <w:rPr>
          <w:rFonts w:ascii="Times New Roman" w:hAnsi="Times New Roman" w:cs="Times New Roman"/>
          <w:sz w:val="24"/>
          <w:szCs w:val="24"/>
        </w:rPr>
        <w:t xml:space="preserve">from the intention to treat analysis </w:t>
      </w:r>
      <w:r w:rsidRPr="00CA3907">
        <w:rPr>
          <w:rFonts w:ascii="Times New Roman" w:hAnsi="Times New Roman" w:cs="Times New Roman"/>
          <w:sz w:val="24"/>
          <w:szCs w:val="24"/>
        </w:rPr>
        <w:t>after randomisation</w:t>
      </w:r>
      <w:r w:rsidRPr="00CA3907">
        <w:rPr>
          <w:rFonts w:ascii="Times New Roman" w:hAnsi="Times New Roman" w:cs="Times New Roman"/>
          <w:sz w:val="24"/>
          <w:szCs w:val="24"/>
          <w:lang w:val="en-US"/>
        </w:rPr>
        <w:t xml:space="preserve"> (more in the chemo</w:t>
      </w:r>
      <w:r>
        <w:rPr>
          <w:rFonts w:ascii="Times New Roman" w:hAnsi="Times New Roman" w:cs="Times New Roman"/>
          <w:sz w:val="24"/>
          <w:szCs w:val="24"/>
          <w:lang w:val="en-US"/>
        </w:rPr>
        <w:t xml:space="preserve">therapy plus </w:t>
      </w:r>
      <w:r w:rsidRPr="00CA3907">
        <w:rPr>
          <w:rFonts w:ascii="Times New Roman" w:hAnsi="Times New Roman" w:cs="Times New Roman"/>
          <w:sz w:val="24"/>
          <w:szCs w:val="24"/>
          <w:lang w:val="en-US"/>
        </w:rPr>
        <w:t xml:space="preserve">endocrine </w:t>
      </w:r>
      <w:r>
        <w:rPr>
          <w:rFonts w:ascii="Times New Roman" w:hAnsi="Times New Roman" w:cs="Times New Roman"/>
          <w:sz w:val="24"/>
          <w:szCs w:val="24"/>
          <w:lang w:val="en-US"/>
        </w:rPr>
        <w:t xml:space="preserve">therapy </w:t>
      </w:r>
      <w:r w:rsidRPr="00CA3907">
        <w:rPr>
          <w:rFonts w:ascii="Times New Roman" w:hAnsi="Times New Roman" w:cs="Times New Roman"/>
          <w:sz w:val="24"/>
          <w:szCs w:val="24"/>
          <w:lang w:val="en-US"/>
        </w:rPr>
        <w:t>arm</w:t>
      </w:r>
      <w:r>
        <w:rPr>
          <w:rFonts w:ascii="Times New Roman" w:hAnsi="Times New Roman" w:cs="Times New Roman"/>
          <w:sz w:val="24"/>
          <w:szCs w:val="24"/>
          <w:lang w:val="en-US"/>
        </w:rPr>
        <w:t xml:space="preserve"> [137, 4%] than in the endocrine therapy alone arm [59, 2%]</w:t>
      </w:r>
      <w:r w:rsidRPr="00CA3907">
        <w:rPr>
          <w:rFonts w:ascii="Times New Roman" w:hAnsi="Times New Roman" w:cs="Times New Roman"/>
          <w:sz w:val="24"/>
          <w:szCs w:val="24"/>
          <w:lang w:val="en-US"/>
        </w:rPr>
        <w:t>)</w:t>
      </w:r>
    </w:p>
    <w:p w14:paraId="78EB2C1A" w14:textId="77777777" w:rsidR="007E0521" w:rsidRPr="00CA3907" w:rsidRDefault="007E0521" w:rsidP="00375B02">
      <w:pPr>
        <w:pStyle w:val="Bullet"/>
        <w:numPr>
          <w:ilvl w:val="1"/>
          <w:numId w:val="3"/>
        </w:numPr>
        <w:tabs>
          <w:tab w:val="clear" w:pos="1440"/>
        </w:tabs>
        <w:spacing w:after="120" w:line="240" w:lineRule="auto"/>
        <w:ind w:left="1559" w:hanging="357"/>
        <w:rPr>
          <w:rFonts w:ascii="Times New Roman" w:hAnsi="Times New Roman" w:cs="Times New Roman"/>
          <w:sz w:val="24"/>
          <w:szCs w:val="24"/>
        </w:rPr>
      </w:pPr>
      <w:r w:rsidRPr="007E0521">
        <w:rPr>
          <w:rFonts w:ascii="Times New Roman" w:hAnsi="Times New Roman" w:cs="Times New Roman"/>
          <w:sz w:val="24"/>
          <w:szCs w:val="24"/>
        </w:rPr>
        <w:t>crossover</w:t>
      </w:r>
      <w:r w:rsidRPr="00CA390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treatments given </w:t>
      </w:r>
      <w:r w:rsidRPr="00CA3907">
        <w:rPr>
          <w:rFonts w:ascii="Times New Roman" w:hAnsi="Times New Roman" w:cs="Times New Roman"/>
          <w:sz w:val="24"/>
          <w:szCs w:val="24"/>
          <w:lang w:val="en-US"/>
        </w:rPr>
        <w:t>between groups (</w:t>
      </w:r>
      <w:r>
        <w:rPr>
          <w:rFonts w:ascii="Times New Roman" w:hAnsi="Times New Roman" w:cs="Times New Roman"/>
          <w:sz w:val="24"/>
          <w:szCs w:val="24"/>
          <w:lang w:val="en-US"/>
        </w:rPr>
        <w:t xml:space="preserve">i.e. there were more </w:t>
      </w:r>
      <w:r w:rsidRPr="00CA3907">
        <w:rPr>
          <w:rFonts w:ascii="Times New Roman" w:hAnsi="Times New Roman" w:cs="Times New Roman"/>
          <w:sz w:val="24"/>
          <w:szCs w:val="24"/>
          <w:lang w:val="en-US"/>
        </w:rPr>
        <w:t>patients in the chemo</w:t>
      </w:r>
      <w:r>
        <w:rPr>
          <w:rFonts w:ascii="Times New Roman" w:hAnsi="Times New Roman" w:cs="Times New Roman"/>
          <w:sz w:val="24"/>
          <w:szCs w:val="24"/>
          <w:lang w:val="en-US"/>
        </w:rPr>
        <w:t xml:space="preserve">therapy plus </w:t>
      </w:r>
      <w:r w:rsidRPr="00CA3907">
        <w:rPr>
          <w:rFonts w:ascii="Times New Roman" w:hAnsi="Times New Roman" w:cs="Times New Roman"/>
          <w:sz w:val="24"/>
          <w:szCs w:val="24"/>
          <w:lang w:val="en-US"/>
        </w:rPr>
        <w:t xml:space="preserve">endocrine </w:t>
      </w:r>
      <w:r>
        <w:rPr>
          <w:rFonts w:ascii="Times New Roman" w:hAnsi="Times New Roman" w:cs="Times New Roman"/>
          <w:sz w:val="24"/>
          <w:szCs w:val="24"/>
          <w:lang w:val="en-US"/>
        </w:rPr>
        <w:t xml:space="preserve">therapy </w:t>
      </w:r>
      <w:r w:rsidRPr="00CA3907">
        <w:rPr>
          <w:rFonts w:ascii="Times New Roman" w:hAnsi="Times New Roman" w:cs="Times New Roman"/>
          <w:sz w:val="24"/>
          <w:szCs w:val="24"/>
          <w:lang w:val="en-US"/>
        </w:rPr>
        <w:t xml:space="preserve">arm who did not receive </w:t>
      </w:r>
      <w:r w:rsidRPr="00CA3907">
        <w:rPr>
          <w:rFonts w:ascii="Times New Roman" w:hAnsi="Times New Roman" w:cs="Times New Roman"/>
          <w:sz w:val="24"/>
          <w:szCs w:val="24"/>
          <w:lang w:val="en-US"/>
        </w:rPr>
        <w:lastRenderedPageBreak/>
        <w:t>chemotherapy</w:t>
      </w:r>
      <w:r>
        <w:rPr>
          <w:rFonts w:ascii="Times New Roman" w:hAnsi="Times New Roman" w:cs="Times New Roman"/>
          <w:sz w:val="24"/>
          <w:szCs w:val="24"/>
          <w:lang w:val="en-US"/>
        </w:rPr>
        <w:t xml:space="preserve"> [608, 18%]</w:t>
      </w:r>
      <w:r w:rsidRPr="00CA3907">
        <w:rPr>
          <w:rFonts w:ascii="Times New Roman" w:hAnsi="Times New Roman" w:cs="Times New Roman"/>
          <w:sz w:val="24"/>
          <w:szCs w:val="24"/>
          <w:lang w:val="en-US"/>
        </w:rPr>
        <w:t xml:space="preserve">, </w:t>
      </w:r>
      <w:r>
        <w:rPr>
          <w:rFonts w:ascii="Times New Roman" w:hAnsi="Times New Roman" w:cs="Times New Roman"/>
          <w:sz w:val="24"/>
          <w:szCs w:val="24"/>
          <w:lang w:val="en-US"/>
        </w:rPr>
        <w:t>than</w:t>
      </w:r>
      <w:r w:rsidRPr="00CA3907">
        <w:rPr>
          <w:rFonts w:ascii="Times New Roman" w:hAnsi="Times New Roman" w:cs="Times New Roman"/>
          <w:sz w:val="24"/>
          <w:szCs w:val="24"/>
          <w:lang w:val="en-US"/>
        </w:rPr>
        <w:t xml:space="preserve"> patients in the endocrine </w:t>
      </w:r>
      <w:r>
        <w:rPr>
          <w:rFonts w:ascii="Times New Roman" w:hAnsi="Times New Roman" w:cs="Times New Roman"/>
          <w:sz w:val="24"/>
          <w:szCs w:val="24"/>
          <w:lang w:val="en-US"/>
        </w:rPr>
        <w:t>therapy alone</w:t>
      </w:r>
      <w:r w:rsidRPr="00CA3907">
        <w:rPr>
          <w:rFonts w:ascii="Times New Roman" w:hAnsi="Times New Roman" w:cs="Times New Roman"/>
          <w:sz w:val="24"/>
          <w:szCs w:val="24"/>
          <w:lang w:val="en-US"/>
        </w:rPr>
        <w:t xml:space="preserve"> arm who </w:t>
      </w:r>
      <w:r>
        <w:rPr>
          <w:rFonts w:ascii="Times New Roman" w:hAnsi="Times New Roman" w:cs="Times New Roman"/>
          <w:sz w:val="24"/>
          <w:szCs w:val="24"/>
          <w:lang w:val="en-US"/>
        </w:rPr>
        <w:t xml:space="preserve">did </w:t>
      </w:r>
      <w:r w:rsidRPr="00CA3907">
        <w:rPr>
          <w:rFonts w:ascii="Times New Roman" w:hAnsi="Times New Roman" w:cs="Times New Roman"/>
          <w:sz w:val="24"/>
          <w:szCs w:val="24"/>
          <w:lang w:val="en-US"/>
        </w:rPr>
        <w:t>receive adjuvant chemotherapy</w:t>
      </w:r>
      <w:r>
        <w:rPr>
          <w:rFonts w:ascii="Times New Roman" w:hAnsi="Times New Roman" w:cs="Times New Roman"/>
          <w:sz w:val="24"/>
          <w:szCs w:val="24"/>
          <w:lang w:val="en-US"/>
        </w:rPr>
        <w:t xml:space="preserve"> [185, 5%]</w:t>
      </w:r>
      <w:r w:rsidRPr="00CA3907">
        <w:rPr>
          <w:rFonts w:ascii="Times New Roman" w:hAnsi="Times New Roman" w:cs="Times New Roman"/>
          <w:sz w:val="24"/>
          <w:szCs w:val="24"/>
          <w:lang w:val="en-US"/>
        </w:rPr>
        <w:t>)</w:t>
      </w:r>
    </w:p>
    <w:p w14:paraId="7107DB47" w14:textId="77777777" w:rsidR="007E0521" w:rsidRPr="00CA3907" w:rsidRDefault="007E0521" w:rsidP="00375B02">
      <w:pPr>
        <w:pStyle w:val="Bullet"/>
        <w:numPr>
          <w:ilvl w:val="1"/>
          <w:numId w:val="3"/>
        </w:numPr>
        <w:tabs>
          <w:tab w:val="clear" w:pos="1440"/>
        </w:tabs>
        <w:spacing w:after="120" w:line="240" w:lineRule="auto"/>
        <w:ind w:left="1560"/>
        <w:rPr>
          <w:rFonts w:ascii="Times New Roman" w:hAnsi="Times New Roman" w:cs="Times New Roman"/>
          <w:sz w:val="24"/>
          <w:szCs w:val="24"/>
        </w:rPr>
      </w:pPr>
      <w:r w:rsidRPr="007E0521">
        <w:rPr>
          <w:rFonts w:ascii="Times New Roman" w:hAnsi="Times New Roman" w:cs="Times New Roman"/>
          <w:sz w:val="24"/>
          <w:szCs w:val="24"/>
        </w:rPr>
        <w:t>patients</w:t>
      </w:r>
      <w:r>
        <w:rPr>
          <w:rFonts w:ascii="Times New Roman" w:hAnsi="Times New Roman" w:cs="Times New Roman"/>
          <w:sz w:val="24"/>
          <w:szCs w:val="24"/>
          <w:lang w:val="en-US"/>
        </w:rPr>
        <w:t xml:space="preserve"> who withdrew consent</w:t>
      </w:r>
      <w:r w:rsidRPr="00CA3907">
        <w:rPr>
          <w:rFonts w:ascii="Times New Roman" w:hAnsi="Times New Roman" w:cs="Times New Roman"/>
          <w:sz w:val="24"/>
          <w:szCs w:val="24"/>
          <w:lang w:val="en-US"/>
        </w:rPr>
        <w:t xml:space="preserve"> (more in the chemo</w:t>
      </w:r>
      <w:r>
        <w:rPr>
          <w:rFonts w:ascii="Times New Roman" w:hAnsi="Times New Roman" w:cs="Times New Roman"/>
          <w:sz w:val="24"/>
          <w:szCs w:val="24"/>
          <w:lang w:val="en-US"/>
        </w:rPr>
        <w:t xml:space="preserve">therapy plus </w:t>
      </w:r>
      <w:r w:rsidRPr="00CA3907">
        <w:rPr>
          <w:rFonts w:ascii="Times New Roman" w:hAnsi="Times New Roman" w:cs="Times New Roman"/>
          <w:sz w:val="24"/>
          <w:szCs w:val="24"/>
          <w:lang w:val="en-US"/>
        </w:rPr>
        <w:t xml:space="preserve">endocrine </w:t>
      </w:r>
      <w:r>
        <w:rPr>
          <w:rFonts w:ascii="Times New Roman" w:hAnsi="Times New Roman" w:cs="Times New Roman"/>
          <w:sz w:val="24"/>
          <w:szCs w:val="24"/>
          <w:lang w:val="en-US"/>
        </w:rPr>
        <w:t xml:space="preserve">therapy </w:t>
      </w:r>
      <w:r w:rsidRPr="00CA3907">
        <w:rPr>
          <w:rFonts w:ascii="Times New Roman" w:hAnsi="Times New Roman" w:cs="Times New Roman"/>
          <w:sz w:val="24"/>
          <w:szCs w:val="24"/>
          <w:lang w:val="en-US"/>
        </w:rPr>
        <w:t>arm</w:t>
      </w:r>
      <w:r>
        <w:rPr>
          <w:rFonts w:ascii="Times New Roman" w:hAnsi="Times New Roman" w:cs="Times New Roman"/>
          <w:sz w:val="24"/>
          <w:szCs w:val="24"/>
          <w:lang w:val="en-US"/>
        </w:rPr>
        <w:t xml:space="preserve"> [148, 4%] than in the endocrine therapy alone arm [116, 3%])</w:t>
      </w:r>
    </w:p>
    <w:p w14:paraId="55741A1E" w14:textId="66BC88B3" w:rsidR="007E0521" w:rsidRPr="00BC1FC9" w:rsidRDefault="007E0521" w:rsidP="00B24C63">
      <w:pPr>
        <w:pStyle w:val="Bullet"/>
        <w:numPr>
          <w:ilvl w:val="1"/>
          <w:numId w:val="3"/>
        </w:numPr>
        <w:tabs>
          <w:tab w:val="clear" w:pos="1440"/>
        </w:tabs>
        <w:spacing w:after="240" w:line="240" w:lineRule="auto"/>
        <w:ind w:left="1559" w:hanging="357"/>
        <w:rPr>
          <w:rFonts w:ascii="Times New Roman" w:hAnsi="Times New Roman" w:cs="Times New Roman"/>
          <w:sz w:val="24"/>
          <w:szCs w:val="24"/>
        </w:rPr>
      </w:pPr>
      <w:r w:rsidRPr="007E0521">
        <w:rPr>
          <w:rFonts w:ascii="Times New Roman" w:hAnsi="Times New Roman" w:cs="Times New Roman"/>
          <w:sz w:val="24"/>
          <w:szCs w:val="24"/>
        </w:rPr>
        <w:t>patients</w:t>
      </w:r>
      <w:r>
        <w:rPr>
          <w:rFonts w:ascii="Times New Roman" w:hAnsi="Times New Roman" w:cs="Times New Roman"/>
          <w:sz w:val="24"/>
          <w:szCs w:val="24"/>
          <w:lang w:val="en-US"/>
        </w:rPr>
        <w:t xml:space="preserve"> who were </w:t>
      </w:r>
      <w:r w:rsidRPr="00CA3907">
        <w:rPr>
          <w:rFonts w:ascii="Times New Roman" w:hAnsi="Times New Roman" w:cs="Times New Roman"/>
          <w:sz w:val="24"/>
          <w:szCs w:val="24"/>
          <w:lang w:val="en-US"/>
        </w:rPr>
        <w:t>los</w:t>
      </w:r>
      <w:r>
        <w:rPr>
          <w:rFonts w:ascii="Times New Roman" w:hAnsi="Times New Roman" w:cs="Times New Roman"/>
          <w:sz w:val="24"/>
          <w:szCs w:val="24"/>
          <w:lang w:val="en-US"/>
        </w:rPr>
        <w:t>t</w:t>
      </w:r>
      <w:r w:rsidRPr="00CA3907">
        <w:rPr>
          <w:rFonts w:ascii="Times New Roman" w:hAnsi="Times New Roman" w:cs="Times New Roman"/>
          <w:sz w:val="24"/>
          <w:szCs w:val="24"/>
          <w:lang w:val="en-US"/>
        </w:rPr>
        <w:t xml:space="preserve"> to follow-up (</w:t>
      </w:r>
      <w:r>
        <w:rPr>
          <w:rFonts w:ascii="Times New Roman" w:hAnsi="Times New Roman" w:cs="Times New Roman"/>
          <w:sz w:val="24"/>
          <w:szCs w:val="24"/>
          <w:lang w:val="en-US"/>
        </w:rPr>
        <w:t>similar</w:t>
      </w:r>
      <w:r w:rsidRPr="00CA3907">
        <w:rPr>
          <w:rFonts w:ascii="Times New Roman" w:hAnsi="Times New Roman" w:cs="Times New Roman"/>
          <w:sz w:val="24"/>
          <w:szCs w:val="24"/>
          <w:lang w:val="en-US"/>
        </w:rPr>
        <w:t xml:space="preserve"> in the chemo</w:t>
      </w:r>
      <w:r>
        <w:rPr>
          <w:rFonts w:ascii="Times New Roman" w:hAnsi="Times New Roman" w:cs="Times New Roman"/>
          <w:sz w:val="24"/>
          <w:szCs w:val="24"/>
          <w:lang w:val="en-US"/>
        </w:rPr>
        <w:t xml:space="preserve">therapy plus </w:t>
      </w:r>
      <w:r w:rsidRPr="00CA3907">
        <w:rPr>
          <w:rFonts w:ascii="Times New Roman" w:hAnsi="Times New Roman" w:cs="Times New Roman"/>
          <w:sz w:val="24"/>
          <w:szCs w:val="24"/>
          <w:lang w:val="en-US"/>
        </w:rPr>
        <w:t xml:space="preserve">endocrine </w:t>
      </w:r>
      <w:r>
        <w:rPr>
          <w:rFonts w:ascii="Times New Roman" w:hAnsi="Times New Roman" w:cs="Times New Roman"/>
          <w:sz w:val="24"/>
          <w:szCs w:val="24"/>
          <w:lang w:val="en-US"/>
        </w:rPr>
        <w:t xml:space="preserve">therapy </w:t>
      </w:r>
      <w:r w:rsidRPr="00CA3907">
        <w:rPr>
          <w:rFonts w:ascii="Times New Roman" w:hAnsi="Times New Roman" w:cs="Times New Roman"/>
          <w:sz w:val="24"/>
          <w:szCs w:val="24"/>
          <w:lang w:val="en-US"/>
        </w:rPr>
        <w:t>arm</w:t>
      </w:r>
      <w:r>
        <w:rPr>
          <w:rFonts w:ascii="Times New Roman" w:hAnsi="Times New Roman" w:cs="Times New Roman"/>
          <w:sz w:val="24"/>
          <w:szCs w:val="24"/>
          <w:lang w:val="en-US"/>
        </w:rPr>
        <w:t xml:space="preserve"> [208, 6%] and in the endocrine therapy alone arm [224, 6%]</w:t>
      </w:r>
      <w:r w:rsidRPr="00CA3907">
        <w:rPr>
          <w:rFonts w:ascii="Times New Roman" w:hAnsi="Times New Roman" w:cs="Times New Roman"/>
          <w:sz w:val="24"/>
          <w:szCs w:val="24"/>
          <w:lang w:val="en-US"/>
        </w:rPr>
        <w:t>)</w:t>
      </w:r>
      <w:r w:rsidR="00BC1FC9">
        <w:rPr>
          <w:rFonts w:ascii="Times New Roman" w:hAnsi="Times New Roman" w:cs="Times New Roman"/>
          <w:sz w:val="24"/>
          <w:szCs w:val="24"/>
          <w:lang w:val="en-US"/>
        </w:rPr>
        <w:t>.</w:t>
      </w:r>
    </w:p>
    <w:p w14:paraId="49E717DE" w14:textId="77777777" w:rsidR="00BC1FC9" w:rsidRPr="00B24C63" w:rsidRDefault="00BC1FC9" w:rsidP="00B24C63">
      <w:pPr>
        <w:rPr>
          <w:rFonts w:ascii="Arial Narrow" w:hAnsi="Arial Narrow"/>
          <w:b/>
          <w:sz w:val="20"/>
        </w:rPr>
      </w:pPr>
      <w:r w:rsidRPr="00B24C63">
        <w:rPr>
          <w:rFonts w:ascii="Arial Narrow" w:hAnsi="Arial Narrow"/>
          <w:b/>
          <w:sz w:val="20"/>
        </w:rPr>
        <w:t>Table 1</w:t>
      </w:r>
      <w:r w:rsidRPr="00B24C63">
        <w:rPr>
          <w:rFonts w:ascii="Arial Narrow" w:hAnsi="Arial Narrow"/>
          <w:b/>
          <w:sz w:val="20"/>
        </w:rPr>
        <w:tab/>
        <w:t>Flow of randomised patients in Sparano et al (NEJM, 2018)</w:t>
      </w:r>
    </w:p>
    <w:tbl>
      <w:tblPr>
        <w:tblStyle w:val="TableGrid"/>
        <w:tblW w:w="0" w:type="auto"/>
        <w:tblLook w:val="04A0" w:firstRow="1" w:lastRow="0" w:firstColumn="1" w:lastColumn="0" w:noHBand="0" w:noVBand="1"/>
        <w:tblDescription w:val="Flow of randomised patients in Sparano et al (NEJM, 2018)"/>
      </w:tblPr>
      <w:tblGrid>
        <w:gridCol w:w="3823"/>
        <w:gridCol w:w="2693"/>
        <w:gridCol w:w="2500"/>
      </w:tblGrid>
      <w:tr w:rsidR="00BC1FC9" w:rsidRPr="009C2EC9" w14:paraId="54F8BFC2" w14:textId="77777777" w:rsidTr="00B24C63">
        <w:trPr>
          <w:tblHeader/>
        </w:trPr>
        <w:tc>
          <w:tcPr>
            <w:tcW w:w="3823" w:type="dxa"/>
          </w:tcPr>
          <w:p w14:paraId="418B6C73" w14:textId="77777777" w:rsidR="00BC1FC9" w:rsidRPr="009C2EC9" w:rsidRDefault="00BC1FC9" w:rsidP="00D507CA">
            <w:pPr>
              <w:rPr>
                <w:rFonts w:ascii="Arial Narrow" w:hAnsi="Arial Narrow"/>
                <w:b/>
                <w:sz w:val="20"/>
              </w:rPr>
            </w:pPr>
            <w:r>
              <w:rPr>
                <w:rFonts w:ascii="Arial Narrow" w:hAnsi="Arial Narrow"/>
                <w:b/>
                <w:sz w:val="20"/>
              </w:rPr>
              <w:t xml:space="preserve">Registered trial participants with </w:t>
            </w:r>
            <w:r w:rsidRPr="009C2EC9">
              <w:rPr>
                <w:rFonts w:ascii="Arial Narrow" w:hAnsi="Arial Narrow"/>
                <w:b/>
                <w:sz w:val="20"/>
              </w:rPr>
              <w:t>RS = 11-25</w:t>
            </w:r>
          </w:p>
        </w:tc>
        <w:tc>
          <w:tcPr>
            <w:tcW w:w="2693" w:type="dxa"/>
          </w:tcPr>
          <w:p w14:paraId="1CCC5896" w14:textId="77777777" w:rsidR="00BC1FC9" w:rsidRPr="009C2EC9" w:rsidRDefault="00BC1FC9" w:rsidP="00D507CA">
            <w:pPr>
              <w:jc w:val="center"/>
              <w:rPr>
                <w:rFonts w:ascii="Arial Narrow" w:hAnsi="Arial Narrow"/>
                <w:b/>
                <w:sz w:val="20"/>
              </w:rPr>
            </w:pPr>
            <w:r w:rsidRPr="009C2EC9">
              <w:rPr>
                <w:rFonts w:ascii="Arial Narrow" w:hAnsi="Arial Narrow"/>
                <w:b/>
                <w:sz w:val="20"/>
              </w:rPr>
              <w:t>Chemotherapy + endocrine therapy arm</w:t>
            </w:r>
          </w:p>
        </w:tc>
        <w:tc>
          <w:tcPr>
            <w:tcW w:w="2500" w:type="dxa"/>
          </w:tcPr>
          <w:p w14:paraId="666F400A" w14:textId="77777777" w:rsidR="00BC1FC9" w:rsidRPr="009C2EC9" w:rsidRDefault="00BC1FC9" w:rsidP="00D507CA">
            <w:pPr>
              <w:jc w:val="center"/>
              <w:rPr>
                <w:rFonts w:ascii="Arial Narrow" w:hAnsi="Arial Narrow"/>
                <w:b/>
                <w:sz w:val="20"/>
              </w:rPr>
            </w:pPr>
            <w:r w:rsidRPr="009C2EC9">
              <w:rPr>
                <w:rFonts w:ascii="Arial Narrow" w:hAnsi="Arial Narrow"/>
                <w:b/>
                <w:sz w:val="20"/>
              </w:rPr>
              <w:t xml:space="preserve">Endocrine therapy </w:t>
            </w:r>
            <w:r>
              <w:rPr>
                <w:rFonts w:ascii="Arial Narrow" w:hAnsi="Arial Narrow"/>
                <w:b/>
                <w:sz w:val="20"/>
              </w:rPr>
              <w:t>al</w:t>
            </w:r>
            <w:r w:rsidRPr="009C2EC9">
              <w:rPr>
                <w:rFonts w:ascii="Arial Narrow" w:hAnsi="Arial Narrow"/>
                <w:b/>
                <w:sz w:val="20"/>
              </w:rPr>
              <w:t>on</w:t>
            </w:r>
            <w:r>
              <w:rPr>
                <w:rFonts w:ascii="Arial Narrow" w:hAnsi="Arial Narrow"/>
                <w:b/>
                <w:sz w:val="20"/>
              </w:rPr>
              <w:t>e</w:t>
            </w:r>
            <w:r w:rsidRPr="009C2EC9">
              <w:rPr>
                <w:rFonts w:ascii="Arial Narrow" w:hAnsi="Arial Narrow"/>
                <w:b/>
                <w:sz w:val="20"/>
              </w:rPr>
              <w:t xml:space="preserve"> arm</w:t>
            </w:r>
          </w:p>
        </w:tc>
      </w:tr>
      <w:tr w:rsidR="00BC1FC9" w:rsidRPr="009C2EC9" w14:paraId="03B72F0B" w14:textId="77777777" w:rsidTr="00D507CA">
        <w:tc>
          <w:tcPr>
            <w:tcW w:w="3823" w:type="dxa"/>
          </w:tcPr>
          <w:p w14:paraId="65E1668B" w14:textId="77777777" w:rsidR="00BC1FC9" w:rsidRPr="009C2EC9" w:rsidRDefault="00BC1FC9" w:rsidP="00D507CA">
            <w:pPr>
              <w:rPr>
                <w:rFonts w:ascii="Arial Narrow" w:hAnsi="Arial Narrow"/>
                <w:sz w:val="20"/>
              </w:rPr>
            </w:pPr>
            <w:r w:rsidRPr="009C2EC9">
              <w:rPr>
                <w:rFonts w:ascii="Arial Narrow" w:hAnsi="Arial Narrow"/>
                <w:sz w:val="20"/>
              </w:rPr>
              <w:t>Randomised</w:t>
            </w:r>
          </w:p>
        </w:tc>
        <w:tc>
          <w:tcPr>
            <w:tcW w:w="2693" w:type="dxa"/>
          </w:tcPr>
          <w:p w14:paraId="1327C002" w14:textId="77777777" w:rsidR="00BC1FC9" w:rsidRPr="009C2EC9" w:rsidRDefault="00BC1FC9" w:rsidP="00D507CA">
            <w:pPr>
              <w:jc w:val="center"/>
              <w:rPr>
                <w:rFonts w:ascii="Arial Narrow" w:hAnsi="Arial Narrow"/>
                <w:sz w:val="20"/>
              </w:rPr>
            </w:pPr>
            <w:r>
              <w:rPr>
                <w:rFonts w:ascii="Arial Narrow" w:hAnsi="Arial Narrow"/>
                <w:sz w:val="20"/>
              </w:rPr>
              <w:t>3449 (100%)</w:t>
            </w:r>
          </w:p>
        </w:tc>
        <w:tc>
          <w:tcPr>
            <w:tcW w:w="2500" w:type="dxa"/>
          </w:tcPr>
          <w:p w14:paraId="76FDDA93" w14:textId="77777777" w:rsidR="00BC1FC9" w:rsidRPr="009C2EC9" w:rsidRDefault="00BC1FC9" w:rsidP="00D507CA">
            <w:pPr>
              <w:jc w:val="center"/>
              <w:rPr>
                <w:rFonts w:ascii="Arial Narrow" w:hAnsi="Arial Narrow"/>
                <w:sz w:val="20"/>
              </w:rPr>
            </w:pPr>
            <w:r>
              <w:rPr>
                <w:rFonts w:ascii="Arial Narrow" w:hAnsi="Arial Narrow"/>
                <w:sz w:val="20"/>
              </w:rPr>
              <w:t>3458 (100%)</w:t>
            </w:r>
          </w:p>
        </w:tc>
      </w:tr>
      <w:tr w:rsidR="00BC1FC9" w:rsidRPr="009C2EC9" w14:paraId="49F9B49E" w14:textId="77777777" w:rsidTr="00D507CA">
        <w:tc>
          <w:tcPr>
            <w:tcW w:w="3823" w:type="dxa"/>
          </w:tcPr>
          <w:p w14:paraId="2594735E" w14:textId="77777777" w:rsidR="00BC1FC9" w:rsidRPr="009C2EC9" w:rsidRDefault="00BC1FC9" w:rsidP="00D507CA">
            <w:pPr>
              <w:rPr>
                <w:rFonts w:ascii="Arial Narrow" w:hAnsi="Arial Narrow"/>
                <w:sz w:val="20"/>
              </w:rPr>
            </w:pPr>
            <w:r w:rsidRPr="009C2EC9">
              <w:rPr>
                <w:rFonts w:ascii="Arial Narrow" w:hAnsi="Arial Narrow"/>
                <w:sz w:val="20"/>
              </w:rPr>
              <w:t xml:space="preserve">Excluded from </w:t>
            </w:r>
            <w:r>
              <w:rPr>
                <w:rFonts w:ascii="Arial Narrow" w:hAnsi="Arial Narrow"/>
                <w:sz w:val="20"/>
              </w:rPr>
              <w:t>intention-to-treat</w:t>
            </w:r>
            <w:r w:rsidRPr="009C2EC9">
              <w:rPr>
                <w:rFonts w:ascii="Arial Narrow" w:hAnsi="Arial Narrow"/>
                <w:sz w:val="20"/>
              </w:rPr>
              <w:t xml:space="preserve"> analysis</w:t>
            </w:r>
          </w:p>
        </w:tc>
        <w:tc>
          <w:tcPr>
            <w:tcW w:w="2693" w:type="dxa"/>
          </w:tcPr>
          <w:p w14:paraId="4B1AA3BB" w14:textId="77777777" w:rsidR="00BC1FC9" w:rsidRPr="009C2EC9" w:rsidRDefault="00BC1FC9" w:rsidP="00D507CA">
            <w:pPr>
              <w:jc w:val="center"/>
              <w:rPr>
                <w:rFonts w:ascii="Arial Narrow" w:hAnsi="Arial Narrow"/>
                <w:sz w:val="20"/>
              </w:rPr>
            </w:pPr>
            <w:r>
              <w:rPr>
                <w:rFonts w:ascii="Arial Narrow" w:hAnsi="Arial Narrow"/>
                <w:sz w:val="20"/>
              </w:rPr>
              <w:t>137 (4%)</w:t>
            </w:r>
          </w:p>
        </w:tc>
        <w:tc>
          <w:tcPr>
            <w:tcW w:w="2500" w:type="dxa"/>
          </w:tcPr>
          <w:p w14:paraId="58081AD1" w14:textId="77777777" w:rsidR="00BC1FC9" w:rsidRPr="009C2EC9" w:rsidRDefault="00BC1FC9" w:rsidP="00D507CA">
            <w:pPr>
              <w:jc w:val="center"/>
              <w:rPr>
                <w:rFonts w:ascii="Arial Narrow" w:hAnsi="Arial Narrow"/>
                <w:sz w:val="20"/>
              </w:rPr>
            </w:pPr>
            <w:r>
              <w:rPr>
                <w:rFonts w:ascii="Arial Narrow" w:hAnsi="Arial Narrow"/>
                <w:sz w:val="20"/>
              </w:rPr>
              <w:t>59 (2%)</w:t>
            </w:r>
          </w:p>
        </w:tc>
      </w:tr>
      <w:tr w:rsidR="00BC1FC9" w:rsidRPr="009C2EC9" w14:paraId="53B88F42" w14:textId="77777777" w:rsidTr="00D507CA">
        <w:tc>
          <w:tcPr>
            <w:tcW w:w="3823" w:type="dxa"/>
          </w:tcPr>
          <w:p w14:paraId="0B92F26F" w14:textId="77777777" w:rsidR="00BC1FC9" w:rsidRPr="009C2EC9" w:rsidRDefault="00BC1FC9" w:rsidP="00D507CA">
            <w:pPr>
              <w:rPr>
                <w:rFonts w:ascii="Arial Narrow" w:hAnsi="Arial Narrow"/>
                <w:sz w:val="20"/>
              </w:rPr>
            </w:pPr>
            <w:r w:rsidRPr="009C2EC9">
              <w:rPr>
                <w:rFonts w:ascii="Arial Narrow" w:hAnsi="Arial Narrow"/>
                <w:sz w:val="20"/>
              </w:rPr>
              <w:t xml:space="preserve">Received endocrine therapy </w:t>
            </w:r>
            <w:r>
              <w:rPr>
                <w:rFonts w:ascii="Arial Narrow" w:hAnsi="Arial Narrow"/>
                <w:sz w:val="20"/>
              </w:rPr>
              <w:t>alone</w:t>
            </w:r>
          </w:p>
        </w:tc>
        <w:tc>
          <w:tcPr>
            <w:tcW w:w="2693" w:type="dxa"/>
          </w:tcPr>
          <w:p w14:paraId="1F6B486B" w14:textId="77777777" w:rsidR="00BC1FC9" w:rsidRPr="009C2EC9" w:rsidRDefault="00BC1FC9" w:rsidP="00D507CA">
            <w:pPr>
              <w:jc w:val="center"/>
              <w:rPr>
                <w:rFonts w:ascii="Arial Narrow" w:hAnsi="Arial Narrow"/>
                <w:sz w:val="20"/>
              </w:rPr>
            </w:pPr>
            <w:r>
              <w:rPr>
                <w:rFonts w:ascii="Arial Narrow" w:hAnsi="Arial Narrow"/>
                <w:sz w:val="20"/>
              </w:rPr>
              <w:t>608 (18%)</w:t>
            </w:r>
          </w:p>
        </w:tc>
        <w:tc>
          <w:tcPr>
            <w:tcW w:w="2500" w:type="dxa"/>
          </w:tcPr>
          <w:p w14:paraId="71C5FE45" w14:textId="77777777" w:rsidR="00BC1FC9" w:rsidRPr="009C2EC9" w:rsidRDefault="00BC1FC9" w:rsidP="00D507CA">
            <w:pPr>
              <w:jc w:val="center"/>
              <w:rPr>
                <w:rFonts w:ascii="Arial Narrow" w:hAnsi="Arial Narrow"/>
                <w:sz w:val="20"/>
              </w:rPr>
            </w:pPr>
            <w:r>
              <w:rPr>
                <w:rFonts w:ascii="Arial Narrow" w:hAnsi="Arial Narrow"/>
                <w:sz w:val="20"/>
              </w:rPr>
              <w:t>(not excluded)</w:t>
            </w:r>
          </w:p>
        </w:tc>
      </w:tr>
      <w:tr w:rsidR="00BC1FC9" w:rsidRPr="009C2EC9" w14:paraId="2CF6251B" w14:textId="77777777" w:rsidTr="00D507CA">
        <w:tc>
          <w:tcPr>
            <w:tcW w:w="3823" w:type="dxa"/>
          </w:tcPr>
          <w:p w14:paraId="6A5CA9EC" w14:textId="77777777" w:rsidR="00BC1FC9" w:rsidRPr="009C2EC9" w:rsidRDefault="00BC1FC9" w:rsidP="00D507CA">
            <w:pPr>
              <w:rPr>
                <w:rFonts w:ascii="Arial Narrow" w:hAnsi="Arial Narrow"/>
                <w:sz w:val="20"/>
              </w:rPr>
            </w:pPr>
            <w:r w:rsidRPr="009C2EC9">
              <w:rPr>
                <w:rFonts w:ascii="Arial Narrow" w:hAnsi="Arial Narrow"/>
                <w:sz w:val="20"/>
              </w:rPr>
              <w:t>Received chemotherapy + endocrine therapy</w:t>
            </w:r>
          </w:p>
        </w:tc>
        <w:tc>
          <w:tcPr>
            <w:tcW w:w="2693" w:type="dxa"/>
          </w:tcPr>
          <w:p w14:paraId="7FEF9F7E" w14:textId="77777777" w:rsidR="00BC1FC9" w:rsidRPr="009C2EC9" w:rsidRDefault="00BC1FC9" w:rsidP="00D507CA">
            <w:pPr>
              <w:jc w:val="center"/>
              <w:rPr>
                <w:rFonts w:ascii="Arial Narrow" w:hAnsi="Arial Narrow"/>
                <w:sz w:val="20"/>
              </w:rPr>
            </w:pPr>
            <w:r>
              <w:rPr>
                <w:rFonts w:ascii="Arial Narrow" w:hAnsi="Arial Narrow"/>
                <w:sz w:val="20"/>
              </w:rPr>
              <w:t>(not excluded)</w:t>
            </w:r>
          </w:p>
        </w:tc>
        <w:tc>
          <w:tcPr>
            <w:tcW w:w="2500" w:type="dxa"/>
          </w:tcPr>
          <w:p w14:paraId="26C6A008" w14:textId="77777777" w:rsidR="00BC1FC9" w:rsidRPr="009C2EC9" w:rsidRDefault="00BC1FC9" w:rsidP="00D507CA">
            <w:pPr>
              <w:jc w:val="center"/>
              <w:rPr>
                <w:rFonts w:ascii="Arial Narrow" w:hAnsi="Arial Narrow"/>
                <w:sz w:val="20"/>
              </w:rPr>
            </w:pPr>
            <w:r>
              <w:rPr>
                <w:rFonts w:ascii="Arial Narrow" w:hAnsi="Arial Narrow"/>
                <w:sz w:val="20"/>
              </w:rPr>
              <w:t>185 (5%)</w:t>
            </w:r>
          </w:p>
        </w:tc>
      </w:tr>
      <w:tr w:rsidR="00BC1FC9" w:rsidRPr="009C2EC9" w14:paraId="1C9CBFDE" w14:textId="77777777" w:rsidTr="00D507CA">
        <w:tc>
          <w:tcPr>
            <w:tcW w:w="3823" w:type="dxa"/>
          </w:tcPr>
          <w:p w14:paraId="79FA3A3F" w14:textId="77777777" w:rsidR="00BC1FC9" w:rsidRPr="009C2EC9" w:rsidRDefault="00BC1FC9" w:rsidP="00D507CA">
            <w:pPr>
              <w:rPr>
                <w:rFonts w:ascii="Arial Narrow" w:hAnsi="Arial Narrow"/>
                <w:sz w:val="20"/>
              </w:rPr>
            </w:pPr>
            <w:r w:rsidRPr="009C2EC9">
              <w:rPr>
                <w:rFonts w:ascii="Arial Narrow" w:hAnsi="Arial Narrow"/>
                <w:sz w:val="20"/>
              </w:rPr>
              <w:t>Withdrew consent</w:t>
            </w:r>
          </w:p>
        </w:tc>
        <w:tc>
          <w:tcPr>
            <w:tcW w:w="2693" w:type="dxa"/>
          </w:tcPr>
          <w:p w14:paraId="0F9980FF" w14:textId="77777777" w:rsidR="00BC1FC9" w:rsidRPr="009C2EC9" w:rsidRDefault="00BC1FC9" w:rsidP="00D507CA">
            <w:pPr>
              <w:jc w:val="center"/>
              <w:rPr>
                <w:rFonts w:ascii="Arial Narrow" w:hAnsi="Arial Narrow"/>
                <w:sz w:val="20"/>
              </w:rPr>
            </w:pPr>
            <w:r>
              <w:rPr>
                <w:rFonts w:ascii="Arial Narrow" w:hAnsi="Arial Narrow"/>
                <w:sz w:val="20"/>
              </w:rPr>
              <w:t>148 (4%)</w:t>
            </w:r>
          </w:p>
        </w:tc>
        <w:tc>
          <w:tcPr>
            <w:tcW w:w="2500" w:type="dxa"/>
          </w:tcPr>
          <w:p w14:paraId="0EF65EBA" w14:textId="77777777" w:rsidR="00BC1FC9" w:rsidRPr="009C2EC9" w:rsidRDefault="00BC1FC9" w:rsidP="00D507CA">
            <w:pPr>
              <w:jc w:val="center"/>
              <w:rPr>
                <w:rFonts w:ascii="Arial Narrow" w:hAnsi="Arial Narrow"/>
                <w:sz w:val="20"/>
              </w:rPr>
            </w:pPr>
            <w:r>
              <w:rPr>
                <w:rFonts w:ascii="Arial Narrow" w:hAnsi="Arial Narrow"/>
                <w:sz w:val="20"/>
              </w:rPr>
              <w:t>116 (3%)</w:t>
            </w:r>
          </w:p>
        </w:tc>
      </w:tr>
      <w:tr w:rsidR="00BC1FC9" w:rsidRPr="009C2EC9" w14:paraId="2D67C413" w14:textId="77777777" w:rsidTr="00D507CA">
        <w:tc>
          <w:tcPr>
            <w:tcW w:w="3823" w:type="dxa"/>
          </w:tcPr>
          <w:p w14:paraId="44796743" w14:textId="77777777" w:rsidR="00BC1FC9" w:rsidRPr="009C2EC9" w:rsidRDefault="00BC1FC9" w:rsidP="00D507CA">
            <w:pPr>
              <w:rPr>
                <w:rFonts w:ascii="Arial Narrow" w:hAnsi="Arial Narrow"/>
                <w:sz w:val="20"/>
              </w:rPr>
            </w:pPr>
            <w:r w:rsidRPr="009C2EC9">
              <w:rPr>
                <w:rFonts w:ascii="Arial Narrow" w:hAnsi="Arial Narrow"/>
                <w:sz w:val="20"/>
              </w:rPr>
              <w:t>Lost to follow-up</w:t>
            </w:r>
          </w:p>
        </w:tc>
        <w:tc>
          <w:tcPr>
            <w:tcW w:w="2693" w:type="dxa"/>
          </w:tcPr>
          <w:p w14:paraId="007B575A" w14:textId="77777777" w:rsidR="00BC1FC9" w:rsidRPr="009C2EC9" w:rsidRDefault="00BC1FC9" w:rsidP="00D507CA">
            <w:pPr>
              <w:jc w:val="center"/>
              <w:rPr>
                <w:rFonts w:ascii="Arial Narrow" w:hAnsi="Arial Narrow"/>
                <w:sz w:val="20"/>
              </w:rPr>
            </w:pPr>
            <w:r>
              <w:rPr>
                <w:rFonts w:ascii="Arial Narrow" w:hAnsi="Arial Narrow"/>
                <w:sz w:val="20"/>
              </w:rPr>
              <w:t>208 (6%)</w:t>
            </w:r>
          </w:p>
        </w:tc>
        <w:tc>
          <w:tcPr>
            <w:tcW w:w="2500" w:type="dxa"/>
          </w:tcPr>
          <w:p w14:paraId="16D2BB4A" w14:textId="77777777" w:rsidR="00BC1FC9" w:rsidRPr="009C2EC9" w:rsidRDefault="00BC1FC9" w:rsidP="00D507CA">
            <w:pPr>
              <w:jc w:val="center"/>
              <w:rPr>
                <w:rFonts w:ascii="Arial Narrow" w:hAnsi="Arial Narrow"/>
                <w:sz w:val="20"/>
              </w:rPr>
            </w:pPr>
            <w:r>
              <w:rPr>
                <w:rFonts w:ascii="Arial Narrow" w:hAnsi="Arial Narrow"/>
                <w:sz w:val="20"/>
              </w:rPr>
              <w:t>224 (6%)</w:t>
            </w:r>
          </w:p>
        </w:tc>
      </w:tr>
      <w:tr w:rsidR="00BC1FC9" w:rsidRPr="009C2EC9" w14:paraId="55311733" w14:textId="77777777" w:rsidTr="00D507CA">
        <w:tc>
          <w:tcPr>
            <w:tcW w:w="3823" w:type="dxa"/>
          </w:tcPr>
          <w:p w14:paraId="00D9E91B" w14:textId="6FC7440C" w:rsidR="00BC1FC9" w:rsidRPr="009C2EC9" w:rsidRDefault="00BC1FC9" w:rsidP="00D507CA">
            <w:pPr>
              <w:rPr>
                <w:rFonts w:ascii="Arial Narrow" w:hAnsi="Arial Narrow"/>
                <w:sz w:val="20"/>
              </w:rPr>
            </w:pPr>
            <w:r>
              <w:rPr>
                <w:rFonts w:ascii="Arial Narrow" w:hAnsi="Arial Narrow"/>
                <w:sz w:val="20"/>
              </w:rPr>
              <w:t xml:space="preserve">Total not contributing to </w:t>
            </w:r>
            <w:r w:rsidR="005F0212">
              <w:rPr>
                <w:rFonts w:ascii="Arial Narrow" w:hAnsi="Arial Narrow"/>
                <w:sz w:val="20"/>
              </w:rPr>
              <w:t xml:space="preserve">a </w:t>
            </w:r>
            <w:r>
              <w:rPr>
                <w:rFonts w:ascii="Arial Narrow" w:hAnsi="Arial Narrow"/>
                <w:sz w:val="20"/>
              </w:rPr>
              <w:t>per protocol analysis</w:t>
            </w:r>
          </w:p>
        </w:tc>
        <w:tc>
          <w:tcPr>
            <w:tcW w:w="2693" w:type="dxa"/>
          </w:tcPr>
          <w:p w14:paraId="42D0649F" w14:textId="77777777" w:rsidR="00BC1FC9" w:rsidRDefault="00BC1FC9" w:rsidP="00D507CA">
            <w:pPr>
              <w:jc w:val="center"/>
              <w:rPr>
                <w:rFonts w:ascii="Arial Narrow" w:hAnsi="Arial Narrow"/>
                <w:sz w:val="20"/>
              </w:rPr>
            </w:pPr>
            <w:r>
              <w:rPr>
                <w:rFonts w:ascii="Arial Narrow" w:hAnsi="Arial Narrow"/>
                <w:sz w:val="20"/>
              </w:rPr>
              <w:t>1101 (32%)</w:t>
            </w:r>
          </w:p>
        </w:tc>
        <w:tc>
          <w:tcPr>
            <w:tcW w:w="2500" w:type="dxa"/>
          </w:tcPr>
          <w:p w14:paraId="4FB1059C" w14:textId="77777777" w:rsidR="00BC1FC9" w:rsidRDefault="00BC1FC9" w:rsidP="00D507CA">
            <w:pPr>
              <w:jc w:val="center"/>
              <w:rPr>
                <w:rFonts w:ascii="Arial Narrow" w:hAnsi="Arial Narrow"/>
                <w:sz w:val="20"/>
              </w:rPr>
            </w:pPr>
            <w:r>
              <w:rPr>
                <w:rFonts w:ascii="Arial Narrow" w:hAnsi="Arial Narrow"/>
                <w:sz w:val="20"/>
              </w:rPr>
              <w:t>584 (17%)</w:t>
            </w:r>
          </w:p>
        </w:tc>
      </w:tr>
      <w:tr w:rsidR="00BC1FC9" w:rsidRPr="009C2EC9" w14:paraId="6CE3A735" w14:textId="77777777" w:rsidTr="00D507CA">
        <w:tc>
          <w:tcPr>
            <w:tcW w:w="3823" w:type="dxa"/>
          </w:tcPr>
          <w:p w14:paraId="5753DE16" w14:textId="24150DFF" w:rsidR="00BC1FC9" w:rsidRPr="009C2EC9" w:rsidRDefault="00BC1FC9" w:rsidP="00D507CA">
            <w:pPr>
              <w:rPr>
                <w:rFonts w:ascii="Arial Narrow" w:hAnsi="Arial Narrow"/>
                <w:sz w:val="20"/>
              </w:rPr>
            </w:pPr>
            <w:r w:rsidRPr="009C2EC9">
              <w:rPr>
                <w:rFonts w:ascii="Arial Narrow" w:hAnsi="Arial Narrow"/>
                <w:sz w:val="20"/>
              </w:rPr>
              <w:t xml:space="preserve">Available for </w:t>
            </w:r>
            <w:r w:rsidR="005F0212">
              <w:rPr>
                <w:rFonts w:ascii="Arial Narrow" w:hAnsi="Arial Narrow"/>
                <w:sz w:val="20"/>
              </w:rPr>
              <w:t xml:space="preserve">a </w:t>
            </w:r>
            <w:r w:rsidRPr="009C2EC9">
              <w:rPr>
                <w:rFonts w:ascii="Arial Narrow" w:hAnsi="Arial Narrow"/>
                <w:sz w:val="20"/>
              </w:rPr>
              <w:t>per</w:t>
            </w:r>
            <w:r>
              <w:rPr>
                <w:rFonts w:ascii="Arial Narrow" w:hAnsi="Arial Narrow"/>
                <w:sz w:val="20"/>
              </w:rPr>
              <w:t xml:space="preserve"> </w:t>
            </w:r>
            <w:r w:rsidRPr="009C2EC9">
              <w:rPr>
                <w:rFonts w:ascii="Arial Narrow" w:hAnsi="Arial Narrow"/>
                <w:sz w:val="20"/>
              </w:rPr>
              <w:t>protocol analysis</w:t>
            </w:r>
          </w:p>
        </w:tc>
        <w:tc>
          <w:tcPr>
            <w:tcW w:w="2693" w:type="dxa"/>
          </w:tcPr>
          <w:p w14:paraId="477BD4AC" w14:textId="77777777" w:rsidR="00BC1FC9" w:rsidRPr="009C2EC9" w:rsidRDefault="00BC1FC9" w:rsidP="00D507CA">
            <w:pPr>
              <w:jc w:val="center"/>
              <w:rPr>
                <w:rFonts w:ascii="Arial Narrow" w:hAnsi="Arial Narrow"/>
                <w:sz w:val="20"/>
              </w:rPr>
            </w:pPr>
            <w:r>
              <w:rPr>
                <w:rFonts w:ascii="Arial Narrow" w:hAnsi="Arial Narrow"/>
                <w:sz w:val="20"/>
              </w:rPr>
              <w:t>2348 (68%)</w:t>
            </w:r>
          </w:p>
        </w:tc>
        <w:tc>
          <w:tcPr>
            <w:tcW w:w="2500" w:type="dxa"/>
          </w:tcPr>
          <w:p w14:paraId="749AACCA" w14:textId="77777777" w:rsidR="00BC1FC9" w:rsidRPr="009C2EC9" w:rsidRDefault="00BC1FC9" w:rsidP="00D507CA">
            <w:pPr>
              <w:jc w:val="center"/>
              <w:rPr>
                <w:rFonts w:ascii="Arial Narrow" w:hAnsi="Arial Narrow"/>
                <w:sz w:val="20"/>
              </w:rPr>
            </w:pPr>
            <w:r>
              <w:rPr>
                <w:rFonts w:ascii="Arial Narrow" w:hAnsi="Arial Narrow"/>
                <w:sz w:val="20"/>
              </w:rPr>
              <w:t>2874 (83%)</w:t>
            </w:r>
          </w:p>
        </w:tc>
      </w:tr>
    </w:tbl>
    <w:p w14:paraId="4BF2E517" w14:textId="13E25406" w:rsidR="00B40673" w:rsidRDefault="00B40673" w:rsidP="00E2362C">
      <w:pPr>
        <w:pStyle w:val="Bullet"/>
        <w:numPr>
          <w:ilvl w:val="0"/>
          <w:numId w:val="0"/>
        </w:numPr>
        <w:spacing w:before="240" w:after="120" w:line="240" w:lineRule="auto"/>
        <w:ind w:left="720" w:hanging="360"/>
        <w:rPr>
          <w:rFonts w:ascii="Times New Roman" w:hAnsi="Times New Roman" w:cs="Times New Roman"/>
          <w:sz w:val="24"/>
          <w:szCs w:val="24"/>
        </w:rPr>
      </w:pPr>
      <w:r>
        <w:rPr>
          <w:rFonts w:ascii="Times New Roman" w:hAnsi="Times New Roman" w:cs="Times New Roman"/>
          <w:sz w:val="24"/>
          <w:szCs w:val="24"/>
        </w:rPr>
        <w:t xml:space="preserve">MSAC noted other signals from the reporting of the TAILORx which further substantiated </w:t>
      </w:r>
      <w:r w:rsidR="00642CA9">
        <w:rPr>
          <w:rFonts w:ascii="Times New Roman" w:hAnsi="Times New Roman" w:cs="Times New Roman"/>
          <w:sz w:val="24"/>
          <w:szCs w:val="24"/>
        </w:rPr>
        <w:t>its</w:t>
      </w:r>
      <w:r>
        <w:rPr>
          <w:rFonts w:ascii="Times New Roman" w:hAnsi="Times New Roman" w:cs="Times New Roman"/>
          <w:sz w:val="24"/>
          <w:szCs w:val="24"/>
        </w:rPr>
        <w:t xml:space="preserve"> concerns</w:t>
      </w:r>
      <w:r w:rsidR="00142B30">
        <w:rPr>
          <w:rFonts w:ascii="Times New Roman" w:hAnsi="Times New Roman" w:cs="Times New Roman"/>
          <w:sz w:val="24"/>
          <w:szCs w:val="24"/>
        </w:rPr>
        <w:t xml:space="preserve"> about introducing bias towards concluding non-inferiority</w:t>
      </w:r>
      <w:r>
        <w:rPr>
          <w:rFonts w:ascii="Times New Roman" w:hAnsi="Times New Roman" w:cs="Times New Roman"/>
          <w:sz w:val="24"/>
          <w:szCs w:val="24"/>
        </w:rPr>
        <w:t>:</w:t>
      </w:r>
    </w:p>
    <w:p w14:paraId="621ADD51" w14:textId="150A6C8C" w:rsidR="007E0521" w:rsidRPr="00A50B28" w:rsidRDefault="007E0521" w:rsidP="00375B02">
      <w:pPr>
        <w:pStyle w:val="Bullet"/>
        <w:numPr>
          <w:ilvl w:val="1"/>
          <w:numId w:val="3"/>
        </w:numPr>
        <w:tabs>
          <w:tab w:val="clear" w:pos="1440"/>
        </w:tabs>
        <w:spacing w:after="120" w:line="240" w:lineRule="auto"/>
        <w:ind w:left="1560"/>
        <w:rPr>
          <w:rFonts w:ascii="Times New Roman" w:hAnsi="Times New Roman" w:cs="Times New Roman"/>
          <w:sz w:val="24"/>
          <w:szCs w:val="24"/>
        </w:rPr>
      </w:pPr>
      <w:r w:rsidRPr="00A50B28">
        <w:rPr>
          <w:rFonts w:ascii="Times New Roman" w:hAnsi="Times New Roman" w:cs="Times New Roman"/>
          <w:sz w:val="24"/>
          <w:szCs w:val="24"/>
        </w:rPr>
        <w:t>different 9-year cumulative incidences of lost to follow-up events were reported in the Supplementary Appendix of Sparano et al. (NEJM, 2018) for the chemotherapy plus endocrine therapy arm (14.7%) and for the endocrine therapy alone arm (12.2%)</w:t>
      </w:r>
    </w:p>
    <w:p w14:paraId="3BA96643" w14:textId="6FA48BA5" w:rsidR="007E0521" w:rsidRDefault="007E0521" w:rsidP="00B24C63">
      <w:pPr>
        <w:pStyle w:val="Bullet"/>
        <w:numPr>
          <w:ilvl w:val="1"/>
          <w:numId w:val="3"/>
        </w:numPr>
        <w:tabs>
          <w:tab w:val="clear" w:pos="1440"/>
        </w:tabs>
        <w:spacing w:before="240" w:after="120" w:line="240" w:lineRule="auto"/>
        <w:ind w:left="1559" w:hanging="357"/>
        <w:rPr>
          <w:rFonts w:ascii="Times New Roman" w:hAnsi="Times New Roman" w:cs="Times New Roman"/>
          <w:sz w:val="24"/>
          <w:szCs w:val="24"/>
        </w:rPr>
      </w:pPr>
      <w:r>
        <w:rPr>
          <w:rFonts w:ascii="Times New Roman" w:hAnsi="Times New Roman" w:cs="Times New Roman"/>
          <w:sz w:val="24"/>
          <w:szCs w:val="24"/>
        </w:rPr>
        <w:t xml:space="preserve">for the </w:t>
      </w:r>
      <w:r w:rsidRPr="00142B30">
        <w:rPr>
          <w:rFonts w:ascii="Times New Roman" w:hAnsi="Times New Roman" w:cs="Times New Roman"/>
          <w:sz w:val="24"/>
          <w:szCs w:val="24"/>
          <w:lang w:val="en-US"/>
        </w:rPr>
        <w:t>chemotherapy</w:t>
      </w:r>
      <w:r>
        <w:rPr>
          <w:rFonts w:ascii="Times New Roman" w:hAnsi="Times New Roman" w:cs="Times New Roman"/>
          <w:sz w:val="24"/>
          <w:szCs w:val="24"/>
        </w:rPr>
        <w:t xml:space="preserve"> plus endocrine therapy arm (but not the endocrine therapy alone arm), there was a </w:t>
      </w:r>
      <w:r w:rsidR="00B321B5">
        <w:rPr>
          <w:rFonts w:ascii="Times New Roman" w:hAnsi="Times New Roman" w:cs="Times New Roman"/>
          <w:sz w:val="24"/>
          <w:szCs w:val="24"/>
        </w:rPr>
        <w:t>“</w:t>
      </w:r>
      <w:r>
        <w:rPr>
          <w:rFonts w:ascii="Times New Roman" w:hAnsi="Times New Roman" w:cs="Times New Roman"/>
          <w:sz w:val="24"/>
          <w:szCs w:val="24"/>
        </w:rPr>
        <w:t>significant association of lost to follow-up with RS</w:t>
      </w:r>
      <w:r w:rsidR="00B321B5">
        <w:rPr>
          <w:rFonts w:ascii="Times New Roman" w:hAnsi="Times New Roman" w:cs="Times New Roman"/>
          <w:sz w:val="24"/>
          <w:szCs w:val="24"/>
        </w:rPr>
        <w:t>, with</w:t>
      </w:r>
      <w:r>
        <w:rPr>
          <w:rFonts w:ascii="Times New Roman" w:hAnsi="Times New Roman" w:cs="Times New Roman"/>
          <w:sz w:val="24"/>
          <w:szCs w:val="24"/>
        </w:rPr>
        <w:t xml:space="preserve"> 9-year cumulative drop out of 16.6% for RS</w:t>
      </w:r>
      <w:r w:rsidR="00B72A62">
        <w:rPr>
          <w:rFonts w:ascii="Times New Roman" w:hAnsi="Times New Roman" w:cs="Times New Roman"/>
          <w:sz w:val="24"/>
          <w:szCs w:val="24"/>
        </w:rPr>
        <w:t xml:space="preserve"> of 11-25, 14.3% for RS of </w:t>
      </w:r>
      <w:r>
        <w:rPr>
          <w:rFonts w:ascii="Times New Roman" w:hAnsi="Times New Roman" w:cs="Times New Roman"/>
          <w:sz w:val="24"/>
          <w:szCs w:val="24"/>
        </w:rPr>
        <w:t>16-20, and 12.5% for RS</w:t>
      </w:r>
      <w:r w:rsidR="00B72A62">
        <w:rPr>
          <w:rFonts w:ascii="Times New Roman" w:hAnsi="Times New Roman" w:cs="Times New Roman"/>
          <w:sz w:val="24"/>
          <w:szCs w:val="24"/>
        </w:rPr>
        <w:t xml:space="preserve"> of </w:t>
      </w:r>
      <w:r>
        <w:rPr>
          <w:rFonts w:ascii="Times New Roman" w:hAnsi="Times New Roman" w:cs="Times New Roman"/>
          <w:sz w:val="24"/>
          <w:szCs w:val="24"/>
        </w:rPr>
        <w:t>21-25</w:t>
      </w:r>
      <w:r w:rsidR="00B321B5">
        <w:rPr>
          <w:rFonts w:ascii="Times New Roman" w:hAnsi="Times New Roman" w:cs="Times New Roman"/>
          <w:sz w:val="24"/>
          <w:szCs w:val="24"/>
        </w:rPr>
        <w:t>”</w:t>
      </w:r>
      <w:r w:rsidRPr="00A50B28">
        <w:rPr>
          <w:rFonts w:ascii="Times New Roman" w:hAnsi="Times New Roman" w:cs="Times New Roman"/>
          <w:sz w:val="24"/>
          <w:szCs w:val="24"/>
        </w:rPr>
        <w:t xml:space="preserve"> reported in the Supplementary Appendix of Sparano et al. (NEJM, 2018)</w:t>
      </w:r>
      <w:r w:rsidR="00142B30">
        <w:rPr>
          <w:rFonts w:ascii="Times New Roman" w:hAnsi="Times New Roman" w:cs="Times New Roman"/>
          <w:sz w:val="24"/>
          <w:szCs w:val="24"/>
        </w:rPr>
        <w:t>.</w:t>
      </w:r>
    </w:p>
    <w:p w14:paraId="295E69C5" w14:textId="77777777" w:rsidR="00E2362C" w:rsidRPr="00E2362C" w:rsidRDefault="00142B30" w:rsidP="00E2362C">
      <w:pPr>
        <w:pStyle w:val="ListParagraph"/>
        <w:numPr>
          <w:ilvl w:val="2"/>
          <w:numId w:val="10"/>
        </w:numPr>
        <w:spacing w:after="240"/>
        <w:ind w:left="1276" w:hanging="425"/>
        <w:rPr>
          <w:i/>
        </w:rPr>
      </w:pPr>
      <w:r>
        <w:t xml:space="preserve">MSAC considered that </w:t>
      </w:r>
      <w:r w:rsidR="00AC5C1A">
        <w:t xml:space="preserve">not presenting </w:t>
      </w:r>
      <w:r w:rsidR="00AB13DA">
        <w:t xml:space="preserve">a per protocol analysis </w:t>
      </w:r>
      <w:r>
        <w:t>wa</w:t>
      </w:r>
      <w:r w:rsidR="00AB13DA">
        <w:t xml:space="preserve">s unusual </w:t>
      </w:r>
      <w:r w:rsidR="00AC5C1A">
        <w:t xml:space="preserve">for the </w:t>
      </w:r>
      <w:r w:rsidR="00AB13DA">
        <w:t>analysi</w:t>
      </w:r>
      <w:r w:rsidR="00AC5C1A">
        <w:t xml:space="preserve">s of a </w:t>
      </w:r>
      <w:r w:rsidR="00AB13DA">
        <w:t>non</w:t>
      </w:r>
      <w:r w:rsidR="00BF4EEF">
        <w:t>-</w:t>
      </w:r>
      <w:r w:rsidR="00AB13DA">
        <w:t>inferiority designed trial. The upper limit of the 95% confidence interval in the “as</w:t>
      </w:r>
      <w:r w:rsidR="00A966DF">
        <w:t>-</w:t>
      </w:r>
      <w:r w:rsidR="00AB13DA">
        <w:t xml:space="preserve">treated” analysis </w:t>
      </w:r>
      <w:r w:rsidR="007A0F5B">
        <w:t xml:space="preserve">for the primary outcome </w:t>
      </w:r>
      <w:r>
        <w:t>is</w:t>
      </w:r>
      <w:r w:rsidR="00AB13DA">
        <w:t xml:space="preserve"> closer to the MCID than the main analysis presented</w:t>
      </w:r>
      <w:r w:rsidR="00AC5C1A">
        <w:t>, which su</w:t>
      </w:r>
      <w:r w:rsidR="00F02A3A">
        <w:t xml:space="preserve">pported MSAC’s view </w:t>
      </w:r>
      <w:r w:rsidR="00AC5C1A">
        <w:t>that a per protocol analysis would help inform the robustness of the main analysis</w:t>
      </w:r>
      <w:r w:rsidR="00AB13DA">
        <w:t>.</w:t>
      </w:r>
    </w:p>
    <w:p w14:paraId="42CD7999" w14:textId="7B30FB56" w:rsidR="00AB13DA" w:rsidRPr="0001225E" w:rsidRDefault="00142B30" w:rsidP="00E2362C">
      <w:pPr>
        <w:pStyle w:val="ListParagraph"/>
        <w:spacing w:after="240"/>
        <w:ind w:left="1276"/>
        <w:contextualSpacing w:val="0"/>
        <w:rPr>
          <w:i/>
        </w:rPr>
      </w:pPr>
      <w:r w:rsidRPr="00E2362C">
        <w:br/>
      </w:r>
      <w:r>
        <w:t xml:space="preserve">Further, MSAC noted that </w:t>
      </w:r>
      <w:r w:rsidRPr="00142B30">
        <w:t>the “as-treated” analyses were incompletely reported</w:t>
      </w:r>
      <w:r>
        <w:t>.</w:t>
      </w:r>
      <w:r w:rsidRPr="00142B30">
        <w:t xml:space="preserve"> </w:t>
      </w:r>
      <w:r>
        <w:t>F</w:t>
      </w:r>
      <w:r w:rsidRPr="00142B30">
        <w:t>or example, survival rates across the various groups and outcome types were reported only on an ITT basis, and absolute risk differences together with their 95% confidence intervals at 5 and 9 years were not reported at all</w:t>
      </w:r>
      <w:r>
        <w:t>.</w:t>
      </w:r>
    </w:p>
    <w:p w14:paraId="57DCB673" w14:textId="7B66F7E0" w:rsidR="00190777" w:rsidRPr="00190777" w:rsidRDefault="00AB13DA" w:rsidP="00B8203E">
      <w:pPr>
        <w:pStyle w:val="ListParagraph"/>
        <w:numPr>
          <w:ilvl w:val="1"/>
          <w:numId w:val="10"/>
        </w:numPr>
        <w:spacing w:after="240"/>
        <w:ind w:left="851" w:hanging="448"/>
        <w:contextualSpacing w:val="0"/>
      </w:pPr>
      <w:r w:rsidRPr="0001225E">
        <w:rPr>
          <w:i/>
        </w:rPr>
        <w:t>Non</w:t>
      </w:r>
      <w:r w:rsidR="00BF4EEF">
        <w:rPr>
          <w:i/>
        </w:rPr>
        <w:t>-</w:t>
      </w:r>
      <w:r w:rsidRPr="0001225E">
        <w:rPr>
          <w:i/>
        </w:rPr>
        <w:t>inferiority conclusion of the submitted trial subject to doubt</w:t>
      </w:r>
      <w:r w:rsidRPr="0001225E">
        <w:rPr>
          <w:i/>
        </w:rPr>
        <w:br/>
      </w:r>
      <w:r>
        <w:t xml:space="preserve">Taking the two aspects of the previous point </w:t>
      </w:r>
      <w:r w:rsidR="00142B30">
        <w:t xml:space="preserve">b. </w:t>
      </w:r>
      <w:r>
        <w:t xml:space="preserve">together, if the upper limit of the 95% confidence interval in </w:t>
      </w:r>
      <w:r w:rsidR="005F0212">
        <w:t xml:space="preserve">an </w:t>
      </w:r>
      <w:r>
        <w:t xml:space="preserve">adjusted per protocol analysis extended beyond the prespecified MCID, </w:t>
      </w:r>
      <w:r w:rsidR="00142B30">
        <w:t xml:space="preserve">MSAC considered that </w:t>
      </w:r>
      <w:r>
        <w:t>it could change the conclusion that</w:t>
      </w:r>
      <w:r w:rsidR="001913F7">
        <w:t>, across the trial participants,</w:t>
      </w:r>
      <w:r>
        <w:t xml:space="preserve"> endocrine therapy only is non</w:t>
      </w:r>
      <w:r w:rsidR="00BF4EEF">
        <w:t>-</w:t>
      </w:r>
      <w:r>
        <w:t>inferior to adjuvant chemotherapy with endocrine therapy.</w:t>
      </w:r>
      <w:r w:rsidR="00190777">
        <w:br/>
      </w:r>
      <w:r w:rsidR="00ED6586">
        <w:br/>
      </w:r>
      <w:r w:rsidR="00190777">
        <w:t xml:space="preserve">Specifically, </w:t>
      </w:r>
      <w:r w:rsidR="00190777" w:rsidRPr="00190777">
        <w:t xml:space="preserve">MSAC considered that the more appropriate per protocol analysis of </w:t>
      </w:r>
      <w:r w:rsidR="00190777" w:rsidRPr="00190777">
        <w:lastRenderedPageBreak/>
        <w:t xml:space="preserve">the </w:t>
      </w:r>
      <w:r w:rsidR="00190777">
        <w:t xml:space="preserve">primary </w:t>
      </w:r>
      <w:r w:rsidR="00190777" w:rsidRPr="00190777">
        <w:t>outcome of interest (invasive disease</w:t>
      </w:r>
      <w:r w:rsidR="00190777">
        <w:t>-free survival</w:t>
      </w:r>
      <w:r w:rsidR="00190777" w:rsidRPr="00190777">
        <w:t xml:space="preserve"> </w:t>
      </w:r>
      <w:r w:rsidR="00190777">
        <w:t xml:space="preserve">= </w:t>
      </w:r>
      <w:r w:rsidR="00190777" w:rsidRPr="00190777">
        <w:t xml:space="preserve">freedom from invasive disease recurrence, second primary cancer or death) </w:t>
      </w:r>
      <w:r w:rsidR="00F02A3A">
        <w:t xml:space="preserve">would </w:t>
      </w:r>
      <w:r w:rsidR="00190777" w:rsidRPr="00190777">
        <w:t xml:space="preserve">favour combined therapy, </w:t>
      </w:r>
      <w:r w:rsidR="00F02A3A">
        <w:t>given that</w:t>
      </w:r>
      <w:r w:rsidR="00190777" w:rsidRPr="00190777">
        <w:t xml:space="preserve"> – even with the biases towards concluding non-inferiority remaining due to the trial design and conduct – the upper limit of the 95% confidence interval of th</w:t>
      </w:r>
      <w:r w:rsidR="005F0212">
        <w:t>e</w:t>
      </w:r>
      <w:r w:rsidR="00190777" w:rsidRPr="00190777">
        <w:t xml:space="preserve"> “as-treated” analysis was very close to showing clinically important worse cancer outcomes in the group receiving endocrine therapy alone (hazard ratio of 1.14 [95% CI: 0.99 to 1.31] against the prespecified minimal clinically important threshold of 1.322). MSAC recalled that this threshold was derived from an absolute difference in event rates of 3% at 5 years, which would be a greater absolute difference at </w:t>
      </w:r>
      <w:r w:rsidR="00F02A3A">
        <w:t xml:space="preserve">9 or </w:t>
      </w:r>
      <w:r w:rsidR="00190777" w:rsidRPr="00190777">
        <w:t>10 years. MSAC considered that these differences in risk were high, and would have an impact on whether patients with an RS of 11</w:t>
      </w:r>
      <w:r w:rsidR="00126F5A">
        <w:t>-</w:t>
      </w:r>
      <w:r w:rsidR="00190777" w:rsidRPr="00190777">
        <w:t>25 would choose to add chemotherapy or not.</w:t>
      </w:r>
    </w:p>
    <w:p w14:paraId="1B37AFD0" w14:textId="4DD40B0C" w:rsidR="00AB13DA" w:rsidRPr="0001225E" w:rsidRDefault="00AB13DA" w:rsidP="00375B02">
      <w:pPr>
        <w:pStyle w:val="ListParagraph"/>
        <w:numPr>
          <w:ilvl w:val="1"/>
          <w:numId w:val="10"/>
        </w:numPr>
        <w:ind w:left="851" w:hanging="448"/>
        <w:rPr>
          <w:i/>
        </w:rPr>
      </w:pPr>
      <w:r>
        <w:rPr>
          <w:i/>
        </w:rPr>
        <w:t>Other matters of concern</w:t>
      </w:r>
    </w:p>
    <w:p w14:paraId="37EDE14B" w14:textId="0BC92B1E" w:rsidR="00642CA9" w:rsidRDefault="00642CA9" w:rsidP="00CD2966">
      <w:pPr>
        <w:ind w:left="851"/>
      </w:pPr>
      <w:r>
        <w:t>MSAC noted other matters of concern in seeking to interpret the results of the TAILORx trial:</w:t>
      </w:r>
    </w:p>
    <w:p w14:paraId="50AC3F5A" w14:textId="102C32AB" w:rsidR="00642CA9" w:rsidRPr="00642CA9" w:rsidRDefault="00AB13DA" w:rsidP="00375B02">
      <w:pPr>
        <w:pStyle w:val="ListParagraph"/>
        <w:numPr>
          <w:ilvl w:val="2"/>
          <w:numId w:val="10"/>
        </w:numPr>
        <w:spacing w:after="120"/>
        <w:ind w:left="1276" w:hanging="425"/>
      </w:pPr>
      <w:r w:rsidRPr="0001225E">
        <w:t>the need for a large increase in sample size during the conduct of the trial</w:t>
      </w:r>
      <w:r w:rsidR="00642CA9">
        <w:t xml:space="preserve">. Specifically, </w:t>
      </w:r>
      <w:r w:rsidR="00642CA9" w:rsidRPr="00642CA9">
        <w:t>based on a Lachin-Foulkes correction, Sparano et al. (NEJM, 2018) reported that a 73% increase in sample size was required to account for non-adherence to assigned treatment (which is also relevant for applicability and cost-effectiveness given that non-adherence will lead to increased costs but not change outcomes), which improved precision by narrowing the resulting confidence intervals, but did not address the primary concern about bias towards concluding non-inferiority</w:t>
      </w:r>
      <w:r w:rsidR="00642CA9">
        <w:t>.</w:t>
      </w:r>
    </w:p>
    <w:p w14:paraId="0C621483" w14:textId="171F6AC6" w:rsidR="00AB13DA" w:rsidRPr="0001225E" w:rsidRDefault="00AB13DA" w:rsidP="00375B02">
      <w:pPr>
        <w:pStyle w:val="ListParagraph"/>
        <w:numPr>
          <w:ilvl w:val="2"/>
          <w:numId w:val="10"/>
        </w:numPr>
        <w:spacing w:after="120"/>
        <w:ind w:left="1276" w:hanging="425"/>
      </w:pPr>
      <w:r w:rsidRPr="0001225E">
        <w:t>the justification for the prespecified minimal clinically important differences (MCIDs)</w:t>
      </w:r>
      <w:r w:rsidR="00642CA9">
        <w:t xml:space="preserve">. Specifically, </w:t>
      </w:r>
      <w:r w:rsidR="00642CA9" w:rsidRPr="00642CA9">
        <w:t>no apparent justification was given for the prespecified non-inferiority margins</w:t>
      </w:r>
      <w:r w:rsidR="00642CA9">
        <w:t>, and</w:t>
      </w:r>
      <w:r w:rsidR="00642CA9" w:rsidRPr="00642CA9">
        <w:t xml:space="preserve"> the absolute differences at 5 years on which the wider non-inferiority margins for the secondary outcomes were based (a hazard ratio of 1.46 for overall survival and </w:t>
      </w:r>
      <w:r w:rsidR="007B1438">
        <w:t xml:space="preserve">of </w:t>
      </w:r>
      <w:r w:rsidR="00642CA9" w:rsidRPr="00642CA9">
        <w:t>1.61 for distant recurrence-free interval compared with 1.322 for the primary outcome) were also not specified</w:t>
      </w:r>
      <w:r w:rsidR="00642CA9">
        <w:t>.</w:t>
      </w:r>
    </w:p>
    <w:p w14:paraId="29B98FED" w14:textId="7934879B" w:rsidR="00AB13DA" w:rsidRDefault="00AB13DA" w:rsidP="00B8203E">
      <w:pPr>
        <w:pStyle w:val="ListParagraph"/>
        <w:numPr>
          <w:ilvl w:val="2"/>
          <w:numId w:val="10"/>
        </w:numPr>
        <w:spacing w:after="240"/>
        <w:ind w:left="1276" w:hanging="425"/>
        <w:contextualSpacing w:val="0"/>
      </w:pPr>
      <w:r w:rsidRPr="0001225E">
        <w:t>the reporting of standard errors when 95% CIs would be appropriate</w:t>
      </w:r>
      <w:r>
        <w:t>.</w:t>
      </w:r>
      <w:r w:rsidR="00642CA9">
        <w:t xml:space="preserve"> Specifically, </w:t>
      </w:r>
      <w:r w:rsidR="00642CA9" w:rsidRPr="00642CA9">
        <w:t>many results of the TAILORx trial were reported with standard errors instead of confidence intervals, which convey an apparently smaller spread of uncertainty.</w:t>
      </w:r>
    </w:p>
    <w:p w14:paraId="00929061" w14:textId="0C2A8F25" w:rsidR="00D62F22" w:rsidRPr="00D62F22" w:rsidRDefault="00D62F22" w:rsidP="00375B02">
      <w:pPr>
        <w:pStyle w:val="ListParagraph"/>
        <w:keepNext/>
        <w:numPr>
          <w:ilvl w:val="0"/>
          <w:numId w:val="10"/>
        </w:numPr>
        <w:spacing w:after="240"/>
        <w:ind w:left="425" w:hanging="425"/>
        <w:contextualSpacing w:val="0"/>
        <w:rPr>
          <w:i/>
        </w:rPr>
      </w:pPr>
      <w:r w:rsidRPr="00D62F22">
        <w:rPr>
          <w:i/>
        </w:rPr>
        <w:t>If the first issue can be satisfactorily resolved, then other aspects of the submission would need to be addressed satisfactorily in order to give advice on the circumstances in which Oncotype</w:t>
      </w:r>
      <w:r w:rsidR="00B555EC">
        <w:rPr>
          <w:i/>
        </w:rPr>
        <w:t> </w:t>
      </w:r>
      <w:r w:rsidRPr="00D62F22">
        <w:rPr>
          <w:i/>
        </w:rPr>
        <w:t>DX is acceptably cost-effective</w:t>
      </w:r>
    </w:p>
    <w:p w14:paraId="182CA513" w14:textId="150F68B5" w:rsidR="00D62F22" w:rsidRPr="00632463" w:rsidRDefault="00D62F22" w:rsidP="00E2362C">
      <w:pPr>
        <w:pStyle w:val="ListParagraph"/>
        <w:numPr>
          <w:ilvl w:val="1"/>
          <w:numId w:val="10"/>
        </w:numPr>
        <w:spacing w:after="240"/>
        <w:ind w:left="851" w:hanging="448"/>
        <w:contextualSpacing w:val="0"/>
        <w:rPr>
          <w:i/>
        </w:rPr>
      </w:pPr>
      <w:r w:rsidRPr="00BC75A0">
        <w:rPr>
          <w:i/>
        </w:rPr>
        <w:t>Weaker evidence supporting the “chemotherapy indicating” option</w:t>
      </w:r>
      <w:r w:rsidRPr="00BC75A0">
        <w:rPr>
          <w:i/>
        </w:rPr>
        <w:br/>
      </w:r>
      <w:r w:rsidR="00CD2966">
        <w:t>MSAC noted that t</w:t>
      </w:r>
      <w:r>
        <w:t>he evidentiary basis for this claim did not change since the previous MSAC decision not to support. The re-analysis primarily sought to adjust for the re-definition of the RS thresholds to those used in TAILORx.</w:t>
      </w:r>
    </w:p>
    <w:p w14:paraId="7F26D8E9" w14:textId="0A489C0E" w:rsidR="00D62F22" w:rsidRPr="00E2362C" w:rsidRDefault="00D62F22" w:rsidP="00E2362C">
      <w:pPr>
        <w:pStyle w:val="ListParagraph"/>
        <w:numPr>
          <w:ilvl w:val="1"/>
          <w:numId w:val="10"/>
        </w:numPr>
        <w:spacing w:after="240"/>
        <w:ind w:left="851" w:hanging="448"/>
        <w:contextualSpacing w:val="0"/>
      </w:pPr>
      <w:r>
        <w:rPr>
          <w:i/>
        </w:rPr>
        <w:t>Relatively</w:t>
      </w:r>
      <w:r w:rsidRPr="00632463">
        <w:t xml:space="preserve"> </w:t>
      </w:r>
      <w:r w:rsidRPr="00632463">
        <w:rPr>
          <w:i/>
        </w:rPr>
        <w:t>large reliance on health outcome</w:t>
      </w:r>
      <w:r>
        <w:rPr>
          <w:i/>
        </w:rPr>
        <w:t xml:space="preserve"> gain</w:t>
      </w:r>
      <w:r w:rsidRPr="00632463">
        <w:rPr>
          <w:i/>
        </w:rPr>
        <w:t>s from this option</w:t>
      </w:r>
      <w:r>
        <w:rPr>
          <w:i/>
        </w:rPr>
        <w:br/>
      </w:r>
      <w:r w:rsidR="00CD2966">
        <w:t>MSAC noted that, d</w:t>
      </w:r>
      <w:r>
        <w:t>espite being based on arguably weaker evidence, this option contributed 0.1177/0.1222 = 96% to the modelled estimate of health outcomes gained</w:t>
      </w:r>
      <w:r w:rsidR="002059AA">
        <w:t xml:space="preserve"> (the QALYs gained for this ratio were extracted from Tables 7 and 8, below)</w:t>
      </w:r>
      <w:r>
        <w:t>.</w:t>
      </w:r>
      <w:r w:rsidR="00E2362C">
        <w:br w:type="page"/>
      </w:r>
    </w:p>
    <w:p w14:paraId="4EE14060" w14:textId="77777777" w:rsidR="00D62F22" w:rsidRDefault="00D62F22" w:rsidP="00375B02">
      <w:pPr>
        <w:pStyle w:val="ListParagraph"/>
        <w:numPr>
          <w:ilvl w:val="1"/>
          <w:numId w:val="10"/>
        </w:numPr>
        <w:ind w:left="851" w:hanging="448"/>
        <w:rPr>
          <w:i/>
        </w:rPr>
      </w:pPr>
      <w:r>
        <w:rPr>
          <w:i/>
        </w:rPr>
        <w:lastRenderedPageBreak/>
        <w:t>Reservations about key adherence assumptions in the modelled economic evaluation</w:t>
      </w:r>
    </w:p>
    <w:p w14:paraId="34194FCB" w14:textId="0E67E232" w:rsidR="00FC1671" w:rsidRPr="00FC1671" w:rsidRDefault="009D4CBB" w:rsidP="009D4CBB">
      <w:pPr>
        <w:ind w:left="851"/>
      </w:pPr>
      <w:r>
        <w:t xml:space="preserve">MSAC expressed the following reservations </w:t>
      </w:r>
      <w:r w:rsidR="00AF100B">
        <w:t xml:space="preserve">regarding </w:t>
      </w:r>
      <w:r>
        <w:t>the key adherence assumptions:</w:t>
      </w:r>
    </w:p>
    <w:p w14:paraId="326F7077" w14:textId="51368857" w:rsidR="00D62F22" w:rsidRPr="00731AE7" w:rsidRDefault="00D62F22" w:rsidP="00375B02">
      <w:pPr>
        <w:pStyle w:val="ListParagraph"/>
        <w:numPr>
          <w:ilvl w:val="2"/>
          <w:numId w:val="10"/>
        </w:numPr>
        <w:spacing w:after="120"/>
        <w:ind w:left="1276" w:hanging="425"/>
        <w:rPr>
          <w:i/>
        </w:rPr>
      </w:pPr>
      <w:r>
        <w:t>The assumed estimates of adherence to Oncotype</w:t>
      </w:r>
      <w:r w:rsidR="00B555EC">
        <w:t> </w:t>
      </w:r>
      <w:r>
        <w:t>DX-based guidance on whether to add chemotherapy or not to endocrine therapy were greater than observed in the TAILORx results.</w:t>
      </w:r>
    </w:p>
    <w:p w14:paraId="783A4F42" w14:textId="5AEB1455" w:rsidR="00D62F22" w:rsidRPr="0001225E" w:rsidRDefault="00D62F22" w:rsidP="00E2362C">
      <w:pPr>
        <w:pStyle w:val="ListParagraph"/>
        <w:numPr>
          <w:ilvl w:val="2"/>
          <w:numId w:val="10"/>
        </w:numPr>
        <w:spacing w:after="240"/>
        <w:ind w:left="1276" w:hanging="425"/>
        <w:contextualSpacing w:val="0"/>
        <w:rPr>
          <w:i/>
        </w:rPr>
      </w:pPr>
      <w:r>
        <w:t xml:space="preserve">The assumed increments in adherence suggested </w:t>
      </w:r>
      <w:r w:rsidR="00FC1671">
        <w:t xml:space="preserve">comparatively </w:t>
      </w:r>
      <w:r>
        <w:t>low confidence in existing decision-support options, but the basis for this was unclear.</w:t>
      </w:r>
    </w:p>
    <w:p w14:paraId="6FFF827F" w14:textId="28EEDD0D" w:rsidR="00D62F22" w:rsidRPr="0001225E" w:rsidRDefault="00D62F22" w:rsidP="00375B02">
      <w:pPr>
        <w:pStyle w:val="ListParagraph"/>
        <w:numPr>
          <w:ilvl w:val="1"/>
          <w:numId w:val="10"/>
        </w:numPr>
        <w:ind w:left="851" w:hanging="448"/>
        <w:rPr>
          <w:i/>
        </w:rPr>
      </w:pPr>
      <w:r>
        <w:rPr>
          <w:i/>
        </w:rPr>
        <w:t>Other matters of concern</w:t>
      </w:r>
    </w:p>
    <w:p w14:paraId="55BD4075" w14:textId="6130E7CA" w:rsidR="009D4CBB" w:rsidRDefault="009D4CBB" w:rsidP="009D4CBB">
      <w:pPr>
        <w:ind w:left="851"/>
      </w:pPr>
      <w:r>
        <w:t>MSAC noted other matters of concern in seeking to interpret the information provided in the resubmission:</w:t>
      </w:r>
    </w:p>
    <w:p w14:paraId="383E3527" w14:textId="1F877AED" w:rsidR="00D62F22" w:rsidRPr="00CB6AD5" w:rsidRDefault="00D62F22" w:rsidP="00375B02">
      <w:pPr>
        <w:pStyle w:val="ListParagraph"/>
        <w:numPr>
          <w:ilvl w:val="2"/>
          <w:numId w:val="10"/>
        </w:numPr>
        <w:spacing w:after="120"/>
        <w:ind w:left="1276" w:hanging="425"/>
      </w:pPr>
      <w:r w:rsidRPr="00CB6AD5">
        <w:t xml:space="preserve">assumptions in the model about changes in care for RS categories outside the RS of 11-25 </w:t>
      </w:r>
      <w:r w:rsidR="00B555EC">
        <w:t xml:space="preserve">for participants </w:t>
      </w:r>
      <w:r w:rsidRPr="00CB6AD5">
        <w:t xml:space="preserve">randomised in </w:t>
      </w:r>
      <w:r w:rsidR="00B555EC">
        <w:t xml:space="preserve">the </w:t>
      </w:r>
      <w:r w:rsidRPr="00CB6AD5">
        <w:t>TAILORx</w:t>
      </w:r>
      <w:r w:rsidR="00B555EC">
        <w:t xml:space="preserve"> trial</w:t>
      </w:r>
    </w:p>
    <w:p w14:paraId="4589EC1D" w14:textId="77777777" w:rsidR="00D62F22" w:rsidRPr="00CB6AD5" w:rsidRDefault="00D62F22" w:rsidP="00375B02">
      <w:pPr>
        <w:pStyle w:val="ListParagraph"/>
        <w:numPr>
          <w:ilvl w:val="2"/>
          <w:numId w:val="10"/>
        </w:numPr>
        <w:spacing w:after="120"/>
        <w:ind w:left="1276" w:hanging="425"/>
      </w:pPr>
      <w:r w:rsidRPr="00CB6AD5">
        <w:t>counter-intuitive consequences for the model result when changing model inputs</w:t>
      </w:r>
    </w:p>
    <w:p w14:paraId="5733F14C" w14:textId="77777777" w:rsidR="00D62F22" w:rsidRPr="00CB6AD5" w:rsidRDefault="00D62F22" w:rsidP="00375B02">
      <w:pPr>
        <w:pStyle w:val="ListParagraph"/>
        <w:numPr>
          <w:ilvl w:val="2"/>
          <w:numId w:val="10"/>
        </w:numPr>
        <w:spacing w:after="120"/>
        <w:ind w:left="1276" w:hanging="425"/>
      </w:pPr>
      <w:r w:rsidRPr="00CB6AD5">
        <w:t>no clear rationale for the change in RS threshold</w:t>
      </w:r>
    </w:p>
    <w:p w14:paraId="7EBCC580" w14:textId="7799ABB2" w:rsidR="00D62F22" w:rsidRPr="00CB6AD5" w:rsidRDefault="00200F0E" w:rsidP="00375B02">
      <w:pPr>
        <w:pStyle w:val="ListParagraph"/>
        <w:numPr>
          <w:ilvl w:val="2"/>
          <w:numId w:val="10"/>
        </w:numPr>
        <w:spacing w:after="120"/>
        <w:ind w:left="1276" w:hanging="425"/>
      </w:pPr>
      <w:r>
        <w:t xml:space="preserve">additional </w:t>
      </w:r>
      <w:r w:rsidR="00D62F22" w:rsidRPr="00CB6AD5">
        <w:t xml:space="preserve">doubts relating to </w:t>
      </w:r>
      <w:r w:rsidR="00AF100B">
        <w:t xml:space="preserve">inferior cancer outcomes for </w:t>
      </w:r>
      <w:r w:rsidR="00D62F22" w:rsidRPr="00CB6AD5">
        <w:t>women less than 50 years of age</w:t>
      </w:r>
      <w:r w:rsidR="00AF100B">
        <w:t xml:space="preserve"> with an RS of 11-25 who withheld chemotherapy</w:t>
      </w:r>
      <w:r w:rsidR="00D62F22" w:rsidRPr="00CB6AD5">
        <w:t>.</w:t>
      </w:r>
    </w:p>
    <w:p w14:paraId="078B5752" w14:textId="77777777" w:rsidR="00D62F22" w:rsidRPr="00BE569D" w:rsidRDefault="00D62F22" w:rsidP="00BE569D">
      <w:pPr>
        <w:pStyle w:val="Heading3"/>
        <w:spacing w:before="240"/>
        <w:rPr>
          <w:rFonts w:ascii="Times New Roman" w:hAnsi="Times New Roman" w:cs="Times New Roman"/>
          <w:i/>
          <w:color w:val="auto"/>
        </w:rPr>
      </w:pPr>
      <w:r w:rsidRPr="00BE569D">
        <w:rPr>
          <w:rFonts w:ascii="Times New Roman" w:hAnsi="Times New Roman" w:cs="Times New Roman"/>
          <w:i/>
          <w:color w:val="auto"/>
        </w:rPr>
        <w:t>Other discussion</w:t>
      </w:r>
    </w:p>
    <w:p w14:paraId="3AE584EF" w14:textId="77777777" w:rsidR="00D62F22" w:rsidRDefault="00D62F22" w:rsidP="00D62F22">
      <w:pPr>
        <w:pStyle w:val="NormalBeforeBullet"/>
      </w:pPr>
      <w:r>
        <w:t>MSAC advised that any future submission should include:</w:t>
      </w:r>
    </w:p>
    <w:p w14:paraId="12299646" w14:textId="31A10B28" w:rsidR="00D62F22" w:rsidRDefault="00D62F22" w:rsidP="00375B02">
      <w:pPr>
        <w:pStyle w:val="Bullet"/>
        <w:numPr>
          <w:ilvl w:val="0"/>
          <w:numId w:val="3"/>
        </w:numPr>
        <w:spacing w:after="120" w:line="240" w:lineRule="auto"/>
        <w:ind w:left="720"/>
        <w:rPr>
          <w:rFonts w:ascii="Times New Roman" w:hAnsi="Times New Roman" w:cs="Times New Roman"/>
          <w:sz w:val="24"/>
          <w:szCs w:val="24"/>
        </w:rPr>
      </w:pPr>
      <w:r w:rsidRPr="00A829F5">
        <w:rPr>
          <w:rFonts w:ascii="Times New Roman" w:hAnsi="Times New Roman" w:cs="Times New Roman"/>
          <w:sz w:val="24"/>
          <w:szCs w:val="24"/>
        </w:rPr>
        <w:t xml:space="preserve">a </w:t>
      </w:r>
      <w:r>
        <w:rPr>
          <w:rFonts w:ascii="Times New Roman" w:hAnsi="Times New Roman" w:cs="Times New Roman"/>
          <w:sz w:val="24"/>
          <w:szCs w:val="24"/>
        </w:rPr>
        <w:t xml:space="preserve">more detailed </w:t>
      </w:r>
      <w:r w:rsidRPr="00A829F5">
        <w:rPr>
          <w:rFonts w:ascii="Times New Roman" w:hAnsi="Times New Roman" w:cs="Times New Roman"/>
          <w:sz w:val="24"/>
          <w:szCs w:val="24"/>
        </w:rPr>
        <w:t xml:space="preserve">rationale for </w:t>
      </w:r>
      <w:r>
        <w:rPr>
          <w:rFonts w:ascii="Times New Roman" w:hAnsi="Times New Roman" w:cs="Times New Roman"/>
          <w:sz w:val="24"/>
          <w:szCs w:val="24"/>
        </w:rPr>
        <w:t xml:space="preserve">the </w:t>
      </w:r>
      <w:r w:rsidRPr="00A829F5">
        <w:rPr>
          <w:rFonts w:ascii="Times New Roman" w:hAnsi="Times New Roman" w:cs="Times New Roman"/>
          <w:sz w:val="24"/>
          <w:szCs w:val="24"/>
        </w:rPr>
        <w:t>changes in the recommended RS threshold</w:t>
      </w:r>
    </w:p>
    <w:p w14:paraId="0A35BECC" w14:textId="17AA44C4" w:rsidR="006E29B5" w:rsidRDefault="006E29B5" w:rsidP="00375B02">
      <w:pPr>
        <w:pStyle w:val="Bullet"/>
        <w:numPr>
          <w:ilvl w:val="0"/>
          <w:numId w:val="3"/>
        </w:numPr>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more detailed justifications for the prespecified </w:t>
      </w:r>
      <w:r w:rsidRPr="006E29B5">
        <w:rPr>
          <w:rFonts w:ascii="Times New Roman" w:hAnsi="Times New Roman" w:cs="Times New Roman"/>
          <w:sz w:val="24"/>
          <w:szCs w:val="24"/>
        </w:rPr>
        <w:t>minimal clinically important differences (MCIDs)</w:t>
      </w:r>
      <w:r>
        <w:rPr>
          <w:rFonts w:ascii="Times New Roman" w:hAnsi="Times New Roman" w:cs="Times New Roman"/>
          <w:sz w:val="24"/>
          <w:szCs w:val="24"/>
        </w:rPr>
        <w:t xml:space="preserve"> with reference to the associated absolute differences at 5 years and 9 years</w:t>
      </w:r>
    </w:p>
    <w:p w14:paraId="7A1CCC38" w14:textId="456A1ECD" w:rsidR="006E29B5" w:rsidRPr="00A829F5" w:rsidRDefault="006E29B5" w:rsidP="00375B02">
      <w:pPr>
        <w:pStyle w:val="Bullet"/>
        <w:numPr>
          <w:ilvl w:val="0"/>
          <w:numId w:val="3"/>
        </w:numPr>
        <w:spacing w:after="120" w:line="240" w:lineRule="auto"/>
        <w:ind w:left="720"/>
        <w:rPr>
          <w:rFonts w:ascii="Times New Roman" w:hAnsi="Times New Roman" w:cs="Times New Roman"/>
          <w:sz w:val="24"/>
          <w:szCs w:val="24"/>
        </w:rPr>
      </w:pPr>
      <w:r>
        <w:rPr>
          <w:rFonts w:ascii="Times New Roman" w:hAnsi="Times New Roman" w:cs="Times New Roman"/>
          <w:sz w:val="24"/>
          <w:szCs w:val="24"/>
        </w:rPr>
        <w:t>u</w:t>
      </w:r>
      <w:r w:rsidRPr="006E29B5">
        <w:rPr>
          <w:rFonts w:ascii="Times New Roman" w:hAnsi="Times New Roman" w:cs="Times New Roman"/>
          <w:sz w:val="24"/>
          <w:szCs w:val="24"/>
        </w:rPr>
        <w:t xml:space="preserve">se of more appropriate measures of spread of uncertainty such as </w:t>
      </w:r>
      <w:r>
        <w:rPr>
          <w:rFonts w:ascii="Times New Roman" w:hAnsi="Times New Roman" w:cs="Times New Roman"/>
          <w:sz w:val="24"/>
          <w:szCs w:val="24"/>
        </w:rPr>
        <w:t xml:space="preserve">95% </w:t>
      </w:r>
      <w:r w:rsidRPr="006E29B5">
        <w:rPr>
          <w:rFonts w:ascii="Times New Roman" w:hAnsi="Times New Roman" w:cs="Times New Roman"/>
          <w:sz w:val="24"/>
          <w:szCs w:val="24"/>
        </w:rPr>
        <w:t xml:space="preserve">confidence intervals rather than </w:t>
      </w:r>
      <w:r>
        <w:rPr>
          <w:rFonts w:ascii="Times New Roman" w:hAnsi="Times New Roman" w:cs="Times New Roman"/>
          <w:sz w:val="24"/>
          <w:szCs w:val="24"/>
        </w:rPr>
        <w:t>standard error</w:t>
      </w:r>
      <w:r w:rsidRPr="006E29B5">
        <w:rPr>
          <w:rFonts w:ascii="Times New Roman" w:hAnsi="Times New Roman" w:cs="Times New Roman"/>
          <w:sz w:val="24"/>
          <w:szCs w:val="24"/>
        </w:rPr>
        <w:t>s</w:t>
      </w:r>
    </w:p>
    <w:p w14:paraId="6076BFEA" w14:textId="76E5058F" w:rsidR="00D62F22" w:rsidRPr="00A829F5" w:rsidRDefault="00D62F22" w:rsidP="00375B02">
      <w:pPr>
        <w:pStyle w:val="Bullet"/>
        <w:numPr>
          <w:ilvl w:val="0"/>
          <w:numId w:val="3"/>
        </w:numPr>
        <w:spacing w:after="120" w:line="240" w:lineRule="auto"/>
        <w:ind w:left="720"/>
        <w:rPr>
          <w:rFonts w:ascii="Times New Roman" w:hAnsi="Times New Roman" w:cs="Times New Roman"/>
          <w:sz w:val="24"/>
          <w:szCs w:val="24"/>
        </w:rPr>
      </w:pPr>
      <w:r>
        <w:rPr>
          <w:rFonts w:ascii="Times New Roman" w:hAnsi="Times New Roman" w:cs="Times New Roman"/>
          <w:sz w:val="24"/>
          <w:szCs w:val="24"/>
        </w:rPr>
        <w:t xml:space="preserve">re-assessment of whether the recommended threshold is suitable for all eligible </w:t>
      </w:r>
      <w:r w:rsidR="005F1DD7" w:rsidRPr="005F1DD7">
        <w:rPr>
          <w:rFonts w:ascii="Times New Roman" w:hAnsi="Times New Roman" w:cs="Times New Roman"/>
          <w:sz w:val="24"/>
          <w:szCs w:val="24"/>
        </w:rPr>
        <w:t>patients</w:t>
      </w:r>
      <w:r w:rsidRPr="00A829F5">
        <w:rPr>
          <w:rFonts w:ascii="Times New Roman" w:hAnsi="Times New Roman" w:cs="Times New Roman"/>
          <w:sz w:val="24"/>
          <w:szCs w:val="24"/>
        </w:rPr>
        <w:t xml:space="preserve"> under 50 years of age</w:t>
      </w:r>
    </w:p>
    <w:p w14:paraId="46AD4E99" w14:textId="56D0AC2F" w:rsidR="00D62F22" w:rsidRPr="00A829F5" w:rsidRDefault="00D62F22" w:rsidP="00375B02">
      <w:pPr>
        <w:pStyle w:val="Bullet"/>
        <w:numPr>
          <w:ilvl w:val="0"/>
          <w:numId w:val="3"/>
        </w:numPr>
        <w:spacing w:after="120" w:line="240" w:lineRule="auto"/>
        <w:ind w:left="720"/>
        <w:rPr>
          <w:rFonts w:ascii="Times New Roman" w:hAnsi="Times New Roman" w:cs="Times New Roman"/>
          <w:sz w:val="24"/>
          <w:szCs w:val="24"/>
        </w:rPr>
      </w:pPr>
      <w:r w:rsidRPr="00A829F5">
        <w:rPr>
          <w:rFonts w:ascii="Times New Roman" w:hAnsi="Times New Roman" w:cs="Times New Roman"/>
          <w:sz w:val="24"/>
          <w:szCs w:val="24"/>
        </w:rPr>
        <w:t>TAILORx RS data stratified by clinical risk (i.e. an analysis of the effect of RS on low and high clinical risk groups separately, for composite and distant recurrence</w:t>
      </w:r>
      <w:r w:rsidR="00BF4EEF">
        <w:rPr>
          <w:rFonts w:ascii="Times New Roman" w:hAnsi="Times New Roman" w:cs="Times New Roman"/>
          <w:sz w:val="24"/>
          <w:szCs w:val="24"/>
        </w:rPr>
        <w:t>-</w:t>
      </w:r>
      <w:r w:rsidRPr="00A829F5">
        <w:rPr>
          <w:rFonts w:ascii="Times New Roman" w:hAnsi="Times New Roman" w:cs="Times New Roman"/>
          <w:sz w:val="24"/>
          <w:szCs w:val="24"/>
        </w:rPr>
        <w:t>free outcomes)</w:t>
      </w:r>
    </w:p>
    <w:p w14:paraId="01AD0E37" w14:textId="4ED6F461" w:rsidR="00D62F22" w:rsidRPr="007C1143" w:rsidRDefault="00D62F22" w:rsidP="00375B02">
      <w:pPr>
        <w:pStyle w:val="BulletLast"/>
        <w:numPr>
          <w:ilvl w:val="0"/>
          <w:numId w:val="3"/>
        </w:numPr>
        <w:ind w:left="720"/>
      </w:pPr>
      <w:r>
        <w:t xml:space="preserve">disaggregated </w:t>
      </w:r>
      <w:r w:rsidR="00AA3056">
        <w:t xml:space="preserve">modelled </w:t>
      </w:r>
      <w:r>
        <w:t xml:space="preserve">economic </w:t>
      </w:r>
      <w:r w:rsidR="00AA3056">
        <w:t>evaluation</w:t>
      </w:r>
      <w:r>
        <w:t xml:space="preserve"> according to the clinical claims of “chemotherapy sparing” and “chemotherapy indicated” prior to aggregating into an overall </w:t>
      </w:r>
      <w:r w:rsidR="00AA3056">
        <w:t>modelled economic evaluation</w:t>
      </w:r>
      <w:r>
        <w:t>, with more convincing estimates of adherence rates and extent of change from usual care.</w:t>
      </w:r>
    </w:p>
    <w:p w14:paraId="2E3B15A3" w14:textId="2982EAE9" w:rsidR="00AB13DA" w:rsidRDefault="00D62F22" w:rsidP="00D62F22">
      <w:r w:rsidRPr="000923A7">
        <w:t xml:space="preserve">MSAC </w:t>
      </w:r>
      <w:r w:rsidR="00375B02">
        <w:t xml:space="preserve">also </w:t>
      </w:r>
      <w:r w:rsidRPr="000923A7">
        <w:t xml:space="preserve">discussed the possibility of requesting individual patient data from Sparano </w:t>
      </w:r>
      <w:r>
        <w:t xml:space="preserve">et al. </w:t>
      </w:r>
      <w:r w:rsidRPr="000923A7">
        <w:t xml:space="preserve">to </w:t>
      </w:r>
      <w:r>
        <w:t xml:space="preserve">undertake a wider set of </w:t>
      </w:r>
      <w:r w:rsidRPr="000923A7">
        <w:t>per protocol analys</w:t>
      </w:r>
      <w:r>
        <w:t>e</w:t>
      </w:r>
      <w:r w:rsidRPr="000923A7">
        <w:t>s</w:t>
      </w:r>
      <w:r w:rsidR="00B72A62">
        <w:t>, and to assess the consequences of bias</w:t>
      </w:r>
      <w:r w:rsidRPr="000923A7">
        <w:t>.</w:t>
      </w:r>
    </w:p>
    <w:p w14:paraId="4D0A5936" w14:textId="77777777" w:rsidR="00BC1364" w:rsidRPr="00F715D1" w:rsidRDefault="00BC1364" w:rsidP="00F715D1">
      <w:pPr>
        <w:pStyle w:val="Heading1"/>
      </w:pPr>
      <w:r w:rsidRPr="00F715D1">
        <w:t>Background</w:t>
      </w:r>
    </w:p>
    <w:p w14:paraId="210D579E" w14:textId="7B1C6D9C" w:rsidR="0016645E" w:rsidRDefault="0016645E" w:rsidP="0016645E">
      <w:pPr>
        <w:pStyle w:val="Default"/>
        <w:spacing w:after="240"/>
      </w:pPr>
      <w:r>
        <w:t xml:space="preserve">The original application </w:t>
      </w:r>
      <w:r w:rsidR="002176CB">
        <w:t xml:space="preserve">(Application 1345) </w:t>
      </w:r>
      <w:r>
        <w:t>was considered by MSAC at its July 2013 meeting, subsequent resubmissions were then considered in April 2014, November 2015, July 2016 and July 2017. The PSDs for these applications can be viewed on the MSAC website.</w:t>
      </w:r>
    </w:p>
    <w:p w14:paraId="17E70A90" w14:textId="0EB2DAC0" w:rsidR="0016645E" w:rsidRDefault="002176CB" w:rsidP="0016645E">
      <w:pPr>
        <w:pStyle w:val="Default"/>
        <w:spacing w:after="240"/>
        <w:rPr>
          <w:color w:val="auto"/>
        </w:rPr>
      </w:pPr>
      <w:r>
        <w:t>A</w:t>
      </w:r>
      <w:r w:rsidR="0016645E">
        <w:t xml:space="preserve">t </w:t>
      </w:r>
      <w:r>
        <w:t xml:space="preserve">its </w:t>
      </w:r>
      <w:r w:rsidR="0016645E">
        <w:t xml:space="preserve">July 2017 meeting, MSAC did not support </w:t>
      </w:r>
      <w:r w:rsidR="0016645E" w:rsidRPr="009B0CB8">
        <w:rPr>
          <w:color w:val="auto"/>
        </w:rPr>
        <w:t>Oncotype</w:t>
      </w:r>
      <w:r w:rsidR="00A52F8F">
        <w:rPr>
          <w:color w:val="auto"/>
        </w:rPr>
        <w:t> </w:t>
      </w:r>
      <w:r w:rsidR="0016645E" w:rsidRPr="009B0CB8">
        <w:rPr>
          <w:color w:val="auto"/>
        </w:rPr>
        <w:t xml:space="preserve">DX breast cancer assay </w:t>
      </w:r>
      <w:r w:rsidR="0016645E">
        <w:t>due to the uncertainty of the</w:t>
      </w:r>
      <w:r w:rsidR="0016645E">
        <w:rPr>
          <w:color w:val="auto"/>
        </w:rPr>
        <w:t xml:space="preserve"> </w:t>
      </w:r>
      <w:r w:rsidR="0016645E" w:rsidRPr="009B0CB8">
        <w:rPr>
          <w:color w:val="auto"/>
        </w:rPr>
        <w:t>incremental benefit</w:t>
      </w:r>
      <w:r w:rsidR="0016645E">
        <w:rPr>
          <w:color w:val="auto"/>
        </w:rPr>
        <w:t xml:space="preserve"> </w:t>
      </w:r>
      <w:r w:rsidR="0016645E" w:rsidRPr="009B0CB8">
        <w:rPr>
          <w:color w:val="auto"/>
        </w:rPr>
        <w:t>of the Oncotype</w:t>
      </w:r>
      <w:r w:rsidR="00A52F8F">
        <w:rPr>
          <w:color w:val="auto"/>
        </w:rPr>
        <w:t> </w:t>
      </w:r>
      <w:r w:rsidR="0016645E" w:rsidRPr="009B0CB8">
        <w:rPr>
          <w:color w:val="auto"/>
        </w:rPr>
        <w:t>DX breast cancer assay over optimal care</w:t>
      </w:r>
      <w:r w:rsidR="0080434D">
        <w:rPr>
          <w:color w:val="auto"/>
        </w:rPr>
        <w:t xml:space="preserve"> (</w:t>
      </w:r>
      <w:r w:rsidR="0016645E">
        <w:rPr>
          <w:color w:val="auto"/>
        </w:rPr>
        <w:t xml:space="preserve">Application 1342.4 Public </w:t>
      </w:r>
      <w:r w:rsidR="00CB051E">
        <w:rPr>
          <w:color w:val="auto"/>
        </w:rPr>
        <w:t>Summary Document (PSD) 2017, p2</w:t>
      </w:r>
      <w:r w:rsidR="0080434D">
        <w:rPr>
          <w:color w:val="auto"/>
        </w:rPr>
        <w:t>)</w:t>
      </w:r>
      <w:r w:rsidR="0016645E">
        <w:rPr>
          <w:color w:val="auto"/>
        </w:rPr>
        <w:t xml:space="preserve">. MSAC noted that </w:t>
      </w:r>
      <w:r w:rsidR="0016645E">
        <w:rPr>
          <w:color w:val="auto"/>
        </w:rPr>
        <w:lastRenderedPageBreak/>
        <w:t xml:space="preserve">data from ongoing trials like the </w:t>
      </w:r>
      <w:r w:rsidR="0016645E" w:rsidRPr="004024E2">
        <w:t>TAILORx trial</w:t>
      </w:r>
      <w:r w:rsidR="0016645E">
        <w:rPr>
          <w:color w:val="auto"/>
        </w:rPr>
        <w:t xml:space="preserve">, if suitable, may be useful </w:t>
      </w:r>
      <w:r w:rsidR="0080434D">
        <w:rPr>
          <w:color w:val="auto"/>
        </w:rPr>
        <w:t>in addressing this uncertainty (PSD, p3)</w:t>
      </w:r>
      <w:r w:rsidR="0016645E">
        <w:rPr>
          <w:color w:val="auto"/>
        </w:rPr>
        <w:t>.</w:t>
      </w:r>
    </w:p>
    <w:p w14:paraId="158CF8B4" w14:textId="77777777" w:rsidR="00BC1364" w:rsidRPr="00F715D1" w:rsidRDefault="00BC1364" w:rsidP="00F715D1">
      <w:pPr>
        <w:pStyle w:val="Heading1"/>
      </w:pPr>
      <w:r w:rsidRPr="00F715D1">
        <w:t>Prerequisites to implementation of any funding advice</w:t>
      </w:r>
    </w:p>
    <w:p w14:paraId="5C2DC251" w14:textId="24A77E29" w:rsidR="0082199E" w:rsidRDefault="0082199E" w:rsidP="0082199E">
      <w:pPr>
        <w:spacing w:after="240"/>
        <w:rPr>
          <w:szCs w:val="24"/>
        </w:rPr>
      </w:pPr>
      <w:r w:rsidRPr="009B54CD">
        <w:rPr>
          <w:szCs w:val="24"/>
        </w:rPr>
        <w:t xml:space="preserve">The </w:t>
      </w:r>
      <w:r w:rsidR="00D344CD" w:rsidRPr="009B0CB8">
        <w:t>Oncotype</w:t>
      </w:r>
      <w:r w:rsidR="00D344CD">
        <w:t> </w:t>
      </w:r>
      <w:r w:rsidR="00D344CD" w:rsidRPr="009B0CB8">
        <w:t>DX</w:t>
      </w:r>
      <w:r w:rsidR="00D344CD" w:rsidRPr="009B54CD">
        <w:rPr>
          <w:szCs w:val="24"/>
        </w:rPr>
        <w:t xml:space="preserve"> </w:t>
      </w:r>
      <w:r w:rsidRPr="009B54CD">
        <w:rPr>
          <w:szCs w:val="24"/>
        </w:rPr>
        <w:t>Breast Cancer Assay test is performed in a single laboratory</w:t>
      </w:r>
      <w:r>
        <w:rPr>
          <w:szCs w:val="24"/>
        </w:rPr>
        <w:t xml:space="preserve"> </w:t>
      </w:r>
      <w:r w:rsidRPr="009B54CD">
        <w:rPr>
          <w:szCs w:val="24"/>
        </w:rPr>
        <w:t>in the United States by Genomic Health Inc. The</w:t>
      </w:r>
      <w:r>
        <w:rPr>
          <w:szCs w:val="24"/>
        </w:rPr>
        <w:t>refore, the</w:t>
      </w:r>
      <w:r w:rsidRPr="009B54CD">
        <w:rPr>
          <w:szCs w:val="24"/>
        </w:rPr>
        <w:t xml:space="preserve"> test would not be subject to approval or regulation by the T</w:t>
      </w:r>
      <w:r>
        <w:rPr>
          <w:szCs w:val="24"/>
        </w:rPr>
        <w:t xml:space="preserve">herapeutic </w:t>
      </w:r>
      <w:r w:rsidRPr="009B54CD">
        <w:rPr>
          <w:szCs w:val="24"/>
        </w:rPr>
        <w:t>G</w:t>
      </w:r>
      <w:r>
        <w:rPr>
          <w:szCs w:val="24"/>
        </w:rPr>
        <w:t xml:space="preserve">oods </w:t>
      </w:r>
      <w:r w:rsidRPr="009B54CD">
        <w:rPr>
          <w:szCs w:val="24"/>
        </w:rPr>
        <w:t>A</w:t>
      </w:r>
      <w:r>
        <w:rPr>
          <w:szCs w:val="24"/>
        </w:rPr>
        <w:t>dministration (TGA)</w:t>
      </w:r>
      <w:r w:rsidRPr="009B54CD">
        <w:rPr>
          <w:szCs w:val="24"/>
        </w:rPr>
        <w:t xml:space="preserve">. </w:t>
      </w:r>
      <w:r>
        <w:rPr>
          <w:szCs w:val="24"/>
        </w:rPr>
        <w:t>A</w:t>
      </w:r>
      <w:r w:rsidRPr="009B54CD">
        <w:rPr>
          <w:szCs w:val="24"/>
        </w:rPr>
        <w:t xml:space="preserve"> November 2015 report by the US F</w:t>
      </w:r>
      <w:r>
        <w:rPr>
          <w:szCs w:val="24"/>
        </w:rPr>
        <w:t xml:space="preserve">ood and </w:t>
      </w:r>
      <w:r w:rsidRPr="009B54CD">
        <w:rPr>
          <w:szCs w:val="24"/>
        </w:rPr>
        <w:t>D</w:t>
      </w:r>
      <w:r>
        <w:rPr>
          <w:szCs w:val="24"/>
        </w:rPr>
        <w:t xml:space="preserve">rug </w:t>
      </w:r>
      <w:r w:rsidRPr="009B54CD">
        <w:rPr>
          <w:szCs w:val="24"/>
        </w:rPr>
        <w:t>A</w:t>
      </w:r>
      <w:r>
        <w:rPr>
          <w:szCs w:val="24"/>
        </w:rPr>
        <w:t>dministration (FDA)</w:t>
      </w:r>
      <w:r w:rsidRPr="009B54CD">
        <w:rPr>
          <w:szCs w:val="24"/>
        </w:rPr>
        <w:t xml:space="preserve"> </w:t>
      </w:r>
      <w:r>
        <w:rPr>
          <w:szCs w:val="24"/>
        </w:rPr>
        <w:t>raised</w:t>
      </w:r>
      <w:r w:rsidRPr="009B54CD">
        <w:rPr>
          <w:szCs w:val="24"/>
        </w:rPr>
        <w:t xml:space="preserve"> concerns about the current lack of regulation within the US for assays that are ‘Laboratory Developed Tests’ (LDTs)</w:t>
      </w:r>
      <w:r>
        <w:rPr>
          <w:szCs w:val="24"/>
        </w:rPr>
        <w:t xml:space="preserve">, such as </w:t>
      </w:r>
      <w:r w:rsidR="00D344CD" w:rsidRPr="009B0CB8">
        <w:t>Oncotype</w:t>
      </w:r>
      <w:r w:rsidR="00D344CD">
        <w:t> </w:t>
      </w:r>
      <w:r w:rsidR="00D344CD" w:rsidRPr="009B0CB8">
        <w:t>DX</w:t>
      </w:r>
      <w:r>
        <w:rPr>
          <w:szCs w:val="24"/>
        </w:rPr>
        <w:t>.</w:t>
      </w:r>
    </w:p>
    <w:p w14:paraId="62848EB7" w14:textId="77777777" w:rsidR="0082199E" w:rsidRPr="008C50F7" w:rsidRDefault="0082199E" w:rsidP="0082199E">
      <w:pPr>
        <w:spacing w:after="240"/>
        <w:rPr>
          <w:szCs w:val="24"/>
        </w:rPr>
      </w:pPr>
      <w:r w:rsidRPr="00D537CF">
        <w:t>MSAC previously raised concerns</w:t>
      </w:r>
      <w:r w:rsidRPr="00D537CF">
        <w:rPr>
          <w:i/>
          <w:iCs/>
        </w:rPr>
        <w:t xml:space="preserve"> </w:t>
      </w:r>
      <w:r w:rsidRPr="00D537CF">
        <w:rPr>
          <w:iCs/>
        </w:rPr>
        <w:t xml:space="preserve">about the reliance on a single laboratory performing the test located in the US outside Australian standards maintained through the TGA or </w:t>
      </w:r>
      <w:r>
        <w:rPr>
          <w:iCs/>
        </w:rPr>
        <w:t xml:space="preserve">the </w:t>
      </w:r>
      <w:r w:rsidRPr="00D537CF">
        <w:rPr>
          <w:iCs/>
        </w:rPr>
        <w:t>N</w:t>
      </w:r>
      <w:r>
        <w:rPr>
          <w:iCs/>
        </w:rPr>
        <w:t xml:space="preserve">ational </w:t>
      </w:r>
      <w:r w:rsidRPr="00D537CF">
        <w:rPr>
          <w:iCs/>
        </w:rPr>
        <w:t>A</w:t>
      </w:r>
      <w:r>
        <w:rPr>
          <w:iCs/>
        </w:rPr>
        <w:t xml:space="preserve">ssociation of </w:t>
      </w:r>
      <w:r w:rsidRPr="00D537CF">
        <w:rPr>
          <w:iCs/>
        </w:rPr>
        <w:t>T</w:t>
      </w:r>
      <w:r>
        <w:rPr>
          <w:iCs/>
        </w:rPr>
        <w:t xml:space="preserve">esting </w:t>
      </w:r>
      <w:r w:rsidRPr="00D537CF">
        <w:rPr>
          <w:iCs/>
        </w:rPr>
        <w:t>A</w:t>
      </w:r>
      <w:r>
        <w:rPr>
          <w:iCs/>
        </w:rPr>
        <w:t>uthorities (NATA)</w:t>
      </w:r>
      <w:r w:rsidRPr="00D537CF">
        <w:t xml:space="preserve">. </w:t>
      </w:r>
      <w:r>
        <w:t>MSAC also previously noted that a</w:t>
      </w:r>
      <w:r w:rsidRPr="009B54CD">
        <w:rPr>
          <w:szCs w:val="24"/>
        </w:rPr>
        <w:t xml:space="preserve"> number of complex implementation issues would need to be considered by Government</w:t>
      </w:r>
      <w:r>
        <w:rPr>
          <w:szCs w:val="24"/>
        </w:rPr>
        <w:t xml:space="preserve"> if this test was supported for listing in Australia.</w:t>
      </w:r>
    </w:p>
    <w:p w14:paraId="1263F4E6" w14:textId="77777777" w:rsidR="00BC1364" w:rsidRPr="00F715D1" w:rsidRDefault="00BC1364" w:rsidP="00F715D1">
      <w:pPr>
        <w:pStyle w:val="Heading1"/>
      </w:pPr>
      <w:r w:rsidRPr="00F715D1">
        <w:t>Proposal for public funding</w:t>
      </w:r>
    </w:p>
    <w:p w14:paraId="454ABF65" w14:textId="1217F590" w:rsidR="0082199E" w:rsidRDefault="0082199E" w:rsidP="0082199E">
      <w:r>
        <w:t xml:space="preserve">The proposal for public funding </w:t>
      </w:r>
      <w:r w:rsidR="000F66FC">
        <w:t>w</w:t>
      </w:r>
      <w:r>
        <w:t xml:space="preserve">as changed since the previous resubmission (1342.4), and is presented in Table </w:t>
      </w:r>
      <w:r w:rsidR="00A87824">
        <w:t>2</w:t>
      </w:r>
      <w:r w:rsidR="000F66FC">
        <w:t xml:space="preserve"> (applicant-</w:t>
      </w:r>
      <w:r>
        <w:t xml:space="preserve">highlighted changes with </w:t>
      </w:r>
      <w:r w:rsidR="000F66FC">
        <w:t xml:space="preserve">the </w:t>
      </w:r>
      <w:r>
        <w:t xml:space="preserve">previous submission </w:t>
      </w:r>
      <w:r w:rsidR="000F66FC">
        <w:t xml:space="preserve">are </w:t>
      </w:r>
      <w:r>
        <w:t>in red</w:t>
      </w:r>
      <w:r w:rsidR="000F66FC">
        <w:t xml:space="preserve"> text</w:t>
      </w:r>
      <w:r>
        <w:t xml:space="preserve">). The </w:t>
      </w:r>
      <w:r w:rsidR="00C05953">
        <w:t>resubmission</w:t>
      </w:r>
      <w:r>
        <w:t xml:space="preserve"> requested a fee of $5,085 per service, and did not request any confidential pricing or fee arrangement.</w:t>
      </w:r>
    </w:p>
    <w:p w14:paraId="5F9D5BB5" w14:textId="238259EA" w:rsidR="0082199E" w:rsidRPr="00B24C63" w:rsidRDefault="0082199E" w:rsidP="00B24C63">
      <w:pPr>
        <w:keepNext/>
        <w:keepLines/>
        <w:rPr>
          <w:rFonts w:ascii="Arial Narrow" w:hAnsi="Arial Narrow"/>
          <w:b/>
          <w:sz w:val="20"/>
        </w:rPr>
      </w:pPr>
      <w:bookmarkStart w:id="1" w:name="_Ref375910"/>
      <w:bookmarkStart w:id="2" w:name="_Toc441438"/>
      <w:r w:rsidRPr="00B24C63">
        <w:rPr>
          <w:rFonts w:ascii="Arial Narrow" w:hAnsi="Arial Narrow"/>
          <w:b/>
          <w:sz w:val="20"/>
        </w:rPr>
        <w:lastRenderedPageBreak/>
        <w:t xml:space="preserve">Table </w:t>
      </w:r>
      <w:bookmarkEnd w:id="1"/>
      <w:r w:rsidR="00A87824" w:rsidRPr="00B24C63">
        <w:rPr>
          <w:rFonts w:ascii="Arial Narrow" w:hAnsi="Arial Narrow"/>
          <w:b/>
          <w:sz w:val="20"/>
        </w:rPr>
        <w:t>2</w:t>
      </w:r>
      <w:r w:rsidRPr="00B24C63">
        <w:rPr>
          <w:rFonts w:ascii="Arial Narrow" w:hAnsi="Arial Narrow"/>
          <w:b/>
          <w:sz w:val="20"/>
        </w:rPr>
        <w:tab/>
        <w:t>Proposal for public funding; changes from previous submission annotated</w:t>
      </w:r>
      <w:bookmarkEnd w:id="2"/>
      <w:r w:rsidRPr="00B24C63">
        <w:rPr>
          <w:rFonts w:ascii="Arial Narrow" w:hAnsi="Arial Narrow"/>
          <w:b/>
          <w:sz w:val="20"/>
        </w:rPr>
        <w:t xml:space="preserve"> (in red)</w:t>
      </w:r>
    </w:p>
    <w:tbl>
      <w:tblPr>
        <w:tblStyle w:val="TableGrid1"/>
        <w:tblW w:w="5000" w:type="pct"/>
        <w:tblLook w:val="04A0" w:firstRow="1" w:lastRow="0" w:firstColumn="1" w:lastColumn="0" w:noHBand="0" w:noVBand="1"/>
        <w:tblCaption w:val="Proposal for public funding; changes from previous submission annotated (in red)"/>
        <w:tblDescription w:val="Summary of MBS item descriptor (and changes from previous applications in red)"/>
      </w:tblPr>
      <w:tblGrid>
        <w:gridCol w:w="9016"/>
      </w:tblGrid>
      <w:tr w:rsidR="0082199E" w:rsidRPr="00DB5AE8" w14:paraId="086ED124" w14:textId="77777777" w:rsidTr="00B24C63">
        <w:trPr>
          <w:cnfStyle w:val="100000000000" w:firstRow="1" w:lastRow="0" w:firstColumn="0" w:lastColumn="0" w:oddVBand="0" w:evenVBand="0" w:oddHBand="0" w:evenHBand="0" w:firstRowFirstColumn="0" w:firstRowLastColumn="0" w:lastRowFirstColumn="0" w:lastRowLastColumn="0"/>
          <w:trHeight w:val="1182"/>
          <w:tblHeader/>
        </w:trPr>
        <w:tc>
          <w:tcPr>
            <w:tcW w:w="5000" w:type="pct"/>
            <w:hideMark/>
          </w:tcPr>
          <w:p w14:paraId="32D41CAD" w14:textId="77777777" w:rsidR="0082199E" w:rsidRDefault="0082199E" w:rsidP="00B24C63">
            <w:pPr>
              <w:pStyle w:val="TableText0"/>
              <w:keepLines/>
            </w:pPr>
            <w:r w:rsidRPr="00DB5AE8">
              <w:t>Gene expression profiling of tumour samples (surgical resection preferably or core biopsy) by reverse-transcriptase polymerase chain reaction (RT-PCR) technique for 21 genes in breast cancer tissue.</w:t>
            </w:r>
          </w:p>
          <w:p w14:paraId="0E5CDE3C" w14:textId="77777777" w:rsidR="0082199E" w:rsidRPr="000C2B56" w:rsidRDefault="0082199E" w:rsidP="00B24C63">
            <w:pPr>
              <w:pStyle w:val="TableText0"/>
              <w:keepLines/>
              <w:rPr>
                <w:i/>
              </w:rPr>
            </w:pPr>
            <w:r w:rsidRPr="000C2B56">
              <w:rPr>
                <w:i/>
              </w:rPr>
              <w:t>See Note for information on how results should be interpreted.</w:t>
            </w:r>
          </w:p>
          <w:p w14:paraId="1BC65EEB" w14:textId="6754EF1A" w:rsidR="0082199E" w:rsidRPr="00DB5AE8" w:rsidRDefault="0082199E" w:rsidP="00B24C63">
            <w:pPr>
              <w:pStyle w:val="TableText0"/>
              <w:keepLines/>
              <w:spacing w:before="120" w:after="120"/>
              <w:rPr>
                <w:color w:val="FF0000"/>
              </w:rPr>
            </w:pPr>
            <w:r>
              <w:rPr>
                <w:color w:val="FF0000"/>
              </w:rPr>
              <w:t>Previous submissions did not include a note on how results should be interpreted</w:t>
            </w:r>
            <w:r w:rsidR="00E46670">
              <w:rPr>
                <w:color w:val="FF0000"/>
              </w:rPr>
              <w:t>.</w:t>
            </w:r>
          </w:p>
          <w:p w14:paraId="24341CEA" w14:textId="77777777" w:rsidR="0082199E" w:rsidRPr="00DB5AE8" w:rsidRDefault="0082199E" w:rsidP="00B24C63">
            <w:pPr>
              <w:pStyle w:val="TableText0"/>
              <w:keepLines/>
            </w:pPr>
            <w:r w:rsidRPr="00DB5AE8">
              <w:t>May only be used to test samples from patients with all of the following characteristics as determined by the referring clinician:</w:t>
            </w:r>
          </w:p>
          <w:p w14:paraId="7E45F1AE" w14:textId="77777777" w:rsidR="0082199E" w:rsidRPr="00DB5AE8" w:rsidRDefault="0082199E" w:rsidP="00B24C63">
            <w:pPr>
              <w:pStyle w:val="TableText0"/>
              <w:keepLines/>
              <w:numPr>
                <w:ilvl w:val="0"/>
                <w:numId w:val="4"/>
              </w:numPr>
              <w:spacing w:before="20" w:after="120"/>
              <w:jc w:val="left"/>
            </w:pPr>
            <w:r w:rsidRPr="00DB5AE8">
              <w:t>early invasive breast cancer (stages I-II)</w:t>
            </w:r>
          </w:p>
          <w:p w14:paraId="5C5594A6" w14:textId="014524D0" w:rsidR="0082199E" w:rsidRPr="00DB5AE8" w:rsidRDefault="0082199E" w:rsidP="00B24C63">
            <w:pPr>
              <w:pStyle w:val="TableText0"/>
              <w:keepLines/>
              <w:spacing w:before="120" w:after="120"/>
              <w:rPr>
                <w:color w:val="FF0000"/>
              </w:rPr>
            </w:pPr>
            <w:r w:rsidRPr="00DB5AE8">
              <w:rPr>
                <w:color w:val="FF0000"/>
              </w:rPr>
              <w:t>No substantial change</w:t>
            </w:r>
            <w:r w:rsidR="00E46670">
              <w:rPr>
                <w:color w:val="FF0000"/>
              </w:rPr>
              <w:t>.</w:t>
            </w:r>
          </w:p>
          <w:p w14:paraId="5A3488A2" w14:textId="77777777" w:rsidR="0082199E" w:rsidRPr="00DB5AE8" w:rsidRDefault="0082199E" w:rsidP="00B24C63">
            <w:pPr>
              <w:pStyle w:val="TableText0"/>
              <w:keepLines/>
              <w:numPr>
                <w:ilvl w:val="0"/>
                <w:numId w:val="4"/>
              </w:numPr>
              <w:spacing w:before="20" w:after="120"/>
              <w:jc w:val="left"/>
            </w:pPr>
            <w:r w:rsidRPr="00DB5AE8">
              <w:t xml:space="preserve">oestrogen receptor positive or progesterone receptor positive as determined by immunohistochemistry at an approved </w:t>
            </w:r>
            <w:r>
              <w:t>Australian pathology laboratory</w:t>
            </w:r>
          </w:p>
          <w:p w14:paraId="2C6A9102" w14:textId="648C8D6D" w:rsidR="0082199E" w:rsidRPr="00DB5AE8" w:rsidRDefault="0082199E" w:rsidP="00B24C63">
            <w:pPr>
              <w:pStyle w:val="TableText0"/>
              <w:keepLines/>
              <w:spacing w:before="120" w:after="120"/>
            </w:pPr>
            <w:r w:rsidRPr="00DB5AE8">
              <w:rPr>
                <w:color w:val="FF0000"/>
              </w:rPr>
              <w:t>No substantial change</w:t>
            </w:r>
            <w:r w:rsidR="00E46670">
              <w:rPr>
                <w:color w:val="FF0000"/>
              </w:rPr>
              <w:t>.</w:t>
            </w:r>
          </w:p>
          <w:p w14:paraId="0F49D19F" w14:textId="77777777" w:rsidR="0082199E" w:rsidRPr="00DB5AE8" w:rsidRDefault="0082199E" w:rsidP="00B24C63">
            <w:pPr>
              <w:pStyle w:val="TableText0"/>
              <w:keepLines/>
              <w:numPr>
                <w:ilvl w:val="0"/>
                <w:numId w:val="4"/>
              </w:numPr>
              <w:spacing w:before="20" w:after="120"/>
              <w:jc w:val="left"/>
            </w:pPr>
            <w:r w:rsidRPr="00DB5AE8">
              <w:t xml:space="preserve">HER2 negative as determined by immunohistochemistry and/or in situ hybridisation at an approved </w:t>
            </w:r>
            <w:r>
              <w:t>Australian pathology laboratory</w:t>
            </w:r>
          </w:p>
          <w:p w14:paraId="1DFB76B6" w14:textId="65DBB338" w:rsidR="0082199E" w:rsidRPr="00DB5AE8" w:rsidRDefault="0082199E" w:rsidP="00B24C63">
            <w:pPr>
              <w:pStyle w:val="TableText0"/>
              <w:keepLines/>
              <w:spacing w:before="120" w:after="120"/>
              <w:rPr>
                <w:color w:val="FF0000"/>
              </w:rPr>
            </w:pPr>
            <w:r w:rsidRPr="00DB5AE8">
              <w:rPr>
                <w:color w:val="FF0000"/>
              </w:rPr>
              <w:t>No substantial change</w:t>
            </w:r>
            <w:r w:rsidR="00E46670">
              <w:rPr>
                <w:color w:val="FF0000"/>
              </w:rPr>
              <w:t>.</w:t>
            </w:r>
          </w:p>
          <w:p w14:paraId="5305F590" w14:textId="77777777" w:rsidR="0082199E" w:rsidRPr="00DB5AE8" w:rsidRDefault="0082199E" w:rsidP="00B24C63">
            <w:pPr>
              <w:pStyle w:val="TableText0"/>
              <w:keepLines/>
              <w:numPr>
                <w:ilvl w:val="0"/>
                <w:numId w:val="4"/>
              </w:numPr>
              <w:spacing w:before="20" w:after="120"/>
              <w:jc w:val="left"/>
            </w:pPr>
            <w:r>
              <w:t>node negative</w:t>
            </w:r>
          </w:p>
          <w:p w14:paraId="26AA802A" w14:textId="77777777" w:rsidR="0082199E" w:rsidRPr="00DB5AE8" w:rsidRDefault="0082199E" w:rsidP="00B24C63">
            <w:pPr>
              <w:pStyle w:val="TableText0"/>
              <w:keepLines/>
              <w:spacing w:before="120" w:after="120"/>
              <w:rPr>
                <w:color w:val="FF0000"/>
              </w:rPr>
            </w:pPr>
            <w:r w:rsidRPr="00DB5AE8">
              <w:rPr>
                <w:color w:val="FF0000"/>
              </w:rPr>
              <w:t xml:space="preserve">Previous submissions allowed for node positivity. </w:t>
            </w:r>
            <w:r>
              <w:rPr>
                <w:color w:val="FF0000"/>
              </w:rPr>
              <w:t>P</w:t>
            </w:r>
            <w:r w:rsidRPr="00DB5AE8">
              <w:rPr>
                <w:color w:val="FF0000"/>
              </w:rPr>
              <w:t>ublic funding</w:t>
            </w:r>
            <w:r w:rsidRPr="00DB5AE8" w:rsidDel="00A32385">
              <w:rPr>
                <w:color w:val="FF0000"/>
              </w:rPr>
              <w:t xml:space="preserve"> </w:t>
            </w:r>
            <w:r w:rsidRPr="00DB5AE8">
              <w:rPr>
                <w:color w:val="FF0000"/>
              </w:rPr>
              <w:t xml:space="preserve">no longer requested for </w:t>
            </w:r>
            <w:r>
              <w:rPr>
                <w:color w:val="FF0000"/>
              </w:rPr>
              <w:t>node positive</w:t>
            </w:r>
            <w:r w:rsidRPr="00DB5AE8">
              <w:rPr>
                <w:color w:val="FF0000"/>
              </w:rPr>
              <w:t xml:space="preserve"> patients.</w:t>
            </w:r>
          </w:p>
          <w:p w14:paraId="76037F7B" w14:textId="77777777" w:rsidR="0082199E" w:rsidRPr="00DB5AE8" w:rsidRDefault="0082199E" w:rsidP="00B24C63">
            <w:pPr>
              <w:pStyle w:val="TableText0"/>
              <w:keepLines/>
              <w:numPr>
                <w:ilvl w:val="0"/>
                <w:numId w:val="4"/>
              </w:numPr>
              <w:spacing w:before="20" w:after="120"/>
              <w:jc w:val="left"/>
            </w:pPr>
            <w:r>
              <w:t>t</w:t>
            </w:r>
            <w:r w:rsidRPr="00DB5AE8">
              <w:t>umour</w:t>
            </w:r>
            <w:r>
              <w:t xml:space="preserve"> size &gt;= 10 mm and &lt; 50 mm, or t</w:t>
            </w:r>
            <w:r w:rsidRPr="00DB5AE8">
              <w:t>umour size &gt;= 5 mm and &lt; 10 mm with unfavourable histological features (intermediate or poor nuclear and/or histologic grade, or lymphovascular invasion)</w:t>
            </w:r>
          </w:p>
          <w:p w14:paraId="7F3E82AC" w14:textId="4851A878" w:rsidR="0082199E" w:rsidRPr="00DB5AE8" w:rsidRDefault="0082199E" w:rsidP="00B24C63">
            <w:pPr>
              <w:pStyle w:val="TableText0"/>
              <w:keepLines/>
              <w:spacing w:before="120" w:after="120"/>
              <w:rPr>
                <w:color w:val="FF0000"/>
              </w:rPr>
            </w:pPr>
            <w:r w:rsidRPr="00DB5AE8">
              <w:rPr>
                <w:color w:val="FF0000"/>
              </w:rPr>
              <w:t>The minimum tumour size of 2</w:t>
            </w:r>
            <w:r w:rsidR="00E46670">
              <w:rPr>
                <w:color w:val="FF0000"/>
              </w:rPr>
              <w:t xml:space="preserve"> </w:t>
            </w:r>
            <w:r w:rsidRPr="00DB5AE8">
              <w:rPr>
                <w:color w:val="FF0000"/>
              </w:rPr>
              <w:t>mm has increased to 10</w:t>
            </w:r>
            <w:r w:rsidR="00E46670">
              <w:rPr>
                <w:color w:val="FF0000"/>
              </w:rPr>
              <w:t xml:space="preserve"> </w:t>
            </w:r>
            <w:r w:rsidRPr="00DB5AE8">
              <w:rPr>
                <w:color w:val="FF0000"/>
              </w:rPr>
              <w:t>mm</w:t>
            </w:r>
            <w:r>
              <w:rPr>
                <w:color w:val="FF0000"/>
              </w:rPr>
              <w:t xml:space="preserve"> (or 5</w:t>
            </w:r>
            <w:r w:rsidR="00E46670">
              <w:rPr>
                <w:color w:val="FF0000"/>
              </w:rPr>
              <w:t xml:space="preserve"> </w:t>
            </w:r>
            <w:r>
              <w:rPr>
                <w:color w:val="FF0000"/>
              </w:rPr>
              <w:t>mm with unfavourable histology)</w:t>
            </w:r>
            <w:r w:rsidRPr="00DB5AE8">
              <w:rPr>
                <w:color w:val="FF0000"/>
              </w:rPr>
              <w:t>.</w:t>
            </w:r>
          </w:p>
          <w:p w14:paraId="1C27FD64" w14:textId="77777777" w:rsidR="0082199E" w:rsidRPr="00DB5AE8" w:rsidRDefault="0082199E" w:rsidP="00B24C63">
            <w:pPr>
              <w:pStyle w:val="TableText0"/>
              <w:keepLines/>
              <w:spacing w:before="120" w:after="120"/>
              <w:rPr>
                <w:color w:val="FF0000"/>
              </w:rPr>
            </w:pPr>
            <w:r w:rsidRPr="00DB5AE8">
              <w:rPr>
                <w:color w:val="FF0000"/>
              </w:rPr>
              <w:t>There was previously no maximum tumour size.</w:t>
            </w:r>
          </w:p>
          <w:p w14:paraId="4530B760" w14:textId="3C02461A" w:rsidR="0082199E" w:rsidRPr="00DB5AE8" w:rsidRDefault="0082199E" w:rsidP="00B24C63">
            <w:pPr>
              <w:pStyle w:val="TableText0"/>
              <w:keepLines/>
              <w:spacing w:before="120" w:after="120"/>
              <w:rPr>
                <w:color w:val="FF0000"/>
              </w:rPr>
            </w:pPr>
            <w:r w:rsidRPr="00DB5AE8">
              <w:rPr>
                <w:color w:val="FF0000"/>
              </w:rPr>
              <w:t xml:space="preserve">Eligibility </w:t>
            </w:r>
            <w:r w:rsidR="00E46670">
              <w:rPr>
                <w:color w:val="FF0000"/>
              </w:rPr>
              <w:t xml:space="preserve">was also </w:t>
            </w:r>
            <w:r w:rsidRPr="00DB5AE8">
              <w:rPr>
                <w:color w:val="FF0000"/>
              </w:rPr>
              <w:t>previous</w:t>
            </w:r>
            <w:r w:rsidR="00E46670">
              <w:rPr>
                <w:color w:val="FF0000"/>
              </w:rPr>
              <w:t>ly</w:t>
            </w:r>
            <w:r w:rsidRPr="00DB5AE8">
              <w:rPr>
                <w:color w:val="FF0000"/>
              </w:rPr>
              <w:t xml:space="preserve"> determined by </w:t>
            </w:r>
            <w:r w:rsidR="00E46670">
              <w:rPr>
                <w:color w:val="FF0000"/>
              </w:rPr>
              <w:t xml:space="preserve">the </w:t>
            </w:r>
            <w:r w:rsidRPr="00DB5AE8">
              <w:rPr>
                <w:color w:val="FF0000"/>
              </w:rPr>
              <w:t>presence of 1 or 2 negative prognostic risk factors.</w:t>
            </w:r>
          </w:p>
          <w:p w14:paraId="78F7B3BD" w14:textId="58FAE9B7" w:rsidR="0082199E" w:rsidRPr="00DB5AE8" w:rsidRDefault="0082199E" w:rsidP="00B24C63">
            <w:pPr>
              <w:pStyle w:val="TableText0"/>
              <w:keepLines/>
              <w:numPr>
                <w:ilvl w:val="0"/>
                <w:numId w:val="4"/>
              </w:numPr>
              <w:spacing w:before="20" w:after="120"/>
              <w:jc w:val="left"/>
            </w:pPr>
            <w:r w:rsidRPr="00DB5AE8">
              <w:t>suitable for hormone therapy</w:t>
            </w:r>
          </w:p>
          <w:p w14:paraId="51B76001" w14:textId="77777777" w:rsidR="0082199E" w:rsidRPr="00DB5AE8" w:rsidRDefault="0082199E" w:rsidP="00B24C63">
            <w:pPr>
              <w:pStyle w:val="TableText0"/>
              <w:keepLines/>
              <w:numPr>
                <w:ilvl w:val="0"/>
                <w:numId w:val="4"/>
              </w:numPr>
              <w:spacing w:before="20" w:after="120"/>
              <w:jc w:val="left"/>
            </w:pPr>
            <w:r w:rsidRPr="00DB5AE8">
              <w:t>suitable for adjuvant chemotherapy (ECOG performance status 0-2)</w:t>
            </w:r>
          </w:p>
          <w:p w14:paraId="02EAFA6E" w14:textId="77777777" w:rsidR="0082199E" w:rsidRPr="00DB5AE8" w:rsidRDefault="0082199E" w:rsidP="00B24C63">
            <w:pPr>
              <w:pStyle w:val="TableText0"/>
              <w:keepLines/>
              <w:numPr>
                <w:ilvl w:val="0"/>
                <w:numId w:val="4"/>
              </w:numPr>
              <w:spacing w:before="20" w:after="120"/>
              <w:jc w:val="left"/>
            </w:pPr>
            <w:r>
              <w:t>m</w:t>
            </w:r>
            <w:r w:rsidRPr="00DB5AE8">
              <w:t>ay only be used once per new primary breast cancer</w:t>
            </w:r>
          </w:p>
          <w:p w14:paraId="16D5BF70" w14:textId="5A45E59F" w:rsidR="0082199E" w:rsidRPr="00E2362C" w:rsidRDefault="0082199E" w:rsidP="00B24C63">
            <w:pPr>
              <w:pStyle w:val="TableText0"/>
              <w:keepLines/>
              <w:spacing w:before="240" w:after="240"/>
              <w:rPr>
                <w:color w:val="FF0000"/>
              </w:rPr>
            </w:pPr>
            <w:r w:rsidRPr="00DB5AE8">
              <w:rPr>
                <w:color w:val="FF0000"/>
              </w:rPr>
              <w:t>No substantial change</w:t>
            </w:r>
            <w:r w:rsidR="00E46670">
              <w:rPr>
                <w:color w:val="FF0000"/>
              </w:rPr>
              <w:t>.</w:t>
            </w:r>
          </w:p>
          <w:p w14:paraId="1622D4A0" w14:textId="20A3A57B" w:rsidR="0082199E" w:rsidRDefault="0082199E" w:rsidP="00B24C63">
            <w:pPr>
              <w:pStyle w:val="TableText0"/>
              <w:keepLines/>
              <w:spacing w:before="240" w:after="240"/>
            </w:pPr>
            <w:r w:rsidRPr="00DB5AE8">
              <w:t>Fee: $</w:t>
            </w:r>
            <w:r>
              <w:t>5,085</w:t>
            </w:r>
          </w:p>
          <w:p w14:paraId="5143B994" w14:textId="77777777" w:rsidR="0082199E" w:rsidRDefault="0082199E" w:rsidP="00B24C63">
            <w:pPr>
              <w:pStyle w:val="TableText0"/>
              <w:keepLines/>
            </w:pPr>
            <w:r>
              <w:t>Note:</w:t>
            </w:r>
          </w:p>
          <w:p w14:paraId="2E3354D8" w14:textId="508FAC80" w:rsidR="0082199E" w:rsidRPr="000C2B56" w:rsidRDefault="0082199E" w:rsidP="00B24C63">
            <w:pPr>
              <w:pStyle w:val="TableText0"/>
              <w:keepLines/>
            </w:pPr>
            <w:r w:rsidRPr="000C2B56">
              <w:t>Chemotherapy decisions are guided by a patient’s Recurrence Score (RS). Patients with RS</w:t>
            </w:r>
            <w:r w:rsidR="00B72A62">
              <w:t xml:space="preserve"> </w:t>
            </w:r>
            <w:r w:rsidRPr="000C2B56">
              <w:t>&lt;26 are recommended endocrine therapy and patients with RS</w:t>
            </w:r>
            <w:r w:rsidR="00B72A62">
              <w:t xml:space="preserve"> </w:t>
            </w:r>
            <w:r w:rsidRPr="000C2B56">
              <w:t>≥26 are recommended adjuvant chemotherapy according to Oncotype DX. There is some evidence that there may be a chemotherapy benefit in patients aged ≤ 50 years, with RS 16-25</w:t>
            </w:r>
            <w:r>
              <w:t>.</w:t>
            </w:r>
          </w:p>
          <w:p w14:paraId="024ABE2F" w14:textId="0169093A" w:rsidR="0082199E" w:rsidRPr="000C2B56" w:rsidRDefault="0082199E" w:rsidP="00B24C63">
            <w:pPr>
              <w:pStyle w:val="TableText0"/>
              <w:keepLines/>
              <w:spacing w:before="120" w:after="120"/>
              <w:rPr>
                <w:color w:val="FF0000"/>
              </w:rPr>
            </w:pPr>
            <w:r>
              <w:rPr>
                <w:color w:val="FF0000"/>
              </w:rPr>
              <w:t>Previous submissions did not include a note on how results should be interpreted</w:t>
            </w:r>
            <w:r w:rsidR="00E46670">
              <w:rPr>
                <w:color w:val="FF0000"/>
              </w:rPr>
              <w:t>.</w:t>
            </w:r>
          </w:p>
        </w:tc>
      </w:tr>
    </w:tbl>
    <w:p w14:paraId="1E5A112C" w14:textId="1236D4FA" w:rsidR="00BC1364" w:rsidRPr="00F715D1" w:rsidRDefault="00BC1364" w:rsidP="00F715D1">
      <w:pPr>
        <w:pStyle w:val="Heading1"/>
      </w:pPr>
      <w:r w:rsidRPr="00F715D1">
        <w:t>Summary of</w:t>
      </w:r>
      <w:r w:rsidR="00721B29" w:rsidRPr="00F715D1">
        <w:t xml:space="preserve"> public consultation feedback/consumer issues</w:t>
      </w:r>
    </w:p>
    <w:p w14:paraId="00518D36" w14:textId="77777777" w:rsidR="0082199E" w:rsidRPr="00F858EC" w:rsidRDefault="0082199E" w:rsidP="0082199E">
      <w:pPr>
        <w:spacing w:after="240"/>
        <w:rPr>
          <w:szCs w:val="24"/>
        </w:rPr>
      </w:pPr>
      <w:r>
        <w:rPr>
          <w:szCs w:val="24"/>
        </w:rPr>
        <w:t>See Application 1342.4</w:t>
      </w:r>
      <w:r w:rsidRPr="00F858EC">
        <w:rPr>
          <w:szCs w:val="24"/>
        </w:rPr>
        <w:t xml:space="preserve"> PSD on the MSAC website.</w:t>
      </w:r>
    </w:p>
    <w:p w14:paraId="53A2F8BE" w14:textId="77777777" w:rsidR="00BC1364" w:rsidRPr="00F715D1" w:rsidRDefault="00BC1364" w:rsidP="00F715D1">
      <w:pPr>
        <w:pStyle w:val="Heading1"/>
      </w:pPr>
      <w:r w:rsidRPr="00F715D1">
        <w:t>Proposed intervention’s place in clinical management</w:t>
      </w:r>
    </w:p>
    <w:p w14:paraId="1E14DFA2" w14:textId="7D4CB69A" w:rsidR="0082199E" w:rsidRDefault="0082199E" w:rsidP="0082199E">
      <w:r>
        <w:t>The resubmission</w:t>
      </w:r>
      <w:r w:rsidR="000F66FC">
        <w:t>’s</w:t>
      </w:r>
      <w:r>
        <w:t xml:space="preserve"> proposed clinical management algorithm (Figure 1) differ</w:t>
      </w:r>
      <w:r w:rsidR="000F66FC">
        <w:t>ed</w:t>
      </w:r>
      <w:r>
        <w:t xml:space="preserve"> from that presented in earlier MSAC applications for Oncotype</w:t>
      </w:r>
      <w:r w:rsidR="00A52F8F">
        <w:t> </w:t>
      </w:r>
      <w:r>
        <w:t>DX in that it exclude</w:t>
      </w:r>
      <w:r w:rsidR="000F66FC">
        <w:t>d</w:t>
      </w:r>
      <w:r>
        <w:t xml:space="preserve"> node positive patients, and the process used to exclude patients with very high or low clinical risk </w:t>
      </w:r>
      <w:r w:rsidR="000F66FC">
        <w:t>wa</w:t>
      </w:r>
      <w:r>
        <w:t xml:space="preserve">s based on the approach applied in TAILORx. In </w:t>
      </w:r>
      <w:r w:rsidR="000F66FC">
        <w:t>addition, the algorithm included</w:t>
      </w:r>
      <w:r>
        <w:t xml:space="preserve"> a footnote to clarify how recurrence score (RS) results should be interpreted and used to guide chemotherapy decisions.</w:t>
      </w:r>
    </w:p>
    <w:p w14:paraId="21D41096" w14:textId="11830942" w:rsidR="0082199E" w:rsidRPr="00B24C63" w:rsidRDefault="0082199E" w:rsidP="00B24C63">
      <w:pPr>
        <w:keepNext/>
        <w:keepLines/>
        <w:rPr>
          <w:rFonts w:ascii="Arial Narrow" w:hAnsi="Arial Narrow"/>
          <w:b/>
          <w:sz w:val="20"/>
        </w:rPr>
      </w:pPr>
      <w:r w:rsidRPr="00B24C63">
        <w:rPr>
          <w:rFonts w:ascii="Arial Narrow" w:hAnsi="Arial Narrow"/>
          <w:b/>
          <w:sz w:val="20"/>
        </w:rPr>
        <w:lastRenderedPageBreak/>
        <w:t>Figure 1</w:t>
      </w:r>
      <w:r w:rsidRPr="00B24C63">
        <w:rPr>
          <w:rFonts w:ascii="Arial Narrow" w:hAnsi="Arial Narrow"/>
          <w:b/>
          <w:sz w:val="20"/>
        </w:rPr>
        <w:tab/>
        <w:t>Clinical management algorithm for the use of Oncotype</w:t>
      </w:r>
      <w:r w:rsidR="00A52F8F" w:rsidRPr="00B24C63">
        <w:rPr>
          <w:rFonts w:ascii="Arial Narrow" w:hAnsi="Arial Narrow"/>
          <w:b/>
          <w:sz w:val="20"/>
        </w:rPr>
        <w:t> </w:t>
      </w:r>
      <w:r w:rsidRPr="00B24C63">
        <w:rPr>
          <w:rFonts w:ascii="Arial Narrow" w:hAnsi="Arial Narrow"/>
          <w:b/>
          <w:sz w:val="20"/>
        </w:rPr>
        <w:t>DX in Australian clinical practice</w:t>
      </w:r>
    </w:p>
    <w:p w14:paraId="5F8D0FF3" w14:textId="77777777" w:rsidR="0082199E" w:rsidRDefault="0082199E" w:rsidP="00B24C63">
      <w:pPr>
        <w:keepNext/>
        <w:keepLines/>
      </w:pPr>
      <w:r w:rsidRPr="00150B3A">
        <w:rPr>
          <w:noProof/>
        </w:rPr>
        <w:drawing>
          <wp:inline distT="0" distB="0" distL="0" distR="0" wp14:anchorId="22917D69" wp14:editId="4284EB0E">
            <wp:extent cx="5747657" cy="6661686"/>
            <wp:effectExtent l="0" t="0" r="5715" b="6350"/>
            <wp:docPr id="10" name="Picture 10" descr="Schematic of algorithm" title="Clinical management algorithm for the use of Oncotype DX in Australian clinical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6336" cy="6671745"/>
                    </a:xfrm>
                    <a:prstGeom prst="rect">
                      <a:avLst/>
                    </a:prstGeom>
                  </pic:spPr>
                </pic:pic>
              </a:graphicData>
            </a:graphic>
          </wp:inline>
        </w:drawing>
      </w:r>
    </w:p>
    <w:p w14:paraId="2913525A" w14:textId="66DA801B" w:rsidR="00BC1364" w:rsidRPr="00F715D1" w:rsidRDefault="00E46670" w:rsidP="00F715D1">
      <w:pPr>
        <w:pStyle w:val="Heading1"/>
      </w:pPr>
      <w:r>
        <w:t>Comparator</w:t>
      </w:r>
    </w:p>
    <w:p w14:paraId="654B221B" w14:textId="0C89F127" w:rsidR="0082199E" w:rsidRDefault="0082199E" w:rsidP="0082199E">
      <w:r>
        <w:t>The comparator for the resubmission remain</w:t>
      </w:r>
      <w:r w:rsidR="009D4CBB">
        <w:t>ed</w:t>
      </w:r>
      <w:r>
        <w:t xml:space="preserve"> the same as that for the previous submissions</w:t>
      </w:r>
      <w:r w:rsidR="002176CB">
        <w:t xml:space="preserve"> - </w:t>
      </w:r>
      <w:r>
        <w:t>usual care. MSAC has previously accepted the comparator as usual care, defined as optimised subjective assessment of various clinical and pathological factors to estimate the risk of recurrence; which are likely combined using formal algorithms.</w:t>
      </w:r>
    </w:p>
    <w:p w14:paraId="0E6856BB" w14:textId="77777777" w:rsidR="00BC1364" w:rsidRPr="00F715D1" w:rsidRDefault="00BC1364" w:rsidP="00F715D1">
      <w:pPr>
        <w:pStyle w:val="Heading1"/>
      </w:pPr>
      <w:r w:rsidRPr="00F715D1">
        <w:t>Comparative safety</w:t>
      </w:r>
    </w:p>
    <w:p w14:paraId="53D3ED25" w14:textId="26CBBF31" w:rsidR="0082199E" w:rsidRDefault="0082199E" w:rsidP="0082199E">
      <w:r>
        <w:t xml:space="preserve">The resubmission did not present a specific assessment of comparative safety. The Critique stated that the safety concerns remain as those outlined by MSAC previously and quoted in the resubmission. </w:t>
      </w:r>
      <w:r w:rsidRPr="0099724D">
        <w:t xml:space="preserve">“MSAC previously noted that although the test is procedurally safe because </w:t>
      </w:r>
      <w:r w:rsidRPr="0099724D">
        <w:lastRenderedPageBreak/>
        <w:t>it relies on samples already taken for other purposes, there is a degree of risk in the misallocation of patients to risk categories, which would affect the outcomes of the therapy subsequently selected”</w:t>
      </w:r>
      <w:r>
        <w:t xml:space="preserve"> (PSD for MSAC Application 1342, November 2013).</w:t>
      </w:r>
    </w:p>
    <w:p w14:paraId="043D7A8A" w14:textId="77777777" w:rsidR="00BC1364" w:rsidRPr="00F715D1" w:rsidRDefault="00BC1364" w:rsidP="00F715D1">
      <w:pPr>
        <w:pStyle w:val="Heading1"/>
      </w:pPr>
      <w:r w:rsidRPr="00F715D1">
        <w:t>Comparative effectiveness</w:t>
      </w:r>
    </w:p>
    <w:p w14:paraId="4592A84B" w14:textId="7754924C" w:rsidR="0053271A" w:rsidRDefault="0053271A" w:rsidP="00BE569D">
      <w:pPr>
        <w:spacing w:after="120"/>
      </w:pPr>
      <w:r>
        <w:t xml:space="preserve">The resubmission </w:t>
      </w:r>
      <w:r w:rsidR="009D4CBB">
        <w:t>wa</w:t>
      </w:r>
      <w:r>
        <w:t>s based on one prospective randomised trial and one re</w:t>
      </w:r>
      <w:r w:rsidR="004419A7">
        <w:t>-</w:t>
      </w:r>
      <w:r>
        <w:t>analysis of a retrospective cohort study:</w:t>
      </w:r>
    </w:p>
    <w:p w14:paraId="264F2CE0" w14:textId="3A848791" w:rsidR="0053271A" w:rsidRPr="00BE569D" w:rsidRDefault="0053271A" w:rsidP="00BE569D">
      <w:pPr>
        <w:pStyle w:val="Bullet"/>
        <w:numPr>
          <w:ilvl w:val="0"/>
          <w:numId w:val="3"/>
        </w:numPr>
        <w:spacing w:after="120" w:line="240" w:lineRule="auto"/>
        <w:ind w:left="714" w:hanging="357"/>
        <w:rPr>
          <w:rFonts w:ascii="Times New Roman" w:hAnsi="Times New Roman" w:cs="Times New Roman"/>
          <w:sz w:val="24"/>
          <w:szCs w:val="24"/>
        </w:rPr>
      </w:pPr>
      <w:r w:rsidRPr="00BE569D">
        <w:rPr>
          <w:rFonts w:ascii="Times New Roman" w:hAnsi="Times New Roman" w:cs="Times New Roman"/>
          <w:sz w:val="24"/>
          <w:szCs w:val="24"/>
        </w:rPr>
        <w:t>The TAILORx trial was a prospective trial (N=</w:t>
      </w:r>
      <w:r w:rsidR="00825237" w:rsidRPr="00BE569D">
        <w:rPr>
          <w:rFonts w:ascii="Times New Roman" w:hAnsi="Times New Roman" w:cs="Times New Roman"/>
          <w:sz w:val="24"/>
          <w:szCs w:val="24"/>
        </w:rPr>
        <w:t>10,273</w:t>
      </w:r>
      <w:r w:rsidRPr="00BE569D">
        <w:rPr>
          <w:rFonts w:ascii="Times New Roman" w:hAnsi="Times New Roman" w:cs="Times New Roman"/>
          <w:sz w:val="24"/>
          <w:szCs w:val="24"/>
        </w:rPr>
        <w:t xml:space="preserve">; </w:t>
      </w:r>
      <w:r w:rsidR="00825237" w:rsidRPr="00BE569D">
        <w:rPr>
          <w:rFonts w:ascii="Times New Roman" w:hAnsi="Times New Roman" w:cs="Times New Roman"/>
          <w:sz w:val="24"/>
          <w:szCs w:val="24"/>
        </w:rPr>
        <w:t xml:space="preserve">registered </w:t>
      </w:r>
      <w:r w:rsidRPr="00BE569D">
        <w:rPr>
          <w:rFonts w:ascii="Times New Roman" w:hAnsi="Times New Roman" w:cs="Times New Roman"/>
          <w:sz w:val="24"/>
          <w:szCs w:val="24"/>
        </w:rPr>
        <w:t xml:space="preserve">population), that used a patient’s recurrence score only to guide treatment. Women with intermediate RS (11-25) were randomised to </w:t>
      </w:r>
      <w:r w:rsidR="00DD39CE" w:rsidRPr="00BE569D">
        <w:rPr>
          <w:rFonts w:ascii="Times New Roman" w:hAnsi="Times New Roman" w:cs="Times New Roman"/>
          <w:sz w:val="24"/>
          <w:szCs w:val="24"/>
        </w:rPr>
        <w:t>endocrine</w:t>
      </w:r>
      <w:r w:rsidRPr="00BE569D">
        <w:rPr>
          <w:rFonts w:ascii="Times New Roman" w:hAnsi="Times New Roman" w:cs="Times New Roman"/>
          <w:sz w:val="24"/>
          <w:szCs w:val="24"/>
        </w:rPr>
        <w:t xml:space="preserve"> therapy (</w:t>
      </w:r>
      <w:r w:rsidR="00DD39CE" w:rsidRPr="00BE569D">
        <w:rPr>
          <w:rFonts w:ascii="Times New Roman" w:hAnsi="Times New Roman" w:cs="Times New Roman"/>
          <w:sz w:val="24"/>
          <w:szCs w:val="24"/>
        </w:rPr>
        <w:t>E</w:t>
      </w:r>
      <w:r w:rsidRPr="00BE569D">
        <w:rPr>
          <w:rFonts w:ascii="Times New Roman" w:hAnsi="Times New Roman" w:cs="Times New Roman"/>
          <w:sz w:val="24"/>
          <w:szCs w:val="24"/>
        </w:rPr>
        <w:t xml:space="preserve">T) alone or </w:t>
      </w:r>
      <w:r w:rsidR="00DD39CE" w:rsidRPr="00BE569D">
        <w:rPr>
          <w:rFonts w:ascii="Times New Roman" w:hAnsi="Times New Roman" w:cs="Times New Roman"/>
          <w:sz w:val="24"/>
          <w:szCs w:val="24"/>
        </w:rPr>
        <w:t>E</w:t>
      </w:r>
      <w:r w:rsidRPr="00BE569D">
        <w:rPr>
          <w:rFonts w:ascii="Times New Roman" w:hAnsi="Times New Roman" w:cs="Times New Roman"/>
          <w:sz w:val="24"/>
          <w:szCs w:val="24"/>
        </w:rPr>
        <w:t>T+ chemotherapy (CT) (n=</w:t>
      </w:r>
      <w:r w:rsidR="00825237" w:rsidRPr="00BE569D">
        <w:rPr>
          <w:rFonts w:ascii="Times New Roman" w:hAnsi="Times New Roman" w:cs="Times New Roman"/>
          <w:sz w:val="24"/>
          <w:szCs w:val="24"/>
        </w:rPr>
        <w:t>6,907</w:t>
      </w:r>
      <w:r w:rsidRPr="00BE569D">
        <w:rPr>
          <w:rFonts w:ascii="Times New Roman" w:hAnsi="Times New Roman" w:cs="Times New Roman"/>
          <w:sz w:val="24"/>
          <w:szCs w:val="24"/>
        </w:rPr>
        <w:t>; Arms B and C); and those with low (0-10; n=</w:t>
      </w:r>
      <w:r w:rsidR="00825237" w:rsidRPr="00BE569D">
        <w:rPr>
          <w:rFonts w:ascii="Times New Roman" w:hAnsi="Times New Roman" w:cs="Times New Roman"/>
          <w:sz w:val="24"/>
          <w:szCs w:val="24"/>
        </w:rPr>
        <w:t>1,629</w:t>
      </w:r>
      <w:r w:rsidRPr="00BE569D">
        <w:rPr>
          <w:rFonts w:ascii="Times New Roman" w:hAnsi="Times New Roman" w:cs="Times New Roman"/>
          <w:sz w:val="24"/>
          <w:szCs w:val="24"/>
        </w:rPr>
        <w:t>; Arm A) or high (≥26; n=</w:t>
      </w:r>
      <w:r w:rsidR="00825237" w:rsidRPr="00BE569D">
        <w:rPr>
          <w:rFonts w:ascii="Times New Roman" w:hAnsi="Times New Roman" w:cs="Times New Roman"/>
          <w:sz w:val="24"/>
          <w:szCs w:val="24"/>
        </w:rPr>
        <w:t>1,737</w:t>
      </w:r>
      <w:r w:rsidRPr="00BE569D">
        <w:rPr>
          <w:rFonts w:ascii="Times New Roman" w:hAnsi="Times New Roman" w:cs="Times New Roman"/>
          <w:sz w:val="24"/>
          <w:szCs w:val="24"/>
        </w:rPr>
        <w:t xml:space="preserve">; Arm D) RS were treated with </w:t>
      </w:r>
      <w:r w:rsidR="00DD39CE" w:rsidRPr="00BE569D">
        <w:rPr>
          <w:rFonts w:ascii="Times New Roman" w:hAnsi="Times New Roman" w:cs="Times New Roman"/>
          <w:sz w:val="24"/>
          <w:szCs w:val="24"/>
        </w:rPr>
        <w:t>E</w:t>
      </w:r>
      <w:r w:rsidRPr="00BE569D">
        <w:rPr>
          <w:rFonts w:ascii="Times New Roman" w:hAnsi="Times New Roman" w:cs="Times New Roman"/>
          <w:sz w:val="24"/>
          <w:szCs w:val="24"/>
        </w:rPr>
        <w:t xml:space="preserve">T alone or </w:t>
      </w:r>
      <w:r w:rsidR="00DD39CE" w:rsidRPr="00BE569D">
        <w:rPr>
          <w:rFonts w:ascii="Times New Roman" w:hAnsi="Times New Roman" w:cs="Times New Roman"/>
          <w:sz w:val="24"/>
          <w:szCs w:val="24"/>
        </w:rPr>
        <w:t>E</w:t>
      </w:r>
      <w:r w:rsidRPr="00BE569D">
        <w:rPr>
          <w:rFonts w:ascii="Times New Roman" w:hAnsi="Times New Roman" w:cs="Times New Roman"/>
          <w:sz w:val="24"/>
          <w:szCs w:val="24"/>
        </w:rPr>
        <w:t xml:space="preserve">T+CT, respectively </w:t>
      </w:r>
      <w:r w:rsidR="0080434D" w:rsidRPr="00BE569D">
        <w:rPr>
          <w:rFonts w:ascii="Times New Roman" w:hAnsi="Times New Roman" w:cs="Times New Roman"/>
          <w:sz w:val="24"/>
          <w:szCs w:val="24"/>
        </w:rPr>
        <w:t>(</w:t>
      </w:r>
      <w:r w:rsidRPr="00BE569D">
        <w:rPr>
          <w:rFonts w:ascii="Times New Roman" w:hAnsi="Times New Roman" w:cs="Times New Roman"/>
          <w:sz w:val="24"/>
          <w:szCs w:val="24"/>
        </w:rPr>
        <w:t xml:space="preserve">Sparano </w:t>
      </w:r>
      <w:r w:rsidR="00435872" w:rsidRPr="00BE569D">
        <w:rPr>
          <w:rFonts w:ascii="Times New Roman" w:hAnsi="Times New Roman" w:cs="Times New Roman"/>
          <w:sz w:val="24"/>
          <w:szCs w:val="24"/>
        </w:rPr>
        <w:t>et al.</w:t>
      </w:r>
      <w:r w:rsidRPr="00BE569D">
        <w:rPr>
          <w:rFonts w:ascii="Times New Roman" w:hAnsi="Times New Roman" w:cs="Times New Roman"/>
          <w:sz w:val="24"/>
          <w:szCs w:val="24"/>
        </w:rPr>
        <w:t xml:space="preserve"> </w:t>
      </w:r>
      <w:r w:rsidR="0012326F" w:rsidRPr="00BE569D">
        <w:rPr>
          <w:rFonts w:ascii="Times New Roman" w:hAnsi="Times New Roman" w:cs="Times New Roman"/>
          <w:sz w:val="24"/>
          <w:szCs w:val="24"/>
        </w:rPr>
        <w:t xml:space="preserve">NEJM, </w:t>
      </w:r>
      <w:r w:rsidRPr="00BE569D">
        <w:rPr>
          <w:rFonts w:ascii="Times New Roman" w:hAnsi="Times New Roman" w:cs="Times New Roman"/>
          <w:sz w:val="24"/>
          <w:szCs w:val="24"/>
        </w:rPr>
        <w:t>2018</w:t>
      </w:r>
      <w:r w:rsidR="0080434D" w:rsidRPr="00BE569D">
        <w:rPr>
          <w:rFonts w:ascii="Times New Roman" w:hAnsi="Times New Roman" w:cs="Times New Roman"/>
          <w:sz w:val="24"/>
          <w:szCs w:val="24"/>
        </w:rPr>
        <w:t>)</w:t>
      </w:r>
      <w:r w:rsidRPr="00BE569D">
        <w:rPr>
          <w:rFonts w:ascii="Times New Roman" w:hAnsi="Times New Roman" w:cs="Times New Roman"/>
          <w:sz w:val="24"/>
          <w:szCs w:val="24"/>
        </w:rPr>
        <w:t xml:space="preserve">. Results were provided for the </w:t>
      </w:r>
      <w:r w:rsidR="00825237" w:rsidRPr="00BE569D">
        <w:rPr>
          <w:rFonts w:ascii="Times New Roman" w:hAnsi="Times New Roman" w:cs="Times New Roman"/>
          <w:sz w:val="24"/>
          <w:szCs w:val="24"/>
        </w:rPr>
        <w:t>‘main analysis set’</w:t>
      </w:r>
      <w:r w:rsidR="007E11B1" w:rsidRPr="00BE569D">
        <w:rPr>
          <w:rFonts w:ascii="Times New Roman" w:hAnsi="Times New Roman" w:cs="Times New Roman"/>
          <w:sz w:val="24"/>
          <w:szCs w:val="24"/>
        </w:rPr>
        <w:t xml:space="preserve"> or ‘intention-to-treat (ITT) population’</w:t>
      </w:r>
      <w:r w:rsidR="00825237" w:rsidRPr="00BE569D">
        <w:rPr>
          <w:rFonts w:ascii="Times New Roman" w:hAnsi="Times New Roman" w:cs="Times New Roman"/>
          <w:sz w:val="24"/>
          <w:szCs w:val="24"/>
        </w:rPr>
        <w:t xml:space="preserve"> (n=9,719 across all four arms), and some results were also provided for the </w:t>
      </w:r>
      <w:r w:rsidR="00A966DF" w:rsidRPr="00BE569D">
        <w:rPr>
          <w:rFonts w:ascii="Times New Roman" w:hAnsi="Times New Roman" w:cs="Times New Roman"/>
          <w:sz w:val="24"/>
          <w:szCs w:val="24"/>
        </w:rPr>
        <w:t>“</w:t>
      </w:r>
      <w:r w:rsidRPr="00BE569D">
        <w:rPr>
          <w:rFonts w:ascii="Times New Roman" w:hAnsi="Times New Roman" w:cs="Times New Roman"/>
          <w:sz w:val="24"/>
          <w:szCs w:val="24"/>
        </w:rPr>
        <w:t>as</w:t>
      </w:r>
      <w:r w:rsidR="00A966DF" w:rsidRPr="00BE569D">
        <w:rPr>
          <w:rFonts w:ascii="Times New Roman" w:hAnsi="Times New Roman" w:cs="Times New Roman"/>
          <w:sz w:val="24"/>
          <w:szCs w:val="24"/>
        </w:rPr>
        <w:t>-</w:t>
      </w:r>
      <w:r w:rsidRPr="00BE569D">
        <w:rPr>
          <w:rFonts w:ascii="Times New Roman" w:hAnsi="Times New Roman" w:cs="Times New Roman"/>
          <w:sz w:val="24"/>
          <w:szCs w:val="24"/>
        </w:rPr>
        <w:t>treated</w:t>
      </w:r>
      <w:r w:rsidR="00A966DF" w:rsidRPr="00BE569D">
        <w:rPr>
          <w:rFonts w:ascii="Times New Roman" w:hAnsi="Times New Roman" w:cs="Times New Roman"/>
          <w:sz w:val="24"/>
          <w:szCs w:val="24"/>
        </w:rPr>
        <w:t>”</w:t>
      </w:r>
      <w:r w:rsidRPr="00BE569D">
        <w:rPr>
          <w:rFonts w:ascii="Times New Roman" w:hAnsi="Times New Roman" w:cs="Times New Roman"/>
          <w:sz w:val="24"/>
          <w:szCs w:val="24"/>
        </w:rPr>
        <w:t xml:space="preserve"> population, which the Critique stated was an important comparison for demonstrating non-inferiority of </w:t>
      </w:r>
      <w:r w:rsidR="0012326F" w:rsidRPr="00BE569D">
        <w:rPr>
          <w:rFonts w:ascii="Times New Roman" w:hAnsi="Times New Roman" w:cs="Times New Roman"/>
          <w:sz w:val="24"/>
          <w:szCs w:val="24"/>
        </w:rPr>
        <w:t>E</w:t>
      </w:r>
      <w:r w:rsidRPr="00BE569D">
        <w:rPr>
          <w:rFonts w:ascii="Times New Roman" w:hAnsi="Times New Roman" w:cs="Times New Roman"/>
          <w:sz w:val="24"/>
          <w:szCs w:val="24"/>
        </w:rPr>
        <w:t xml:space="preserve">T </w:t>
      </w:r>
      <w:r w:rsidR="00D40F84" w:rsidRPr="00BE569D">
        <w:rPr>
          <w:rFonts w:ascii="Times New Roman" w:hAnsi="Times New Roman" w:cs="Times New Roman"/>
          <w:sz w:val="24"/>
          <w:szCs w:val="24"/>
        </w:rPr>
        <w:t xml:space="preserve">alone </w:t>
      </w:r>
      <w:r w:rsidRPr="00BE569D">
        <w:rPr>
          <w:rFonts w:ascii="Times New Roman" w:hAnsi="Times New Roman" w:cs="Times New Roman"/>
          <w:sz w:val="24"/>
          <w:szCs w:val="24"/>
        </w:rPr>
        <w:t xml:space="preserve">vs. </w:t>
      </w:r>
      <w:r w:rsidR="0012326F" w:rsidRPr="00BE569D">
        <w:rPr>
          <w:rFonts w:ascii="Times New Roman" w:hAnsi="Times New Roman" w:cs="Times New Roman"/>
          <w:sz w:val="24"/>
          <w:szCs w:val="24"/>
        </w:rPr>
        <w:t>E</w:t>
      </w:r>
      <w:r w:rsidRPr="00BE569D">
        <w:rPr>
          <w:rFonts w:ascii="Times New Roman" w:hAnsi="Times New Roman" w:cs="Times New Roman"/>
          <w:sz w:val="24"/>
          <w:szCs w:val="24"/>
        </w:rPr>
        <w:t>T+CT. In addition, Sp</w:t>
      </w:r>
      <w:r w:rsidR="00DE70A5" w:rsidRPr="00BE569D">
        <w:rPr>
          <w:rFonts w:ascii="Times New Roman" w:hAnsi="Times New Roman" w:cs="Times New Roman"/>
          <w:sz w:val="24"/>
          <w:szCs w:val="24"/>
        </w:rPr>
        <w:t>a</w:t>
      </w:r>
      <w:r w:rsidRPr="00BE569D">
        <w:rPr>
          <w:rFonts w:ascii="Times New Roman" w:hAnsi="Times New Roman" w:cs="Times New Roman"/>
          <w:sz w:val="24"/>
          <w:szCs w:val="24"/>
        </w:rPr>
        <w:t xml:space="preserve">rano </w:t>
      </w:r>
      <w:r w:rsidR="00435872" w:rsidRPr="00BE569D">
        <w:rPr>
          <w:rFonts w:ascii="Times New Roman" w:hAnsi="Times New Roman" w:cs="Times New Roman"/>
          <w:sz w:val="24"/>
          <w:szCs w:val="24"/>
        </w:rPr>
        <w:t>et al.</w:t>
      </w:r>
      <w:r w:rsidRPr="00BE569D">
        <w:rPr>
          <w:rFonts w:ascii="Times New Roman" w:hAnsi="Times New Roman" w:cs="Times New Roman"/>
          <w:sz w:val="24"/>
          <w:szCs w:val="24"/>
        </w:rPr>
        <w:t xml:space="preserve"> stated comparisons of ITT population, stratified by randomisation, could still be biased because of differences in the group refusing chemotherapy (Arm C) and the group receiving chemotherapy (Arm B).</w:t>
      </w:r>
    </w:p>
    <w:p w14:paraId="35ED4F08" w14:textId="12B9C61C" w:rsidR="0053271A" w:rsidRPr="00E2362C" w:rsidRDefault="0053271A" w:rsidP="00E2362C">
      <w:pPr>
        <w:pStyle w:val="Bullet"/>
        <w:numPr>
          <w:ilvl w:val="0"/>
          <w:numId w:val="3"/>
        </w:numPr>
        <w:spacing w:after="240" w:line="240" w:lineRule="auto"/>
        <w:ind w:left="714" w:hanging="357"/>
        <w:rPr>
          <w:rFonts w:ascii="Times New Roman" w:hAnsi="Times New Roman" w:cs="Times New Roman"/>
          <w:sz w:val="24"/>
          <w:szCs w:val="24"/>
        </w:rPr>
      </w:pPr>
      <w:r w:rsidRPr="00BE569D">
        <w:rPr>
          <w:rFonts w:ascii="Times New Roman" w:hAnsi="Times New Roman" w:cs="Times New Roman"/>
          <w:sz w:val="24"/>
          <w:szCs w:val="24"/>
        </w:rPr>
        <w:t xml:space="preserve">Geyer </w:t>
      </w:r>
      <w:r w:rsidR="00435872" w:rsidRPr="00BE569D">
        <w:rPr>
          <w:rFonts w:ascii="Times New Roman" w:hAnsi="Times New Roman" w:cs="Times New Roman"/>
          <w:sz w:val="24"/>
          <w:szCs w:val="24"/>
        </w:rPr>
        <w:t>et al.</w:t>
      </w:r>
      <w:r w:rsidRPr="00BE569D">
        <w:rPr>
          <w:rFonts w:ascii="Times New Roman" w:hAnsi="Times New Roman" w:cs="Times New Roman"/>
          <w:sz w:val="24"/>
          <w:szCs w:val="24"/>
        </w:rPr>
        <w:t xml:space="preserve"> </w:t>
      </w:r>
      <w:r w:rsidR="0080434D" w:rsidRPr="00BE569D">
        <w:rPr>
          <w:rFonts w:ascii="Times New Roman" w:hAnsi="Times New Roman" w:cs="Times New Roman"/>
          <w:sz w:val="24"/>
          <w:szCs w:val="24"/>
        </w:rPr>
        <w:t>(</w:t>
      </w:r>
      <w:r w:rsidRPr="00BE569D">
        <w:rPr>
          <w:rFonts w:ascii="Times New Roman" w:hAnsi="Times New Roman" w:cs="Times New Roman"/>
          <w:sz w:val="24"/>
          <w:szCs w:val="24"/>
        </w:rPr>
        <w:t>2018</w:t>
      </w:r>
      <w:r w:rsidR="0080434D" w:rsidRPr="00BE569D">
        <w:rPr>
          <w:rFonts w:ascii="Times New Roman" w:hAnsi="Times New Roman" w:cs="Times New Roman"/>
          <w:sz w:val="24"/>
          <w:szCs w:val="24"/>
        </w:rPr>
        <w:t>)</w:t>
      </w:r>
      <w:r w:rsidRPr="00BE569D">
        <w:rPr>
          <w:rFonts w:ascii="Times New Roman" w:hAnsi="Times New Roman" w:cs="Times New Roman"/>
          <w:sz w:val="24"/>
          <w:szCs w:val="24"/>
        </w:rPr>
        <w:t xml:space="preserve"> was a retrospective re-an</w:t>
      </w:r>
      <w:r w:rsidR="0080434D" w:rsidRPr="00BE569D">
        <w:rPr>
          <w:rFonts w:ascii="Times New Roman" w:hAnsi="Times New Roman" w:cs="Times New Roman"/>
          <w:sz w:val="24"/>
          <w:szCs w:val="24"/>
        </w:rPr>
        <w:t>alysis of the NSABP</w:t>
      </w:r>
      <w:r w:rsidR="004419A7" w:rsidRPr="00BE569D">
        <w:rPr>
          <w:rFonts w:ascii="Times New Roman" w:hAnsi="Times New Roman" w:cs="Times New Roman"/>
          <w:sz w:val="24"/>
          <w:szCs w:val="24"/>
        </w:rPr>
        <w:t> </w:t>
      </w:r>
      <w:r w:rsidR="0080434D" w:rsidRPr="00BE569D">
        <w:rPr>
          <w:rFonts w:ascii="Times New Roman" w:hAnsi="Times New Roman" w:cs="Times New Roman"/>
          <w:sz w:val="24"/>
          <w:szCs w:val="24"/>
        </w:rPr>
        <w:t xml:space="preserve">B-20 </w:t>
      </w:r>
      <w:r w:rsidR="00B555EC" w:rsidRPr="00BE569D">
        <w:rPr>
          <w:rFonts w:ascii="Times New Roman" w:hAnsi="Times New Roman" w:cs="Times New Roman"/>
          <w:sz w:val="24"/>
          <w:szCs w:val="24"/>
        </w:rPr>
        <w:t>study</w:t>
      </w:r>
      <w:r w:rsidR="0080434D" w:rsidRPr="00BE569D">
        <w:rPr>
          <w:rFonts w:ascii="Times New Roman" w:hAnsi="Times New Roman" w:cs="Times New Roman"/>
          <w:sz w:val="24"/>
          <w:szCs w:val="24"/>
        </w:rPr>
        <w:t xml:space="preserve"> (</w:t>
      </w:r>
      <w:r w:rsidRPr="00BE569D">
        <w:rPr>
          <w:rFonts w:ascii="Times New Roman" w:hAnsi="Times New Roman" w:cs="Times New Roman"/>
          <w:sz w:val="24"/>
          <w:szCs w:val="24"/>
        </w:rPr>
        <w:t xml:space="preserve">Fisher </w:t>
      </w:r>
      <w:r w:rsidR="00435872" w:rsidRPr="00BE569D">
        <w:rPr>
          <w:rFonts w:ascii="Times New Roman" w:hAnsi="Times New Roman" w:cs="Times New Roman"/>
          <w:sz w:val="24"/>
          <w:szCs w:val="24"/>
        </w:rPr>
        <w:t>et al.</w:t>
      </w:r>
      <w:r w:rsidRPr="00BE569D">
        <w:rPr>
          <w:rFonts w:ascii="Times New Roman" w:hAnsi="Times New Roman" w:cs="Times New Roman"/>
          <w:sz w:val="24"/>
          <w:szCs w:val="24"/>
        </w:rPr>
        <w:t xml:space="preserve"> 1997; Paik </w:t>
      </w:r>
      <w:r w:rsidR="00435872" w:rsidRPr="00BE569D">
        <w:rPr>
          <w:rFonts w:ascii="Times New Roman" w:hAnsi="Times New Roman" w:cs="Times New Roman"/>
          <w:sz w:val="24"/>
          <w:szCs w:val="24"/>
        </w:rPr>
        <w:t>et al.</w:t>
      </w:r>
      <w:r w:rsidRPr="00BE569D">
        <w:rPr>
          <w:rFonts w:ascii="Times New Roman" w:hAnsi="Times New Roman" w:cs="Times New Roman"/>
          <w:sz w:val="24"/>
          <w:szCs w:val="24"/>
        </w:rPr>
        <w:t xml:space="preserve"> 2006, previously considered by MSAC</w:t>
      </w:r>
      <w:r w:rsidR="0080434D" w:rsidRPr="00BE569D">
        <w:rPr>
          <w:rFonts w:ascii="Times New Roman" w:hAnsi="Times New Roman" w:cs="Times New Roman"/>
          <w:sz w:val="24"/>
          <w:szCs w:val="24"/>
        </w:rPr>
        <w:t>)</w:t>
      </w:r>
      <w:r w:rsidRPr="00BE569D">
        <w:rPr>
          <w:rFonts w:ascii="Times New Roman" w:hAnsi="Times New Roman" w:cs="Times New Roman"/>
          <w:sz w:val="24"/>
          <w:szCs w:val="24"/>
        </w:rPr>
        <w:t>; a re</w:t>
      </w:r>
      <w:r w:rsidR="004419A7" w:rsidRPr="00BE569D">
        <w:rPr>
          <w:rFonts w:ascii="Times New Roman" w:hAnsi="Times New Roman" w:cs="Times New Roman"/>
          <w:sz w:val="24"/>
          <w:szCs w:val="24"/>
        </w:rPr>
        <w:t>-</w:t>
      </w:r>
      <w:r w:rsidRPr="00BE569D">
        <w:rPr>
          <w:rFonts w:ascii="Times New Roman" w:hAnsi="Times New Roman" w:cs="Times New Roman"/>
          <w:sz w:val="24"/>
          <w:szCs w:val="24"/>
        </w:rPr>
        <w:t xml:space="preserve">analysis of this study based on the recurrence scores used in the TAILORx trial and removing patients who were </w:t>
      </w:r>
      <w:r w:rsidRPr="00BE569D">
        <w:rPr>
          <w:rFonts w:ascii="Times New Roman" w:hAnsi="Times New Roman" w:cs="Times New Roman"/>
          <w:i/>
          <w:sz w:val="24"/>
          <w:szCs w:val="24"/>
        </w:rPr>
        <w:t>HER2</w:t>
      </w:r>
      <w:r w:rsidRPr="00BE569D">
        <w:rPr>
          <w:rFonts w:ascii="Times New Roman" w:hAnsi="Times New Roman" w:cs="Times New Roman"/>
          <w:sz w:val="24"/>
          <w:szCs w:val="24"/>
        </w:rPr>
        <w:t xml:space="preserve">-positive </w:t>
      </w:r>
      <w:r w:rsidR="0080434D" w:rsidRPr="00BE569D">
        <w:rPr>
          <w:rFonts w:ascii="Times New Roman" w:hAnsi="Times New Roman" w:cs="Times New Roman"/>
          <w:sz w:val="24"/>
          <w:szCs w:val="24"/>
        </w:rPr>
        <w:t>(</w:t>
      </w:r>
      <w:r w:rsidRPr="00BE569D">
        <w:rPr>
          <w:rFonts w:ascii="Times New Roman" w:hAnsi="Times New Roman" w:cs="Times New Roman"/>
          <w:sz w:val="24"/>
          <w:szCs w:val="24"/>
        </w:rPr>
        <w:t xml:space="preserve">Geyer </w:t>
      </w:r>
      <w:r w:rsidR="00435872" w:rsidRPr="00BE569D">
        <w:rPr>
          <w:rFonts w:ascii="Times New Roman" w:hAnsi="Times New Roman" w:cs="Times New Roman"/>
          <w:sz w:val="24"/>
          <w:szCs w:val="24"/>
        </w:rPr>
        <w:t>et al.</w:t>
      </w:r>
      <w:r w:rsidR="0080434D" w:rsidRPr="00BE569D">
        <w:rPr>
          <w:rFonts w:ascii="Times New Roman" w:hAnsi="Times New Roman" w:cs="Times New Roman"/>
          <w:sz w:val="24"/>
          <w:szCs w:val="24"/>
        </w:rPr>
        <w:t xml:space="preserve"> 2018)</w:t>
      </w:r>
      <w:r w:rsidRPr="00BE569D">
        <w:rPr>
          <w:rFonts w:ascii="Times New Roman" w:hAnsi="Times New Roman" w:cs="Times New Roman"/>
          <w:sz w:val="24"/>
          <w:szCs w:val="24"/>
        </w:rPr>
        <w:t>.</w:t>
      </w:r>
    </w:p>
    <w:p w14:paraId="6BFDAC56" w14:textId="77777777" w:rsidR="0053271A" w:rsidRDefault="0053271A" w:rsidP="00E87685">
      <w:pPr>
        <w:pStyle w:val="Heading2"/>
        <w:spacing w:before="0"/>
      </w:pPr>
      <w:r>
        <w:t>TAILORx</w:t>
      </w:r>
    </w:p>
    <w:p w14:paraId="2FE3FB3C" w14:textId="788AE3AE" w:rsidR="0053271A" w:rsidRDefault="0053271A" w:rsidP="0053271A">
      <w:r>
        <w:t>The Critique presented forest plots for the primary outcome- invasive disease-free survival (iDFS) (Figure 2) and secondary outcome- freedom from recurrence at a distant site or distant recurrence-free interval (DRFI) (Figure 3).</w:t>
      </w:r>
    </w:p>
    <w:p w14:paraId="5829EDC2" w14:textId="77777777" w:rsidR="0053271A" w:rsidRDefault="0053271A" w:rsidP="0053271A">
      <w:pPr>
        <w:rPr>
          <w:rFonts w:ascii="Arial Narrow" w:hAnsi="Arial Narrow" w:cs="Arial"/>
          <w:b/>
          <w:bCs/>
          <w:iCs/>
          <w:sz w:val="20"/>
          <w:lang w:eastAsia="en-US"/>
        </w:rPr>
      </w:pPr>
      <w:r w:rsidRPr="00F73F70">
        <w:rPr>
          <w:noProof/>
        </w:rPr>
        <w:drawing>
          <wp:inline distT="0" distB="0" distL="0" distR="0" wp14:anchorId="003A3DA0" wp14:editId="555AC5D1">
            <wp:extent cx="5173639" cy="3014505"/>
            <wp:effectExtent l="0" t="0" r="0" b="0"/>
            <wp:docPr id="20" name="Picture 20" descr="Forest plot of the HRs of the ITT and ‘as-treated’ population, with the non-inferiority threshold for iDFS" title="Forest plot of the HRs of the ITT and ‘as-treated’ population, with the non-inferiority threshold for iD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3143" cy="3025869"/>
                    </a:xfrm>
                    <a:prstGeom prst="rect">
                      <a:avLst/>
                    </a:prstGeom>
                    <a:noFill/>
                    <a:ln>
                      <a:noFill/>
                    </a:ln>
                  </pic:spPr>
                </pic:pic>
              </a:graphicData>
            </a:graphic>
          </wp:inline>
        </w:drawing>
      </w:r>
      <w:bookmarkStart w:id="3" w:name="_Ref8701003"/>
      <w:bookmarkStart w:id="4" w:name="_Toc8707513"/>
    </w:p>
    <w:p w14:paraId="2AE3B2DF" w14:textId="1A72EFEB" w:rsidR="00E2362C" w:rsidRDefault="0053271A" w:rsidP="00E2362C">
      <w:pPr>
        <w:spacing w:after="240"/>
      </w:pPr>
      <w:r w:rsidRPr="00664EDE">
        <w:rPr>
          <w:rFonts w:ascii="Arial Narrow" w:hAnsi="Arial Narrow" w:cs="Arial"/>
          <w:b/>
          <w:bCs/>
          <w:iCs/>
          <w:sz w:val="20"/>
          <w:lang w:eastAsia="en-US"/>
        </w:rPr>
        <w:t xml:space="preserve">Figure </w:t>
      </w:r>
      <w:bookmarkEnd w:id="3"/>
      <w:r w:rsidRPr="00664EDE">
        <w:rPr>
          <w:rFonts w:ascii="Arial Narrow" w:hAnsi="Arial Narrow" w:cs="Arial"/>
          <w:b/>
          <w:bCs/>
          <w:iCs/>
          <w:sz w:val="20"/>
          <w:lang w:eastAsia="en-US"/>
        </w:rPr>
        <w:t>2</w:t>
      </w:r>
      <w:r>
        <w:rPr>
          <w:rFonts w:ascii="Arial Narrow" w:hAnsi="Arial Narrow" w:cs="Arial"/>
          <w:b/>
          <w:bCs/>
          <w:iCs/>
          <w:sz w:val="20"/>
          <w:lang w:eastAsia="en-US"/>
        </w:rPr>
        <w:tab/>
      </w:r>
      <w:r w:rsidRPr="00664EDE">
        <w:rPr>
          <w:rFonts w:ascii="Arial Narrow" w:hAnsi="Arial Narrow" w:cs="Arial"/>
          <w:b/>
          <w:bCs/>
          <w:iCs/>
          <w:sz w:val="20"/>
          <w:lang w:eastAsia="en-US"/>
        </w:rPr>
        <w:t xml:space="preserve">Forest plot of the </w:t>
      </w:r>
      <w:r>
        <w:rPr>
          <w:rFonts w:ascii="Arial Narrow" w:hAnsi="Arial Narrow" w:cs="Arial"/>
          <w:b/>
          <w:bCs/>
          <w:iCs/>
          <w:sz w:val="20"/>
          <w:lang w:eastAsia="en-US"/>
        </w:rPr>
        <w:t xml:space="preserve">hazard ratios (HR) </w:t>
      </w:r>
      <w:r w:rsidRPr="00664EDE">
        <w:rPr>
          <w:rFonts w:ascii="Arial Narrow" w:hAnsi="Arial Narrow" w:cs="Arial"/>
          <w:b/>
          <w:bCs/>
          <w:iCs/>
          <w:sz w:val="20"/>
          <w:lang w:eastAsia="en-US"/>
        </w:rPr>
        <w:t xml:space="preserve">of the </w:t>
      </w:r>
      <w:r>
        <w:rPr>
          <w:rFonts w:ascii="Arial Narrow" w:hAnsi="Arial Narrow" w:cs="Arial"/>
          <w:b/>
          <w:bCs/>
          <w:iCs/>
          <w:sz w:val="20"/>
          <w:lang w:eastAsia="en-US"/>
        </w:rPr>
        <w:t>intention-to-treat (</w:t>
      </w:r>
      <w:r w:rsidRPr="00664EDE">
        <w:rPr>
          <w:rFonts w:ascii="Arial Narrow" w:hAnsi="Arial Narrow" w:cs="Arial"/>
          <w:b/>
          <w:bCs/>
          <w:iCs/>
          <w:sz w:val="20"/>
          <w:lang w:eastAsia="en-US"/>
        </w:rPr>
        <w:t>ITT</w:t>
      </w:r>
      <w:r>
        <w:rPr>
          <w:rFonts w:ascii="Arial Narrow" w:hAnsi="Arial Narrow" w:cs="Arial"/>
          <w:b/>
          <w:bCs/>
          <w:iCs/>
          <w:sz w:val="20"/>
          <w:lang w:eastAsia="en-US"/>
        </w:rPr>
        <w:t>)</w:t>
      </w:r>
      <w:r w:rsidRPr="00664EDE">
        <w:rPr>
          <w:rFonts w:ascii="Arial Narrow" w:hAnsi="Arial Narrow" w:cs="Arial"/>
          <w:b/>
          <w:bCs/>
          <w:iCs/>
          <w:sz w:val="20"/>
          <w:lang w:eastAsia="en-US"/>
        </w:rPr>
        <w:t xml:space="preserve"> and </w:t>
      </w:r>
      <w:r w:rsidR="00A966DF" w:rsidRPr="00A966DF">
        <w:rPr>
          <w:rFonts w:ascii="Arial Narrow" w:hAnsi="Arial Narrow" w:cs="Arial"/>
          <w:b/>
          <w:bCs/>
          <w:iCs/>
          <w:sz w:val="20"/>
          <w:lang w:eastAsia="en-US"/>
        </w:rPr>
        <w:t>“</w:t>
      </w:r>
      <w:r w:rsidRPr="00664EDE">
        <w:rPr>
          <w:rFonts w:ascii="Arial Narrow" w:hAnsi="Arial Narrow" w:cs="Arial"/>
          <w:b/>
          <w:bCs/>
          <w:iCs/>
          <w:sz w:val="20"/>
          <w:lang w:eastAsia="en-US"/>
        </w:rPr>
        <w:t>as-treated</w:t>
      </w:r>
      <w:r w:rsidR="00A966DF">
        <w:rPr>
          <w:rFonts w:ascii="Arial Narrow" w:hAnsi="Arial Narrow" w:cs="Arial"/>
          <w:b/>
          <w:bCs/>
          <w:iCs/>
          <w:sz w:val="20"/>
          <w:lang w:eastAsia="en-US"/>
        </w:rPr>
        <w:t>”</w:t>
      </w:r>
      <w:r w:rsidRPr="00664EDE">
        <w:rPr>
          <w:rFonts w:ascii="Arial Narrow" w:hAnsi="Arial Narrow" w:cs="Arial"/>
          <w:b/>
          <w:bCs/>
          <w:iCs/>
          <w:sz w:val="20"/>
          <w:lang w:eastAsia="en-US"/>
        </w:rPr>
        <w:t xml:space="preserve"> </w:t>
      </w:r>
      <w:r>
        <w:rPr>
          <w:rFonts w:ascii="Arial Narrow" w:hAnsi="Arial Narrow" w:cs="Arial"/>
          <w:b/>
          <w:bCs/>
          <w:iCs/>
          <w:sz w:val="20"/>
          <w:lang w:eastAsia="en-US"/>
        </w:rPr>
        <w:t>(</w:t>
      </w:r>
      <w:r w:rsidR="00AC5C1A" w:rsidRPr="00AC5C1A">
        <w:rPr>
          <w:rFonts w:ascii="Arial Narrow" w:hAnsi="Arial Narrow" w:cs="Arial"/>
          <w:b/>
          <w:bCs/>
          <w:iCs/>
          <w:sz w:val="20"/>
          <w:lang w:eastAsia="en-US"/>
        </w:rPr>
        <w:t xml:space="preserve">labelled </w:t>
      </w:r>
      <w:r>
        <w:rPr>
          <w:rFonts w:ascii="Arial Narrow" w:hAnsi="Arial Narrow" w:cs="Arial"/>
          <w:b/>
          <w:bCs/>
          <w:iCs/>
          <w:sz w:val="20"/>
          <w:lang w:eastAsia="en-US"/>
        </w:rPr>
        <w:t xml:space="preserve">PP) </w:t>
      </w:r>
      <w:r w:rsidRPr="00664EDE">
        <w:rPr>
          <w:rFonts w:ascii="Arial Narrow" w:hAnsi="Arial Narrow" w:cs="Arial"/>
          <w:b/>
          <w:bCs/>
          <w:iCs/>
          <w:sz w:val="20"/>
          <w:lang w:eastAsia="en-US"/>
        </w:rPr>
        <w:t>population</w:t>
      </w:r>
      <w:r>
        <w:rPr>
          <w:rFonts w:ascii="Arial Narrow" w:hAnsi="Arial Narrow" w:cs="Arial"/>
          <w:b/>
          <w:bCs/>
          <w:iCs/>
          <w:sz w:val="20"/>
          <w:lang w:eastAsia="en-US"/>
        </w:rPr>
        <w:t>s</w:t>
      </w:r>
      <w:r w:rsidRPr="00664EDE">
        <w:rPr>
          <w:rFonts w:ascii="Arial Narrow" w:hAnsi="Arial Narrow" w:cs="Arial"/>
          <w:b/>
          <w:bCs/>
          <w:iCs/>
          <w:sz w:val="20"/>
          <w:lang w:eastAsia="en-US"/>
        </w:rPr>
        <w:t xml:space="preserve">, with the non-inferiority threshold for </w:t>
      </w:r>
      <w:r>
        <w:rPr>
          <w:rFonts w:ascii="Arial Narrow" w:hAnsi="Arial Narrow" w:cs="Arial"/>
          <w:b/>
          <w:bCs/>
          <w:iCs/>
          <w:sz w:val="20"/>
          <w:lang w:eastAsia="en-US"/>
        </w:rPr>
        <w:t>invasive disease-free survival (</w:t>
      </w:r>
      <w:r w:rsidRPr="00664EDE">
        <w:rPr>
          <w:rFonts w:ascii="Arial Narrow" w:hAnsi="Arial Narrow" w:cs="Arial"/>
          <w:b/>
          <w:bCs/>
          <w:iCs/>
          <w:sz w:val="20"/>
          <w:lang w:eastAsia="en-US"/>
        </w:rPr>
        <w:t>iDFS</w:t>
      </w:r>
      <w:bookmarkEnd w:id="4"/>
      <w:r>
        <w:rPr>
          <w:rFonts w:ascii="Arial Narrow" w:hAnsi="Arial Narrow" w:cs="Arial"/>
          <w:b/>
          <w:bCs/>
          <w:iCs/>
          <w:sz w:val="20"/>
          <w:lang w:eastAsia="en-US"/>
        </w:rPr>
        <w:t>)</w:t>
      </w:r>
      <w:r w:rsidR="00E2362C">
        <w:br w:type="page"/>
      </w:r>
    </w:p>
    <w:p w14:paraId="398FB177" w14:textId="1E04121A" w:rsidR="0053271A" w:rsidRPr="00B77FDB" w:rsidRDefault="0053271A" w:rsidP="001913F7">
      <w:pPr>
        <w:spacing w:after="120"/>
      </w:pPr>
      <w:r>
        <w:lastRenderedPageBreak/>
        <w:t>The primary analysis to support the claim of no difference between the treatment arms</w:t>
      </w:r>
      <w:r w:rsidR="002176CB">
        <w:t xml:space="preserve"> - </w:t>
      </w:r>
      <w:r w:rsidR="0012326F">
        <w:t>endocrine</w:t>
      </w:r>
      <w:r>
        <w:t xml:space="preserve"> therapy alone compared to </w:t>
      </w:r>
      <w:r w:rsidR="0012326F">
        <w:t>endocrine</w:t>
      </w:r>
      <w:r>
        <w:t xml:space="preserve"> therapy plus chemotherapy</w:t>
      </w:r>
      <w:r w:rsidR="002176CB">
        <w:t xml:space="preserve"> - </w:t>
      </w:r>
      <w:r w:rsidR="00B659E8">
        <w:t>met the pre</w:t>
      </w:r>
      <w:r>
        <w:t>specified non-inferiority threshold. However, the Critique outlined the following issues to consider:</w:t>
      </w:r>
    </w:p>
    <w:p w14:paraId="58980044" w14:textId="448F89D5" w:rsidR="0053271A" w:rsidRPr="001913F7" w:rsidRDefault="0053271A" w:rsidP="00BE569D">
      <w:pPr>
        <w:pStyle w:val="Bullet"/>
        <w:numPr>
          <w:ilvl w:val="0"/>
          <w:numId w:val="3"/>
        </w:numPr>
        <w:spacing w:after="120" w:line="240" w:lineRule="auto"/>
        <w:ind w:left="714" w:hanging="357"/>
        <w:rPr>
          <w:rFonts w:ascii="Times New Roman" w:hAnsi="Times New Roman" w:cs="Times New Roman"/>
          <w:sz w:val="24"/>
          <w:szCs w:val="24"/>
        </w:rPr>
      </w:pPr>
      <w:r w:rsidRPr="001913F7">
        <w:rPr>
          <w:rFonts w:ascii="Times New Roman" w:hAnsi="Times New Roman" w:cs="Times New Roman"/>
          <w:sz w:val="24"/>
          <w:szCs w:val="24"/>
        </w:rPr>
        <w:t xml:space="preserve">For the ITT population, the </w:t>
      </w:r>
      <w:r w:rsidR="00B659E8" w:rsidRPr="001913F7">
        <w:rPr>
          <w:rFonts w:ascii="Times New Roman" w:hAnsi="Times New Roman" w:cs="Times New Roman"/>
          <w:sz w:val="24"/>
          <w:szCs w:val="24"/>
        </w:rPr>
        <w:t>pre</w:t>
      </w:r>
      <w:r w:rsidRPr="001913F7">
        <w:rPr>
          <w:rFonts w:ascii="Times New Roman" w:hAnsi="Times New Roman" w:cs="Times New Roman"/>
          <w:sz w:val="24"/>
          <w:szCs w:val="24"/>
        </w:rPr>
        <w:t xml:space="preserve">specified non-inferiority margin of 32.2% decrease in invasive disease-free survival for </w:t>
      </w:r>
      <w:r w:rsidR="0012326F" w:rsidRPr="001913F7">
        <w:rPr>
          <w:rFonts w:ascii="Times New Roman" w:hAnsi="Times New Roman" w:cs="Times New Roman"/>
          <w:sz w:val="24"/>
          <w:szCs w:val="24"/>
        </w:rPr>
        <w:t>endocrine</w:t>
      </w:r>
      <w:r w:rsidRPr="001913F7">
        <w:rPr>
          <w:rFonts w:ascii="Times New Roman" w:hAnsi="Times New Roman" w:cs="Times New Roman"/>
          <w:sz w:val="24"/>
          <w:szCs w:val="24"/>
        </w:rPr>
        <w:t xml:space="preserve"> therapy alone compared to </w:t>
      </w:r>
      <w:r w:rsidR="0012326F" w:rsidRPr="001913F7">
        <w:rPr>
          <w:rFonts w:ascii="Times New Roman" w:hAnsi="Times New Roman" w:cs="Times New Roman"/>
          <w:sz w:val="24"/>
          <w:szCs w:val="24"/>
        </w:rPr>
        <w:t>endocrine</w:t>
      </w:r>
      <w:r w:rsidRPr="001913F7">
        <w:rPr>
          <w:rFonts w:ascii="Times New Roman" w:hAnsi="Times New Roman" w:cs="Times New Roman"/>
          <w:sz w:val="24"/>
          <w:szCs w:val="24"/>
        </w:rPr>
        <w:t xml:space="preserve"> therapy plus chemotherapy appears to be quite large and not supported by the references cited in the trial report.</w:t>
      </w:r>
    </w:p>
    <w:p w14:paraId="5A4F08F8" w14:textId="1808C533" w:rsidR="0053271A" w:rsidRPr="001913F7" w:rsidRDefault="0053271A" w:rsidP="00BE569D">
      <w:pPr>
        <w:pStyle w:val="Bullet"/>
        <w:numPr>
          <w:ilvl w:val="0"/>
          <w:numId w:val="3"/>
        </w:numPr>
        <w:spacing w:after="120" w:line="240" w:lineRule="auto"/>
        <w:ind w:left="714" w:hanging="357"/>
        <w:rPr>
          <w:rFonts w:ascii="Times New Roman" w:hAnsi="Times New Roman" w:cs="Times New Roman"/>
          <w:sz w:val="24"/>
          <w:szCs w:val="24"/>
        </w:rPr>
      </w:pPr>
      <w:r w:rsidRPr="001913F7">
        <w:rPr>
          <w:rFonts w:ascii="Times New Roman" w:hAnsi="Times New Roman" w:cs="Times New Roman"/>
          <w:sz w:val="24"/>
          <w:szCs w:val="24"/>
        </w:rPr>
        <w:t xml:space="preserve">Results for the </w:t>
      </w:r>
      <w:r w:rsidR="00A966DF" w:rsidRPr="001913F7">
        <w:rPr>
          <w:rFonts w:ascii="Times New Roman" w:hAnsi="Times New Roman" w:cs="Times New Roman"/>
          <w:sz w:val="24"/>
          <w:szCs w:val="24"/>
        </w:rPr>
        <w:t>“</w:t>
      </w:r>
      <w:r w:rsidRPr="001913F7">
        <w:rPr>
          <w:rFonts w:ascii="Times New Roman" w:hAnsi="Times New Roman" w:cs="Times New Roman"/>
          <w:sz w:val="24"/>
          <w:szCs w:val="24"/>
        </w:rPr>
        <w:t>as</w:t>
      </w:r>
      <w:r w:rsidR="00A966DF" w:rsidRPr="001913F7">
        <w:rPr>
          <w:rFonts w:ascii="Times New Roman" w:hAnsi="Times New Roman" w:cs="Times New Roman"/>
          <w:sz w:val="24"/>
          <w:szCs w:val="24"/>
        </w:rPr>
        <w:t>-</w:t>
      </w:r>
      <w:r w:rsidRPr="001913F7">
        <w:rPr>
          <w:rFonts w:ascii="Times New Roman" w:hAnsi="Times New Roman" w:cs="Times New Roman"/>
          <w:sz w:val="24"/>
          <w:szCs w:val="24"/>
        </w:rPr>
        <w:t>treated</w:t>
      </w:r>
      <w:r w:rsidR="00A966DF" w:rsidRPr="001913F7">
        <w:rPr>
          <w:rFonts w:ascii="Times New Roman" w:hAnsi="Times New Roman" w:cs="Times New Roman"/>
          <w:sz w:val="24"/>
          <w:szCs w:val="24"/>
        </w:rPr>
        <w:t>”</w:t>
      </w:r>
      <w:r w:rsidRPr="001913F7">
        <w:rPr>
          <w:rFonts w:ascii="Times New Roman" w:hAnsi="Times New Roman" w:cs="Times New Roman"/>
          <w:sz w:val="24"/>
          <w:szCs w:val="24"/>
        </w:rPr>
        <w:t xml:space="preserve"> population are close to rejecting the null hypothesis of no difference between the treatment arms.</w:t>
      </w:r>
    </w:p>
    <w:p w14:paraId="2517EAE3" w14:textId="498FA024" w:rsidR="0053271A" w:rsidRPr="001913F7" w:rsidRDefault="0053271A" w:rsidP="00BE569D">
      <w:pPr>
        <w:pStyle w:val="Bullet"/>
        <w:numPr>
          <w:ilvl w:val="0"/>
          <w:numId w:val="3"/>
        </w:numPr>
        <w:spacing w:after="120" w:line="240" w:lineRule="auto"/>
        <w:ind w:left="714" w:hanging="357"/>
        <w:rPr>
          <w:rFonts w:ascii="Times New Roman" w:hAnsi="Times New Roman" w:cs="Times New Roman"/>
          <w:sz w:val="24"/>
          <w:szCs w:val="24"/>
        </w:rPr>
      </w:pPr>
      <w:r w:rsidRPr="001913F7">
        <w:rPr>
          <w:rFonts w:ascii="Times New Roman" w:hAnsi="Times New Roman" w:cs="Times New Roman"/>
          <w:sz w:val="24"/>
          <w:szCs w:val="24"/>
        </w:rPr>
        <w:t xml:space="preserve">The </w:t>
      </w:r>
      <w:r w:rsidR="00A966DF" w:rsidRPr="001913F7">
        <w:rPr>
          <w:rFonts w:ascii="Times New Roman" w:hAnsi="Times New Roman" w:cs="Times New Roman"/>
          <w:sz w:val="24"/>
          <w:szCs w:val="24"/>
        </w:rPr>
        <w:t>“</w:t>
      </w:r>
      <w:r w:rsidRPr="001913F7">
        <w:rPr>
          <w:rFonts w:ascii="Times New Roman" w:hAnsi="Times New Roman" w:cs="Times New Roman"/>
          <w:sz w:val="24"/>
          <w:szCs w:val="24"/>
        </w:rPr>
        <w:t>as-treated</w:t>
      </w:r>
      <w:r w:rsidR="00A966DF" w:rsidRPr="001913F7">
        <w:rPr>
          <w:rFonts w:ascii="Times New Roman" w:hAnsi="Times New Roman" w:cs="Times New Roman"/>
          <w:sz w:val="24"/>
          <w:szCs w:val="24"/>
        </w:rPr>
        <w:t>”</w:t>
      </w:r>
      <w:r w:rsidRPr="001913F7">
        <w:rPr>
          <w:rFonts w:ascii="Times New Roman" w:hAnsi="Times New Roman" w:cs="Times New Roman"/>
          <w:sz w:val="24"/>
          <w:szCs w:val="24"/>
        </w:rPr>
        <w:t xml:space="preserve"> population baseline characteristics were statistically significantly different for important baseline prognostic variables such as age, menopausal status, tumour size and tumour grade (such that, on average, ‘lower risk’ women were randomised to </w:t>
      </w:r>
      <w:r w:rsidR="00BE2E9E" w:rsidRPr="001913F7">
        <w:rPr>
          <w:rFonts w:ascii="Times New Roman" w:hAnsi="Times New Roman" w:cs="Times New Roman"/>
          <w:sz w:val="24"/>
          <w:szCs w:val="24"/>
        </w:rPr>
        <w:t>E</w:t>
      </w:r>
      <w:r w:rsidRPr="001913F7">
        <w:rPr>
          <w:rFonts w:ascii="Times New Roman" w:hAnsi="Times New Roman" w:cs="Times New Roman"/>
          <w:sz w:val="24"/>
          <w:szCs w:val="24"/>
        </w:rPr>
        <w:t xml:space="preserve">T alone and ‘higher’ risk women were randomised to </w:t>
      </w:r>
      <w:r w:rsidR="00BE2E9E" w:rsidRPr="001913F7">
        <w:rPr>
          <w:rFonts w:ascii="Times New Roman" w:hAnsi="Times New Roman" w:cs="Times New Roman"/>
          <w:sz w:val="24"/>
          <w:szCs w:val="24"/>
        </w:rPr>
        <w:t>E</w:t>
      </w:r>
      <w:r w:rsidRPr="001913F7">
        <w:rPr>
          <w:rFonts w:ascii="Times New Roman" w:hAnsi="Times New Roman" w:cs="Times New Roman"/>
          <w:sz w:val="24"/>
          <w:szCs w:val="24"/>
        </w:rPr>
        <w:t>T+CT).</w:t>
      </w:r>
    </w:p>
    <w:p w14:paraId="219AC34F" w14:textId="13D74C97" w:rsidR="0053271A" w:rsidRPr="001913F7" w:rsidRDefault="0053271A" w:rsidP="00BE569D">
      <w:pPr>
        <w:pStyle w:val="Bullet"/>
        <w:numPr>
          <w:ilvl w:val="0"/>
          <w:numId w:val="3"/>
        </w:numPr>
        <w:spacing w:after="120" w:line="240" w:lineRule="auto"/>
        <w:ind w:left="714" w:hanging="357"/>
        <w:rPr>
          <w:rFonts w:ascii="Times New Roman" w:hAnsi="Times New Roman" w:cs="Times New Roman"/>
          <w:sz w:val="24"/>
          <w:szCs w:val="24"/>
        </w:rPr>
      </w:pPr>
      <w:r w:rsidRPr="001913F7">
        <w:rPr>
          <w:rFonts w:ascii="Times New Roman" w:hAnsi="Times New Roman" w:cs="Times New Roman"/>
          <w:sz w:val="24"/>
          <w:szCs w:val="24"/>
        </w:rPr>
        <w:t xml:space="preserve">The non-adherence </w:t>
      </w:r>
      <w:r w:rsidR="00C320E7" w:rsidRPr="001913F7">
        <w:rPr>
          <w:rFonts w:ascii="Times New Roman" w:hAnsi="Times New Roman" w:cs="Times New Roman"/>
          <w:sz w:val="24"/>
          <w:szCs w:val="24"/>
        </w:rPr>
        <w:t xml:space="preserve">to assigned therapy </w:t>
      </w:r>
      <w:r w:rsidRPr="001913F7">
        <w:rPr>
          <w:rFonts w:ascii="Times New Roman" w:hAnsi="Times New Roman" w:cs="Times New Roman"/>
          <w:sz w:val="24"/>
          <w:szCs w:val="24"/>
        </w:rPr>
        <w:t xml:space="preserve">in the </w:t>
      </w:r>
      <w:r w:rsidR="00BE2E9E" w:rsidRPr="001913F7">
        <w:rPr>
          <w:rFonts w:ascii="Times New Roman" w:hAnsi="Times New Roman" w:cs="Times New Roman"/>
          <w:sz w:val="24"/>
          <w:szCs w:val="24"/>
        </w:rPr>
        <w:t>E</w:t>
      </w:r>
      <w:r w:rsidRPr="001913F7">
        <w:rPr>
          <w:rFonts w:ascii="Times New Roman" w:hAnsi="Times New Roman" w:cs="Times New Roman"/>
          <w:sz w:val="24"/>
          <w:szCs w:val="24"/>
        </w:rPr>
        <w:t xml:space="preserve">T </w:t>
      </w:r>
      <w:r w:rsidR="00D40F84" w:rsidRPr="001913F7">
        <w:rPr>
          <w:rFonts w:ascii="Times New Roman" w:hAnsi="Times New Roman" w:cs="Times New Roman"/>
          <w:sz w:val="24"/>
          <w:szCs w:val="24"/>
        </w:rPr>
        <w:t xml:space="preserve">alone </w:t>
      </w:r>
      <w:r w:rsidRPr="001913F7">
        <w:rPr>
          <w:rFonts w:ascii="Times New Roman" w:hAnsi="Times New Roman" w:cs="Times New Roman"/>
          <w:sz w:val="24"/>
          <w:szCs w:val="24"/>
        </w:rPr>
        <w:t xml:space="preserve">arm was </w:t>
      </w:r>
      <w:r w:rsidR="009D5A41" w:rsidRPr="001913F7">
        <w:rPr>
          <w:rFonts w:ascii="Times New Roman" w:hAnsi="Times New Roman" w:cs="Times New Roman"/>
          <w:sz w:val="24"/>
          <w:szCs w:val="24"/>
        </w:rPr>
        <w:t xml:space="preserve">185/3458 = </w:t>
      </w:r>
      <w:r w:rsidRPr="001913F7">
        <w:rPr>
          <w:rFonts w:ascii="Times New Roman" w:hAnsi="Times New Roman" w:cs="Times New Roman"/>
          <w:sz w:val="24"/>
          <w:szCs w:val="24"/>
        </w:rPr>
        <w:t xml:space="preserve">5% but </w:t>
      </w:r>
      <w:r w:rsidR="009D5A41" w:rsidRPr="001913F7">
        <w:rPr>
          <w:rFonts w:ascii="Times New Roman" w:hAnsi="Times New Roman" w:cs="Times New Roman"/>
          <w:sz w:val="24"/>
          <w:szCs w:val="24"/>
        </w:rPr>
        <w:t xml:space="preserve">608/3449 = </w:t>
      </w:r>
      <w:r w:rsidRPr="001913F7">
        <w:rPr>
          <w:rFonts w:ascii="Times New Roman" w:hAnsi="Times New Roman" w:cs="Times New Roman"/>
          <w:sz w:val="24"/>
          <w:szCs w:val="24"/>
        </w:rPr>
        <w:t xml:space="preserve">18% in the </w:t>
      </w:r>
      <w:r w:rsidR="00BE2E9E" w:rsidRPr="001913F7">
        <w:rPr>
          <w:rFonts w:ascii="Times New Roman" w:hAnsi="Times New Roman" w:cs="Times New Roman"/>
          <w:sz w:val="24"/>
          <w:szCs w:val="24"/>
        </w:rPr>
        <w:t>E</w:t>
      </w:r>
      <w:r w:rsidRPr="001913F7">
        <w:rPr>
          <w:rFonts w:ascii="Times New Roman" w:hAnsi="Times New Roman" w:cs="Times New Roman"/>
          <w:sz w:val="24"/>
          <w:szCs w:val="24"/>
        </w:rPr>
        <w:t>T+CT arm</w:t>
      </w:r>
      <w:r w:rsidR="00C320E7" w:rsidRPr="001913F7">
        <w:rPr>
          <w:rFonts w:ascii="Times New Roman" w:hAnsi="Times New Roman" w:cs="Times New Roman"/>
          <w:sz w:val="24"/>
          <w:szCs w:val="24"/>
        </w:rPr>
        <w:t>,</w:t>
      </w:r>
      <w:r w:rsidRPr="001913F7">
        <w:rPr>
          <w:rFonts w:ascii="Times New Roman" w:hAnsi="Times New Roman" w:cs="Times New Roman"/>
          <w:sz w:val="24"/>
          <w:szCs w:val="24"/>
        </w:rPr>
        <w:t xml:space="preserve"> compared to only </w:t>
      </w:r>
      <w:r w:rsidR="009D5A41" w:rsidRPr="001913F7">
        <w:rPr>
          <w:rFonts w:ascii="Times New Roman" w:hAnsi="Times New Roman" w:cs="Times New Roman"/>
          <w:sz w:val="24"/>
          <w:szCs w:val="24"/>
        </w:rPr>
        <w:t>89/1737 = 5</w:t>
      </w:r>
      <w:r w:rsidRPr="001913F7">
        <w:rPr>
          <w:rFonts w:ascii="Times New Roman" w:hAnsi="Times New Roman" w:cs="Times New Roman"/>
          <w:sz w:val="24"/>
          <w:szCs w:val="24"/>
        </w:rPr>
        <w:t>% in the non-randomised high RS score chemotherapy arm.</w:t>
      </w:r>
    </w:p>
    <w:p w14:paraId="4943740F" w14:textId="77777777" w:rsidR="0053271A" w:rsidRPr="001913F7" w:rsidRDefault="0053271A" w:rsidP="00BE569D">
      <w:pPr>
        <w:pStyle w:val="Bullet"/>
        <w:numPr>
          <w:ilvl w:val="0"/>
          <w:numId w:val="3"/>
        </w:numPr>
        <w:spacing w:after="120" w:line="240" w:lineRule="auto"/>
        <w:ind w:left="714" w:hanging="357"/>
        <w:rPr>
          <w:rFonts w:ascii="Times New Roman" w:hAnsi="Times New Roman" w:cs="Times New Roman"/>
          <w:sz w:val="24"/>
          <w:szCs w:val="24"/>
        </w:rPr>
      </w:pPr>
      <w:r w:rsidRPr="001913F7">
        <w:rPr>
          <w:rFonts w:ascii="Times New Roman" w:hAnsi="Times New Roman" w:cs="Times New Roman"/>
          <w:sz w:val="24"/>
          <w:szCs w:val="24"/>
        </w:rPr>
        <w:t>There was a high risk of bias in the trial design.</w:t>
      </w:r>
    </w:p>
    <w:p w14:paraId="3BC82C6E" w14:textId="77777777" w:rsidR="0053271A" w:rsidRPr="001913F7" w:rsidRDefault="0053271A" w:rsidP="00BE569D">
      <w:pPr>
        <w:pStyle w:val="Bullet"/>
        <w:numPr>
          <w:ilvl w:val="0"/>
          <w:numId w:val="3"/>
        </w:numPr>
        <w:spacing w:after="120" w:line="240" w:lineRule="auto"/>
        <w:ind w:left="714" w:hanging="357"/>
        <w:rPr>
          <w:rFonts w:ascii="Times New Roman" w:hAnsi="Times New Roman" w:cs="Times New Roman"/>
          <w:sz w:val="24"/>
          <w:szCs w:val="24"/>
        </w:rPr>
      </w:pPr>
      <w:r w:rsidRPr="001913F7">
        <w:rPr>
          <w:rFonts w:ascii="Times New Roman" w:hAnsi="Times New Roman" w:cs="Times New Roman"/>
          <w:sz w:val="24"/>
          <w:szCs w:val="24"/>
        </w:rPr>
        <w:t>There was significant loss to follow up which was deemed not important due to the lower than expected iDFS rate.</w:t>
      </w:r>
    </w:p>
    <w:p w14:paraId="5B9F3C93" w14:textId="02F06445" w:rsidR="0053271A" w:rsidRPr="00E2362C" w:rsidRDefault="0053271A" w:rsidP="0053271A">
      <w:pPr>
        <w:pStyle w:val="Bullet"/>
        <w:numPr>
          <w:ilvl w:val="0"/>
          <w:numId w:val="3"/>
        </w:numPr>
        <w:spacing w:line="240" w:lineRule="auto"/>
        <w:ind w:left="714" w:hanging="357"/>
        <w:rPr>
          <w:rFonts w:ascii="Times New Roman" w:hAnsi="Times New Roman" w:cs="Times New Roman"/>
          <w:sz w:val="24"/>
          <w:szCs w:val="24"/>
        </w:rPr>
      </w:pPr>
      <w:r w:rsidRPr="001913F7">
        <w:rPr>
          <w:rFonts w:ascii="Times New Roman" w:hAnsi="Times New Roman" w:cs="Times New Roman"/>
          <w:sz w:val="24"/>
          <w:szCs w:val="24"/>
        </w:rPr>
        <w:t xml:space="preserve">There are four </w:t>
      </w:r>
      <w:r w:rsidR="0012326F" w:rsidRPr="001913F7">
        <w:rPr>
          <w:rFonts w:ascii="Times New Roman" w:hAnsi="Times New Roman" w:cs="Times New Roman"/>
          <w:sz w:val="24"/>
          <w:szCs w:val="24"/>
        </w:rPr>
        <w:t xml:space="preserve">endocrine therapy </w:t>
      </w:r>
      <w:r w:rsidRPr="001913F7">
        <w:rPr>
          <w:rFonts w:ascii="Times New Roman" w:hAnsi="Times New Roman" w:cs="Times New Roman"/>
          <w:sz w:val="24"/>
          <w:szCs w:val="24"/>
        </w:rPr>
        <w:t>regimens and nine chemotherapy regimens, which may introduce confounding to the extent that they are not equi-effective.</w:t>
      </w:r>
    </w:p>
    <w:p w14:paraId="06E3C06D" w14:textId="77777777" w:rsidR="0053271A" w:rsidRDefault="0053271A" w:rsidP="0053271A">
      <w:r w:rsidRPr="00C22ECB">
        <w:rPr>
          <w:noProof/>
        </w:rPr>
        <w:drawing>
          <wp:inline distT="0" distB="0" distL="0" distR="0" wp14:anchorId="1663C097" wp14:editId="0BE024AB">
            <wp:extent cx="5204460" cy="3165231"/>
            <wp:effectExtent l="0" t="0" r="0" b="0"/>
            <wp:docPr id="11" name="Picture 11" descr="Forest plot of the HRs of the ITT and ‘as treated’ population with non inferiority threshold for DRFI " title="Forest plot of the HRs of the ITT and ‘as treated’ population with non inferiority threshold for DRF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8596" cy="3173828"/>
                    </a:xfrm>
                    <a:prstGeom prst="rect">
                      <a:avLst/>
                    </a:prstGeom>
                    <a:noFill/>
                    <a:ln>
                      <a:noFill/>
                    </a:ln>
                  </pic:spPr>
                </pic:pic>
              </a:graphicData>
            </a:graphic>
          </wp:inline>
        </w:drawing>
      </w:r>
    </w:p>
    <w:p w14:paraId="6A59D416" w14:textId="7BAEBEA8" w:rsidR="0053271A" w:rsidRPr="00B24C63" w:rsidRDefault="0053271A" w:rsidP="00B24C63">
      <w:pPr>
        <w:spacing w:after="240"/>
        <w:rPr>
          <w:rFonts w:ascii="Arial Narrow" w:hAnsi="Arial Narrow"/>
          <w:b/>
          <w:sz w:val="20"/>
        </w:rPr>
      </w:pPr>
      <w:bookmarkStart w:id="5" w:name="_Ref8701342"/>
      <w:bookmarkStart w:id="6" w:name="_Toc8707514"/>
      <w:r w:rsidRPr="00B24C63">
        <w:rPr>
          <w:rFonts w:ascii="Arial Narrow" w:hAnsi="Arial Narrow"/>
          <w:b/>
          <w:sz w:val="20"/>
        </w:rPr>
        <w:t>Figure 3</w:t>
      </w:r>
      <w:bookmarkEnd w:id="5"/>
      <w:r w:rsidRPr="00B24C63">
        <w:rPr>
          <w:rFonts w:ascii="Arial Narrow" w:hAnsi="Arial Narrow"/>
          <w:b/>
          <w:sz w:val="20"/>
        </w:rPr>
        <w:tab/>
        <w:t xml:space="preserve">Forest plot of the hazard ratios (HR) of the intention-to-treat (ITT) and </w:t>
      </w:r>
      <w:r w:rsidR="00A966DF" w:rsidRPr="00B24C63">
        <w:rPr>
          <w:rFonts w:ascii="Arial Narrow" w:hAnsi="Arial Narrow"/>
          <w:b/>
          <w:sz w:val="20"/>
        </w:rPr>
        <w:t>“</w:t>
      </w:r>
      <w:r w:rsidRPr="00B24C63">
        <w:rPr>
          <w:rFonts w:ascii="Arial Narrow" w:hAnsi="Arial Narrow"/>
          <w:b/>
          <w:sz w:val="20"/>
        </w:rPr>
        <w:t>as</w:t>
      </w:r>
      <w:r w:rsidR="00A966DF" w:rsidRPr="00B24C63">
        <w:rPr>
          <w:rFonts w:ascii="Arial Narrow" w:hAnsi="Arial Narrow"/>
          <w:b/>
          <w:sz w:val="20"/>
        </w:rPr>
        <w:t>-</w:t>
      </w:r>
      <w:r w:rsidRPr="00B24C63">
        <w:rPr>
          <w:rFonts w:ascii="Arial Narrow" w:hAnsi="Arial Narrow"/>
          <w:b/>
          <w:sz w:val="20"/>
        </w:rPr>
        <w:t>treated</w:t>
      </w:r>
      <w:r w:rsidR="00A966DF" w:rsidRPr="00B24C63">
        <w:rPr>
          <w:rFonts w:ascii="Arial Narrow" w:hAnsi="Arial Narrow"/>
          <w:b/>
          <w:sz w:val="20"/>
        </w:rPr>
        <w:t>”</w:t>
      </w:r>
      <w:r w:rsidRPr="00B24C63">
        <w:rPr>
          <w:rFonts w:ascii="Arial Narrow" w:hAnsi="Arial Narrow"/>
          <w:b/>
          <w:sz w:val="20"/>
        </w:rPr>
        <w:t xml:space="preserve"> (</w:t>
      </w:r>
      <w:r w:rsidR="00AC5C1A" w:rsidRPr="00B24C63">
        <w:rPr>
          <w:rFonts w:ascii="Arial Narrow" w:hAnsi="Arial Narrow"/>
          <w:b/>
          <w:sz w:val="20"/>
        </w:rPr>
        <w:t xml:space="preserve">labelled </w:t>
      </w:r>
      <w:r w:rsidRPr="00B24C63">
        <w:rPr>
          <w:rFonts w:ascii="Arial Narrow" w:hAnsi="Arial Narrow"/>
          <w:b/>
          <w:sz w:val="20"/>
        </w:rPr>
        <w:t>PP) populations with non-inferiority threshold for distant recurrence-free interval (DRFI</w:t>
      </w:r>
      <w:bookmarkEnd w:id="6"/>
      <w:r w:rsidRPr="00B24C63">
        <w:rPr>
          <w:rFonts w:ascii="Arial Narrow" w:hAnsi="Arial Narrow"/>
          <w:b/>
          <w:sz w:val="20"/>
        </w:rPr>
        <w:t>)</w:t>
      </w:r>
    </w:p>
    <w:p w14:paraId="132A3C91" w14:textId="1EE6C6A3" w:rsidR="0053271A" w:rsidRDefault="0053271A" w:rsidP="001913F7">
      <w:pPr>
        <w:spacing w:after="120"/>
      </w:pPr>
      <w:r w:rsidRPr="004819D6">
        <w:t xml:space="preserve">The secondary </w:t>
      </w:r>
      <w:r>
        <w:t xml:space="preserve">analysis to support the claim of </w:t>
      </w:r>
      <w:r w:rsidRPr="004819D6">
        <w:t>no difference between the treatment arms</w:t>
      </w:r>
      <w:r w:rsidR="002176CB">
        <w:t xml:space="preserve"> - </w:t>
      </w:r>
      <w:r w:rsidR="0012326F">
        <w:t>endocrine</w:t>
      </w:r>
      <w:r w:rsidRPr="004819D6">
        <w:t xml:space="preserve"> therapy alone compared to </w:t>
      </w:r>
      <w:r w:rsidR="0012326F">
        <w:t>endocrine</w:t>
      </w:r>
      <w:r w:rsidRPr="004819D6">
        <w:t xml:space="preserve"> therapy plus chemotherapy</w:t>
      </w:r>
      <w:r w:rsidR="002176CB">
        <w:t xml:space="preserve"> - </w:t>
      </w:r>
      <w:r>
        <w:t xml:space="preserve">also </w:t>
      </w:r>
      <w:r w:rsidRPr="004819D6">
        <w:t xml:space="preserve">met the </w:t>
      </w:r>
      <w:r w:rsidR="00B659E8">
        <w:t>pre</w:t>
      </w:r>
      <w:r>
        <w:t xml:space="preserve">specified </w:t>
      </w:r>
      <w:r w:rsidRPr="004819D6">
        <w:t xml:space="preserve">non-inferiority threshold. </w:t>
      </w:r>
      <w:r>
        <w:t>H</w:t>
      </w:r>
      <w:r w:rsidRPr="004819D6">
        <w:t>owever</w:t>
      </w:r>
      <w:r>
        <w:t>, the Critique outlined</w:t>
      </w:r>
      <w:r w:rsidRPr="004819D6">
        <w:t xml:space="preserve"> issues to consider:</w:t>
      </w:r>
    </w:p>
    <w:p w14:paraId="566241B8" w14:textId="295E0F6E" w:rsidR="0053271A" w:rsidRPr="001913F7" w:rsidRDefault="0053271A" w:rsidP="001913F7">
      <w:pPr>
        <w:pStyle w:val="Bullet"/>
        <w:numPr>
          <w:ilvl w:val="0"/>
          <w:numId w:val="3"/>
        </w:numPr>
        <w:spacing w:after="120" w:line="240" w:lineRule="auto"/>
        <w:ind w:left="714" w:hanging="357"/>
        <w:rPr>
          <w:rFonts w:ascii="Times New Roman" w:hAnsi="Times New Roman" w:cs="Times New Roman"/>
          <w:sz w:val="24"/>
          <w:szCs w:val="24"/>
        </w:rPr>
      </w:pPr>
      <w:r w:rsidRPr="001913F7">
        <w:rPr>
          <w:rFonts w:ascii="Times New Roman" w:hAnsi="Times New Roman" w:cs="Times New Roman"/>
          <w:sz w:val="24"/>
          <w:szCs w:val="24"/>
        </w:rPr>
        <w:t xml:space="preserve">For the ITT population, the non-inferiority margin of a 61% decrease in freedom from recurrence at a distant site for </w:t>
      </w:r>
      <w:r w:rsidR="0012326F" w:rsidRPr="001913F7">
        <w:rPr>
          <w:rFonts w:ascii="Times New Roman" w:hAnsi="Times New Roman" w:cs="Times New Roman"/>
          <w:sz w:val="24"/>
          <w:szCs w:val="24"/>
        </w:rPr>
        <w:t>endocrine</w:t>
      </w:r>
      <w:r w:rsidRPr="001913F7">
        <w:rPr>
          <w:rFonts w:ascii="Times New Roman" w:hAnsi="Times New Roman" w:cs="Times New Roman"/>
          <w:sz w:val="24"/>
          <w:szCs w:val="24"/>
        </w:rPr>
        <w:t xml:space="preserve"> therapy alone compared to </w:t>
      </w:r>
      <w:r w:rsidR="0012326F" w:rsidRPr="001913F7">
        <w:rPr>
          <w:rFonts w:ascii="Times New Roman" w:hAnsi="Times New Roman" w:cs="Times New Roman"/>
          <w:sz w:val="24"/>
          <w:szCs w:val="24"/>
        </w:rPr>
        <w:t>endocrine</w:t>
      </w:r>
      <w:r w:rsidRPr="001913F7">
        <w:rPr>
          <w:rFonts w:ascii="Times New Roman" w:hAnsi="Times New Roman" w:cs="Times New Roman"/>
          <w:sz w:val="24"/>
          <w:szCs w:val="24"/>
        </w:rPr>
        <w:t xml:space="preserve"> therapy </w:t>
      </w:r>
      <w:r w:rsidRPr="001913F7">
        <w:rPr>
          <w:rFonts w:ascii="Times New Roman" w:hAnsi="Times New Roman" w:cs="Times New Roman"/>
          <w:sz w:val="24"/>
          <w:szCs w:val="24"/>
        </w:rPr>
        <w:lastRenderedPageBreak/>
        <w:t>plus chemotherapy appears to be quite large and not supported by the references cited in the trial report.</w:t>
      </w:r>
    </w:p>
    <w:p w14:paraId="7A6646FD" w14:textId="6331146E" w:rsidR="00A87824" w:rsidRPr="00E2362C" w:rsidRDefault="0053271A" w:rsidP="00E2362C">
      <w:pPr>
        <w:pStyle w:val="Bullet"/>
        <w:numPr>
          <w:ilvl w:val="0"/>
          <w:numId w:val="3"/>
        </w:numPr>
        <w:spacing w:after="240" w:line="240" w:lineRule="auto"/>
        <w:ind w:left="714" w:hanging="357"/>
        <w:rPr>
          <w:rFonts w:ascii="Times New Roman" w:hAnsi="Times New Roman" w:cs="Times New Roman"/>
          <w:sz w:val="24"/>
          <w:szCs w:val="24"/>
        </w:rPr>
      </w:pPr>
      <w:r w:rsidRPr="001913F7">
        <w:rPr>
          <w:rFonts w:ascii="Times New Roman" w:hAnsi="Times New Roman" w:cs="Times New Roman"/>
          <w:sz w:val="24"/>
          <w:szCs w:val="24"/>
        </w:rPr>
        <w:t>Full statistical power to do this comparison was not achieved: the prespecified number of events of 284 was not reached, but only 199 events were recorded.</w:t>
      </w:r>
    </w:p>
    <w:p w14:paraId="49C071CE" w14:textId="5341A508" w:rsidR="0053271A" w:rsidRDefault="0053271A" w:rsidP="00E2362C">
      <w:pPr>
        <w:spacing w:after="240"/>
      </w:pPr>
      <w:r>
        <w:t xml:space="preserve">Table 3 presents the estimated survival rates according to recurrence scores and assigned treatment in the ITT population. The Critique stated that similar issues as identified above for the primary and secondary analyses also occurred; </w:t>
      </w:r>
      <w:r w:rsidRPr="00CF1AE5">
        <w:t>the number of events required for full statistical power was not achieved and the evidence to supp</w:t>
      </w:r>
      <w:r w:rsidR="00B659E8">
        <w:t>ort the assumptions for the pre</w:t>
      </w:r>
      <w:r w:rsidRPr="00CF1AE5">
        <w:t xml:space="preserve">specified non-inferiority threshold of 1.46 was not provided in the </w:t>
      </w:r>
      <w:r w:rsidR="000F66FC">
        <w:t>resubmission</w:t>
      </w:r>
      <w:r w:rsidRPr="00CF1AE5">
        <w:t xml:space="preserve"> or the trial report.</w:t>
      </w:r>
    </w:p>
    <w:p w14:paraId="76DAD4A8" w14:textId="7BB6FDC4" w:rsidR="0053271A" w:rsidRPr="00B24C63" w:rsidRDefault="0053271A" w:rsidP="00B24C63">
      <w:pPr>
        <w:rPr>
          <w:rFonts w:ascii="Arial Narrow" w:hAnsi="Arial Narrow"/>
          <w:b/>
          <w:sz w:val="20"/>
        </w:rPr>
      </w:pPr>
      <w:bookmarkStart w:id="7" w:name="_Ref8701623"/>
      <w:bookmarkStart w:id="8" w:name="_Toc8707441"/>
      <w:r w:rsidRPr="00B24C63">
        <w:rPr>
          <w:rFonts w:ascii="Arial Narrow" w:hAnsi="Arial Narrow"/>
          <w:b/>
          <w:sz w:val="20"/>
        </w:rPr>
        <w:t>Table</w:t>
      </w:r>
      <w:bookmarkEnd w:id="7"/>
      <w:r w:rsidR="00E87685" w:rsidRPr="00B24C63">
        <w:rPr>
          <w:rFonts w:ascii="Arial Narrow" w:hAnsi="Arial Narrow"/>
          <w:b/>
          <w:sz w:val="20"/>
        </w:rPr>
        <w:t xml:space="preserve"> </w:t>
      </w:r>
      <w:r w:rsidRPr="00B24C63">
        <w:rPr>
          <w:rFonts w:ascii="Arial Narrow" w:hAnsi="Arial Narrow"/>
          <w:b/>
          <w:sz w:val="20"/>
        </w:rPr>
        <w:t>3</w:t>
      </w:r>
      <w:r w:rsidRPr="00B24C63">
        <w:rPr>
          <w:rFonts w:ascii="Arial Narrow" w:hAnsi="Arial Narrow"/>
          <w:b/>
          <w:sz w:val="20"/>
        </w:rPr>
        <w:tab/>
        <w:t>Estimated survival rates according to RS and assigned treatment in the ITT population</w:t>
      </w:r>
      <w:bookmarkEnd w:id="8"/>
    </w:p>
    <w:tbl>
      <w:tblPr>
        <w:tblStyle w:val="TableGrid1"/>
        <w:tblW w:w="9209" w:type="dxa"/>
        <w:tblLook w:val="04A0" w:firstRow="1" w:lastRow="0" w:firstColumn="1" w:lastColumn="0" w:noHBand="0" w:noVBand="1"/>
        <w:tblCaption w:val="Estimated survival rates according to RS and assigned treatment in the ITT population "/>
        <w:tblDescription w:val="Estimated survival rates according to RS and assigned treatment in the ITT population "/>
      </w:tblPr>
      <w:tblGrid>
        <w:gridCol w:w="4957"/>
        <w:gridCol w:w="2126"/>
        <w:gridCol w:w="2126"/>
      </w:tblGrid>
      <w:tr w:rsidR="0053271A" w:rsidRPr="0053271A" w14:paraId="7CCD6183" w14:textId="77777777" w:rsidTr="00460458">
        <w:trPr>
          <w:cnfStyle w:val="100000000000" w:firstRow="1" w:lastRow="0" w:firstColumn="0" w:lastColumn="0" w:oddVBand="0" w:evenVBand="0" w:oddHBand="0" w:evenHBand="0" w:firstRowFirstColumn="0" w:firstRowLastColumn="0" w:lastRowFirstColumn="0" w:lastRowLastColumn="0"/>
          <w:tblHeader/>
        </w:trPr>
        <w:tc>
          <w:tcPr>
            <w:tcW w:w="4957" w:type="dxa"/>
          </w:tcPr>
          <w:p w14:paraId="441D35A8" w14:textId="77777777" w:rsidR="0053271A" w:rsidRPr="0053271A" w:rsidRDefault="0053271A" w:rsidP="00460458">
            <w:pPr>
              <w:rPr>
                <w:rFonts w:ascii="Arial Narrow" w:hAnsi="Arial Narrow"/>
                <w:b/>
                <w:sz w:val="20"/>
              </w:rPr>
            </w:pPr>
            <w:r w:rsidRPr="0053271A">
              <w:rPr>
                <w:rFonts w:ascii="Arial Narrow" w:hAnsi="Arial Narrow"/>
                <w:b/>
                <w:sz w:val="20"/>
              </w:rPr>
              <w:t>End point and treatment group</w:t>
            </w:r>
          </w:p>
        </w:tc>
        <w:tc>
          <w:tcPr>
            <w:tcW w:w="2126" w:type="dxa"/>
          </w:tcPr>
          <w:p w14:paraId="2FA034FD" w14:textId="77777777" w:rsidR="0053271A" w:rsidRPr="0053271A" w:rsidRDefault="0053271A" w:rsidP="00460458">
            <w:pPr>
              <w:jc w:val="center"/>
              <w:rPr>
                <w:rFonts w:ascii="Arial Narrow" w:hAnsi="Arial Narrow"/>
                <w:b/>
                <w:sz w:val="20"/>
              </w:rPr>
            </w:pPr>
            <w:r w:rsidRPr="0053271A">
              <w:rPr>
                <w:rFonts w:ascii="Arial Narrow" w:hAnsi="Arial Narrow"/>
                <w:b/>
                <w:sz w:val="20"/>
              </w:rPr>
              <w:t>Rate at 5 years (%)±SE</w:t>
            </w:r>
          </w:p>
        </w:tc>
        <w:tc>
          <w:tcPr>
            <w:tcW w:w="2126" w:type="dxa"/>
          </w:tcPr>
          <w:p w14:paraId="301DA846" w14:textId="77777777" w:rsidR="0053271A" w:rsidRPr="0053271A" w:rsidRDefault="0053271A" w:rsidP="00460458">
            <w:pPr>
              <w:jc w:val="center"/>
              <w:rPr>
                <w:rFonts w:ascii="Arial Narrow" w:hAnsi="Arial Narrow"/>
                <w:b/>
                <w:sz w:val="20"/>
              </w:rPr>
            </w:pPr>
            <w:r w:rsidRPr="0053271A">
              <w:rPr>
                <w:rFonts w:ascii="Arial Narrow" w:hAnsi="Arial Narrow"/>
                <w:b/>
                <w:sz w:val="20"/>
              </w:rPr>
              <w:t>Rate at 9 years (%)±SE</w:t>
            </w:r>
          </w:p>
        </w:tc>
      </w:tr>
      <w:tr w:rsidR="0053271A" w:rsidRPr="0053271A" w14:paraId="6F4FF5F8" w14:textId="77777777" w:rsidTr="00460458">
        <w:tc>
          <w:tcPr>
            <w:tcW w:w="4957" w:type="dxa"/>
          </w:tcPr>
          <w:p w14:paraId="6E22E7DB" w14:textId="77777777" w:rsidR="0053271A" w:rsidRPr="0053271A" w:rsidRDefault="0053271A" w:rsidP="00460458">
            <w:pPr>
              <w:rPr>
                <w:b/>
                <w:sz w:val="20"/>
              </w:rPr>
            </w:pPr>
            <w:r w:rsidRPr="0053271A">
              <w:rPr>
                <w:b/>
                <w:sz w:val="20"/>
              </w:rPr>
              <w:t>Invasive disease-free survival</w:t>
            </w:r>
          </w:p>
        </w:tc>
        <w:tc>
          <w:tcPr>
            <w:tcW w:w="2126" w:type="dxa"/>
          </w:tcPr>
          <w:p w14:paraId="4C25B3C5" w14:textId="77777777" w:rsidR="0053271A" w:rsidRPr="0053271A" w:rsidRDefault="0053271A" w:rsidP="00460458">
            <w:pPr>
              <w:jc w:val="center"/>
              <w:rPr>
                <w:sz w:val="20"/>
              </w:rPr>
            </w:pPr>
          </w:p>
        </w:tc>
        <w:tc>
          <w:tcPr>
            <w:tcW w:w="2126" w:type="dxa"/>
          </w:tcPr>
          <w:p w14:paraId="5D6E661B" w14:textId="77777777" w:rsidR="0053271A" w:rsidRPr="0053271A" w:rsidRDefault="0053271A" w:rsidP="00460458">
            <w:pPr>
              <w:jc w:val="center"/>
              <w:rPr>
                <w:sz w:val="20"/>
              </w:rPr>
            </w:pPr>
          </w:p>
        </w:tc>
      </w:tr>
      <w:tr w:rsidR="0053271A" w:rsidRPr="0053271A" w14:paraId="7E40267C" w14:textId="77777777" w:rsidTr="00460458">
        <w:tc>
          <w:tcPr>
            <w:tcW w:w="4957" w:type="dxa"/>
          </w:tcPr>
          <w:p w14:paraId="699C14F7" w14:textId="01073C64" w:rsidR="0053271A" w:rsidRPr="0053271A" w:rsidRDefault="0053271A" w:rsidP="00460458">
            <w:pPr>
              <w:rPr>
                <w:sz w:val="20"/>
              </w:rPr>
            </w:pPr>
            <w:r w:rsidRPr="0053271A">
              <w:rPr>
                <w:sz w:val="20"/>
              </w:rPr>
              <w:t xml:space="preserve">Score of ≤10, </w:t>
            </w:r>
            <w:r w:rsidR="00BE2E9E">
              <w:rPr>
                <w:sz w:val="20"/>
              </w:rPr>
              <w:t>endocrine</w:t>
            </w:r>
            <w:r w:rsidRPr="0053271A">
              <w:rPr>
                <w:sz w:val="20"/>
              </w:rPr>
              <w:t xml:space="preserve"> therapy</w:t>
            </w:r>
            <w:r w:rsidR="00BE2E9E">
              <w:rPr>
                <w:sz w:val="20"/>
              </w:rPr>
              <w:t xml:space="preserve"> alone</w:t>
            </w:r>
          </w:p>
          <w:p w14:paraId="23DD3AE6" w14:textId="36161A25" w:rsidR="0053271A" w:rsidRPr="0053271A" w:rsidRDefault="0053271A" w:rsidP="00460458">
            <w:pPr>
              <w:rPr>
                <w:sz w:val="20"/>
              </w:rPr>
            </w:pPr>
            <w:r w:rsidRPr="0053271A">
              <w:rPr>
                <w:sz w:val="20"/>
              </w:rPr>
              <w:t xml:space="preserve">Score of 11-25, </w:t>
            </w:r>
            <w:r w:rsidR="00BE2E9E">
              <w:rPr>
                <w:sz w:val="20"/>
              </w:rPr>
              <w:t>endocrine</w:t>
            </w:r>
            <w:r w:rsidRPr="0053271A">
              <w:rPr>
                <w:sz w:val="20"/>
              </w:rPr>
              <w:t xml:space="preserve"> therapy</w:t>
            </w:r>
            <w:r w:rsidR="00BE2E9E">
              <w:rPr>
                <w:sz w:val="20"/>
              </w:rPr>
              <w:t xml:space="preserve"> alone</w:t>
            </w:r>
          </w:p>
          <w:p w14:paraId="792943FF" w14:textId="6AFE723F" w:rsidR="0053271A" w:rsidRPr="0053271A" w:rsidRDefault="0053271A" w:rsidP="00460458">
            <w:pPr>
              <w:rPr>
                <w:sz w:val="20"/>
              </w:rPr>
            </w:pPr>
            <w:r w:rsidRPr="0053271A">
              <w:rPr>
                <w:sz w:val="20"/>
              </w:rPr>
              <w:t xml:space="preserve">Score of 11-25, </w:t>
            </w:r>
            <w:r w:rsidR="00BE2E9E">
              <w:rPr>
                <w:sz w:val="20"/>
              </w:rPr>
              <w:t xml:space="preserve">chemotherapy + endocrine </w:t>
            </w:r>
            <w:r w:rsidRPr="0053271A">
              <w:rPr>
                <w:sz w:val="20"/>
              </w:rPr>
              <w:t>therapy</w:t>
            </w:r>
          </w:p>
          <w:p w14:paraId="3F22818D" w14:textId="5F74EE55" w:rsidR="0053271A" w:rsidRPr="0053271A" w:rsidRDefault="0053271A" w:rsidP="00BE2E9E">
            <w:pPr>
              <w:rPr>
                <w:sz w:val="20"/>
              </w:rPr>
            </w:pPr>
            <w:r w:rsidRPr="0053271A">
              <w:rPr>
                <w:sz w:val="20"/>
              </w:rPr>
              <w:t xml:space="preserve">Score of ≥26, </w:t>
            </w:r>
            <w:r w:rsidR="00BE2E9E">
              <w:rPr>
                <w:sz w:val="20"/>
              </w:rPr>
              <w:t xml:space="preserve">chemotherapy + endocrine </w:t>
            </w:r>
            <w:r w:rsidRPr="0053271A">
              <w:rPr>
                <w:sz w:val="20"/>
              </w:rPr>
              <w:t>therapy</w:t>
            </w:r>
          </w:p>
        </w:tc>
        <w:tc>
          <w:tcPr>
            <w:tcW w:w="2126" w:type="dxa"/>
          </w:tcPr>
          <w:p w14:paraId="29D0D810" w14:textId="77777777" w:rsidR="0053271A" w:rsidRPr="0053271A" w:rsidRDefault="0053271A" w:rsidP="00460458">
            <w:pPr>
              <w:jc w:val="center"/>
              <w:rPr>
                <w:sz w:val="20"/>
              </w:rPr>
            </w:pPr>
            <w:r w:rsidRPr="0053271A">
              <w:rPr>
                <w:sz w:val="20"/>
              </w:rPr>
              <w:t>94.0±0.6</w:t>
            </w:r>
          </w:p>
          <w:p w14:paraId="4BFDAF7C" w14:textId="77777777" w:rsidR="0053271A" w:rsidRPr="0053271A" w:rsidRDefault="0053271A" w:rsidP="00460458">
            <w:pPr>
              <w:jc w:val="center"/>
              <w:rPr>
                <w:sz w:val="20"/>
              </w:rPr>
            </w:pPr>
            <w:r w:rsidRPr="0053271A">
              <w:rPr>
                <w:sz w:val="20"/>
              </w:rPr>
              <w:t>92.8 ±0.5</w:t>
            </w:r>
          </w:p>
          <w:p w14:paraId="5E42016F" w14:textId="77777777" w:rsidR="0053271A" w:rsidRPr="0053271A" w:rsidRDefault="0053271A" w:rsidP="00460458">
            <w:pPr>
              <w:jc w:val="center"/>
              <w:rPr>
                <w:sz w:val="20"/>
              </w:rPr>
            </w:pPr>
            <w:r w:rsidRPr="0053271A">
              <w:rPr>
                <w:sz w:val="20"/>
              </w:rPr>
              <w:t>93.1±0.5</w:t>
            </w:r>
          </w:p>
          <w:p w14:paraId="253DF3EA" w14:textId="77777777" w:rsidR="0053271A" w:rsidRPr="0053271A" w:rsidRDefault="0053271A" w:rsidP="00460458">
            <w:pPr>
              <w:jc w:val="center"/>
              <w:rPr>
                <w:sz w:val="20"/>
              </w:rPr>
            </w:pPr>
            <w:r w:rsidRPr="0053271A">
              <w:rPr>
                <w:sz w:val="20"/>
              </w:rPr>
              <w:t>87.6±1.0</w:t>
            </w:r>
          </w:p>
        </w:tc>
        <w:tc>
          <w:tcPr>
            <w:tcW w:w="2126" w:type="dxa"/>
          </w:tcPr>
          <w:p w14:paraId="54C323C2" w14:textId="77777777" w:rsidR="0053271A" w:rsidRPr="0053271A" w:rsidRDefault="0053271A" w:rsidP="00460458">
            <w:pPr>
              <w:jc w:val="center"/>
              <w:rPr>
                <w:sz w:val="20"/>
              </w:rPr>
            </w:pPr>
            <w:r w:rsidRPr="0053271A">
              <w:rPr>
                <w:sz w:val="20"/>
              </w:rPr>
              <w:t>84.0±1.3</w:t>
            </w:r>
          </w:p>
          <w:p w14:paraId="5D3FBBD1" w14:textId="77777777" w:rsidR="0053271A" w:rsidRPr="0053271A" w:rsidRDefault="0053271A" w:rsidP="00460458">
            <w:pPr>
              <w:jc w:val="center"/>
              <w:rPr>
                <w:sz w:val="20"/>
              </w:rPr>
            </w:pPr>
            <w:r w:rsidRPr="0053271A">
              <w:rPr>
                <w:sz w:val="20"/>
              </w:rPr>
              <w:t>83.3±0.9</w:t>
            </w:r>
          </w:p>
          <w:p w14:paraId="711521CE" w14:textId="77777777" w:rsidR="0053271A" w:rsidRPr="0053271A" w:rsidRDefault="0053271A" w:rsidP="00460458">
            <w:pPr>
              <w:jc w:val="center"/>
              <w:rPr>
                <w:sz w:val="20"/>
              </w:rPr>
            </w:pPr>
            <w:r w:rsidRPr="0053271A">
              <w:rPr>
                <w:sz w:val="20"/>
              </w:rPr>
              <w:t>84.3±0.8</w:t>
            </w:r>
          </w:p>
          <w:p w14:paraId="52BED6B8" w14:textId="77777777" w:rsidR="0053271A" w:rsidRPr="0053271A" w:rsidRDefault="0053271A" w:rsidP="00460458">
            <w:pPr>
              <w:jc w:val="center"/>
              <w:rPr>
                <w:sz w:val="20"/>
              </w:rPr>
            </w:pPr>
            <w:r w:rsidRPr="0053271A">
              <w:rPr>
                <w:sz w:val="20"/>
              </w:rPr>
              <w:t>75.7±2.2</w:t>
            </w:r>
          </w:p>
        </w:tc>
      </w:tr>
      <w:tr w:rsidR="0053271A" w:rsidRPr="0053271A" w14:paraId="02A427A3" w14:textId="77777777" w:rsidTr="00460458">
        <w:tc>
          <w:tcPr>
            <w:tcW w:w="4957" w:type="dxa"/>
          </w:tcPr>
          <w:p w14:paraId="7E11547C" w14:textId="77777777" w:rsidR="0053271A" w:rsidRPr="0053271A" w:rsidRDefault="0053271A" w:rsidP="00460458">
            <w:pPr>
              <w:rPr>
                <w:sz w:val="20"/>
              </w:rPr>
            </w:pPr>
            <w:r w:rsidRPr="0053271A">
              <w:rPr>
                <w:sz w:val="20"/>
              </w:rPr>
              <w:t>Freedom from recurrence of breast cancer at a distant site</w:t>
            </w:r>
          </w:p>
        </w:tc>
        <w:tc>
          <w:tcPr>
            <w:tcW w:w="2126" w:type="dxa"/>
          </w:tcPr>
          <w:p w14:paraId="79E3198C" w14:textId="77777777" w:rsidR="0053271A" w:rsidRPr="0053271A" w:rsidRDefault="0053271A" w:rsidP="00460458">
            <w:pPr>
              <w:jc w:val="center"/>
              <w:rPr>
                <w:sz w:val="20"/>
              </w:rPr>
            </w:pPr>
          </w:p>
        </w:tc>
        <w:tc>
          <w:tcPr>
            <w:tcW w:w="2126" w:type="dxa"/>
          </w:tcPr>
          <w:p w14:paraId="1857FD7B" w14:textId="77777777" w:rsidR="0053271A" w:rsidRPr="0053271A" w:rsidRDefault="0053271A" w:rsidP="00460458">
            <w:pPr>
              <w:jc w:val="center"/>
              <w:rPr>
                <w:sz w:val="20"/>
              </w:rPr>
            </w:pPr>
          </w:p>
        </w:tc>
      </w:tr>
      <w:tr w:rsidR="0053271A" w:rsidRPr="0053271A" w14:paraId="614C5B58" w14:textId="77777777" w:rsidTr="00460458">
        <w:tc>
          <w:tcPr>
            <w:tcW w:w="4957" w:type="dxa"/>
          </w:tcPr>
          <w:p w14:paraId="6E91446C" w14:textId="065ABCDB" w:rsidR="0053271A" w:rsidRPr="0053271A" w:rsidRDefault="0053271A" w:rsidP="00460458">
            <w:pPr>
              <w:rPr>
                <w:sz w:val="20"/>
              </w:rPr>
            </w:pPr>
            <w:r w:rsidRPr="0053271A">
              <w:rPr>
                <w:sz w:val="20"/>
              </w:rPr>
              <w:t xml:space="preserve">Score of ≤10, </w:t>
            </w:r>
            <w:r w:rsidR="00BE2E9E">
              <w:rPr>
                <w:sz w:val="20"/>
              </w:rPr>
              <w:t>endocrine</w:t>
            </w:r>
            <w:r w:rsidRPr="0053271A">
              <w:rPr>
                <w:sz w:val="20"/>
              </w:rPr>
              <w:t xml:space="preserve"> therapy</w:t>
            </w:r>
            <w:r w:rsidR="00BE2E9E">
              <w:rPr>
                <w:sz w:val="20"/>
              </w:rPr>
              <w:t xml:space="preserve"> alone</w:t>
            </w:r>
          </w:p>
          <w:p w14:paraId="55FAC385" w14:textId="2BB431A9" w:rsidR="0053271A" w:rsidRPr="0053271A" w:rsidRDefault="0053271A" w:rsidP="00460458">
            <w:pPr>
              <w:rPr>
                <w:sz w:val="20"/>
              </w:rPr>
            </w:pPr>
            <w:r w:rsidRPr="0053271A">
              <w:rPr>
                <w:sz w:val="20"/>
              </w:rPr>
              <w:t xml:space="preserve">Score of 11-25, </w:t>
            </w:r>
            <w:r w:rsidR="00BE2E9E">
              <w:rPr>
                <w:sz w:val="20"/>
              </w:rPr>
              <w:t>endocrine</w:t>
            </w:r>
            <w:r w:rsidRPr="0053271A">
              <w:rPr>
                <w:sz w:val="20"/>
              </w:rPr>
              <w:t xml:space="preserve"> therapy</w:t>
            </w:r>
            <w:r w:rsidR="00BE2E9E">
              <w:rPr>
                <w:sz w:val="20"/>
              </w:rPr>
              <w:t xml:space="preserve"> alone</w:t>
            </w:r>
          </w:p>
          <w:p w14:paraId="102B9F75" w14:textId="11F7C6A4" w:rsidR="0053271A" w:rsidRPr="0053271A" w:rsidRDefault="0053271A" w:rsidP="00460458">
            <w:pPr>
              <w:rPr>
                <w:sz w:val="20"/>
              </w:rPr>
            </w:pPr>
            <w:r w:rsidRPr="0053271A">
              <w:rPr>
                <w:sz w:val="20"/>
              </w:rPr>
              <w:t xml:space="preserve">Score of 11-25, </w:t>
            </w:r>
            <w:r w:rsidR="00BE2E9E">
              <w:rPr>
                <w:sz w:val="20"/>
              </w:rPr>
              <w:t xml:space="preserve">chemotherapy + endocrine </w:t>
            </w:r>
            <w:r w:rsidRPr="0053271A">
              <w:rPr>
                <w:sz w:val="20"/>
              </w:rPr>
              <w:t>therapy</w:t>
            </w:r>
          </w:p>
          <w:p w14:paraId="749112AF" w14:textId="21BA6676" w:rsidR="0053271A" w:rsidRPr="0053271A" w:rsidRDefault="0053271A" w:rsidP="00BE2E9E">
            <w:pPr>
              <w:rPr>
                <w:sz w:val="20"/>
              </w:rPr>
            </w:pPr>
            <w:r w:rsidRPr="0053271A">
              <w:rPr>
                <w:sz w:val="20"/>
              </w:rPr>
              <w:t xml:space="preserve">Score of ≥26, </w:t>
            </w:r>
            <w:r w:rsidR="00BE2E9E">
              <w:rPr>
                <w:sz w:val="20"/>
              </w:rPr>
              <w:t xml:space="preserve">chemotherapy + endocrine </w:t>
            </w:r>
            <w:r w:rsidRPr="0053271A">
              <w:rPr>
                <w:sz w:val="20"/>
              </w:rPr>
              <w:t>therapy</w:t>
            </w:r>
          </w:p>
        </w:tc>
        <w:tc>
          <w:tcPr>
            <w:tcW w:w="2126" w:type="dxa"/>
          </w:tcPr>
          <w:p w14:paraId="7C86B2D7" w14:textId="77777777" w:rsidR="0053271A" w:rsidRPr="0053271A" w:rsidRDefault="0053271A" w:rsidP="00460458">
            <w:pPr>
              <w:jc w:val="center"/>
              <w:rPr>
                <w:sz w:val="20"/>
              </w:rPr>
            </w:pPr>
            <w:r w:rsidRPr="0053271A">
              <w:rPr>
                <w:sz w:val="20"/>
              </w:rPr>
              <w:t>99.3±0.2</w:t>
            </w:r>
          </w:p>
          <w:p w14:paraId="5687D844" w14:textId="77777777" w:rsidR="0053271A" w:rsidRPr="0053271A" w:rsidRDefault="0053271A" w:rsidP="00460458">
            <w:pPr>
              <w:jc w:val="center"/>
              <w:rPr>
                <w:sz w:val="20"/>
              </w:rPr>
            </w:pPr>
            <w:r w:rsidRPr="0053271A">
              <w:rPr>
                <w:sz w:val="20"/>
              </w:rPr>
              <w:t>98.0±0.3</w:t>
            </w:r>
          </w:p>
          <w:p w14:paraId="348093C7" w14:textId="77777777" w:rsidR="0053271A" w:rsidRPr="0053271A" w:rsidRDefault="0053271A" w:rsidP="00460458">
            <w:pPr>
              <w:jc w:val="center"/>
              <w:rPr>
                <w:sz w:val="20"/>
              </w:rPr>
            </w:pPr>
            <w:r w:rsidRPr="0053271A">
              <w:rPr>
                <w:sz w:val="20"/>
              </w:rPr>
              <w:t>98.2±0.2</w:t>
            </w:r>
          </w:p>
          <w:p w14:paraId="43B2026C" w14:textId="77777777" w:rsidR="0053271A" w:rsidRPr="0053271A" w:rsidRDefault="0053271A" w:rsidP="00460458">
            <w:pPr>
              <w:jc w:val="center"/>
              <w:rPr>
                <w:sz w:val="20"/>
              </w:rPr>
            </w:pPr>
            <w:r w:rsidRPr="0053271A">
              <w:rPr>
                <w:sz w:val="20"/>
              </w:rPr>
              <w:t>93.0±0.8</w:t>
            </w:r>
          </w:p>
        </w:tc>
        <w:tc>
          <w:tcPr>
            <w:tcW w:w="2126" w:type="dxa"/>
          </w:tcPr>
          <w:p w14:paraId="1F13CDDE" w14:textId="77777777" w:rsidR="0053271A" w:rsidRPr="0053271A" w:rsidRDefault="0053271A" w:rsidP="00460458">
            <w:pPr>
              <w:jc w:val="center"/>
              <w:rPr>
                <w:sz w:val="20"/>
              </w:rPr>
            </w:pPr>
            <w:r w:rsidRPr="0053271A">
              <w:rPr>
                <w:sz w:val="20"/>
              </w:rPr>
              <w:t>96.8±0.7</w:t>
            </w:r>
          </w:p>
          <w:p w14:paraId="55CD6EF3" w14:textId="77777777" w:rsidR="0053271A" w:rsidRPr="0053271A" w:rsidRDefault="0053271A" w:rsidP="00460458">
            <w:pPr>
              <w:jc w:val="center"/>
              <w:rPr>
                <w:sz w:val="20"/>
              </w:rPr>
            </w:pPr>
            <w:r w:rsidRPr="0053271A">
              <w:rPr>
                <w:sz w:val="20"/>
              </w:rPr>
              <w:t>94.5±0.5</w:t>
            </w:r>
          </w:p>
          <w:p w14:paraId="45264E0C" w14:textId="77777777" w:rsidR="0053271A" w:rsidRPr="0053271A" w:rsidRDefault="0053271A" w:rsidP="00460458">
            <w:pPr>
              <w:jc w:val="center"/>
              <w:rPr>
                <w:sz w:val="20"/>
              </w:rPr>
            </w:pPr>
            <w:r w:rsidRPr="0053271A">
              <w:rPr>
                <w:sz w:val="20"/>
              </w:rPr>
              <w:t>95.0±0.5</w:t>
            </w:r>
          </w:p>
          <w:p w14:paraId="698D002B" w14:textId="77777777" w:rsidR="0053271A" w:rsidRPr="0053271A" w:rsidRDefault="0053271A" w:rsidP="00460458">
            <w:pPr>
              <w:jc w:val="center"/>
              <w:rPr>
                <w:sz w:val="20"/>
              </w:rPr>
            </w:pPr>
            <w:r w:rsidRPr="0053271A">
              <w:rPr>
                <w:sz w:val="20"/>
              </w:rPr>
              <w:t>86.8±1.7</w:t>
            </w:r>
          </w:p>
        </w:tc>
      </w:tr>
      <w:tr w:rsidR="0053271A" w:rsidRPr="0053271A" w14:paraId="78ECBE42" w14:textId="77777777" w:rsidTr="00460458">
        <w:tc>
          <w:tcPr>
            <w:tcW w:w="4957" w:type="dxa"/>
          </w:tcPr>
          <w:p w14:paraId="4959241F" w14:textId="77777777" w:rsidR="0053271A" w:rsidRPr="0053271A" w:rsidRDefault="0053271A" w:rsidP="00460458">
            <w:pPr>
              <w:rPr>
                <w:sz w:val="20"/>
              </w:rPr>
            </w:pPr>
            <w:r w:rsidRPr="0053271A">
              <w:rPr>
                <w:sz w:val="20"/>
              </w:rPr>
              <w:t>Freedom from recurrence of breast cancer at a distant or local-regional site</w:t>
            </w:r>
          </w:p>
        </w:tc>
        <w:tc>
          <w:tcPr>
            <w:tcW w:w="2126" w:type="dxa"/>
          </w:tcPr>
          <w:p w14:paraId="7BCB9B57" w14:textId="77777777" w:rsidR="0053271A" w:rsidRPr="0053271A" w:rsidRDefault="0053271A" w:rsidP="00460458">
            <w:pPr>
              <w:jc w:val="center"/>
              <w:rPr>
                <w:sz w:val="20"/>
              </w:rPr>
            </w:pPr>
          </w:p>
        </w:tc>
        <w:tc>
          <w:tcPr>
            <w:tcW w:w="2126" w:type="dxa"/>
          </w:tcPr>
          <w:p w14:paraId="4D134FE4" w14:textId="77777777" w:rsidR="0053271A" w:rsidRPr="0053271A" w:rsidRDefault="0053271A" w:rsidP="00460458">
            <w:pPr>
              <w:jc w:val="center"/>
              <w:rPr>
                <w:sz w:val="20"/>
              </w:rPr>
            </w:pPr>
          </w:p>
        </w:tc>
      </w:tr>
      <w:tr w:rsidR="0053271A" w:rsidRPr="0053271A" w14:paraId="75577156" w14:textId="77777777" w:rsidTr="00460458">
        <w:tc>
          <w:tcPr>
            <w:tcW w:w="4957" w:type="dxa"/>
          </w:tcPr>
          <w:p w14:paraId="2D4BE16A" w14:textId="7630A073" w:rsidR="0053271A" w:rsidRPr="0053271A" w:rsidRDefault="0053271A" w:rsidP="00460458">
            <w:pPr>
              <w:rPr>
                <w:sz w:val="20"/>
              </w:rPr>
            </w:pPr>
            <w:r w:rsidRPr="0053271A">
              <w:rPr>
                <w:sz w:val="20"/>
              </w:rPr>
              <w:t xml:space="preserve">Score of ≤10, </w:t>
            </w:r>
            <w:r w:rsidR="00BE2E9E">
              <w:rPr>
                <w:sz w:val="20"/>
              </w:rPr>
              <w:t>endocrine</w:t>
            </w:r>
            <w:r w:rsidRPr="0053271A">
              <w:rPr>
                <w:sz w:val="20"/>
              </w:rPr>
              <w:t xml:space="preserve"> therapy</w:t>
            </w:r>
            <w:r w:rsidR="00BE2E9E">
              <w:rPr>
                <w:sz w:val="20"/>
              </w:rPr>
              <w:t xml:space="preserve"> alone</w:t>
            </w:r>
          </w:p>
          <w:p w14:paraId="531367AA" w14:textId="34687DD1" w:rsidR="0053271A" w:rsidRPr="0053271A" w:rsidRDefault="0053271A" w:rsidP="00460458">
            <w:pPr>
              <w:rPr>
                <w:sz w:val="20"/>
              </w:rPr>
            </w:pPr>
            <w:r w:rsidRPr="0053271A">
              <w:rPr>
                <w:sz w:val="20"/>
              </w:rPr>
              <w:t xml:space="preserve">Score of 11-25, </w:t>
            </w:r>
            <w:r w:rsidR="00BE2E9E">
              <w:rPr>
                <w:sz w:val="20"/>
              </w:rPr>
              <w:t>endocrine</w:t>
            </w:r>
            <w:r w:rsidRPr="0053271A">
              <w:rPr>
                <w:sz w:val="20"/>
              </w:rPr>
              <w:t xml:space="preserve"> therapy</w:t>
            </w:r>
            <w:r w:rsidR="00BE2E9E">
              <w:rPr>
                <w:sz w:val="20"/>
              </w:rPr>
              <w:t xml:space="preserve"> alone</w:t>
            </w:r>
          </w:p>
          <w:p w14:paraId="2A7CBB87" w14:textId="7F81BE7D" w:rsidR="0053271A" w:rsidRPr="0053271A" w:rsidRDefault="0053271A" w:rsidP="00460458">
            <w:pPr>
              <w:rPr>
                <w:sz w:val="20"/>
              </w:rPr>
            </w:pPr>
            <w:r w:rsidRPr="0053271A">
              <w:rPr>
                <w:sz w:val="20"/>
              </w:rPr>
              <w:t xml:space="preserve">Score of 11-25, </w:t>
            </w:r>
            <w:r w:rsidR="00BE2E9E">
              <w:rPr>
                <w:sz w:val="20"/>
              </w:rPr>
              <w:t xml:space="preserve">chemotherapy + endocrine </w:t>
            </w:r>
            <w:r w:rsidRPr="0053271A">
              <w:rPr>
                <w:sz w:val="20"/>
              </w:rPr>
              <w:t>therapy</w:t>
            </w:r>
          </w:p>
          <w:p w14:paraId="0E32EA8F" w14:textId="16F2DD32" w:rsidR="0053271A" w:rsidRPr="0053271A" w:rsidRDefault="0053271A" w:rsidP="00BE2E9E">
            <w:pPr>
              <w:rPr>
                <w:sz w:val="20"/>
              </w:rPr>
            </w:pPr>
            <w:r w:rsidRPr="0053271A">
              <w:rPr>
                <w:sz w:val="20"/>
              </w:rPr>
              <w:t xml:space="preserve">Score of ≥26, </w:t>
            </w:r>
            <w:r w:rsidR="00BE2E9E">
              <w:rPr>
                <w:sz w:val="20"/>
              </w:rPr>
              <w:t xml:space="preserve">chemotherapy + endocrine </w:t>
            </w:r>
            <w:r w:rsidRPr="0053271A">
              <w:rPr>
                <w:sz w:val="20"/>
              </w:rPr>
              <w:t>therapy</w:t>
            </w:r>
          </w:p>
        </w:tc>
        <w:tc>
          <w:tcPr>
            <w:tcW w:w="2126" w:type="dxa"/>
          </w:tcPr>
          <w:p w14:paraId="525D327C" w14:textId="77777777" w:rsidR="0053271A" w:rsidRPr="0053271A" w:rsidRDefault="0053271A" w:rsidP="00460458">
            <w:pPr>
              <w:jc w:val="center"/>
              <w:rPr>
                <w:sz w:val="20"/>
              </w:rPr>
            </w:pPr>
            <w:r w:rsidRPr="0053271A">
              <w:rPr>
                <w:sz w:val="20"/>
              </w:rPr>
              <w:t>98.8±0.3</w:t>
            </w:r>
          </w:p>
          <w:p w14:paraId="5C66A446" w14:textId="77777777" w:rsidR="0053271A" w:rsidRPr="0053271A" w:rsidRDefault="0053271A" w:rsidP="00460458">
            <w:pPr>
              <w:jc w:val="center"/>
              <w:rPr>
                <w:sz w:val="20"/>
              </w:rPr>
            </w:pPr>
            <w:r w:rsidRPr="0053271A">
              <w:rPr>
                <w:sz w:val="20"/>
              </w:rPr>
              <w:t>96.9±0.3</w:t>
            </w:r>
          </w:p>
          <w:p w14:paraId="68B8FA7A" w14:textId="77777777" w:rsidR="0053271A" w:rsidRPr="0053271A" w:rsidRDefault="0053271A" w:rsidP="00460458">
            <w:pPr>
              <w:jc w:val="center"/>
              <w:rPr>
                <w:sz w:val="20"/>
              </w:rPr>
            </w:pPr>
            <w:r w:rsidRPr="0053271A">
              <w:rPr>
                <w:sz w:val="20"/>
              </w:rPr>
              <w:t>97.0±0.3</w:t>
            </w:r>
          </w:p>
          <w:p w14:paraId="1B6E0D7D" w14:textId="77777777" w:rsidR="0053271A" w:rsidRPr="0053271A" w:rsidRDefault="0053271A" w:rsidP="00460458">
            <w:pPr>
              <w:jc w:val="center"/>
              <w:rPr>
                <w:sz w:val="20"/>
              </w:rPr>
            </w:pPr>
            <w:r w:rsidRPr="0053271A">
              <w:rPr>
                <w:sz w:val="20"/>
              </w:rPr>
              <w:t>91.0±0.8</w:t>
            </w:r>
          </w:p>
        </w:tc>
        <w:tc>
          <w:tcPr>
            <w:tcW w:w="2126" w:type="dxa"/>
          </w:tcPr>
          <w:p w14:paraId="68082EDA" w14:textId="77777777" w:rsidR="0053271A" w:rsidRPr="0053271A" w:rsidRDefault="0053271A" w:rsidP="00460458">
            <w:pPr>
              <w:jc w:val="center"/>
              <w:rPr>
                <w:sz w:val="20"/>
              </w:rPr>
            </w:pPr>
            <w:r w:rsidRPr="0053271A">
              <w:rPr>
                <w:sz w:val="20"/>
              </w:rPr>
              <w:t>95.0±0.8</w:t>
            </w:r>
          </w:p>
          <w:p w14:paraId="1CFA551D" w14:textId="77777777" w:rsidR="0053271A" w:rsidRPr="0053271A" w:rsidRDefault="0053271A" w:rsidP="00460458">
            <w:pPr>
              <w:jc w:val="center"/>
              <w:rPr>
                <w:sz w:val="20"/>
              </w:rPr>
            </w:pPr>
            <w:r w:rsidRPr="0053271A">
              <w:rPr>
                <w:sz w:val="20"/>
              </w:rPr>
              <w:t>92.2±0.6</w:t>
            </w:r>
          </w:p>
          <w:p w14:paraId="4A9FECF0" w14:textId="77777777" w:rsidR="0053271A" w:rsidRPr="0053271A" w:rsidRDefault="0053271A" w:rsidP="00460458">
            <w:pPr>
              <w:jc w:val="center"/>
              <w:rPr>
                <w:sz w:val="20"/>
              </w:rPr>
            </w:pPr>
            <w:r w:rsidRPr="0053271A">
              <w:rPr>
                <w:sz w:val="20"/>
              </w:rPr>
              <w:t>92.9±0.6</w:t>
            </w:r>
          </w:p>
          <w:p w14:paraId="74517DE3" w14:textId="77777777" w:rsidR="0053271A" w:rsidRPr="0053271A" w:rsidRDefault="0053271A" w:rsidP="00460458">
            <w:pPr>
              <w:jc w:val="center"/>
              <w:rPr>
                <w:sz w:val="20"/>
              </w:rPr>
            </w:pPr>
            <w:r w:rsidRPr="0053271A">
              <w:rPr>
                <w:sz w:val="20"/>
              </w:rPr>
              <w:t>84.8±1.7</w:t>
            </w:r>
          </w:p>
        </w:tc>
      </w:tr>
      <w:tr w:rsidR="0053271A" w:rsidRPr="0053271A" w14:paraId="5FC44746" w14:textId="77777777" w:rsidTr="00460458">
        <w:tc>
          <w:tcPr>
            <w:tcW w:w="4957" w:type="dxa"/>
          </w:tcPr>
          <w:p w14:paraId="36A3E475" w14:textId="77777777" w:rsidR="0053271A" w:rsidRPr="0053271A" w:rsidRDefault="0053271A" w:rsidP="00460458">
            <w:pPr>
              <w:rPr>
                <w:sz w:val="20"/>
              </w:rPr>
            </w:pPr>
            <w:r w:rsidRPr="0053271A">
              <w:rPr>
                <w:sz w:val="20"/>
              </w:rPr>
              <w:t xml:space="preserve">Overall survival </w:t>
            </w:r>
          </w:p>
        </w:tc>
        <w:tc>
          <w:tcPr>
            <w:tcW w:w="2126" w:type="dxa"/>
          </w:tcPr>
          <w:p w14:paraId="48802BDA" w14:textId="77777777" w:rsidR="0053271A" w:rsidRPr="0053271A" w:rsidRDefault="0053271A" w:rsidP="00460458">
            <w:pPr>
              <w:jc w:val="center"/>
              <w:rPr>
                <w:sz w:val="20"/>
              </w:rPr>
            </w:pPr>
          </w:p>
        </w:tc>
        <w:tc>
          <w:tcPr>
            <w:tcW w:w="2126" w:type="dxa"/>
          </w:tcPr>
          <w:p w14:paraId="781F31BE" w14:textId="77777777" w:rsidR="0053271A" w:rsidRPr="0053271A" w:rsidRDefault="0053271A" w:rsidP="00460458">
            <w:pPr>
              <w:jc w:val="center"/>
              <w:rPr>
                <w:sz w:val="20"/>
              </w:rPr>
            </w:pPr>
          </w:p>
        </w:tc>
      </w:tr>
      <w:tr w:rsidR="0053271A" w:rsidRPr="0053271A" w14:paraId="613D3723" w14:textId="77777777" w:rsidTr="00460458">
        <w:tc>
          <w:tcPr>
            <w:tcW w:w="4957" w:type="dxa"/>
          </w:tcPr>
          <w:p w14:paraId="07EF2F03" w14:textId="24C5DCD0" w:rsidR="0053271A" w:rsidRPr="0053271A" w:rsidRDefault="0053271A" w:rsidP="00460458">
            <w:pPr>
              <w:rPr>
                <w:sz w:val="20"/>
              </w:rPr>
            </w:pPr>
            <w:r w:rsidRPr="0053271A">
              <w:rPr>
                <w:sz w:val="20"/>
              </w:rPr>
              <w:t xml:space="preserve">Score of ≤10, </w:t>
            </w:r>
            <w:r w:rsidR="00BE2E9E">
              <w:rPr>
                <w:sz w:val="20"/>
              </w:rPr>
              <w:t>endocrine</w:t>
            </w:r>
            <w:r w:rsidRPr="0053271A">
              <w:rPr>
                <w:sz w:val="20"/>
              </w:rPr>
              <w:t xml:space="preserve"> therapy</w:t>
            </w:r>
            <w:r w:rsidR="00BE2E9E">
              <w:rPr>
                <w:sz w:val="20"/>
              </w:rPr>
              <w:t xml:space="preserve"> alone</w:t>
            </w:r>
          </w:p>
          <w:p w14:paraId="7DEB2CC0" w14:textId="277D987D" w:rsidR="0053271A" w:rsidRPr="0053271A" w:rsidRDefault="0053271A" w:rsidP="00460458">
            <w:pPr>
              <w:rPr>
                <w:sz w:val="20"/>
              </w:rPr>
            </w:pPr>
            <w:r w:rsidRPr="0053271A">
              <w:rPr>
                <w:sz w:val="20"/>
              </w:rPr>
              <w:t xml:space="preserve">Score of 11-25, </w:t>
            </w:r>
            <w:r w:rsidR="00BE2E9E">
              <w:rPr>
                <w:sz w:val="20"/>
              </w:rPr>
              <w:t>endocrine</w:t>
            </w:r>
            <w:r w:rsidRPr="0053271A">
              <w:rPr>
                <w:sz w:val="20"/>
              </w:rPr>
              <w:t xml:space="preserve"> therapy</w:t>
            </w:r>
            <w:r w:rsidR="00BE2E9E">
              <w:rPr>
                <w:sz w:val="20"/>
              </w:rPr>
              <w:t xml:space="preserve"> alone</w:t>
            </w:r>
          </w:p>
          <w:p w14:paraId="4220B776" w14:textId="559F4C58" w:rsidR="0053271A" w:rsidRPr="0053271A" w:rsidRDefault="0053271A" w:rsidP="00460458">
            <w:pPr>
              <w:rPr>
                <w:sz w:val="20"/>
              </w:rPr>
            </w:pPr>
            <w:r w:rsidRPr="0053271A">
              <w:rPr>
                <w:sz w:val="20"/>
              </w:rPr>
              <w:t xml:space="preserve">Score of 11-25, </w:t>
            </w:r>
            <w:r w:rsidR="00BE2E9E">
              <w:rPr>
                <w:sz w:val="20"/>
              </w:rPr>
              <w:t xml:space="preserve">chemotherapy + endocrine </w:t>
            </w:r>
            <w:r w:rsidRPr="0053271A">
              <w:rPr>
                <w:sz w:val="20"/>
              </w:rPr>
              <w:t>therapy</w:t>
            </w:r>
          </w:p>
          <w:p w14:paraId="7C2B117D" w14:textId="22AD5780" w:rsidR="0053271A" w:rsidRPr="0053271A" w:rsidRDefault="0053271A" w:rsidP="00BE2E9E">
            <w:pPr>
              <w:rPr>
                <w:sz w:val="20"/>
              </w:rPr>
            </w:pPr>
            <w:r w:rsidRPr="0053271A">
              <w:rPr>
                <w:sz w:val="20"/>
              </w:rPr>
              <w:t xml:space="preserve">Score of ≥26, </w:t>
            </w:r>
            <w:r w:rsidR="00BE2E9E">
              <w:rPr>
                <w:sz w:val="20"/>
              </w:rPr>
              <w:t xml:space="preserve">chemotherapy + endocrine </w:t>
            </w:r>
            <w:r w:rsidRPr="0053271A">
              <w:rPr>
                <w:sz w:val="20"/>
              </w:rPr>
              <w:t>therapy</w:t>
            </w:r>
          </w:p>
        </w:tc>
        <w:tc>
          <w:tcPr>
            <w:tcW w:w="2126" w:type="dxa"/>
          </w:tcPr>
          <w:p w14:paraId="1B4AF0A2" w14:textId="77777777" w:rsidR="0053271A" w:rsidRPr="0053271A" w:rsidRDefault="0053271A" w:rsidP="00460458">
            <w:pPr>
              <w:jc w:val="center"/>
              <w:rPr>
                <w:sz w:val="20"/>
              </w:rPr>
            </w:pPr>
            <w:r w:rsidRPr="0053271A">
              <w:rPr>
                <w:sz w:val="20"/>
              </w:rPr>
              <w:t>98.0±0.4</w:t>
            </w:r>
          </w:p>
          <w:p w14:paraId="24FE3305" w14:textId="77777777" w:rsidR="0053271A" w:rsidRPr="0053271A" w:rsidRDefault="0053271A" w:rsidP="00460458">
            <w:pPr>
              <w:jc w:val="center"/>
              <w:rPr>
                <w:sz w:val="20"/>
              </w:rPr>
            </w:pPr>
            <w:r w:rsidRPr="0053271A">
              <w:rPr>
                <w:sz w:val="20"/>
              </w:rPr>
              <w:t>98.0±0.2</w:t>
            </w:r>
          </w:p>
          <w:p w14:paraId="46F81B30" w14:textId="77777777" w:rsidR="0053271A" w:rsidRPr="0053271A" w:rsidRDefault="0053271A" w:rsidP="00460458">
            <w:pPr>
              <w:jc w:val="center"/>
              <w:rPr>
                <w:sz w:val="20"/>
              </w:rPr>
            </w:pPr>
            <w:r w:rsidRPr="0053271A">
              <w:rPr>
                <w:sz w:val="20"/>
              </w:rPr>
              <w:t>98.1±0.2</w:t>
            </w:r>
          </w:p>
          <w:p w14:paraId="3737C825" w14:textId="77777777" w:rsidR="0053271A" w:rsidRPr="0053271A" w:rsidRDefault="0053271A" w:rsidP="00460458">
            <w:pPr>
              <w:jc w:val="center"/>
              <w:rPr>
                <w:sz w:val="20"/>
              </w:rPr>
            </w:pPr>
            <w:r w:rsidRPr="0053271A">
              <w:rPr>
                <w:sz w:val="20"/>
              </w:rPr>
              <w:t>95.9±0.6</w:t>
            </w:r>
          </w:p>
        </w:tc>
        <w:tc>
          <w:tcPr>
            <w:tcW w:w="2126" w:type="dxa"/>
          </w:tcPr>
          <w:p w14:paraId="720606C2" w14:textId="77777777" w:rsidR="0053271A" w:rsidRPr="0053271A" w:rsidRDefault="0053271A" w:rsidP="00460458">
            <w:pPr>
              <w:jc w:val="center"/>
              <w:rPr>
                <w:sz w:val="20"/>
              </w:rPr>
            </w:pPr>
            <w:r w:rsidRPr="0053271A">
              <w:rPr>
                <w:sz w:val="20"/>
              </w:rPr>
              <w:t>93.7±0.8</w:t>
            </w:r>
          </w:p>
          <w:p w14:paraId="6C3E4014" w14:textId="77777777" w:rsidR="0053271A" w:rsidRPr="0053271A" w:rsidRDefault="0053271A" w:rsidP="00460458">
            <w:pPr>
              <w:jc w:val="center"/>
              <w:rPr>
                <w:sz w:val="20"/>
              </w:rPr>
            </w:pPr>
            <w:r w:rsidRPr="0053271A">
              <w:rPr>
                <w:sz w:val="20"/>
              </w:rPr>
              <w:t>93.9±0.5</w:t>
            </w:r>
          </w:p>
          <w:p w14:paraId="2B2D25FE" w14:textId="77777777" w:rsidR="0053271A" w:rsidRPr="0053271A" w:rsidRDefault="0053271A" w:rsidP="00460458">
            <w:pPr>
              <w:jc w:val="center"/>
              <w:rPr>
                <w:sz w:val="20"/>
              </w:rPr>
            </w:pPr>
            <w:r w:rsidRPr="0053271A">
              <w:rPr>
                <w:sz w:val="20"/>
              </w:rPr>
              <w:t>93.8±0.5</w:t>
            </w:r>
          </w:p>
          <w:p w14:paraId="7E175C4F" w14:textId="77777777" w:rsidR="0053271A" w:rsidRPr="0053271A" w:rsidRDefault="0053271A" w:rsidP="00460458">
            <w:pPr>
              <w:jc w:val="center"/>
              <w:rPr>
                <w:sz w:val="20"/>
              </w:rPr>
            </w:pPr>
            <w:r w:rsidRPr="0053271A">
              <w:rPr>
                <w:sz w:val="20"/>
              </w:rPr>
              <w:t>89.3±1.4</w:t>
            </w:r>
          </w:p>
        </w:tc>
      </w:tr>
    </w:tbl>
    <w:p w14:paraId="04791E0C" w14:textId="7B188CE8" w:rsidR="0053271A" w:rsidRDefault="0053271A" w:rsidP="0053271A">
      <w:r>
        <w:rPr>
          <w:rFonts w:ascii="Arial Narrow" w:hAnsi="Arial Narrow"/>
          <w:sz w:val="18"/>
          <w:szCs w:val="18"/>
        </w:rPr>
        <w:t>Source</w:t>
      </w:r>
      <w:r w:rsidR="007C6997">
        <w:rPr>
          <w:rFonts w:ascii="Arial Narrow" w:hAnsi="Arial Narrow"/>
          <w:sz w:val="18"/>
          <w:szCs w:val="18"/>
        </w:rPr>
        <w:t>: Table 7 of the Critique</w:t>
      </w:r>
      <w:r w:rsidR="00DA17F9">
        <w:rPr>
          <w:rFonts w:ascii="Arial Narrow" w:hAnsi="Arial Narrow"/>
          <w:sz w:val="18"/>
          <w:szCs w:val="18"/>
        </w:rPr>
        <w:t>.</w:t>
      </w:r>
    </w:p>
    <w:p w14:paraId="35826E27" w14:textId="1B2D6A0A" w:rsidR="0053271A" w:rsidRDefault="0053271A" w:rsidP="0053271A">
      <w:pPr>
        <w:pStyle w:val="Heading2"/>
      </w:pPr>
      <w:r w:rsidRPr="0063246A">
        <w:t>Geyer</w:t>
      </w:r>
      <w:r>
        <w:t xml:space="preserve"> </w:t>
      </w:r>
      <w:r w:rsidR="00435872">
        <w:t>et al.</w:t>
      </w:r>
      <w:r w:rsidR="0080434D">
        <w:t xml:space="preserve"> (2018)</w:t>
      </w:r>
    </w:p>
    <w:p w14:paraId="044DF336" w14:textId="43B2F3E9" w:rsidR="00C61CB7" w:rsidRPr="00E2362C" w:rsidRDefault="0053271A">
      <w:r>
        <w:t xml:space="preserve">The re-analysis of the Paik </w:t>
      </w:r>
      <w:r w:rsidR="00435872">
        <w:t>et al.</w:t>
      </w:r>
      <w:r w:rsidR="0080434D">
        <w:t xml:space="preserve"> (</w:t>
      </w:r>
      <w:r>
        <w:t>2006</w:t>
      </w:r>
      <w:r w:rsidR="0080434D">
        <w:t>)</w:t>
      </w:r>
      <w:r>
        <w:t xml:space="preserve"> study by Geyer </w:t>
      </w:r>
      <w:r w:rsidR="00435872">
        <w:t>et al.</w:t>
      </w:r>
      <w:r>
        <w:t xml:space="preserve"> </w:t>
      </w:r>
      <w:r w:rsidR="0080434D">
        <w:t>(</w:t>
      </w:r>
      <w:r>
        <w:t>2018</w:t>
      </w:r>
      <w:r w:rsidR="0080434D">
        <w:t>)</w:t>
      </w:r>
      <w:r>
        <w:t xml:space="preserve">, considering only </w:t>
      </w:r>
      <w:r w:rsidRPr="0017313C">
        <w:rPr>
          <w:i/>
        </w:rPr>
        <w:t>HER2</w:t>
      </w:r>
      <w:r>
        <w:t xml:space="preserve">-negative women and applying the ‘old’ and ‘new’ RS thresholds applicable for the definition of low, intermediate and high risk of recurrence is presented in Table 4. The Critique stated that the issues previously identified by MSAC about the 2006 Paik 2006 </w:t>
      </w:r>
      <w:r w:rsidR="00B555EC">
        <w:t>study</w:t>
      </w:r>
      <w:r>
        <w:t xml:space="preserve"> design remain.</w:t>
      </w:r>
      <w:bookmarkStart w:id="9" w:name="_Ref8701871"/>
      <w:bookmarkStart w:id="10" w:name="_Toc8707442"/>
      <w:r w:rsidR="00C61CB7">
        <w:br w:type="page"/>
      </w:r>
    </w:p>
    <w:p w14:paraId="26C12F4A" w14:textId="542E03A0" w:rsidR="0053271A" w:rsidRPr="00B24C63" w:rsidRDefault="0053271A" w:rsidP="00B24C63">
      <w:pPr>
        <w:rPr>
          <w:rFonts w:ascii="Arial Narrow" w:hAnsi="Arial Narrow"/>
          <w:b/>
          <w:sz w:val="20"/>
        </w:rPr>
      </w:pPr>
      <w:r w:rsidRPr="00B24C63">
        <w:rPr>
          <w:rFonts w:ascii="Arial Narrow" w:hAnsi="Arial Narrow"/>
          <w:b/>
          <w:sz w:val="20"/>
        </w:rPr>
        <w:lastRenderedPageBreak/>
        <w:t xml:space="preserve">Table </w:t>
      </w:r>
      <w:bookmarkEnd w:id="9"/>
      <w:r w:rsidRPr="00B24C63">
        <w:rPr>
          <w:rFonts w:ascii="Arial Narrow" w:hAnsi="Arial Narrow"/>
          <w:b/>
          <w:sz w:val="20"/>
        </w:rPr>
        <w:t>4</w:t>
      </w:r>
      <w:r w:rsidRPr="00B24C63">
        <w:rPr>
          <w:rFonts w:ascii="Arial Narrow" w:hAnsi="Arial Narrow"/>
          <w:b/>
          <w:sz w:val="20"/>
        </w:rPr>
        <w:tab/>
        <w:t>HR of adjuvant chemotherapy by RS subgroup, di</w:t>
      </w:r>
      <w:r w:rsidR="0080434D" w:rsidRPr="00B24C63">
        <w:rPr>
          <w:rFonts w:ascii="Arial Narrow" w:hAnsi="Arial Narrow"/>
          <w:b/>
          <w:sz w:val="20"/>
        </w:rPr>
        <w:t>stant recurrence free survival (</w:t>
      </w:r>
      <w:r w:rsidRPr="00B24C63">
        <w:rPr>
          <w:rFonts w:ascii="Arial Narrow" w:hAnsi="Arial Narrow"/>
          <w:b/>
          <w:sz w:val="20"/>
        </w:rPr>
        <w:t xml:space="preserve">Geyer </w:t>
      </w:r>
      <w:r w:rsidR="00435872" w:rsidRPr="00B24C63">
        <w:rPr>
          <w:rFonts w:ascii="Arial Narrow" w:hAnsi="Arial Narrow"/>
          <w:b/>
          <w:sz w:val="20"/>
        </w:rPr>
        <w:t>et al.</w:t>
      </w:r>
      <w:r w:rsidRPr="00B24C63">
        <w:rPr>
          <w:rFonts w:ascii="Arial Narrow" w:hAnsi="Arial Narrow"/>
          <w:b/>
          <w:sz w:val="20"/>
        </w:rPr>
        <w:t xml:space="preserve"> 2018</w:t>
      </w:r>
      <w:bookmarkEnd w:id="10"/>
      <w:r w:rsidR="0080434D" w:rsidRPr="00B24C63">
        <w:rPr>
          <w:rFonts w:ascii="Arial Narrow" w:hAnsi="Arial Narrow"/>
          <w:b/>
          <w:sz w:val="20"/>
        </w:rPr>
        <w:t>)</w:t>
      </w:r>
    </w:p>
    <w:tbl>
      <w:tblPr>
        <w:tblStyle w:val="TableGrid1"/>
        <w:tblW w:w="0" w:type="auto"/>
        <w:tblLook w:val="04A0" w:firstRow="1" w:lastRow="0" w:firstColumn="1" w:lastColumn="0" w:noHBand="0" w:noVBand="1"/>
        <w:tblCaption w:val="HR of adjuvant chemotherapy by RS subgroup, distant recurrence free survival (Geyer et al, 2018)"/>
        <w:tblDescription w:val="HR of adjuvant chemotherapy by RS subgroup, distant recurrence free survival (Geyer et al, 2018)"/>
      </w:tblPr>
      <w:tblGrid>
        <w:gridCol w:w="2691"/>
        <w:gridCol w:w="1527"/>
        <w:gridCol w:w="2612"/>
        <w:gridCol w:w="2122"/>
      </w:tblGrid>
      <w:tr w:rsidR="0053271A" w:rsidRPr="0053271A" w14:paraId="7CA70391" w14:textId="77777777" w:rsidTr="00460458">
        <w:trPr>
          <w:cnfStyle w:val="100000000000" w:firstRow="1" w:lastRow="0" w:firstColumn="0" w:lastColumn="0" w:oddVBand="0" w:evenVBand="0" w:oddHBand="0" w:evenHBand="0" w:firstRowFirstColumn="0" w:firstRowLastColumn="0" w:lastRowFirstColumn="0" w:lastRowLastColumn="0"/>
          <w:trHeight w:val="256"/>
          <w:tblHeader/>
        </w:trPr>
        <w:tc>
          <w:tcPr>
            <w:tcW w:w="2691" w:type="dxa"/>
          </w:tcPr>
          <w:p w14:paraId="5C3FEE5E" w14:textId="77777777" w:rsidR="0053271A" w:rsidRPr="0053271A" w:rsidRDefault="0053271A" w:rsidP="00460458">
            <w:pPr>
              <w:rPr>
                <w:rFonts w:ascii="Arial Narrow" w:hAnsi="Arial Narrow"/>
                <w:b/>
                <w:sz w:val="20"/>
              </w:rPr>
            </w:pPr>
          </w:p>
        </w:tc>
        <w:tc>
          <w:tcPr>
            <w:tcW w:w="1527" w:type="dxa"/>
          </w:tcPr>
          <w:p w14:paraId="1BA866BD" w14:textId="77777777" w:rsidR="0053271A" w:rsidRPr="0053271A" w:rsidRDefault="0053271A" w:rsidP="00460458">
            <w:pPr>
              <w:jc w:val="center"/>
              <w:rPr>
                <w:rFonts w:ascii="Arial Narrow" w:hAnsi="Arial Narrow"/>
                <w:b/>
                <w:sz w:val="20"/>
              </w:rPr>
            </w:pPr>
            <w:r w:rsidRPr="0053271A">
              <w:rPr>
                <w:rFonts w:ascii="Arial Narrow" w:hAnsi="Arial Narrow"/>
                <w:b/>
                <w:sz w:val="20"/>
              </w:rPr>
              <w:t>N</w:t>
            </w:r>
          </w:p>
        </w:tc>
        <w:tc>
          <w:tcPr>
            <w:tcW w:w="2612" w:type="dxa"/>
          </w:tcPr>
          <w:p w14:paraId="267A2B4A" w14:textId="77777777" w:rsidR="0053271A" w:rsidRPr="0053271A" w:rsidRDefault="0053271A" w:rsidP="00460458">
            <w:pPr>
              <w:jc w:val="center"/>
              <w:rPr>
                <w:rFonts w:ascii="Arial Narrow" w:hAnsi="Arial Narrow"/>
                <w:b/>
                <w:sz w:val="20"/>
              </w:rPr>
            </w:pPr>
            <w:r w:rsidRPr="0053271A">
              <w:rPr>
                <w:rFonts w:ascii="Arial Narrow" w:hAnsi="Arial Narrow"/>
                <w:b/>
                <w:sz w:val="20"/>
              </w:rPr>
              <w:t>Effect hazard ratio (95% CI)</w:t>
            </w:r>
          </w:p>
        </w:tc>
        <w:tc>
          <w:tcPr>
            <w:tcW w:w="2122" w:type="dxa"/>
          </w:tcPr>
          <w:p w14:paraId="37DB8C6D" w14:textId="18024D7F" w:rsidR="0053271A" w:rsidRPr="0053271A" w:rsidRDefault="0017313C" w:rsidP="00460458">
            <w:pPr>
              <w:jc w:val="center"/>
              <w:rPr>
                <w:rFonts w:ascii="Arial Narrow" w:hAnsi="Arial Narrow"/>
                <w:b/>
                <w:sz w:val="20"/>
              </w:rPr>
            </w:pPr>
            <w:r>
              <w:rPr>
                <w:rFonts w:ascii="Arial Narrow" w:hAnsi="Arial Narrow"/>
                <w:b/>
                <w:sz w:val="20"/>
              </w:rPr>
              <w:t>P-</w:t>
            </w:r>
            <w:r w:rsidR="0053271A" w:rsidRPr="0053271A">
              <w:rPr>
                <w:rFonts w:ascii="Arial Narrow" w:hAnsi="Arial Narrow"/>
                <w:b/>
                <w:sz w:val="20"/>
              </w:rPr>
              <w:t>value</w:t>
            </w:r>
          </w:p>
        </w:tc>
      </w:tr>
      <w:tr w:rsidR="0053271A" w:rsidRPr="0053271A" w14:paraId="77E2AAB7" w14:textId="77777777" w:rsidTr="00460458">
        <w:trPr>
          <w:trHeight w:val="256"/>
        </w:trPr>
        <w:tc>
          <w:tcPr>
            <w:tcW w:w="2691" w:type="dxa"/>
          </w:tcPr>
          <w:p w14:paraId="2E40C6F1" w14:textId="77777777" w:rsidR="0053271A" w:rsidRPr="0053271A" w:rsidRDefault="0053271A" w:rsidP="00460458">
            <w:pPr>
              <w:rPr>
                <w:sz w:val="20"/>
              </w:rPr>
            </w:pPr>
            <w:r w:rsidRPr="0053271A">
              <w:rPr>
                <w:sz w:val="20"/>
              </w:rPr>
              <w:t xml:space="preserve">Overall (without </w:t>
            </w:r>
            <w:r w:rsidRPr="0017313C">
              <w:rPr>
                <w:i/>
                <w:sz w:val="20"/>
              </w:rPr>
              <w:t>HER2</w:t>
            </w:r>
            <w:r w:rsidRPr="0053271A">
              <w:rPr>
                <w:sz w:val="20"/>
              </w:rPr>
              <w:t>+ patients)</w:t>
            </w:r>
          </w:p>
        </w:tc>
        <w:tc>
          <w:tcPr>
            <w:tcW w:w="1527" w:type="dxa"/>
          </w:tcPr>
          <w:p w14:paraId="061CC95F" w14:textId="77777777" w:rsidR="0053271A" w:rsidRPr="0053271A" w:rsidRDefault="0053271A" w:rsidP="00460458">
            <w:pPr>
              <w:jc w:val="center"/>
              <w:rPr>
                <w:sz w:val="20"/>
              </w:rPr>
            </w:pPr>
            <w:r w:rsidRPr="0053271A">
              <w:rPr>
                <w:sz w:val="20"/>
              </w:rPr>
              <w:t>569</w:t>
            </w:r>
          </w:p>
        </w:tc>
        <w:tc>
          <w:tcPr>
            <w:tcW w:w="2612" w:type="dxa"/>
          </w:tcPr>
          <w:p w14:paraId="1965EF5F" w14:textId="77777777" w:rsidR="0053271A" w:rsidRPr="0053271A" w:rsidRDefault="0053271A" w:rsidP="00460458">
            <w:pPr>
              <w:jc w:val="center"/>
              <w:rPr>
                <w:sz w:val="20"/>
              </w:rPr>
            </w:pPr>
            <w:r w:rsidRPr="0053271A">
              <w:rPr>
                <w:sz w:val="20"/>
              </w:rPr>
              <w:t>0.59 (0.31, 1.04)</w:t>
            </w:r>
          </w:p>
        </w:tc>
        <w:tc>
          <w:tcPr>
            <w:tcW w:w="2122" w:type="dxa"/>
          </w:tcPr>
          <w:p w14:paraId="769CC947" w14:textId="77777777" w:rsidR="0053271A" w:rsidRPr="0053271A" w:rsidRDefault="0053271A" w:rsidP="00460458">
            <w:pPr>
              <w:jc w:val="center"/>
              <w:rPr>
                <w:sz w:val="20"/>
              </w:rPr>
            </w:pPr>
            <w:r w:rsidRPr="0053271A">
              <w:rPr>
                <w:sz w:val="20"/>
              </w:rPr>
              <w:t>Log rank P=0.06</w:t>
            </w:r>
          </w:p>
        </w:tc>
      </w:tr>
      <w:tr w:rsidR="0053271A" w:rsidRPr="0053271A" w14:paraId="7C5DAEDD" w14:textId="77777777" w:rsidTr="00460458">
        <w:trPr>
          <w:trHeight w:val="269"/>
        </w:trPr>
        <w:tc>
          <w:tcPr>
            <w:tcW w:w="2691" w:type="dxa"/>
          </w:tcPr>
          <w:p w14:paraId="4DBC2D7C" w14:textId="77777777" w:rsidR="0053271A" w:rsidRPr="0053271A" w:rsidRDefault="0053271A" w:rsidP="00460458">
            <w:pPr>
              <w:rPr>
                <w:b/>
                <w:sz w:val="20"/>
              </w:rPr>
            </w:pPr>
            <w:r w:rsidRPr="0053271A">
              <w:rPr>
                <w:b/>
                <w:sz w:val="20"/>
              </w:rPr>
              <w:t>Original RS subgroup n=569*</w:t>
            </w:r>
          </w:p>
        </w:tc>
        <w:tc>
          <w:tcPr>
            <w:tcW w:w="1527" w:type="dxa"/>
          </w:tcPr>
          <w:p w14:paraId="4729C364" w14:textId="77777777" w:rsidR="0053271A" w:rsidRPr="0053271A" w:rsidRDefault="0053271A" w:rsidP="00460458">
            <w:pPr>
              <w:jc w:val="center"/>
              <w:rPr>
                <w:sz w:val="20"/>
              </w:rPr>
            </w:pPr>
            <w:r w:rsidRPr="0053271A">
              <w:rPr>
                <w:sz w:val="20"/>
              </w:rPr>
              <w:t>569</w:t>
            </w:r>
          </w:p>
        </w:tc>
        <w:tc>
          <w:tcPr>
            <w:tcW w:w="2612" w:type="dxa"/>
          </w:tcPr>
          <w:p w14:paraId="2839A8E6" w14:textId="77777777" w:rsidR="0053271A" w:rsidRPr="0053271A" w:rsidRDefault="0053271A" w:rsidP="00460458">
            <w:pPr>
              <w:jc w:val="center"/>
              <w:rPr>
                <w:sz w:val="20"/>
              </w:rPr>
            </w:pPr>
          </w:p>
        </w:tc>
        <w:tc>
          <w:tcPr>
            <w:tcW w:w="2122" w:type="dxa"/>
          </w:tcPr>
          <w:p w14:paraId="471143AA" w14:textId="77777777" w:rsidR="0053271A" w:rsidRPr="0053271A" w:rsidRDefault="0053271A" w:rsidP="00460458">
            <w:pPr>
              <w:jc w:val="center"/>
              <w:rPr>
                <w:sz w:val="20"/>
              </w:rPr>
            </w:pPr>
          </w:p>
        </w:tc>
      </w:tr>
      <w:tr w:rsidR="0053271A" w:rsidRPr="0053271A" w14:paraId="38703656" w14:textId="77777777" w:rsidTr="00460458">
        <w:trPr>
          <w:trHeight w:val="256"/>
        </w:trPr>
        <w:tc>
          <w:tcPr>
            <w:tcW w:w="2691" w:type="dxa"/>
          </w:tcPr>
          <w:p w14:paraId="310A59E2" w14:textId="1F1A67A6" w:rsidR="0053271A" w:rsidRPr="0053271A" w:rsidRDefault="00B72A62" w:rsidP="00460458">
            <w:pPr>
              <w:rPr>
                <w:sz w:val="20"/>
              </w:rPr>
            </w:pPr>
            <w:r>
              <w:rPr>
                <w:sz w:val="20"/>
              </w:rPr>
              <w:t>Chemotherapy in RS &lt;18</w:t>
            </w:r>
          </w:p>
        </w:tc>
        <w:tc>
          <w:tcPr>
            <w:tcW w:w="1527" w:type="dxa"/>
          </w:tcPr>
          <w:p w14:paraId="752707D8" w14:textId="77777777" w:rsidR="0053271A" w:rsidRPr="0053271A" w:rsidRDefault="0053271A" w:rsidP="00460458">
            <w:pPr>
              <w:jc w:val="center"/>
              <w:rPr>
                <w:sz w:val="20"/>
              </w:rPr>
            </w:pPr>
            <w:r w:rsidRPr="0053271A">
              <w:rPr>
                <w:sz w:val="20"/>
              </w:rPr>
              <w:t>347</w:t>
            </w:r>
          </w:p>
        </w:tc>
        <w:tc>
          <w:tcPr>
            <w:tcW w:w="2612" w:type="dxa"/>
          </w:tcPr>
          <w:p w14:paraId="7564D404" w14:textId="77777777" w:rsidR="0053271A" w:rsidRPr="0053271A" w:rsidRDefault="0053271A" w:rsidP="00460458">
            <w:pPr>
              <w:jc w:val="center"/>
              <w:rPr>
                <w:sz w:val="20"/>
              </w:rPr>
            </w:pPr>
            <w:r w:rsidRPr="0053271A">
              <w:rPr>
                <w:sz w:val="20"/>
              </w:rPr>
              <w:t>1.19 (0.40, 3.49)</w:t>
            </w:r>
          </w:p>
        </w:tc>
        <w:tc>
          <w:tcPr>
            <w:tcW w:w="2122" w:type="dxa"/>
          </w:tcPr>
          <w:p w14:paraId="382682AF" w14:textId="77777777" w:rsidR="0053271A" w:rsidRPr="0053271A" w:rsidRDefault="0053271A" w:rsidP="00460458">
            <w:pPr>
              <w:jc w:val="center"/>
              <w:rPr>
                <w:sz w:val="20"/>
              </w:rPr>
            </w:pPr>
          </w:p>
        </w:tc>
      </w:tr>
      <w:tr w:rsidR="0053271A" w:rsidRPr="0053271A" w14:paraId="0330F908" w14:textId="77777777" w:rsidTr="00460458">
        <w:trPr>
          <w:trHeight w:val="256"/>
        </w:trPr>
        <w:tc>
          <w:tcPr>
            <w:tcW w:w="2691" w:type="dxa"/>
          </w:tcPr>
          <w:p w14:paraId="43E15503" w14:textId="383BD702" w:rsidR="0053271A" w:rsidRPr="0053271A" w:rsidRDefault="0053271A" w:rsidP="00375B02">
            <w:pPr>
              <w:rPr>
                <w:sz w:val="20"/>
              </w:rPr>
            </w:pPr>
            <w:r w:rsidRPr="0053271A">
              <w:rPr>
                <w:sz w:val="20"/>
              </w:rPr>
              <w:t>Chemotherapy in RS 18-30</w:t>
            </w:r>
          </w:p>
        </w:tc>
        <w:tc>
          <w:tcPr>
            <w:tcW w:w="1527" w:type="dxa"/>
          </w:tcPr>
          <w:p w14:paraId="368730C7" w14:textId="77777777" w:rsidR="0053271A" w:rsidRPr="0053271A" w:rsidRDefault="0053271A" w:rsidP="00460458">
            <w:pPr>
              <w:jc w:val="center"/>
              <w:rPr>
                <w:sz w:val="20"/>
              </w:rPr>
            </w:pPr>
            <w:r w:rsidRPr="0053271A">
              <w:rPr>
                <w:sz w:val="20"/>
              </w:rPr>
              <w:t>125</w:t>
            </w:r>
          </w:p>
        </w:tc>
        <w:tc>
          <w:tcPr>
            <w:tcW w:w="2612" w:type="dxa"/>
          </w:tcPr>
          <w:p w14:paraId="7B671037" w14:textId="77777777" w:rsidR="0053271A" w:rsidRPr="0053271A" w:rsidRDefault="0053271A" w:rsidP="00460458">
            <w:pPr>
              <w:jc w:val="center"/>
              <w:rPr>
                <w:sz w:val="20"/>
              </w:rPr>
            </w:pPr>
            <w:r w:rsidRPr="0053271A">
              <w:rPr>
                <w:sz w:val="20"/>
              </w:rPr>
              <w:t>0.64 (0.23, 1.75)</w:t>
            </w:r>
          </w:p>
        </w:tc>
        <w:tc>
          <w:tcPr>
            <w:tcW w:w="2122" w:type="dxa"/>
          </w:tcPr>
          <w:p w14:paraId="3BE60A96" w14:textId="77777777" w:rsidR="0053271A" w:rsidRPr="0053271A" w:rsidRDefault="0053271A" w:rsidP="00460458">
            <w:pPr>
              <w:jc w:val="center"/>
              <w:rPr>
                <w:sz w:val="20"/>
              </w:rPr>
            </w:pPr>
          </w:p>
        </w:tc>
      </w:tr>
      <w:tr w:rsidR="0053271A" w:rsidRPr="0053271A" w14:paraId="2867D172" w14:textId="77777777" w:rsidTr="00460458">
        <w:trPr>
          <w:trHeight w:val="256"/>
        </w:trPr>
        <w:tc>
          <w:tcPr>
            <w:tcW w:w="2691" w:type="dxa"/>
          </w:tcPr>
          <w:p w14:paraId="08CE67E6" w14:textId="77777777" w:rsidR="0053271A" w:rsidRPr="0053271A" w:rsidRDefault="0053271A" w:rsidP="00460458">
            <w:pPr>
              <w:rPr>
                <w:sz w:val="20"/>
              </w:rPr>
            </w:pPr>
            <w:r w:rsidRPr="0053271A">
              <w:rPr>
                <w:sz w:val="20"/>
              </w:rPr>
              <w:t>Chemotherapy in RS ≥31</w:t>
            </w:r>
          </w:p>
        </w:tc>
        <w:tc>
          <w:tcPr>
            <w:tcW w:w="1527" w:type="dxa"/>
          </w:tcPr>
          <w:p w14:paraId="71749AAD" w14:textId="77777777" w:rsidR="0053271A" w:rsidRPr="0053271A" w:rsidRDefault="0053271A" w:rsidP="00460458">
            <w:pPr>
              <w:jc w:val="center"/>
              <w:rPr>
                <w:sz w:val="20"/>
              </w:rPr>
            </w:pPr>
            <w:r w:rsidRPr="0053271A">
              <w:rPr>
                <w:sz w:val="20"/>
              </w:rPr>
              <w:t>97</w:t>
            </w:r>
          </w:p>
        </w:tc>
        <w:tc>
          <w:tcPr>
            <w:tcW w:w="2612" w:type="dxa"/>
          </w:tcPr>
          <w:p w14:paraId="215ED18E" w14:textId="77777777" w:rsidR="0053271A" w:rsidRPr="0053271A" w:rsidRDefault="0053271A" w:rsidP="00460458">
            <w:pPr>
              <w:jc w:val="center"/>
              <w:rPr>
                <w:sz w:val="20"/>
              </w:rPr>
            </w:pPr>
            <w:r w:rsidRPr="0053271A">
              <w:rPr>
                <w:sz w:val="20"/>
              </w:rPr>
              <w:t>0.18 (0.07</w:t>
            </w:r>
            <w:r w:rsidRPr="0053271A">
              <w:rPr>
                <w:i/>
                <w:sz w:val="20"/>
              </w:rPr>
              <w:t>, 0.46);</w:t>
            </w:r>
          </w:p>
        </w:tc>
        <w:tc>
          <w:tcPr>
            <w:tcW w:w="2122" w:type="dxa"/>
          </w:tcPr>
          <w:p w14:paraId="4D9A02BC" w14:textId="77777777" w:rsidR="0053271A" w:rsidRPr="0053271A" w:rsidRDefault="0053271A" w:rsidP="00460458">
            <w:pPr>
              <w:jc w:val="center"/>
              <w:rPr>
                <w:sz w:val="20"/>
              </w:rPr>
            </w:pPr>
          </w:p>
        </w:tc>
      </w:tr>
      <w:tr w:rsidR="0053271A" w:rsidRPr="0053271A" w14:paraId="4592E8CB" w14:textId="77777777" w:rsidTr="00460458">
        <w:trPr>
          <w:trHeight w:val="256"/>
        </w:trPr>
        <w:tc>
          <w:tcPr>
            <w:tcW w:w="2691" w:type="dxa"/>
          </w:tcPr>
          <w:p w14:paraId="31DAD283" w14:textId="77777777" w:rsidR="0053271A" w:rsidRPr="0053271A" w:rsidRDefault="0053271A" w:rsidP="00460458">
            <w:pPr>
              <w:rPr>
                <w:sz w:val="20"/>
              </w:rPr>
            </w:pPr>
            <w:r w:rsidRPr="0053271A">
              <w:rPr>
                <w:sz w:val="20"/>
              </w:rPr>
              <w:t>Likelihood ratio test on interaction</w:t>
            </w:r>
          </w:p>
        </w:tc>
        <w:tc>
          <w:tcPr>
            <w:tcW w:w="1527" w:type="dxa"/>
          </w:tcPr>
          <w:p w14:paraId="32CACC19" w14:textId="77777777" w:rsidR="0053271A" w:rsidRPr="0053271A" w:rsidRDefault="0053271A" w:rsidP="00460458">
            <w:pPr>
              <w:jc w:val="center"/>
              <w:rPr>
                <w:sz w:val="20"/>
              </w:rPr>
            </w:pPr>
          </w:p>
        </w:tc>
        <w:tc>
          <w:tcPr>
            <w:tcW w:w="2612" w:type="dxa"/>
          </w:tcPr>
          <w:p w14:paraId="2904B320" w14:textId="77777777" w:rsidR="0053271A" w:rsidRPr="0053271A" w:rsidRDefault="0053271A" w:rsidP="00460458">
            <w:pPr>
              <w:jc w:val="center"/>
              <w:rPr>
                <w:sz w:val="20"/>
              </w:rPr>
            </w:pPr>
          </w:p>
        </w:tc>
        <w:tc>
          <w:tcPr>
            <w:tcW w:w="2122" w:type="dxa"/>
          </w:tcPr>
          <w:p w14:paraId="34589683" w14:textId="77777777" w:rsidR="0053271A" w:rsidRPr="0053271A" w:rsidRDefault="0053271A" w:rsidP="00460458">
            <w:pPr>
              <w:jc w:val="center"/>
              <w:rPr>
                <w:sz w:val="20"/>
              </w:rPr>
            </w:pPr>
            <w:r w:rsidRPr="0053271A">
              <w:rPr>
                <w:sz w:val="20"/>
              </w:rPr>
              <w:t>0.023</w:t>
            </w:r>
          </w:p>
        </w:tc>
      </w:tr>
      <w:tr w:rsidR="0053271A" w:rsidRPr="0053271A" w14:paraId="63AFA29C" w14:textId="77777777" w:rsidTr="00460458">
        <w:trPr>
          <w:trHeight w:val="269"/>
        </w:trPr>
        <w:tc>
          <w:tcPr>
            <w:tcW w:w="2691" w:type="dxa"/>
          </w:tcPr>
          <w:p w14:paraId="2FF99F58" w14:textId="77777777" w:rsidR="0053271A" w:rsidRPr="0053271A" w:rsidRDefault="0053271A" w:rsidP="00460458">
            <w:pPr>
              <w:rPr>
                <w:b/>
                <w:sz w:val="20"/>
              </w:rPr>
            </w:pPr>
            <w:r w:rsidRPr="0053271A">
              <w:rPr>
                <w:b/>
                <w:sz w:val="20"/>
              </w:rPr>
              <w:t>TAILORx RS groupings</w:t>
            </w:r>
          </w:p>
        </w:tc>
        <w:tc>
          <w:tcPr>
            <w:tcW w:w="1527" w:type="dxa"/>
          </w:tcPr>
          <w:p w14:paraId="1662C684" w14:textId="77777777" w:rsidR="0053271A" w:rsidRPr="0053271A" w:rsidRDefault="0053271A" w:rsidP="00460458">
            <w:pPr>
              <w:jc w:val="center"/>
              <w:rPr>
                <w:sz w:val="20"/>
              </w:rPr>
            </w:pPr>
            <w:r w:rsidRPr="0053271A">
              <w:rPr>
                <w:sz w:val="20"/>
              </w:rPr>
              <w:t>569</w:t>
            </w:r>
          </w:p>
        </w:tc>
        <w:tc>
          <w:tcPr>
            <w:tcW w:w="2612" w:type="dxa"/>
          </w:tcPr>
          <w:p w14:paraId="66667DBB" w14:textId="77777777" w:rsidR="0053271A" w:rsidRPr="0053271A" w:rsidRDefault="0053271A" w:rsidP="00460458">
            <w:pPr>
              <w:jc w:val="center"/>
              <w:rPr>
                <w:sz w:val="20"/>
              </w:rPr>
            </w:pPr>
          </w:p>
        </w:tc>
        <w:tc>
          <w:tcPr>
            <w:tcW w:w="2122" w:type="dxa"/>
          </w:tcPr>
          <w:p w14:paraId="04F26F97" w14:textId="77777777" w:rsidR="0053271A" w:rsidRPr="0053271A" w:rsidRDefault="0053271A" w:rsidP="00460458">
            <w:pPr>
              <w:jc w:val="center"/>
              <w:rPr>
                <w:sz w:val="20"/>
              </w:rPr>
            </w:pPr>
          </w:p>
        </w:tc>
      </w:tr>
      <w:tr w:rsidR="0053271A" w:rsidRPr="0053271A" w14:paraId="2577D398" w14:textId="77777777" w:rsidTr="00460458">
        <w:trPr>
          <w:trHeight w:val="256"/>
        </w:trPr>
        <w:tc>
          <w:tcPr>
            <w:tcW w:w="2691" w:type="dxa"/>
          </w:tcPr>
          <w:p w14:paraId="63FE21B2" w14:textId="77777777" w:rsidR="0053271A" w:rsidRPr="0053271A" w:rsidRDefault="0053271A" w:rsidP="00460458">
            <w:pPr>
              <w:rPr>
                <w:sz w:val="20"/>
              </w:rPr>
            </w:pPr>
            <w:r w:rsidRPr="0053271A">
              <w:rPr>
                <w:sz w:val="20"/>
              </w:rPr>
              <w:t>Chemotherapy in RS ≤10</w:t>
            </w:r>
          </w:p>
        </w:tc>
        <w:tc>
          <w:tcPr>
            <w:tcW w:w="1527" w:type="dxa"/>
          </w:tcPr>
          <w:p w14:paraId="275FA081" w14:textId="77777777" w:rsidR="0053271A" w:rsidRPr="0053271A" w:rsidRDefault="0053271A" w:rsidP="00460458">
            <w:pPr>
              <w:jc w:val="center"/>
              <w:rPr>
                <w:sz w:val="20"/>
              </w:rPr>
            </w:pPr>
            <w:r w:rsidRPr="0053271A">
              <w:rPr>
                <w:sz w:val="20"/>
              </w:rPr>
              <w:t>176</w:t>
            </w:r>
          </w:p>
        </w:tc>
        <w:tc>
          <w:tcPr>
            <w:tcW w:w="2612" w:type="dxa"/>
          </w:tcPr>
          <w:p w14:paraId="1A9D2B7D" w14:textId="77777777" w:rsidR="0053271A" w:rsidRPr="0053271A" w:rsidRDefault="0053271A" w:rsidP="00460458">
            <w:pPr>
              <w:jc w:val="center"/>
              <w:rPr>
                <w:sz w:val="20"/>
              </w:rPr>
            </w:pPr>
            <w:r w:rsidRPr="0053271A">
              <w:rPr>
                <w:sz w:val="20"/>
              </w:rPr>
              <w:t>1.19 (0.41, 3.51)</w:t>
            </w:r>
          </w:p>
        </w:tc>
        <w:tc>
          <w:tcPr>
            <w:tcW w:w="2122" w:type="dxa"/>
          </w:tcPr>
          <w:p w14:paraId="1A9A1DD9" w14:textId="77777777" w:rsidR="0053271A" w:rsidRPr="0053271A" w:rsidRDefault="0053271A" w:rsidP="00460458">
            <w:pPr>
              <w:jc w:val="center"/>
              <w:rPr>
                <w:sz w:val="20"/>
              </w:rPr>
            </w:pPr>
          </w:p>
        </w:tc>
      </w:tr>
      <w:tr w:rsidR="0053271A" w:rsidRPr="0053271A" w14:paraId="7512F07F" w14:textId="77777777" w:rsidTr="00460458">
        <w:trPr>
          <w:trHeight w:val="256"/>
        </w:trPr>
        <w:tc>
          <w:tcPr>
            <w:tcW w:w="2691" w:type="dxa"/>
          </w:tcPr>
          <w:p w14:paraId="00FD25D2" w14:textId="77777777" w:rsidR="0053271A" w:rsidRPr="0053271A" w:rsidRDefault="0053271A" w:rsidP="00460458">
            <w:pPr>
              <w:rPr>
                <w:sz w:val="20"/>
              </w:rPr>
            </w:pPr>
            <w:r w:rsidRPr="0053271A">
              <w:rPr>
                <w:sz w:val="20"/>
              </w:rPr>
              <w:t>Chemotherapy in RS 11-25</w:t>
            </w:r>
          </w:p>
        </w:tc>
        <w:tc>
          <w:tcPr>
            <w:tcW w:w="1527" w:type="dxa"/>
          </w:tcPr>
          <w:p w14:paraId="0AA0943A" w14:textId="77777777" w:rsidR="0053271A" w:rsidRPr="0053271A" w:rsidRDefault="0053271A" w:rsidP="00460458">
            <w:pPr>
              <w:jc w:val="center"/>
              <w:rPr>
                <w:sz w:val="20"/>
              </w:rPr>
            </w:pPr>
            <w:r w:rsidRPr="0053271A">
              <w:rPr>
                <w:sz w:val="20"/>
              </w:rPr>
              <w:t>271</w:t>
            </w:r>
          </w:p>
        </w:tc>
        <w:tc>
          <w:tcPr>
            <w:tcW w:w="2612" w:type="dxa"/>
          </w:tcPr>
          <w:p w14:paraId="4D632B9E" w14:textId="77777777" w:rsidR="0053271A" w:rsidRPr="0053271A" w:rsidRDefault="0053271A" w:rsidP="00460458">
            <w:pPr>
              <w:jc w:val="center"/>
              <w:rPr>
                <w:sz w:val="20"/>
              </w:rPr>
            </w:pPr>
            <w:r w:rsidRPr="0053271A">
              <w:rPr>
                <w:sz w:val="20"/>
              </w:rPr>
              <w:t>0.61 (0.26, 1.35)</w:t>
            </w:r>
          </w:p>
        </w:tc>
        <w:tc>
          <w:tcPr>
            <w:tcW w:w="2122" w:type="dxa"/>
          </w:tcPr>
          <w:p w14:paraId="708D3ABA" w14:textId="77777777" w:rsidR="0053271A" w:rsidRPr="0053271A" w:rsidRDefault="0053271A" w:rsidP="00460458">
            <w:pPr>
              <w:jc w:val="center"/>
              <w:rPr>
                <w:sz w:val="20"/>
              </w:rPr>
            </w:pPr>
          </w:p>
        </w:tc>
      </w:tr>
      <w:tr w:rsidR="0053271A" w:rsidRPr="0053271A" w14:paraId="741128BA" w14:textId="77777777" w:rsidTr="00460458">
        <w:trPr>
          <w:trHeight w:val="256"/>
        </w:trPr>
        <w:tc>
          <w:tcPr>
            <w:tcW w:w="2691" w:type="dxa"/>
          </w:tcPr>
          <w:p w14:paraId="72A12CF2" w14:textId="77777777" w:rsidR="0053271A" w:rsidRPr="0053271A" w:rsidRDefault="0053271A" w:rsidP="00460458">
            <w:pPr>
              <w:rPr>
                <w:sz w:val="20"/>
              </w:rPr>
            </w:pPr>
            <w:r w:rsidRPr="0053271A">
              <w:rPr>
                <w:sz w:val="20"/>
              </w:rPr>
              <w:t>Chemotherapy in RS &gt;25</w:t>
            </w:r>
          </w:p>
        </w:tc>
        <w:tc>
          <w:tcPr>
            <w:tcW w:w="1527" w:type="dxa"/>
          </w:tcPr>
          <w:p w14:paraId="2C464703" w14:textId="77777777" w:rsidR="0053271A" w:rsidRPr="0053271A" w:rsidRDefault="0053271A" w:rsidP="00460458">
            <w:pPr>
              <w:jc w:val="center"/>
              <w:rPr>
                <w:sz w:val="20"/>
              </w:rPr>
            </w:pPr>
            <w:r w:rsidRPr="0053271A">
              <w:rPr>
                <w:sz w:val="20"/>
              </w:rPr>
              <w:t>122</w:t>
            </w:r>
          </w:p>
        </w:tc>
        <w:tc>
          <w:tcPr>
            <w:tcW w:w="2612" w:type="dxa"/>
          </w:tcPr>
          <w:p w14:paraId="1F1F04C0" w14:textId="77777777" w:rsidR="0053271A" w:rsidRPr="0053271A" w:rsidRDefault="0053271A" w:rsidP="00460458">
            <w:pPr>
              <w:jc w:val="center"/>
              <w:rPr>
                <w:sz w:val="20"/>
              </w:rPr>
            </w:pPr>
            <w:r w:rsidRPr="0053271A">
              <w:rPr>
                <w:sz w:val="20"/>
              </w:rPr>
              <w:t>0.27 (0.12, 0.62)</w:t>
            </w:r>
          </w:p>
        </w:tc>
        <w:tc>
          <w:tcPr>
            <w:tcW w:w="2122" w:type="dxa"/>
          </w:tcPr>
          <w:p w14:paraId="0405F83F" w14:textId="77777777" w:rsidR="0053271A" w:rsidRPr="0053271A" w:rsidRDefault="0053271A" w:rsidP="00460458">
            <w:pPr>
              <w:jc w:val="center"/>
              <w:rPr>
                <w:sz w:val="20"/>
              </w:rPr>
            </w:pPr>
          </w:p>
        </w:tc>
      </w:tr>
      <w:tr w:rsidR="0053271A" w:rsidRPr="0053271A" w14:paraId="0532A99E" w14:textId="77777777" w:rsidTr="00460458">
        <w:trPr>
          <w:trHeight w:val="256"/>
        </w:trPr>
        <w:tc>
          <w:tcPr>
            <w:tcW w:w="2691" w:type="dxa"/>
          </w:tcPr>
          <w:p w14:paraId="51546F57" w14:textId="77777777" w:rsidR="0053271A" w:rsidRPr="0053271A" w:rsidRDefault="0053271A" w:rsidP="00460458">
            <w:pPr>
              <w:rPr>
                <w:sz w:val="20"/>
              </w:rPr>
            </w:pPr>
            <w:r w:rsidRPr="0053271A">
              <w:rPr>
                <w:sz w:val="20"/>
              </w:rPr>
              <w:t>Likelihood ratio test on interaction</w:t>
            </w:r>
          </w:p>
        </w:tc>
        <w:tc>
          <w:tcPr>
            <w:tcW w:w="1527" w:type="dxa"/>
          </w:tcPr>
          <w:p w14:paraId="2F403B8A" w14:textId="77777777" w:rsidR="0053271A" w:rsidRPr="0053271A" w:rsidRDefault="0053271A" w:rsidP="00460458">
            <w:pPr>
              <w:jc w:val="center"/>
              <w:rPr>
                <w:sz w:val="20"/>
              </w:rPr>
            </w:pPr>
          </w:p>
        </w:tc>
        <w:tc>
          <w:tcPr>
            <w:tcW w:w="2612" w:type="dxa"/>
          </w:tcPr>
          <w:p w14:paraId="4E38FC4B" w14:textId="77777777" w:rsidR="0053271A" w:rsidRPr="0053271A" w:rsidRDefault="0053271A" w:rsidP="00460458">
            <w:pPr>
              <w:jc w:val="center"/>
              <w:rPr>
                <w:sz w:val="20"/>
              </w:rPr>
            </w:pPr>
          </w:p>
        </w:tc>
        <w:tc>
          <w:tcPr>
            <w:tcW w:w="2122" w:type="dxa"/>
          </w:tcPr>
          <w:p w14:paraId="7B3396F2" w14:textId="77777777" w:rsidR="0053271A" w:rsidRPr="0053271A" w:rsidRDefault="0053271A" w:rsidP="00460458">
            <w:pPr>
              <w:jc w:val="center"/>
              <w:rPr>
                <w:sz w:val="20"/>
              </w:rPr>
            </w:pPr>
            <w:r w:rsidRPr="0053271A">
              <w:rPr>
                <w:sz w:val="20"/>
              </w:rPr>
              <w:t>0.014</w:t>
            </w:r>
          </w:p>
        </w:tc>
      </w:tr>
    </w:tbl>
    <w:p w14:paraId="03A1D4DD" w14:textId="0FA3F580" w:rsidR="007C6997" w:rsidRDefault="0053271A" w:rsidP="00F715D1">
      <w:pPr>
        <w:tabs>
          <w:tab w:val="left" w:pos="720"/>
          <w:tab w:val="left" w:pos="1140"/>
        </w:tabs>
        <w:spacing w:after="240"/>
        <w:rPr>
          <w:rFonts w:ascii="Arial Narrow" w:hAnsi="Arial Narrow"/>
          <w:sz w:val="18"/>
          <w:szCs w:val="18"/>
        </w:rPr>
      </w:pPr>
      <w:r>
        <w:rPr>
          <w:rFonts w:ascii="Arial Narrow" w:hAnsi="Arial Narrow"/>
          <w:sz w:val="18"/>
          <w:szCs w:val="18"/>
        </w:rPr>
        <w:t xml:space="preserve">Source: Tables 2 &amp; 3 Geyer </w:t>
      </w:r>
      <w:r w:rsidR="00435872">
        <w:rPr>
          <w:rFonts w:ascii="Arial Narrow" w:hAnsi="Arial Narrow"/>
          <w:sz w:val="18"/>
          <w:szCs w:val="18"/>
        </w:rPr>
        <w:t>et al.</w:t>
      </w:r>
      <w:r>
        <w:rPr>
          <w:rFonts w:ascii="Arial Narrow" w:hAnsi="Arial Narrow"/>
          <w:sz w:val="18"/>
          <w:szCs w:val="18"/>
        </w:rPr>
        <w:t xml:space="preserve"> 2018, Table 42 of the resubmission. Cox proportional Hazards Regression Model adjusted for patient age (&gt;50 years vs ≤50 years), clinical tumour size (&gt;2.0 vs ≤2.0</w:t>
      </w:r>
      <w:r w:rsidR="00B72A62">
        <w:rPr>
          <w:rFonts w:ascii="Arial Narrow" w:hAnsi="Arial Narrow"/>
          <w:sz w:val="18"/>
          <w:szCs w:val="18"/>
        </w:rPr>
        <w:t xml:space="preserve"> </w:t>
      </w:r>
      <w:r>
        <w:rPr>
          <w:rFonts w:ascii="Arial Narrow" w:hAnsi="Arial Narrow"/>
          <w:sz w:val="18"/>
          <w:szCs w:val="18"/>
        </w:rPr>
        <w:t>cm), ER by ligand blinding assay (≥100 vs &lt;100 fmol/mg), PR by ligand blinding assay (≥100 vs &lt;100 fmol/mg), and tumour grade (well differentiated, moderately differentiated and poorly differentiated</w:t>
      </w:r>
      <w:r w:rsidR="00DA17F9">
        <w:rPr>
          <w:rFonts w:ascii="Arial Narrow" w:hAnsi="Arial Narrow"/>
          <w:sz w:val="18"/>
          <w:szCs w:val="18"/>
        </w:rPr>
        <w:t>.</w:t>
      </w:r>
    </w:p>
    <w:p w14:paraId="726FDA2E" w14:textId="38748178" w:rsidR="007C6997" w:rsidRPr="007C6997" w:rsidRDefault="00F37B9C" w:rsidP="007C6997">
      <w:pPr>
        <w:tabs>
          <w:tab w:val="left" w:pos="720"/>
          <w:tab w:val="left" w:pos="1140"/>
        </w:tabs>
        <w:spacing w:after="240"/>
        <w:rPr>
          <w:b/>
          <w:szCs w:val="24"/>
        </w:rPr>
      </w:pPr>
      <w:r w:rsidRPr="00F37B9C">
        <w:rPr>
          <w:b/>
          <w:szCs w:val="24"/>
        </w:rPr>
        <w:t xml:space="preserve">Clinical </w:t>
      </w:r>
      <w:r w:rsidR="00E87685" w:rsidRPr="00F37B9C">
        <w:rPr>
          <w:b/>
          <w:szCs w:val="24"/>
        </w:rPr>
        <w:t>c</w:t>
      </w:r>
      <w:r w:rsidRPr="00F37B9C">
        <w:rPr>
          <w:b/>
          <w:szCs w:val="24"/>
        </w:rPr>
        <w:t>laim</w:t>
      </w:r>
    </w:p>
    <w:p w14:paraId="481203E2" w14:textId="3C7327AF" w:rsidR="007B489F" w:rsidRPr="007B489F" w:rsidRDefault="007B489F" w:rsidP="001913F7">
      <w:pPr>
        <w:spacing w:after="120"/>
      </w:pPr>
      <w:r>
        <w:t xml:space="preserve">The Critique summarised the </w:t>
      </w:r>
      <w:r w:rsidR="009D4CBB">
        <w:t xml:space="preserve">clinical claims in the </w:t>
      </w:r>
      <w:r>
        <w:t>resubmission:</w:t>
      </w:r>
    </w:p>
    <w:p w14:paraId="762BC19A" w14:textId="4A4013F7" w:rsidR="007C6997" w:rsidRPr="001913F7" w:rsidRDefault="007C6997" w:rsidP="001913F7">
      <w:pPr>
        <w:pStyle w:val="Bullet"/>
        <w:numPr>
          <w:ilvl w:val="0"/>
          <w:numId w:val="3"/>
        </w:numPr>
        <w:spacing w:after="120" w:line="240" w:lineRule="auto"/>
        <w:ind w:left="714" w:hanging="357"/>
        <w:rPr>
          <w:rFonts w:ascii="Times New Roman" w:hAnsi="Times New Roman" w:cs="Times New Roman"/>
          <w:sz w:val="24"/>
          <w:szCs w:val="24"/>
        </w:rPr>
      </w:pPr>
      <w:r w:rsidRPr="001913F7">
        <w:rPr>
          <w:rFonts w:ascii="Times New Roman" w:hAnsi="Times New Roman" w:cs="Times New Roman"/>
          <w:sz w:val="24"/>
          <w:szCs w:val="24"/>
        </w:rPr>
        <w:t>A non-inferiority claim, for patients who the Oncotype</w:t>
      </w:r>
      <w:r w:rsidR="00A52F8F" w:rsidRPr="001913F7">
        <w:rPr>
          <w:rFonts w:ascii="Times New Roman" w:hAnsi="Times New Roman" w:cs="Times New Roman"/>
          <w:sz w:val="24"/>
          <w:szCs w:val="24"/>
        </w:rPr>
        <w:t> </w:t>
      </w:r>
      <w:r w:rsidRPr="001913F7">
        <w:rPr>
          <w:rFonts w:ascii="Times New Roman" w:hAnsi="Times New Roman" w:cs="Times New Roman"/>
          <w:sz w:val="24"/>
          <w:szCs w:val="24"/>
        </w:rPr>
        <w:t xml:space="preserve">DX test categorises into the intermediate recurrence group score, that </w:t>
      </w:r>
      <w:r w:rsidR="0012326F" w:rsidRPr="001913F7">
        <w:rPr>
          <w:rFonts w:ascii="Times New Roman" w:hAnsi="Times New Roman" w:cs="Times New Roman"/>
          <w:sz w:val="24"/>
          <w:szCs w:val="24"/>
        </w:rPr>
        <w:t>endocrine</w:t>
      </w:r>
      <w:r w:rsidRPr="001913F7">
        <w:rPr>
          <w:rFonts w:ascii="Times New Roman" w:hAnsi="Times New Roman" w:cs="Times New Roman"/>
          <w:sz w:val="24"/>
          <w:szCs w:val="24"/>
        </w:rPr>
        <w:t xml:space="preserve"> therapy alone is no worse for the risk of distant recurrence free survival compared to </w:t>
      </w:r>
      <w:r w:rsidR="0012326F" w:rsidRPr="001913F7">
        <w:rPr>
          <w:rFonts w:ascii="Times New Roman" w:hAnsi="Times New Roman" w:cs="Times New Roman"/>
          <w:sz w:val="24"/>
          <w:szCs w:val="24"/>
        </w:rPr>
        <w:t>endocrine</w:t>
      </w:r>
      <w:r w:rsidR="00E87685" w:rsidRPr="001913F7">
        <w:rPr>
          <w:rFonts w:ascii="Times New Roman" w:hAnsi="Times New Roman" w:cs="Times New Roman"/>
          <w:sz w:val="24"/>
          <w:szCs w:val="24"/>
        </w:rPr>
        <w:t xml:space="preserve"> therapy plus chemotherapy.</w:t>
      </w:r>
    </w:p>
    <w:p w14:paraId="51A46EB5" w14:textId="1CC43452" w:rsidR="00A42656" w:rsidRPr="00E2362C" w:rsidRDefault="007C6997" w:rsidP="00E2362C">
      <w:pPr>
        <w:pStyle w:val="Bullet"/>
        <w:numPr>
          <w:ilvl w:val="0"/>
          <w:numId w:val="3"/>
        </w:numPr>
        <w:spacing w:after="240" w:line="240" w:lineRule="auto"/>
        <w:ind w:left="714" w:hanging="357"/>
        <w:rPr>
          <w:rFonts w:ascii="Times New Roman" w:hAnsi="Times New Roman" w:cs="Times New Roman"/>
          <w:sz w:val="24"/>
          <w:szCs w:val="24"/>
        </w:rPr>
      </w:pPr>
      <w:r w:rsidRPr="001913F7">
        <w:rPr>
          <w:rFonts w:ascii="Times New Roman" w:hAnsi="Times New Roman" w:cs="Times New Roman"/>
          <w:sz w:val="24"/>
          <w:szCs w:val="24"/>
        </w:rPr>
        <w:t>A superiority claim, for patients who the Oncotype</w:t>
      </w:r>
      <w:r w:rsidR="00A52F8F" w:rsidRPr="001913F7">
        <w:rPr>
          <w:rFonts w:ascii="Times New Roman" w:hAnsi="Times New Roman" w:cs="Times New Roman"/>
          <w:sz w:val="24"/>
          <w:szCs w:val="24"/>
        </w:rPr>
        <w:t> </w:t>
      </w:r>
      <w:r w:rsidRPr="001913F7">
        <w:rPr>
          <w:rFonts w:ascii="Times New Roman" w:hAnsi="Times New Roman" w:cs="Times New Roman"/>
          <w:sz w:val="24"/>
          <w:szCs w:val="24"/>
        </w:rPr>
        <w:t xml:space="preserve">DX test categorises into the high recurrence group score, but usual care had determined treatment with </w:t>
      </w:r>
      <w:r w:rsidR="0012326F" w:rsidRPr="001913F7">
        <w:rPr>
          <w:rFonts w:ascii="Times New Roman" w:hAnsi="Times New Roman" w:cs="Times New Roman"/>
          <w:sz w:val="24"/>
          <w:szCs w:val="24"/>
        </w:rPr>
        <w:t>endocrine</w:t>
      </w:r>
      <w:r w:rsidRPr="001913F7">
        <w:rPr>
          <w:rFonts w:ascii="Times New Roman" w:hAnsi="Times New Roman" w:cs="Times New Roman"/>
          <w:sz w:val="24"/>
          <w:szCs w:val="24"/>
        </w:rPr>
        <w:t xml:space="preserve"> therapy as sufficient, that the addition of chemotherapy would improve their disease free survival, risk of distant recurrence and overall survival</w:t>
      </w:r>
      <w:r w:rsidR="00E87685" w:rsidRPr="001913F7">
        <w:rPr>
          <w:rFonts w:ascii="Times New Roman" w:hAnsi="Times New Roman" w:cs="Times New Roman"/>
          <w:sz w:val="24"/>
          <w:szCs w:val="24"/>
        </w:rPr>
        <w:t>.</w:t>
      </w:r>
    </w:p>
    <w:p w14:paraId="1C47AB53" w14:textId="5AF306BD" w:rsidR="00C61CB7" w:rsidRDefault="007C6997">
      <w:r>
        <w:t xml:space="preserve">The non-inferiority claim </w:t>
      </w:r>
      <w:r w:rsidR="009D4CBB">
        <w:t>wa</w:t>
      </w:r>
      <w:r>
        <w:t>s based on the results from TAILORx</w:t>
      </w:r>
      <w:r w:rsidR="009D4CBB">
        <w:t>,</w:t>
      </w:r>
      <w:r>
        <w:t xml:space="preserve"> and the superiority claim </w:t>
      </w:r>
      <w:r w:rsidR="009D4CBB">
        <w:t>wa</w:t>
      </w:r>
      <w:r>
        <w:t>s based on retrospective predictiv</w:t>
      </w:r>
      <w:r w:rsidR="0080434D">
        <w:t>e data from the NSABP</w:t>
      </w:r>
      <w:r w:rsidR="004419A7">
        <w:t> </w:t>
      </w:r>
      <w:r w:rsidR="00740A88">
        <w:t>B</w:t>
      </w:r>
      <w:r w:rsidR="0080434D">
        <w:t>-20 study (</w:t>
      </w:r>
      <w:r>
        <w:t xml:space="preserve">Paik </w:t>
      </w:r>
      <w:r w:rsidR="00435872">
        <w:t>et al</w:t>
      </w:r>
      <w:r>
        <w:t xml:space="preserve">. 2006; Geyer </w:t>
      </w:r>
      <w:r w:rsidR="00435872">
        <w:t>et al.</w:t>
      </w:r>
      <w:r w:rsidR="0080434D">
        <w:t xml:space="preserve"> 2018)</w:t>
      </w:r>
      <w:r w:rsidR="00E87685">
        <w:t>.</w:t>
      </w:r>
      <w:r w:rsidR="00C61CB7">
        <w:br w:type="page"/>
      </w:r>
    </w:p>
    <w:p w14:paraId="0D2578C6" w14:textId="77777777" w:rsidR="00BC1364" w:rsidRDefault="00BC1364" w:rsidP="00F715D1">
      <w:pPr>
        <w:pStyle w:val="Heading1"/>
      </w:pPr>
      <w:r w:rsidRPr="00F715D1">
        <w:lastRenderedPageBreak/>
        <w:t>Economic evaluation</w:t>
      </w:r>
    </w:p>
    <w:p w14:paraId="49085228" w14:textId="1335BBC7" w:rsidR="007C6997" w:rsidRDefault="007C6997" w:rsidP="00E2362C">
      <w:pPr>
        <w:spacing w:after="240"/>
      </w:pPr>
      <w:r>
        <w:t>Table 5 summarises the economic evaluation.</w:t>
      </w:r>
    </w:p>
    <w:p w14:paraId="5F44B3C1" w14:textId="58C13724" w:rsidR="007C6997" w:rsidRPr="00B24C63" w:rsidRDefault="007C6997" w:rsidP="00B24C63">
      <w:pPr>
        <w:rPr>
          <w:rFonts w:ascii="Arial Narrow" w:hAnsi="Arial Narrow"/>
          <w:b/>
          <w:sz w:val="20"/>
        </w:rPr>
      </w:pPr>
      <w:bookmarkStart w:id="11" w:name="_Ref379483368"/>
      <w:bookmarkStart w:id="12" w:name="_Ref394419656"/>
      <w:bookmarkStart w:id="13" w:name="_Toc169287"/>
      <w:bookmarkStart w:id="14" w:name="_Toc441441"/>
      <w:r w:rsidRPr="00B24C63">
        <w:rPr>
          <w:rFonts w:ascii="Arial Narrow" w:hAnsi="Arial Narrow"/>
          <w:b/>
          <w:sz w:val="20"/>
        </w:rPr>
        <w:t xml:space="preserve">Table </w:t>
      </w:r>
      <w:bookmarkEnd w:id="11"/>
      <w:r w:rsidRPr="00B24C63">
        <w:rPr>
          <w:rFonts w:ascii="Arial Narrow" w:hAnsi="Arial Narrow"/>
          <w:b/>
          <w:sz w:val="20"/>
        </w:rPr>
        <w:t>5</w:t>
      </w:r>
      <w:r w:rsidRPr="00B24C63">
        <w:rPr>
          <w:rFonts w:ascii="Arial Narrow" w:hAnsi="Arial Narrow"/>
          <w:b/>
          <w:sz w:val="20"/>
        </w:rPr>
        <w:tab/>
        <w:t>Summary of the economic evaluation</w:t>
      </w:r>
      <w:bookmarkEnd w:id="12"/>
      <w:bookmarkEnd w:id="13"/>
      <w:bookmarkEnd w:id="14"/>
    </w:p>
    <w:tbl>
      <w:tblPr>
        <w:tblStyle w:val="TableGrid1"/>
        <w:tblW w:w="0" w:type="auto"/>
        <w:tblLook w:val="01E0" w:firstRow="1" w:lastRow="1" w:firstColumn="1" w:lastColumn="1" w:noHBand="0" w:noVBand="0"/>
        <w:tblDescription w:val="Summary of the economic evaluation key characteristics"/>
      </w:tblPr>
      <w:tblGrid>
        <w:gridCol w:w="2975"/>
        <w:gridCol w:w="6041"/>
      </w:tblGrid>
      <w:tr w:rsidR="007C6997" w:rsidRPr="00990576" w14:paraId="16D44E80" w14:textId="77777777" w:rsidTr="00B24C63">
        <w:trPr>
          <w:cnfStyle w:val="100000000000" w:firstRow="1" w:lastRow="0" w:firstColumn="0" w:lastColumn="0" w:oddVBand="0" w:evenVBand="0" w:oddHBand="0" w:evenHBand="0" w:firstRowFirstColumn="0" w:firstRowLastColumn="0" w:lastRowFirstColumn="0" w:lastRowLastColumn="0"/>
          <w:trHeight w:val="20"/>
          <w:tblHeader/>
        </w:trPr>
        <w:tc>
          <w:tcPr>
            <w:tcW w:w="2977" w:type="dxa"/>
          </w:tcPr>
          <w:p w14:paraId="69B0CA2E" w14:textId="77777777" w:rsidR="007C6997" w:rsidRPr="00990576" w:rsidRDefault="007C6997" w:rsidP="00460458">
            <w:pPr>
              <w:pStyle w:val="Tabletext1"/>
              <w:rPr>
                <w:b/>
              </w:rPr>
            </w:pPr>
            <w:r w:rsidRPr="00990576">
              <w:rPr>
                <w:b/>
              </w:rPr>
              <w:t>Perspective</w:t>
            </w:r>
          </w:p>
        </w:tc>
        <w:tc>
          <w:tcPr>
            <w:tcW w:w="6044" w:type="dxa"/>
          </w:tcPr>
          <w:p w14:paraId="3E492319" w14:textId="77777777" w:rsidR="007C6997" w:rsidRPr="00990576" w:rsidRDefault="007C6997" w:rsidP="00460458">
            <w:pPr>
              <w:pStyle w:val="Tabletext1"/>
            </w:pPr>
            <w:r w:rsidRPr="00990576">
              <w:t>Australian health care system</w:t>
            </w:r>
          </w:p>
        </w:tc>
      </w:tr>
      <w:tr w:rsidR="007C6997" w:rsidRPr="00990576" w14:paraId="4561865C" w14:textId="77777777" w:rsidTr="00B24C63">
        <w:trPr>
          <w:trHeight w:val="20"/>
        </w:trPr>
        <w:tc>
          <w:tcPr>
            <w:tcW w:w="2977" w:type="dxa"/>
          </w:tcPr>
          <w:p w14:paraId="69D444DC" w14:textId="77777777" w:rsidR="007C6997" w:rsidRPr="00990576" w:rsidRDefault="007C6997" w:rsidP="00460458">
            <w:pPr>
              <w:pStyle w:val="Tabletext1"/>
              <w:rPr>
                <w:b/>
              </w:rPr>
            </w:pPr>
            <w:r w:rsidRPr="00990576">
              <w:rPr>
                <w:b/>
              </w:rPr>
              <w:t>Comparator</w:t>
            </w:r>
          </w:p>
        </w:tc>
        <w:tc>
          <w:tcPr>
            <w:tcW w:w="6044" w:type="dxa"/>
          </w:tcPr>
          <w:p w14:paraId="0F62AD40" w14:textId="77777777" w:rsidR="007C6997" w:rsidRPr="00990576" w:rsidRDefault="007C6997" w:rsidP="00460458">
            <w:pPr>
              <w:pStyle w:val="Tabletext1"/>
            </w:pPr>
            <w:r w:rsidRPr="00990576">
              <w:t>Usual care, as defined by the MINDACT protocol used in TAILORx.</w:t>
            </w:r>
          </w:p>
          <w:p w14:paraId="579D375B" w14:textId="77777777" w:rsidR="007C6997" w:rsidRPr="00990576" w:rsidRDefault="007C6997" w:rsidP="00460458">
            <w:pPr>
              <w:pStyle w:val="Tabletext1"/>
            </w:pPr>
            <w:r w:rsidRPr="00990576">
              <w:t xml:space="preserve">Specifically, patients with low clinical risk </w:t>
            </w:r>
            <w:r>
              <w:t xml:space="preserve">do not receive </w:t>
            </w:r>
            <w:r w:rsidRPr="00990576">
              <w:t>adjuvant CT, patients with high c</w:t>
            </w:r>
            <w:r>
              <w:t xml:space="preserve">linical </w:t>
            </w:r>
            <w:r w:rsidRPr="00990576">
              <w:t xml:space="preserve">risk </w:t>
            </w:r>
            <w:r>
              <w:t xml:space="preserve">do receive </w:t>
            </w:r>
            <w:r w:rsidRPr="00990576">
              <w:t>adju</w:t>
            </w:r>
            <w:r>
              <w:t>vant CT</w:t>
            </w:r>
            <w:r w:rsidRPr="00990576">
              <w:t xml:space="preserve"> </w:t>
            </w:r>
          </w:p>
        </w:tc>
      </w:tr>
      <w:tr w:rsidR="007C6997" w:rsidRPr="00990576" w14:paraId="6DDABA39" w14:textId="77777777" w:rsidTr="00B24C63">
        <w:trPr>
          <w:trHeight w:val="20"/>
        </w:trPr>
        <w:tc>
          <w:tcPr>
            <w:tcW w:w="2977" w:type="dxa"/>
          </w:tcPr>
          <w:p w14:paraId="496C4B44" w14:textId="77777777" w:rsidR="007C6997" w:rsidRPr="00990576" w:rsidRDefault="007C6997" w:rsidP="00460458">
            <w:pPr>
              <w:pStyle w:val="Tabletext1"/>
              <w:rPr>
                <w:b/>
              </w:rPr>
            </w:pPr>
            <w:r w:rsidRPr="00990576">
              <w:rPr>
                <w:b/>
              </w:rPr>
              <w:t>Type of economic evaluation</w:t>
            </w:r>
          </w:p>
        </w:tc>
        <w:tc>
          <w:tcPr>
            <w:tcW w:w="6044" w:type="dxa"/>
          </w:tcPr>
          <w:p w14:paraId="5A90535B" w14:textId="77777777" w:rsidR="007C6997" w:rsidRPr="00990576" w:rsidRDefault="007C6997" w:rsidP="00460458">
            <w:pPr>
              <w:pStyle w:val="Tabletext1"/>
            </w:pPr>
            <w:r w:rsidRPr="00990576">
              <w:t>Cost-utility analysis</w:t>
            </w:r>
          </w:p>
        </w:tc>
      </w:tr>
      <w:tr w:rsidR="007C6997" w:rsidRPr="00990576" w14:paraId="7EC33B4D" w14:textId="77777777" w:rsidTr="00B24C63">
        <w:trPr>
          <w:trHeight w:val="20"/>
        </w:trPr>
        <w:tc>
          <w:tcPr>
            <w:tcW w:w="2977" w:type="dxa"/>
          </w:tcPr>
          <w:p w14:paraId="7B2719AF" w14:textId="77777777" w:rsidR="007C6997" w:rsidRPr="00990576" w:rsidRDefault="007C6997" w:rsidP="00460458">
            <w:pPr>
              <w:pStyle w:val="Tabletext1"/>
              <w:rPr>
                <w:b/>
              </w:rPr>
            </w:pPr>
            <w:r w:rsidRPr="00990576">
              <w:rPr>
                <w:b/>
              </w:rPr>
              <w:t>Sources of evidence</w:t>
            </w:r>
          </w:p>
        </w:tc>
        <w:tc>
          <w:tcPr>
            <w:tcW w:w="6044" w:type="dxa"/>
          </w:tcPr>
          <w:p w14:paraId="26114DE1" w14:textId="61C6B426" w:rsidR="007C6997" w:rsidRPr="00990576" w:rsidRDefault="007C6997" w:rsidP="00460458">
            <w:pPr>
              <w:pStyle w:val="Tabletext1"/>
            </w:pPr>
            <w:r w:rsidRPr="00990576">
              <w:t xml:space="preserve">TAILORx trial to determine allocation of CT in the usual care and </w:t>
            </w:r>
            <w:r>
              <w:t>Oncotype</w:t>
            </w:r>
            <w:r w:rsidR="00A52F8F">
              <w:t> </w:t>
            </w:r>
            <w:r>
              <w:t>DX</w:t>
            </w:r>
            <w:r w:rsidRPr="00990576">
              <w:t xml:space="preserve"> arms of the model</w:t>
            </w:r>
          </w:p>
          <w:p w14:paraId="00E57B99" w14:textId="65E358E2" w:rsidR="007C6997" w:rsidRPr="00990576" w:rsidRDefault="007C6997" w:rsidP="004419A7">
            <w:pPr>
              <w:pStyle w:val="Tabletext1"/>
            </w:pPr>
            <w:r w:rsidRPr="0046080F">
              <w:rPr>
                <w:lang w:val="fr-FR"/>
              </w:rPr>
              <w:t>NSABP</w:t>
            </w:r>
            <w:r w:rsidR="004419A7" w:rsidRPr="0046080F">
              <w:rPr>
                <w:lang w:val="fr-FR"/>
              </w:rPr>
              <w:t> </w:t>
            </w:r>
            <w:r w:rsidR="00740A88" w:rsidRPr="0046080F">
              <w:rPr>
                <w:lang w:val="fr-FR"/>
              </w:rPr>
              <w:t xml:space="preserve">B-20 </w:t>
            </w:r>
            <w:r w:rsidRPr="0046080F">
              <w:rPr>
                <w:lang w:val="fr-FR"/>
              </w:rPr>
              <w:t xml:space="preserve">Geyer </w:t>
            </w:r>
            <w:r w:rsidR="00435872" w:rsidRPr="0046080F">
              <w:rPr>
                <w:lang w:val="fr-FR"/>
              </w:rPr>
              <w:t>et al.</w:t>
            </w:r>
            <w:r w:rsidRPr="0046080F">
              <w:rPr>
                <w:lang w:val="fr-FR"/>
              </w:rPr>
              <w:t xml:space="preserve"> </w:t>
            </w:r>
            <w:r w:rsidRPr="00990576">
              <w:t xml:space="preserve">(2018) </w:t>
            </w:r>
            <w:r w:rsidR="00740A88">
              <w:t>re</w:t>
            </w:r>
            <w:r w:rsidR="004419A7">
              <w:t>-</w:t>
            </w:r>
            <w:r w:rsidR="00740A88">
              <w:t xml:space="preserve">analysis </w:t>
            </w:r>
            <w:r w:rsidRPr="00990576">
              <w:t>to determine benefit of CT in patients who otherwise would not have received it</w:t>
            </w:r>
          </w:p>
        </w:tc>
      </w:tr>
      <w:tr w:rsidR="007C6997" w:rsidRPr="00990576" w14:paraId="071147AF" w14:textId="77777777" w:rsidTr="00B24C63">
        <w:trPr>
          <w:trHeight w:val="20"/>
        </w:trPr>
        <w:tc>
          <w:tcPr>
            <w:tcW w:w="2977" w:type="dxa"/>
            <w:hideMark/>
          </w:tcPr>
          <w:p w14:paraId="22C6E4F3" w14:textId="77777777" w:rsidR="007C6997" w:rsidRPr="00183E4D" w:rsidRDefault="007C6997" w:rsidP="00460458">
            <w:pPr>
              <w:pStyle w:val="Tabletext1"/>
              <w:rPr>
                <w:b/>
              </w:rPr>
            </w:pPr>
            <w:r w:rsidRPr="00183E4D">
              <w:rPr>
                <w:b/>
              </w:rPr>
              <w:t>Time horizon</w:t>
            </w:r>
          </w:p>
        </w:tc>
        <w:tc>
          <w:tcPr>
            <w:tcW w:w="6044" w:type="dxa"/>
            <w:hideMark/>
          </w:tcPr>
          <w:p w14:paraId="4349F38D" w14:textId="77777777" w:rsidR="007C6997" w:rsidRPr="00990576" w:rsidRDefault="007C6997" w:rsidP="00460458">
            <w:pPr>
              <w:pStyle w:val="Tabletext1"/>
            </w:pPr>
            <w:r>
              <w:t>Lifetime</w:t>
            </w:r>
          </w:p>
        </w:tc>
      </w:tr>
      <w:tr w:rsidR="007C6997" w:rsidRPr="00183E4D" w14:paraId="1FAB851F" w14:textId="77777777" w:rsidTr="00B24C63">
        <w:trPr>
          <w:trHeight w:val="20"/>
        </w:trPr>
        <w:tc>
          <w:tcPr>
            <w:tcW w:w="2977" w:type="dxa"/>
            <w:hideMark/>
          </w:tcPr>
          <w:p w14:paraId="3CF7C7C9" w14:textId="77777777" w:rsidR="007C6997" w:rsidRPr="00183E4D" w:rsidRDefault="007C6997" w:rsidP="00460458">
            <w:pPr>
              <w:pStyle w:val="Tabletext1"/>
              <w:rPr>
                <w:b/>
              </w:rPr>
            </w:pPr>
            <w:r w:rsidRPr="00183E4D">
              <w:rPr>
                <w:b/>
              </w:rPr>
              <w:t>Outcomes</w:t>
            </w:r>
          </w:p>
        </w:tc>
        <w:tc>
          <w:tcPr>
            <w:tcW w:w="6044" w:type="dxa"/>
          </w:tcPr>
          <w:p w14:paraId="08B8413D" w14:textId="77777777" w:rsidR="007C6997" w:rsidRPr="00183E4D" w:rsidRDefault="007C6997" w:rsidP="00460458">
            <w:pPr>
              <w:pStyle w:val="Tabletext1"/>
            </w:pPr>
            <w:r>
              <w:t>Life years gained, QALYs</w:t>
            </w:r>
          </w:p>
        </w:tc>
      </w:tr>
      <w:tr w:rsidR="007C6997" w:rsidRPr="00183E4D" w14:paraId="0393C765" w14:textId="77777777" w:rsidTr="00B24C63">
        <w:trPr>
          <w:trHeight w:val="20"/>
        </w:trPr>
        <w:tc>
          <w:tcPr>
            <w:tcW w:w="2977" w:type="dxa"/>
            <w:hideMark/>
          </w:tcPr>
          <w:p w14:paraId="121EC670" w14:textId="77777777" w:rsidR="007C6997" w:rsidRPr="00183E4D" w:rsidRDefault="007C6997" w:rsidP="00460458">
            <w:pPr>
              <w:pStyle w:val="Tabletext1"/>
              <w:rPr>
                <w:b/>
              </w:rPr>
            </w:pPr>
            <w:r w:rsidRPr="00183E4D">
              <w:rPr>
                <w:b/>
              </w:rPr>
              <w:t>Methods used to generate results</w:t>
            </w:r>
          </w:p>
        </w:tc>
        <w:tc>
          <w:tcPr>
            <w:tcW w:w="6044" w:type="dxa"/>
          </w:tcPr>
          <w:p w14:paraId="41AF77CD" w14:textId="77777777" w:rsidR="007C6997" w:rsidRPr="00183E4D" w:rsidRDefault="007C6997" w:rsidP="00460458">
            <w:pPr>
              <w:pStyle w:val="Tabletext1"/>
            </w:pPr>
            <w:r>
              <w:t>Markov cohort analysis</w:t>
            </w:r>
          </w:p>
        </w:tc>
      </w:tr>
      <w:tr w:rsidR="007C6997" w:rsidRPr="00392699" w14:paraId="12E1A840" w14:textId="77777777" w:rsidTr="00B24C63">
        <w:trPr>
          <w:trHeight w:val="20"/>
        </w:trPr>
        <w:tc>
          <w:tcPr>
            <w:tcW w:w="2977" w:type="dxa"/>
          </w:tcPr>
          <w:p w14:paraId="575531F3" w14:textId="77777777" w:rsidR="007C6997" w:rsidRPr="00183E4D" w:rsidRDefault="007C6997" w:rsidP="00460458">
            <w:pPr>
              <w:pStyle w:val="Tabletext1"/>
              <w:rPr>
                <w:b/>
              </w:rPr>
            </w:pPr>
            <w:r w:rsidRPr="00183E4D">
              <w:rPr>
                <w:b/>
              </w:rPr>
              <w:t>Health states</w:t>
            </w:r>
          </w:p>
        </w:tc>
        <w:tc>
          <w:tcPr>
            <w:tcW w:w="6044" w:type="dxa"/>
          </w:tcPr>
          <w:p w14:paraId="7A6A2352" w14:textId="77777777" w:rsidR="007C6997" w:rsidRDefault="007C6997" w:rsidP="00460458">
            <w:pPr>
              <w:pStyle w:val="Tabletext1"/>
            </w:pPr>
            <w:r w:rsidRPr="00392699">
              <w:t>Free of disease recurrence</w:t>
            </w:r>
          </w:p>
          <w:p w14:paraId="54D9FE25" w14:textId="2564F33D" w:rsidR="007C6997" w:rsidRPr="0009542D" w:rsidRDefault="007C6997" w:rsidP="00375B02">
            <w:pPr>
              <w:pStyle w:val="Tabletext1"/>
              <w:keepNext/>
              <w:keepLines/>
              <w:numPr>
                <w:ilvl w:val="0"/>
                <w:numId w:val="9"/>
              </w:numPr>
              <w:ind w:left="455"/>
              <w:rPr>
                <w:vertAlign w:val="superscript"/>
              </w:rPr>
            </w:pPr>
            <w:r w:rsidRPr="00392699">
              <w:t xml:space="preserve">stratified by </w:t>
            </w:r>
            <w:r>
              <w:t>underlying Oncotype</w:t>
            </w:r>
            <w:r w:rsidR="00A52F8F">
              <w:t> </w:t>
            </w:r>
            <w:r>
              <w:t>DX</w:t>
            </w:r>
            <w:r w:rsidR="00375B02">
              <w:t> </w:t>
            </w:r>
            <w:r>
              <w:t>RS</w:t>
            </w:r>
            <w:r w:rsidRPr="00392699">
              <w:t xml:space="preserve"> categor</w:t>
            </w:r>
            <w:r>
              <w:t>y</w:t>
            </w:r>
            <w:r w:rsidRPr="00392699">
              <w:t xml:space="preserve"> and allocation to CT</w:t>
            </w:r>
          </w:p>
          <w:p w14:paraId="49F7A6EF" w14:textId="77777777" w:rsidR="007C6997" w:rsidRPr="00392699" w:rsidRDefault="007C6997" w:rsidP="00460458">
            <w:pPr>
              <w:pStyle w:val="Tabletext1"/>
            </w:pPr>
            <w:r w:rsidRPr="00392699">
              <w:t>Disease recurrence</w:t>
            </w:r>
          </w:p>
          <w:p w14:paraId="3CCC0254" w14:textId="77777777" w:rsidR="007C6997" w:rsidRPr="00392699" w:rsidRDefault="007C6997" w:rsidP="00460458">
            <w:pPr>
              <w:pStyle w:val="Tabletext1"/>
            </w:pPr>
            <w:r w:rsidRPr="00392699">
              <w:t>Breast cancer death</w:t>
            </w:r>
          </w:p>
          <w:p w14:paraId="798232BE" w14:textId="77777777" w:rsidR="007C6997" w:rsidRPr="00392699" w:rsidRDefault="007C6997" w:rsidP="00460458">
            <w:pPr>
              <w:pStyle w:val="Tabletext1"/>
            </w:pPr>
            <w:r w:rsidRPr="00392699">
              <w:t>Other death</w:t>
            </w:r>
          </w:p>
        </w:tc>
      </w:tr>
      <w:tr w:rsidR="007C6997" w:rsidRPr="00392699" w14:paraId="766E8D3F" w14:textId="77777777" w:rsidTr="00B24C63">
        <w:trPr>
          <w:trHeight w:val="20"/>
        </w:trPr>
        <w:tc>
          <w:tcPr>
            <w:tcW w:w="2977" w:type="dxa"/>
            <w:hideMark/>
          </w:tcPr>
          <w:p w14:paraId="76005139" w14:textId="77777777" w:rsidR="007C6997" w:rsidRPr="00183E4D" w:rsidRDefault="007C6997" w:rsidP="00460458">
            <w:pPr>
              <w:pStyle w:val="Tabletext1"/>
              <w:rPr>
                <w:b/>
              </w:rPr>
            </w:pPr>
            <w:r w:rsidRPr="00183E4D">
              <w:rPr>
                <w:b/>
              </w:rPr>
              <w:t>Cycle length</w:t>
            </w:r>
          </w:p>
        </w:tc>
        <w:tc>
          <w:tcPr>
            <w:tcW w:w="6044" w:type="dxa"/>
          </w:tcPr>
          <w:p w14:paraId="0538FDD5" w14:textId="1619D9A7" w:rsidR="007C6997" w:rsidRPr="00392699" w:rsidRDefault="00A42656" w:rsidP="00460458">
            <w:pPr>
              <w:pStyle w:val="Tabletext1"/>
            </w:pPr>
            <w:r>
              <w:t>Annual</w:t>
            </w:r>
          </w:p>
        </w:tc>
      </w:tr>
      <w:tr w:rsidR="007C6997" w:rsidRPr="00183E4D" w14:paraId="2B764938" w14:textId="77777777" w:rsidTr="00B24C63">
        <w:trPr>
          <w:trHeight w:val="20"/>
        </w:trPr>
        <w:tc>
          <w:tcPr>
            <w:tcW w:w="2977" w:type="dxa"/>
            <w:hideMark/>
          </w:tcPr>
          <w:p w14:paraId="0A2DA4EC" w14:textId="77777777" w:rsidR="007C6997" w:rsidRPr="00183E4D" w:rsidRDefault="007C6997" w:rsidP="00460458">
            <w:pPr>
              <w:pStyle w:val="Tabletext1"/>
              <w:rPr>
                <w:b/>
              </w:rPr>
            </w:pPr>
            <w:r w:rsidRPr="00183E4D">
              <w:rPr>
                <w:b/>
              </w:rPr>
              <w:t>Discount rate</w:t>
            </w:r>
          </w:p>
        </w:tc>
        <w:tc>
          <w:tcPr>
            <w:tcW w:w="6044" w:type="dxa"/>
          </w:tcPr>
          <w:p w14:paraId="141CAF1B" w14:textId="77777777" w:rsidR="007C6997" w:rsidRPr="00183E4D" w:rsidRDefault="007C6997" w:rsidP="00460458">
            <w:pPr>
              <w:pStyle w:val="Tabletext1"/>
            </w:pPr>
            <w:r>
              <w:t>5% per annum</w:t>
            </w:r>
          </w:p>
        </w:tc>
      </w:tr>
      <w:tr w:rsidR="007C6997" w:rsidRPr="00183E4D" w14:paraId="4EDEF67E" w14:textId="77777777" w:rsidTr="00B24C63">
        <w:trPr>
          <w:trHeight w:val="20"/>
        </w:trPr>
        <w:tc>
          <w:tcPr>
            <w:tcW w:w="2977" w:type="dxa"/>
            <w:hideMark/>
          </w:tcPr>
          <w:p w14:paraId="73E3BBD6" w14:textId="77777777" w:rsidR="007C6997" w:rsidRPr="00183E4D" w:rsidRDefault="007C6997" w:rsidP="00460458">
            <w:pPr>
              <w:pStyle w:val="Tabletext1"/>
              <w:rPr>
                <w:b/>
              </w:rPr>
            </w:pPr>
            <w:r w:rsidRPr="00183E4D">
              <w:rPr>
                <w:b/>
              </w:rPr>
              <w:t>Software packages used</w:t>
            </w:r>
          </w:p>
        </w:tc>
        <w:tc>
          <w:tcPr>
            <w:tcW w:w="6044" w:type="dxa"/>
          </w:tcPr>
          <w:p w14:paraId="02AA006D" w14:textId="77777777" w:rsidR="007C6997" w:rsidRPr="00183E4D" w:rsidRDefault="007C6997" w:rsidP="00460458">
            <w:pPr>
              <w:pStyle w:val="Tabletext1"/>
            </w:pPr>
            <w:r>
              <w:t>Microsoft Excel</w:t>
            </w:r>
          </w:p>
        </w:tc>
      </w:tr>
    </w:tbl>
    <w:p w14:paraId="4AB2529F" w14:textId="452CB96E" w:rsidR="00C61CB7" w:rsidRPr="00E2362C" w:rsidRDefault="007C6997" w:rsidP="00E2362C">
      <w:pPr>
        <w:spacing w:before="240"/>
      </w:pPr>
      <w:r>
        <w:t>The Critique stated that the model structure and modelling assumptions overwhelmingly favours Oncotype</w:t>
      </w:r>
      <w:r w:rsidR="00A52F8F">
        <w:t> </w:t>
      </w:r>
      <w:r>
        <w:t xml:space="preserve">DX as </w:t>
      </w:r>
      <w:r w:rsidRPr="000E6B18">
        <w:t>all instances where Oncotype</w:t>
      </w:r>
      <w:r w:rsidR="00A52F8F">
        <w:t> </w:t>
      </w:r>
      <w:r w:rsidRPr="000E6B18">
        <w:t xml:space="preserve">DX/RS score does not lead to optimal treatment were not considered, therefore the </w:t>
      </w:r>
      <w:r w:rsidR="00AA3056">
        <w:t xml:space="preserve">modelled </w:t>
      </w:r>
      <w:r w:rsidRPr="000E6B18">
        <w:t xml:space="preserve">economic </w:t>
      </w:r>
      <w:r w:rsidR="00AA3056">
        <w:t>evaluation</w:t>
      </w:r>
      <w:r w:rsidRPr="000E6B18">
        <w:t xml:space="preserve"> presented is likely the most optimistic (and possibly implausible) scenario.</w:t>
      </w:r>
      <w:r>
        <w:t xml:space="preserve"> The Critique presented the disaggregated incremental cost and effectiveness for </w:t>
      </w:r>
      <w:r w:rsidR="00F3423D">
        <w:t>“chemotherapy</w:t>
      </w:r>
      <w:r>
        <w:t xml:space="preserve"> sparing</w:t>
      </w:r>
      <w:r w:rsidR="00F3423D">
        <w:t>”</w:t>
      </w:r>
      <w:r>
        <w:t xml:space="preserve"> (Table 6) and </w:t>
      </w:r>
      <w:r w:rsidR="00F3423D">
        <w:t>“chemotherapy</w:t>
      </w:r>
      <w:r>
        <w:t xml:space="preserve"> indicating</w:t>
      </w:r>
      <w:r w:rsidR="00F3423D">
        <w:t>”</w:t>
      </w:r>
      <w:r>
        <w:t xml:space="preserve"> (Table 7) components of the model.</w:t>
      </w:r>
      <w:bookmarkStart w:id="15" w:name="_Ref8702624"/>
      <w:bookmarkStart w:id="16" w:name="_Toc8707445"/>
      <w:r w:rsidR="00C61CB7">
        <w:br w:type="page"/>
      </w:r>
    </w:p>
    <w:p w14:paraId="0791B523" w14:textId="5CFC00AA" w:rsidR="007C6997" w:rsidRPr="00B24C63" w:rsidRDefault="007C6997" w:rsidP="00B24C63">
      <w:pPr>
        <w:rPr>
          <w:rFonts w:ascii="Arial Narrow" w:hAnsi="Arial Narrow"/>
          <w:b/>
          <w:sz w:val="20"/>
        </w:rPr>
      </w:pPr>
      <w:r w:rsidRPr="00B24C63">
        <w:rPr>
          <w:rFonts w:ascii="Arial Narrow" w:hAnsi="Arial Narrow"/>
          <w:b/>
          <w:sz w:val="20"/>
        </w:rPr>
        <w:lastRenderedPageBreak/>
        <w:t xml:space="preserve">Table </w:t>
      </w:r>
      <w:bookmarkEnd w:id="15"/>
      <w:r w:rsidRPr="00B24C63">
        <w:rPr>
          <w:rFonts w:ascii="Arial Narrow" w:hAnsi="Arial Narrow"/>
          <w:b/>
          <w:sz w:val="20"/>
        </w:rPr>
        <w:t>6</w:t>
      </w:r>
      <w:r w:rsidRPr="00B24C63">
        <w:rPr>
          <w:rFonts w:ascii="Arial Narrow" w:hAnsi="Arial Narrow"/>
          <w:b/>
          <w:sz w:val="20"/>
        </w:rPr>
        <w:tab/>
        <w:t xml:space="preserve">Summary of disaggregated incremental cost and effectiveness in </w:t>
      </w:r>
      <w:r w:rsidR="00F3423D" w:rsidRPr="00B24C63">
        <w:rPr>
          <w:rFonts w:ascii="Arial Narrow" w:hAnsi="Arial Narrow"/>
          <w:b/>
          <w:sz w:val="20"/>
        </w:rPr>
        <w:t>“chemotherapy</w:t>
      </w:r>
      <w:r w:rsidRPr="00B24C63">
        <w:rPr>
          <w:rFonts w:ascii="Arial Narrow" w:hAnsi="Arial Narrow"/>
          <w:b/>
          <w:sz w:val="20"/>
        </w:rPr>
        <w:t xml:space="preserve"> sparing</w:t>
      </w:r>
      <w:r w:rsidR="00F3423D" w:rsidRPr="00B24C63">
        <w:rPr>
          <w:rFonts w:ascii="Arial Narrow" w:hAnsi="Arial Narrow"/>
          <w:b/>
          <w:sz w:val="20"/>
        </w:rPr>
        <w:t>”</w:t>
      </w:r>
      <w:r w:rsidRPr="00B24C63">
        <w:rPr>
          <w:rFonts w:ascii="Arial Narrow" w:hAnsi="Arial Narrow"/>
          <w:b/>
          <w:sz w:val="20"/>
        </w:rPr>
        <w:t xml:space="preserve"> only</w:t>
      </w:r>
      <w:bookmarkEnd w:id="16"/>
      <w:r w:rsidRPr="00B24C63">
        <w:rPr>
          <w:rFonts w:ascii="Arial Narrow" w:hAnsi="Arial Narrow"/>
          <w:b/>
          <w:sz w:val="20"/>
        </w:rPr>
        <w:t>a</w:t>
      </w:r>
    </w:p>
    <w:tbl>
      <w:tblPr>
        <w:tblStyle w:val="TableGrid"/>
        <w:tblW w:w="0" w:type="auto"/>
        <w:tblLook w:val="04A0" w:firstRow="1" w:lastRow="0" w:firstColumn="1" w:lastColumn="0" w:noHBand="0" w:noVBand="1"/>
        <w:tblCaption w:val="Summary of disaggregated incremental cost and effectiveness in CT sparing only"/>
        <w:tblDescription w:val="Summary of disaggregated incremental cost and effectiveness in CT sparing only"/>
      </w:tblPr>
      <w:tblGrid>
        <w:gridCol w:w="3936"/>
        <w:gridCol w:w="1701"/>
        <w:gridCol w:w="1871"/>
        <w:gridCol w:w="1508"/>
      </w:tblGrid>
      <w:tr w:rsidR="007C6997" w:rsidRPr="00DB0698" w14:paraId="52585471" w14:textId="77777777" w:rsidTr="00E87685">
        <w:trPr>
          <w:tblHeader/>
        </w:trPr>
        <w:tc>
          <w:tcPr>
            <w:tcW w:w="3936" w:type="dxa"/>
          </w:tcPr>
          <w:p w14:paraId="7BDEAD0B" w14:textId="77777777" w:rsidR="007C6997" w:rsidRPr="00DB0698" w:rsidRDefault="007C6997" w:rsidP="00460458">
            <w:pPr>
              <w:spacing w:before="40" w:after="40"/>
              <w:jc w:val="both"/>
              <w:rPr>
                <w:rFonts w:ascii="Arial Narrow" w:hAnsi="Arial Narrow"/>
                <w:b/>
                <w:sz w:val="20"/>
              </w:rPr>
            </w:pPr>
            <w:r w:rsidRPr="00DB0698">
              <w:rPr>
                <w:rFonts w:ascii="Arial Narrow" w:hAnsi="Arial Narrow"/>
                <w:b/>
                <w:sz w:val="20"/>
              </w:rPr>
              <w:t>Parameter</w:t>
            </w:r>
          </w:p>
        </w:tc>
        <w:tc>
          <w:tcPr>
            <w:tcW w:w="1701" w:type="dxa"/>
            <w:vAlign w:val="center"/>
          </w:tcPr>
          <w:p w14:paraId="28A17B14"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Oncotype DX</w:t>
            </w:r>
          </w:p>
        </w:tc>
        <w:tc>
          <w:tcPr>
            <w:tcW w:w="1871" w:type="dxa"/>
            <w:vAlign w:val="center"/>
          </w:tcPr>
          <w:p w14:paraId="55FB8050"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 xml:space="preserve">Usual </w:t>
            </w:r>
            <w:r>
              <w:rPr>
                <w:rFonts w:ascii="Arial Narrow" w:hAnsi="Arial Narrow"/>
                <w:b/>
                <w:sz w:val="20"/>
              </w:rPr>
              <w:t>c</w:t>
            </w:r>
            <w:r w:rsidRPr="00DB0698">
              <w:rPr>
                <w:rFonts w:ascii="Arial Narrow" w:hAnsi="Arial Narrow"/>
                <w:b/>
                <w:sz w:val="20"/>
              </w:rPr>
              <w:t>are</w:t>
            </w:r>
          </w:p>
        </w:tc>
        <w:tc>
          <w:tcPr>
            <w:tcW w:w="1508" w:type="dxa"/>
            <w:vAlign w:val="center"/>
          </w:tcPr>
          <w:p w14:paraId="2C7652EF"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Incremental</w:t>
            </w:r>
          </w:p>
        </w:tc>
      </w:tr>
      <w:tr w:rsidR="007C6997" w:rsidRPr="00DB0698" w14:paraId="68BA2C5B" w14:textId="77777777" w:rsidTr="00E87685">
        <w:tc>
          <w:tcPr>
            <w:tcW w:w="3936" w:type="dxa"/>
            <w:tcBorders>
              <w:right w:val="nil"/>
            </w:tcBorders>
          </w:tcPr>
          <w:p w14:paraId="21AC670B" w14:textId="77777777" w:rsidR="007C6997" w:rsidRPr="00DB0698" w:rsidRDefault="007C6997" w:rsidP="00460458">
            <w:pPr>
              <w:spacing w:before="40" w:after="40"/>
              <w:jc w:val="both"/>
              <w:rPr>
                <w:rFonts w:ascii="Arial Narrow" w:hAnsi="Arial Narrow"/>
                <w:b/>
                <w:sz w:val="20"/>
              </w:rPr>
            </w:pPr>
            <w:r w:rsidRPr="00DB0698">
              <w:rPr>
                <w:rFonts w:ascii="Arial Narrow" w:hAnsi="Arial Narrow"/>
                <w:b/>
                <w:sz w:val="20"/>
              </w:rPr>
              <w:t>Disaggregated costs</w:t>
            </w:r>
          </w:p>
        </w:tc>
        <w:tc>
          <w:tcPr>
            <w:tcW w:w="1701" w:type="dxa"/>
            <w:tcBorders>
              <w:left w:val="nil"/>
              <w:right w:val="nil"/>
            </w:tcBorders>
            <w:vAlign w:val="center"/>
          </w:tcPr>
          <w:p w14:paraId="6DF9CB5D" w14:textId="77777777" w:rsidR="007C6997" w:rsidRPr="00DB0698" w:rsidRDefault="007C6997" w:rsidP="00460458">
            <w:pPr>
              <w:spacing w:before="40" w:after="40"/>
              <w:jc w:val="center"/>
              <w:rPr>
                <w:rFonts w:ascii="Arial Narrow" w:hAnsi="Arial Narrow"/>
                <w:b/>
                <w:sz w:val="20"/>
              </w:rPr>
            </w:pPr>
          </w:p>
        </w:tc>
        <w:tc>
          <w:tcPr>
            <w:tcW w:w="1871" w:type="dxa"/>
            <w:tcBorders>
              <w:left w:val="nil"/>
              <w:right w:val="nil"/>
            </w:tcBorders>
            <w:vAlign w:val="center"/>
          </w:tcPr>
          <w:p w14:paraId="22FB9BBC" w14:textId="77777777" w:rsidR="007C6997" w:rsidRPr="00DB0698" w:rsidRDefault="007C6997" w:rsidP="00460458">
            <w:pPr>
              <w:spacing w:before="40" w:after="40"/>
              <w:jc w:val="center"/>
              <w:rPr>
                <w:rFonts w:ascii="Arial Narrow" w:hAnsi="Arial Narrow"/>
                <w:b/>
                <w:sz w:val="20"/>
              </w:rPr>
            </w:pPr>
          </w:p>
        </w:tc>
        <w:tc>
          <w:tcPr>
            <w:tcW w:w="1508" w:type="dxa"/>
            <w:tcBorders>
              <w:left w:val="nil"/>
            </w:tcBorders>
            <w:vAlign w:val="center"/>
          </w:tcPr>
          <w:p w14:paraId="299232F8" w14:textId="77777777" w:rsidR="007C6997" w:rsidRPr="00DB0698" w:rsidRDefault="007C6997" w:rsidP="00460458">
            <w:pPr>
              <w:spacing w:before="40" w:after="40"/>
              <w:jc w:val="center"/>
              <w:rPr>
                <w:rFonts w:ascii="Arial Narrow" w:hAnsi="Arial Narrow"/>
                <w:b/>
                <w:sz w:val="20"/>
              </w:rPr>
            </w:pPr>
          </w:p>
        </w:tc>
      </w:tr>
      <w:tr w:rsidR="007C6997" w:rsidRPr="00DB0698" w14:paraId="0282823C" w14:textId="77777777" w:rsidTr="00E87685">
        <w:tc>
          <w:tcPr>
            <w:tcW w:w="3936" w:type="dxa"/>
          </w:tcPr>
          <w:p w14:paraId="49449E36" w14:textId="5927BAF6" w:rsidR="007C6997" w:rsidRPr="00DB0698" w:rsidRDefault="007C6997" w:rsidP="00A52F8F">
            <w:pPr>
              <w:spacing w:before="40" w:after="40"/>
              <w:jc w:val="both"/>
              <w:rPr>
                <w:rFonts w:ascii="Arial Narrow" w:hAnsi="Arial Narrow"/>
                <w:sz w:val="20"/>
              </w:rPr>
            </w:pPr>
            <w:r w:rsidRPr="00DB0698">
              <w:rPr>
                <w:rFonts w:ascii="Arial Narrow" w:hAnsi="Arial Narrow"/>
                <w:sz w:val="20"/>
              </w:rPr>
              <w:t>Oncotype</w:t>
            </w:r>
            <w:r w:rsidR="00A52F8F">
              <w:rPr>
                <w:rFonts w:ascii="Arial Narrow" w:hAnsi="Arial Narrow"/>
                <w:sz w:val="20"/>
              </w:rPr>
              <w:t> </w:t>
            </w:r>
            <w:r w:rsidRPr="00DB0698">
              <w:rPr>
                <w:rFonts w:ascii="Arial Narrow" w:hAnsi="Arial Narrow"/>
                <w:sz w:val="20"/>
              </w:rPr>
              <w:t>DX test costs</w:t>
            </w:r>
          </w:p>
        </w:tc>
        <w:tc>
          <w:tcPr>
            <w:tcW w:w="1701" w:type="dxa"/>
            <w:vAlign w:val="center"/>
          </w:tcPr>
          <w:p w14:paraId="687660D2"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$5,085.00</w:t>
            </w:r>
          </w:p>
        </w:tc>
        <w:tc>
          <w:tcPr>
            <w:tcW w:w="1871" w:type="dxa"/>
            <w:vAlign w:val="center"/>
          </w:tcPr>
          <w:p w14:paraId="206D4503"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$0.00</w:t>
            </w:r>
          </w:p>
        </w:tc>
        <w:tc>
          <w:tcPr>
            <w:tcW w:w="1508" w:type="dxa"/>
            <w:vAlign w:val="center"/>
          </w:tcPr>
          <w:p w14:paraId="1AFD4D13"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$5,085.00</w:t>
            </w:r>
          </w:p>
        </w:tc>
      </w:tr>
      <w:tr w:rsidR="007C6997" w:rsidRPr="00DB0698" w14:paraId="30BF8E0A" w14:textId="77777777" w:rsidTr="00E87685">
        <w:tc>
          <w:tcPr>
            <w:tcW w:w="3936" w:type="dxa"/>
          </w:tcPr>
          <w:p w14:paraId="63CAF157" w14:textId="77777777" w:rsidR="007C6997" w:rsidRPr="00DB0698" w:rsidRDefault="007C6997" w:rsidP="00460458">
            <w:pPr>
              <w:spacing w:before="40" w:after="40"/>
              <w:jc w:val="both"/>
              <w:rPr>
                <w:rFonts w:ascii="Arial Narrow" w:hAnsi="Arial Narrow"/>
                <w:sz w:val="20"/>
              </w:rPr>
            </w:pPr>
            <w:r>
              <w:rPr>
                <w:rFonts w:ascii="Arial Narrow" w:hAnsi="Arial Narrow"/>
                <w:sz w:val="20"/>
              </w:rPr>
              <w:t>Chemotherapy</w:t>
            </w:r>
          </w:p>
        </w:tc>
        <w:tc>
          <w:tcPr>
            <w:tcW w:w="1701" w:type="dxa"/>
            <w:vAlign w:val="center"/>
          </w:tcPr>
          <w:p w14:paraId="7B9983A0"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$1,253.65</w:t>
            </w:r>
          </w:p>
        </w:tc>
        <w:tc>
          <w:tcPr>
            <w:tcW w:w="1871" w:type="dxa"/>
            <w:vAlign w:val="center"/>
          </w:tcPr>
          <w:p w14:paraId="4B5B8CFB"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$3,116.03</w:t>
            </w:r>
          </w:p>
        </w:tc>
        <w:tc>
          <w:tcPr>
            <w:tcW w:w="1508" w:type="dxa"/>
            <w:vAlign w:val="center"/>
          </w:tcPr>
          <w:p w14:paraId="123C5CC4"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-$1,862.38</w:t>
            </w:r>
          </w:p>
        </w:tc>
      </w:tr>
      <w:tr w:rsidR="007C6997" w:rsidRPr="00DB0698" w14:paraId="61D397E9" w14:textId="77777777" w:rsidTr="00E87685">
        <w:tc>
          <w:tcPr>
            <w:tcW w:w="3936" w:type="dxa"/>
          </w:tcPr>
          <w:p w14:paraId="3FB8F05F" w14:textId="37227A44" w:rsidR="007C6997" w:rsidRPr="00DB0698" w:rsidRDefault="0012326F" w:rsidP="0012326F">
            <w:pPr>
              <w:spacing w:before="40" w:after="40"/>
              <w:jc w:val="both"/>
              <w:rPr>
                <w:rFonts w:ascii="Arial Narrow" w:hAnsi="Arial Narrow"/>
                <w:sz w:val="20"/>
              </w:rPr>
            </w:pPr>
            <w:r>
              <w:rPr>
                <w:rFonts w:ascii="Arial Narrow" w:hAnsi="Arial Narrow"/>
                <w:sz w:val="20"/>
              </w:rPr>
              <w:t>Endocrine</w:t>
            </w:r>
            <w:r w:rsidR="007C6997" w:rsidRPr="00DB0698">
              <w:rPr>
                <w:rFonts w:ascii="Arial Narrow" w:hAnsi="Arial Narrow"/>
                <w:sz w:val="20"/>
              </w:rPr>
              <w:t xml:space="preserve"> therapy</w:t>
            </w:r>
          </w:p>
        </w:tc>
        <w:tc>
          <w:tcPr>
            <w:tcW w:w="1701" w:type="dxa"/>
            <w:vAlign w:val="center"/>
          </w:tcPr>
          <w:p w14:paraId="34EA4514"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$3,160.85</w:t>
            </w:r>
          </w:p>
        </w:tc>
        <w:tc>
          <w:tcPr>
            <w:tcW w:w="1871" w:type="dxa"/>
            <w:vAlign w:val="center"/>
          </w:tcPr>
          <w:p w14:paraId="1A68DE91"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$3,160.85</w:t>
            </w:r>
          </w:p>
        </w:tc>
        <w:tc>
          <w:tcPr>
            <w:tcW w:w="1508" w:type="dxa"/>
            <w:vAlign w:val="center"/>
          </w:tcPr>
          <w:p w14:paraId="442F3366"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$0.00</w:t>
            </w:r>
          </w:p>
        </w:tc>
      </w:tr>
      <w:tr w:rsidR="007C6997" w:rsidRPr="00DB0698" w14:paraId="1DDBB077" w14:textId="77777777" w:rsidTr="00E87685">
        <w:tc>
          <w:tcPr>
            <w:tcW w:w="3936" w:type="dxa"/>
          </w:tcPr>
          <w:p w14:paraId="0D77A6E8" w14:textId="77777777" w:rsidR="007C6997" w:rsidRPr="00DB0698" w:rsidRDefault="007C6997" w:rsidP="00460458">
            <w:pPr>
              <w:spacing w:before="40" w:after="40"/>
              <w:jc w:val="both"/>
              <w:rPr>
                <w:rFonts w:ascii="Arial Narrow" w:hAnsi="Arial Narrow"/>
                <w:sz w:val="20"/>
              </w:rPr>
            </w:pPr>
            <w:r w:rsidRPr="00DB0698">
              <w:rPr>
                <w:rFonts w:ascii="Arial Narrow" w:hAnsi="Arial Narrow"/>
                <w:sz w:val="20"/>
              </w:rPr>
              <w:t>Recurrent disease</w:t>
            </w:r>
          </w:p>
        </w:tc>
        <w:tc>
          <w:tcPr>
            <w:tcW w:w="1701" w:type="dxa"/>
            <w:vAlign w:val="center"/>
          </w:tcPr>
          <w:p w14:paraId="424ABCEA"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$5,791.22</w:t>
            </w:r>
          </w:p>
        </w:tc>
        <w:tc>
          <w:tcPr>
            <w:tcW w:w="1871" w:type="dxa"/>
            <w:vAlign w:val="center"/>
          </w:tcPr>
          <w:p w14:paraId="483E4469"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$5,791.22</w:t>
            </w:r>
          </w:p>
        </w:tc>
        <w:tc>
          <w:tcPr>
            <w:tcW w:w="1508" w:type="dxa"/>
            <w:vAlign w:val="center"/>
          </w:tcPr>
          <w:p w14:paraId="17D33D19"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$0.00</w:t>
            </w:r>
          </w:p>
        </w:tc>
      </w:tr>
      <w:tr w:rsidR="007C6997" w:rsidRPr="00DB0698" w14:paraId="398FC729" w14:textId="77777777" w:rsidTr="00E87685">
        <w:tc>
          <w:tcPr>
            <w:tcW w:w="3936" w:type="dxa"/>
          </w:tcPr>
          <w:p w14:paraId="100D8A8B" w14:textId="77777777" w:rsidR="007C6997" w:rsidRPr="00DB0698" w:rsidRDefault="007C6997" w:rsidP="00460458">
            <w:pPr>
              <w:spacing w:before="40" w:after="40"/>
              <w:jc w:val="both"/>
              <w:rPr>
                <w:rFonts w:ascii="Arial Narrow" w:hAnsi="Arial Narrow"/>
                <w:b/>
                <w:sz w:val="20"/>
              </w:rPr>
            </w:pPr>
            <w:r w:rsidRPr="00DB0698">
              <w:rPr>
                <w:rFonts w:ascii="Arial Narrow" w:hAnsi="Arial Narrow"/>
                <w:b/>
                <w:sz w:val="20"/>
              </w:rPr>
              <w:t>Total</w:t>
            </w:r>
          </w:p>
        </w:tc>
        <w:tc>
          <w:tcPr>
            <w:tcW w:w="1701" w:type="dxa"/>
            <w:vAlign w:val="center"/>
          </w:tcPr>
          <w:p w14:paraId="7288AAA5"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$15,290.72</w:t>
            </w:r>
          </w:p>
        </w:tc>
        <w:tc>
          <w:tcPr>
            <w:tcW w:w="1871" w:type="dxa"/>
            <w:vAlign w:val="center"/>
          </w:tcPr>
          <w:p w14:paraId="000765F8"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$12,068.10</w:t>
            </w:r>
          </w:p>
        </w:tc>
        <w:tc>
          <w:tcPr>
            <w:tcW w:w="1508" w:type="dxa"/>
            <w:vAlign w:val="center"/>
          </w:tcPr>
          <w:p w14:paraId="36DF8F78"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$3,222.62</w:t>
            </w:r>
          </w:p>
        </w:tc>
      </w:tr>
      <w:tr w:rsidR="007C6997" w:rsidRPr="00DB0698" w14:paraId="10AAB384" w14:textId="77777777" w:rsidTr="00E87685">
        <w:tc>
          <w:tcPr>
            <w:tcW w:w="3936" w:type="dxa"/>
            <w:tcBorders>
              <w:right w:val="nil"/>
            </w:tcBorders>
          </w:tcPr>
          <w:p w14:paraId="5BD84BD5" w14:textId="77777777" w:rsidR="007C6997" w:rsidRPr="00DB0698" w:rsidRDefault="007C6997" w:rsidP="00460458">
            <w:pPr>
              <w:spacing w:before="40" w:after="40"/>
              <w:jc w:val="both"/>
              <w:rPr>
                <w:rFonts w:ascii="Arial Narrow" w:hAnsi="Arial Narrow"/>
                <w:b/>
                <w:sz w:val="20"/>
              </w:rPr>
            </w:pPr>
            <w:r w:rsidRPr="00744E32">
              <w:rPr>
                <w:rFonts w:ascii="Arial Narrow" w:hAnsi="Arial Narrow"/>
                <w:b/>
                <w:sz w:val="20"/>
              </w:rPr>
              <w:t>Disaggregated outcomes</w:t>
            </w:r>
            <w:r>
              <w:rPr>
                <w:rFonts w:ascii="Arial Narrow" w:hAnsi="Arial Narrow"/>
                <w:b/>
                <w:sz w:val="20"/>
              </w:rPr>
              <w:t xml:space="preserve"> (</w:t>
            </w:r>
            <w:r w:rsidRPr="00744E32">
              <w:rPr>
                <w:rFonts w:ascii="Arial Narrow" w:hAnsi="Arial Narrow"/>
                <w:b/>
                <w:sz w:val="20"/>
              </w:rPr>
              <w:t xml:space="preserve">discounted with half </w:t>
            </w:r>
          </w:p>
        </w:tc>
        <w:tc>
          <w:tcPr>
            <w:tcW w:w="1701" w:type="dxa"/>
            <w:tcBorders>
              <w:left w:val="nil"/>
              <w:right w:val="nil"/>
            </w:tcBorders>
            <w:vAlign w:val="center"/>
          </w:tcPr>
          <w:p w14:paraId="13E1FF5A" w14:textId="77777777" w:rsidR="007C6997" w:rsidRPr="00DB0698" w:rsidRDefault="007C6997" w:rsidP="00460458">
            <w:pPr>
              <w:spacing w:before="40" w:after="40"/>
              <w:ind w:left="-108"/>
              <w:rPr>
                <w:rFonts w:ascii="Arial Narrow" w:hAnsi="Arial Narrow"/>
                <w:b/>
                <w:sz w:val="20"/>
              </w:rPr>
            </w:pPr>
            <w:r w:rsidRPr="00744E32">
              <w:rPr>
                <w:rFonts w:ascii="Arial Narrow" w:hAnsi="Arial Narrow"/>
                <w:b/>
                <w:sz w:val="20"/>
              </w:rPr>
              <w:t>cycle correction)</w:t>
            </w:r>
          </w:p>
        </w:tc>
        <w:tc>
          <w:tcPr>
            <w:tcW w:w="1871" w:type="dxa"/>
            <w:tcBorders>
              <w:left w:val="nil"/>
              <w:right w:val="nil"/>
            </w:tcBorders>
            <w:vAlign w:val="center"/>
          </w:tcPr>
          <w:p w14:paraId="600DD26C" w14:textId="77777777" w:rsidR="007C6997" w:rsidRPr="00DB0698" w:rsidRDefault="007C6997" w:rsidP="00460458">
            <w:pPr>
              <w:spacing w:before="40" w:after="40"/>
              <w:jc w:val="center"/>
              <w:rPr>
                <w:rFonts w:ascii="Arial Narrow" w:hAnsi="Arial Narrow"/>
                <w:b/>
                <w:sz w:val="20"/>
              </w:rPr>
            </w:pPr>
          </w:p>
        </w:tc>
        <w:tc>
          <w:tcPr>
            <w:tcW w:w="1508" w:type="dxa"/>
            <w:tcBorders>
              <w:left w:val="nil"/>
            </w:tcBorders>
            <w:vAlign w:val="center"/>
          </w:tcPr>
          <w:p w14:paraId="0D4E51F4" w14:textId="77777777" w:rsidR="007C6997" w:rsidRPr="00DB0698" w:rsidRDefault="007C6997" w:rsidP="00460458">
            <w:pPr>
              <w:spacing w:before="40" w:after="40"/>
              <w:jc w:val="center"/>
              <w:rPr>
                <w:rFonts w:ascii="Arial Narrow" w:hAnsi="Arial Narrow"/>
                <w:b/>
                <w:sz w:val="20"/>
              </w:rPr>
            </w:pPr>
          </w:p>
        </w:tc>
      </w:tr>
      <w:tr w:rsidR="007C6997" w:rsidRPr="00DB0698" w14:paraId="20E99C8C" w14:textId="77777777" w:rsidTr="00E87685">
        <w:tc>
          <w:tcPr>
            <w:tcW w:w="3936" w:type="dxa"/>
          </w:tcPr>
          <w:p w14:paraId="7FB5996E" w14:textId="0DD1B58D" w:rsidR="007C6997" w:rsidRPr="00DB0698" w:rsidRDefault="00E87685" w:rsidP="00460458">
            <w:pPr>
              <w:spacing w:before="40" w:after="40"/>
              <w:jc w:val="both"/>
              <w:rPr>
                <w:rFonts w:ascii="Arial Narrow" w:hAnsi="Arial Narrow"/>
                <w:b/>
                <w:sz w:val="20"/>
              </w:rPr>
            </w:pPr>
            <w:r>
              <w:rPr>
                <w:rFonts w:ascii="Arial Narrow" w:hAnsi="Arial Narrow"/>
                <w:b/>
                <w:sz w:val="20"/>
              </w:rPr>
              <w:t>Life years</w:t>
            </w:r>
          </w:p>
        </w:tc>
        <w:tc>
          <w:tcPr>
            <w:tcW w:w="1701" w:type="dxa"/>
            <w:vAlign w:val="center"/>
          </w:tcPr>
          <w:p w14:paraId="74CBFFED"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13.6530</w:t>
            </w:r>
          </w:p>
        </w:tc>
        <w:tc>
          <w:tcPr>
            <w:tcW w:w="1871" w:type="dxa"/>
            <w:vAlign w:val="center"/>
          </w:tcPr>
          <w:p w14:paraId="512627C0"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13.6530</w:t>
            </w:r>
          </w:p>
        </w:tc>
        <w:tc>
          <w:tcPr>
            <w:tcW w:w="1508" w:type="dxa"/>
            <w:vAlign w:val="center"/>
          </w:tcPr>
          <w:p w14:paraId="3FCFC5F2"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0</w:t>
            </w:r>
          </w:p>
        </w:tc>
      </w:tr>
      <w:tr w:rsidR="007C6997" w:rsidRPr="00DB0698" w14:paraId="0124F76B" w14:textId="77777777" w:rsidTr="00E87685">
        <w:tc>
          <w:tcPr>
            <w:tcW w:w="3936" w:type="dxa"/>
          </w:tcPr>
          <w:p w14:paraId="3D277336" w14:textId="77777777" w:rsidR="007C6997" w:rsidRPr="00DB0698" w:rsidRDefault="007C6997" w:rsidP="00460458">
            <w:pPr>
              <w:spacing w:before="40" w:after="40"/>
              <w:ind w:left="452"/>
              <w:jc w:val="both"/>
              <w:rPr>
                <w:rFonts w:ascii="Arial Narrow" w:hAnsi="Arial Narrow"/>
                <w:sz w:val="20"/>
              </w:rPr>
            </w:pPr>
            <w:r>
              <w:rPr>
                <w:rFonts w:ascii="Arial Narrow" w:hAnsi="Arial Narrow"/>
                <w:sz w:val="20"/>
              </w:rPr>
              <w:t>Disease-</w:t>
            </w:r>
            <w:r w:rsidRPr="00DB0698">
              <w:rPr>
                <w:rFonts w:ascii="Arial Narrow" w:hAnsi="Arial Narrow"/>
                <w:sz w:val="20"/>
              </w:rPr>
              <w:t>free</w:t>
            </w:r>
          </w:p>
        </w:tc>
        <w:tc>
          <w:tcPr>
            <w:tcW w:w="1701" w:type="dxa"/>
            <w:vAlign w:val="center"/>
          </w:tcPr>
          <w:p w14:paraId="2D7BBBFB"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13.4577</w:t>
            </w:r>
          </w:p>
        </w:tc>
        <w:tc>
          <w:tcPr>
            <w:tcW w:w="1871" w:type="dxa"/>
            <w:vAlign w:val="center"/>
          </w:tcPr>
          <w:p w14:paraId="7EE74C18"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13.4577</w:t>
            </w:r>
          </w:p>
        </w:tc>
        <w:tc>
          <w:tcPr>
            <w:tcW w:w="1508" w:type="dxa"/>
            <w:vAlign w:val="center"/>
          </w:tcPr>
          <w:p w14:paraId="0A5F329A"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w:t>
            </w:r>
          </w:p>
        </w:tc>
      </w:tr>
      <w:tr w:rsidR="007C6997" w:rsidRPr="00DB0698" w14:paraId="4CFDB463" w14:textId="77777777" w:rsidTr="00E87685">
        <w:tc>
          <w:tcPr>
            <w:tcW w:w="3936" w:type="dxa"/>
          </w:tcPr>
          <w:p w14:paraId="02348390" w14:textId="77777777" w:rsidR="007C6997" w:rsidRPr="00DB0698" w:rsidRDefault="007C6997" w:rsidP="00460458">
            <w:pPr>
              <w:spacing w:before="40" w:after="40"/>
              <w:ind w:left="452"/>
              <w:jc w:val="both"/>
              <w:rPr>
                <w:rFonts w:ascii="Arial Narrow" w:hAnsi="Arial Narrow"/>
                <w:sz w:val="20"/>
              </w:rPr>
            </w:pPr>
            <w:r>
              <w:rPr>
                <w:rFonts w:ascii="Arial Narrow" w:hAnsi="Arial Narrow"/>
                <w:sz w:val="20"/>
              </w:rPr>
              <w:t>Post recurrence</w:t>
            </w:r>
          </w:p>
        </w:tc>
        <w:tc>
          <w:tcPr>
            <w:tcW w:w="1701" w:type="dxa"/>
            <w:vAlign w:val="center"/>
          </w:tcPr>
          <w:p w14:paraId="33A7EDED"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0.1953</w:t>
            </w:r>
          </w:p>
        </w:tc>
        <w:tc>
          <w:tcPr>
            <w:tcW w:w="1871" w:type="dxa"/>
            <w:vAlign w:val="center"/>
          </w:tcPr>
          <w:p w14:paraId="4C5F6E6E"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0.1953</w:t>
            </w:r>
          </w:p>
        </w:tc>
        <w:tc>
          <w:tcPr>
            <w:tcW w:w="1508" w:type="dxa"/>
            <w:vAlign w:val="center"/>
          </w:tcPr>
          <w:p w14:paraId="041C4E8A"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w:t>
            </w:r>
          </w:p>
        </w:tc>
      </w:tr>
      <w:tr w:rsidR="007C6997" w:rsidRPr="00DB0698" w14:paraId="35F04373" w14:textId="77777777" w:rsidTr="00E87685">
        <w:tc>
          <w:tcPr>
            <w:tcW w:w="3936" w:type="dxa"/>
          </w:tcPr>
          <w:p w14:paraId="3BFE12E8" w14:textId="77777777" w:rsidR="007C6997" w:rsidRPr="00DB0698" w:rsidRDefault="007C6997" w:rsidP="00460458">
            <w:pPr>
              <w:spacing w:before="40" w:after="40"/>
              <w:jc w:val="both"/>
              <w:rPr>
                <w:rFonts w:ascii="Arial Narrow" w:hAnsi="Arial Narrow"/>
                <w:b/>
                <w:sz w:val="20"/>
              </w:rPr>
            </w:pPr>
            <w:r w:rsidRPr="00DB0698">
              <w:rPr>
                <w:rFonts w:ascii="Arial Narrow" w:hAnsi="Arial Narrow"/>
                <w:b/>
                <w:sz w:val="20"/>
              </w:rPr>
              <w:t>QALY</w:t>
            </w:r>
          </w:p>
        </w:tc>
        <w:tc>
          <w:tcPr>
            <w:tcW w:w="1701" w:type="dxa"/>
            <w:vAlign w:val="center"/>
          </w:tcPr>
          <w:p w14:paraId="1D281910"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13.4621</w:t>
            </w:r>
          </w:p>
        </w:tc>
        <w:tc>
          <w:tcPr>
            <w:tcW w:w="1871" w:type="dxa"/>
            <w:vAlign w:val="center"/>
          </w:tcPr>
          <w:p w14:paraId="265638EE"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13.4575</w:t>
            </w:r>
          </w:p>
        </w:tc>
        <w:tc>
          <w:tcPr>
            <w:tcW w:w="1508" w:type="dxa"/>
            <w:vAlign w:val="center"/>
          </w:tcPr>
          <w:p w14:paraId="54D2CC30"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0.0045</w:t>
            </w:r>
          </w:p>
        </w:tc>
      </w:tr>
      <w:tr w:rsidR="007C6997" w:rsidRPr="00DB0698" w14:paraId="38FCBA8F" w14:textId="77777777" w:rsidTr="00E87685">
        <w:tc>
          <w:tcPr>
            <w:tcW w:w="3936" w:type="dxa"/>
          </w:tcPr>
          <w:p w14:paraId="5D586FD6" w14:textId="77777777" w:rsidR="007C6997" w:rsidRPr="00DB0698" w:rsidRDefault="007C6997" w:rsidP="00460458">
            <w:pPr>
              <w:spacing w:before="40" w:after="40"/>
              <w:ind w:left="452"/>
              <w:jc w:val="both"/>
              <w:rPr>
                <w:rFonts w:ascii="Arial Narrow" w:hAnsi="Arial Narrow"/>
                <w:sz w:val="20"/>
              </w:rPr>
            </w:pPr>
            <w:r>
              <w:rPr>
                <w:rFonts w:ascii="Arial Narrow" w:hAnsi="Arial Narrow"/>
                <w:sz w:val="20"/>
              </w:rPr>
              <w:t>Disease-</w:t>
            </w:r>
            <w:r w:rsidRPr="00DB0698">
              <w:rPr>
                <w:rFonts w:ascii="Arial Narrow" w:hAnsi="Arial Narrow"/>
                <w:sz w:val="20"/>
              </w:rPr>
              <w:t>free</w:t>
            </w:r>
          </w:p>
        </w:tc>
        <w:tc>
          <w:tcPr>
            <w:tcW w:w="1701" w:type="dxa"/>
            <w:vAlign w:val="center"/>
          </w:tcPr>
          <w:p w14:paraId="24C75583"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13.3066</w:t>
            </w:r>
          </w:p>
        </w:tc>
        <w:tc>
          <w:tcPr>
            <w:tcW w:w="1871" w:type="dxa"/>
            <w:vAlign w:val="center"/>
          </w:tcPr>
          <w:p w14:paraId="0E28443B"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13.3021</w:t>
            </w:r>
          </w:p>
        </w:tc>
        <w:tc>
          <w:tcPr>
            <w:tcW w:w="1508" w:type="dxa"/>
            <w:vAlign w:val="center"/>
          </w:tcPr>
          <w:p w14:paraId="39CE4368"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0.0045</w:t>
            </w:r>
          </w:p>
        </w:tc>
      </w:tr>
      <w:tr w:rsidR="007C6997" w:rsidRPr="00DB0698" w14:paraId="17FE8645" w14:textId="77777777" w:rsidTr="00E87685">
        <w:tc>
          <w:tcPr>
            <w:tcW w:w="3936" w:type="dxa"/>
          </w:tcPr>
          <w:p w14:paraId="528DC841" w14:textId="77777777" w:rsidR="007C6997" w:rsidRPr="00DB0698" w:rsidRDefault="007C6997" w:rsidP="00460458">
            <w:pPr>
              <w:spacing w:before="40" w:after="40"/>
              <w:ind w:left="452"/>
              <w:jc w:val="both"/>
              <w:rPr>
                <w:rFonts w:ascii="Arial Narrow" w:hAnsi="Arial Narrow"/>
                <w:sz w:val="20"/>
              </w:rPr>
            </w:pPr>
            <w:r w:rsidRPr="00DB0698">
              <w:rPr>
                <w:rFonts w:ascii="Arial Narrow" w:hAnsi="Arial Narrow"/>
                <w:sz w:val="20"/>
              </w:rPr>
              <w:t>Post recurrence</w:t>
            </w:r>
          </w:p>
        </w:tc>
        <w:tc>
          <w:tcPr>
            <w:tcW w:w="1701" w:type="dxa"/>
            <w:vAlign w:val="center"/>
          </w:tcPr>
          <w:p w14:paraId="24484A52"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0.1554</w:t>
            </w:r>
          </w:p>
        </w:tc>
        <w:tc>
          <w:tcPr>
            <w:tcW w:w="1871" w:type="dxa"/>
            <w:vAlign w:val="center"/>
          </w:tcPr>
          <w:p w14:paraId="0457E410"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0.1554</w:t>
            </w:r>
          </w:p>
        </w:tc>
        <w:tc>
          <w:tcPr>
            <w:tcW w:w="1508" w:type="dxa"/>
            <w:vAlign w:val="center"/>
          </w:tcPr>
          <w:p w14:paraId="3AD4FD19"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w:t>
            </w:r>
          </w:p>
        </w:tc>
      </w:tr>
      <w:tr w:rsidR="007C6997" w:rsidRPr="00DB0698" w14:paraId="1CF6B511" w14:textId="77777777" w:rsidTr="00E87685">
        <w:tc>
          <w:tcPr>
            <w:tcW w:w="3936" w:type="dxa"/>
            <w:tcBorders>
              <w:right w:val="nil"/>
            </w:tcBorders>
          </w:tcPr>
          <w:p w14:paraId="1A71C4E8" w14:textId="77777777" w:rsidR="007C6997" w:rsidRPr="00DB0698" w:rsidRDefault="007C6997" w:rsidP="00460458">
            <w:pPr>
              <w:spacing w:before="40" w:after="40"/>
              <w:ind w:left="29"/>
              <w:jc w:val="both"/>
              <w:rPr>
                <w:rFonts w:ascii="Arial Narrow" w:hAnsi="Arial Narrow"/>
                <w:sz w:val="20"/>
              </w:rPr>
            </w:pPr>
          </w:p>
        </w:tc>
        <w:tc>
          <w:tcPr>
            <w:tcW w:w="1701" w:type="dxa"/>
            <w:tcBorders>
              <w:left w:val="nil"/>
              <w:right w:val="nil"/>
            </w:tcBorders>
          </w:tcPr>
          <w:p w14:paraId="199BC8D5" w14:textId="77777777" w:rsidR="007C6997" w:rsidRPr="00DB0698" w:rsidRDefault="007C6997" w:rsidP="00460458">
            <w:pPr>
              <w:spacing w:before="40" w:after="40"/>
              <w:jc w:val="both"/>
              <w:rPr>
                <w:rFonts w:ascii="Arial Narrow" w:hAnsi="Arial Narrow"/>
                <w:i/>
                <w:sz w:val="20"/>
              </w:rPr>
            </w:pPr>
          </w:p>
        </w:tc>
        <w:tc>
          <w:tcPr>
            <w:tcW w:w="1871" w:type="dxa"/>
            <w:tcBorders>
              <w:left w:val="nil"/>
            </w:tcBorders>
            <w:vAlign w:val="center"/>
          </w:tcPr>
          <w:p w14:paraId="087450F9" w14:textId="77777777" w:rsidR="007C6997" w:rsidRPr="00DB0698" w:rsidRDefault="007C6997" w:rsidP="00460458">
            <w:pPr>
              <w:spacing w:before="40" w:after="40"/>
              <w:jc w:val="right"/>
              <w:rPr>
                <w:rFonts w:ascii="Arial Narrow" w:hAnsi="Arial Narrow"/>
                <w:i/>
                <w:sz w:val="20"/>
              </w:rPr>
            </w:pPr>
            <w:r w:rsidRPr="00DB0698">
              <w:rPr>
                <w:rFonts w:ascii="Arial Narrow" w:hAnsi="Arial Narrow"/>
                <w:b/>
                <w:sz w:val="20"/>
              </w:rPr>
              <w:t xml:space="preserve">$ per </w:t>
            </w:r>
            <w:r>
              <w:rPr>
                <w:rFonts w:ascii="Arial Narrow" w:hAnsi="Arial Narrow"/>
                <w:b/>
                <w:sz w:val="20"/>
              </w:rPr>
              <w:t>l</w:t>
            </w:r>
            <w:r w:rsidRPr="00DB0698">
              <w:rPr>
                <w:rFonts w:ascii="Arial Narrow" w:hAnsi="Arial Narrow"/>
                <w:b/>
                <w:sz w:val="20"/>
              </w:rPr>
              <w:t>ife year gained</w:t>
            </w:r>
          </w:p>
        </w:tc>
        <w:tc>
          <w:tcPr>
            <w:tcW w:w="1508" w:type="dxa"/>
            <w:vAlign w:val="center"/>
          </w:tcPr>
          <w:p w14:paraId="71531FC5"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b/>
                <w:sz w:val="20"/>
              </w:rPr>
              <w:t>$NA</w:t>
            </w:r>
          </w:p>
        </w:tc>
      </w:tr>
      <w:tr w:rsidR="007C6997" w:rsidRPr="00DB0698" w14:paraId="031BC2FE" w14:textId="77777777" w:rsidTr="00E87685">
        <w:tc>
          <w:tcPr>
            <w:tcW w:w="3936" w:type="dxa"/>
            <w:tcBorders>
              <w:right w:val="nil"/>
            </w:tcBorders>
          </w:tcPr>
          <w:p w14:paraId="3F8D0140" w14:textId="77777777" w:rsidR="007C6997" w:rsidRPr="00DB0698" w:rsidRDefault="007C6997" w:rsidP="00460458">
            <w:pPr>
              <w:spacing w:before="40" w:after="40"/>
              <w:ind w:left="29"/>
              <w:jc w:val="both"/>
              <w:rPr>
                <w:rFonts w:ascii="Arial Narrow" w:hAnsi="Arial Narrow"/>
                <w:sz w:val="20"/>
              </w:rPr>
            </w:pPr>
          </w:p>
        </w:tc>
        <w:tc>
          <w:tcPr>
            <w:tcW w:w="1701" w:type="dxa"/>
            <w:tcBorders>
              <w:left w:val="nil"/>
              <w:right w:val="nil"/>
            </w:tcBorders>
          </w:tcPr>
          <w:p w14:paraId="1F75D74F" w14:textId="77777777" w:rsidR="007C6997" w:rsidRPr="00DB0698" w:rsidRDefault="007C6997" w:rsidP="00460458">
            <w:pPr>
              <w:spacing w:before="40" w:after="40"/>
              <w:jc w:val="both"/>
              <w:rPr>
                <w:rFonts w:ascii="Arial Narrow" w:hAnsi="Arial Narrow"/>
                <w:i/>
                <w:sz w:val="20"/>
              </w:rPr>
            </w:pPr>
          </w:p>
        </w:tc>
        <w:tc>
          <w:tcPr>
            <w:tcW w:w="1871" w:type="dxa"/>
            <w:tcBorders>
              <w:left w:val="nil"/>
            </w:tcBorders>
            <w:vAlign w:val="center"/>
          </w:tcPr>
          <w:p w14:paraId="06D1AA20" w14:textId="77777777" w:rsidR="007C6997" w:rsidRPr="00DB0698" w:rsidRDefault="007C6997" w:rsidP="00460458">
            <w:pPr>
              <w:spacing w:before="40" w:after="40"/>
              <w:jc w:val="right"/>
              <w:rPr>
                <w:rFonts w:ascii="Arial Narrow" w:hAnsi="Arial Narrow"/>
                <w:i/>
                <w:sz w:val="20"/>
              </w:rPr>
            </w:pPr>
            <w:r w:rsidRPr="00DB0698">
              <w:rPr>
                <w:rFonts w:ascii="Arial Narrow" w:hAnsi="Arial Narrow"/>
                <w:b/>
                <w:sz w:val="20"/>
              </w:rPr>
              <w:t>$ per QALY gained</w:t>
            </w:r>
          </w:p>
        </w:tc>
        <w:tc>
          <w:tcPr>
            <w:tcW w:w="1508" w:type="dxa"/>
            <w:vAlign w:val="center"/>
          </w:tcPr>
          <w:p w14:paraId="3478387C"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b/>
                <w:sz w:val="20"/>
              </w:rPr>
              <w:t>$711,529</w:t>
            </w:r>
          </w:p>
        </w:tc>
      </w:tr>
    </w:tbl>
    <w:p w14:paraId="39821A64" w14:textId="5940D704" w:rsidR="00DA17F9" w:rsidRDefault="007C6997" w:rsidP="007C6997">
      <w:pPr>
        <w:jc w:val="both"/>
        <w:rPr>
          <w:rFonts w:ascii="Arial Narrow" w:hAnsi="Arial Narrow"/>
          <w:i/>
          <w:sz w:val="18"/>
        </w:rPr>
      </w:pPr>
      <w:r w:rsidRPr="001A4929">
        <w:rPr>
          <w:rFonts w:ascii="Arial Narrow" w:hAnsi="Arial Narrow"/>
          <w:i/>
          <w:sz w:val="18"/>
        </w:rPr>
        <w:t xml:space="preserve">Text in italics indicate values calculated </w:t>
      </w:r>
      <w:r w:rsidR="00011519">
        <w:rPr>
          <w:rFonts w:ascii="Arial Narrow" w:hAnsi="Arial Narrow"/>
          <w:i/>
          <w:sz w:val="18"/>
          <w:szCs w:val="18"/>
        </w:rPr>
        <w:t>for the C</w:t>
      </w:r>
      <w:r w:rsidRPr="001A4929">
        <w:rPr>
          <w:rFonts w:ascii="Arial Narrow" w:hAnsi="Arial Narrow"/>
          <w:i/>
          <w:sz w:val="18"/>
        </w:rPr>
        <w:t>ritique</w:t>
      </w:r>
      <w:r w:rsidR="00DA17F9">
        <w:rPr>
          <w:rFonts w:ascii="Arial Narrow" w:hAnsi="Arial Narrow"/>
          <w:i/>
          <w:sz w:val="18"/>
        </w:rPr>
        <w:t>.</w:t>
      </w:r>
    </w:p>
    <w:p w14:paraId="5B144ADC" w14:textId="03739907" w:rsidR="007C6997" w:rsidRDefault="007C6997" w:rsidP="007C6997">
      <w:pPr>
        <w:jc w:val="both"/>
        <w:rPr>
          <w:rFonts w:ascii="Arial Narrow" w:hAnsi="Arial Narrow"/>
          <w:sz w:val="18"/>
        </w:rPr>
      </w:pPr>
      <w:r w:rsidRPr="001A4929">
        <w:rPr>
          <w:rFonts w:ascii="Arial Narrow" w:hAnsi="Arial Narrow"/>
          <w:sz w:val="18"/>
        </w:rPr>
        <w:t xml:space="preserve">Source: 72 p155 of the </w:t>
      </w:r>
      <w:r w:rsidR="000F66FC">
        <w:rPr>
          <w:rFonts w:ascii="Arial Narrow" w:hAnsi="Arial Narrow"/>
          <w:sz w:val="18"/>
        </w:rPr>
        <w:t>resubmission;</w:t>
      </w:r>
      <w:r w:rsidRPr="001A4929">
        <w:rPr>
          <w:rFonts w:ascii="Arial Narrow" w:hAnsi="Arial Narrow"/>
          <w:sz w:val="18"/>
        </w:rPr>
        <w:t xml:space="preserve"> ODX_EconModel.xlsm</w:t>
      </w:r>
      <w:r w:rsidR="00DA17F9">
        <w:rPr>
          <w:rFonts w:ascii="Arial Narrow" w:hAnsi="Arial Narrow"/>
          <w:sz w:val="18"/>
        </w:rPr>
        <w:t>.</w:t>
      </w:r>
    </w:p>
    <w:p w14:paraId="7EB2427D" w14:textId="62936C18" w:rsidR="007C6997" w:rsidRPr="00E2362C" w:rsidRDefault="007C6997" w:rsidP="00E2362C">
      <w:pPr>
        <w:spacing w:after="240"/>
        <w:jc w:val="both"/>
        <w:rPr>
          <w:rFonts w:ascii="Arial Narrow" w:hAnsi="Arial Narrow"/>
          <w:sz w:val="18"/>
        </w:rPr>
      </w:pPr>
      <w:r>
        <w:rPr>
          <w:rFonts w:ascii="Arial Narrow" w:hAnsi="Arial Narrow"/>
          <w:sz w:val="18"/>
          <w:vertAlign w:val="superscript"/>
        </w:rPr>
        <w:t xml:space="preserve">a </w:t>
      </w:r>
      <w:r>
        <w:rPr>
          <w:rFonts w:ascii="Arial Narrow" w:hAnsi="Arial Narrow"/>
          <w:sz w:val="18"/>
        </w:rPr>
        <w:t>T</w:t>
      </w:r>
      <w:r w:rsidRPr="000E6B18">
        <w:rPr>
          <w:rFonts w:ascii="Arial Narrow" w:hAnsi="Arial Narrow"/>
          <w:sz w:val="18"/>
        </w:rPr>
        <w:t>hat is, moving any patients with RS</w:t>
      </w:r>
      <w:r w:rsidR="00375B02">
        <w:rPr>
          <w:rFonts w:ascii="Arial Narrow" w:hAnsi="Arial Narrow"/>
          <w:sz w:val="18"/>
        </w:rPr>
        <w:t> </w:t>
      </w:r>
      <w:r w:rsidRPr="000E6B18">
        <w:rPr>
          <w:rFonts w:ascii="Arial Narrow" w:hAnsi="Arial Narrow"/>
          <w:sz w:val="18"/>
        </w:rPr>
        <w:t xml:space="preserve">≤25 treated with </w:t>
      </w:r>
      <w:r w:rsidR="00D40F84">
        <w:rPr>
          <w:rFonts w:ascii="Arial Narrow" w:hAnsi="Arial Narrow"/>
          <w:sz w:val="18"/>
        </w:rPr>
        <w:t>E</w:t>
      </w:r>
      <w:r w:rsidRPr="000E6B18">
        <w:rPr>
          <w:rFonts w:ascii="Arial Narrow" w:hAnsi="Arial Narrow"/>
          <w:sz w:val="18"/>
        </w:rPr>
        <w:t xml:space="preserve">T+CT in the usual care arm to </w:t>
      </w:r>
      <w:r w:rsidR="00D40F84">
        <w:rPr>
          <w:rFonts w:ascii="Arial Narrow" w:hAnsi="Arial Narrow"/>
          <w:sz w:val="18"/>
        </w:rPr>
        <w:t>E</w:t>
      </w:r>
      <w:r w:rsidRPr="000E6B18">
        <w:rPr>
          <w:rFonts w:ascii="Arial Narrow" w:hAnsi="Arial Narrow"/>
          <w:sz w:val="18"/>
        </w:rPr>
        <w:t xml:space="preserve">T </w:t>
      </w:r>
      <w:r w:rsidR="00BE2E9E">
        <w:rPr>
          <w:rFonts w:ascii="Arial Narrow" w:hAnsi="Arial Narrow"/>
          <w:sz w:val="18"/>
        </w:rPr>
        <w:t>alone</w:t>
      </w:r>
      <w:r w:rsidRPr="000E6B18">
        <w:rPr>
          <w:rFonts w:ascii="Arial Narrow" w:hAnsi="Arial Narrow"/>
          <w:sz w:val="18"/>
        </w:rPr>
        <w:t xml:space="preserve"> in the Oncotype</w:t>
      </w:r>
      <w:r w:rsidR="00A52F8F">
        <w:rPr>
          <w:rFonts w:ascii="Arial Narrow" w:hAnsi="Arial Narrow"/>
          <w:sz w:val="18"/>
        </w:rPr>
        <w:t> </w:t>
      </w:r>
      <w:r w:rsidRPr="000E6B18">
        <w:rPr>
          <w:rFonts w:ascii="Arial Narrow" w:hAnsi="Arial Narrow"/>
          <w:sz w:val="18"/>
        </w:rPr>
        <w:t>DX arm</w:t>
      </w:r>
      <w:r w:rsidR="00DA17F9">
        <w:rPr>
          <w:rFonts w:ascii="Arial Narrow" w:hAnsi="Arial Narrow"/>
          <w:sz w:val="18"/>
        </w:rPr>
        <w:t>.</w:t>
      </w:r>
    </w:p>
    <w:p w14:paraId="17ADBC22" w14:textId="1EACC0E8" w:rsidR="007C6997" w:rsidRPr="00B24C63" w:rsidRDefault="007C6997" w:rsidP="00B24C63">
      <w:pPr>
        <w:rPr>
          <w:rFonts w:ascii="Arial Narrow" w:hAnsi="Arial Narrow"/>
          <w:b/>
          <w:sz w:val="20"/>
        </w:rPr>
      </w:pPr>
      <w:bookmarkStart w:id="17" w:name="_Ref8702633"/>
      <w:bookmarkStart w:id="18" w:name="_Toc8707446"/>
      <w:r w:rsidRPr="00B24C63">
        <w:rPr>
          <w:rFonts w:ascii="Arial Narrow" w:hAnsi="Arial Narrow"/>
          <w:b/>
          <w:sz w:val="20"/>
        </w:rPr>
        <w:t xml:space="preserve">Table </w:t>
      </w:r>
      <w:bookmarkEnd w:id="17"/>
      <w:r w:rsidRPr="00B24C63">
        <w:rPr>
          <w:rFonts w:ascii="Arial Narrow" w:hAnsi="Arial Narrow"/>
          <w:b/>
          <w:sz w:val="20"/>
        </w:rPr>
        <w:t>7</w:t>
      </w:r>
      <w:r w:rsidRPr="00B24C63">
        <w:rPr>
          <w:rFonts w:ascii="Arial Narrow" w:hAnsi="Arial Narrow"/>
          <w:b/>
          <w:sz w:val="20"/>
        </w:rPr>
        <w:tab/>
        <w:t xml:space="preserve">Summary of disaggregated incremental cost and effectiveness in </w:t>
      </w:r>
      <w:r w:rsidR="00F3423D" w:rsidRPr="00B24C63">
        <w:rPr>
          <w:rFonts w:ascii="Arial Narrow" w:hAnsi="Arial Narrow"/>
          <w:b/>
          <w:sz w:val="20"/>
        </w:rPr>
        <w:t>“chemotherapy</w:t>
      </w:r>
      <w:r w:rsidRPr="00B24C63">
        <w:rPr>
          <w:rFonts w:ascii="Arial Narrow" w:hAnsi="Arial Narrow"/>
          <w:b/>
          <w:sz w:val="20"/>
        </w:rPr>
        <w:t xml:space="preserve"> indicating</w:t>
      </w:r>
      <w:r w:rsidR="00F3423D" w:rsidRPr="00B24C63">
        <w:rPr>
          <w:rFonts w:ascii="Arial Narrow" w:hAnsi="Arial Narrow"/>
          <w:b/>
          <w:sz w:val="20"/>
        </w:rPr>
        <w:t>”</w:t>
      </w:r>
      <w:r w:rsidRPr="00B24C63">
        <w:rPr>
          <w:rFonts w:ascii="Arial Narrow" w:hAnsi="Arial Narrow"/>
          <w:b/>
          <w:sz w:val="20"/>
        </w:rPr>
        <w:t xml:space="preserve"> only</w:t>
      </w:r>
      <w:bookmarkEnd w:id="18"/>
      <w:r w:rsidRPr="00B24C63">
        <w:rPr>
          <w:rFonts w:ascii="Arial Narrow" w:hAnsi="Arial Narrow"/>
          <w:b/>
          <w:sz w:val="20"/>
        </w:rPr>
        <w:t>a</w:t>
      </w:r>
    </w:p>
    <w:tbl>
      <w:tblPr>
        <w:tblStyle w:val="TableGrid"/>
        <w:tblW w:w="0" w:type="auto"/>
        <w:tblLook w:val="04A0" w:firstRow="1" w:lastRow="0" w:firstColumn="1" w:lastColumn="0" w:noHBand="0" w:noVBand="1"/>
        <w:tblCaption w:val="Summary of disaggregated incremental cost and effectiveness in CT indicating only "/>
        <w:tblDescription w:val="Summary of disaggregated incremental cost and effectiveness in CT indicating only "/>
      </w:tblPr>
      <w:tblGrid>
        <w:gridCol w:w="3936"/>
        <w:gridCol w:w="1701"/>
        <w:gridCol w:w="1871"/>
        <w:gridCol w:w="1508"/>
      </w:tblGrid>
      <w:tr w:rsidR="007C6997" w:rsidRPr="00DB0698" w14:paraId="2CD1A2BC" w14:textId="77777777" w:rsidTr="00E87685">
        <w:trPr>
          <w:tblHeader/>
        </w:trPr>
        <w:tc>
          <w:tcPr>
            <w:tcW w:w="3936" w:type="dxa"/>
          </w:tcPr>
          <w:p w14:paraId="7F172E9A" w14:textId="77777777" w:rsidR="007C6997" w:rsidRPr="00DB0698" w:rsidRDefault="007C6997" w:rsidP="00460458">
            <w:pPr>
              <w:spacing w:before="40" w:after="40"/>
              <w:jc w:val="both"/>
              <w:rPr>
                <w:rFonts w:ascii="Arial Narrow" w:hAnsi="Arial Narrow"/>
                <w:b/>
                <w:sz w:val="20"/>
              </w:rPr>
            </w:pPr>
            <w:r w:rsidRPr="00DB0698">
              <w:rPr>
                <w:rFonts w:ascii="Arial Narrow" w:hAnsi="Arial Narrow"/>
                <w:b/>
                <w:sz w:val="20"/>
              </w:rPr>
              <w:t>Parameter</w:t>
            </w:r>
          </w:p>
        </w:tc>
        <w:tc>
          <w:tcPr>
            <w:tcW w:w="1701" w:type="dxa"/>
            <w:vAlign w:val="center"/>
          </w:tcPr>
          <w:p w14:paraId="3763CA60"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Oncotype DX</w:t>
            </w:r>
          </w:p>
        </w:tc>
        <w:tc>
          <w:tcPr>
            <w:tcW w:w="1871" w:type="dxa"/>
            <w:vAlign w:val="center"/>
          </w:tcPr>
          <w:p w14:paraId="0A57853E"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 xml:space="preserve">Usual </w:t>
            </w:r>
            <w:r>
              <w:rPr>
                <w:rFonts w:ascii="Arial Narrow" w:hAnsi="Arial Narrow"/>
                <w:b/>
                <w:sz w:val="20"/>
              </w:rPr>
              <w:t>c</w:t>
            </w:r>
            <w:r w:rsidRPr="00DB0698">
              <w:rPr>
                <w:rFonts w:ascii="Arial Narrow" w:hAnsi="Arial Narrow"/>
                <w:b/>
                <w:sz w:val="20"/>
              </w:rPr>
              <w:t>are</w:t>
            </w:r>
          </w:p>
        </w:tc>
        <w:tc>
          <w:tcPr>
            <w:tcW w:w="1508" w:type="dxa"/>
            <w:vAlign w:val="center"/>
          </w:tcPr>
          <w:p w14:paraId="5A9F501F"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Incremental</w:t>
            </w:r>
          </w:p>
        </w:tc>
      </w:tr>
      <w:tr w:rsidR="007C6997" w:rsidRPr="00DB0698" w14:paraId="3880CDED" w14:textId="77777777" w:rsidTr="00E87685">
        <w:tc>
          <w:tcPr>
            <w:tcW w:w="3936" w:type="dxa"/>
            <w:tcBorders>
              <w:right w:val="nil"/>
            </w:tcBorders>
          </w:tcPr>
          <w:p w14:paraId="015CC83D" w14:textId="77777777" w:rsidR="007C6997" w:rsidRPr="00DB0698" w:rsidRDefault="007C6997" w:rsidP="00460458">
            <w:pPr>
              <w:spacing w:before="40" w:after="40"/>
              <w:jc w:val="both"/>
              <w:rPr>
                <w:rFonts w:ascii="Arial Narrow" w:hAnsi="Arial Narrow"/>
                <w:b/>
                <w:sz w:val="20"/>
              </w:rPr>
            </w:pPr>
            <w:r w:rsidRPr="00DB0698">
              <w:rPr>
                <w:rFonts w:ascii="Arial Narrow" w:hAnsi="Arial Narrow"/>
                <w:b/>
                <w:sz w:val="20"/>
              </w:rPr>
              <w:t>Disaggregated costs</w:t>
            </w:r>
          </w:p>
        </w:tc>
        <w:tc>
          <w:tcPr>
            <w:tcW w:w="1701" w:type="dxa"/>
            <w:tcBorders>
              <w:left w:val="nil"/>
              <w:right w:val="nil"/>
            </w:tcBorders>
            <w:vAlign w:val="center"/>
          </w:tcPr>
          <w:p w14:paraId="5F7A79A4" w14:textId="77777777" w:rsidR="007C6997" w:rsidRPr="00DB0698" w:rsidRDefault="007C6997" w:rsidP="00460458">
            <w:pPr>
              <w:spacing w:before="40" w:after="40"/>
              <w:jc w:val="center"/>
              <w:rPr>
                <w:rFonts w:ascii="Arial Narrow" w:hAnsi="Arial Narrow"/>
                <w:b/>
                <w:sz w:val="20"/>
              </w:rPr>
            </w:pPr>
          </w:p>
        </w:tc>
        <w:tc>
          <w:tcPr>
            <w:tcW w:w="1871" w:type="dxa"/>
            <w:tcBorders>
              <w:left w:val="nil"/>
              <w:right w:val="nil"/>
            </w:tcBorders>
            <w:vAlign w:val="center"/>
          </w:tcPr>
          <w:p w14:paraId="78996C3B" w14:textId="77777777" w:rsidR="007C6997" w:rsidRPr="00DB0698" w:rsidRDefault="007C6997" w:rsidP="00460458">
            <w:pPr>
              <w:spacing w:before="40" w:after="40"/>
              <w:jc w:val="center"/>
              <w:rPr>
                <w:rFonts w:ascii="Arial Narrow" w:hAnsi="Arial Narrow"/>
                <w:b/>
                <w:sz w:val="20"/>
              </w:rPr>
            </w:pPr>
          </w:p>
        </w:tc>
        <w:tc>
          <w:tcPr>
            <w:tcW w:w="1508" w:type="dxa"/>
            <w:tcBorders>
              <w:left w:val="nil"/>
            </w:tcBorders>
            <w:vAlign w:val="center"/>
          </w:tcPr>
          <w:p w14:paraId="30DA0F11" w14:textId="77777777" w:rsidR="007C6997" w:rsidRPr="00DB0698" w:rsidRDefault="007C6997" w:rsidP="00460458">
            <w:pPr>
              <w:spacing w:before="40" w:after="40"/>
              <w:jc w:val="center"/>
              <w:rPr>
                <w:rFonts w:ascii="Arial Narrow" w:hAnsi="Arial Narrow"/>
                <w:b/>
                <w:sz w:val="20"/>
              </w:rPr>
            </w:pPr>
          </w:p>
        </w:tc>
      </w:tr>
      <w:tr w:rsidR="007C6997" w:rsidRPr="00DB0698" w14:paraId="759D1F8D" w14:textId="77777777" w:rsidTr="00E87685">
        <w:tc>
          <w:tcPr>
            <w:tcW w:w="3936" w:type="dxa"/>
          </w:tcPr>
          <w:p w14:paraId="4068D344" w14:textId="25EC6793" w:rsidR="007C6997" w:rsidRPr="00DB0698" w:rsidRDefault="007C6997" w:rsidP="00A52F8F">
            <w:pPr>
              <w:spacing w:before="40" w:after="40"/>
              <w:jc w:val="both"/>
              <w:rPr>
                <w:rFonts w:ascii="Arial Narrow" w:hAnsi="Arial Narrow"/>
                <w:sz w:val="20"/>
              </w:rPr>
            </w:pPr>
            <w:r w:rsidRPr="00DB0698">
              <w:rPr>
                <w:rFonts w:ascii="Arial Narrow" w:hAnsi="Arial Narrow"/>
                <w:sz w:val="20"/>
              </w:rPr>
              <w:t>Oncotype</w:t>
            </w:r>
            <w:r w:rsidR="00A52F8F">
              <w:rPr>
                <w:rFonts w:ascii="Arial Narrow" w:hAnsi="Arial Narrow"/>
                <w:sz w:val="20"/>
              </w:rPr>
              <w:t> </w:t>
            </w:r>
            <w:r w:rsidRPr="00DB0698">
              <w:rPr>
                <w:rFonts w:ascii="Arial Narrow" w:hAnsi="Arial Narrow"/>
                <w:sz w:val="20"/>
              </w:rPr>
              <w:t>DX test costs</w:t>
            </w:r>
          </w:p>
        </w:tc>
        <w:tc>
          <w:tcPr>
            <w:tcW w:w="1701" w:type="dxa"/>
            <w:vAlign w:val="center"/>
          </w:tcPr>
          <w:p w14:paraId="107DAD33"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$5,085.00</w:t>
            </w:r>
          </w:p>
        </w:tc>
        <w:tc>
          <w:tcPr>
            <w:tcW w:w="1871" w:type="dxa"/>
            <w:vAlign w:val="center"/>
          </w:tcPr>
          <w:p w14:paraId="406A3AAB"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$0.00</w:t>
            </w:r>
          </w:p>
        </w:tc>
        <w:tc>
          <w:tcPr>
            <w:tcW w:w="1508" w:type="dxa"/>
            <w:vAlign w:val="center"/>
          </w:tcPr>
          <w:p w14:paraId="4659945A"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$5,085.00</w:t>
            </w:r>
          </w:p>
        </w:tc>
      </w:tr>
      <w:tr w:rsidR="007C6997" w:rsidRPr="00DB0698" w14:paraId="67780045" w14:textId="77777777" w:rsidTr="00E87685">
        <w:tc>
          <w:tcPr>
            <w:tcW w:w="3936" w:type="dxa"/>
          </w:tcPr>
          <w:p w14:paraId="27D062C7" w14:textId="77777777" w:rsidR="007C6997" w:rsidRPr="00DB0698" w:rsidRDefault="007C6997" w:rsidP="00460458">
            <w:pPr>
              <w:spacing w:before="40" w:after="40"/>
              <w:jc w:val="both"/>
              <w:rPr>
                <w:rFonts w:ascii="Arial Narrow" w:hAnsi="Arial Narrow"/>
                <w:sz w:val="20"/>
              </w:rPr>
            </w:pPr>
            <w:r>
              <w:rPr>
                <w:rFonts w:ascii="Arial Narrow" w:hAnsi="Arial Narrow"/>
                <w:sz w:val="20"/>
              </w:rPr>
              <w:t>Chemotherapy</w:t>
            </w:r>
          </w:p>
        </w:tc>
        <w:tc>
          <w:tcPr>
            <w:tcW w:w="1701" w:type="dxa"/>
            <w:vAlign w:val="center"/>
          </w:tcPr>
          <w:p w14:paraId="006A3E32"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$3,672.22</w:t>
            </w:r>
          </w:p>
        </w:tc>
        <w:tc>
          <w:tcPr>
            <w:tcW w:w="1871" w:type="dxa"/>
            <w:vAlign w:val="center"/>
          </w:tcPr>
          <w:p w14:paraId="06E0A5BC"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$3,116.03</w:t>
            </w:r>
          </w:p>
        </w:tc>
        <w:tc>
          <w:tcPr>
            <w:tcW w:w="1508" w:type="dxa"/>
            <w:vAlign w:val="center"/>
          </w:tcPr>
          <w:p w14:paraId="7342DF28"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$556.19</w:t>
            </w:r>
          </w:p>
        </w:tc>
      </w:tr>
      <w:tr w:rsidR="007C6997" w:rsidRPr="00DB0698" w14:paraId="357C6B5C" w14:textId="77777777" w:rsidTr="00E87685">
        <w:tc>
          <w:tcPr>
            <w:tcW w:w="3936" w:type="dxa"/>
          </w:tcPr>
          <w:p w14:paraId="01AF4D88" w14:textId="326DE7CF" w:rsidR="007C6997" w:rsidRPr="00DB0698" w:rsidRDefault="0012326F" w:rsidP="0012326F">
            <w:pPr>
              <w:spacing w:before="40" w:after="40"/>
              <w:jc w:val="both"/>
              <w:rPr>
                <w:rFonts w:ascii="Arial Narrow" w:hAnsi="Arial Narrow"/>
                <w:sz w:val="20"/>
              </w:rPr>
            </w:pPr>
            <w:r>
              <w:rPr>
                <w:rFonts w:ascii="Arial Narrow" w:hAnsi="Arial Narrow"/>
                <w:sz w:val="20"/>
              </w:rPr>
              <w:t>Endocrine</w:t>
            </w:r>
            <w:r w:rsidR="007C6997" w:rsidRPr="00DB0698">
              <w:rPr>
                <w:rFonts w:ascii="Arial Narrow" w:hAnsi="Arial Narrow"/>
                <w:sz w:val="20"/>
              </w:rPr>
              <w:t xml:space="preserve"> therapy</w:t>
            </w:r>
            <w:r w:rsidR="007C6997" w:rsidRPr="00DB0698">
              <w:rPr>
                <w:rFonts w:ascii="Arial Narrow" w:hAnsi="Arial Narrow"/>
                <w:sz w:val="20"/>
                <w:vertAlign w:val="superscript"/>
              </w:rPr>
              <w:noBreakHyphen/>
            </w:r>
          </w:p>
        </w:tc>
        <w:tc>
          <w:tcPr>
            <w:tcW w:w="1701" w:type="dxa"/>
            <w:vAlign w:val="center"/>
          </w:tcPr>
          <w:p w14:paraId="3D3E148D"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$3,175.34</w:t>
            </w:r>
          </w:p>
        </w:tc>
        <w:tc>
          <w:tcPr>
            <w:tcW w:w="1871" w:type="dxa"/>
            <w:vAlign w:val="center"/>
          </w:tcPr>
          <w:p w14:paraId="11A73D45"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$3,160.85</w:t>
            </w:r>
          </w:p>
        </w:tc>
        <w:tc>
          <w:tcPr>
            <w:tcW w:w="1508" w:type="dxa"/>
            <w:vAlign w:val="center"/>
          </w:tcPr>
          <w:p w14:paraId="57E63497"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$14.50</w:t>
            </w:r>
          </w:p>
        </w:tc>
      </w:tr>
      <w:tr w:rsidR="007C6997" w:rsidRPr="00DB0698" w14:paraId="1341BF22" w14:textId="77777777" w:rsidTr="00E87685">
        <w:tc>
          <w:tcPr>
            <w:tcW w:w="3936" w:type="dxa"/>
          </w:tcPr>
          <w:p w14:paraId="012F6E7C" w14:textId="77777777" w:rsidR="007C6997" w:rsidRPr="00DB0698" w:rsidRDefault="007C6997" w:rsidP="00460458">
            <w:pPr>
              <w:spacing w:before="40" w:after="40"/>
              <w:jc w:val="both"/>
              <w:rPr>
                <w:rFonts w:ascii="Arial Narrow" w:hAnsi="Arial Narrow"/>
                <w:sz w:val="20"/>
              </w:rPr>
            </w:pPr>
            <w:r w:rsidRPr="00DB0698">
              <w:rPr>
                <w:rFonts w:ascii="Arial Narrow" w:hAnsi="Arial Narrow"/>
                <w:sz w:val="20"/>
              </w:rPr>
              <w:t>Recurrent disease</w:t>
            </w:r>
          </w:p>
        </w:tc>
        <w:tc>
          <w:tcPr>
            <w:tcW w:w="1701" w:type="dxa"/>
            <w:vAlign w:val="center"/>
          </w:tcPr>
          <w:p w14:paraId="13AE3828"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$4,750.80</w:t>
            </w:r>
          </w:p>
        </w:tc>
        <w:tc>
          <w:tcPr>
            <w:tcW w:w="1871" w:type="dxa"/>
            <w:vAlign w:val="center"/>
          </w:tcPr>
          <w:p w14:paraId="1DAD1759"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$5,791.22</w:t>
            </w:r>
          </w:p>
        </w:tc>
        <w:tc>
          <w:tcPr>
            <w:tcW w:w="1508" w:type="dxa"/>
            <w:vAlign w:val="center"/>
          </w:tcPr>
          <w:p w14:paraId="146574E2" w14:textId="77777777" w:rsidR="007C6997" w:rsidRPr="00DB0698" w:rsidRDefault="007C6997" w:rsidP="00460458">
            <w:pPr>
              <w:spacing w:before="40" w:after="40"/>
              <w:jc w:val="center"/>
              <w:rPr>
                <w:rFonts w:ascii="Arial Narrow" w:hAnsi="Arial Narrow"/>
                <w:sz w:val="20"/>
              </w:rPr>
            </w:pPr>
            <w:r w:rsidRPr="00DB0698">
              <w:rPr>
                <w:rFonts w:ascii="Arial Narrow" w:hAnsi="Arial Narrow"/>
                <w:sz w:val="20"/>
              </w:rPr>
              <w:t>-$1,040.43</w:t>
            </w:r>
          </w:p>
        </w:tc>
      </w:tr>
      <w:tr w:rsidR="007C6997" w:rsidRPr="00DB0698" w14:paraId="3733468A" w14:textId="77777777" w:rsidTr="00E87685">
        <w:tc>
          <w:tcPr>
            <w:tcW w:w="3936" w:type="dxa"/>
          </w:tcPr>
          <w:p w14:paraId="5C4E3FF2" w14:textId="77777777" w:rsidR="007C6997" w:rsidRPr="00DB0698" w:rsidRDefault="007C6997" w:rsidP="00460458">
            <w:pPr>
              <w:spacing w:before="40" w:after="40"/>
              <w:jc w:val="both"/>
              <w:rPr>
                <w:rFonts w:ascii="Arial Narrow" w:hAnsi="Arial Narrow"/>
                <w:b/>
                <w:sz w:val="20"/>
              </w:rPr>
            </w:pPr>
            <w:r w:rsidRPr="00DB0698">
              <w:rPr>
                <w:rFonts w:ascii="Arial Narrow" w:hAnsi="Arial Narrow"/>
                <w:b/>
                <w:sz w:val="20"/>
              </w:rPr>
              <w:t>Total</w:t>
            </w:r>
          </w:p>
        </w:tc>
        <w:tc>
          <w:tcPr>
            <w:tcW w:w="1701" w:type="dxa"/>
            <w:vAlign w:val="center"/>
          </w:tcPr>
          <w:p w14:paraId="40F81F23"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$16,683.36</w:t>
            </w:r>
          </w:p>
        </w:tc>
        <w:tc>
          <w:tcPr>
            <w:tcW w:w="1871" w:type="dxa"/>
            <w:vAlign w:val="center"/>
          </w:tcPr>
          <w:p w14:paraId="09CF5962"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$12,068.10</w:t>
            </w:r>
          </w:p>
        </w:tc>
        <w:tc>
          <w:tcPr>
            <w:tcW w:w="1508" w:type="dxa"/>
            <w:vAlign w:val="center"/>
          </w:tcPr>
          <w:p w14:paraId="72A4CC01"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$4,615.26</w:t>
            </w:r>
          </w:p>
        </w:tc>
      </w:tr>
      <w:tr w:rsidR="007C6997" w:rsidRPr="00DB0698" w14:paraId="296CEB49" w14:textId="77777777" w:rsidTr="00E87685">
        <w:tc>
          <w:tcPr>
            <w:tcW w:w="3936" w:type="dxa"/>
            <w:tcBorders>
              <w:right w:val="nil"/>
            </w:tcBorders>
          </w:tcPr>
          <w:p w14:paraId="4525DF7E" w14:textId="77777777" w:rsidR="007C6997" w:rsidRPr="00DB0698" w:rsidRDefault="007C6997" w:rsidP="00460458">
            <w:pPr>
              <w:spacing w:before="40" w:after="40"/>
              <w:jc w:val="both"/>
              <w:rPr>
                <w:rFonts w:ascii="Arial Narrow" w:hAnsi="Arial Narrow"/>
                <w:b/>
                <w:sz w:val="20"/>
              </w:rPr>
            </w:pPr>
            <w:r w:rsidRPr="00744E32">
              <w:rPr>
                <w:rFonts w:ascii="Arial Narrow" w:hAnsi="Arial Narrow"/>
                <w:b/>
                <w:sz w:val="20"/>
              </w:rPr>
              <w:t>Disaggregated outcomes</w:t>
            </w:r>
            <w:r>
              <w:rPr>
                <w:rFonts w:ascii="Arial Narrow" w:hAnsi="Arial Narrow"/>
                <w:b/>
                <w:sz w:val="20"/>
              </w:rPr>
              <w:t xml:space="preserve"> (</w:t>
            </w:r>
            <w:r w:rsidRPr="00744E32">
              <w:rPr>
                <w:rFonts w:ascii="Arial Narrow" w:hAnsi="Arial Narrow"/>
                <w:b/>
                <w:sz w:val="20"/>
              </w:rPr>
              <w:t xml:space="preserve">discounted with half </w:t>
            </w:r>
          </w:p>
        </w:tc>
        <w:tc>
          <w:tcPr>
            <w:tcW w:w="1701" w:type="dxa"/>
            <w:tcBorders>
              <w:left w:val="nil"/>
              <w:right w:val="nil"/>
            </w:tcBorders>
            <w:vAlign w:val="center"/>
          </w:tcPr>
          <w:p w14:paraId="58FBC9ED" w14:textId="77777777" w:rsidR="007C6997" w:rsidRPr="00DB0698" w:rsidRDefault="007C6997" w:rsidP="00460458">
            <w:pPr>
              <w:spacing w:before="40" w:after="40"/>
              <w:ind w:left="-108"/>
              <w:jc w:val="both"/>
              <w:rPr>
                <w:rFonts w:ascii="Arial Narrow" w:hAnsi="Arial Narrow"/>
                <w:b/>
                <w:sz w:val="20"/>
              </w:rPr>
            </w:pPr>
            <w:r w:rsidRPr="00744E32">
              <w:rPr>
                <w:rFonts w:ascii="Arial Narrow" w:hAnsi="Arial Narrow"/>
                <w:b/>
                <w:sz w:val="20"/>
              </w:rPr>
              <w:t>cycle correction)</w:t>
            </w:r>
          </w:p>
        </w:tc>
        <w:tc>
          <w:tcPr>
            <w:tcW w:w="1871" w:type="dxa"/>
            <w:tcBorders>
              <w:left w:val="nil"/>
              <w:right w:val="nil"/>
            </w:tcBorders>
          </w:tcPr>
          <w:p w14:paraId="4E7E6B2E" w14:textId="77777777" w:rsidR="007C6997" w:rsidRPr="00DB0698" w:rsidRDefault="007C6997" w:rsidP="00460458">
            <w:pPr>
              <w:spacing w:before="40" w:after="40"/>
              <w:jc w:val="both"/>
              <w:rPr>
                <w:rFonts w:ascii="Arial Narrow" w:hAnsi="Arial Narrow"/>
                <w:b/>
                <w:sz w:val="20"/>
              </w:rPr>
            </w:pPr>
          </w:p>
        </w:tc>
        <w:tc>
          <w:tcPr>
            <w:tcW w:w="1508" w:type="dxa"/>
            <w:tcBorders>
              <w:left w:val="nil"/>
            </w:tcBorders>
          </w:tcPr>
          <w:p w14:paraId="62E294A2" w14:textId="77777777" w:rsidR="007C6997" w:rsidRPr="00DB0698" w:rsidRDefault="007C6997" w:rsidP="00460458">
            <w:pPr>
              <w:spacing w:before="40" w:after="40"/>
              <w:jc w:val="both"/>
              <w:rPr>
                <w:rFonts w:ascii="Arial Narrow" w:hAnsi="Arial Narrow"/>
                <w:b/>
                <w:sz w:val="20"/>
              </w:rPr>
            </w:pPr>
          </w:p>
        </w:tc>
      </w:tr>
      <w:tr w:rsidR="007C6997" w:rsidRPr="00DB0698" w14:paraId="7392A8A2" w14:textId="77777777" w:rsidTr="00E87685">
        <w:tc>
          <w:tcPr>
            <w:tcW w:w="3936" w:type="dxa"/>
          </w:tcPr>
          <w:p w14:paraId="528B2097" w14:textId="7BFB55A9" w:rsidR="007C6997" w:rsidRPr="00DB0698" w:rsidRDefault="00E87685" w:rsidP="00460458">
            <w:pPr>
              <w:spacing w:before="40" w:after="40"/>
              <w:jc w:val="both"/>
              <w:rPr>
                <w:rFonts w:ascii="Arial Narrow" w:hAnsi="Arial Narrow"/>
                <w:b/>
                <w:sz w:val="20"/>
              </w:rPr>
            </w:pPr>
            <w:r>
              <w:rPr>
                <w:rFonts w:ascii="Arial Narrow" w:hAnsi="Arial Narrow"/>
                <w:b/>
                <w:sz w:val="20"/>
              </w:rPr>
              <w:t>Life years</w:t>
            </w:r>
          </w:p>
        </w:tc>
        <w:tc>
          <w:tcPr>
            <w:tcW w:w="1701" w:type="dxa"/>
            <w:vAlign w:val="center"/>
          </w:tcPr>
          <w:p w14:paraId="3E6E2F3A"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13.7665</w:t>
            </w:r>
          </w:p>
        </w:tc>
        <w:tc>
          <w:tcPr>
            <w:tcW w:w="1871" w:type="dxa"/>
            <w:vAlign w:val="center"/>
          </w:tcPr>
          <w:p w14:paraId="24168CE7"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13.6530</w:t>
            </w:r>
          </w:p>
        </w:tc>
        <w:tc>
          <w:tcPr>
            <w:tcW w:w="1508" w:type="dxa"/>
            <w:vAlign w:val="center"/>
          </w:tcPr>
          <w:p w14:paraId="102842AD"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0.1135</w:t>
            </w:r>
          </w:p>
        </w:tc>
      </w:tr>
      <w:tr w:rsidR="007C6997" w:rsidRPr="00DB0698" w14:paraId="046C032E" w14:textId="77777777" w:rsidTr="00E87685">
        <w:tc>
          <w:tcPr>
            <w:tcW w:w="3936" w:type="dxa"/>
          </w:tcPr>
          <w:p w14:paraId="5C5C3B1F" w14:textId="77777777" w:rsidR="007C6997" w:rsidRPr="00DB0698" w:rsidRDefault="007C6997" w:rsidP="00460458">
            <w:pPr>
              <w:spacing w:before="40" w:after="40"/>
              <w:ind w:left="452"/>
              <w:jc w:val="both"/>
              <w:rPr>
                <w:rFonts w:ascii="Arial Narrow" w:hAnsi="Arial Narrow"/>
                <w:sz w:val="20"/>
              </w:rPr>
            </w:pPr>
            <w:r>
              <w:rPr>
                <w:rFonts w:ascii="Arial Narrow" w:hAnsi="Arial Narrow"/>
                <w:sz w:val="20"/>
              </w:rPr>
              <w:t>Disease-</w:t>
            </w:r>
            <w:r w:rsidRPr="00DB0698">
              <w:rPr>
                <w:rFonts w:ascii="Arial Narrow" w:hAnsi="Arial Narrow"/>
                <w:sz w:val="20"/>
              </w:rPr>
              <w:t>free</w:t>
            </w:r>
          </w:p>
        </w:tc>
        <w:tc>
          <w:tcPr>
            <w:tcW w:w="1701" w:type="dxa"/>
            <w:vAlign w:val="center"/>
          </w:tcPr>
          <w:p w14:paraId="5955003B"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13.6063</w:t>
            </w:r>
          </w:p>
        </w:tc>
        <w:tc>
          <w:tcPr>
            <w:tcW w:w="1871" w:type="dxa"/>
            <w:vAlign w:val="center"/>
          </w:tcPr>
          <w:p w14:paraId="2CF6CDD2"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13.4577</w:t>
            </w:r>
          </w:p>
        </w:tc>
        <w:tc>
          <w:tcPr>
            <w:tcW w:w="1508" w:type="dxa"/>
            <w:vAlign w:val="center"/>
          </w:tcPr>
          <w:p w14:paraId="1342CAD5"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0.1486</w:t>
            </w:r>
          </w:p>
        </w:tc>
      </w:tr>
      <w:tr w:rsidR="007C6997" w:rsidRPr="00DB0698" w14:paraId="3A35ADDA" w14:textId="77777777" w:rsidTr="00E87685">
        <w:tc>
          <w:tcPr>
            <w:tcW w:w="3936" w:type="dxa"/>
          </w:tcPr>
          <w:p w14:paraId="3EC2BF39" w14:textId="77777777" w:rsidR="007C6997" w:rsidRPr="00DB0698" w:rsidRDefault="007C6997" w:rsidP="00460458">
            <w:pPr>
              <w:spacing w:before="40" w:after="40"/>
              <w:ind w:left="452"/>
              <w:jc w:val="both"/>
              <w:rPr>
                <w:rFonts w:ascii="Arial Narrow" w:hAnsi="Arial Narrow"/>
                <w:sz w:val="20"/>
              </w:rPr>
            </w:pPr>
            <w:r>
              <w:rPr>
                <w:rFonts w:ascii="Arial Narrow" w:hAnsi="Arial Narrow"/>
                <w:sz w:val="20"/>
              </w:rPr>
              <w:t>Post recurrence</w:t>
            </w:r>
          </w:p>
        </w:tc>
        <w:tc>
          <w:tcPr>
            <w:tcW w:w="1701" w:type="dxa"/>
            <w:vAlign w:val="center"/>
          </w:tcPr>
          <w:p w14:paraId="502EBA6F"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0.1602</w:t>
            </w:r>
          </w:p>
        </w:tc>
        <w:tc>
          <w:tcPr>
            <w:tcW w:w="1871" w:type="dxa"/>
            <w:vAlign w:val="center"/>
          </w:tcPr>
          <w:p w14:paraId="2BB30E2A"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0.1953</w:t>
            </w:r>
          </w:p>
        </w:tc>
        <w:tc>
          <w:tcPr>
            <w:tcW w:w="1508" w:type="dxa"/>
            <w:vAlign w:val="center"/>
          </w:tcPr>
          <w:p w14:paraId="0F3332EF"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-0.0351</w:t>
            </w:r>
          </w:p>
        </w:tc>
      </w:tr>
      <w:tr w:rsidR="007C6997" w:rsidRPr="00DB0698" w14:paraId="7FFF4CD9" w14:textId="77777777" w:rsidTr="00E87685">
        <w:tc>
          <w:tcPr>
            <w:tcW w:w="3936" w:type="dxa"/>
          </w:tcPr>
          <w:p w14:paraId="385B526C" w14:textId="77777777" w:rsidR="007C6997" w:rsidRPr="00DB0698" w:rsidRDefault="007C6997" w:rsidP="00460458">
            <w:pPr>
              <w:spacing w:before="40" w:after="40"/>
              <w:jc w:val="both"/>
              <w:rPr>
                <w:rFonts w:ascii="Arial Narrow" w:hAnsi="Arial Narrow"/>
                <w:b/>
                <w:sz w:val="20"/>
              </w:rPr>
            </w:pPr>
            <w:r w:rsidRPr="00DB0698">
              <w:rPr>
                <w:rFonts w:ascii="Arial Narrow" w:hAnsi="Arial Narrow"/>
                <w:b/>
                <w:sz w:val="20"/>
              </w:rPr>
              <w:t>QALY</w:t>
            </w:r>
          </w:p>
        </w:tc>
        <w:tc>
          <w:tcPr>
            <w:tcW w:w="1701" w:type="dxa"/>
            <w:vAlign w:val="center"/>
          </w:tcPr>
          <w:p w14:paraId="2275C4FD"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13.5752</w:t>
            </w:r>
          </w:p>
        </w:tc>
        <w:tc>
          <w:tcPr>
            <w:tcW w:w="1871" w:type="dxa"/>
            <w:vAlign w:val="center"/>
          </w:tcPr>
          <w:p w14:paraId="1B12E9E4"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13.4575</w:t>
            </w:r>
          </w:p>
        </w:tc>
        <w:tc>
          <w:tcPr>
            <w:tcW w:w="1508" w:type="dxa"/>
            <w:vAlign w:val="center"/>
          </w:tcPr>
          <w:p w14:paraId="3FA38A59" w14:textId="77777777" w:rsidR="007C6997" w:rsidRPr="00DB0698" w:rsidRDefault="007C6997" w:rsidP="00460458">
            <w:pPr>
              <w:spacing w:before="40" w:after="40"/>
              <w:jc w:val="center"/>
              <w:rPr>
                <w:rFonts w:ascii="Arial Narrow" w:hAnsi="Arial Narrow"/>
                <w:b/>
                <w:sz w:val="20"/>
              </w:rPr>
            </w:pPr>
            <w:r w:rsidRPr="00DB0698">
              <w:rPr>
                <w:rFonts w:ascii="Arial Narrow" w:hAnsi="Arial Narrow"/>
                <w:b/>
                <w:sz w:val="20"/>
              </w:rPr>
              <w:t>0.1177</w:t>
            </w:r>
          </w:p>
        </w:tc>
      </w:tr>
      <w:tr w:rsidR="007C6997" w:rsidRPr="00DB0698" w14:paraId="541300C1" w14:textId="77777777" w:rsidTr="00E87685">
        <w:tc>
          <w:tcPr>
            <w:tcW w:w="3936" w:type="dxa"/>
          </w:tcPr>
          <w:p w14:paraId="00341CD8" w14:textId="77777777" w:rsidR="007C6997" w:rsidRPr="00DB0698" w:rsidRDefault="007C6997" w:rsidP="00460458">
            <w:pPr>
              <w:spacing w:before="40" w:after="40"/>
              <w:ind w:left="452"/>
              <w:jc w:val="both"/>
              <w:rPr>
                <w:rFonts w:ascii="Arial Narrow" w:hAnsi="Arial Narrow"/>
                <w:sz w:val="20"/>
              </w:rPr>
            </w:pPr>
            <w:r>
              <w:rPr>
                <w:rFonts w:ascii="Arial Narrow" w:hAnsi="Arial Narrow"/>
                <w:sz w:val="20"/>
              </w:rPr>
              <w:t>Disease-</w:t>
            </w:r>
            <w:r w:rsidRPr="00DB0698">
              <w:rPr>
                <w:rFonts w:ascii="Arial Narrow" w:hAnsi="Arial Narrow"/>
                <w:sz w:val="20"/>
              </w:rPr>
              <w:t>free</w:t>
            </w:r>
          </w:p>
        </w:tc>
        <w:tc>
          <w:tcPr>
            <w:tcW w:w="1701" w:type="dxa"/>
            <w:vAlign w:val="center"/>
          </w:tcPr>
          <w:p w14:paraId="6A432F42"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13.4466</w:t>
            </w:r>
          </w:p>
        </w:tc>
        <w:tc>
          <w:tcPr>
            <w:tcW w:w="1871" w:type="dxa"/>
            <w:vAlign w:val="center"/>
          </w:tcPr>
          <w:p w14:paraId="2E78D7F0"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13.3021</w:t>
            </w:r>
          </w:p>
        </w:tc>
        <w:tc>
          <w:tcPr>
            <w:tcW w:w="1508" w:type="dxa"/>
            <w:vAlign w:val="center"/>
          </w:tcPr>
          <w:p w14:paraId="6D00D5B2"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0.1445</w:t>
            </w:r>
          </w:p>
        </w:tc>
      </w:tr>
      <w:tr w:rsidR="007C6997" w:rsidRPr="00DB0698" w14:paraId="5AB7EAD5" w14:textId="77777777" w:rsidTr="00E87685">
        <w:tc>
          <w:tcPr>
            <w:tcW w:w="3936" w:type="dxa"/>
          </w:tcPr>
          <w:p w14:paraId="7810C5F3" w14:textId="77777777" w:rsidR="007C6997" w:rsidRPr="00DB0698" w:rsidRDefault="007C6997" w:rsidP="00460458">
            <w:pPr>
              <w:spacing w:before="40" w:after="40"/>
              <w:ind w:left="452"/>
              <w:jc w:val="both"/>
              <w:rPr>
                <w:rFonts w:ascii="Arial Narrow" w:hAnsi="Arial Narrow"/>
                <w:sz w:val="20"/>
              </w:rPr>
            </w:pPr>
            <w:r>
              <w:rPr>
                <w:rFonts w:ascii="Arial Narrow" w:hAnsi="Arial Narrow"/>
                <w:sz w:val="20"/>
              </w:rPr>
              <w:t>Post recurrence</w:t>
            </w:r>
          </w:p>
        </w:tc>
        <w:tc>
          <w:tcPr>
            <w:tcW w:w="1701" w:type="dxa"/>
            <w:vAlign w:val="center"/>
          </w:tcPr>
          <w:p w14:paraId="3686F350"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0.1275</w:t>
            </w:r>
          </w:p>
        </w:tc>
        <w:tc>
          <w:tcPr>
            <w:tcW w:w="1871" w:type="dxa"/>
            <w:vAlign w:val="center"/>
          </w:tcPr>
          <w:p w14:paraId="72311D99"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0.1554</w:t>
            </w:r>
          </w:p>
        </w:tc>
        <w:tc>
          <w:tcPr>
            <w:tcW w:w="1508" w:type="dxa"/>
            <w:vAlign w:val="center"/>
          </w:tcPr>
          <w:p w14:paraId="6149791B"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i/>
                <w:sz w:val="20"/>
              </w:rPr>
              <w:t>-0.0279</w:t>
            </w:r>
          </w:p>
        </w:tc>
      </w:tr>
      <w:tr w:rsidR="007C6997" w:rsidRPr="00DB0698" w14:paraId="373FBC7A" w14:textId="77777777" w:rsidTr="00E87685">
        <w:tc>
          <w:tcPr>
            <w:tcW w:w="3936" w:type="dxa"/>
            <w:tcBorders>
              <w:right w:val="nil"/>
            </w:tcBorders>
          </w:tcPr>
          <w:p w14:paraId="5CB8C80A" w14:textId="77777777" w:rsidR="007C6997" w:rsidRPr="00DB0698" w:rsidRDefault="007C6997" w:rsidP="00460458">
            <w:pPr>
              <w:spacing w:before="40" w:after="40"/>
              <w:ind w:left="29"/>
              <w:jc w:val="both"/>
              <w:rPr>
                <w:rFonts w:ascii="Arial Narrow" w:hAnsi="Arial Narrow"/>
                <w:sz w:val="20"/>
              </w:rPr>
            </w:pPr>
          </w:p>
        </w:tc>
        <w:tc>
          <w:tcPr>
            <w:tcW w:w="1701" w:type="dxa"/>
            <w:tcBorders>
              <w:left w:val="nil"/>
              <w:right w:val="nil"/>
            </w:tcBorders>
          </w:tcPr>
          <w:p w14:paraId="37DF1F98" w14:textId="77777777" w:rsidR="007C6997" w:rsidRPr="00DB0698" w:rsidRDefault="007C6997" w:rsidP="00460458">
            <w:pPr>
              <w:spacing w:before="40" w:after="40"/>
              <w:jc w:val="both"/>
              <w:rPr>
                <w:rFonts w:ascii="Arial Narrow" w:hAnsi="Arial Narrow"/>
                <w:i/>
                <w:sz w:val="20"/>
              </w:rPr>
            </w:pPr>
          </w:p>
        </w:tc>
        <w:tc>
          <w:tcPr>
            <w:tcW w:w="1871" w:type="dxa"/>
            <w:tcBorders>
              <w:left w:val="nil"/>
            </w:tcBorders>
            <w:vAlign w:val="center"/>
          </w:tcPr>
          <w:p w14:paraId="05CBDCA5" w14:textId="77777777" w:rsidR="007C6997" w:rsidRPr="00DB0698" w:rsidRDefault="007C6997" w:rsidP="00460458">
            <w:pPr>
              <w:spacing w:before="40" w:after="40"/>
              <w:jc w:val="right"/>
              <w:rPr>
                <w:rFonts w:ascii="Arial Narrow" w:hAnsi="Arial Narrow"/>
                <w:i/>
                <w:sz w:val="20"/>
              </w:rPr>
            </w:pPr>
            <w:r w:rsidRPr="00DB0698">
              <w:rPr>
                <w:rFonts w:ascii="Arial Narrow" w:hAnsi="Arial Narrow"/>
                <w:b/>
                <w:sz w:val="20"/>
              </w:rPr>
              <w:t xml:space="preserve">$ per </w:t>
            </w:r>
            <w:r>
              <w:rPr>
                <w:rFonts w:ascii="Arial Narrow" w:hAnsi="Arial Narrow"/>
                <w:b/>
                <w:sz w:val="20"/>
              </w:rPr>
              <w:t>l</w:t>
            </w:r>
            <w:r w:rsidRPr="00DB0698">
              <w:rPr>
                <w:rFonts w:ascii="Arial Narrow" w:hAnsi="Arial Narrow"/>
                <w:b/>
                <w:sz w:val="20"/>
              </w:rPr>
              <w:t>ife year gained</w:t>
            </w:r>
          </w:p>
        </w:tc>
        <w:tc>
          <w:tcPr>
            <w:tcW w:w="1508" w:type="dxa"/>
            <w:vAlign w:val="center"/>
          </w:tcPr>
          <w:p w14:paraId="78DC51EC"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b/>
                <w:sz w:val="20"/>
              </w:rPr>
              <w:t>$40,660</w:t>
            </w:r>
          </w:p>
        </w:tc>
      </w:tr>
      <w:tr w:rsidR="007C6997" w:rsidRPr="00DB0698" w14:paraId="33BC52FD" w14:textId="77777777" w:rsidTr="00E87685">
        <w:tc>
          <w:tcPr>
            <w:tcW w:w="3936" w:type="dxa"/>
            <w:tcBorders>
              <w:right w:val="nil"/>
            </w:tcBorders>
          </w:tcPr>
          <w:p w14:paraId="232E63F9" w14:textId="77777777" w:rsidR="007C6997" w:rsidRPr="00DB0698" w:rsidRDefault="007C6997" w:rsidP="00460458">
            <w:pPr>
              <w:spacing w:before="40" w:after="40"/>
              <w:ind w:left="29"/>
              <w:jc w:val="both"/>
              <w:rPr>
                <w:rFonts w:ascii="Arial Narrow" w:hAnsi="Arial Narrow"/>
                <w:sz w:val="20"/>
              </w:rPr>
            </w:pPr>
          </w:p>
        </w:tc>
        <w:tc>
          <w:tcPr>
            <w:tcW w:w="1701" w:type="dxa"/>
            <w:tcBorders>
              <w:left w:val="nil"/>
              <w:right w:val="nil"/>
            </w:tcBorders>
          </w:tcPr>
          <w:p w14:paraId="45BDFE28" w14:textId="77777777" w:rsidR="007C6997" w:rsidRPr="00DB0698" w:rsidRDefault="007C6997" w:rsidP="00460458">
            <w:pPr>
              <w:spacing w:before="40" w:after="40"/>
              <w:jc w:val="both"/>
              <w:rPr>
                <w:rFonts w:ascii="Arial Narrow" w:hAnsi="Arial Narrow"/>
                <w:i/>
                <w:sz w:val="20"/>
              </w:rPr>
            </w:pPr>
          </w:p>
        </w:tc>
        <w:tc>
          <w:tcPr>
            <w:tcW w:w="1871" w:type="dxa"/>
            <w:tcBorders>
              <w:left w:val="nil"/>
            </w:tcBorders>
            <w:vAlign w:val="center"/>
          </w:tcPr>
          <w:p w14:paraId="24CC0EF0" w14:textId="77777777" w:rsidR="007C6997" w:rsidRPr="00DB0698" w:rsidRDefault="007C6997" w:rsidP="00460458">
            <w:pPr>
              <w:spacing w:before="40" w:after="40"/>
              <w:jc w:val="right"/>
              <w:rPr>
                <w:rFonts w:ascii="Arial Narrow" w:hAnsi="Arial Narrow"/>
                <w:i/>
                <w:sz w:val="20"/>
              </w:rPr>
            </w:pPr>
            <w:r w:rsidRPr="00DB0698">
              <w:rPr>
                <w:rFonts w:ascii="Arial Narrow" w:hAnsi="Arial Narrow"/>
                <w:b/>
                <w:sz w:val="20"/>
              </w:rPr>
              <w:t>$ per QALY gained</w:t>
            </w:r>
          </w:p>
        </w:tc>
        <w:tc>
          <w:tcPr>
            <w:tcW w:w="1508" w:type="dxa"/>
            <w:vAlign w:val="center"/>
          </w:tcPr>
          <w:p w14:paraId="4365CED3" w14:textId="77777777" w:rsidR="007C6997" w:rsidRPr="00DB0698" w:rsidRDefault="007C6997" w:rsidP="00460458">
            <w:pPr>
              <w:spacing w:before="40" w:after="40"/>
              <w:jc w:val="center"/>
              <w:rPr>
                <w:rFonts w:ascii="Arial Narrow" w:hAnsi="Arial Narrow"/>
                <w:i/>
                <w:sz w:val="20"/>
              </w:rPr>
            </w:pPr>
            <w:r w:rsidRPr="00DB0698">
              <w:rPr>
                <w:rFonts w:ascii="Arial Narrow" w:hAnsi="Arial Narrow"/>
                <w:b/>
                <w:sz w:val="20"/>
              </w:rPr>
              <w:t>$39,217</w:t>
            </w:r>
          </w:p>
        </w:tc>
      </w:tr>
    </w:tbl>
    <w:p w14:paraId="6E7342B4" w14:textId="6E870AEE" w:rsidR="00DA17F9" w:rsidRDefault="007C6997" w:rsidP="007C6997">
      <w:pPr>
        <w:jc w:val="both"/>
        <w:rPr>
          <w:rFonts w:ascii="Arial Narrow" w:hAnsi="Arial Narrow"/>
          <w:i/>
          <w:sz w:val="18"/>
        </w:rPr>
      </w:pPr>
      <w:r w:rsidRPr="001A4929">
        <w:rPr>
          <w:rFonts w:ascii="Arial Narrow" w:hAnsi="Arial Narrow"/>
          <w:i/>
          <w:sz w:val="18"/>
        </w:rPr>
        <w:t xml:space="preserve">Text in italics indicate values calculated </w:t>
      </w:r>
      <w:r w:rsidR="00011519">
        <w:rPr>
          <w:rFonts w:ascii="Arial Narrow" w:hAnsi="Arial Narrow"/>
          <w:i/>
          <w:sz w:val="18"/>
          <w:szCs w:val="18"/>
        </w:rPr>
        <w:t>for the C</w:t>
      </w:r>
      <w:r w:rsidRPr="001A4929">
        <w:rPr>
          <w:rFonts w:ascii="Arial Narrow" w:hAnsi="Arial Narrow"/>
          <w:i/>
          <w:sz w:val="18"/>
        </w:rPr>
        <w:t>ritique</w:t>
      </w:r>
      <w:r w:rsidR="00DA17F9">
        <w:rPr>
          <w:rFonts w:ascii="Arial Narrow" w:hAnsi="Arial Narrow"/>
          <w:i/>
          <w:sz w:val="18"/>
        </w:rPr>
        <w:t>.</w:t>
      </w:r>
    </w:p>
    <w:p w14:paraId="5AC881AF" w14:textId="4C53FA7C" w:rsidR="007C6997" w:rsidRDefault="007C6997" w:rsidP="007C6997">
      <w:pPr>
        <w:jc w:val="both"/>
        <w:rPr>
          <w:rFonts w:ascii="Arial Narrow" w:hAnsi="Arial Narrow"/>
          <w:sz w:val="18"/>
        </w:rPr>
      </w:pPr>
      <w:r w:rsidRPr="001A4929">
        <w:rPr>
          <w:rFonts w:ascii="Arial Narrow" w:hAnsi="Arial Narrow"/>
          <w:sz w:val="18"/>
        </w:rPr>
        <w:t xml:space="preserve">Source: 72 p155 of the </w:t>
      </w:r>
      <w:r w:rsidR="000F66FC">
        <w:rPr>
          <w:rFonts w:ascii="Arial Narrow" w:hAnsi="Arial Narrow"/>
          <w:sz w:val="18"/>
        </w:rPr>
        <w:t>resubmission;</w:t>
      </w:r>
      <w:r w:rsidRPr="001A4929">
        <w:rPr>
          <w:rFonts w:ascii="Arial Narrow" w:hAnsi="Arial Narrow"/>
          <w:sz w:val="18"/>
        </w:rPr>
        <w:t xml:space="preserve"> ODX_EconModel.xlsm</w:t>
      </w:r>
      <w:r w:rsidR="00DA17F9">
        <w:rPr>
          <w:rFonts w:ascii="Arial Narrow" w:hAnsi="Arial Narrow"/>
          <w:sz w:val="18"/>
        </w:rPr>
        <w:t>.</w:t>
      </w:r>
    </w:p>
    <w:p w14:paraId="55EA003A" w14:textId="632FE078" w:rsidR="007C6997" w:rsidRPr="00E2362C" w:rsidRDefault="007C6997" w:rsidP="00E2362C">
      <w:pPr>
        <w:spacing w:after="240"/>
        <w:jc w:val="both"/>
        <w:rPr>
          <w:rFonts w:ascii="Arial Narrow" w:hAnsi="Arial Narrow"/>
          <w:sz w:val="18"/>
        </w:rPr>
      </w:pPr>
      <w:r>
        <w:rPr>
          <w:rFonts w:ascii="Arial Narrow" w:hAnsi="Arial Narrow"/>
          <w:sz w:val="18"/>
          <w:vertAlign w:val="superscript"/>
        </w:rPr>
        <w:t xml:space="preserve">a </w:t>
      </w:r>
      <w:r>
        <w:rPr>
          <w:rFonts w:ascii="Arial Narrow" w:hAnsi="Arial Narrow"/>
          <w:sz w:val="18"/>
        </w:rPr>
        <w:t>T</w:t>
      </w:r>
      <w:r w:rsidRPr="002B11FE">
        <w:rPr>
          <w:rFonts w:ascii="Arial Narrow" w:hAnsi="Arial Narrow"/>
          <w:sz w:val="18"/>
        </w:rPr>
        <w:t>hat is, moving any patients with RS</w:t>
      </w:r>
      <w:r w:rsidR="00375B02">
        <w:rPr>
          <w:rFonts w:ascii="Arial Narrow" w:hAnsi="Arial Narrow"/>
          <w:sz w:val="18"/>
        </w:rPr>
        <w:t> </w:t>
      </w:r>
      <w:r w:rsidRPr="002B11FE">
        <w:rPr>
          <w:rFonts w:ascii="Arial Narrow" w:hAnsi="Arial Narrow"/>
          <w:sz w:val="18"/>
        </w:rPr>
        <w:t xml:space="preserve">≥26 treated with </w:t>
      </w:r>
      <w:r w:rsidR="00D40F84">
        <w:rPr>
          <w:rFonts w:ascii="Arial Narrow" w:hAnsi="Arial Narrow"/>
          <w:sz w:val="18"/>
        </w:rPr>
        <w:t>E</w:t>
      </w:r>
      <w:r w:rsidRPr="002B11FE">
        <w:rPr>
          <w:rFonts w:ascii="Arial Narrow" w:hAnsi="Arial Narrow"/>
          <w:sz w:val="18"/>
        </w:rPr>
        <w:t xml:space="preserve">T </w:t>
      </w:r>
      <w:r w:rsidR="00BE2E9E">
        <w:rPr>
          <w:rFonts w:ascii="Arial Narrow" w:hAnsi="Arial Narrow"/>
          <w:sz w:val="18"/>
        </w:rPr>
        <w:t>alone</w:t>
      </w:r>
      <w:r w:rsidRPr="002B11FE">
        <w:rPr>
          <w:rFonts w:ascii="Arial Narrow" w:hAnsi="Arial Narrow"/>
          <w:sz w:val="18"/>
        </w:rPr>
        <w:t xml:space="preserve"> in the usual care arm to </w:t>
      </w:r>
      <w:r w:rsidR="00D40F84">
        <w:rPr>
          <w:rFonts w:ascii="Arial Narrow" w:hAnsi="Arial Narrow"/>
          <w:sz w:val="18"/>
        </w:rPr>
        <w:t>E</w:t>
      </w:r>
      <w:r w:rsidRPr="002B11FE">
        <w:rPr>
          <w:rFonts w:ascii="Arial Narrow" w:hAnsi="Arial Narrow"/>
          <w:sz w:val="18"/>
        </w:rPr>
        <w:t>T+CT in the Oncotype</w:t>
      </w:r>
      <w:r w:rsidR="00A52F8F">
        <w:rPr>
          <w:rFonts w:ascii="Arial Narrow" w:hAnsi="Arial Narrow"/>
          <w:sz w:val="18"/>
        </w:rPr>
        <w:t> </w:t>
      </w:r>
      <w:r w:rsidRPr="002B11FE">
        <w:rPr>
          <w:rFonts w:ascii="Arial Narrow" w:hAnsi="Arial Narrow"/>
          <w:sz w:val="18"/>
        </w:rPr>
        <w:t>DX arm</w:t>
      </w:r>
      <w:r w:rsidR="00DA17F9">
        <w:rPr>
          <w:rFonts w:ascii="Arial Narrow" w:hAnsi="Arial Narrow"/>
          <w:sz w:val="18"/>
        </w:rPr>
        <w:t>.</w:t>
      </w:r>
    </w:p>
    <w:p w14:paraId="3DA3EE7C" w14:textId="0E1E919E" w:rsidR="00C61CB7" w:rsidRPr="00E2362C" w:rsidRDefault="007C6997">
      <w:r>
        <w:t xml:space="preserve">The overall base case ICER is presented in Table 8 (combining the </w:t>
      </w:r>
      <w:r w:rsidR="00F3423D">
        <w:t xml:space="preserve">“chemotherapy </w:t>
      </w:r>
      <w:r>
        <w:t>sparing</w:t>
      </w:r>
      <w:r w:rsidR="00F3423D">
        <w:t>”</w:t>
      </w:r>
      <w:r>
        <w:t xml:space="preserve"> and </w:t>
      </w:r>
      <w:r w:rsidR="00F3423D">
        <w:t xml:space="preserve">“chemotherapy </w:t>
      </w:r>
      <w:r>
        <w:t>indicating</w:t>
      </w:r>
      <w:r w:rsidR="00F3423D">
        <w:t>”</w:t>
      </w:r>
      <w:r>
        <w:t xml:space="preserve"> components).</w:t>
      </w:r>
      <w:bookmarkStart w:id="19" w:name="_Ref8702737"/>
      <w:bookmarkStart w:id="20" w:name="_Toc8707447"/>
      <w:r w:rsidR="00C61CB7">
        <w:br w:type="page"/>
      </w:r>
    </w:p>
    <w:p w14:paraId="41501BD1" w14:textId="1EF52548" w:rsidR="007C6997" w:rsidRPr="00B24C63" w:rsidRDefault="007C6997" w:rsidP="00B24C63">
      <w:pPr>
        <w:rPr>
          <w:rFonts w:ascii="Arial Narrow" w:hAnsi="Arial Narrow"/>
          <w:b/>
          <w:sz w:val="20"/>
        </w:rPr>
      </w:pPr>
      <w:r w:rsidRPr="00B24C63">
        <w:rPr>
          <w:rFonts w:ascii="Arial Narrow" w:hAnsi="Arial Narrow"/>
          <w:b/>
          <w:sz w:val="20"/>
        </w:rPr>
        <w:lastRenderedPageBreak/>
        <w:t xml:space="preserve">Table </w:t>
      </w:r>
      <w:bookmarkEnd w:id="19"/>
      <w:r w:rsidRPr="00B24C63">
        <w:rPr>
          <w:rFonts w:ascii="Arial Narrow" w:hAnsi="Arial Narrow"/>
          <w:b/>
          <w:sz w:val="20"/>
        </w:rPr>
        <w:t>8</w:t>
      </w:r>
      <w:r w:rsidRPr="00B24C63">
        <w:rPr>
          <w:rFonts w:ascii="Arial Narrow" w:hAnsi="Arial Narrow"/>
          <w:b/>
          <w:sz w:val="20"/>
        </w:rPr>
        <w:tab/>
        <w:t>Summary of disaggregated incremental cost and effectiveness from base case</w:t>
      </w:r>
      <w:bookmarkEnd w:id="20"/>
    </w:p>
    <w:tbl>
      <w:tblPr>
        <w:tblStyle w:val="TableGrid"/>
        <w:tblW w:w="0" w:type="auto"/>
        <w:tblLook w:val="04A0" w:firstRow="1" w:lastRow="0" w:firstColumn="1" w:lastColumn="0" w:noHBand="0" w:noVBand="1"/>
        <w:tblCaption w:val="Summary of disaggregated incremental cost and effectiveness from base case"/>
        <w:tblDescription w:val="Summary of disaggregated incremental cost and effectiveness from base case"/>
      </w:tblPr>
      <w:tblGrid>
        <w:gridCol w:w="3936"/>
        <w:gridCol w:w="1701"/>
        <w:gridCol w:w="1871"/>
        <w:gridCol w:w="1508"/>
      </w:tblGrid>
      <w:tr w:rsidR="007C6997" w:rsidRPr="00744E32" w14:paraId="3A27B4AC" w14:textId="77777777" w:rsidTr="00E87685">
        <w:trPr>
          <w:tblHeader/>
        </w:trPr>
        <w:tc>
          <w:tcPr>
            <w:tcW w:w="3936" w:type="dxa"/>
          </w:tcPr>
          <w:p w14:paraId="39480721" w14:textId="77777777" w:rsidR="007C6997" w:rsidRPr="00744E32" w:rsidRDefault="007C6997" w:rsidP="00460458">
            <w:pPr>
              <w:spacing w:before="40" w:after="40"/>
              <w:jc w:val="both"/>
              <w:rPr>
                <w:rFonts w:ascii="Arial Narrow" w:hAnsi="Arial Narrow"/>
                <w:b/>
                <w:sz w:val="20"/>
              </w:rPr>
            </w:pPr>
            <w:r w:rsidRPr="00744E32">
              <w:rPr>
                <w:rFonts w:ascii="Arial Narrow" w:hAnsi="Arial Narrow"/>
                <w:b/>
                <w:sz w:val="20"/>
              </w:rPr>
              <w:t>Parameter</w:t>
            </w:r>
          </w:p>
        </w:tc>
        <w:tc>
          <w:tcPr>
            <w:tcW w:w="1701" w:type="dxa"/>
            <w:vAlign w:val="center"/>
          </w:tcPr>
          <w:p w14:paraId="1B464D8A" w14:textId="77777777" w:rsidR="007C6997" w:rsidRPr="00744E32" w:rsidRDefault="007C6997" w:rsidP="00460458">
            <w:pPr>
              <w:spacing w:before="40" w:after="40"/>
              <w:jc w:val="center"/>
              <w:rPr>
                <w:rFonts w:ascii="Arial Narrow" w:hAnsi="Arial Narrow"/>
                <w:b/>
                <w:sz w:val="20"/>
              </w:rPr>
            </w:pPr>
            <w:r w:rsidRPr="00744E32">
              <w:rPr>
                <w:rFonts w:ascii="Arial Narrow" w:hAnsi="Arial Narrow"/>
                <w:b/>
                <w:sz w:val="20"/>
              </w:rPr>
              <w:t>Oncotype DX</w:t>
            </w:r>
          </w:p>
        </w:tc>
        <w:tc>
          <w:tcPr>
            <w:tcW w:w="1871" w:type="dxa"/>
            <w:vAlign w:val="center"/>
          </w:tcPr>
          <w:p w14:paraId="731964B9" w14:textId="77777777" w:rsidR="007C6997" w:rsidRPr="00744E32" w:rsidRDefault="007C6997" w:rsidP="00460458">
            <w:pPr>
              <w:spacing w:before="40" w:after="40"/>
              <w:jc w:val="center"/>
              <w:rPr>
                <w:rFonts w:ascii="Arial Narrow" w:hAnsi="Arial Narrow"/>
                <w:b/>
                <w:sz w:val="20"/>
              </w:rPr>
            </w:pPr>
            <w:r>
              <w:rPr>
                <w:rFonts w:ascii="Arial Narrow" w:hAnsi="Arial Narrow"/>
                <w:b/>
                <w:sz w:val="20"/>
              </w:rPr>
              <w:t>Usual c</w:t>
            </w:r>
            <w:r w:rsidRPr="00744E32">
              <w:rPr>
                <w:rFonts w:ascii="Arial Narrow" w:hAnsi="Arial Narrow"/>
                <w:b/>
                <w:sz w:val="20"/>
              </w:rPr>
              <w:t>are</w:t>
            </w:r>
          </w:p>
        </w:tc>
        <w:tc>
          <w:tcPr>
            <w:tcW w:w="1508" w:type="dxa"/>
            <w:vAlign w:val="center"/>
          </w:tcPr>
          <w:p w14:paraId="3039F2E3" w14:textId="77777777" w:rsidR="007C6997" w:rsidRPr="00744E32" w:rsidRDefault="007C6997" w:rsidP="00460458">
            <w:pPr>
              <w:spacing w:before="40" w:after="40"/>
              <w:jc w:val="center"/>
              <w:rPr>
                <w:rFonts w:ascii="Arial Narrow" w:hAnsi="Arial Narrow"/>
                <w:b/>
                <w:sz w:val="20"/>
              </w:rPr>
            </w:pPr>
            <w:r w:rsidRPr="00744E32">
              <w:rPr>
                <w:rFonts w:ascii="Arial Narrow" w:hAnsi="Arial Narrow"/>
                <w:b/>
                <w:sz w:val="20"/>
              </w:rPr>
              <w:t>Incremental</w:t>
            </w:r>
          </w:p>
        </w:tc>
      </w:tr>
      <w:tr w:rsidR="007C6997" w:rsidRPr="00744E32" w14:paraId="45AAF38B" w14:textId="77777777" w:rsidTr="00E87685">
        <w:tc>
          <w:tcPr>
            <w:tcW w:w="3936" w:type="dxa"/>
            <w:tcBorders>
              <w:right w:val="nil"/>
            </w:tcBorders>
          </w:tcPr>
          <w:p w14:paraId="204B0BE5" w14:textId="77777777" w:rsidR="007C6997" w:rsidRPr="00744E32" w:rsidRDefault="007C6997" w:rsidP="00460458">
            <w:pPr>
              <w:spacing w:before="40" w:after="40"/>
              <w:jc w:val="both"/>
              <w:rPr>
                <w:rFonts w:ascii="Arial Narrow" w:hAnsi="Arial Narrow"/>
                <w:b/>
                <w:sz w:val="20"/>
              </w:rPr>
            </w:pPr>
            <w:r w:rsidRPr="00744E32">
              <w:rPr>
                <w:rFonts w:ascii="Arial Narrow" w:hAnsi="Arial Narrow"/>
                <w:b/>
                <w:sz w:val="20"/>
              </w:rPr>
              <w:t>Disaggregated costs</w:t>
            </w:r>
          </w:p>
        </w:tc>
        <w:tc>
          <w:tcPr>
            <w:tcW w:w="1701" w:type="dxa"/>
            <w:tcBorders>
              <w:left w:val="nil"/>
              <w:right w:val="nil"/>
            </w:tcBorders>
            <w:vAlign w:val="center"/>
          </w:tcPr>
          <w:p w14:paraId="7A1408C2" w14:textId="77777777" w:rsidR="007C6997" w:rsidRPr="00744E32" w:rsidRDefault="007C6997" w:rsidP="00460458">
            <w:pPr>
              <w:spacing w:before="40" w:after="40"/>
              <w:jc w:val="center"/>
              <w:rPr>
                <w:rFonts w:ascii="Arial Narrow" w:hAnsi="Arial Narrow"/>
                <w:b/>
                <w:sz w:val="20"/>
              </w:rPr>
            </w:pPr>
          </w:p>
        </w:tc>
        <w:tc>
          <w:tcPr>
            <w:tcW w:w="1871" w:type="dxa"/>
            <w:tcBorders>
              <w:left w:val="nil"/>
              <w:right w:val="nil"/>
            </w:tcBorders>
            <w:vAlign w:val="center"/>
          </w:tcPr>
          <w:p w14:paraId="6DA0FFFF" w14:textId="77777777" w:rsidR="007C6997" w:rsidRPr="00744E32" w:rsidRDefault="007C6997" w:rsidP="00460458">
            <w:pPr>
              <w:spacing w:before="40" w:after="40"/>
              <w:jc w:val="center"/>
              <w:rPr>
                <w:rFonts w:ascii="Arial Narrow" w:hAnsi="Arial Narrow"/>
                <w:b/>
                <w:sz w:val="20"/>
              </w:rPr>
            </w:pPr>
          </w:p>
        </w:tc>
        <w:tc>
          <w:tcPr>
            <w:tcW w:w="1508" w:type="dxa"/>
            <w:tcBorders>
              <w:left w:val="nil"/>
            </w:tcBorders>
            <w:vAlign w:val="center"/>
          </w:tcPr>
          <w:p w14:paraId="5489CDD9" w14:textId="77777777" w:rsidR="007C6997" w:rsidRPr="00744E32" w:rsidRDefault="007C6997" w:rsidP="00460458">
            <w:pPr>
              <w:spacing w:before="40" w:after="40"/>
              <w:jc w:val="center"/>
              <w:rPr>
                <w:rFonts w:ascii="Arial Narrow" w:hAnsi="Arial Narrow"/>
                <w:b/>
                <w:sz w:val="20"/>
              </w:rPr>
            </w:pPr>
          </w:p>
        </w:tc>
      </w:tr>
      <w:tr w:rsidR="007C6997" w:rsidRPr="00744E32" w14:paraId="4A69286F" w14:textId="77777777" w:rsidTr="00E87685">
        <w:tc>
          <w:tcPr>
            <w:tcW w:w="3936" w:type="dxa"/>
          </w:tcPr>
          <w:p w14:paraId="4A4E030C" w14:textId="4F82C750" w:rsidR="007C6997" w:rsidRPr="00744E32" w:rsidRDefault="007C6997" w:rsidP="00A52F8F">
            <w:pPr>
              <w:spacing w:before="40" w:after="40"/>
              <w:jc w:val="both"/>
              <w:rPr>
                <w:rFonts w:ascii="Arial Narrow" w:hAnsi="Arial Narrow"/>
                <w:sz w:val="20"/>
              </w:rPr>
            </w:pPr>
            <w:r w:rsidRPr="00744E32">
              <w:rPr>
                <w:rFonts w:ascii="Arial Narrow" w:hAnsi="Arial Narrow"/>
                <w:sz w:val="20"/>
              </w:rPr>
              <w:t>Oncotype</w:t>
            </w:r>
            <w:r w:rsidR="00A52F8F">
              <w:rPr>
                <w:rFonts w:ascii="Arial Narrow" w:hAnsi="Arial Narrow"/>
                <w:sz w:val="20"/>
              </w:rPr>
              <w:t> </w:t>
            </w:r>
            <w:r w:rsidRPr="00744E32">
              <w:rPr>
                <w:rFonts w:ascii="Arial Narrow" w:hAnsi="Arial Narrow"/>
                <w:sz w:val="20"/>
              </w:rPr>
              <w:t>DX test costs</w:t>
            </w:r>
          </w:p>
        </w:tc>
        <w:tc>
          <w:tcPr>
            <w:tcW w:w="1701" w:type="dxa"/>
            <w:vAlign w:val="center"/>
          </w:tcPr>
          <w:p w14:paraId="2DD7BE40"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$5,085.00</w:t>
            </w:r>
          </w:p>
        </w:tc>
        <w:tc>
          <w:tcPr>
            <w:tcW w:w="1871" w:type="dxa"/>
            <w:vAlign w:val="center"/>
          </w:tcPr>
          <w:p w14:paraId="48AA5D63"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$0.00</w:t>
            </w:r>
          </w:p>
        </w:tc>
        <w:tc>
          <w:tcPr>
            <w:tcW w:w="1508" w:type="dxa"/>
            <w:vAlign w:val="center"/>
          </w:tcPr>
          <w:p w14:paraId="4ACD8B63"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$5,085.00</w:t>
            </w:r>
          </w:p>
        </w:tc>
      </w:tr>
      <w:tr w:rsidR="007C6997" w:rsidRPr="00744E32" w14:paraId="132B5AAC" w14:textId="77777777" w:rsidTr="00E87685">
        <w:tc>
          <w:tcPr>
            <w:tcW w:w="3936" w:type="dxa"/>
          </w:tcPr>
          <w:p w14:paraId="3F411180" w14:textId="77777777" w:rsidR="007C6997" w:rsidRPr="00744E32" w:rsidRDefault="007C6997" w:rsidP="00460458">
            <w:pPr>
              <w:spacing w:before="40" w:after="40"/>
              <w:jc w:val="both"/>
              <w:rPr>
                <w:rFonts w:ascii="Arial Narrow" w:hAnsi="Arial Narrow"/>
                <w:sz w:val="20"/>
              </w:rPr>
            </w:pPr>
            <w:r w:rsidRPr="00744E32">
              <w:rPr>
                <w:rFonts w:ascii="Arial Narrow" w:hAnsi="Arial Narrow"/>
                <w:sz w:val="20"/>
              </w:rPr>
              <w:t>Chemotherapy</w:t>
            </w:r>
          </w:p>
        </w:tc>
        <w:tc>
          <w:tcPr>
            <w:tcW w:w="1701" w:type="dxa"/>
            <w:vAlign w:val="center"/>
          </w:tcPr>
          <w:p w14:paraId="3E4939E9"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$1,809.84</w:t>
            </w:r>
          </w:p>
        </w:tc>
        <w:tc>
          <w:tcPr>
            <w:tcW w:w="1871" w:type="dxa"/>
            <w:vAlign w:val="center"/>
          </w:tcPr>
          <w:p w14:paraId="1A3F7464"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$3,116.03</w:t>
            </w:r>
          </w:p>
        </w:tc>
        <w:tc>
          <w:tcPr>
            <w:tcW w:w="1508" w:type="dxa"/>
            <w:vAlign w:val="center"/>
          </w:tcPr>
          <w:p w14:paraId="0F60E484"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-$1,306.19</w:t>
            </w:r>
          </w:p>
        </w:tc>
      </w:tr>
      <w:tr w:rsidR="007C6997" w:rsidRPr="00744E32" w14:paraId="43304605" w14:textId="77777777" w:rsidTr="00E87685">
        <w:tc>
          <w:tcPr>
            <w:tcW w:w="3936" w:type="dxa"/>
          </w:tcPr>
          <w:p w14:paraId="01422D3D" w14:textId="4623FAE0" w:rsidR="007C6997" w:rsidRPr="00744E32" w:rsidRDefault="0012326F" w:rsidP="0012326F">
            <w:pPr>
              <w:spacing w:before="40" w:after="40"/>
              <w:jc w:val="both"/>
              <w:rPr>
                <w:rFonts w:ascii="Arial Narrow" w:hAnsi="Arial Narrow"/>
                <w:sz w:val="20"/>
              </w:rPr>
            </w:pPr>
            <w:r>
              <w:rPr>
                <w:rFonts w:ascii="Arial Narrow" w:hAnsi="Arial Narrow"/>
                <w:sz w:val="20"/>
              </w:rPr>
              <w:t>Endocrine</w:t>
            </w:r>
            <w:r w:rsidR="007C6997" w:rsidRPr="00744E32">
              <w:rPr>
                <w:rFonts w:ascii="Arial Narrow" w:hAnsi="Arial Narrow"/>
                <w:sz w:val="20"/>
              </w:rPr>
              <w:t xml:space="preserve"> therapy</w:t>
            </w:r>
          </w:p>
        </w:tc>
        <w:tc>
          <w:tcPr>
            <w:tcW w:w="1701" w:type="dxa"/>
            <w:vAlign w:val="center"/>
          </w:tcPr>
          <w:p w14:paraId="62CE2BD7"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$3,175.34</w:t>
            </w:r>
          </w:p>
        </w:tc>
        <w:tc>
          <w:tcPr>
            <w:tcW w:w="1871" w:type="dxa"/>
            <w:vAlign w:val="center"/>
          </w:tcPr>
          <w:p w14:paraId="1A74B72B"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$3,160.85</w:t>
            </w:r>
          </w:p>
        </w:tc>
        <w:tc>
          <w:tcPr>
            <w:tcW w:w="1508" w:type="dxa"/>
            <w:vAlign w:val="center"/>
          </w:tcPr>
          <w:p w14:paraId="0AA3A652"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$14.50</w:t>
            </w:r>
          </w:p>
        </w:tc>
      </w:tr>
      <w:tr w:rsidR="007C6997" w:rsidRPr="00744E32" w14:paraId="28994782" w14:textId="77777777" w:rsidTr="00E87685">
        <w:tc>
          <w:tcPr>
            <w:tcW w:w="3936" w:type="dxa"/>
          </w:tcPr>
          <w:p w14:paraId="2DFB0A6E" w14:textId="77777777" w:rsidR="007C6997" w:rsidRPr="00744E32" w:rsidRDefault="007C6997" w:rsidP="00460458">
            <w:pPr>
              <w:spacing w:before="40" w:after="40"/>
              <w:jc w:val="both"/>
              <w:rPr>
                <w:rFonts w:ascii="Arial Narrow" w:hAnsi="Arial Narrow"/>
                <w:sz w:val="20"/>
              </w:rPr>
            </w:pPr>
            <w:r w:rsidRPr="00744E32">
              <w:rPr>
                <w:rFonts w:ascii="Arial Narrow" w:hAnsi="Arial Narrow"/>
                <w:sz w:val="20"/>
              </w:rPr>
              <w:t>Recurrent disease</w:t>
            </w:r>
          </w:p>
        </w:tc>
        <w:tc>
          <w:tcPr>
            <w:tcW w:w="1701" w:type="dxa"/>
            <w:vAlign w:val="center"/>
          </w:tcPr>
          <w:p w14:paraId="12CBE4EC"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$4,750.80</w:t>
            </w:r>
          </w:p>
        </w:tc>
        <w:tc>
          <w:tcPr>
            <w:tcW w:w="1871" w:type="dxa"/>
            <w:vAlign w:val="center"/>
          </w:tcPr>
          <w:p w14:paraId="3319E5BC"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$5,791.22</w:t>
            </w:r>
          </w:p>
        </w:tc>
        <w:tc>
          <w:tcPr>
            <w:tcW w:w="1508" w:type="dxa"/>
            <w:vAlign w:val="center"/>
          </w:tcPr>
          <w:p w14:paraId="038F3963" w14:textId="77777777" w:rsidR="007C6997" w:rsidRPr="00744E32" w:rsidRDefault="007C6997" w:rsidP="00460458">
            <w:pPr>
              <w:spacing w:before="40" w:after="40"/>
              <w:jc w:val="center"/>
              <w:rPr>
                <w:rFonts w:ascii="Arial Narrow" w:hAnsi="Arial Narrow"/>
                <w:sz w:val="20"/>
              </w:rPr>
            </w:pPr>
            <w:r w:rsidRPr="00744E32">
              <w:rPr>
                <w:rFonts w:ascii="Arial Narrow" w:hAnsi="Arial Narrow"/>
                <w:sz w:val="20"/>
              </w:rPr>
              <w:t>-$1,040.43</w:t>
            </w:r>
          </w:p>
        </w:tc>
      </w:tr>
      <w:tr w:rsidR="007C6997" w:rsidRPr="00744E32" w14:paraId="57395F4C" w14:textId="77777777" w:rsidTr="00E87685">
        <w:tc>
          <w:tcPr>
            <w:tcW w:w="3936" w:type="dxa"/>
          </w:tcPr>
          <w:p w14:paraId="1B591714" w14:textId="77777777" w:rsidR="007C6997" w:rsidRPr="00744E32" w:rsidRDefault="007C6997" w:rsidP="00460458">
            <w:pPr>
              <w:spacing w:before="40" w:after="40"/>
              <w:jc w:val="both"/>
              <w:rPr>
                <w:rFonts w:ascii="Arial Narrow" w:hAnsi="Arial Narrow"/>
                <w:b/>
                <w:sz w:val="20"/>
              </w:rPr>
            </w:pPr>
            <w:r w:rsidRPr="00744E32">
              <w:rPr>
                <w:rFonts w:ascii="Arial Narrow" w:hAnsi="Arial Narrow"/>
                <w:b/>
                <w:sz w:val="20"/>
              </w:rPr>
              <w:t>Total</w:t>
            </w:r>
          </w:p>
        </w:tc>
        <w:tc>
          <w:tcPr>
            <w:tcW w:w="1701" w:type="dxa"/>
            <w:vAlign w:val="center"/>
          </w:tcPr>
          <w:p w14:paraId="43D70D5E" w14:textId="77777777" w:rsidR="007C6997" w:rsidRPr="00744E32" w:rsidRDefault="007C6997" w:rsidP="00460458">
            <w:pPr>
              <w:spacing w:before="40" w:after="40"/>
              <w:jc w:val="center"/>
              <w:rPr>
                <w:rFonts w:ascii="Arial Narrow" w:hAnsi="Arial Narrow"/>
                <w:b/>
                <w:sz w:val="20"/>
              </w:rPr>
            </w:pPr>
            <w:r w:rsidRPr="00744E32">
              <w:rPr>
                <w:rFonts w:ascii="Arial Narrow" w:hAnsi="Arial Narrow"/>
                <w:b/>
                <w:sz w:val="20"/>
              </w:rPr>
              <w:t>$14,820.98</w:t>
            </w:r>
          </w:p>
        </w:tc>
        <w:tc>
          <w:tcPr>
            <w:tcW w:w="1871" w:type="dxa"/>
            <w:vAlign w:val="center"/>
          </w:tcPr>
          <w:p w14:paraId="2C28A458" w14:textId="77777777" w:rsidR="007C6997" w:rsidRPr="00744E32" w:rsidRDefault="007C6997" w:rsidP="00460458">
            <w:pPr>
              <w:spacing w:before="40" w:after="40"/>
              <w:jc w:val="center"/>
              <w:rPr>
                <w:rFonts w:ascii="Arial Narrow" w:hAnsi="Arial Narrow"/>
                <w:b/>
                <w:sz w:val="20"/>
              </w:rPr>
            </w:pPr>
            <w:r w:rsidRPr="00744E32">
              <w:rPr>
                <w:rFonts w:ascii="Arial Narrow" w:hAnsi="Arial Narrow"/>
                <w:b/>
                <w:sz w:val="20"/>
              </w:rPr>
              <w:t>$12,068.10</w:t>
            </w:r>
          </w:p>
        </w:tc>
        <w:tc>
          <w:tcPr>
            <w:tcW w:w="1508" w:type="dxa"/>
            <w:vAlign w:val="center"/>
          </w:tcPr>
          <w:p w14:paraId="2E358B9A" w14:textId="77777777" w:rsidR="007C6997" w:rsidRPr="00744E32" w:rsidRDefault="007C6997" w:rsidP="00460458">
            <w:pPr>
              <w:spacing w:before="40" w:after="40"/>
              <w:jc w:val="center"/>
              <w:rPr>
                <w:rFonts w:ascii="Arial Narrow" w:hAnsi="Arial Narrow"/>
                <w:b/>
                <w:sz w:val="20"/>
              </w:rPr>
            </w:pPr>
            <w:r w:rsidRPr="00744E32">
              <w:rPr>
                <w:rFonts w:ascii="Arial Narrow" w:hAnsi="Arial Narrow"/>
                <w:b/>
                <w:sz w:val="20"/>
              </w:rPr>
              <w:t>$2,752.88</w:t>
            </w:r>
          </w:p>
        </w:tc>
      </w:tr>
      <w:tr w:rsidR="007C6997" w:rsidRPr="00744E32" w14:paraId="5B203BED" w14:textId="77777777" w:rsidTr="00E87685">
        <w:tc>
          <w:tcPr>
            <w:tcW w:w="3936" w:type="dxa"/>
            <w:tcBorders>
              <w:right w:val="nil"/>
            </w:tcBorders>
          </w:tcPr>
          <w:p w14:paraId="4F09C3F8" w14:textId="77777777" w:rsidR="007C6997" w:rsidRPr="00744E32" w:rsidRDefault="007C6997" w:rsidP="00460458">
            <w:pPr>
              <w:spacing w:before="40" w:after="40"/>
              <w:jc w:val="both"/>
              <w:rPr>
                <w:rFonts w:ascii="Arial Narrow" w:hAnsi="Arial Narrow"/>
                <w:b/>
                <w:sz w:val="20"/>
              </w:rPr>
            </w:pPr>
            <w:r w:rsidRPr="00744E32">
              <w:rPr>
                <w:rFonts w:ascii="Arial Narrow" w:hAnsi="Arial Narrow"/>
                <w:b/>
                <w:sz w:val="20"/>
              </w:rPr>
              <w:t>Disaggregated outcomes</w:t>
            </w:r>
            <w:r>
              <w:rPr>
                <w:rFonts w:ascii="Arial Narrow" w:hAnsi="Arial Narrow"/>
                <w:b/>
                <w:sz w:val="20"/>
              </w:rPr>
              <w:t xml:space="preserve"> (</w:t>
            </w:r>
            <w:r w:rsidRPr="00744E32">
              <w:rPr>
                <w:rFonts w:ascii="Arial Narrow" w:hAnsi="Arial Narrow"/>
                <w:b/>
                <w:sz w:val="20"/>
              </w:rPr>
              <w:t xml:space="preserve">discounted with half </w:t>
            </w:r>
          </w:p>
        </w:tc>
        <w:tc>
          <w:tcPr>
            <w:tcW w:w="1701" w:type="dxa"/>
            <w:tcBorders>
              <w:left w:val="nil"/>
              <w:right w:val="nil"/>
            </w:tcBorders>
            <w:vAlign w:val="center"/>
          </w:tcPr>
          <w:p w14:paraId="44AFE75F" w14:textId="77777777" w:rsidR="007C6997" w:rsidRPr="00744E32" w:rsidRDefault="007C6997" w:rsidP="00460458">
            <w:pPr>
              <w:spacing w:before="40" w:after="40"/>
              <w:ind w:left="-108"/>
              <w:rPr>
                <w:rFonts w:ascii="Arial Narrow" w:hAnsi="Arial Narrow"/>
                <w:b/>
                <w:sz w:val="20"/>
              </w:rPr>
            </w:pPr>
            <w:r w:rsidRPr="00744E32">
              <w:rPr>
                <w:rFonts w:ascii="Arial Narrow" w:hAnsi="Arial Narrow"/>
                <w:b/>
                <w:sz w:val="20"/>
              </w:rPr>
              <w:t>cycle correction)</w:t>
            </w:r>
          </w:p>
        </w:tc>
        <w:tc>
          <w:tcPr>
            <w:tcW w:w="1871" w:type="dxa"/>
            <w:tcBorders>
              <w:left w:val="nil"/>
              <w:right w:val="nil"/>
            </w:tcBorders>
            <w:vAlign w:val="center"/>
          </w:tcPr>
          <w:p w14:paraId="2B4BFF08" w14:textId="77777777" w:rsidR="007C6997" w:rsidRPr="00744E32" w:rsidRDefault="007C6997" w:rsidP="00460458">
            <w:pPr>
              <w:spacing w:before="40" w:after="40"/>
              <w:jc w:val="center"/>
              <w:rPr>
                <w:rFonts w:ascii="Arial Narrow" w:hAnsi="Arial Narrow"/>
                <w:b/>
                <w:sz w:val="20"/>
              </w:rPr>
            </w:pPr>
          </w:p>
        </w:tc>
        <w:tc>
          <w:tcPr>
            <w:tcW w:w="1508" w:type="dxa"/>
            <w:tcBorders>
              <w:left w:val="nil"/>
            </w:tcBorders>
            <w:vAlign w:val="center"/>
          </w:tcPr>
          <w:p w14:paraId="1D838F61" w14:textId="77777777" w:rsidR="007C6997" w:rsidRPr="00744E32" w:rsidRDefault="007C6997" w:rsidP="00460458">
            <w:pPr>
              <w:spacing w:before="40" w:after="40"/>
              <w:jc w:val="center"/>
              <w:rPr>
                <w:rFonts w:ascii="Arial Narrow" w:hAnsi="Arial Narrow"/>
                <w:b/>
                <w:sz w:val="20"/>
              </w:rPr>
            </w:pPr>
          </w:p>
        </w:tc>
      </w:tr>
      <w:tr w:rsidR="007C6997" w:rsidRPr="00744E32" w14:paraId="5BB11F2C" w14:textId="77777777" w:rsidTr="00E87685">
        <w:tc>
          <w:tcPr>
            <w:tcW w:w="3936" w:type="dxa"/>
          </w:tcPr>
          <w:p w14:paraId="7EA7DC12" w14:textId="33D7CE16" w:rsidR="007C6997" w:rsidRPr="00744E32" w:rsidRDefault="00E87685" w:rsidP="00460458">
            <w:pPr>
              <w:spacing w:before="40" w:after="40"/>
              <w:jc w:val="both"/>
              <w:rPr>
                <w:rFonts w:ascii="Arial Narrow" w:hAnsi="Arial Narrow"/>
                <w:b/>
                <w:sz w:val="20"/>
              </w:rPr>
            </w:pPr>
            <w:r>
              <w:rPr>
                <w:rFonts w:ascii="Arial Narrow" w:hAnsi="Arial Narrow"/>
                <w:b/>
                <w:sz w:val="20"/>
              </w:rPr>
              <w:t>Life years</w:t>
            </w:r>
          </w:p>
        </w:tc>
        <w:tc>
          <w:tcPr>
            <w:tcW w:w="1701" w:type="dxa"/>
            <w:vAlign w:val="center"/>
          </w:tcPr>
          <w:p w14:paraId="08B28ABD" w14:textId="77777777" w:rsidR="007C6997" w:rsidRPr="00744E32" w:rsidRDefault="007C6997" w:rsidP="00460458">
            <w:pPr>
              <w:spacing w:before="40" w:after="40"/>
              <w:jc w:val="center"/>
              <w:rPr>
                <w:rFonts w:ascii="Arial Narrow" w:hAnsi="Arial Narrow"/>
                <w:b/>
                <w:sz w:val="20"/>
              </w:rPr>
            </w:pPr>
            <w:r w:rsidRPr="00744E32">
              <w:rPr>
                <w:rFonts w:ascii="Arial Narrow" w:hAnsi="Arial Narrow"/>
                <w:b/>
                <w:sz w:val="20"/>
              </w:rPr>
              <w:t>13.7665</w:t>
            </w:r>
          </w:p>
        </w:tc>
        <w:tc>
          <w:tcPr>
            <w:tcW w:w="1871" w:type="dxa"/>
            <w:vAlign w:val="center"/>
          </w:tcPr>
          <w:p w14:paraId="4481333A" w14:textId="77777777" w:rsidR="007C6997" w:rsidRPr="00744E32" w:rsidRDefault="007C6997" w:rsidP="00460458">
            <w:pPr>
              <w:spacing w:before="40" w:after="40"/>
              <w:jc w:val="center"/>
              <w:rPr>
                <w:rFonts w:ascii="Arial Narrow" w:hAnsi="Arial Narrow"/>
                <w:b/>
                <w:sz w:val="20"/>
              </w:rPr>
            </w:pPr>
            <w:r w:rsidRPr="00744E32">
              <w:rPr>
                <w:rFonts w:ascii="Arial Narrow" w:hAnsi="Arial Narrow"/>
                <w:b/>
                <w:sz w:val="20"/>
              </w:rPr>
              <w:t>13.6530</w:t>
            </w:r>
          </w:p>
        </w:tc>
        <w:tc>
          <w:tcPr>
            <w:tcW w:w="1508" w:type="dxa"/>
            <w:vAlign w:val="center"/>
          </w:tcPr>
          <w:p w14:paraId="2B97053F" w14:textId="77777777" w:rsidR="007C6997" w:rsidRPr="00744E32" w:rsidRDefault="007C6997" w:rsidP="00460458">
            <w:pPr>
              <w:spacing w:before="40" w:after="40"/>
              <w:jc w:val="center"/>
              <w:rPr>
                <w:rFonts w:ascii="Arial Narrow" w:hAnsi="Arial Narrow"/>
                <w:b/>
                <w:sz w:val="20"/>
              </w:rPr>
            </w:pPr>
            <w:r w:rsidRPr="00744E32">
              <w:rPr>
                <w:rFonts w:ascii="Arial Narrow" w:hAnsi="Arial Narrow"/>
                <w:b/>
                <w:sz w:val="20"/>
              </w:rPr>
              <w:t>0.1135</w:t>
            </w:r>
          </w:p>
        </w:tc>
      </w:tr>
      <w:tr w:rsidR="007C6997" w:rsidRPr="00744E32" w14:paraId="657B3DE5" w14:textId="77777777" w:rsidTr="00E87685">
        <w:tc>
          <w:tcPr>
            <w:tcW w:w="3936" w:type="dxa"/>
          </w:tcPr>
          <w:p w14:paraId="3505BA4B" w14:textId="77777777" w:rsidR="007C6997" w:rsidRPr="00744E32" w:rsidRDefault="007C6997" w:rsidP="00460458">
            <w:pPr>
              <w:spacing w:before="40" w:after="40"/>
              <w:ind w:left="452"/>
              <w:jc w:val="both"/>
              <w:rPr>
                <w:rFonts w:ascii="Arial Narrow" w:hAnsi="Arial Narrow"/>
                <w:sz w:val="20"/>
              </w:rPr>
            </w:pPr>
            <w:r>
              <w:rPr>
                <w:rFonts w:ascii="Arial Narrow" w:hAnsi="Arial Narrow"/>
                <w:sz w:val="20"/>
              </w:rPr>
              <w:t>Disease-</w:t>
            </w:r>
            <w:r w:rsidRPr="00744E32">
              <w:rPr>
                <w:rFonts w:ascii="Arial Narrow" w:hAnsi="Arial Narrow"/>
                <w:sz w:val="20"/>
              </w:rPr>
              <w:t>free</w:t>
            </w:r>
          </w:p>
        </w:tc>
        <w:tc>
          <w:tcPr>
            <w:tcW w:w="1701" w:type="dxa"/>
            <w:vAlign w:val="center"/>
          </w:tcPr>
          <w:p w14:paraId="37C8AAE2"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13.6063</w:t>
            </w:r>
          </w:p>
        </w:tc>
        <w:tc>
          <w:tcPr>
            <w:tcW w:w="1871" w:type="dxa"/>
            <w:vAlign w:val="center"/>
          </w:tcPr>
          <w:p w14:paraId="28507F90"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13.4577</w:t>
            </w:r>
          </w:p>
        </w:tc>
        <w:tc>
          <w:tcPr>
            <w:tcW w:w="1508" w:type="dxa"/>
            <w:vAlign w:val="center"/>
          </w:tcPr>
          <w:p w14:paraId="333A7A86"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0.1486</w:t>
            </w:r>
          </w:p>
        </w:tc>
      </w:tr>
      <w:tr w:rsidR="007C6997" w:rsidRPr="00744E32" w14:paraId="0D433669" w14:textId="77777777" w:rsidTr="00E87685">
        <w:tc>
          <w:tcPr>
            <w:tcW w:w="3936" w:type="dxa"/>
          </w:tcPr>
          <w:p w14:paraId="44026484" w14:textId="77777777" w:rsidR="007C6997" w:rsidRPr="00744E32" w:rsidRDefault="007C6997" w:rsidP="00460458">
            <w:pPr>
              <w:spacing w:before="40" w:after="40"/>
              <w:ind w:left="452"/>
              <w:jc w:val="both"/>
              <w:rPr>
                <w:rFonts w:ascii="Arial Narrow" w:hAnsi="Arial Narrow"/>
                <w:sz w:val="20"/>
              </w:rPr>
            </w:pPr>
            <w:r>
              <w:rPr>
                <w:rFonts w:ascii="Arial Narrow" w:hAnsi="Arial Narrow"/>
                <w:sz w:val="20"/>
              </w:rPr>
              <w:t>Post recurrence</w:t>
            </w:r>
          </w:p>
        </w:tc>
        <w:tc>
          <w:tcPr>
            <w:tcW w:w="1701" w:type="dxa"/>
            <w:vAlign w:val="center"/>
          </w:tcPr>
          <w:p w14:paraId="2AD6EC21"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0.1602</w:t>
            </w:r>
          </w:p>
        </w:tc>
        <w:tc>
          <w:tcPr>
            <w:tcW w:w="1871" w:type="dxa"/>
            <w:vAlign w:val="center"/>
          </w:tcPr>
          <w:p w14:paraId="122D6F1B"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0.1953</w:t>
            </w:r>
          </w:p>
        </w:tc>
        <w:tc>
          <w:tcPr>
            <w:tcW w:w="1508" w:type="dxa"/>
            <w:vAlign w:val="center"/>
          </w:tcPr>
          <w:p w14:paraId="740C0C5D"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-0.0351</w:t>
            </w:r>
          </w:p>
        </w:tc>
      </w:tr>
      <w:tr w:rsidR="007C6997" w:rsidRPr="00744E32" w14:paraId="0702C38C" w14:textId="77777777" w:rsidTr="00E87685">
        <w:tc>
          <w:tcPr>
            <w:tcW w:w="3936" w:type="dxa"/>
          </w:tcPr>
          <w:p w14:paraId="668B1FE7" w14:textId="77777777" w:rsidR="007C6997" w:rsidRPr="00744E32" w:rsidRDefault="007C6997" w:rsidP="00460458">
            <w:pPr>
              <w:spacing w:before="40" w:after="40"/>
              <w:jc w:val="both"/>
              <w:rPr>
                <w:rFonts w:ascii="Arial Narrow" w:hAnsi="Arial Narrow"/>
                <w:b/>
                <w:sz w:val="20"/>
              </w:rPr>
            </w:pPr>
            <w:r w:rsidRPr="00744E32">
              <w:rPr>
                <w:rFonts w:ascii="Arial Narrow" w:hAnsi="Arial Narrow"/>
                <w:b/>
                <w:sz w:val="20"/>
              </w:rPr>
              <w:t>QALY</w:t>
            </w:r>
          </w:p>
        </w:tc>
        <w:tc>
          <w:tcPr>
            <w:tcW w:w="1701" w:type="dxa"/>
            <w:vAlign w:val="center"/>
          </w:tcPr>
          <w:p w14:paraId="0253BEE2" w14:textId="77777777" w:rsidR="007C6997" w:rsidRPr="00744E32" w:rsidRDefault="007C6997" w:rsidP="00460458">
            <w:pPr>
              <w:spacing w:before="40" w:after="40"/>
              <w:jc w:val="center"/>
              <w:rPr>
                <w:rFonts w:ascii="Arial Narrow" w:hAnsi="Arial Narrow"/>
                <w:b/>
                <w:sz w:val="20"/>
              </w:rPr>
            </w:pPr>
            <w:r w:rsidRPr="00744E32">
              <w:rPr>
                <w:rFonts w:ascii="Arial Narrow" w:hAnsi="Arial Narrow"/>
                <w:b/>
                <w:sz w:val="20"/>
              </w:rPr>
              <w:t>13.5798</w:t>
            </w:r>
          </w:p>
        </w:tc>
        <w:tc>
          <w:tcPr>
            <w:tcW w:w="1871" w:type="dxa"/>
            <w:vAlign w:val="center"/>
          </w:tcPr>
          <w:p w14:paraId="61CE8F09" w14:textId="77777777" w:rsidR="007C6997" w:rsidRPr="00744E32" w:rsidRDefault="007C6997" w:rsidP="00460458">
            <w:pPr>
              <w:spacing w:before="40" w:after="40"/>
              <w:jc w:val="center"/>
              <w:rPr>
                <w:rFonts w:ascii="Arial Narrow" w:hAnsi="Arial Narrow"/>
                <w:b/>
                <w:sz w:val="20"/>
              </w:rPr>
            </w:pPr>
            <w:r w:rsidRPr="00744E32">
              <w:rPr>
                <w:rFonts w:ascii="Arial Narrow" w:hAnsi="Arial Narrow"/>
                <w:b/>
                <w:sz w:val="20"/>
              </w:rPr>
              <w:t>13.4575</w:t>
            </w:r>
          </w:p>
        </w:tc>
        <w:tc>
          <w:tcPr>
            <w:tcW w:w="1508" w:type="dxa"/>
            <w:vAlign w:val="center"/>
          </w:tcPr>
          <w:p w14:paraId="4C52292F" w14:textId="77777777" w:rsidR="007C6997" w:rsidRPr="00744E32" w:rsidRDefault="007C6997" w:rsidP="00460458">
            <w:pPr>
              <w:spacing w:before="40" w:after="40"/>
              <w:jc w:val="center"/>
              <w:rPr>
                <w:rFonts w:ascii="Arial Narrow" w:hAnsi="Arial Narrow"/>
                <w:b/>
                <w:sz w:val="20"/>
              </w:rPr>
            </w:pPr>
            <w:r w:rsidRPr="00744E32">
              <w:rPr>
                <w:rFonts w:ascii="Arial Narrow" w:hAnsi="Arial Narrow"/>
                <w:b/>
                <w:sz w:val="20"/>
              </w:rPr>
              <w:t>0.1222</w:t>
            </w:r>
          </w:p>
        </w:tc>
      </w:tr>
      <w:tr w:rsidR="007C6997" w:rsidRPr="00744E32" w14:paraId="045091FB" w14:textId="77777777" w:rsidTr="00E87685">
        <w:tc>
          <w:tcPr>
            <w:tcW w:w="3936" w:type="dxa"/>
          </w:tcPr>
          <w:p w14:paraId="101492AD" w14:textId="77777777" w:rsidR="007C6997" w:rsidRPr="00744E32" w:rsidRDefault="007C6997" w:rsidP="00460458">
            <w:pPr>
              <w:spacing w:before="40" w:after="40"/>
              <w:ind w:left="452"/>
              <w:jc w:val="both"/>
              <w:rPr>
                <w:rFonts w:ascii="Arial Narrow" w:hAnsi="Arial Narrow"/>
                <w:sz w:val="20"/>
              </w:rPr>
            </w:pPr>
            <w:r>
              <w:rPr>
                <w:rFonts w:ascii="Arial Narrow" w:hAnsi="Arial Narrow"/>
                <w:sz w:val="20"/>
              </w:rPr>
              <w:t>Disease-</w:t>
            </w:r>
            <w:r w:rsidRPr="00744E32">
              <w:rPr>
                <w:rFonts w:ascii="Arial Narrow" w:hAnsi="Arial Narrow"/>
                <w:sz w:val="20"/>
              </w:rPr>
              <w:t>free</w:t>
            </w:r>
          </w:p>
        </w:tc>
        <w:tc>
          <w:tcPr>
            <w:tcW w:w="1701" w:type="dxa"/>
            <w:vAlign w:val="center"/>
          </w:tcPr>
          <w:p w14:paraId="004BAEE6"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13.4522</w:t>
            </w:r>
          </w:p>
        </w:tc>
        <w:tc>
          <w:tcPr>
            <w:tcW w:w="1871" w:type="dxa"/>
            <w:vAlign w:val="center"/>
          </w:tcPr>
          <w:p w14:paraId="72815BEF"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13.3021</w:t>
            </w:r>
          </w:p>
        </w:tc>
        <w:tc>
          <w:tcPr>
            <w:tcW w:w="1508" w:type="dxa"/>
            <w:vAlign w:val="center"/>
          </w:tcPr>
          <w:p w14:paraId="67B0CA5F"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0.1501</w:t>
            </w:r>
          </w:p>
        </w:tc>
      </w:tr>
      <w:tr w:rsidR="007C6997" w:rsidRPr="00744E32" w14:paraId="5406E5D4" w14:textId="77777777" w:rsidTr="00E87685">
        <w:tc>
          <w:tcPr>
            <w:tcW w:w="3936" w:type="dxa"/>
          </w:tcPr>
          <w:p w14:paraId="21FCFA24" w14:textId="77777777" w:rsidR="007C6997" w:rsidRPr="00744E32" w:rsidRDefault="007C6997" w:rsidP="00460458">
            <w:pPr>
              <w:spacing w:before="40" w:after="40"/>
              <w:ind w:left="452"/>
              <w:jc w:val="both"/>
              <w:rPr>
                <w:rFonts w:ascii="Arial Narrow" w:hAnsi="Arial Narrow"/>
                <w:sz w:val="20"/>
              </w:rPr>
            </w:pPr>
            <w:r>
              <w:rPr>
                <w:rFonts w:ascii="Arial Narrow" w:hAnsi="Arial Narrow"/>
                <w:sz w:val="20"/>
              </w:rPr>
              <w:t>Post recurrence</w:t>
            </w:r>
          </w:p>
        </w:tc>
        <w:tc>
          <w:tcPr>
            <w:tcW w:w="1701" w:type="dxa"/>
            <w:tcBorders>
              <w:bottom w:val="single" w:sz="4" w:space="0" w:color="auto"/>
            </w:tcBorders>
            <w:vAlign w:val="center"/>
          </w:tcPr>
          <w:p w14:paraId="0114F426"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0.1275</w:t>
            </w:r>
          </w:p>
        </w:tc>
        <w:tc>
          <w:tcPr>
            <w:tcW w:w="1871" w:type="dxa"/>
            <w:tcBorders>
              <w:bottom w:val="single" w:sz="4" w:space="0" w:color="auto"/>
            </w:tcBorders>
            <w:vAlign w:val="center"/>
          </w:tcPr>
          <w:p w14:paraId="1BE70AB5"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0.1554</w:t>
            </w:r>
          </w:p>
        </w:tc>
        <w:tc>
          <w:tcPr>
            <w:tcW w:w="1508" w:type="dxa"/>
            <w:vAlign w:val="center"/>
          </w:tcPr>
          <w:p w14:paraId="09927E60"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i/>
                <w:sz w:val="20"/>
              </w:rPr>
              <w:t>-0.0279</w:t>
            </w:r>
          </w:p>
        </w:tc>
      </w:tr>
      <w:tr w:rsidR="007C6997" w:rsidRPr="00744E32" w14:paraId="58E24417" w14:textId="77777777" w:rsidTr="00E87685">
        <w:tc>
          <w:tcPr>
            <w:tcW w:w="3936" w:type="dxa"/>
            <w:tcBorders>
              <w:right w:val="single" w:sz="4" w:space="0" w:color="auto"/>
            </w:tcBorders>
          </w:tcPr>
          <w:p w14:paraId="27ABDA02" w14:textId="77777777" w:rsidR="007C6997" w:rsidRPr="00744E32" w:rsidRDefault="007C6997" w:rsidP="00460458">
            <w:pPr>
              <w:spacing w:before="40" w:after="40"/>
              <w:ind w:left="452"/>
              <w:jc w:val="both"/>
              <w:rPr>
                <w:rFonts w:ascii="Arial Narrow" w:hAnsi="Arial Narrow"/>
                <w:sz w:val="20"/>
              </w:rPr>
            </w:pPr>
          </w:p>
        </w:tc>
        <w:tc>
          <w:tcPr>
            <w:tcW w:w="1701" w:type="dxa"/>
            <w:tcBorders>
              <w:top w:val="single" w:sz="4" w:space="0" w:color="auto"/>
              <w:left w:val="single" w:sz="4" w:space="0" w:color="auto"/>
              <w:bottom w:val="single" w:sz="4" w:space="0" w:color="auto"/>
              <w:right w:val="nil"/>
            </w:tcBorders>
            <w:vAlign w:val="center"/>
          </w:tcPr>
          <w:p w14:paraId="06D754C0" w14:textId="77777777" w:rsidR="007C6997" w:rsidRPr="00744E32" w:rsidRDefault="007C6997" w:rsidP="00460458">
            <w:pPr>
              <w:spacing w:before="40" w:after="40"/>
              <w:jc w:val="center"/>
              <w:rPr>
                <w:rFonts w:ascii="Arial Narrow" w:hAnsi="Arial Narrow"/>
                <w:i/>
                <w:sz w:val="20"/>
              </w:rPr>
            </w:pPr>
          </w:p>
        </w:tc>
        <w:tc>
          <w:tcPr>
            <w:tcW w:w="1871" w:type="dxa"/>
            <w:tcBorders>
              <w:top w:val="single" w:sz="4" w:space="0" w:color="auto"/>
              <w:left w:val="nil"/>
              <w:bottom w:val="single" w:sz="4" w:space="0" w:color="auto"/>
              <w:right w:val="single" w:sz="4" w:space="0" w:color="auto"/>
            </w:tcBorders>
            <w:vAlign w:val="center"/>
          </w:tcPr>
          <w:p w14:paraId="0DDAEAF2" w14:textId="77777777" w:rsidR="007C6997" w:rsidRPr="00744E32" w:rsidRDefault="007C6997" w:rsidP="00460458">
            <w:pPr>
              <w:spacing w:before="40" w:after="40"/>
              <w:jc w:val="right"/>
              <w:rPr>
                <w:rFonts w:ascii="Arial Narrow" w:hAnsi="Arial Narrow"/>
                <w:i/>
                <w:sz w:val="20"/>
              </w:rPr>
            </w:pPr>
            <w:r w:rsidRPr="00744E32">
              <w:rPr>
                <w:rFonts w:ascii="Arial Narrow" w:hAnsi="Arial Narrow"/>
                <w:b/>
                <w:sz w:val="20"/>
              </w:rPr>
              <w:t xml:space="preserve">$ per </w:t>
            </w:r>
            <w:r>
              <w:rPr>
                <w:rFonts w:ascii="Arial Narrow" w:hAnsi="Arial Narrow"/>
                <w:b/>
                <w:sz w:val="20"/>
              </w:rPr>
              <w:t>l</w:t>
            </w:r>
            <w:r w:rsidRPr="00744E32">
              <w:rPr>
                <w:rFonts w:ascii="Arial Narrow" w:hAnsi="Arial Narrow"/>
                <w:b/>
                <w:sz w:val="20"/>
              </w:rPr>
              <w:t>ife year gained</w:t>
            </w:r>
          </w:p>
        </w:tc>
        <w:tc>
          <w:tcPr>
            <w:tcW w:w="1508" w:type="dxa"/>
            <w:tcBorders>
              <w:left w:val="single" w:sz="4" w:space="0" w:color="auto"/>
            </w:tcBorders>
            <w:vAlign w:val="center"/>
          </w:tcPr>
          <w:p w14:paraId="22740B4D"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b/>
                <w:sz w:val="20"/>
              </w:rPr>
              <w:t>$24,253</w:t>
            </w:r>
          </w:p>
        </w:tc>
      </w:tr>
      <w:tr w:rsidR="007C6997" w:rsidRPr="00744E32" w14:paraId="5B6451B0" w14:textId="77777777" w:rsidTr="00E87685">
        <w:tc>
          <w:tcPr>
            <w:tcW w:w="3936" w:type="dxa"/>
            <w:tcBorders>
              <w:right w:val="nil"/>
            </w:tcBorders>
          </w:tcPr>
          <w:p w14:paraId="7B5B0C41" w14:textId="77777777" w:rsidR="007C6997" w:rsidRPr="00744E32" w:rsidRDefault="007C6997" w:rsidP="00460458">
            <w:pPr>
              <w:spacing w:before="40" w:after="40"/>
              <w:ind w:left="452"/>
              <w:jc w:val="both"/>
              <w:rPr>
                <w:rFonts w:ascii="Arial Narrow" w:hAnsi="Arial Narrow"/>
                <w:sz w:val="20"/>
              </w:rPr>
            </w:pPr>
          </w:p>
        </w:tc>
        <w:tc>
          <w:tcPr>
            <w:tcW w:w="1701" w:type="dxa"/>
            <w:tcBorders>
              <w:top w:val="single" w:sz="4" w:space="0" w:color="auto"/>
              <w:left w:val="nil"/>
              <w:right w:val="nil"/>
            </w:tcBorders>
            <w:vAlign w:val="center"/>
          </w:tcPr>
          <w:p w14:paraId="6EF21B03" w14:textId="77777777" w:rsidR="007C6997" w:rsidRPr="00744E32" w:rsidRDefault="007C6997" w:rsidP="00460458">
            <w:pPr>
              <w:spacing w:before="40" w:after="40"/>
              <w:jc w:val="center"/>
              <w:rPr>
                <w:rFonts w:ascii="Arial Narrow" w:hAnsi="Arial Narrow"/>
                <w:i/>
                <w:sz w:val="20"/>
              </w:rPr>
            </w:pPr>
          </w:p>
        </w:tc>
        <w:tc>
          <w:tcPr>
            <w:tcW w:w="1871" w:type="dxa"/>
            <w:tcBorders>
              <w:top w:val="single" w:sz="4" w:space="0" w:color="auto"/>
              <w:left w:val="nil"/>
            </w:tcBorders>
            <w:vAlign w:val="center"/>
          </w:tcPr>
          <w:p w14:paraId="5903369A" w14:textId="17621C1A" w:rsidR="007C6997" w:rsidRPr="00744E32" w:rsidRDefault="007C6997" w:rsidP="00011519">
            <w:pPr>
              <w:spacing w:before="40" w:after="40"/>
              <w:jc w:val="right"/>
              <w:rPr>
                <w:rFonts w:ascii="Arial Narrow" w:hAnsi="Arial Narrow"/>
                <w:i/>
                <w:sz w:val="20"/>
              </w:rPr>
            </w:pPr>
            <w:r w:rsidRPr="00744E32">
              <w:rPr>
                <w:rFonts w:ascii="Arial Narrow" w:hAnsi="Arial Narrow"/>
                <w:b/>
                <w:sz w:val="20"/>
              </w:rPr>
              <w:t>$ per QALY gained</w:t>
            </w:r>
          </w:p>
        </w:tc>
        <w:tc>
          <w:tcPr>
            <w:tcW w:w="1508" w:type="dxa"/>
            <w:vAlign w:val="center"/>
          </w:tcPr>
          <w:p w14:paraId="6B529D2A" w14:textId="77777777" w:rsidR="007C6997" w:rsidRPr="00744E32" w:rsidRDefault="007C6997" w:rsidP="00460458">
            <w:pPr>
              <w:spacing w:before="40" w:after="40"/>
              <w:jc w:val="center"/>
              <w:rPr>
                <w:rFonts w:ascii="Arial Narrow" w:hAnsi="Arial Narrow"/>
                <w:i/>
                <w:sz w:val="20"/>
              </w:rPr>
            </w:pPr>
            <w:r w:rsidRPr="00744E32">
              <w:rPr>
                <w:rFonts w:ascii="Arial Narrow" w:hAnsi="Arial Narrow"/>
                <w:b/>
                <w:sz w:val="20"/>
              </w:rPr>
              <w:t>$22,525</w:t>
            </w:r>
          </w:p>
        </w:tc>
      </w:tr>
    </w:tbl>
    <w:p w14:paraId="329EA97A" w14:textId="6A33D407" w:rsidR="007C6997" w:rsidRPr="004767C3" w:rsidRDefault="007C6997" w:rsidP="007C6997">
      <w:pPr>
        <w:jc w:val="both"/>
        <w:rPr>
          <w:rFonts w:ascii="Arial Narrow" w:hAnsi="Arial Narrow"/>
          <w:i/>
          <w:sz w:val="18"/>
          <w:szCs w:val="18"/>
        </w:rPr>
      </w:pPr>
      <w:r w:rsidRPr="004767C3">
        <w:rPr>
          <w:rFonts w:ascii="Arial Narrow" w:hAnsi="Arial Narrow"/>
          <w:i/>
          <w:sz w:val="18"/>
          <w:szCs w:val="18"/>
        </w:rPr>
        <w:t xml:space="preserve">Text in italics indicate values calculated </w:t>
      </w:r>
      <w:r w:rsidR="00011519">
        <w:rPr>
          <w:rFonts w:ascii="Arial Narrow" w:hAnsi="Arial Narrow"/>
          <w:i/>
          <w:sz w:val="18"/>
          <w:szCs w:val="18"/>
        </w:rPr>
        <w:t>for the C</w:t>
      </w:r>
      <w:r w:rsidRPr="004767C3">
        <w:rPr>
          <w:rFonts w:ascii="Arial Narrow" w:hAnsi="Arial Narrow"/>
          <w:i/>
          <w:sz w:val="18"/>
          <w:szCs w:val="18"/>
        </w:rPr>
        <w:t>ritique</w:t>
      </w:r>
      <w:r w:rsidR="00DA17F9">
        <w:rPr>
          <w:rFonts w:ascii="Arial Narrow" w:hAnsi="Arial Narrow"/>
          <w:i/>
          <w:sz w:val="18"/>
          <w:szCs w:val="18"/>
        </w:rPr>
        <w:t>.</w:t>
      </w:r>
    </w:p>
    <w:p w14:paraId="08E64E30" w14:textId="556886E6" w:rsidR="007C6997" w:rsidRPr="00E2362C" w:rsidRDefault="007C6997" w:rsidP="00E2362C">
      <w:pPr>
        <w:spacing w:after="240"/>
        <w:jc w:val="both"/>
        <w:rPr>
          <w:rFonts w:ascii="Arial Narrow" w:hAnsi="Arial Narrow"/>
          <w:sz w:val="18"/>
          <w:szCs w:val="18"/>
        </w:rPr>
      </w:pPr>
      <w:r w:rsidRPr="00FF5406">
        <w:rPr>
          <w:rFonts w:ascii="Arial Narrow" w:hAnsi="Arial Narrow"/>
          <w:sz w:val="18"/>
          <w:szCs w:val="18"/>
        </w:rPr>
        <w:t>Source: Table 69, p153, Table</w:t>
      </w:r>
      <w:r w:rsidR="000F66FC">
        <w:rPr>
          <w:rFonts w:ascii="Arial Narrow" w:hAnsi="Arial Narrow"/>
          <w:sz w:val="18"/>
          <w:szCs w:val="18"/>
        </w:rPr>
        <w:t>s</w:t>
      </w:r>
      <w:r w:rsidRPr="00FF5406">
        <w:rPr>
          <w:rFonts w:ascii="Arial Narrow" w:hAnsi="Arial Narrow"/>
          <w:sz w:val="18"/>
          <w:szCs w:val="18"/>
        </w:rPr>
        <w:t xml:space="preserve"> 70 and 71 p154 of the </w:t>
      </w:r>
      <w:r w:rsidR="000F66FC">
        <w:rPr>
          <w:rFonts w:ascii="Arial Narrow" w:hAnsi="Arial Narrow"/>
          <w:sz w:val="18"/>
          <w:szCs w:val="18"/>
        </w:rPr>
        <w:t>resubmission;</w:t>
      </w:r>
      <w:r w:rsidRPr="00FF5406">
        <w:rPr>
          <w:rFonts w:ascii="Arial Narrow" w:hAnsi="Arial Narrow"/>
          <w:sz w:val="18"/>
          <w:szCs w:val="18"/>
        </w:rPr>
        <w:t xml:space="preserve"> ODX_EconModel.xlsm</w:t>
      </w:r>
      <w:r w:rsidR="00DA17F9">
        <w:rPr>
          <w:rFonts w:ascii="Arial Narrow" w:hAnsi="Arial Narrow"/>
          <w:sz w:val="18"/>
          <w:szCs w:val="18"/>
        </w:rPr>
        <w:t>.</w:t>
      </w:r>
    </w:p>
    <w:p w14:paraId="1BF2D173" w14:textId="0BC3DD0C" w:rsidR="007C6997" w:rsidRDefault="007C6997" w:rsidP="00E2362C">
      <w:pPr>
        <w:spacing w:after="240"/>
      </w:pPr>
      <w:r>
        <w:t xml:space="preserve">The Critique highlighted that the base case ICER/QALY ($22,525) was driven by the </w:t>
      </w:r>
      <w:r w:rsidR="00F3423D">
        <w:t xml:space="preserve">“chemotherapy </w:t>
      </w:r>
      <w:r>
        <w:t>indicating</w:t>
      </w:r>
      <w:r w:rsidR="00F3423D">
        <w:t>”</w:t>
      </w:r>
      <w:r>
        <w:t xml:space="preserve"> component (based on Geyer </w:t>
      </w:r>
      <w:r w:rsidR="00435872">
        <w:t>et al.</w:t>
      </w:r>
      <w:r>
        <w:t xml:space="preserve"> 2018), contributing more benefit than the </w:t>
      </w:r>
      <w:r w:rsidR="00F3423D">
        <w:t>“chemotherapy</w:t>
      </w:r>
      <w:r>
        <w:t xml:space="preserve"> sparing</w:t>
      </w:r>
      <w:r w:rsidR="00F3423D">
        <w:t>”</w:t>
      </w:r>
      <w:r>
        <w:t xml:space="preserve"> component (incremental QALYs: 0.1177 </w:t>
      </w:r>
      <w:r w:rsidRPr="00A523BB">
        <w:rPr>
          <w:i/>
        </w:rPr>
        <w:t>vs</w:t>
      </w:r>
      <w:r>
        <w:t xml:space="preserve">. 0.0045, respectively); considered the </w:t>
      </w:r>
      <w:r w:rsidR="00F3423D">
        <w:t>“chemotherapy</w:t>
      </w:r>
      <w:r>
        <w:t xml:space="preserve"> indicating</w:t>
      </w:r>
      <w:r w:rsidR="00F3423D">
        <w:t>”</w:t>
      </w:r>
      <w:r>
        <w:t xml:space="preserve"> component was based on weaker evidence base, which MSAC had considered before when previously deciding not to support Oncotype</w:t>
      </w:r>
      <w:r w:rsidR="00A52F8F">
        <w:t> </w:t>
      </w:r>
      <w:r>
        <w:t>DX.</w:t>
      </w:r>
    </w:p>
    <w:p w14:paraId="4D59E7DE" w14:textId="2659FB8F" w:rsidR="007C6997" w:rsidRDefault="007C6997" w:rsidP="00082ECB">
      <w:r>
        <w:t>The Critique’s sensitivity analyses showed t</w:t>
      </w:r>
      <w:r w:rsidRPr="00183E4D">
        <w:t xml:space="preserve">he modelled results were most sensitive to </w:t>
      </w:r>
      <w:r>
        <w:t>the effect of chemotherapy on absolute risk of recurrence in RS</w:t>
      </w:r>
      <w:r w:rsidR="00375B02">
        <w:t> </w:t>
      </w:r>
      <w:r>
        <w:t>≥26 patients and the model duration.</w:t>
      </w:r>
    </w:p>
    <w:p w14:paraId="0D21073E" w14:textId="77777777" w:rsidR="00BC1364" w:rsidRDefault="00BC1364" w:rsidP="00F715D1">
      <w:pPr>
        <w:pStyle w:val="Heading1"/>
      </w:pPr>
      <w:r w:rsidRPr="00F715D1">
        <w:t>Financial/budgetary impacts</w:t>
      </w:r>
    </w:p>
    <w:p w14:paraId="350F7EA1" w14:textId="77777777" w:rsidR="00C61CB7" w:rsidRPr="00E2362C" w:rsidRDefault="007C6997">
      <w:r w:rsidRPr="00F67851">
        <w:t xml:space="preserve">An epidemiological approach </w:t>
      </w:r>
      <w:r w:rsidR="00BF4EEF">
        <w:t>w</w:t>
      </w:r>
      <w:r w:rsidRPr="00F67851">
        <w:t xml:space="preserve">as used to estimate the financial implications of the introduction of the </w:t>
      </w:r>
      <w:r>
        <w:t>Oncotype</w:t>
      </w:r>
      <w:r w:rsidR="00A52F8F">
        <w:t> </w:t>
      </w:r>
      <w:r>
        <w:t>DX test (Table 9).</w:t>
      </w:r>
      <w:bookmarkStart w:id="21" w:name="_Ref282233"/>
      <w:bookmarkStart w:id="22" w:name="_Toc441445"/>
      <w:r w:rsidR="00C61CB7">
        <w:br w:type="page"/>
      </w:r>
    </w:p>
    <w:p w14:paraId="3251ACF6" w14:textId="77777777" w:rsidR="007C6997" w:rsidRPr="00B24C63" w:rsidRDefault="007C6997" w:rsidP="00B24C63">
      <w:pPr>
        <w:rPr>
          <w:rFonts w:ascii="Arial Narrow" w:hAnsi="Arial Narrow"/>
          <w:b/>
          <w:sz w:val="20"/>
        </w:rPr>
      </w:pPr>
      <w:r w:rsidRPr="00B24C63">
        <w:rPr>
          <w:rFonts w:ascii="Arial Narrow" w:hAnsi="Arial Narrow"/>
          <w:b/>
          <w:sz w:val="20"/>
        </w:rPr>
        <w:t xml:space="preserve">Table </w:t>
      </w:r>
      <w:bookmarkEnd w:id="21"/>
      <w:r w:rsidRPr="00B24C63">
        <w:rPr>
          <w:rFonts w:ascii="Arial Narrow" w:hAnsi="Arial Narrow"/>
          <w:b/>
          <w:sz w:val="20"/>
        </w:rPr>
        <w:t>9</w:t>
      </w:r>
      <w:r w:rsidRPr="00B24C63">
        <w:rPr>
          <w:rFonts w:ascii="Arial Narrow" w:hAnsi="Arial Narrow"/>
          <w:b/>
          <w:sz w:val="20"/>
        </w:rPr>
        <w:tab/>
        <w:t>Net financial impact of Oncotype</w:t>
      </w:r>
      <w:r w:rsidR="00A52F8F" w:rsidRPr="00B24C63">
        <w:rPr>
          <w:rFonts w:ascii="Arial Narrow" w:hAnsi="Arial Narrow"/>
          <w:b/>
          <w:sz w:val="20"/>
        </w:rPr>
        <w:t> </w:t>
      </w:r>
      <w:r w:rsidRPr="00B24C63">
        <w:rPr>
          <w:rFonts w:ascii="Arial Narrow" w:hAnsi="Arial Narrow"/>
          <w:b/>
          <w:sz w:val="20"/>
        </w:rPr>
        <w:t>DX over five years by Commonwealth health budget and patient population</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13"/>
        <w:gridCol w:w="1179"/>
        <w:gridCol w:w="1183"/>
        <w:gridCol w:w="1179"/>
        <w:gridCol w:w="1181"/>
        <w:gridCol w:w="1181"/>
      </w:tblGrid>
      <w:tr w:rsidR="007C6997" w:rsidRPr="00CB5030" w14:paraId="74E9962B" w14:textId="77777777" w:rsidTr="00460458">
        <w:trPr>
          <w:trHeight w:val="219"/>
        </w:trPr>
        <w:tc>
          <w:tcPr>
            <w:tcW w:w="1726" w:type="pct"/>
            <w:tcBorders>
              <w:bottom w:val="single" w:sz="4" w:space="0" w:color="auto"/>
            </w:tcBorders>
            <w:shd w:val="clear" w:color="auto" w:fill="auto"/>
            <w:noWrap/>
            <w:hideMark/>
          </w:tcPr>
          <w:p w14:paraId="02651BAF" w14:textId="77777777" w:rsidR="007C6997" w:rsidRPr="00CB5030" w:rsidRDefault="007C6997" w:rsidP="00460458">
            <w:pPr>
              <w:pStyle w:val="TableText0"/>
              <w:keepNext w:val="0"/>
              <w:widowControl w:val="0"/>
              <w:jc w:val="left"/>
              <w:rPr>
                <w:b/>
              </w:rPr>
            </w:pPr>
            <w:r w:rsidRPr="00CB5030">
              <w:rPr>
                <w:b/>
              </w:rPr>
              <w:t>Summary</w:t>
            </w:r>
          </w:p>
        </w:tc>
        <w:tc>
          <w:tcPr>
            <w:tcW w:w="654" w:type="pct"/>
            <w:tcBorders>
              <w:bottom w:val="single" w:sz="4" w:space="0" w:color="auto"/>
            </w:tcBorders>
            <w:shd w:val="clear" w:color="auto" w:fill="auto"/>
            <w:noWrap/>
            <w:hideMark/>
          </w:tcPr>
          <w:p w14:paraId="7BE3B288" w14:textId="77777777" w:rsidR="007C6997" w:rsidRPr="00CB5030" w:rsidRDefault="007C6997" w:rsidP="00460458">
            <w:pPr>
              <w:pStyle w:val="TableText0"/>
              <w:keepNext w:val="0"/>
              <w:widowControl w:val="0"/>
              <w:jc w:val="center"/>
              <w:rPr>
                <w:b/>
              </w:rPr>
            </w:pPr>
            <w:r w:rsidRPr="00CB5030">
              <w:rPr>
                <w:b/>
              </w:rPr>
              <w:t>Year 1</w:t>
            </w:r>
            <w:r w:rsidRPr="00CB5030">
              <w:rPr>
                <w:b/>
              </w:rPr>
              <w:br/>
              <w:t>(2020)</w:t>
            </w:r>
          </w:p>
        </w:tc>
        <w:tc>
          <w:tcPr>
            <w:tcW w:w="656" w:type="pct"/>
            <w:tcBorders>
              <w:bottom w:val="single" w:sz="4" w:space="0" w:color="auto"/>
            </w:tcBorders>
            <w:shd w:val="clear" w:color="auto" w:fill="auto"/>
            <w:noWrap/>
            <w:hideMark/>
          </w:tcPr>
          <w:p w14:paraId="694500D2" w14:textId="77777777" w:rsidR="007C6997" w:rsidRPr="00CB5030" w:rsidRDefault="007C6997" w:rsidP="00460458">
            <w:pPr>
              <w:pStyle w:val="TableText0"/>
              <w:keepNext w:val="0"/>
              <w:widowControl w:val="0"/>
              <w:jc w:val="center"/>
              <w:rPr>
                <w:b/>
              </w:rPr>
            </w:pPr>
            <w:r w:rsidRPr="00CB5030">
              <w:rPr>
                <w:b/>
              </w:rPr>
              <w:t>Year 2</w:t>
            </w:r>
            <w:r w:rsidRPr="00CB5030">
              <w:rPr>
                <w:b/>
              </w:rPr>
              <w:br/>
              <w:t>(2021)</w:t>
            </w:r>
          </w:p>
        </w:tc>
        <w:tc>
          <w:tcPr>
            <w:tcW w:w="654" w:type="pct"/>
            <w:tcBorders>
              <w:bottom w:val="single" w:sz="4" w:space="0" w:color="auto"/>
            </w:tcBorders>
            <w:shd w:val="clear" w:color="auto" w:fill="auto"/>
            <w:noWrap/>
            <w:hideMark/>
          </w:tcPr>
          <w:p w14:paraId="173D5AF9" w14:textId="77777777" w:rsidR="007C6997" w:rsidRPr="00CB5030" w:rsidRDefault="007C6997" w:rsidP="00460458">
            <w:pPr>
              <w:pStyle w:val="TableText0"/>
              <w:keepNext w:val="0"/>
              <w:widowControl w:val="0"/>
              <w:jc w:val="center"/>
              <w:rPr>
                <w:b/>
              </w:rPr>
            </w:pPr>
            <w:r w:rsidRPr="00CB5030">
              <w:rPr>
                <w:b/>
              </w:rPr>
              <w:t>Year 3</w:t>
            </w:r>
            <w:r w:rsidRPr="00CB5030">
              <w:rPr>
                <w:b/>
              </w:rPr>
              <w:br/>
              <w:t>(2022)</w:t>
            </w:r>
          </w:p>
        </w:tc>
        <w:tc>
          <w:tcPr>
            <w:tcW w:w="655" w:type="pct"/>
            <w:tcBorders>
              <w:bottom w:val="single" w:sz="4" w:space="0" w:color="auto"/>
            </w:tcBorders>
            <w:shd w:val="clear" w:color="auto" w:fill="auto"/>
            <w:noWrap/>
            <w:hideMark/>
          </w:tcPr>
          <w:p w14:paraId="27D7BE67" w14:textId="77777777" w:rsidR="007C6997" w:rsidRPr="00CB5030" w:rsidRDefault="007C6997" w:rsidP="00460458">
            <w:pPr>
              <w:pStyle w:val="TableText0"/>
              <w:keepNext w:val="0"/>
              <w:widowControl w:val="0"/>
              <w:jc w:val="center"/>
              <w:rPr>
                <w:b/>
              </w:rPr>
            </w:pPr>
            <w:r w:rsidRPr="00CB5030">
              <w:rPr>
                <w:b/>
              </w:rPr>
              <w:t>Year 4</w:t>
            </w:r>
            <w:r w:rsidRPr="00CB5030">
              <w:rPr>
                <w:b/>
              </w:rPr>
              <w:br/>
              <w:t>(2023)</w:t>
            </w:r>
          </w:p>
        </w:tc>
        <w:tc>
          <w:tcPr>
            <w:tcW w:w="655" w:type="pct"/>
            <w:tcBorders>
              <w:bottom w:val="single" w:sz="4" w:space="0" w:color="auto"/>
            </w:tcBorders>
            <w:shd w:val="clear" w:color="auto" w:fill="auto"/>
            <w:noWrap/>
            <w:hideMark/>
          </w:tcPr>
          <w:p w14:paraId="1AB034E3" w14:textId="77777777" w:rsidR="007C6997" w:rsidRPr="00CB5030" w:rsidRDefault="007C6997" w:rsidP="00460458">
            <w:pPr>
              <w:pStyle w:val="TableText0"/>
              <w:keepNext w:val="0"/>
              <w:widowControl w:val="0"/>
              <w:jc w:val="center"/>
              <w:rPr>
                <w:b/>
              </w:rPr>
            </w:pPr>
            <w:r w:rsidRPr="00CB5030">
              <w:rPr>
                <w:b/>
              </w:rPr>
              <w:t>Year 5</w:t>
            </w:r>
            <w:r w:rsidRPr="00CB5030">
              <w:rPr>
                <w:b/>
              </w:rPr>
              <w:br/>
              <w:t>(2024)</w:t>
            </w:r>
          </w:p>
        </w:tc>
      </w:tr>
      <w:tr w:rsidR="007C6997" w:rsidRPr="00CB5030" w14:paraId="3CAF00E5" w14:textId="77777777" w:rsidTr="00460458">
        <w:trPr>
          <w:trHeight w:val="219"/>
        </w:trPr>
        <w:tc>
          <w:tcPr>
            <w:tcW w:w="1726" w:type="pct"/>
            <w:tcBorders>
              <w:top w:val="single" w:sz="4" w:space="0" w:color="auto"/>
              <w:left w:val="single" w:sz="4" w:space="0" w:color="auto"/>
            </w:tcBorders>
            <w:shd w:val="clear" w:color="auto" w:fill="auto"/>
            <w:noWrap/>
          </w:tcPr>
          <w:p w14:paraId="4032E82E" w14:textId="77777777" w:rsidR="007C6997" w:rsidRPr="00CB5030" w:rsidRDefault="007C6997" w:rsidP="00460458">
            <w:pPr>
              <w:pStyle w:val="TableText0"/>
              <w:keepNext w:val="0"/>
              <w:widowControl w:val="0"/>
              <w:jc w:val="left"/>
            </w:pPr>
            <w:r>
              <w:t>Patients</w:t>
            </w:r>
            <w:r w:rsidRPr="00573D07">
              <w:t xml:space="preserve"> diagnosed with breast cancer</w:t>
            </w:r>
            <w:r>
              <w:t xml:space="preserve"> [A]</w:t>
            </w:r>
          </w:p>
        </w:tc>
        <w:tc>
          <w:tcPr>
            <w:tcW w:w="654" w:type="pct"/>
            <w:tcBorders>
              <w:top w:val="single" w:sz="4" w:space="0" w:color="auto"/>
            </w:tcBorders>
            <w:shd w:val="clear" w:color="auto" w:fill="auto"/>
            <w:noWrap/>
          </w:tcPr>
          <w:p w14:paraId="7C021096" w14:textId="77777777" w:rsidR="007C6997" w:rsidRPr="00CB5030" w:rsidRDefault="007C6997" w:rsidP="00460458">
            <w:pPr>
              <w:pStyle w:val="TableText0"/>
              <w:keepNext w:val="0"/>
              <w:widowControl w:val="0"/>
              <w:jc w:val="center"/>
            </w:pPr>
            <w:r w:rsidRPr="00573D07">
              <w:t>17</w:t>
            </w:r>
            <w:r>
              <w:t>,</w:t>
            </w:r>
            <w:r w:rsidRPr="00573D07">
              <w:t>210</w:t>
            </w:r>
          </w:p>
        </w:tc>
        <w:tc>
          <w:tcPr>
            <w:tcW w:w="656" w:type="pct"/>
            <w:tcBorders>
              <w:top w:val="single" w:sz="4" w:space="0" w:color="auto"/>
            </w:tcBorders>
            <w:shd w:val="clear" w:color="auto" w:fill="auto"/>
            <w:noWrap/>
          </w:tcPr>
          <w:p w14:paraId="76434F90" w14:textId="77777777" w:rsidR="007C6997" w:rsidRPr="00CB5030" w:rsidRDefault="007C6997" w:rsidP="00460458">
            <w:pPr>
              <w:pStyle w:val="TableText0"/>
              <w:keepNext w:val="0"/>
              <w:widowControl w:val="0"/>
              <w:jc w:val="center"/>
            </w:pPr>
            <w:r w:rsidRPr="00573D07">
              <w:t>17,530</w:t>
            </w:r>
          </w:p>
        </w:tc>
        <w:tc>
          <w:tcPr>
            <w:tcW w:w="654" w:type="pct"/>
            <w:tcBorders>
              <w:top w:val="single" w:sz="4" w:space="0" w:color="auto"/>
            </w:tcBorders>
            <w:shd w:val="clear" w:color="auto" w:fill="auto"/>
            <w:noWrap/>
          </w:tcPr>
          <w:p w14:paraId="0F5037EF" w14:textId="77777777" w:rsidR="007C6997" w:rsidRPr="00CB5030" w:rsidRDefault="007C6997" w:rsidP="00460458">
            <w:pPr>
              <w:pStyle w:val="TableText0"/>
              <w:keepNext w:val="0"/>
              <w:widowControl w:val="0"/>
              <w:jc w:val="center"/>
            </w:pPr>
            <w:r w:rsidRPr="00573D07">
              <w:t>17,850</w:t>
            </w:r>
          </w:p>
        </w:tc>
        <w:tc>
          <w:tcPr>
            <w:tcW w:w="655" w:type="pct"/>
            <w:tcBorders>
              <w:top w:val="single" w:sz="4" w:space="0" w:color="auto"/>
            </w:tcBorders>
            <w:shd w:val="clear" w:color="auto" w:fill="auto"/>
            <w:noWrap/>
          </w:tcPr>
          <w:p w14:paraId="137E7F9A" w14:textId="77777777" w:rsidR="007C6997" w:rsidRPr="00CB5030" w:rsidRDefault="007C6997" w:rsidP="00460458">
            <w:pPr>
              <w:pStyle w:val="TableText0"/>
              <w:keepNext w:val="0"/>
              <w:widowControl w:val="0"/>
              <w:jc w:val="center"/>
            </w:pPr>
            <w:r w:rsidRPr="00573D07">
              <w:t>18,170</w:t>
            </w:r>
          </w:p>
        </w:tc>
        <w:tc>
          <w:tcPr>
            <w:tcW w:w="655" w:type="pct"/>
            <w:tcBorders>
              <w:top w:val="single" w:sz="4" w:space="0" w:color="auto"/>
              <w:right w:val="single" w:sz="4" w:space="0" w:color="auto"/>
            </w:tcBorders>
            <w:shd w:val="clear" w:color="auto" w:fill="auto"/>
            <w:noWrap/>
          </w:tcPr>
          <w:p w14:paraId="76F1FE20" w14:textId="77777777" w:rsidR="007C6997" w:rsidRPr="00CB5030" w:rsidRDefault="007C6997" w:rsidP="00460458">
            <w:pPr>
              <w:pStyle w:val="TableText0"/>
              <w:keepNext w:val="0"/>
              <w:widowControl w:val="0"/>
              <w:jc w:val="center"/>
            </w:pPr>
            <w:r w:rsidRPr="00573D07">
              <w:t>18,490</w:t>
            </w:r>
          </w:p>
        </w:tc>
      </w:tr>
      <w:tr w:rsidR="007C6997" w:rsidRPr="00CB5030" w14:paraId="4C97FB1C" w14:textId="77777777" w:rsidTr="00460458">
        <w:trPr>
          <w:trHeight w:val="219"/>
        </w:trPr>
        <w:tc>
          <w:tcPr>
            <w:tcW w:w="1726" w:type="pct"/>
            <w:tcBorders>
              <w:left w:val="single" w:sz="4" w:space="0" w:color="auto"/>
            </w:tcBorders>
            <w:shd w:val="clear" w:color="auto" w:fill="auto"/>
            <w:noWrap/>
          </w:tcPr>
          <w:p w14:paraId="20C220FE" w14:textId="4CDBE8B5" w:rsidR="007C6997" w:rsidRPr="00CB5030" w:rsidRDefault="007C6997" w:rsidP="00A52F8F">
            <w:pPr>
              <w:pStyle w:val="TableText0"/>
              <w:keepNext w:val="0"/>
              <w:widowControl w:val="0"/>
              <w:jc w:val="left"/>
            </w:pPr>
            <w:r w:rsidRPr="00573D07">
              <w:t xml:space="preserve">Number </w:t>
            </w:r>
            <w:r>
              <w:t xml:space="preserve">of </w:t>
            </w:r>
            <w:r w:rsidRPr="00573D07">
              <w:t xml:space="preserve">patients eligible for </w:t>
            </w:r>
            <w:r>
              <w:t>Oncotype</w:t>
            </w:r>
            <w:r w:rsidR="00A52F8F">
              <w:t> </w:t>
            </w:r>
            <w:r>
              <w:t>DX [B]</w:t>
            </w:r>
          </w:p>
        </w:tc>
        <w:tc>
          <w:tcPr>
            <w:tcW w:w="654" w:type="pct"/>
            <w:shd w:val="clear" w:color="auto" w:fill="auto"/>
            <w:noWrap/>
          </w:tcPr>
          <w:p w14:paraId="527874E8" w14:textId="77777777" w:rsidR="007C6997" w:rsidRPr="00CB5030" w:rsidRDefault="007C6997" w:rsidP="00460458">
            <w:pPr>
              <w:pStyle w:val="TableText0"/>
              <w:keepNext w:val="0"/>
              <w:widowControl w:val="0"/>
              <w:jc w:val="center"/>
            </w:pPr>
            <w:r w:rsidRPr="00573D07">
              <w:t>4,652</w:t>
            </w:r>
          </w:p>
        </w:tc>
        <w:tc>
          <w:tcPr>
            <w:tcW w:w="656" w:type="pct"/>
            <w:shd w:val="clear" w:color="auto" w:fill="auto"/>
            <w:noWrap/>
          </w:tcPr>
          <w:p w14:paraId="7229D0CE" w14:textId="77777777" w:rsidR="007C6997" w:rsidRPr="00CB5030" w:rsidRDefault="007C6997" w:rsidP="00460458">
            <w:pPr>
              <w:pStyle w:val="TableText0"/>
              <w:keepNext w:val="0"/>
              <w:widowControl w:val="0"/>
              <w:jc w:val="center"/>
            </w:pPr>
            <w:r w:rsidRPr="00573D07">
              <w:t>4,739</w:t>
            </w:r>
          </w:p>
        </w:tc>
        <w:tc>
          <w:tcPr>
            <w:tcW w:w="654" w:type="pct"/>
            <w:shd w:val="clear" w:color="auto" w:fill="auto"/>
            <w:noWrap/>
          </w:tcPr>
          <w:p w14:paraId="493C5796" w14:textId="77777777" w:rsidR="007C6997" w:rsidRPr="00CB5030" w:rsidRDefault="007C6997" w:rsidP="00460458">
            <w:pPr>
              <w:pStyle w:val="TableText0"/>
              <w:keepNext w:val="0"/>
              <w:widowControl w:val="0"/>
              <w:jc w:val="center"/>
            </w:pPr>
            <w:r w:rsidRPr="00573D07">
              <w:t>4,825</w:t>
            </w:r>
          </w:p>
        </w:tc>
        <w:tc>
          <w:tcPr>
            <w:tcW w:w="655" w:type="pct"/>
            <w:shd w:val="clear" w:color="auto" w:fill="auto"/>
            <w:noWrap/>
          </w:tcPr>
          <w:p w14:paraId="2AF8ECEF" w14:textId="77777777" w:rsidR="007C6997" w:rsidRPr="00CB5030" w:rsidRDefault="007C6997" w:rsidP="00460458">
            <w:pPr>
              <w:pStyle w:val="TableText0"/>
              <w:keepNext w:val="0"/>
              <w:widowControl w:val="0"/>
              <w:jc w:val="center"/>
            </w:pPr>
            <w:r w:rsidRPr="00573D07">
              <w:t>4,912</w:t>
            </w:r>
          </w:p>
        </w:tc>
        <w:tc>
          <w:tcPr>
            <w:tcW w:w="655" w:type="pct"/>
            <w:tcBorders>
              <w:right w:val="single" w:sz="4" w:space="0" w:color="auto"/>
            </w:tcBorders>
            <w:shd w:val="clear" w:color="auto" w:fill="auto"/>
            <w:noWrap/>
          </w:tcPr>
          <w:p w14:paraId="2AA665B1" w14:textId="77777777" w:rsidR="007C6997" w:rsidRPr="00CB5030" w:rsidRDefault="007C6997" w:rsidP="00460458">
            <w:pPr>
              <w:pStyle w:val="TableText0"/>
              <w:keepNext w:val="0"/>
              <w:widowControl w:val="0"/>
              <w:jc w:val="center"/>
            </w:pPr>
            <w:r w:rsidRPr="00573D07">
              <w:t>4,998</w:t>
            </w:r>
          </w:p>
        </w:tc>
      </w:tr>
      <w:tr w:rsidR="007C6997" w:rsidRPr="00CB5030" w14:paraId="3853F156" w14:textId="77777777" w:rsidTr="00460458">
        <w:trPr>
          <w:trHeight w:val="219"/>
        </w:trPr>
        <w:tc>
          <w:tcPr>
            <w:tcW w:w="1726" w:type="pct"/>
            <w:tcBorders>
              <w:left w:val="single" w:sz="4" w:space="0" w:color="auto"/>
            </w:tcBorders>
            <w:shd w:val="clear" w:color="auto" w:fill="auto"/>
            <w:noWrap/>
            <w:hideMark/>
          </w:tcPr>
          <w:p w14:paraId="7D8949C5" w14:textId="326267B1" w:rsidR="007C6997" w:rsidRPr="00CB5030" w:rsidRDefault="007C6997" w:rsidP="00A52F8F">
            <w:pPr>
              <w:pStyle w:val="TableText0"/>
              <w:keepNext w:val="0"/>
              <w:widowControl w:val="0"/>
              <w:jc w:val="left"/>
            </w:pPr>
            <w:r w:rsidRPr="00CB5030">
              <w:t xml:space="preserve">Number of patients using </w:t>
            </w:r>
            <w:r>
              <w:t>Oncotype</w:t>
            </w:r>
            <w:r w:rsidR="00A52F8F">
              <w:t> </w:t>
            </w:r>
            <w:r>
              <w:t>DX</w:t>
            </w:r>
            <w:r w:rsidRPr="00CB5030">
              <w:t xml:space="preserve"> testing</w:t>
            </w:r>
            <w:r>
              <w:t xml:space="preserve"> [C]</w:t>
            </w:r>
          </w:p>
        </w:tc>
        <w:tc>
          <w:tcPr>
            <w:tcW w:w="654" w:type="pct"/>
            <w:shd w:val="clear" w:color="auto" w:fill="auto"/>
            <w:noWrap/>
            <w:hideMark/>
          </w:tcPr>
          <w:p w14:paraId="16DFFA4A" w14:textId="77777777" w:rsidR="007C6997" w:rsidRPr="00CB5030" w:rsidRDefault="007C6997" w:rsidP="00460458">
            <w:pPr>
              <w:pStyle w:val="TableText0"/>
              <w:keepNext w:val="0"/>
              <w:widowControl w:val="0"/>
              <w:jc w:val="center"/>
            </w:pPr>
            <w:r w:rsidRPr="00CB5030">
              <w:t>1,396</w:t>
            </w:r>
          </w:p>
        </w:tc>
        <w:tc>
          <w:tcPr>
            <w:tcW w:w="656" w:type="pct"/>
            <w:shd w:val="clear" w:color="auto" w:fill="auto"/>
            <w:noWrap/>
            <w:hideMark/>
          </w:tcPr>
          <w:p w14:paraId="299195C4" w14:textId="77777777" w:rsidR="007C6997" w:rsidRPr="00CB5030" w:rsidRDefault="007C6997" w:rsidP="00460458">
            <w:pPr>
              <w:pStyle w:val="TableText0"/>
              <w:keepNext w:val="0"/>
              <w:widowControl w:val="0"/>
              <w:jc w:val="center"/>
            </w:pPr>
            <w:r w:rsidRPr="00CB5030">
              <w:t>1,896</w:t>
            </w:r>
          </w:p>
        </w:tc>
        <w:tc>
          <w:tcPr>
            <w:tcW w:w="654" w:type="pct"/>
            <w:shd w:val="clear" w:color="auto" w:fill="auto"/>
            <w:noWrap/>
            <w:hideMark/>
          </w:tcPr>
          <w:p w14:paraId="512B5279" w14:textId="77777777" w:rsidR="007C6997" w:rsidRPr="00CB5030" w:rsidRDefault="007C6997" w:rsidP="00460458">
            <w:pPr>
              <w:pStyle w:val="TableText0"/>
              <w:keepNext w:val="0"/>
              <w:widowControl w:val="0"/>
              <w:jc w:val="center"/>
            </w:pPr>
            <w:r w:rsidRPr="00CB5030">
              <w:t>2,171</w:t>
            </w:r>
          </w:p>
        </w:tc>
        <w:tc>
          <w:tcPr>
            <w:tcW w:w="655" w:type="pct"/>
            <w:shd w:val="clear" w:color="auto" w:fill="auto"/>
            <w:noWrap/>
            <w:hideMark/>
          </w:tcPr>
          <w:p w14:paraId="0607D6BC" w14:textId="77777777" w:rsidR="007C6997" w:rsidRPr="00CB5030" w:rsidRDefault="007C6997" w:rsidP="00460458">
            <w:pPr>
              <w:pStyle w:val="TableText0"/>
              <w:keepNext w:val="0"/>
              <w:widowControl w:val="0"/>
              <w:jc w:val="center"/>
            </w:pPr>
            <w:r w:rsidRPr="00CB5030">
              <w:t>2,456</w:t>
            </w:r>
          </w:p>
        </w:tc>
        <w:tc>
          <w:tcPr>
            <w:tcW w:w="655" w:type="pct"/>
            <w:tcBorders>
              <w:right w:val="single" w:sz="4" w:space="0" w:color="auto"/>
            </w:tcBorders>
            <w:shd w:val="clear" w:color="auto" w:fill="auto"/>
            <w:noWrap/>
            <w:hideMark/>
          </w:tcPr>
          <w:p w14:paraId="75C5978D" w14:textId="77777777" w:rsidR="007C6997" w:rsidRPr="00CB5030" w:rsidRDefault="007C6997" w:rsidP="00460458">
            <w:pPr>
              <w:pStyle w:val="TableText0"/>
              <w:keepNext w:val="0"/>
              <w:widowControl w:val="0"/>
              <w:jc w:val="center"/>
            </w:pPr>
            <w:r w:rsidRPr="00CB5030">
              <w:t>2,749</w:t>
            </w:r>
          </w:p>
        </w:tc>
      </w:tr>
      <w:tr w:rsidR="007C6997" w:rsidRPr="00CB5030" w14:paraId="253E4CE2" w14:textId="77777777" w:rsidTr="00460458">
        <w:trPr>
          <w:trHeight w:val="300"/>
        </w:trPr>
        <w:tc>
          <w:tcPr>
            <w:tcW w:w="1726" w:type="pct"/>
            <w:tcBorders>
              <w:left w:val="single" w:sz="4" w:space="0" w:color="auto"/>
              <w:bottom w:val="nil"/>
            </w:tcBorders>
            <w:shd w:val="clear" w:color="auto" w:fill="auto"/>
            <w:noWrap/>
            <w:hideMark/>
          </w:tcPr>
          <w:p w14:paraId="075E467D" w14:textId="379F3AD7" w:rsidR="007C6997" w:rsidRPr="002B11FE" w:rsidRDefault="007C6997" w:rsidP="00A52F8F">
            <w:pPr>
              <w:pStyle w:val="TableText0"/>
              <w:keepNext w:val="0"/>
              <w:widowControl w:val="0"/>
              <w:jc w:val="left"/>
              <w:rPr>
                <w:i/>
              </w:rPr>
            </w:pPr>
            <w:r w:rsidRPr="00CB5030">
              <w:t>Total expenditure on Oncotype</w:t>
            </w:r>
            <w:r w:rsidR="00A52F8F">
              <w:t> </w:t>
            </w:r>
            <w:r w:rsidRPr="00CB5030">
              <w:t>DX</w:t>
            </w:r>
            <w:r>
              <w:t xml:space="preserve"> [D]</w:t>
            </w:r>
          </w:p>
        </w:tc>
        <w:tc>
          <w:tcPr>
            <w:tcW w:w="654" w:type="pct"/>
            <w:tcBorders>
              <w:bottom w:val="nil"/>
            </w:tcBorders>
            <w:shd w:val="clear" w:color="auto" w:fill="auto"/>
            <w:noWrap/>
            <w:hideMark/>
          </w:tcPr>
          <w:p w14:paraId="46C2DF82" w14:textId="77777777" w:rsidR="007C6997" w:rsidRPr="00CB5030" w:rsidRDefault="007C6997" w:rsidP="00460458">
            <w:pPr>
              <w:pStyle w:val="TableText0"/>
              <w:keepNext w:val="0"/>
              <w:widowControl w:val="0"/>
              <w:jc w:val="center"/>
            </w:pPr>
            <w:r w:rsidRPr="00CB5030">
              <w:t>$6,980,873</w:t>
            </w:r>
          </w:p>
        </w:tc>
        <w:tc>
          <w:tcPr>
            <w:tcW w:w="656" w:type="pct"/>
            <w:tcBorders>
              <w:bottom w:val="nil"/>
            </w:tcBorders>
            <w:shd w:val="clear" w:color="auto" w:fill="auto"/>
            <w:noWrap/>
            <w:hideMark/>
          </w:tcPr>
          <w:p w14:paraId="3D055D9C" w14:textId="77777777" w:rsidR="007C6997" w:rsidRPr="00CB5030" w:rsidRDefault="007C6997" w:rsidP="00460458">
            <w:pPr>
              <w:pStyle w:val="TableText0"/>
              <w:keepNext w:val="0"/>
              <w:widowControl w:val="0"/>
              <w:jc w:val="center"/>
            </w:pPr>
            <w:r w:rsidRPr="00CB5030">
              <w:t>$9,480,899</w:t>
            </w:r>
          </w:p>
        </w:tc>
        <w:tc>
          <w:tcPr>
            <w:tcW w:w="654" w:type="pct"/>
            <w:tcBorders>
              <w:bottom w:val="nil"/>
            </w:tcBorders>
            <w:shd w:val="clear" w:color="auto" w:fill="auto"/>
            <w:noWrap/>
            <w:hideMark/>
          </w:tcPr>
          <w:p w14:paraId="11E50C48" w14:textId="77777777" w:rsidR="007C6997" w:rsidRPr="00CB5030" w:rsidRDefault="007C6997" w:rsidP="00460458">
            <w:pPr>
              <w:pStyle w:val="TableText0"/>
              <w:keepNext w:val="0"/>
              <w:widowControl w:val="0"/>
              <w:jc w:val="center"/>
            </w:pPr>
            <w:r w:rsidRPr="00CB5030">
              <w:t>$10,860,713</w:t>
            </w:r>
          </w:p>
        </w:tc>
        <w:tc>
          <w:tcPr>
            <w:tcW w:w="655" w:type="pct"/>
            <w:tcBorders>
              <w:bottom w:val="nil"/>
            </w:tcBorders>
            <w:shd w:val="clear" w:color="auto" w:fill="auto"/>
            <w:noWrap/>
            <w:hideMark/>
          </w:tcPr>
          <w:p w14:paraId="1B14DB22" w14:textId="77777777" w:rsidR="007C6997" w:rsidRPr="00CB5030" w:rsidRDefault="007C6997" w:rsidP="00460458">
            <w:pPr>
              <w:pStyle w:val="TableText0"/>
              <w:keepNext w:val="0"/>
              <w:widowControl w:val="0"/>
              <w:jc w:val="center"/>
            </w:pPr>
            <w:r w:rsidRPr="00CB5030">
              <w:t>$12,283,795</w:t>
            </w:r>
          </w:p>
        </w:tc>
        <w:tc>
          <w:tcPr>
            <w:tcW w:w="655" w:type="pct"/>
            <w:tcBorders>
              <w:bottom w:val="nil"/>
              <w:right w:val="single" w:sz="4" w:space="0" w:color="auto"/>
            </w:tcBorders>
            <w:shd w:val="clear" w:color="auto" w:fill="auto"/>
            <w:noWrap/>
            <w:hideMark/>
          </w:tcPr>
          <w:p w14:paraId="0A276AF1" w14:textId="77777777" w:rsidR="007C6997" w:rsidRPr="00CB5030" w:rsidRDefault="007C6997" w:rsidP="00460458">
            <w:pPr>
              <w:pStyle w:val="TableText0"/>
              <w:keepNext w:val="0"/>
              <w:widowControl w:val="0"/>
              <w:jc w:val="center"/>
            </w:pPr>
            <w:r w:rsidRPr="00CB5030">
              <w:t>$13,750,143</w:t>
            </w:r>
          </w:p>
        </w:tc>
      </w:tr>
      <w:tr w:rsidR="007C6997" w:rsidRPr="00CB5030" w14:paraId="296D2C2E" w14:textId="77777777" w:rsidTr="00460458">
        <w:trPr>
          <w:trHeight w:val="279"/>
        </w:trPr>
        <w:tc>
          <w:tcPr>
            <w:tcW w:w="1726" w:type="pct"/>
            <w:tcBorders>
              <w:top w:val="nil"/>
              <w:left w:val="single" w:sz="4" w:space="0" w:color="auto"/>
            </w:tcBorders>
            <w:shd w:val="clear" w:color="auto" w:fill="auto"/>
            <w:noWrap/>
          </w:tcPr>
          <w:p w14:paraId="62184FD1" w14:textId="77777777" w:rsidR="007C6997" w:rsidRPr="00CB5030" w:rsidRDefault="007C6997" w:rsidP="00460458">
            <w:pPr>
              <w:pStyle w:val="TableText0"/>
              <w:keepNext w:val="0"/>
              <w:widowControl w:val="0"/>
              <w:jc w:val="left"/>
            </w:pPr>
            <w:r w:rsidRPr="002B11FE">
              <w:rPr>
                <w:i/>
              </w:rPr>
              <w:t>Critique values (removed $83.40 co-pay)</w:t>
            </w:r>
          </w:p>
        </w:tc>
        <w:tc>
          <w:tcPr>
            <w:tcW w:w="654" w:type="pct"/>
            <w:tcBorders>
              <w:top w:val="nil"/>
            </w:tcBorders>
            <w:shd w:val="clear" w:color="auto" w:fill="auto"/>
            <w:noWrap/>
            <w:vAlign w:val="center"/>
          </w:tcPr>
          <w:p w14:paraId="59BAFD56" w14:textId="77777777" w:rsidR="007C6997" w:rsidRPr="00E254B3" w:rsidRDefault="007C6997" w:rsidP="00460458">
            <w:pPr>
              <w:pStyle w:val="TableText0"/>
              <w:keepNext w:val="0"/>
              <w:widowControl w:val="0"/>
              <w:jc w:val="center"/>
              <w:rPr>
                <w:i/>
              </w:rPr>
            </w:pPr>
            <w:r w:rsidRPr="00E254B3">
              <w:rPr>
                <w:i/>
                <w:szCs w:val="20"/>
              </w:rPr>
              <w:t>$6,942,488</w:t>
            </w:r>
          </w:p>
        </w:tc>
        <w:tc>
          <w:tcPr>
            <w:tcW w:w="656" w:type="pct"/>
            <w:tcBorders>
              <w:top w:val="nil"/>
            </w:tcBorders>
            <w:shd w:val="clear" w:color="auto" w:fill="auto"/>
            <w:noWrap/>
            <w:vAlign w:val="center"/>
          </w:tcPr>
          <w:p w14:paraId="7595A21B" w14:textId="77777777" w:rsidR="007C6997" w:rsidRPr="00E254B3" w:rsidRDefault="007C6997" w:rsidP="00460458">
            <w:pPr>
              <w:pStyle w:val="TableText0"/>
              <w:keepNext w:val="0"/>
              <w:widowControl w:val="0"/>
              <w:jc w:val="center"/>
              <w:rPr>
                <w:i/>
              </w:rPr>
            </w:pPr>
            <w:r w:rsidRPr="00E254B3">
              <w:rPr>
                <w:i/>
                <w:szCs w:val="20"/>
              </w:rPr>
              <w:t>$9,428,768</w:t>
            </w:r>
          </w:p>
        </w:tc>
        <w:tc>
          <w:tcPr>
            <w:tcW w:w="654" w:type="pct"/>
            <w:tcBorders>
              <w:top w:val="nil"/>
            </w:tcBorders>
            <w:shd w:val="clear" w:color="auto" w:fill="auto"/>
            <w:noWrap/>
            <w:vAlign w:val="center"/>
          </w:tcPr>
          <w:p w14:paraId="0878EC29" w14:textId="77777777" w:rsidR="007C6997" w:rsidRPr="00E254B3" w:rsidRDefault="007C6997" w:rsidP="00460458">
            <w:pPr>
              <w:pStyle w:val="TableText0"/>
              <w:keepNext w:val="0"/>
              <w:widowControl w:val="0"/>
              <w:jc w:val="center"/>
              <w:rPr>
                <w:i/>
              </w:rPr>
            </w:pPr>
            <w:r w:rsidRPr="00E254B3">
              <w:rPr>
                <w:i/>
                <w:szCs w:val="20"/>
              </w:rPr>
              <w:t>$10,800,995</w:t>
            </w:r>
          </w:p>
        </w:tc>
        <w:tc>
          <w:tcPr>
            <w:tcW w:w="655" w:type="pct"/>
            <w:tcBorders>
              <w:top w:val="nil"/>
            </w:tcBorders>
            <w:shd w:val="clear" w:color="auto" w:fill="auto"/>
            <w:noWrap/>
            <w:vAlign w:val="center"/>
          </w:tcPr>
          <w:p w14:paraId="2208883C" w14:textId="77777777" w:rsidR="007C6997" w:rsidRPr="00E254B3" w:rsidRDefault="007C6997" w:rsidP="00460458">
            <w:pPr>
              <w:pStyle w:val="TableText0"/>
              <w:keepNext w:val="0"/>
              <w:widowControl w:val="0"/>
              <w:jc w:val="center"/>
              <w:rPr>
                <w:i/>
              </w:rPr>
            </w:pPr>
            <w:r w:rsidRPr="00E254B3">
              <w:rPr>
                <w:i/>
                <w:szCs w:val="20"/>
              </w:rPr>
              <w:t>$12,216,251</w:t>
            </w:r>
          </w:p>
        </w:tc>
        <w:tc>
          <w:tcPr>
            <w:tcW w:w="655" w:type="pct"/>
            <w:tcBorders>
              <w:top w:val="nil"/>
              <w:right w:val="single" w:sz="4" w:space="0" w:color="auto"/>
            </w:tcBorders>
            <w:shd w:val="clear" w:color="auto" w:fill="auto"/>
            <w:noWrap/>
            <w:vAlign w:val="center"/>
          </w:tcPr>
          <w:p w14:paraId="3C5F2723" w14:textId="77777777" w:rsidR="007C6997" w:rsidRPr="00E254B3" w:rsidRDefault="007C6997" w:rsidP="00460458">
            <w:pPr>
              <w:pStyle w:val="TableText0"/>
              <w:keepNext w:val="0"/>
              <w:widowControl w:val="0"/>
              <w:jc w:val="center"/>
              <w:rPr>
                <w:i/>
              </w:rPr>
            </w:pPr>
            <w:r w:rsidRPr="00E254B3">
              <w:rPr>
                <w:i/>
                <w:szCs w:val="20"/>
              </w:rPr>
              <w:t>$13,674,537</w:t>
            </w:r>
          </w:p>
        </w:tc>
      </w:tr>
      <w:tr w:rsidR="007C6997" w:rsidRPr="00CB5030" w14:paraId="01A4CA0D" w14:textId="77777777" w:rsidTr="00460458">
        <w:trPr>
          <w:trHeight w:val="495"/>
        </w:trPr>
        <w:tc>
          <w:tcPr>
            <w:tcW w:w="1726" w:type="pct"/>
            <w:tcBorders>
              <w:left w:val="single" w:sz="4" w:space="0" w:color="auto"/>
              <w:bottom w:val="nil"/>
            </w:tcBorders>
            <w:shd w:val="clear" w:color="auto" w:fill="auto"/>
            <w:noWrap/>
          </w:tcPr>
          <w:p w14:paraId="5C44989B" w14:textId="196DEDCA" w:rsidR="007C6997" w:rsidRPr="00CB5030" w:rsidRDefault="007C6997" w:rsidP="00A52F8F">
            <w:pPr>
              <w:pStyle w:val="TableText0"/>
              <w:keepNext w:val="0"/>
              <w:widowControl w:val="0"/>
              <w:jc w:val="left"/>
            </w:pPr>
            <w:r>
              <w:t>Change in expenditure due to Oncotype</w:t>
            </w:r>
            <w:r w:rsidR="00A52F8F">
              <w:t> </w:t>
            </w:r>
            <w:r>
              <w:t>DX [E]</w:t>
            </w:r>
          </w:p>
        </w:tc>
        <w:tc>
          <w:tcPr>
            <w:tcW w:w="654" w:type="pct"/>
            <w:tcBorders>
              <w:bottom w:val="nil"/>
            </w:tcBorders>
            <w:shd w:val="clear" w:color="auto" w:fill="auto"/>
            <w:noWrap/>
          </w:tcPr>
          <w:p w14:paraId="4E9F5F7B" w14:textId="77777777" w:rsidR="007C6997" w:rsidRPr="00CB5030" w:rsidRDefault="007C6997" w:rsidP="00460458">
            <w:pPr>
              <w:pStyle w:val="TableText0"/>
              <w:keepNext w:val="0"/>
              <w:widowControl w:val="0"/>
              <w:jc w:val="center"/>
            </w:pPr>
            <w:r w:rsidRPr="00420C4B">
              <w:t>-$1,795,774</w:t>
            </w:r>
          </w:p>
        </w:tc>
        <w:tc>
          <w:tcPr>
            <w:tcW w:w="656" w:type="pct"/>
            <w:tcBorders>
              <w:bottom w:val="nil"/>
            </w:tcBorders>
            <w:shd w:val="clear" w:color="auto" w:fill="auto"/>
            <w:noWrap/>
          </w:tcPr>
          <w:p w14:paraId="531EBE1C" w14:textId="77777777" w:rsidR="007C6997" w:rsidRPr="00CB5030" w:rsidRDefault="007C6997" w:rsidP="00460458">
            <w:pPr>
              <w:pStyle w:val="TableText0"/>
              <w:keepNext w:val="0"/>
              <w:widowControl w:val="0"/>
              <w:jc w:val="center"/>
            </w:pPr>
            <w:r w:rsidRPr="00420C4B">
              <w:t>-$2,438,885</w:t>
            </w:r>
          </w:p>
        </w:tc>
        <w:tc>
          <w:tcPr>
            <w:tcW w:w="654" w:type="pct"/>
            <w:tcBorders>
              <w:bottom w:val="nil"/>
            </w:tcBorders>
            <w:shd w:val="clear" w:color="auto" w:fill="auto"/>
            <w:noWrap/>
          </w:tcPr>
          <w:p w14:paraId="5D701C80" w14:textId="77777777" w:rsidR="007C6997" w:rsidRPr="00CB5030" w:rsidRDefault="007C6997" w:rsidP="00460458">
            <w:pPr>
              <w:pStyle w:val="TableText0"/>
              <w:keepNext w:val="0"/>
              <w:widowControl w:val="0"/>
              <w:jc w:val="center"/>
            </w:pPr>
            <w:r w:rsidRPr="00420C4B">
              <w:t>-$2,793,832</w:t>
            </w:r>
          </w:p>
        </w:tc>
        <w:tc>
          <w:tcPr>
            <w:tcW w:w="655" w:type="pct"/>
            <w:tcBorders>
              <w:bottom w:val="nil"/>
            </w:tcBorders>
            <w:shd w:val="clear" w:color="auto" w:fill="auto"/>
            <w:noWrap/>
          </w:tcPr>
          <w:p w14:paraId="31023CA8" w14:textId="77777777" w:rsidR="007C6997" w:rsidRPr="00CB5030" w:rsidRDefault="007C6997" w:rsidP="00460458">
            <w:pPr>
              <w:pStyle w:val="TableText0"/>
              <w:keepNext w:val="0"/>
              <w:widowControl w:val="0"/>
              <w:jc w:val="center"/>
            </w:pPr>
            <w:r w:rsidRPr="00420C4B">
              <w:t>-$3,159,908</w:t>
            </w:r>
          </w:p>
        </w:tc>
        <w:tc>
          <w:tcPr>
            <w:tcW w:w="655" w:type="pct"/>
            <w:tcBorders>
              <w:bottom w:val="nil"/>
              <w:right w:val="single" w:sz="4" w:space="0" w:color="auto"/>
            </w:tcBorders>
            <w:shd w:val="clear" w:color="auto" w:fill="auto"/>
            <w:noWrap/>
          </w:tcPr>
          <w:p w14:paraId="3DDDD0EC" w14:textId="77777777" w:rsidR="007C6997" w:rsidRPr="00CB5030" w:rsidRDefault="007C6997" w:rsidP="00460458">
            <w:pPr>
              <w:pStyle w:val="TableText0"/>
              <w:keepNext w:val="0"/>
              <w:widowControl w:val="0"/>
              <w:jc w:val="center"/>
            </w:pPr>
            <w:r w:rsidRPr="00420C4B">
              <w:t>-$3,537,114</w:t>
            </w:r>
          </w:p>
        </w:tc>
      </w:tr>
      <w:tr w:rsidR="007C6997" w:rsidRPr="00CB5030" w14:paraId="12A77F2C" w14:textId="77777777" w:rsidTr="00460458">
        <w:trPr>
          <w:trHeight w:val="315"/>
        </w:trPr>
        <w:tc>
          <w:tcPr>
            <w:tcW w:w="1726" w:type="pct"/>
            <w:tcBorders>
              <w:top w:val="nil"/>
              <w:left w:val="single" w:sz="4" w:space="0" w:color="auto"/>
            </w:tcBorders>
            <w:shd w:val="clear" w:color="auto" w:fill="auto"/>
            <w:noWrap/>
          </w:tcPr>
          <w:p w14:paraId="29E7FFCF" w14:textId="77777777" w:rsidR="007C6997" w:rsidRDefault="007C6997" w:rsidP="00460458">
            <w:pPr>
              <w:pStyle w:val="TableText0"/>
              <w:keepNext w:val="0"/>
              <w:widowControl w:val="0"/>
              <w:jc w:val="left"/>
            </w:pPr>
            <w:r w:rsidRPr="002B11FE">
              <w:rPr>
                <w:i/>
              </w:rPr>
              <w:t>Critique values (removed $83.40 co-pay)</w:t>
            </w:r>
          </w:p>
        </w:tc>
        <w:tc>
          <w:tcPr>
            <w:tcW w:w="654" w:type="pct"/>
            <w:tcBorders>
              <w:top w:val="nil"/>
            </w:tcBorders>
            <w:shd w:val="clear" w:color="auto" w:fill="auto"/>
            <w:noWrap/>
            <w:vAlign w:val="center"/>
          </w:tcPr>
          <w:p w14:paraId="444D6CAF" w14:textId="77777777" w:rsidR="007C6997" w:rsidRPr="00E254B3" w:rsidRDefault="007C6997" w:rsidP="00460458">
            <w:pPr>
              <w:pStyle w:val="TableText0"/>
              <w:keepNext w:val="0"/>
              <w:widowControl w:val="0"/>
              <w:jc w:val="center"/>
              <w:rPr>
                <w:i/>
              </w:rPr>
            </w:pPr>
            <w:r w:rsidRPr="00E254B3">
              <w:rPr>
                <w:i/>
                <w:szCs w:val="20"/>
              </w:rPr>
              <w:t>-$1,640,985</w:t>
            </w:r>
          </w:p>
        </w:tc>
        <w:tc>
          <w:tcPr>
            <w:tcW w:w="656" w:type="pct"/>
            <w:tcBorders>
              <w:top w:val="nil"/>
            </w:tcBorders>
            <w:shd w:val="clear" w:color="auto" w:fill="auto"/>
            <w:noWrap/>
            <w:vAlign w:val="center"/>
          </w:tcPr>
          <w:p w14:paraId="694F5BA9" w14:textId="77777777" w:rsidR="007C6997" w:rsidRPr="00E254B3" w:rsidRDefault="007C6997" w:rsidP="00460458">
            <w:pPr>
              <w:pStyle w:val="TableText0"/>
              <w:keepNext w:val="0"/>
              <w:widowControl w:val="0"/>
              <w:jc w:val="center"/>
              <w:rPr>
                <w:i/>
              </w:rPr>
            </w:pPr>
            <w:r w:rsidRPr="00E254B3">
              <w:rPr>
                <w:i/>
                <w:szCs w:val="20"/>
              </w:rPr>
              <w:t>-$2,228,663</w:t>
            </w:r>
          </w:p>
        </w:tc>
        <w:tc>
          <w:tcPr>
            <w:tcW w:w="654" w:type="pct"/>
            <w:tcBorders>
              <w:top w:val="nil"/>
            </w:tcBorders>
            <w:shd w:val="clear" w:color="auto" w:fill="auto"/>
            <w:noWrap/>
            <w:vAlign w:val="center"/>
          </w:tcPr>
          <w:p w14:paraId="247C6213" w14:textId="77777777" w:rsidR="007C6997" w:rsidRPr="00E254B3" w:rsidRDefault="007C6997" w:rsidP="00460458">
            <w:pPr>
              <w:pStyle w:val="TableText0"/>
              <w:keepNext w:val="0"/>
              <w:widowControl w:val="0"/>
              <w:jc w:val="center"/>
              <w:rPr>
                <w:i/>
              </w:rPr>
            </w:pPr>
            <w:r w:rsidRPr="00E254B3">
              <w:rPr>
                <w:i/>
                <w:szCs w:val="20"/>
              </w:rPr>
              <w:t>-$2,553,015</w:t>
            </w:r>
          </w:p>
        </w:tc>
        <w:tc>
          <w:tcPr>
            <w:tcW w:w="655" w:type="pct"/>
            <w:tcBorders>
              <w:top w:val="nil"/>
            </w:tcBorders>
            <w:shd w:val="clear" w:color="auto" w:fill="auto"/>
            <w:noWrap/>
            <w:vAlign w:val="center"/>
          </w:tcPr>
          <w:p w14:paraId="52CB3A29" w14:textId="77777777" w:rsidR="007C6997" w:rsidRPr="00E254B3" w:rsidRDefault="007C6997" w:rsidP="00460458">
            <w:pPr>
              <w:pStyle w:val="TableText0"/>
              <w:keepNext w:val="0"/>
              <w:widowControl w:val="0"/>
              <w:jc w:val="center"/>
              <w:rPr>
                <w:i/>
              </w:rPr>
            </w:pPr>
            <w:r w:rsidRPr="00E254B3">
              <w:rPr>
                <w:i/>
                <w:szCs w:val="20"/>
              </w:rPr>
              <w:t>-$2,887,537</w:t>
            </w:r>
          </w:p>
        </w:tc>
        <w:tc>
          <w:tcPr>
            <w:tcW w:w="655" w:type="pct"/>
            <w:tcBorders>
              <w:top w:val="nil"/>
              <w:right w:val="single" w:sz="4" w:space="0" w:color="auto"/>
            </w:tcBorders>
            <w:shd w:val="clear" w:color="auto" w:fill="auto"/>
            <w:noWrap/>
            <w:vAlign w:val="center"/>
          </w:tcPr>
          <w:p w14:paraId="598306C4" w14:textId="77777777" w:rsidR="007C6997" w:rsidRPr="00E254B3" w:rsidRDefault="007C6997" w:rsidP="00460458">
            <w:pPr>
              <w:pStyle w:val="TableText0"/>
              <w:keepNext w:val="0"/>
              <w:widowControl w:val="0"/>
              <w:jc w:val="center"/>
              <w:rPr>
                <w:i/>
              </w:rPr>
            </w:pPr>
            <w:r w:rsidRPr="00E254B3">
              <w:rPr>
                <w:i/>
                <w:szCs w:val="20"/>
              </w:rPr>
              <w:t>-$3,232,229</w:t>
            </w:r>
          </w:p>
        </w:tc>
      </w:tr>
      <w:tr w:rsidR="007C6997" w:rsidRPr="00573D07" w14:paraId="3CAF879F" w14:textId="77777777" w:rsidTr="00460458">
        <w:trPr>
          <w:trHeight w:val="525"/>
        </w:trPr>
        <w:tc>
          <w:tcPr>
            <w:tcW w:w="1726" w:type="pct"/>
            <w:tcBorders>
              <w:left w:val="single" w:sz="4" w:space="0" w:color="auto"/>
              <w:bottom w:val="nil"/>
            </w:tcBorders>
            <w:shd w:val="clear" w:color="auto" w:fill="auto"/>
            <w:noWrap/>
            <w:hideMark/>
          </w:tcPr>
          <w:p w14:paraId="3EC67907" w14:textId="23200D3D" w:rsidR="007C6997" w:rsidRPr="00E254B3" w:rsidRDefault="007C6997" w:rsidP="00A52F8F">
            <w:pPr>
              <w:pStyle w:val="TableText0"/>
              <w:keepNext w:val="0"/>
              <w:widowControl w:val="0"/>
              <w:jc w:val="left"/>
              <w:rPr>
                <w:b/>
              </w:rPr>
            </w:pPr>
            <w:r w:rsidRPr="00E254B3">
              <w:rPr>
                <w:b/>
              </w:rPr>
              <w:t>Net impact of Oncotype</w:t>
            </w:r>
            <w:r w:rsidR="00A52F8F">
              <w:rPr>
                <w:b/>
              </w:rPr>
              <w:t> </w:t>
            </w:r>
            <w:r w:rsidRPr="00E254B3">
              <w:rPr>
                <w:b/>
              </w:rPr>
              <w:t>DX on expenditure</w:t>
            </w:r>
          </w:p>
        </w:tc>
        <w:tc>
          <w:tcPr>
            <w:tcW w:w="654" w:type="pct"/>
            <w:tcBorders>
              <w:bottom w:val="nil"/>
            </w:tcBorders>
            <w:shd w:val="clear" w:color="auto" w:fill="auto"/>
            <w:noWrap/>
            <w:hideMark/>
          </w:tcPr>
          <w:p w14:paraId="5F1DC44D" w14:textId="77777777" w:rsidR="007C6997" w:rsidRPr="00E254B3" w:rsidRDefault="007C6997" w:rsidP="00460458">
            <w:pPr>
              <w:pStyle w:val="TableText0"/>
              <w:keepNext w:val="0"/>
              <w:widowControl w:val="0"/>
              <w:jc w:val="center"/>
              <w:rPr>
                <w:b/>
              </w:rPr>
            </w:pPr>
            <w:r w:rsidRPr="00E254B3">
              <w:rPr>
                <w:b/>
              </w:rPr>
              <w:t>$5,185,099</w:t>
            </w:r>
          </w:p>
        </w:tc>
        <w:tc>
          <w:tcPr>
            <w:tcW w:w="656" w:type="pct"/>
            <w:tcBorders>
              <w:bottom w:val="nil"/>
            </w:tcBorders>
            <w:shd w:val="clear" w:color="auto" w:fill="auto"/>
            <w:noWrap/>
            <w:hideMark/>
          </w:tcPr>
          <w:p w14:paraId="1400B81C" w14:textId="77777777" w:rsidR="007C6997" w:rsidRPr="00E254B3" w:rsidRDefault="007C6997" w:rsidP="00460458">
            <w:pPr>
              <w:pStyle w:val="TableText0"/>
              <w:keepNext w:val="0"/>
              <w:widowControl w:val="0"/>
              <w:jc w:val="center"/>
              <w:rPr>
                <w:b/>
              </w:rPr>
            </w:pPr>
            <w:r w:rsidRPr="00E254B3">
              <w:rPr>
                <w:b/>
              </w:rPr>
              <w:t>$7,042,014</w:t>
            </w:r>
          </w:p>
        </w:tc>
        <w:tc>
          <w:tcPr>
            <w:tcW w:w="654" w:type="pct"/>
            <w:tcBorders>
              <w:bottom w:val="nil"/>
            </w:tcBorders>
            <w:shd w:val="clear" w:color="auto" w:fill="auto"/>
            <w:noWrap/>
            <w:hideMark/>
          </w:tcPr>
          <w:p w14:paraId="7AA3C07E" w14:textId="77777777" w:rsidR="007C6997" w:rsidRPr="00E254B3" w:rsidRDefault="007C6997" w:rsidP="00460458">
            <w:pPr>
              <w:pStyle w:val="TableText0"/>
              <w:keepNext w:val="0"/>
              <w:widowControl w:val="0"/>
              <w:jc w:val="center"/>
              <w:rPr>
                <w:b/>
              </w:rPr>
            </w:pPr>
            <w:r w:rsidRPr="00E254B3">
              <w:rPr>
                <w:b/>
              </w:rPr>
              <w:t>$8,066,882</w:t>
            </w:r>
          </w:p>
        </w:tc>
        <w:tc>
          <w:tcPr>
            <w:tcW w:w="655" w:type="pct"/>
            <w:tcBorders>
              <w:bottom w:val="nil"/>
            </w:tcBorders>
            <w:shd w:val="clear" w:color="auto" w:fill="auto"/>
            <w:noWrap/>
            <w:hideMark/>
          </w:tcPr>
          <w:p w14:paraId="771C960F" w14:textId="77777777" w:rsidR="007C6997" w:rsidRPr="00E254B3" w:rsidRDefault="007C6997" w:rsidP="00460458">
            <w:pPr>
              <w:pStyle w:val="TableText0"/>
              <w:keepNext w:val="0"/>
              <w:widowControl w:val="0"/>
              <w:jc w:val="center"/>
              <w:rPr>
                <w:b/>
              </w:rPr>
            </w:pPr>
            <w:r w:rsidRPr="00E254B3">
              <w:rPr>
                <w:b/>
              </w:rPr>
              <w:t>$9,123,887</w:t>
            </w:r>
          </w:p>
        </w:tc>
        <w:tc>
          <w:tcPr>
            <w:tcW w:w="655" w:type="pct"/>
            <w:tcBorders>
              <w:bottom w:val="nil"/>
              <w:right w:val="single" w:sz="4" w:space="0" w:color="auto"/>
            </w:tcBorders>
            <w:shd w:val="clear" w:color="auto" w:fill="auto"/>
            <w:noWrap/>
            <w:hideMark/>
          </w:tcPr>
          <w:p w14:paraId="1EB5BA0F" w14:textId="77777777" w:rsidR="007C6997" w:rsidRPr="00E254B3" w:rsidRDefault="007C6997" w:rsidP="00460458">
            <w:pPr>
              <w:pStyle w:val="TableText0"/>
              <w:keepNext w:val="0"/>
              <w:widowControl w:val="0"/>
              <w:jc w:val="center"/>
              <w:rPr>
                <w:b/>
              </w:rPr>
            </w:pPr>
            <w:r w:rsidRPr="00E254B3">
              <w:rPr>
                <w:b/>
              </w:rPr>
              <w:t>$10,213,029</w:t>
            </w:r>
          </w:p>
        </w:tc>
      </w:tr>
      <w:tr w:rsidR="007C6997" w:rsidRPr="00573D07" w14:paraId="780F8913" w14:textId="77777777" w:rsidTr="00460458">
        <w:trPr>
          <w:trHeight w:val="283"/>
        </w:trPr>
        <w:tc>
          <w:tcPr>
            <w:tcW w:w="1726" w:type="pct"/>
            <w:tcBorders>
              <w:top w:val="nil"/>
              <w:left w:val="single" w:sz="4" w:space="0" w:color="auto"/>
              <w:bottom w:val="single" w:sz="4" w:space="0" w:color="auto"/>
            </w:tcBorders>
            <w:shd w:val="clear" w:color="auto" w:fill="auto"/>
            <w:noWrap/>
          </w:tcPr>
          <w:p w14:paraId="34F2C51D" w14:textId="77777777" w:rsidR="007C6997" w:rsidRPr="00E254B3" w:rsidRDefault="007C6997" w:rsidP="00460458">
            <w:pPr>
              <w:pStyle w:val="TableText0"/>
              <w:keepNext w:val="0"/>
              <w:widowControl w:val="0"/>
              <w:jc w:val="left"/>
              <w:rPr>
                <w:b/>
              </w:rPr>
            </w:pPr>
            <w:r w:rsidRPr="00E254B3">
              <w:rPr>
                <w:b/>
                <w:i/>
              </w:rPr>
              <w:t>Critique values (removed $83.40 co-pay)</w:t>
            </w:r>
          </w:p>
        </w:tc>
        <w:tc>
          <w:tcPr>
            <w:tcW w:w="654" w:type="pct"/>
            <w:tcBorders>
              <w:top w:val="nil"/>
              <w:bottom w:val="single" w:sz="4" w:space="0" w:color="auto"/>
            </w:tcBorders>
            <w:shd w:val="clear" w:color="auto" w:fill="auto"/>
            <w:noWrap/>
            <w:vAlign w:val="center"/>
          </w:tcPr>
          <w:p w14:paraId="6080C805" w14:textId="77777777" w:rsidR="007C6997" w:rsidRPr="00E254B3" w:rsidRDefault="007C6997" w:rsidP="00460458">
            <w:pPr>
              <w:pStyle w:val="TableText0"/>
              <w:keepNext w:val="0"/>
              <w:widowControl w:val="0"/>
              <w:jc w:val="center"/>
              <w:rPr>
                <w:i/>
              </w:rPr>
            </w:pPr>
            <w:r w:rsidRPr="00E254B3">
              <w:rPr>
                <w:b/>
                <w:i/>
                <w:szCs w:val="20"/>
              </w:rPr>
              <w:t>$5,301,503</w:t>
            </w:r>
          </w:p>
        </w:tc>
        <w:tc>
          <w:tcPr>
            <w:tcW w:w="656" w:type="pct"/>
            <w:tcBorders>
              <w:top w:val="nil"/>
              <w:bottom w:val="single" w:sz="4" w:space="0" w:color="auto"/>
            </w:tcBorders>
            <w:shd w:val="clear" w:color="auto" w:fill="auto"/>
            <w:noWrap/>
            <w:vAlign w:val="center"/>
          </w:tcPr>
          <w:p w14:paraId="47864387" w14:textId="77777777" w:rsidR="007C6997" w:rsidRPr="00E254B3" w:rsidRDefault="007C6997" w:rsidP="00460458">
            <w:pPr>
              <w:pStyle w:val="TableText0"/>
              <w:keepNext w:val="0"/>
              <w:widowControl w:val="0"/>
              <w:jc w:val="center"/>
              <w:rPr>
                <w:i/>
              </w:rPr>
            </w:pPr>
            <w:r w:rsidRPr="00E254B3">
              <w:rPr>
                <w:b/>
                <w:i/>
                <w:szCs w:val="20"/>
              </w:rPr>
              <w:t>$7,200,104</w:t>
            </w:r>
          </w:p>
        </w:tc>
        <w:tc>
          <w:tcPr>
            <w:tcW w:w="654" w:type="pct"/>
            <w:tcBorders>
              <w:top w:val="nil"/>
              <w:bottom w:val="single" w:sz="4" w:space="0" w:color="auto"/>
            </w:tcBorders>
            <w:shd w:val="clear" w:color="auto" w:fill="auto"/>
            <w:noWrap/>
            <w:vAlign w:val="center"/>
          </w:tcPr>
          <w:p w14:paraId="04D97879" w14:textId="77777777" w:rsidR="007C6997" w:rsidRPr="00E254B3" w:rsidRDefault="007C6997" w:rsidP="00460458">
            <w:pPr>
              <w:pStyle w:val="TableText0"/>
              <w:keepNext w:val="0"/>
              <w:widowControl w:val="0"/>
              <w:jc w:val="center"/>
              <w:rPr>
                <w:i/>
              </w:rPr>
            </w:pPr>
            <w:r w:rsidRPr="00E254B3">
              <w:rPr>
                <w:b/>
                <w:i/>
                <w:szCs w:val="20"/>
              </w:rPr>
              <w:t>$8,247,980</w:t>
            </w:r>
          </w:p>
        </w:tc>
        <w:tc>
          <w:tcPr>
            <w:tcW w:w="655" w:type="pct"/>
            <w:tcBorders>
              <w:top w:val="nil"/>
              <w:bottom w:val="single" w:sz="4" w:space="0" w:color="auto"/>
            </w:tcBorders>
            <w:shd w:val="clear" w:color="auto" w:fill="auto"/>
            <w:noWrap/>
            <w:vAlign w:val="center"/>
          </w:tcPr>
          <w:p w14:paraId="25EF790C" w14:textId="77777777" w:rsidR="007C6997" w:rsidRPr="00E254B3" w:rsidRDefault="007C6997" w:rsidP="00460458">
            <w:pPr>
              <w:pStyle w:val="TableText0"/>
              <w:keepNext w:val="0"/>
              <w:widowControl w:val="0"/>
              <w:jc w:val="center"/>
              <w:rPr>
                <w:i/>
              </w:rPr>
            </w:pPr>
            <w:r w:rsidRPr="00E254B3">
              <w:rPr>
                <w:b/>
                <w:i/>
                <w:szCs w:val="20"/>
              </w:rPr>
              <w:t>$9,328,715</w:t>
            </w:r>
          </w:p>
        </w:tc>
        <w:tc>
          <w:tcPr>
            <w:tcW w:w="655" w:type="pct"/>
            <w:tcBorders>
              <w:top w:val="nil"/>
              <w:bottom w:val="single" w:sz="4" w:space="0" w:color="auto"/>
              <w:right w:val="single" w:sz="4" w:space="0" w:color="auto"/>
            </w:tcBorders>
            <w:shd w:val="clear" w:color="auto" w:fill="auto"/>
            <w:noWrap/>
            <w:vAlign w:val="center"/>
          </w:tcPr>
          <w:p w14:paraId="6F0398F3" w14:textId="77777777" w:rsidR="007C6997" w:rsidRPr="00E254B3" w:rsidRDefault="007C6997" w:rsidP="00460458">
            <w:pPr>
              <w:pStyle w:val="TableText0"/>
              <w:keepNext w:val="0"/>
              <w:widowControl w:val="0"/>
              <w:jc w:val="center"/>
              <w:rPr>
                <w:i/>
              </w:rPr>
            </w:pPr>
            <w:r w:rsidRPr="00E254B3">
              <w:rPr>
                <w:b/>
                <w:i/>
                <w:szCs w:val="20"/>
              </w:rPr>
              <w:t>$10,442,308</w:t>
            </w:r>
          </w:p>
        </w:tc>
      </w:tr>
    </w:tbl>
    <w:p w14:paraId="070AA633" w14:textId="55FB1059" w:rsidR="007C6997" w:rsidRDefault="007C6997" w:rsidP="007C6997">
      <w:pPr>
        <w:pStyle w:val="Tablefooter"/>
        <w:spacing w:after="240"/>
      </w:pPr>
      <w:r>
        <w:t>[A] AIHW Cancer incidence projections; [B] 27% of [A</w:t>
      </w:r>
      <w:r w:rsidR="00E87685">
        <w:t>]</w:t>
      </w:r>
      <w:r>
        <w:t>; [C] After applying expected uptake rates of 30 to 55%; [D] $5085 per test less patient contribution of $83.40 per test; [E] Savings of $1287 per patient tested due to reduction in chemotherapy</w:t>
      </w:r>
      <w:r w:rsidR="00DA17F9">
        <w:t>.</w:t>
      </w:r>
    </w:p>
    <w:p w14:paraId="2DDA9F07" w14:textId="1727F104" w:rsidR="00C61CB7" w:rsidRDefault="007C6997">
      <w:r>
        <w:t xml:space="preserve">The Critique stated that sensitivity analysis indicated that the </w:t>
      </w:r>
      <w:r w:rsidRPr="0059462E">
        <w:t xml:space="preserve">estimates of net cost to the Commonwealth </w:t>
      </w:r>
      <w:r>
        <w:t>h</w:t>
      </w:r>
      <w:r w:rsidRPr="0059462E">
        <w:t xml:space="preserve">ealth budget is heavily reliant on the assumed </w:t>
      </w:r>
      <w:r>
        <w:t>uptake</w:t>
      </w:r>
      <w:r w:rsidRPr="0059462E">
        <w:t xml:space="preserve"> of the Oncotype</w:t>
      </w:r>
      <w:r w:rsidR="00A52F8F">
        <w:t> </w:t>
      </w:r>
      <w:r w:rsidRPr="0059462E">
        <w:t>DX test and also, but to a lesser extent, assumptions around cost</w:t>
      </w:r>
      <w:r>
        <w:t xml:space="preserve"> offsets </w:t>
      </w:r>
      <w:r w:rsidRPr="0059462E">
        <w:t>to the PBS.</w:t>
      </w:r>
      <w:r w:rsidR="00C61CB7">
        <w:br w:type="page"/>
      </w:r>
    </w:p>
    <w:p w14:paraId="36C12B23" w14:textId="77777777" w:rsidR="006A0D97" w:rsidRPr="00F715D1" w:rsidRDefault="006A0D97" w:rsidP="00F715D1">
      <w:pPr>
        <w:pStyle w:val="Heading1"/>
      </w:pPr>
      <w:r w:rsidRPr="00F715D1">
        <w:lastRenderedPageBreak/>
        <w:t>Key issues from ESC for MSAC</w:t>
      </w:r>
    </w:p>
    <w:tbl>
      <w:tblPr>
        <w:tblStyle w:val="TableGrid"/>
        <w:tblW w:w="9351" w:type="dxa"/>
        <w:tblLook w:val="04A0" w:firstRow="1" w:lastRow="0" w:firstColumn="1" w:lastColumn="0" w:noHBand="0" w:noVBand="1"/>
        <w:tblCaption w:val="Key issues from ESC for MSAC"/>
        <w:tblDescription w:val="Summary of key issues identified b yESC"/>
      </w:tblPr>
      <w:tblGrid>
        <w:gridCol w:w="3539"/>
        <w:gridCol w:w="5812"/>
      </w:tblGrid>
      <w:tr w:rsidR="0016645E" w:rsidRPr="007C6997" w14:paraId="116B3945" w14:textId="77777777" w:rsidTr="009842C4">
        <w:trPr>
          <w:tblHeader/>
        </w:trPr>
        <w:tc>
          <w:tcPr>
            <w:tcW w:w="3539" w:type="dxa"/>
          </w:tcPr>
          <w:p w14:paraId="2BA0A9EB" w14:textId="77777777" w:rsidR="0016645E" w:rsidRPr="007C6997" w:rsidRDefault="0016645E" w:rsidP="00460458">
            <w:pPr>
              <w:pStyle w:val="TableHeading"/>
              <w:rPr>
                <w:rFonts w:cs="Times New Roman"/>
                <w:szCs w:val="24"/>
              </w:rPr>
            </w:pPr>
            <w:r w:rsidRPr="007C6997">
              <w:rPr>
                <w:rFonts w:cs="Times New Roman"/>
                <w:szCs w:val="24"/>
              </w:rPr>
              <w:t>ESC key issue</w:t>
            </w:r>
          </w:p>
        </w:tc>
        <w:tc>
          <w:tcPr>
            <w:tcW w:w="5812" w:type="dxa"/>
          </w:tcPr>
          <w:p w14:paraId="4DA36BCB" w14:textId="77777777" w:rsidR="0016645E" w:rsidRPr="007C6997" w:rsidRDefault="0016645E" w:rsidP="00460458">
            <w:pPr>
              <w:pStyle w:val="TableHeading"/>
              <w:rPr>
                <w:rFonts w:cs="Times New Roman"/>
                <w:szCs w:val="24"/>
              </w:rPr>
            </w:pPr>
            <w:r w:rsidRPr="007C6997">
              <w:rPr>
                <w:rFonts w:cs="Times New Roman"/>
                <w:szCs w:val="24"/>
              </w:rPr>
              <w:t>ESC advice to MSAC</w:t>
            </w:r>
          </w:p>
        </w:tc>
      </w:tr>
      <w:tr w:rsidR="0016645E" w:rsidRPr="007C6997" w14:paraId="1FC29A7F" w14:textId="77777777" w:rsidTr="00460458">
        <w:tc>
          <w:tcPr>
            <w:tcW w:w="3539" w:type="dxa"/>
          </w:tcPr>
          <w:p w14:paraId="5980BC78" w14:textId="77777777" w:rsidR="0016645E" w:rsidRPr="007C6997" w:rsidRDefault="0016645E" w:rsidP="00460458">
            <w:pPr>
              <w:pStyle w:val="TableText"/>
              <w:rPr>
                <w:rFonts w:ascii="Arial Narrow" w:hAnsi="Arial Narrow"/>
                <w:sz w:val="20"/>
                <w:szCs w:val="24"/>
              </w:rPr>
            </w:pPr>
            <w:r w:rsidRPr="007C6997">
              <w:rPr>
                <w:rFonts w:ascii="Arial Narrow" w:hAnsi="Arial Narrow"/>
                <w:sz w:val="20"/>
                <w:szCs w:val="24"/>
              </w:rPr>
              <w:t>Recurrence Score</w:t>
            </w:r>
            <w:r w:rsidRPr="007C6997">
              <w:rPr>
                <w:rFonts w:ascii="Arial Narrow" w:hAnsi="Arial Narrow"/>
                <w:sz w:val="20"/>
                <w:szCs w:val="24"/>
                <w:vertAlign w:val="superscript"/>
              </w:rPr>
              <w:t>®</w:t>
            </w:r>
            <w:r w:rsidRPr="007C6997">
              <w:rPr>
                <w:rFonts w:ascii="Arial Narrow" w:hAnsi="Arial Narrow"/>
                <w:sz w:val="20"/>
                <w:szCs w:val="24"/>
              </w:rPr>
              <w:t xml:space="preserve"> (RS) thresholds for categorising low, intermediate and high risk of distant recurrence appear to be arbitrary and subject to change</w:t>
            </w:r>
          </w:p>
        </w:tc>
        <w:tc>
          <w:tcPr>
            <w:tcW w:w="5812" w:type="dxa"/>
          </w:tcPr>
          <w:p w14:paraId="3ACB2E79" w14:textId="77777777" w:rsidR="0016645E" w:rsidRPr="007C6997" w:rsidRDefault="0016645E" w:rsidP="00460458">
            <w:pPr>
              <w:pStyle w:val="TableText"/>
              <w:rPr>
                <w:rFonts w:ascii="Arial Narrow" w:hAnsi="Arial Narrow"/>
                <w:sz w:val="20"/>
                <w:szCs w:val="24"/>
              </w:rPr>
            </w:pPr>
            <w:r w:rsidRPr="007C6997">
              <w:rPr>
                <w:rFonts w:ascii="Arial Narrow" w:hAnsi="Arial Narrow"/>
                <w:sz w:val="20"/>
                <w:szCs w:val="24"/>
              </w:rPr>
              <w:t>The RS thresholds were modified in the context of the TAILORx trial. It is not unreasonable to adjust parameters based on additional data, and the new threshold level of 26 appears safe based on the TAILORx and other supporting studies.</w:t>
            </w:r>
          </w:p>
        </w:tc>
      </w:tr>
      <w:tr w:rsidR="0016645E" w:rsidRPr="007C6997" w14:paraId="2950A587" w14:textId="77777777" w:rsidTr="00460458">
        <w:tc>
          <w:tcPr>
            <w:tcW w:w="3539" w:type="dxa"/>
          </w:tcPr>
          <w:p w14:paraId="07ADB901" w14:textId="77777777" w:rsidR="0016645E" w:rsidRPr="007C6997" w:rsidRDefault="0016645E" w:rsidP="00460458">
            <w:pPr>
              <w:pStyle w:val="TableText"/>
              <w:keepNext w:val="0"/>
              <w:rPr>
                <w:rFonts w:ascii="Arial Narrow" w:hAnsi="Arial Narrow"/>
                <w:sz w:val="20"/>
                <w:szCs w:val="24"/>
              </w:rPr>
            </w:pPr>
            <w:r w:rsidRPr="007C6997">
              <w:rPr>
                <w:rFonts w:ascii="Arial Narrow" w:hAnsi="Arial Narrow"/>
                <w:sz w:val="20"/>
                <w:szCs w:val="24"/>
              </w:rPr>
              <w:t>Population (as per the eligibility criteria into the TAILORx trial)</w:t>
            </w:r>
          </w:p>
        </w:tc>
        <w:tc>
          <w:tcPr>
            <w:tcW w:w="5812" w:type="dxa"/>
          </w:tcPr>
          <w:p w14:paraId="2E9F1E0D" w14:textId="77777777" w:rsidR="0016645E" w:rsidRPr="007C6997" w:rsidRDefault="0016645E" w:rsidP="00460458">
            <w:pPr>
              <w:pStyle w:val="TableText"/>
              <w:rPr>
                <w:rFonts w:ascii="Arial Narrow" w:hAnsi="Arial Narrow"/>
                <w:sz w:val="20"/>
                <w:szCs w:val="24"/>
              </w:rPr>
            </w:pPr>
            <w:r w:rsidRPr="007C6997">
              <w:rPr>
                <w:rFonts w:ascii="Arial Narrow" w:hAnsi="Arial Narrow"/>
                <w:sz w:val="20"/>
                <w:szCs w:val="24"/>
              </w:rPr>
              <w:t xml:space="preserve">The eligible population should be specified as patients with newly diagnosed breast carcinomas; who are </w:t>
            </w:r>
            <w:r w:rsidRPr="0017313C">
              <w:rPr>
                <w:rFonts w:ascii="Arial Narrow" w:hAnsi="Arial Narrow"/>
                <w:sz w:val="20"/>
                <w:szCs w:val="24"/>
              </w:rPr>
              <w:t>ER</w:t>
            </w:r>
            <w:r w:rsidRPr="007C6997">
              <w:rPr>
                <w:rFonts w:ascii="Arial Narrow" w:hAnsi="Arial Narrow"/>
                <w:sz w:val="20"/>
                <w:szCs w:val="24"/>
              </w:rPr>
              <w:t xml:space="preserve">-positive, </w:t>
            </w:r>
            <w:r w:rsidRPr="007C6997">
              <w:rPr>
                <w:rFonts w:ascii="Arial Narrow" w:hAnsi="Arial Narrow"/>
                <w:i/>
                <w:sz w:val="20"/>
                <w:szCs w:val="24"/>
              </w:rPr>
              <w:t>HER2</w:t>
            </w:r>
            <w:r w:rsidRPr="007C6997">
              <w:rPr>
                <w:rFonts w:ascii="Arial Narrow" w:hAnsi="Arial Narrow"/>
                <w:sz w:val="20"/>
                <w:szCs w:val="24"/>
              </w:rPr>
              <w:t>-negative, lymph node-negative and post-surgical; and who have not received neoadjuvant therapy.</w:t>
            </w:r>
          </w:p>
        </w:tc>
      </w:tr>
      <w:tr w:rsidR="0016645E" w:rsidRPr="007C6997" w14:paraId="5F12B521" w14:textId="77777777" w:rsidTr="00460458">
        <w:tc>
          <w:tcPr>
            <w:tcW w:w="3539" w:type="dxa"/>
          </w:tcPr>
          <w:p w14:paraId="15EAE67D" w14:textId="77777777" w:rsidR="0016645E" w:rsidRPr="007C6997" w:rsidRDefault="0016645E" w:rsidP="00460458">
            <w:pPr>
              <w:pStyle w:val="TableText"/>
              <w:keepNext w:val="0"/>
              <w:rPr>
                <w:rFonts w:ascii="Arial Narrow" w:hAnsi="Arial Narrow"/>
                <w:sz w:val="20"/>
                <w:szCs w:val="24"/>
              </w:rPr>
            </w:pPr>
            <w:r w:rsidRPr="007C6997">
              <w:rPr>
                <w:rFonts w:ascii="Arial Narrow" w:hAnsi="Arial Narrow"/>
                <w:sz w:val="20"/>
                <w:szCs w:val="24"/>
              </w:rPr>
              <w:t>Proposed note defining eligibility for funding should be modified, as it suggests that patients with an RS ≥26 should receive chemotherapy only</w:t>
            </w:r>
          </w:p>
        </w:tc>
        <w:tc>
          <w:tcPr>
            <w:tcW w:w="5812" w:type="dxa"/>
          </w:tcPr>
          <w:p w14:paraId="6F9916F5" w14:textId="4356A951" w:rsidR="0016645E" w:rsidRPr="007C6997" w:rsidRDefault="0016645E" w:rsidP="00375B02">
            <w:pPr>
              <w:pStyle w:val="TableText"/>
              <w:rPr>
                <w:rFonts w:ascii="Arial Narrow" w:hAnsi="Arial Narrow"/>
                <w:sz w:val="20"/>
                <w:szCs w:val="24"/>
              </w:rPr>
            </w:pPr>
            <w:r w:rsidRPr="007C6997">
              <w:rPr>
                <w:rFonts w:ascii="Arial Narrow" w:hAnsi="Arial Narrow"/>
                <w:sz w:val="20"/>
                <w:szCs w:val="24"/>
              </w:rPr>
              <w:t xml:space="preserve">TAILORx trial protocol specified that </w:t>
            </w:r>
            <w:r w:rsidRPr="007C6997">
              <w:rPr>
                <w:rFonts w:ascii="Arial Narrow" w:hAnsi="Arial Narrow"/>
                <w:sz w:val="20"/>
                <w:szCs w:val="24"/>
                <w:lang w:val="en-US"/>
              </w:rPr>
              <w:t>women with an RS</w:t>
            </w:r>
            <w:r w:rsidR="00375B02">
              <w:rPr>
                <w:rFonts w:ascii="Arial Narrow" w:hAnsi="Arial Narrow"/>
                <w:sz w:val="20"/>
                <w:szCs w:val="24"/>
                <w:lang w:val="en-US"/>
              </w:rPr>
              <w:t> </w:t>
            </w:r>
            <w:r w:rsidRPr="007C6997">
              <w:rPr>
                <w:rFonts w:ascii="Arial Narrow" w:hAnsi="Arial Narrow"/>
                <w:sz w:val="20"/>
                <w:szCs w:val="24"/>
              </w:rPr>
              <w:t>≥</w:t>
            </w:r>
            <w:r w:rsidRPr="007C6997">
              <w:rPr>
                <w:rFonts w:ascii="Arial Narrow" w:hAnsi="Arial Narrow"/>
                <w:sz w:val="20"/>
                <w:szCs w:val="24"/>
                <w:lang w:val="en-US"/>
              </w:rPr>
              <w:t>26 were assigned to receive chemotherapy plus endocrine therapy. Therefore, this should be reflected in the note.</w:t>
            </w:r>
          </w:p>
        </w:tc>
      </w:tr>
      <w:tr w:rsidR="0016645E" w:rsidRPr="007C6997" w14:paraId="7F0BB15C" w14:textId="77777777" w:rsidTr="00460458">
        <w:tc>
          <w:tcPr>
            <w:tcW w:w="3539" w:type="dxa"/>
          </w:tcPr>
          <w:p w14:paraId="6BBBA434" w14:textId="77777777" w:rsidR="0016645E" w:rsidRPr="007C6997" w:rsidRDefault="0016645E" w:rsidP="00460458">
            <w:pPr>
              <w:pStyle w:val="TableText"/>
              <w:keepNext w:val="0"/>
              <w:rPr>
                <w:rFonts w:ascii="Arial Narrow" w:hAnsi="Arial Narrow"/>
                <w:sz w:val="20"/>
                <w:szCs w:val="24"/>
              </w:rPr>
            </w:pPr>
            <w:r w:rsidRPr="007C6997">
              <w:rPr>
                <w:rFonts w:ascii="Arial Narrow" w:hAnsi="Arial Narrow"/>
                <w:sz w:val="20"/>
                <w:szCs w:val="24"/>
              </w:rPr>
              <w:t>Clinical need</w:t>
            </w:r>
          </w:p>
        </w:tc>
        <w:tc>
          <w:tcPr>
            <w:tcW w:w="5812" w:type="dxa"/>
          </w:tcPr>
          <w:p w14:paraId="18974A57" w14:textId="77777777" w:rsidR="0016645E" w:rsidRPr="007C6997" w:rsidRDefault="0016645E" w:rsidP="00460458">
            <w:pPr>
              <w:pStyle w:val="TableText"/>
              <w:rPr>
                <w:rFonts w:ascii="Arial Narrow" w:hAnsi="Arial Narrow"/>
                <w:sz w:val="20"/>
                <w:szCs w:val="24"/>
              </w:rPr>
            </w:pPr>
            <w:r w:rsidRPr="007C6997">
              <w:rPr>
                <w:rFonts w:ascii="Arial Narrow" w:hAnsi="Arial Narrow"/>
                <w:sz w:val="20"/>
                <w:szCs w:val="24"/>
              </w:rPr>
              <w:t xml:space="preserve">There is a view among </w:t>
            </w:r>
            <w:bookmarkStart w:id="23" w:name="Editing"/>
            <w:bookmarkEnd w:id="23"/>
            <w:r w:rsidRPr="007C6997">
              <w:rPr>
                <w:rFonts w:ascii="Arial Narrow" w:hAnsi="Arial Narrow"/>
                <w:sz w:val="20"/>
                <w:szCs w:val="24"/>
              </w:rPr>
              <w:t>clinicians that knowledge of the genomic features of breast cancers is required to provide a higher level of evidence on which to base systemic treatment decisions. Multigene assays are being employed routinely by clinicians in the US.</w:t>
            </w:r>
          </w:p>
        </w:tc>
      </w:tr>
      <w:tr w:rsidR="0016645E" w:rsidRPr="007C6997" w14:paraId="24C0F04E" w14:textId="77777777" w:rsidTr="00460458">
        <w:tc>
          <w:tcPr>
            <w:tcW w:w="3539" w:type="dxa"/>
          </w:tcPr>
          <w:p w14:paraId="7EA01ABE" w14:textId="77777777" w:rsidR="0016645E" w:rsidRPr="007C6997" w:rsidRDefault="0016645E" w:rsidP="00460458">
            <w:pPr>
              <w:pStyle w:val="TableText"/>
              <w:keepNext w:val="0"/>
              <w:rPr>
                <w:rFonts w:ascii="Arial Narrow" w:hAnsi="Arial Narrow"/>
                <w:sz w:val="20"/>
                <w:szCs w:val="24"/>
              </w:rPr>
            </w:pPr>
            <w:r w:rsidRPr="007C6997">
              <w:rPr>
                <w:rFonts w:ascii="Arial Narrow" w:hAnsi="Arial Narrow"/>
                <w:sz w:val="20"/>
                <w:szCs w:val="24"/>
              </w:rPr>
              <w:t>Context</w:t>
            </w:r>
          </w:p>
        </w:tc>
        <w:tc>
          <w:tcPr>
            <w:tcW w:w="5812" w:type="dxa"/>
          </w:tcPr>
          <w:p w14:paraId="5F2EE2D5" w14:textId="77777777" w:rsidR="0016645E" w:rsidRPr="007C6997" w:rsidRDefault="0016645E" w:rsidP="00460458">
            <w:pPr>
              <w:pStyle w:val="TableText"/>
              <w:rPr>
                <w:rFonts w:ascii="Arial Narrow" w:hAnsi="Arial Narrow"/>
                <w:sz w:val="20"/>
                <w:szCs w:val="24"/>
              </w:rPr>
            </w:pPr>
            <w:r w:rsidRPr="007C6997">
              <w:rPr>
                <w:rFonts w:ascii="Arial Narrow" w:hAnsi="Arial Narrow"/>
                <w:color w:val="auto"/>
                <w:sz w:val="20"/>
                <w:szCs w:val="24"/>
              </w:rPr>
              <w:t>Oncotype DX represents one of the more rigorously developed gene assays with good quality control; NCCN preferred and ‘strong’ recommendation by ASCO.</w:t>
            </w:r>
          </w:p>
        </w:tc>
      </w:tr>
      <w:tr w:rsidR="0016645E" w:rsidRPr="007C6997" w14:paraId="4774C5ED" w14:textId="77777777" w:rsidTr="00460458">
        <w:tc>
          <w:tcPr>
            <w:tcW w:w="3539" w:type="dxa"/>
          </w:tcPr>
          <w:p w14:paraId="18CF9B88" w14:textId="77777777" w:rsidR="0016645E" w:rsidRPr="007C6997" w:rsidRDefault="0016645E" w:rsidP="00460458">
            <w:pPr>
              <w:pStyle w:val="TableText"/>
              <w:keepNext w:val="0"/>
              <w:rPr>
                <w:rFonts w:ascii="Arial Narrow" w:hAnsi="Arial Narrow"/>
                <w:sz w:val="20"/>
                <w:szCs w:val="24"/>
              </w:rPr>
            </w:pPr>
            <w:r w:rsidRPr="007C6997">
              <w:rPr>
                <w:rFonts w:ascii="Arial Narrow" w:hAnsi="Arial Narrow"/>
                <w:sz w:val="20"/>
                <w:szCs w:val="24"/>
              </w:rPr>
              <w:t>Uncertain chemotherapy benefit – 26% or 15% or 20.5%?</w:t>
            </w:r>
          </w:p>
        </w:tc>
        <w:tc>
          <w:tcPr>
            <w:tcW w:w="5812" w:type="dxa"/>
          </w:tcPr>
          <w:p w14:paraId="6F8E76E9" w14:textId="77777777" w:rsidR="0016645E" w:rsidRPr="007C6997" w:rsidRDefault="0016645E" w:rsidP="00460458">
            <w:pPr>
              <w:pStyle w:val="TableText"/>
              <w:rPr>
                <w:rFonts w:ascii="Arial Narrow" w:hAnsi="Arial Narrow"/>
                <w:sz w:val="20"/>
                <w:szCs w:val="24"/>
              </w:rPr>
            </w:pPr>
            <w:r w:rsidRPr="007C6997">
              <w:rPr>
                <w:rFonts w:ascii="Arial Narrow" w:hAnsi="Arial Narrow"/>
                <w:sz w:val="20"/>
                <w:szCs w:val="24"/>
              </w:rPr>
              <w:t>20.5% may be an acceptable estimate.</w:t>
            </w:r>
          </w:p>
        </w:tc>
      </w:tr>
      <w:tr w:rsidR="0016645E" w:rsidRPr="007C6997" w14:paraId="2E9977EF" w14:textId="77777777" w:rsidTr="00460458">
        <w:tc>
          <w:tcPr>
            <w:tcW w:w="3539" w:type="dxa"/>
          </w:tcPr>
          <w:p w14:paraId="65D9E38C" w14:textId="77777777" w:rsidR="0016645E" w:rsidRPr="007C6997" w:rsidRDefault="0016645E" w:rsidP="00460458">
            <w:pPr>
              <w:pStyle w:val="TableText"/>
              <w:keepNext w:val="0"/>
              <w:rPr>
                <w:rFonts w:ascii="Arial Narrow" w:hAnsi="Arial Narrow"/>
                <w:sz w:val="20"/>
                <w:szCs w:val="24"/>
              </w:rPr>
            </w:pPr>
            <w:r w:rsidRPr="007C6997">
              <w:rPr>
                <w:rFonts w:ascii="Arial Narrow" w:hAnsi="Arial Narrow"/>
                <w:sz w:val="20"/>
                <w:szCs w:val="24"/>
              </w:rPr>
              <w:t>Costs of adding chemotherapy may be underestimated</w:t>
            </w:r>
          </w:p>
        </w:tc>
        <w:tc>
          <w:tcPr>
            <w:tcW w:w="5812" w:type="dxa"/>
          </w:tcPr>
          <w:p w14:paraId="72FB5284" w14:textId="77777777" w:rsidR="0016645E" w:rsidRPr="007C6997" w:rsidRDefault="0016645E" w:rsidP="00460458">
            <w:pPr>
              <w:pStyle w:val="TableText"/>
              <w:rPr>
                <w:rFonts w:ascii="Arial Narrow" w:hAnsi="Arial Narrow"/>
                <w:sz w:val="20"/>
                <w:szCs w:val="24"/>
              </w:rPr>
            </w:pPr>
            <w:r w:rsidRPr="007C6997">
              <w:rPr>
                <w:rFonts w:ascii="Arial Narrow" w:hAnsi="Arial Narrow"/>
                <w:sz w:val="20"/>
                <w:szCs w:val="24"/>
              </w:rPr>
              <w:t>The cost of chemotherapy needs to be revisited – if it is higher, cost offsets would be higher.</w:t>
            </w:r>
          </w:p>
        </w:tc>
      </w:tr>
      <w:tr w:rsidR="0016645E" w:rsidRPr="007C6997" w14:paraId="7C45194D" w14:textId="77777777" w:rsidTr="00460458">
        <w:tc>
          <w:tcPr>
            <w:tcW w:w="3539" w:type="dxa"/>
          </w:tcPr>
          <w:p w14:paraId="509AC78B" w14:textId="77777777" w:rsidR="0016645E" w:rsidRPr="007C6997" w:rsidRDefault="0016645E" w:rsidP="00460458">
            <w:pPr>
              <w:pStyle w:val="TableText"/>
              <w:rPr>
                <w:rFonts w:ascii="Arial Narrow" w:hAnsi="Arial Narrow"/>
                <w:sz w:val="20"/>
                <w:szCs w:val="24"/>
              </w:rPr>
            </w:pPr>
            <w:r w:rsidRPr="007C6997">
              <w:rPr>
                <w:rFonts w:ascii="Arial Narrow" w:hAnsi="Arial Narrow"/>
                <w:sz w:val="20"/>
                <w:szCs w:val="24"/>
              </w:rPr>
              <w:t>Test is not registered for use in Australia and a single laboratory in the US performs the test and may not be eligible for listing on the MBS. Who will pay for this? What about out-of-pocket costs?</w:t>
            </w:r>
          </w:p>
        </w:tc>
        <w:tc>
          <w:tcPr>
            <w:tcW w:w="5812" w:type="dxa"/>
          </w:tcPr>
          <w:p w14:paraId="5CE5F06B" w14:textId="77777777" w:rsidR="0016645E" w:rsidRPr="007C6997" w:rsidRDefault="0016645E" w:rsidP="00460458">
            <w:pPr>
              <w:pStyle w:val="TableText"/>
              <w:rPr>
                <w:rFonts w:ascii="Arial Narrow" w:hAnsi="Arial Narrow"/>
                <w:sz w:val="20"/>
                <w:szCs w:val="24"/>
              </w:rPr>
            </w:pPr>
            <w:r w:rsidRPr="007C6997">
              <w:rPr>
                <w:rFonts w:ascii="Arial Narrow" w:hAnsi="Arial Narrow"/>
                <w:sz w:val="20"/>
                <w:szCs w:val="24"/>
              </w:rPr>
              <w:t>Since testing is done outside Australia, is it possible for MBS to pay the small pathology fee for collecting and preparing the sample to be sent, and then adopt a separate arrangement to reimburse the patient for the rest?</w:t>
            </w:r>
            <w:r w:rsidRPr="007C6997" w:rsidDel="000D7D4B">
              <w:rPr>
                <w:rFonts w:ascii="Arial Narrow" w:hAnsi="Arial Narrow"/>
                <w:sz w:val="20"/>
                <w:szCs w:val="24"/>
              </w:rPr>
              <w:t xml:space="preserve"> </w:t>
            </w:r>
          </w:p>
        </w:tc>
      </w:tr>
      <w:tr w:rsidR="0016645E" w:rsidRPr="007C6997" w14:paraId="50681ABE" w14:textId="77777777" w:rsidTr="00460458">
        <w:tc>
          <w:tcPr>
            <w:tcW w:w="3539" w:type="dxa"/>
          </w:tcPr>
          <w:p w14:paraId="01E8966A" w14:textId="60B31087" w:rsidR="0016645E" w:rsidRPr="007C6997" w:rsidRDefault="0016645E" w:rsidP="00AA3056">
            <w:pPr>
              <w:pStyle w:val="TableText"/>
              <w:rPr>
                <w:rFonts w:ascii="Arial Narrow" w:hAnsi="Arial Narrow"/>
                <w:sz w:val="20"/>
                <w:szCs w:val="24"/>
              </w:rPr>
            </w:pPr>
            <w:r w:rsidRPr="007C6997">
              <w:rPr>
                <w:rFonts w:ascii="Arial Narrow" w:hAnsi="Arial Narrow"/>
                <w:sz w:val="20"/>
                <w:szCs w:val="24"/>
              </w:rPr>
              <w:t xml:space="preserve">Different results from </w:t>
            </w:r>
            <w:r w:rsidR="00AA3056">
              <w:rPr>
                <w:rFonts w:ascii="Arial Narrow" w:hAnsi="Arial Narrow"/>
                <w:sz w:val="20"/>
                <w:szCs w:val="24"/>
              </w:rPr>
              <w:t xml:space="preserve">the modelled </w:t>
            </w:r>
            <w:r w:rsidRPr="007C6997">
              <w:rPr>
                <w:rFonts w:ascii="Arial Narrow" w:hAnsi="Arial Narrow"/>
                <w:sz w:val="20"/>
                <w:szCs w:val="24"/>
              </w:rPr>
              <w:t xml:space="preserve">economic </w:t>
            </w:r>
            <w:r w:rsidR="00AA3056">
              <w:rPr>
                <w:rFonts w:ascii="Arial Narrow" w:hAnsi="Arial Narrow"/>
                <w:sz w:val="20"/>
                <w:szCs w:val="24"/>
              </w:rPr>
              <w:t>evaluation</w:t>
            </w:r>
            <w:r w:rsidRPr="007C6997">
              <w:rPr>
                <w:rFonts w:ascii="Arial Narrow" w:hAnsi="Arial Narrow"/>
                <w:sz w:val="20"/>
                <w:szCs w:val="24"/>
              </w:rPr>
              <w:t xml:space="preserve"> depending on accepting different sources of clinical evidence</w:t>
            </w:r>
          </w:p>
        </w:tc>
        <w:tc>
          <w:tcPr>
            <w:tcW w:w="5812" w:type="dxa"/>
          </w:tcPr>
          <w:p w14:paraId="52DF024D" w14:textId="77777777" w:rsidR="0016645E" w:rsidRPr="007C6997" w:rsidRDefault="0016645E" w:rsidP="00460458">
            <w:pPr>
              <w:pStyle w:val="TableText"/>
              <w:rPr>
                <w:rFonts w:ascii="Arial Narrow" w:hAnsi="Arial Narrow"/>
                <w:sz w:val="20"/>
                <w:szCs w:val="24"/>
              </w:rPr>
            </w:pPr>
            <w:r w:rsidRPr="007C6997">
              <w:rPr>
                <w:rFonts w:ascii="Arial Narrow" w:hAnsi="Arial Narrow"/>
                <w:sz w:val="20"/>
                <w:szCs w:val="24"/>
              </w:rPr>
              <w:t>Given MSAC’s published views on the strength of the evidence available previously, it may be useful for MSAC to consider the disaggregated analyses of the non-inferiority (based on TAILORx) and effectiveness (based on re-analysing the previous retrospective predictive evidence) components of the model.</w:t>
            </w:r>
          </w:p>
        </w:tc>
      </w:tr>
    </w:tbl>
    <w:p w14:paraId="7DF207F6" w14:textId="04C5EAA9" w:rsidR="0016645E" w:rsidRPr="00E2362C" w:rsidRDefault="0016645E" w:rsidP="00E2362C">
      <w:pPr>
        <w:pStyle w:val="Heading2"/>
        <w:keepLines w:val="0"/>
        <w:spacing w:before="240" w:after="120"/>
        <w:rPr>
          <w:b/>
          <w:i w:val="0"/>
        </w:rPr>
      </w:pPr>
      <w:r w:rsidRPr="00082ECB">
        <w:rPr>
          <w:b/>
          <w:i w:val="0"/>
        </w:rPr>
        <w:t>ESC discussion</w:t>
      </w:r>
    </w:p>
    <w:p w14:paraId="301505C8" w14:textId="2AA16193" w:rsidR="0016645E" w:rsidRDefault="0016645E" w:rsidP="00E2362C">
      <w:pPr>
        <w:spacing w:after="240"/>
      </w:pPr>
      <w:r>
        <w:t xml:space="preserve">Application 1342.5 is a resubmission seeking </w:t>
      </w:r>
      <w:r w:rsidRPr="004F21C5">
        <w:t>public funding for a gene expression profiling test</w:t>
      </w:r>
      <w:r>
        <w:t>, Oncotype </w:t>
      </w:r>
      <w:r w:rsidRPr="004F21C5">
        <w:t>DX</w:t>
      </w:r>
      <w:r w:rsidRPr="00BA7E41">
        <w:rPr>
          <w:vertAlign w:val="superscript"/>
        </w:rPr>
        <w:t>®</w:t>
      </w:r>
      <w:r>
        <w:t>, for</w:t>
      </w:r>
      <w:r w:rsidRPr="004F21C5">
        <w:t xml:space="preserve"> patients with breast cancer</w:t>
      </w:r>
      <w:r>
        <w:t xml:space="preserve">. The test generates a </w:t>
      </w:r>
      <w:r w:rsidRPr="00BA7E41">
        <w:t>Recurrence Score</w:t>
      </w:r>
      <w:r w:rsidRPr="00BA7E41">
        <w:rPr>
          <w:vertAlign w:val="superscript"/>
        </w:rPr>
        <w:t>®</w:t>
      </w:r>
      <w:r w:rsidRPr="00BA7E41">
        <w:t xml:space="preserve"> </w:t>
      </w:r>
      <w:r>
        <w:t xml:space="preserve">(RS) that is used </w:t>
      </w:r>
      <w:r w:rsidRPr="004F21C5">
        <w:t xml:space="preserve">to predict the likelihood of </w:t>
      </w:r>
      <w:r>
        <w:t xml:space="preserve">breast cancer recurrence and the potential benefit of also receiving </w:t>
      </w:r>
      <w:r w:rsidRPr="004F21C5">
        <w:t>adjuvant chemotherapy</w:t>
      </w:r>
      <w:r>
        <w:t xml:space="preserve"> for surgically treated patients with </w:t>
      </w:r>
      <w:r w:rsidRPr="004F21C5">
        <w:t>early</w:t>
      </w:r>
      <w:r>
        <w:t>-</w:t>
      </w:r>
      <w:r w:rsidRPr="004F21C5">
        <w:t>stage</w:t>
      </w:r>
      <w:r>
        <w:t xml:space="preserve"> invasive</w:t>
      </w:r>
      <w:r w:rsidRPr="004F21C5">
        <w:t xml:space="preserve"> breast cancer</w:t>
      </w:r>
      <w:r>
        <w:t xml:space="preserve"> receiving adjuvant </w:t>
      </w:r>
      <w:r w:rsidR="0012326F">
        <w:t>endocrine</w:t>
      </w:r>
      <w:r>
        <w:t xml:space="preserve"> therapy</w:t>
      </w:r>
      <w:r w:rsidRPr="004F21C5">
        <w:t>.</w:t>
      </w:r>
    </w:p>
    <w:p w14:paraId="318B9D6D" w14:textId="55C70625" w:rsidR="0016645E" w:rsidRDefault="0016645E" w:rsidP="0016645E">
      <w:pPr>
        <w:pStyle w:val="NormalBeforeBullet"/>
      </w:pPr>
      <w:r>
        <w:t>ESC noted the resubmission include</w:t>
      </w:r>
      <w:r w:rsidR="0017313C">
        <w:t>d</w:t>
      </w:r>
      <w:r>
        <w:t xml:space="preserve"> two therapeutic claims:</w:t>
      </w:r>
    </w:p>
    <w:p w14:paraId="54233B48" w14:textId="74211695" w:rsidR="0016645E" w:rsidRPr="00BA7E41" w:rsidRDefault="0016645E" w:rsidP="0016645E">
      <w:pPr>
        <w:pStyle w:val="NumberList"/>
      </w:pPr>
      <w:r>
        <w:t>1.</w:t>
      </w:r>
      <w:r>
        <w:tab/>
      </w:r>
      <w:r w:rsidRPr="00894161">
        <w:t>Oncotype</w:t>
      </w:r>
      <w:r w:rsidR="00A52F8F">
        <w:t> </w:t>
      </w:r>
      <w:r w:rsidRPr="00894161">
        <w:t xml:space="preserve">DX will identify patients who </w:t>
      </w:r>
      <w:r>
        <w:t>would</w:t>
      </w:r>
      <w:r w:rsidRPr="00894161">
        <w:t xml:space="preserve"> not benefit from </w:t>
      </w:r>
      <w:r>
        <w:t xml:space="preserve">also receiving adjuvant </w:t>
      </w:r>
      <w:r w:rsidRPr="00894161">
        <w:t xml:space="preserve">chemotherapy, thus sparing them the adverse effects and other risks associated with chemotherapy </w:t>
      </w:r>
      <w:r w:rsidRPr="00BA7E41">
        <w:t>(</w:t>
      </w:r>
      <w:r w:rsidR="00F3423D">
        <w:t>referred to as “</w:t>
      </w:r>
      <w:r w:rsidR="00F3423D">
        <w:rPr>
          <w:bCs/>
        </w:rPr>
        <w:t>chemotherapy sparing”</w:t>
      </w:r>
      <w:r>
        <w:rPr>
          <w:bCs/>
        </w:rPr>
        <w:t>; RS &lt;26</w:t>
      </w:r>
      <w:r w:rsidRPr="00BA7E41">
        <w:rPr>
          <w:bCs/>
        </w:rPr>
        <w:t>)</w:t>
      </w:r>
    </w:p>
    <w:p w14:paraId="66A62D71" w14:textId="73E48907" w:rsidR="0016645E" w:rsidRPr="00F74024" w:rsidRDefault="0016645E" w:rsidP="0016645E">
      <w:pPr>
        <w:pStyle w:val="NumberList"/>
      </w:pPr>
      <w:r>
        <w:t>2.</w:t>
      </w:r>
      <w:r>
        <w:tab/>
      </w:r>
      <w:r w:rsidRPr="00894161">
        <w:t>Oncotype</w:t>
      </w:r>
      <w:r w:rsidR="00A52F8F">
        <w:t> </w:t>
      </w:r>
      <w:r w:rsidRPr="00894161">
        <w:t>DX will identify patients likely to be</w:t>
      </w:r>
      <w:r>
        <w:t xml:space="preserve">nefit from also receiving adjuvant chemotherapy who </w:t>
      </w:r>
      <w:r w:rsidRPr="00894161">
        <w:t>would not have been identified through standard clinical practice</w:t>
      </w:r>
      <w:r>
        <w:t>;</w:t>
      </w:r>
      <w:r w:rsidRPr="00894161">
        <w:t xml:space="preserve"> </w:t>
      </w:r>
      <w:r>
        <w:t>a</w:t>
      </w:r>
      <w:r w:rsidRPr="00894161">
        <w:t xml:space="preserve">ppropriate use of chemotherapy will result in improved disease-free survival </w:t>
      </w:r>
      <w:r w:rsidRPr="00F74024">
        <w:t>(</w:t>
      </w:r>
      <w:r>
        <w:t xml:space="preserve">referred to as </w:t>
      </w:r>
      <w:r w:rsidR="00F3423D">
        <w:t>“</w:t>
      </w:r>
      <w:r w:rsidR="00F3423D">
        <w:rPr>
          <w:bCs/>
        </w:rPr>
        <w:t>chemotherapy indicating”</w:t>
      </w:r>
      <w:r>
        <w:rPr>
          <w:bCs/>
        </w:rPr>
        <w:t>; RS ≥26</w:t>
      </w:r>
      <w:r w:rsidRPr="00BA7E41">
        <w:rPr>
          <w:bCs/>
        </w:rPr>
        <w:t>)</w:t>
      </w:r>
      <w:r>
        <w:rPr>
          <w:bCs/>
        </w:rPr>
        <w:t>.</w:t>
      </w:r>
    </w:p>
    <w:p w14:paraId="4098BD7E" w14:textId="6B592CFD" w:rsidR="0016645E" w:rsidRDefault="0016645E" w:rsidP="00E2362C">
      <w:pPr>
        <w:spacing w:after="240"/>
      </w:pPr>
      <w:r>
        <w:lastRenderedPageBreak/>
        <w:t xml:space="preserve">ESC noted MSAC’s previous concerns about reliance on a single United States (US) laboratory performing the test. However, ESC considered that centralisation of testing could be seen as a significant strength of Oncotype DX in terms of reproducibility. </w:t>
      </w:r>
      <w:r w:rsidRPr="00395889">
        <w:t>It does not suffer from the same problems as other assays based on technologies that are difficult to standardise across different laboratories. Hence</w:t>
      </w:r>
      <w:r>
        <w:t>,</w:t>
      </w:r>
      <w:r w:rsidRPr="00395889">
        <w:t xml:space="preserve"> there is no </w:t>
      </w:r>
      <w:r>
        <w:t xml:space="preserve">laboratory-based </w:t>
      </w:r>
      <w:r w:rsidRPr="00395889">
        <w:t>need for an Australian laboratory to implement new testing strategies.</w:t>
      </w:r>
    </w:p>
    <w:p w14:paraId="2AB76323" w14:textId="61E8ADAA" w:rsidR="0016645E" w:rsidRDefault="0016645E" w:rsidP="00E2362C">
      <w:pPr>
        <w:spacing w:after="240"/>
      </w:pPr>
      <w:r>
        <w:t>ESC noted that t</w:t>
      </w:r>
      <w:r w:rsidRPr="00A67224">
        <w:t>he US Food and Drug Administration is currently obtaining guidance and feedback on its proposed oversight of laboratory</w:t>
      </w:r>
      <w:r>
        <w:t>-</w:t>
      </w:r>
      <w:r w:rsidRPr="00A67224">
        <w:t>de</w:t>
      </w:r>
      <w:r>
        <w:t>veloped tests such as Oncotype </w:t>
      </w:r>
      <w:r w:rsidRPr="00A67224">
        <w:t>DX</w:t>
      </w:r>
      <w:r>
        <w:t xml:space="preserve">, but new guidelines are not yet in place. The laboratory is accredited by the College of American Pathologists under the US Clinical Laboratory Improvement Amendment (CLIA) of 1988, which has parallels with accreditation by the </w:t>
      </w:r>
      <w:r w:rsidRPr="009C09E8">
        <w:t>National Association of Testing Authorities</w:t>
      </w:r>
      <w:r>
        <w:t xml:space="preserve"> (NATA) in</w:t>
      </w:r>
      <w:r w:rsidRPr="009C09E8">
        <w:t xml:space="preserve"> Australia</w:t>
      </w:r>
      <w:r>
        <w:t>.</w:t>
      </w:r>
    </w:p>
    <w:p w14:paraId="6B9209AB" w14:textId="1DC17A6F" w:rsidR="0016645E" w:rsidRDefault="0016645E" w:rsidP="00E2362C">
      <w:pPr>
        <w:spacing w:after="240"/>
      </w:pPr>
      <w:r>
        <w:t xml:space="preserve">ESC noted that the resubmission used the structure of an MBS item with descriptor, fee and note to frame its request for public funding. The note is intended to help interpret RS scores for making chemotherapy decisions. It states that patients with </w:t>
      </w:r>
      <w:r w:rsidRPr="00995039">
        <w:t>RS</w:t>
      </w:r>
      <w:r w:rsidR="00B72A62">
        <w:t> </w:t>
      </w:r>
      <w:r w:rsidRPr="00995039">
        <w:t>&lt;26 are recommended endocrine therapy and patients with RS</w:t>
      </w:r>
      <w:r w:rsidR="00B72A62">
        <w:t> </w:t>
      </w:r>
      <w:r w:rsidRPr="00995039">
        <w:t>≥26 are recommended adjuvant chemotherapy</w:t>
      </w:r>
      <w:r>
        <w:t xml:space="preserve">. However, ESC noted that the </w:t>
      </w:r>
      <w:r w:rsidRPr="00D0383F">
        <w:t>TAILOR</w:t>
      </w:r>
      <w:r>
        <w:t>x trial</w:t>
      </w:r>
      <w:r w:rsidRPr="00D0383F">
        <w:t xml:space="preserve"> protocol specified that </w:t>
      </w:r>
      <w:r w:rsidRPr="00D0383F">
        <w:rPr>
          <w:lang w:val="en-US"/>
        </w:rPr>
        <w:t xml:space="preserve">women with </w:t>
      </w:r>
      <w:r w:rsidR="00B72A62">
        <w:rPr>
          <w:lang w:val="en-US"/>
        </w:rPr>
        <w:t>RS </w:t>
      </w:r>
      <w:r>
        <w:t>≥</w:t>
      </w:r>
      <w:r w:rsidRPr="00D0383F">
        <w:rPr>
          <w:lang w:val="en-US"/>
        </w:rPr>
        <w:t xml:space="preserve">26 were assigned to receive </w:t>
      </w:r>
      <w:r>
        <w:rPr>
          <w:lang w:val="en-US"/>
        </w:rPr>
        <w:t xml:space="preserve">adjuvant </w:t>
      </w:r>
      <w:r w:rsidRPr="00D0383F">
        <w:rPr>
          <w:lang w:val="en-US"/>
        </w:rPr>
        <w:t xml:space="preserve">chemotherapy </w:t>
      </w:r>
      <w:r w:rsidRPr="007E43B9">
        <w:rPr>
          <w:u w:val="single"/>
          <w:lang w:val="en-US"/>
        </w:rPr>
        <w:t>plus</w:t>
      </w:r>
      <w:r w:rsidRPr="00D0383F">
        <w:rPr>
          <w:lang w:val="en-US"/>
        </w:rPr>
        <w:t xml:space="preserve"> endocrine therapy. </w:t>
      </w:r>
      <w:r>
        <w:rPr>
          <w:lang w:val="en-US"/>
        </w:rPr>
        <w:t>This should be reflected in the note.</w:t>
      </w:r>
    </w:p>
    <w:p w14:paraId="3043BD81" w14:textId="63E670F8" w:rsidR="0016645E" w:rsidRDefault="0016645E" w:rsidP="00E2362C">
      <w:pPr>
        <w:spacing w:after="240"/>
      </w:pPr>
      <w:r>
        <w:t xml:space="preserve">ESC noted that the proposed </w:t>
      </w:r>
      <w:r w:rsidR="0017313C">
        <w:t>fee of $5,085 per test service wa</w:t>
      </w:r>
      <w:r>
        <w:t xml:space="preserve">s higher than the confidential fee in previous submissions ($3,375). The </w:t>
      </w:r>
      <w:r w:rsidR="00C05953">
        <w:t>resubmission</w:t>
      </w:r>
      <w:r>
        <w:t xml:space="preserve"> proposed that $85 of the fee is for the Australian pathology laboratory retrieving and preparing the tissue.</w:t>
      </w:r>
    </w:p>
    <w:p w14:paraId="31C9D6E1" w14:textId="77777777" w:rsidR="0016645E" w:rsidRDefault="0016645E" w:rsidP="0016645E">
      <w:pPr>
        <w:pStyle w:val="NormalBeforeBullet"/>
      </w:pPr>
      <w:r w:rsidRPr="00634038">
        <w:t>ESC noted</w:t>
      </w:r>
      <w:r>
        <w:t xml:space="preserve"> that some of the</w:t>
      </w:r>
      <w:r w:rsidRPr="00634038">
        <w:t xml:space="preserve"> PICO criteria </w:t>
      </w:r>
      <w:r>
        <w:t xml:space="preserve">have changed </w:t>
      </w:r>
      <w:r w:rsidRPr="00634038">
        <w:t>since the previous MSAC consideration</w:t>
      </w:r>
      <w:r>
        <w:t>s</w:t>
      </w:r>
      <w:r w:rsidRPr="00634038">
        <w:t xml:space="preserve"> of this application</w:t>
      </w:r>
      <w:r>
        <w:t>, to align with the TAILORx trial:</w:t>
      </w:r>
    </w:p>
    <w:p w14:paraId="2745477D" w14:textId="2725AC12" w:rsidR="0016645E" w:rsidRPr="00853AB9" w:rsidRDefault="0016645E" w:rsidP="00375B02">
      <w:pPr>
        <w:pStyle w:val="Bullet"/>
        <w:numPr>
          <w:ilvl w:val="0"/>
          <w:numId w:val="3"/>
        </w:numPr>
        <w:spacing w:after="120" w:line="240" w:lineRule="auto"/>
        <w:ind w:left="720"/>
        <w:rPr>
          <w:rFonts w:ascii="Times New Roman" w:hAnsi="Times New Roman" w:cs="Times New Roman"/>
          <w:sz w:val="24"/>
          <w:szCs w:val="24"/>
        </w:rPr>
      </w:pPr>
      <w:r w:rsidRPr="00853AB9">
        <w:rPr>
          <w:rFonts w:ascii="Times New Roman" w:hAnsi="Times New Roman" w:cs="Times New Roman"/>
          <w:sz w:val="24"/>
          <w:szCs w:val="24"/>
        </w:rPr>
        <w:t>population – narrowed to include node</w:t>
      </w:r>
      <w:r w:rsidR="005F1DD7" w:rsidRPr="00853AB9">
        <w:rPr>
          <w:rFonts w:ascii="Times New Roman" w:hAnsi="Times New Roman" w:cs="Times New Roman"/>
          <w:sz w:val="24"/>
          <w:szCs w:val="24"/>
        </w:rPr>
        <w:t>-</w:t>
      </w:r>
      <w:r w:rsidRPr="00853AB9">
        <w:rPr>
          <w:rFonts w:ascii="Times New Roman" w:hAnsi="Times New Roman" w:cs="Times New Roman"/>
          <w:sz w:val="24"/>
          <w:szCs w:val="24"/>
        </w:rPr>
        <w:t>negative</w:t>
      </w:r>
      <w:r w:rsidR="005F1DD7">
        <w:rPr>
          <w:rFonts w:ascii="Times New Roman" w:hAnsi="Times New Roman" w:cs="Times New Roman"/>
          <w:sz w:val="24"/>
          <w:szCs w:val="24"/>
        </w:rPr>
        <w:t xml:space="preserve"> patients</w:t>
      </w:r>
      <w:r w:rsidRPr="00853AB9">
        <w:rPr>
          <w:rFonts w:ascii="Times New Roman" w:hAnsi="Times New Roman" w:cs="Times New Roman"/>
          <w:sz w:val="24"/>
          <w:szCs w:val="24"/>
        </w:rPr>
        <w:t xml:space="preserve"> with larger tumour size (</w:t>
      </w:r>
      <w:r>
        <w:rPr>
          <w:rFonts w:ascii="Times New Roman" w:hAnsi="Times New Roman" w:cs="Times New Roman"/>
          <w:sz w:val="24"/>
          <w:szCs w:val="24"/>
        </w:rPr>
        <w:t xml:space="preserve">the initial submission and first resubmission </w:t>
      </w:r>
      <w:r w:rsidRPr="00853AB9">
        <w:rPr>
          <w:rFonts w:ascii="Times New Roman" w:hAnsi="Times New Roman" w:cs="Times New Roman"/>
          <w:sz w:val="24"/>
          <w:szCs w:val="24"/>
        </w:rPr>
        <w:t>allowed for node positivity</w:t>
      </w:r>
      <w:r>
        <w:rPr>
          <w:rFonts w:ascii="Times New Roman" w:hAnsi="Times New Roman" w:cs="Times New Roman"/>
          <w:sz w:val="24"/>
          <w:szCs w:val="24"/>
        </w:rPr>
        <w:t>, while the second and third resubmissions excluded lymph node positivity but allowed smaller tumour sizes)</w:t>
      </w:r>
    </w:p>
    <w:p w14:paraId="27D44068" w14:textId="6C8F6622" w:rsidR="0016645E" w:rsidRPr="00596E5A" w:rsidRDefault="0016645E" w:rsidP="00375B02">
      <w:pPr>
        <w:pStyle w:val="Bullet"/>
        <w:numPr>
          <w:ilvl w:val="0"/>
          <w:numId w:val="3"/>
        </w:numPr>
        <w:spacing w:after="120" w:line="240" w:lineRule="auto"/>
        <w:ind w:left="720"/>
        <w:rPr>
          <w:rFonts w:ascii="Times New Roman" w:hAnsi="Times New Roman" w:cs="Times New Roman"/>
          <w:sz w:val="24"/>
          <w:szCs w:val="24"/>
        </w:rPr>
      </w:pPr>
      <w:r w:rsidRPr="00596E5A">
        <w:rPr>
          <w:rFonts w:ascii="Times New Roman" w:hAnsi="Times New Roman" w:cs="Times New Roman"/>
          <w:sz w:val="24"/>
          <w:szCs w:val="24"/>
        </w:rPr>
        <w:t xml:space="preserve">intervention – RS threshold for decision-making with respect to recommending adjuvant chemotherapy as well as receiving adjuvant </w:t>
      </w:r>
      <w:r w:rsidR="0012326F">
        <w:rPr>
          <w:rFonts w:ascii="Times New Roman" w:hAnsi="Times New Roman" w:cs="Times New Roman"/>
          <w:sz w:val="24"/>
          <w:szCs w:val="24"/>
        </w:rPr>
        <w:t>endocrine</w:t>
      </w:r>
      <w:r w:rsidRPr="00596E5A">
        <w:rPr>
          <w:rFonts w:ascii="Times New Roman" w:hAnsi="Times New Roman" w:cs="Times New Roman"/>
          <w:sz w:val="24"/>
          <w:szCs w:val="24"/>
        </w:rPr>
        <w:t xml:space="preserve"> therapy is now 26 instead of 31</w:t>
      </w:r>
    </w:p>
    <w:p w14:paraId="14B79FE3" w14:textId="77777777" w:rsidR="0016645E" w:rsidRPr="00853AB9" w:rsidRDefault="0016645E" w:rsidP="00375B02">
      <w:pPr>
        <w:pStyle w:val="BulletLast"/>
        <w:numPr>
          <w:ilvl w:val="0"/>
          <w:numId w:val="3"/>
        </w:numPr>
        <w:ind w:left="720"/>
        <w:rPr>
          <w:szCs w:val="24"/>
        </w:rPr>
      </w:pPr>
      <w:r w:rsidRPr="00853AB9">
        <w:rPr>
          <w:szCs w:val="24"/>
        </w:rPr>
        <w:t>comparator – usual care is now more clearly defined, and aligned with the MINDACT protocol used in TAILORx.</w:t>
      </w:r>
    </w:p>
    <w:p w14:paraId="6393F6AC" w14:textId="5D752B2B" w:rsidR="0016645E" w:rsidRDefault="0016645E" w:rsidP="00E2362C">
      <w:pPr>
        <w:pStyle w:val="BulletBeforeDash"/>
        <w:numPr>
          <w:ilvl w:val="0"/>
          <w:numId w:val="0"/>
        </w:numPr>
        <w:spacing w:after="240"/>
      </w:pPr>
      <w:r>
        <w:t xml:space="preserve">ESC considered that the </w:t>
      </w:r>
      <w:r w:rsidRPr="00D0383F">
        <w:t xml:space="preserve">eligible population should be specified as patients with newly diagnosed breast carcinomas </w:t>
      </w:r>
      <w:r w:rsidRPr="0017313C">
        <w:t>ER</w:t>
      </w:r>
      <w:r w:rsidR="0017313C">
        <w:t>-positive</w:t>
      </w:r>
      <w:r w:rsidRPr="00D0383F">
        <w:t xml:space="preserve">, </w:t>
      </w:r>
      <w:r w:rsidRPr="009038E8">
        <w:rPr>
          <w:i/>
        </w:rPr>
        <w:t>HER2</w:t>
      </w:r>
      <w:r w:rsidR="0017313C">
        <w:t>-negative</w:t>
      </w:r>
      <w:r w:rsidRPr="00D0383F">
        <w:t xml:space="preserve">, </w:t>
      </w:r>
      <w:r>
        <w:t>lymph node-negative</w:t>
      </w:r>
      <w:r w:rsidRPr="00D0383F">
        <w:t xml:space="preserve"> who are post-surgical and who have not received neoadjuvant therapy</w:t>
      </w:r>
      <w:r>
        <w:t xml:space="preserve">. </w:t>
      </w:r>
      <w:r w:rsidRPr="00456FED">
        <w:t xml:space="preserve">Restrictions might </w:t>
      </w:r>
      <w:r>
        <w:t xml:space="preserve">also </w:t>
      </w:r>
      <w:r w:rsidRPr="00456FED">
        <w:t>include requesting by a specialist medical or surgical oncologist.</w:t>
      </w:r>
    </w:p>
    <w:p w14:paraId="2D62FD05" w14:textId="40E73AA5" w:rsidR="0016645E" w:rsidRPr="00D0383F" w:rsidRDefault="0016645E" w:rsidP="0016645E">
      <w:r>
        <w:t xml:space="preserve">Although changing the RS threshold will change the consequences for the eligible population, ESC noted that the </w:t>
      </w:r>
      <w:r w:rsidRPr="00837776">
        <w:t xml:space="preserve">TAILORx </w:t>
      </w:r>
      <w:r>
        <w:t xml:space="preserve">trial </w:t>
      </w:r>
      <w:r w:rsidRPr="00BB7BDF">
        <w:t xml:space="preserve">was </w:t>
      </w:r>
      <w:r>
        <w:t xml:space="preserve">specifically </w:t>
      </w:r>
      <w:r w:rsidRPr="00BB7BDF">
        <w:t xml:space="preserve">designed </w:t>
      </w:r>
      <w:r>
        <w:t>to</w:t>
      </w:r>
      <w:r w:rsidRPr="00BB7BDF">
        <w:t xml:space="preserve"> establish whether </w:t>
      </w:r>
      <w:r>
        <w:t xml:space="preserve">treating </w:t>
      </w:r>
      <w:r w:rsidRPr="00BB7BDF">
        <w:t xml:space="preserve">women with a mid-range </w:t>
      </w:r>
      <w:r>
        <w:t>RS</w:t>
      </w:r>
      <w:r w:rsidRPr="00BB7BDF">
        <w:t xml:space="preserve"> of 11</w:t>
      </w:r>
      <w:r w:rsidR="00BF4EEF">
        <w:t>-</w:t>
      </w:r>
      <w:r w:rsidRPr="00BB7BDF">
        <w:t>25</w:t>
      </w:r>
      <w:r>
        <w:t xml:space="preserve"> with adjuvant </w:t>
      </w:r>
      <w:r w:rsidR="0012326F">
        <w:t>endocrine</w:t>
      </w:r>
      <w:r>
        <w:t xml:space="preserve"> therapy alone results in significantly worse breast cancer outcomes compared treating these women with both adjuvant chemotherapy and adjuvant </w:t>
      </w:r>
      <w:r w:rsidR="0012326F">
        <w:t>endocrine</w:t>
      </w:r>
      <w:r>
        <w:t xml:space="preserve"> therapy. This is the patient group for whom the </w:t>
      </w:r>
      <w:r w:rsidRPr="006252B6">
        <w:t xml:space="preserve">decision around </w:t>
      </w:r>
      <w:r>
        <w:t xml:space="preserve">the use of </w:t>
      </w:r>
      <w:r w:rsidRPr="006252B6">
        <w:t xml:space="preserve">adjuvant chemotherapy </w:t>
      </w:r>
      <w:r>
        <w:t xml:space="preserve">is not clear </w:t>
      </w:r>
      <w:r w:rsidRPr="006252B6">
        <w:t>based on clinical</w:t>
      </w:r>
      <w:r w:rsidR="00BF4EEF">
        <w:t>-</w:t>
      </w:r>
      <w:r w:rsidRPr="006252B6">
        <w:t>pathological factors such as tumour size and grade</w:t>
      </w:r>
      <w:r>
        <w:t>.</w:t>
      </w:r>
    </w:p>
    <w:p w14:paraId="6B09BE56" w14:textId="7FA63D15" w:rsidR="0016645E" w:rsidRDefault="0016645E" w:rsidP="00E2362C">
      <w:pPr>
        <w:spacing w:after="240"/>
      </w:pPr>
      <w:r>
        <w:lastRenderedPageBreak/>
        <w:t>From the consumer point of view, ESC noted that g</w:t>
      </w:r>
      <w:r w:rsidRPr="00FC703E">
        <w:t xml:space="preserve">enomics is becoming a part of better </w:t>
      </w:r>
      <w:r>
        <w:t>patient-centred care. There is considerable positive benefit for patients of better diagnoses leading to better treatment decisions, including patients being able to avoid chemotherapy if it is not required. ESC noted that equity of access issues arise from this test not being rendered in Australia.</w:t>
      </w:r>
    </w:p>
    <w:p w14:paraId="44D0DE07" w14:textId="564F24D1" w:rsidR="0016645E" w:rsidRDefault="0016645E" w:rsidP="00E2362C">
      <w:pPr>
        <w:spacing w:after="240"/>
      </w:pPr>
      <w:r>
        <w:t>ESC noted that Oncotype </w:t>
      </w:r>
      <w:r w:rsidRPr="005372F7">
        <w:t xml:space="preserve">DX </w:t>
      </w:r>
      <w:r>
        <w:t>is a</w:t>
      </w:r>
      <w:r w:rsidRPr="005372F7">
        <w:t xml:space="preserve"> rigorously developed gene assay with good quality control. </w:t>
      </w:r>
      <w:r>
        <w:t>It is given a ‘strong’ recommendation in the American Society of Clinical Oncology (ASCO) guidelines, and the National Comprehensive Cancer Network (NCCN) has designated it as the preferred multigene panel assay</w:t>
      </w:r>
      <w:r w:rsidRPr="005372F7">
        <w:t>.</w:t>
      </w:r>
    </w:p>
    <w:p w14:paraId="5B86F06A" w14:textId="24231568" w:rsidR="0016645E" w:rsidRDefault="0016645E" w:rsidP="00E2362C">
      <w:pPr>
        <w:spacing w:after="240"/>
      </w:pPr>
      <w:r>
        <w:t xml:space="preserve">ESC noted that other countries fund Oncotype DX. The </w:t>
      </w:r>
      <w:r w:rsidRPr="00D6404A">
        <w:t>National Institute for Health and Care Excellence (</w:t>
      </w:r>
      <w:r w:rsidRPr="00850281">
        <w:t>NICE</w:t>
      </w:r>
      <w:r>
        <w:t>) recommended it</w:t>
      </w:r>
      <w:r w:rsidRPr="00850281">
        <w:t xml:space="preserve"> </w:t>
      </w:r>
      <w:r>
        <w:t xml:space="preserve">in 2013 </w:t>
      </w:r>
      <w:r w:rsidRPr="00850281">
        <w:t xml:space="preserve">for coverage under </w:t>
      </w:r>
      <w:r>
        <w:t>England’s National Health Service (NHS)</w:t>
      </w:r>
      <w:r w:rsidRPr="00850281">
        <w:t>, for use in early</w:t>
      </w:r>
      <w:r>
        <w:t>-</w:t>
      </w:r>
      <w:r w:rsidRPr="00850281">
        <w:t xml:space="preserve">stage </w:t>
      </w:r>
      <w:r w:rsidRPr="0017313C">
        <w:t>ER</w:t>
      </w:r>
      <w:r w:rsidR="0017313C">
        <w:t>-positive</w:t>
      </w:r>
      <w:r w:rsidRPr="00850281">
        <w:t xml:space="preserve">, </w:t>
      </w:r>
      <w:r w:rsidRPr="009038E8">
        <w:rPr>
          <w:i/>
        </w:rPr>
        <w:t>HER2</w:t>
      </w:r>
      <w:r w:rsidR="0017313C">
        <w:t>-negative</w:t>
      </w:r>
      <w:r>
        <w:t>, node-</w:t>
      </w:r>
      <w:r w:rsidRPr="00850281">
        <w:t xml:space="preserve">negative invasive breast cancer patients with </w:t>
      </w:r>
      <w:r>
        <w:t>‘</w:t>
      </w:r>
      <w:r w:rsidRPr="00850281">
        <w:t>intermediate risk</w:t>
      </w:r>
      <w:r>
        <w:t>’</w:t>
      </w:r>
      <w:r w:rsidRPr="00850281">
        <w:t>. Coverage was renewed in 2018 and expanded to include patients with micrometastases. Node</w:t>
      </w:r>
      <w:r>
        <w:t>-</w:t>
      </w:r>
      <w:r w:rsidRPr="00850281">
        <w:t>positive disease is not covered by</w:t>
      </w:r>
      <w:r>
        <w:t xml:space="preserve"> </w:t>
      </w:r>
      <w:r w:rsidR="0017313C">
        <w:t>England’s</w:t>
      </w:r>
      <w:r w:rsidRPr="00850281">
        <w:t xml:space="preserve"> NHS, </w:t>
      </w:r>
      <w:r>
        <w:t>but</w:t>
      </w:r>
      <w:r w:rsidRPr="00850281">
        <w:t xml:space="preserve"> som</w:t>
      </w:r>
      <w:r>
        <w:t xml:space="preserve">e patients </w:t>
      </w:r>
      <w:r w:rsidRPr="00850281">
        <w:t>are covered by private insurance.</w:t>
      </w:r>
    </w:p>
    <w:p w14:paraId="43EE2B81" w14:textId="6DB455F7" w:rsidR="0016645E" w:rsidRDefault="0016645E" w:rsidP="00E2362C">
      <w:pPr>
        <w:spacing w:after="240"/>
      </w:pPr>
      <w:r w:rsidRPr="00850281">
        <w:t>Oncotype</w:t>
      </w:r>
      <w:r>
        <w:t> </w:t>
      </w:r>
      <w:r w:rsidRPr="00850281">
        <w:t xml:space="preserve">DX is </w:t>
      </w:r>
      <w:r>
        <w:t>publicly funded</w:t>
      </w:r>
      <w:r w:rsidRPr="00850281">
        <w:t xml:space="preserve"> for almost all </w:t>
      </w:r>
      <w:r>
        <w:t xml:space="preserve">eligible </w:t>
      </w:r>
      <w:r w:rsidRPr="00850281">
        <w:t xml:space="preserve">patients in </w:t>
      </w:r>
      <w:r>
        <w:t xml:space="preserve">England, with no </w:t>
      </w:r>
      <w:r w:rsidRPr="00850281">
        <w:t>patient co</w:t>
      </w:r>
      <w:r>
        <w:t>-</w:t>
      </w:r>
      <w:r w:rsidRPr="00850281">
        <w:t>pay</w:t>
      </w:r>
      <w:r>
        <w:t>ment</w:t>
      </w:r>
      <w:r w:rsidRPr="00850281">
        <w:t>. Genomic Health Inc. estimate</w:t>
      </w:r>
      <w:r w:rsidR="0017313C">
        <w:t>d</w:t>
      </w:r>
      <w:r w:rsidRPr="00850281">
        <w:t xml:space="preserve"> that 95% of the trusts serving breast cancer patients in the UK use the test</w:t>
      </w:r>
      <w:r>
        <w:t xml:space="preserve">, and </w:t>
      </w:r>
      <w:r w:rsidRPr="00850281">
        <w:t>over 22,000 women in the UK had undergone the test as of late 2018.</w:t>
      </w:r>
    </w:p>
    <w:p w14:paraId="7EAD3593" w14:textId="046BF522" w:rsidR="0016645E" w:rsidRDefault="0016645E" w:rsidP="00E2362C">
      <w:pPr>
        <w:spacing w:after="240"/>
      </w:pPr>
      <w:r>
        <w:t>In Canada, a</w:t>
      </w:r>
      <w:r w:rsidRPr="001F6414">
        <w:t xml:space="preserve">ll </w:t>
      </w:r>
      <w:r>
        <w:t>10</w:t>
      </w:r>
      <w:r w:rsidRPr="001F6414">
        <w:t xml:space="preserve"> provinces provide Oncotype</w:t>
      </w:r>
      <w:r>
        <w:t> </w:t>
      </w:r>
      <w:r w:rsidRPr="001F6414">
        <w:t>DX under their public healthcare systems</w:t>
      </w:r>
      <w:r>
        <w:t>.</w:t>
      </w:r>
      <w:r w:rsidRPr="001F6414">
        <w:t xml:space="preserve"> Seven of the </w:t>
      </w:r>
      <w:r>
        <w:t>10 </w:t>
      </w:r>
      <w:r w:rsidRPr="001F6414">
        <w:t>provinces provide the test for node-negati</w:t>
      </w:r>
      <w:r>
        <w:t>ve and micrometastases patients;</w:t>
      </w:r>
      <w:r w:rsidRPr="001F6414">
        <w:t xml:space="preserve"> </w:t>
      </w:r>
      <w:r>
        <w:t>t</w:t>
      </w:r>
      <w:r w:rsidRPr="001F6414">
        <w:t>hree provinces also provide</w:t>
      </w:r>
      <w:r>
        <w:t>, and one is considering providing,</w:t>
      </w:r>
      <w:r w:rsidRPr="001F6414">
        <w:t xml:space="preserve"> the test for node-positive patients.</w:t>
      </w:r>
    </w:p>
    <w:p w14:paraId="0AC7F6E7" w14:textId="65392D4A" w:rsidR="0016645E" w:rsidRDefault="0016645E" w:rsidP="00E2362C">
      <w:pPr>
        <w:spacing w:after="240"/>
      </w:pPr>
      <w:r>
        <w:t>In the USA, Oncotype </w:t>
      </w:r>
      <w:r w:rsidRPr="001F6414">
        <w:t xml:space="preserve">DX is covered by Medicare </w:t>
      </w:r>
      <w:r>
        <w:t>(which covers</w:t>
      </w:r>
      <w:r w:rsidRPr="001F6414">
        <w:t xml:space="preserve"> people over 65</w:t>
      </w:r>
      <w:r>
        <w:t xml:space="preserve"> years of age</w:t>
      </w:r>
      <w:r w:rsidRPr="001F6414">
        <w:t>)</w:t>
      </w:r>
      <w:r>
        <w:t xml:space="preserve"> </w:t>
      </w:r>
      <w:r w:rsidRPr="001F6414">
        <w:t>in all states except two, and by Medicaid (</w:t>
      </w:r>
      <w:r>
        <w:t>which covers people on</w:t>
      </w:r>
      <w:r w:rsidRPr="001F6414">
        <w:t xml:space="preserve"> low income</w:t>
      </w:r>
      <w:r>
        <w:t>s</w:t>
      </w:r>
      <w:r w:rsidRPr="001F6414">
        <w:t>)</w:t>
      </w:r>
      <w:r>
        <w:t xml:space="preserve"> in all 50 states. </w:t>
      </w:r>
      <w:r w:rsidRPr="001F6414">
        <w:t>The test is also covered by all major private insurers. Medicare and other public systems cover node-nega</w:t>
      </w:r>
      <w:r>
        <w:t>tive and node-positive patients;</w:t>
      </w:r>
      <w:r w:rsidRPr="001F6414">
        <w:t xml:space="preserve"> </w:t>
      </w:r>
      <w:r>
        <w:t>a</w:t>
      </w:r>
      <w:r w:rsidRPr="001F6414">
        <w:t>bout half the private insure</w:t>
      </w:r>
      <w:r>
        <w:t>rs cover node-positive patients.</w:t>
      </w:r>
    </w:p>
    <w:p w14:paraId="2601440F" w14:textId="430EDDF9" w:rsidR="0016645E" w:rsidRDefault="0016645E" w:rsidP="00E2362C">
      <w:pPr>
        <w:spacing w:after="240"/>
      </w:pPr>
      <w:r>
        <w:t xml:space="preserve">ESC noted that </w:t>
      </w:r>
      <w:r w:rsidRPr="005B2FCF">
        <w:t xml:space="preserve">there is an increasing view that clinicians should be using a higher level of evidence based on genomic subtyping of individual cancers </w:t>
      </w:r>
      <w:r>
        <w:t>(in addition to</w:t>
      </w:r>
      <w:r w:rsidRPr="005B2FCF">
        <w:t xml:space="preserve"> traditional histological features and immunohistochemical markers</w:t>
      </w:r>
      <w:r>
        <w:t>)</w:t>
      </w:r>
      <w:r w:rsidRPr="005B2FCF">
        <w:t xml:space="preserve"> to provide more specific and tailored treatments for breast cancer patients</w:t>
      </w:r>
      <w:r>
        <w:t>.</w:t>
      </w:r>
      <w:r w:rsidRPr="005B2FCF">
        <w:t xml:space="preserve"> Oncotype</w:t>
      </w:r>
      <w:r>
        <w:t> </w:t>
      </w:r>
      <w:r w:rsidRPr="005B2FCF">
        <w:t>D</w:t>
      </w:r>
      <w:r>
        <w:t>X</w:t>
      </w:r>
      <w:r w:rsidRPr="005B2FCF">
        <w:t xml:space="preserve"> and other similar multigene as</w:t>
      </w:r>
      <w:r>
        <w:t>says are being increasingly used worldwide, and</w:t>
      </w:r>
      <w:r w:rsidRPr="008975AD">
        <w:t xml:space="preserve"> </w:t>
      </w:r>
      <w:r>
        <w:t>t</w:t>
      </w:r>
      <w:r w:rsidRPr="005B2FCF">
        <w:t>here is an increasing clinician-led demand for access to these types of assays.</w:t>
      </w:r>
      <w:r>
        <w:t xml:space="preserve"> Assays like Oncotype </w:t>
      </w:r>
      <w:r w:rsidRPr="005B2FCF">
        <w:t>D</w:t>
      </w:r>
      <w:r>
        <w:t>X</w:t>
      </w:r>
      <w:r w:rsidRPr="005B2FCF">
        <w:t xml:space="preserve"> </w:t>
      </w:r>
      <w:r>
        <w:t>are intended for use</w:t>
      </w:r>
      <w:r w:rsidRPr="005B2FCF">
        <w:t xml:space="preserve"> as an additional tool to guid</w:t>
      </w:r>
      <w:r>
        <w:t>e decision-</w:t>
      </w:r>
      <w:r w:rsidRPr="005B2FCF">
        <w:t>making</w:t>
      </w:r>
      <w:r>
        <w:t>, not to dictate treatment</w:t>
      </w:r>
      <w:r w:rsidRPr="005B2FCF">
        <w:t>.</w:t>
      </w:r>
      <w:r>
        <w:t xml:space="preserve"> ESC noted that c</w:t>
      </w:r>
      <w:r w:rsidRPr="00B8408A">
        <w:t xml:space="preserve">linicians </w:t>
      </w:r>
      <w:r>
        <w:t>and</w:t>
      </w:r>
      <w:r w:rsidRPr="00B8408A">
        <w:t xml:space="preserve"> researchers are</w:t>
      </w:r>
      <w:r>
        <w:t xml:space="preserve"> also</w:t>
      </w:r>
      <w:r w:rsidRPr="00B8408A">
        <w:t xml:space="preserve"> currently using whole exome sequencing (WES) and whole genome sequencing (WGS) </w:t>
      </w:r>
      <w:r>
        <w:t xml:space="preserve">to </w:t>
      </w:r>
      <w:r w:rsidRPr="00B8408A">
        <w:t>investigat</w:t>
      </w:r>
      <w:r>
        <w:t>e</w:t>
      </w:r>
      <w:r w:rsidRPr="00B8408A">
        <w:t xml:space="preserve"> the genomic profile of breast cancers.</w:t>
      </w:r>
    </w:p>
    <w:p w14:paraId="2D8B17EE" w14:textId="085FF2EB" w:rsidR="0016645E" w:rsidRDefault="0016645E" w:rsidP="00E2362C">
      <w:pPr>
        <w:spacing w:after="240"/>
      </w:pPr>
      <w:r>
        <w:t>ESC considered that m</w:t>
      </w:r>
      <w:r w:rsidRPr="005B2FCF">
        <w:t>ost clinicians would order the Oncotype</w:t>
      </w:r>
      <w:r>
        <w:t> </w:t>
      </w:r>
      <w:r w:rsidRPr="005B2FCF">
        <w:t>DX assay selective</w:t>
      </w:r>
      <w:r>
        <w:t>ly,</w:t>
      </w:r>
      <w:r w:rsidRPr="005B2FCF">
        <w:t xml:space="preserve"> particularly</w:t>
      </w:r>
      <w:r>
        <w:t xml:space="preserve"> in instances when decision-making is complex. However, ESC considered that there is some risk of leakage. ESC noted that NICE guidance for </w:t>
      </w:r>
      <w:r w:rsidRPr="005B2FCF">
        <w:t>Oncotype</w:t>
      </w:r>
      <w:r>
        <w:t> </w:t>
      </w:r>
      <w:r w:rsidRPr="005B2FCF">
        <w:t>DX</w:t>
      </w:r>
      <w:r>
        <w:t xml:space="preserve"> has recently been updated, which may inform concerns regarding leakage.</w:t>
      </w:r>
    </w:p>
    <w:p w14:paraId="4C21CEE4" w14:textId="0BEA60CF" w:rsidR="0016645E" w:rsidRPr="00456FED" w:rsidRDefault="0016645E" w:rsidP="0016645E">
      <w:pPr>
        <w:pStyle w:val="NormalBeforeBullet"/>
      </w:pPr>
      <w:r w:rsidRPr="00456FED">
        <w:lastRenderedPageBreak/>
        <w:t>ESC noted the limitations of the current online prediction tools used to estimate the risk of recurrence and to make treatment decisions</w:t>
      </w:r>
      <w:r>
        <w:t xml:space="preserve"> (</w:t>
      </w:r>
      <w:r>
        <w:rPr>
          <w:szCs w:val="24"/>
        </w:rPr>
        <w:t xml:space="preserve">Wazir </w:t>
      </w:r>
      <w:r w:rsidR="00435872">
        <w:rPr>
          <w:szCs w:val="24"/>
        </w:rPr>
        <w:t>et al.</w:t>
      </w:r>
      <w:r>
        <w:rPr>
          <w:szCs w:val="24"/>
        </w:rPr>
        <w:t xml:space="preserve"> 2017</w:t>
      </w:r>
      <w:r>
        <w:t>)</w:t>
      </w:r>
      <w:r w:rsidRPr="00456FED">
        <w:t>:</w:t>
      </w:r>
    </w:p>
    <w:p w14:paraId="480ADAF7" w14:textId="77777777" w:rsidR="0016645E" w:rsidRPr="00052C23" w:rsidRDefault="0016645E" w:rsidP="001913F7">
      <w:pPr>
        <w:pStyle w:val="BulletLast"/>
        <w:numPr>
          <w:ilvl w:val="0"/>
          <w:numId w:val="3"/>
        </w:numPr>
        <w:spacing w:after="120"/>
        <w:ind w:left="714" w:hanging="357"/>
        <w:rPr>
          <w:szCs w:val="24"/>
        </w:rPr>
      </w:pPr>
      <w:r w:rsidRPr="00456FED">
        <w:t>Adjuvant! Online tends to overestimate the number of patients at high risk; overestimate the survival rates of younger women with ER-positive breast cancer;</w:t>
      </w:r>
      <w:r w:rsidRPr="00052C23">
        <w:rPr>
          <w:szCs w:val="24"/>
        </w:rPr>
        <w:t xml:space="preserve"> overestimate the added value of chemotherapy for older patients; and </w:t>
      </w:r>
      <w:r w:rsidRPr="00052C23">
        <w:rPr>
          <w:i/>
          <w:szCs w:val="24"/>
        </w:rPr>
        <w:t>HER2</w:t>
      </w:r>
      <w:r w:rsidRPr="00052C23">
        <w:rPr>
          <w:szCs w:val="24"/>
        </w:rPr>
        <w:t xml:space="preserve"> assessment is not included</w:t>
      </w:r>
    </w:p>
    <w:p w14:paraId="637F2346" w14:textId="77777777" w:rsidR="0016645E" w:rsidRPr="00052C23" w:rsidRDefault="0016645E" w:rsidP="00375B02">
      <w:pPr>
        <w:pStyle w:val="BulletLast"/>
        <w:numPr>
          <w:ilvl w:val="0"/>
          <w:numId w:val="3"/>
        </w:numPr>
        <w:ind w:left="720"/>
        <w:rPr>
          <w:szCs w:val="24"/>
        </w:rPr>
      </w:pPr>
      <w:r w:rsidRPr="00052C23">
        <w:rPr>
          <w:szCs w:val="24"/>
        </w:rPr>
        <w:t>NHS Predict does not provide any estimate of local relapse; and does not consider mortality due to causes other than breast cancer. Some patients, particularly those with small, biologically aggressive cancers, may therefore not receive chemotherapy that would be of benefit.</w:t>
      </w:r>
    </w:p>
    <w:p w14:paraId="055B59C1" w14:textId="086EBA71" w:rsidR="0016645E" w:rsidRDefault="0016645E" w:rsidP="00E2362C">
      <w:pPr>
        <w:spacing w:after="240"/>
      </w:pPr>
      <w:r>
        <w:t>ESC noted that the</w:t>
      </w:r>
      <w:r w:rsidRPr="006F2C2A">
        <w:t xml:space="preserve"> </w:t>
      </w:r>
      <w:r>
        <w:t xml:space="preserve">previously provided </w:t>
      </w:r>
      <w:r w:rsidRPr="006F2C2A">
        <w:t>retrospective predictive data from the randomised NSABP</w:t>
      </w:r>
      <w:r w:rsidR="004419A7">
        <w:t> </w:t>
      </w:r>
      <w:r w:rsidRPr="006F2C2A">
        <w:t>B-20 study</w:t>
      </w:r>
      <w:r>
        <w:t xml:space="preserve"> (</w:t>
      </w:r>
      <w:r w:rsidRPr="006F2C2A">
        <w:t xml:space="preserve">Paik </w:t>
      </w:r>
      <w:r w:rsidR="00435872">
        <w:t>et al.</w:t>
      </w:r>
      <w:r w:rsidRPr="006F2C2A">
        <w:t xml:space="preserve"> 2006</w:t>
      </w:r>
      <w:r>
        <w:t xml:space="preserve">) </w:t>
      </w:r>
      <w:r w:rsidR="00C05953">
        <w:t>wa</w:t>
      </w:r>
      <w:r>
        <w:t xml:space="preserve">s again relied on </w:t>
      </w:r>
      <w:r w:rsidRPr="006F2C2A">
        <w:t>to support the clinical claim that Oncotype</w:t>
      </w:r>
      <w:r>
        <w:t> </w:t>
      </w:r>
      <w:r w:rsidRPr="006F2C2A">
        <w:t xml:space="preserve">DX will identify patients likely to benefit from </w:t>
      </w:r>
      <w:r>
        <w:t xml:space="preserve">also receiving adjuvant </w:t>
      </w:r>
      <w:r w:rsidRPr="006F2C2A">
        <w:t xml:space="preserve">chemotherapy </w:t>
      </w:r>
      <w:r>
        <w:t>who</w:t>
      </w:r>
      <w:r w:rsidRPr="006F2C2A">
        <w:t xml:space="preserve"> would not have been identified through standard clinical practice.</w:t>
      </w:r>
      <w:r>
        <w:t xml:space="preserve"> The re-analysis of these data by </w:t>
      </w:r>
      <w:r w:rsidRPr="006F2C2A">
        <w:t xml:space="preserve">Geyer </w:t>
      </w:r>
      <w:r w:rsidR="00435872">
        <w:t>et al.</w:t>
      </w:r>
      <w:r w:rsidRPr="006F2C2A">
        <w:t xml:space="preserve"> 2018</w:t>
      </w:r>
      <w:r>
        <w:t xml:space="preserve"> </w:t>
      </w:r>
      <w:r w:rsidR="00C05953">
        <w:t>wa</w:t>
      </w:r>
      <w:r>
        <w:t xml:space="preserve">s relied on to </w:t>
      </w:r>
      <w:r w:rsidRPr="00837776">
        <w:t xml:space="preserve">demonstrate that </w:t>
      </w:r>
      <w:r>
        <w:t xml:space="preserve">also receiving </w:t>
      </w:r>
      <w:r w:rsidRPr="00837776">
        <w:t xml:space="preserve">adjuvant chemotherapy is superior to </w:t>
      </w:r>
      <w:r w:rsidR="0012326F">
        <w:t>endocrine</w:t>
      </w:r>
      <w:r w:rsidRPr="00837776">
        <w:t xml:space="preserve"> th</w:t>
      </w:r>
      <w:r>
        <w:t>erapy alone in patients with RS </w:t>
      </w:r>
      <w:r w:rsidRPr="00837776">
        <w:t>≥26.</w:t>
      </w:r>
    </w:p>
    <w:p w14:paraId="34D104F1" w14:textId="44F37BEC" w:rsidR="0016645E" w:rsidRDefault="0016645E" w:rsidP="00E2362C">
      <w:pPr>
        <w:spacing w:after="240"/>
      </w:pPr>
      <w:r>
        <w:t xml:space="preserve">ESC noted that the </w:t>
      </w:r>
      <w:r w:rsidRPr="00837776">
        <w:t xml:space="preserve">TAILORx </w:t>
      </w:r>
      <w:r>
        <w:t xml:space="preserve">trial </w:t>
      </w:r>
      <w:r w:rsidRPr="00837776">
        <w:t>provide</w:t>
      </w:r>
      <w:r w:rsidR="00C05953">
        <w:t>d</w:t>
      </w:r>
      <w:r w:rsidRPr="00837776">
        <w:t xml:space="preserve"> NHMRC Level</w:t>
      </w:r>
      <w:r>
        <w:t> </w:t>
      </w:r>
      <w:r w:rsidRPr="00837776">
        <w:t xml:space="preserve">II evidence that </w:t>
      </w:r>
      <w:r>
        <w:t xml:space="preserve">adjuvant </w:t>
      </w:r>
      <w:r w:rsidRPr="00837776">
        <w:t xml:space="preserve">chemotherapy can be </w:t>
      </w:r>
      <w:r>
        <w:t>withheld in patients with an RS </w:t>
      </w:r>
      <w:r w:rsidRPr="00837776">
        <w:t>&lt;26 without affecting the patient’s risk of disease recurrence</w:t>
      </w:r>
      <w:r>
        <w:t xml:space="preserve"> </w:t>
      </w:r>
      <w:r w:rsidRPr="00837776">
        <w:t xml:space="preserve">(Sparano </w:t>
      </w:r>
      <w:r w:rsidR="00435872">
        <w:t>et al.</w:t>
      </w:r>
      <w:r w:rsidRPr="00837776">
        <w:t xml:space="preserve"> 2018).</w:t>
      </w:r>
      <w:r>
        <w:t xml:space="preserve"> ESC also noted that e</w:t>
      </w:r>
      <w:r w:rsidRPr="00837776">
        <w:t xml:space="preserve">xploratory analyses indicated that </w:t>
      </w:r>
      <w:r>
        <w:t xml:space="preserve">also receiving adjuvant </w:t>
      </w:r>
      <w:r w:rsidRPr="00837776">
        <w:t xml:space="preserve">chemotherapy was associated with some benefit for women </w:t>
      </w:r>
      <w:r>
        <w:t>aged ≤50 </w:t>
      </w:r>
      <w:r w:rsidRPr="00837776">
        <w:t xml:space="preserve">years </w:t>
      </w:r>
      <w:r>
        <w:t>with an RS of</w:t>
      </w:r>
      <w:r w:rsidRPr="00837776">
        <w:t xml:space="preserve"> 16</w:t>
      </w:r>
      <w:r w:rsidR="00BF4EEF">
        <w:t>-</w:t>
      </w:r>
      <w:r>
        <w:t>25.</w:t>
      </w:r>
    </w:p>
    <w:p w14:paraId="010D9621" w14:textId="344968BA" w:rsidR="0016645E" w:rsidRDefault="0016645E" w:rsidP="00E2362C">
      <w:pPr>
        <w:spacing w:after="240"/>
      </w:pPr>
      <w:r>
        <w:t xml:space="preserve">ESC noted that two </w:t>
      </w:r>
      <w:r w:rsidRPr="00C979EE">
        <w:t xml:space="preserve">Australian Decision Impact Studies </w:t>
      </w:r>
      <w:r>
        <w:t xml:space="preserve">(ADIS) </w:t>
      </w:r>
      <w:r w:rsidRPr="00C979EE">
        <w:t xml:space="preserve">previously presented to MSAC </w:t>
      </w:r>
      <w:r w:rsidR="0017313C">
        <w:t>we</w:t>
      </w:r>
      <w:r w:rsidRPr="00C979EE">
        <w:t xml:space="preserve">re used </w:t>
      </w:r>
      <w:r>
        <w:t xml:space="preserve">in the resubmission </w:t>
      </w:r>
      <w:r w:rsidRPr="00C979EE">
        <w:t>to characterise curren</w:t>
      </w:r>
      <w:r w:rsidR="0017313C">
        <w:t>t patterns of care. These data we</w:t>
      </w:r>
      <w:r w:rsidRPr="00C979EE">
        <w:t>re used to investigate the applicability of usual care in TAILORx to Australian practice</w:t>
      </w:r>
      <w:r>
        <w:t xml:space="preserve">. One of these studies (de Boer </w:t>
      </w:r>
      <w:r w:rsidR="00435872">
        <w:t>et al.</w:t>
      </w:r>
      <w:r>
        <w:t xml:space="preserve"> 2</w:t>
      </w:r>
      <w:r w:rsidR="00375B02">
        <w:t>013) found that the Oncotype DX </w:t>
      </w:r>
      <w:r>
        <w:t xml:space="preserve">RS changed the treatment recommendation in 24% of patients with node-negative tumours. In the other study (Chin-Lenn </w:t>
      </w:r>
      <w:r w:rsidR="00435872">
        <w:t>et al.</w:t>
      </w:r>
      <w:r>
        <w:t xml:space="preserve"> 2018), the Oncotyp</w:t>
      </w:r>
      <w:r w:rsidR="00375B02">
        <w:t>e DX </w:t>
      </w:r>
      <w:r>
        <w:t>RS changed treatment recommendations in 38% of patients, noting that the change in treatment recommendation could be in either direction: to include chemotherapy when it would have otherwise been excluded, or to exclude chemotherapy when it would otherwise have been included. However, ESC considered that the lack of proven clinical utility in the Australian context to be an ongoing issue. There is still no good description of current Australian practice as the ADIS studies are now several years old. It is likely to be different to practice in the US and UK, and it cannot be assumed that incremental clinical utility will be the same in Australia as in other countries.</w:t>
      </w:r>
    </w:p>
    <w:p w14:paraId="5548D413" w14:textId="5768514B" w:rsidR="0016645E" w:rsidRDefault="0016645E" w:rsidP="00E2362C">
      <w:pPr>
        <w:spacing w:after="240"/>
      </w:pPr>
      <w:r>
        <w:t xml:space="preserve">ESC noted that the cost of adjuvant chemotherapy used in the model revised since the previous submission was recalculated by the applicant </w:t>
      </w:r>
      <w:r w:rsidR="005F035E">
        <w:t xml:space="preserve">for </w:t>
      </w:r>
      <w:r w:rsidR="00C05953">
        <w:t xml:space="preserve">its pre-ESC response </w:t>
      </w:r>
      <w:r>
        <w:t xml:space="preserve">using the Critique’s assumption of four cycles rather than six. However, ESC noted the comment in </w:t>
      </w:r>
      <w:r w:rsidR="005F035E">
        <w:t xml:space="preserve">the pre-ESC response </w:t>
      </w:r>
      <w:r>
        <w:t xml:space="preserve">that the revised cost is likely to be an underestimate </w:t>
      </w:r>
      <w:r w:rsidRPr="002C0CD8">
        <w:t xml:space="preserve">of the true burden of </w:t>
      </w:r>
      <w:r>
        <w:t>this chemotherapy</w:t>
      </w:r>
      <w:r w:rsidRPr="002C0CD8">
        <w:t xml:space="preserve"> to the health care system</w:t>
      </w:r>
      <w:r>
        <w:t xml:space="preserve">. ESC commented that most adjuvant chemotherapy treatments go beyond four cycles so the cost might be underestimated, and noted that </w:t>
      </w:r>
      <w:r w:rsidRPr="003D5495">
        <w:t xml:space="preserve">if </w:t>
      </w:r>
      <w:r>
        <w:t xml:space="preserve">this cost is </w:t>
      </w:r>
      <w:r w:rsidRPr="003D5495">
        <w:t xml:space="preserve">higher, cost </w:t>
      </w:r>
      <w:r>
        <w:t>offsets</w:t>
      </w:r>
      <w:r w:rsidRPr="003D5495">
        <w:t xml:space="preserve"> would be higher</w:t>
      </w:r>
      <w:r>
        <w:t>.</w:t>
      </w:r>
    </w:p>
    <w:p w14:paraId="2BB1D985" w14:textId="28AAFBA3" w:rsidR="0016645E" w:rsidRDefault="0016645E" w:rsidP="00E2362C">
      <w:pPr>
        <w:spacing w:after="240"/>
      </w:pPr>
      <w:r>
        <w:t xml:space="preserve">ESC noted that the period of adjuvant chemotherapy treatment was based on six cycles; the </w:t>
      </w:r>
      <w:r w:rsidR="005F035E">
        <w:t xml:space="preserve">pre-ESC response </w:t>
      </w:r>
      <w:r>
        <w:t>base</w:t>
      </w:r>
      <w:r w:rsidR="005F035E">
        <w:t>d</w:t>
      </w:r>
      <w:r>
        <w:t xml:space="preserve"> this cost on four cycles</w:t>
      </w:r>
      <w:r w:rsidR="00C05953">
        <w:t>,</w:t>
      </w:r>
      <w:r>
        <w:t xml:space="preserve"> but did not change the disutility duration to reflect four cycles. ESC queried whether using four cycles would reduce the estimate of quality-adjusted life years gained from avoiding the toxicity of adjuvant chemotherapy.</w:t>
      </w:r>
    </w:p>
    <w:p w14:paraId="539B5AB3" w14:textId="17E1339B" w:rsidR="0016645E" w:rsidRDefault="0016645E" w:rsidP="00E2362C">
      <w:pPr>
        <w:spacing w:after="240"/>
      </w:pPr>
      <w:r>
        <w:lastRenderedPageBreak/>
        <w:t>ESC noted translation issues arising from uncertainty regarding the appropriate extent of benefit</w:t>
      </w:r>
      <w:r w:rsidRPr="007A6E8B">
        <w:t xml:space="preserve"> </w:t>
      </w:r>
      <w:r>
        <w:t xml:space="preserve">(i.e. reduction in </w:t>
      </w:r>
      <w:r w:rsidRPr="00A836BA">
        <w:t>absolute risk of disease recurrence</w:t>
      </w:r>
      <w:r>
        <w:t xml:space="preserve">) of receiving adjuvant chemotherapy as well as </w:t>
      </w:r>
      <w:r w:rsidR="0012326F">
        <w:t>adjuvant endocrine</w:t>
      </w:r>
      <w:r>
        <w:t xml:space="preserve"> therapy in patients with an RS</w:t>
      </w:r>
      <w:r>
        <w:rPr>
          <w:bCs/>
        </w:rPr>
        <w:t> ≥</w:t>
      </w:r>
      <w:r>
        <w:t xml:space="preserve">26. The </w:t>
      </w:r>
      <w:r w:rsidR="005F035E">
        <w:t>resubmission</w:t>
      </w:r>
      <w:r>
        <w:t xml:space="preserve"> originally used a value of 26% (based on Geyer </w:t>
      </w:r>
      <w:r w:rsidR="00435872">
        <w:t>et al.</w:t>
      </w:r>
      <w:r>
        <w:t xml:space="preserve">), but the Critique suggested 15% would be more appropriate in the Australian context. Instead, the </w:t>
      </w:r>
      <w:r w:rsidR="005F035E">
        <w:t xml:space="preserve">pre-ESC response </w:t>
      </w:r>
      <w:r>
        <w:t>reduced</w:t>
      </w:r>
      <w:r w:rsidRPr="00242E70">
        <w:t xml:space="preserve"> the incremental benefit of </w:t>
      </w:r>
      <w:r>
        <w:t>chemotherapy</w:t>
      </w:r>
      <w:r w:rsidRPr="00242E70">
        <w:t xml:space="preserve"> from 26% in the base case to </w:t>
      </w:r>
      <w:r>
        <w:t xml:space="preserve">a mid-point of </w:t>
      </w:r>
      <w:r w:rsidRPr="00242E70">
        <w:t>20.5%</w:t>
      </w:r>
      <w:r>
        <w:t xml:space="preserve">. ESC advised that </w:t>
      </w:r>
      <w:r w:rsidRPr="008730A4">
        <w:rPr>
          <w:szCs w:val="24"/>
        </w:rPr>
        <w:t>20.5% may be acceptable.</w:t>
      </w:r>
    </w:p>
    <w:p w14:paraId="577468DD" w14:textId="6E96FA96" w:rsidR="0016645E" w:rsidRDefault="0016645E" w:rsidP="00E2362C">
      <w:pPr>
        <w:spacing w:after="240"/>
      </w:pPr>
      <w:r>
        <w:t>ESC noted that the revised model use</w:t>
      </w:r>
      <w:r w:rsidR="00C05953">
        <w:t>d</w:t>
      </w:r>
      <w:r>
        <w:t xml:space="preserve"> revised utility values, which </w:t>
      </w:r>
      <w:r w:rsidR="00C05953">
        <w:t>were more in line with TAILORx.</w:t>
      </w:r>
    </w:p>
    <w:p w14:paraId="031B2246" w14:textId="00228AFB" w:rsidR="0016645E" w:rsidRDefault="0016645E" w:rsidP="00E2362C">
      <w:pPr>
        <w:spacing w:after="240"/>
      </w:pPr>
      <w:r>
        <w:t xml:space="preserve">ESC noted that the base case ICER/QALY from the revised combined model </w:t>
      </w:r>
      <w:r w:rsidR="00C05953">
        <w:t>wa</w:t>
      </w:r>
      <w:r>
        <w:t>s sensitive to several assumptions, which var</w:t>
      </w:r>
      <w:r w:rsidR="00C05953">
        <w:t>ied</w:t>
      </w:r>
      <w:r>
        <w:t xml:space="preserve"> this estimate within the range of $22,000–$50,000 (using a chemotherapy benefit of 20.5%). However, ESC noted that the ICER/QALY calculated using a chemotherapy benefit of 15% was more than $67,500.</w:t>
      </w:r>
    </w:p>
    <w:p w14:paraId="377A769B" w14:textId="479F2454" w:rsidR="0016645E" w:rsidRDefault="0016645E" w:rsidP="00E2362C">
      <w:pPr>
        <w:spacing w:after="240"/>
      </w:pPr>
      <w:r>
        <w:t xml:space="preserve">ESC noted that although the </w:t>
      </w:r>
      <w:r w:rsidR="00AA3056">
        <w:t xml:space="preserve">modelled </w:t>
      </w:r>
      <w:r>
        <w:t xml:space="preserve">economic evaluation </w:t>
      </w:r>
      <w:r w:rsidR="00C05953">
        <w:t>wa</w:t>
      </w:r>
      <w:r>
        <w:t xml:space="preserve">s </w:t>
      </w:r>
      <w:r w:rsidR="00C05953">
        <w:t xml:space="preserve">structurally </w:t>
      </w:r>
      <w:r>
        <w:t xml:space="preserve">correct, it </w:t>
      </w:r>
      <w:r w:rsidR="00C05953">
        <w:t>was basic. It included</w:t>
      </w:r>
      <w:r>
        <w:t xml:space="preserve"> only univariate sensitivity analyses, but no probability sensitivity analys</w:t>
      </w:r>
      <w:r w:rsidR="00C05953">
        <w:t>e</w:t>
      </w:r>
      <w:r>
        <w:t xml:space="preserve">s or </w:t>
      </w:r>
      <w:r w:rsidRPr="000B625F">
        <w:t>cost-effectiveness acceptability curve</w:t>
      </w:r>
      <w:r w:rsidR="00C05953">
        <w:t>s</w:t>
      </w:r>
      <w:r>
        <w:t>. The model include</w:t>
      </w:r>
      <w:r w:rsidR="00C05953">
        <w:t>d</w:t>
      </w:r>
      <w:r>
        <w:t xml:space="preserve"> direct costs only; </w:t>
      </w:r>
      <w:r w:rsidR="00C05953">
        <w:t xml:space="preserve">but </w:t>
      </w:r>
      <w:r>
        <w:t>not out-of-pocket costs. ESC queried whether the PBS cost of new chemotherapy drugs used in the TAILORx trial had been included in the cost offsets.</w:t>
      </w:r>
    </w:p>
    <w:p w14:paraId="54AF6A5F" w14:textId="7CE22E02" w:rsidR="0016645E" w:rsidRDefault="0016645E" w:rsidP="00E2362C">
      <w:pPr>
        <w:spacing w:after="240"/>
      </w:pPr>
      <w:r>
        <w:t xml:space="preserve">ESC noted that the analysis also gave two </w:t>
      </w:r>
      <w:r w:rsidR="00C05953">
        <w:t xml:space="preserve">disaggregated </w:t>
      </w:r>
      <w:r>
        <w:t xml:space="preserve">results based on the </w:t>
      </w:r>
      <w:r w:rsidR="00C05953">
        <w:t xml:space="preserve">two </w:t>
      </w:r>
      <w:r>
        <w:t>source</w:t>
      </w:r>
      <w:r w:rsidR="00C05953">
        <w:t>s</w:t>
      </w:r>
      <w:r>
        <w:t xml:space="preserve"> of clinical utility evidence: evidence for the non-inferiority claim is from the TAILORx randomised trial, but the </w:t>
      </w:r>
      <w:r w:rsidR="00AA3056">
        <w:t xml:space="preserve">modelled </w:t>
      </w:r>
      <w:r>
        <w:t xml:space="preserve">economic </w:t>
      </w:r>
      <w:r w:rsidR="00AA3056">
        <w:t>evaluation</w:t>
      </w:r>
      <w:r>
        <w:t xml:space="preserve"> is driven by superiority claim from the retrospective predictive re-analysis from Paik/Geyer. ESC noted that it may be useful for MSAC to consider the disaggregated analyses of the non-inferiority and superiority components of the model (as well as the combined analysis).</w:t>
      </w:r>
    </w:p>
    <w:p w14:paraId="6890A83C" w14:textId="40B51158" w:rsidR="0016645E" w:rsidRDefault="0016645E" w:rsidP="0016645E">
      <w:r>
        <w:t xml:space="preserve">ESC noted that the </w:t>
      </w:r>
      <w:r w:rsidR="00C05953">
        <w:t>resubmission’s</w:t>
      </w:r>
      <w:r>
        <w:t xml:space="preserve"> revised financial analyses resulted in a modest increase in the net budgetary impact to $44.7 million over the first 5 years. The </w:t>
      </w:r>
      <w:r w:rsidR="00C05953">
        <w:t>resubmission</w:t>
      </w:r>
      <w:r>
        <w:t xml:space="preserve"> also provided a revised estimate incorporating updated (2017) breast cancer incidence data from the Australian Institute of Health Welfare of $50.3 million over the first 5 years. ESC considered these two estimates to be more realistic than the estimate of $51.6 million over 5 years using UK uptake data. However, ESC considered that the financial estimates remained subject to significant uncertainty due to low uptake rate assumptions and the fact that </w:t>
      </w:r>
      <w:r w:rsidRPr="00370F63">
        <w:rPr>
          <w:iCs/>
        </w:rPr>
        <w:t>the TAILORx trial did not report important patient baseline characteristics, such as the percentage expression of ER or PR</w:t>
      </w:r>
      <w:r>
        <w:rPr>
          <w:iCs/>
        </w:rPr>
        <w:t>.</w:t>
      </w:r>
    </w:p>
    <w:p w14:paraId="1092EAF4" w14:textId="77777777" w:rsidR="00D90A38" w:rsidRPr="00F715D1" w:rsidRDefault="00BC1364" w:rsidP="00F715D1">
      <w:pPr>
        <w:pStyle w:val="Heading1"/>
      </w:pPr>
      <w:r w:rsidRPr="00F715D1">
        <w:t>Other significant factors</w:t>
      </w:r>
    </w:p>
    <w:p w14:paraId="6F4C4E5B" w14:textId="60543622" w:rsidR="00BC1364" w:rsidRPr="00A87824" w:rsidRDefault="00BC1364" w:rsidP="00F715D1">
      <w:pPr>
        <w:spacing w:after="240"/>
        <w:rPr>
          <w:szCs w:val="24"/>
        </w:rPr>
      </w:pPr>
      <w:r w:rsidRPr="00A87824">
        <w:rPr>
          <w:szCs w:val="24"/>
        </w:rPr>
        <w:t>Nil</w:t>
      </w:r>
      <w:r w:rsidR="00A87824" w:rsidRPr="00A87824">
        <w:rPr>
          <w:szCs w:val="24"/>
        </w:rPr>
        <w:t>.</w:t>
      </w:r>
    </w:p>
    <w:p w14:paraId="5D66F058" w14:textId="77777777" w:rsidR="00BC1364" w:rsidRPr="00F715D1" w:rsidRDefault="00BC1364" w:rsidP="00F715D1">
      <w:pPr>
        <w:pStyle w:val="Heading1"/>
      </w:pPr>
      <w:r w:rsidRPr="00F715D1">
        <w:t xml:space="preserve">Applicant’s comments on MSAC’s </w:t>
      </w:r>
      <w:r w:rsidR="00DA56AA" w:rsidRPr="00F715D1">
        <w:t>Public Summary Document</w:t>
      </w:r>
    </w:p>
    <w:p w14:paraId="77E298B3" w14:textId="18F8AA22" w:rsidR="00BD5ACD" w:rsidRDefault="00BD5ACD" w:rsidP="00BD5ACD">
      <w:r>
        <w:t>STA is dismayed and frustrated at the MSAC decision to reject the Oncotype DX Breast Recurrence Score</w:t>
      </w:r>
      <w:r w:rsidRPr="00B1302E">
        <w:rPr>
          <w:vertAlign w:val="superscript"/>
        </w:rPr>
        <w:sym w:font="Symbol" w:char="F0D2"/>
      </w:r>
      <w:r>
        <w:t xml:space="preserve"> Test for the sixth time. STA was encouraged in pre-submission meetings to proceed with this submission, based on the availability of new data from the landmark TAILORx trial, the largest breast cancer treatment study ever conducted providing an unprecedented level of evidence. These data, along with an extensive dossier of clinical evidence, were submitted for evaluation. MSAC’s interpretation of the TAILORx evidence is at odds with how the data are viewed by other key medical, regulatory and reimbursement authorities in the developed world.  This body of evidence is recognised and validated </w:t>
      </w:r>
      <w:r>
        <w:lastRenderedPageBreak/>
        <w:t xml:space="preserve">globally by oncology authorities, including the National Comprehensive Cancer Network (NCCN) in the United States and the National Institute for Health and Care Excellence (NICE) in the United Kingdom. Indeed, MSAC’s Evaluation Sub-Committee (ESC) noted in June 2019 that it regarded the Oncotype DX test as “one of the more rigorously developed gene assays with good quality control” that was given a “preferred” rating on the NCCN guidelines and “strongly” recommended by the prestigious American Society of Clinical Oncology. ASCO delegates were advised that this test “would transform care immediately, for the better”. We further note that the ESC acknowledged the Oncotype DX test is a standard of care and reimbursed in most other developed countries, including the US, UK and Canada. The </w:t>
      </w:r>
      <w:r w:rsidRPr="00C77FAC">
        <w:t xml:space="preserve">ESC </w:t>
      </w:r>
      <w:r>
        <w:t xml:space="preserve">further conceded </w:t>
      </w:r>
      <w:r w:rsidRPr="00C77FAC">
        <w:t xml:space="preserve">that clinicians should be using a higher level of evidence based on genomic subtyping of individual cancers (in addition to traditional histological features and immunohistochemical markers) to provide more specific and tailored treatments for breast cancer patients. </w:t>
      </w:r>
      <w:r>
        <w:t>This decision to reject the Oncotype DX test for reimbursement is therefore contrary to international medical opinion and global breast cancer treatment guidelines. MSAC’s rejection means Australia remains an isolated outlier when it comes to the provision of cutting-edge genomic tests to make informed treatment decisions and only those women who can afford to access this personalised genomic technology have the opportunity to benefit. Specialised Therapeutics would welcome the opportunity to engage the government in seeking solutions to make this technology accessible to all eligible Australian women.</w:t>
      </w:r>
    </w:p>
    <w:p w14:paraId="36F6807E" w14:textId="77777777" w:rsidR="00BC1364" w:rsidRPr="00F715D1" w:rsidRDefault="00271F18" w:rsidP="00F715D1">
      <w:pPr>
        <w:pStyle w:val="Heading1"/>
      </w:pPr>
      <w:r w:rsidRPr="00F715D1">
        <w:t>Further information on MSAC</w:t>
      </w:r>
    </w:p>
    <w:p w14:paraId="29AC29C8"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E4E6EA" w16cid:durableId="21EBD2C3"/>
  <w16cid:commentId w16cid:paraId="6E30D9BA" w16cid:durableId="21EBD400"/>
  <w16cid:commentId w16cid:paraId="3A30F4BA" w16cid:durableId="21EBD634"/>
  <w16cid:commentId w16cid:paraId="27AD5114" w16cid:durableId="21EC0AB1"/>
  <w16cid:commentId w16cid:paraId="778A25BB" w16cid:durableId="21EBD7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EDE11" w14:textId="77777777" w:rsidR="00B24C63" w:rsidRDefault="00B24C63" w:rsidP="00065623">
      <w:r>
        <w:separator/>
      </w:r>
    </w:p>
  </w:endnote>
  <w:endnote w:type="continuationSeparator" w:id="0">
    <w:p w14:paraId="1198BBBF" w14:textId="77777777" w:rsidR="00B24C63" w:rsidRDefault="00B24C63"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4369" w14:textId="77777777" w:rsidR="00B24C63" w:rsidRDefault="00B2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5B8C4C87" w14:textId="6D36315C" w:rsidR="00B24C63" w:rsidRDefault="00B24C63">
        <w:pPr>
          <w:pStyle w:val="Footer"/>
          <w:jc w:val="right"/>
        </w:pPr>
        <w:r>
          <w:fldChar w:fldCharType="begin"/>
        </w:r>
        <w:r>
          <w:instrText xml:space="preserve"> PAGE   \* MERGEFORMAT </w:instrText>
        </w:r>
        <w:r>
          <w:fldChar w:fldCharType="separate"/>
        </w:r>
        <w:r w:rsidR="00FE7424">
          <w:rPr>
            <w:noProof/>
          </w:rPr>
          <w:t>1</w:t>
        </w:r>
        <w:r>
          <w:rPr>
            <w:noProof/>
          </w:rPr>
          <w:fldChar w:fldCharType="end"/>
        </w:r>
      </w:p>
    </w:sdtContent>
  </w:sdt>
  <w:p w14:paraId="3060D021" w14:textId="77777777" w:rsidR="00B24C63" w:rsidRDefault="00B24C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B66A9" w14:textId="77777777" w:rsidR="00B24C63" w:rsidRDefault="00B2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673C8" w14:textId="77777777" w:rsidR="00B24C63" w:rsidRDefault="00B24C63" w:rsidP="00065623">
      <w:r>
        <w:separator/>
      </w:r>
    </w:p>
  </w:footnote>
  <w:footnote w:type="continuationSeparator" w:id="0">
    <w:p w14:paraId="3122D365" w14:textId="77777777" w:rsidR="00B24C63" w:rsidRDefault="00B24C63" w:rsidP="0006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40345" w14:textId="77777777" w:rsidR="00B24C63" w:rsidRDefault="00B24C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DA70" w14:textId="77777777" w:rsidR="00B24C63" w:rsidRDefault="00B24C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10AC1" w14:textId="77777777" w:rsidR="00B24C63" w:rsidRDefault="00B24C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623"/>
    <w:multiLevelType w:val="hybridMultilevel"/>
    <w:tmpl w:val="C5165B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800C4A"/>
    <w:multiLevelType w:val="hybridMultilevel"/>
    <w:tmpl w:val="32762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FE3873"/>
    <w:multiLevelType w:val="hybridMultilevel"/>
    <w:tmpl w:val="DD78F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DF005F3"/>
    <w:multiLevelType w:val="hybridMultilevel"/>
    <w:tmpl w:val="AF62F5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2C613E"/>
    <w:multiLevelType w:val="hybridMultilevel"/>
    <w:tmpl w:val="3C060B5E"/>
    <w:lvl w:ilvl="0" w:tplc="EFFAEA7A">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62B14D6"/>
    <w:multiLevelType w:val="hybridMultilevel"/>
    <w:tmpl w:val="21369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AF25D9"/>
    <w:multiLevelType w:val="hybridMultilevel"/>
    <w:tmpl w:val="4C084A6E"/>
    <w:lvl w:ilvl="0" w:tplc="0C090001">
      <w:start w:val="1"/>
      <w:numFmt w:val="bullet"/>
      <w:lvlText w:val=""/>
      <w:lvlJc w:val="left"/>
      <w:pPr>
        <w:ind w:left="720" w:hanging="360"/>
      </w:pPr>
      <w:rPr>
        <w:rFonts w:ascii="Symbol" w:hAnsi="Symbol" w:hint="default"/>
      </w:rPr>
    </w:lvl>
    <w:lvl w:ilvl="1" w:tplc="B86EF8BA">
      <w:numFmt w:val="bullet"/>
      <w:lvlText w:val="•"/>
      <w:lvlJc w:val="left"/>
      <w:pPr>
        <w:ind w:left="1650" w:hanging="570"/>
      </w:pPr>
      <w:rPr>
        <w:rFonts w:ascii="Calibri" w:eastAsia="Times New Roman" w:hAnsi="Calibri" w:cs="Tahom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F108AB"/>
    <w:multiLevelType w:val="hybridMultilevel"/>
    <w:tmpl w:val="7026E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3"/>
  </w:num>
  <w:num w:numId="5">
    <w:abstractNumId w:val="9"/>
  </w:num>
  <w:num w:numId="6">
    <w:abstractNumId w:val="2"/>
  </w:num>
  <w:num w:numId="7">
    <w:abstractNumId w:val="0"/>
  </w:num>
  <w:num w:numId="8">
    <w:abstractNumId w:val="7"/>
  </w:num>
  <w:num w:numId="9">
    <w:abstractNumId w:val="6"/>
  </w:num>
  <w:num w:numId="10">
    <w:abstractNumId w:val="4"/>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3002"/>
    <w:rsid w:val="00007312"/>
    <w:rsid w:val="00011519"/>
    <w:rsid w:val="00011A36"/>
    <w:rsid w:val="00015DE4"/>
    <w:rsid w:val="00017212"/>
    <w:rsid w:val="00047606"/>
    <w:rsid w:val="00050D9E"/>
    <w:rsid w:val="00060B2E"/>
    <w:rsid w:val="0006188F"/>
    <w:rsid w:val="000645A3"/>
    <w:rsid w:val="00065623"/>
    <w:rsid w:val="000756B9"/>
    <w:rsid w:val="00082ECB"/>
    <w:rsid w:val="00096B67"/>
    <w:rsid w:val="00096DAF"/>
    <w:rsid w:val="000B135E"/>
    <w:rsid w:val="000C2E8B"/>
    <w:rsid w:val="000C2F47"/>
    <w:rsid w:val="000C6BCF"/>
    <w:rsid w:val="000D2B9A"/>
    <w:rsid w:val="000D4377"/>
    <w:rsid w:val="000D6C00"/>
    <w:rsid w:val="000D71F5"/>
    <w:rsid w:val="000E4E04"/>
    <w:rsid w:val="000F14B4"/>
    <w:rsid w:val="000F66FC"/>
    <w:rsid w:val="000F69CB"/>
    <w:rsid w:val="000F75DF"/>
    <w:rsid w:val="0010075C"/>
    <w:rsid w:val="001023DC"/>
    <w:rsid w:val="00116F26"/>
    <w:rsid w:val="0012326F"/>
    <w:rsid w:val="00126F5A"/>
    <w:rsid w:val="001328FA"/>
    <w:rsid w:val="00142B30"/>
    <w:rsid w:val="001468A7"/>
    <w:rsid w:val="00147AAF"/>
    <w:rsid w:val="00153B49"/>
    <w:rsid w:val="001552C0"/>
    <w:rsid w:val="0016235D"/>
    <w:rsid w:val="001640B1"/>
    <w:rsid w:val="0016645E"/>
    <w:rsid w:val="0017313C"/>
    <w:rsid w:val="0018435E"/>
    <w:rsid w:val="00190777"/>
    <w:rsid w:val="001913F7"/>
    <w:rsid w:val="001A1064"/>
    <w:rsid w:val="001A51B5"/>
    <w:rsid w:val="00200F0E"/>
    <w:rsid w:val="002041A1"/>
    <w:rsid w:val="002054F0"/>
    <w:rsid w:val="002059AA"/>
    <w:rsid w:val="002176CB"/>
    <w:rsid w:val="00220E6D"/>
    <w:rsid w:val="00230D6B"/>
    <w:rsid w:val="00232068"/>
    <w:rsid w:val="002330F2"/>
    <w:rsid w:val="00234CE5"/>
    <w:rsid w:val="00243B41"/>
    <w:rsid w:val="00243D9E"/>
    <w:rsid w:val="00253B66"/>
    <w:rsid w:val="00261DF1"/>
    <w:rsid w:val="00271F18"/>
    <w:rsid w:val="00282779"/>
    <w:rsid w:val="0028334D"/>
    <w:rsid w:val="002A055B"/>
    <w:rsid w:val="002B24D3"/>
    <w:rsid w:val="002B7FFA"/>
    <w:rsid w:val="002C2BCF"/>
    <w:rsid w:val="002F279D"/>
    <w:rsid w:val="002F43B8"/>
    <w:rsid w:val="003002F5"/>
    <w:rsid w:val="0030488C"/>
    <w:rsid w:val="0031026D"/>
    <w:rsid w:val="0031031E"/>
    <w:rsid w:val="003125AF"/>
    <w:rsid w:val="003127D1"/>
    <w:rsid w:val="00336856"/>
    <w:rsid w:val="0034554D"/>
    <w:rsid w:val="00346295"/>
    <w:rsid w:val="00352224"/>
    <w:rsid w:val="00356299"/>
    <w:rsid w:val="003671E6"/>
    <w:rsid w:val="00375B02"/>
    <w:rsid w:val="0037786D"/>
    <w:rsid w:val="00381018"/>
    <w:rsid w:val="00384272"/>
    <w:rsid w:val="00386D67"/>
    <w:rsid w:val="003945B8"/>
    <w:rsid w:val="003A0C52"/>
    <w:rsid w:val="003A221F"/>
    <w:rsid w:val="003B0AD1"/>
    <w:rsid w:val="003D7F29"/>
    <w:rsid w:val="003E2135"/>
    <w:rsid w:val="003E409E"/>
    <w:rsid w:val="003E475A"/>
    <w:rsid w:val="0040562B"/>
    <w:rsid w:val="00405A6B"/>
    <w:rsid w:val="00407B1F"/>
    <w:rsid w:val="0041184F"/>
    <w:rsid w:val="00414C57"/>
    <w:rsid w:val="0041758C"/>
    <w:rsid w:val="004216BB"/>
    <w:rsid w:val="00435872"/>
    <w:rsid w:val="004419A7"/>
    <w:rsid w:val="00450F67"/>
    <w:rsid w:val="004539DE"/>
    <w:rsid w:val="00460458"/>
    <w:rsid w:val="0046080F"/>
    <w:rsid w:val="00462078"/>
    <w:rsid w:val="004964BD"/>
    <w:rsid w:val="004A2CF1"/>
    <w:rsid w:val="004B16BB"/>
    <w:rsid w:val="004C3035"/>
    <w:rsid w:val="004C307F"/>
    <w:rsid w:val="004C7103"/>
    <w:rsid w:val="004D6243"/>
    <w:rsid w:val="004E4BA8"/>
    <w:rsid w:val="004E607A"/>
    <w:rsid w:val="004F2A4A"/>
    <w:rsid w:val="004F340F"/>
    <w:rsid w:val="004F7B7C"/>
    <w:rsid w:val="00505C5E"/>
    <w:rsid w:val="00507A22"/>
    <w:rsid w:val="0052243D"/>
    <w:rsid w:val="00527FA9"/>
    <w:rsid w:val="00532435"/>
    <w:rsid w:val="0053271A"/>
    <w:rsid w:val="00550354"/>
    <w:rsid w:val="00561230"/>
    <w:rsid w:val="00561DA6"/>
    <w:rsid w:val="00567001"/>
    <w:rsid w:val="00571236"/>
    <w:rsid w:val="005953A1"/>
    <w:rsid w:val="005A4362"/>
    <w:rsid w:val="005B0744"/>
    <w:rsid w:val="005B2ACA"/>
    <w:rsid w:val="005B5434"/>
    <w:rsid w:val="005D0332"/>
    <w:rsid w:val="005D0D8C"/>
    <w:rsid w:val="005E14FE"/>
    <w:rsid w:val="005F0212"/>
    <w:rsid w:val="005F035E"/>
    <w:rsid w:val="005F1DD7"/>
    <w:rsid w:val="005F4288"/>
    <w:rsid w:val="00625886"/>
    <w:rsid w:val="00642CA9"/>
    <w:rsid w:val="006611EB"/>
    <w:rsid w:val="00676DDB"/>
    <w:rsid w:val="006776AE"/>
    <w:rsid w:val="006A0D97"/>
    <w:rsid w:val="006B1564"/>
    <w:rsid w:val="006B1F86"/>
    <w:rsid w:val="006C0A91"/>
    <w:rsid w:val="006C62D1"/>
    <w:rsid w:val="006E29B5"/>
    <w:rsid w:val="006E3EBC"/>
    <w:rsid w:val="006F20A4"/>
    <w:rsid w:val="007054BB"/>
    <w:rsid w:val="0070683C"/>
    <w:rsid w:val="00707064"/>
    <w:rsid w:val="007112F8"/>
    <w:rsid w:val="00721B29"/>
    <w:rsid w:val="007237B9"/>
    <w:rsid w:val="00730683"/>
    <w:rsid w:val="00740A88"/>
    <w:rsid w:val="0075261F"/>
    <w:rsid w:val="0075468E"/>
    <w:rsid w:val="007665D8"/>
    <w:rsid w:val="00766E36"/>
    <w:rsid w:val="007765F4"/>
    <w:rsid w:val="00776633"/>
    <w:rsid w:val="00784D53"/>
    <w:rsid w:val="007921B0"/>
    <w:rsid w:val="00797797"/>
    <w:rsid w:val="007A0F5B"/>
    <w:rsid w:val="007A63C9"/>
    <w:rsid w:val="007B1438"/>
    <w:rsid w:val="007B32D1"/>
    <w:rsid w:val="007B43A7"/>
    <w:rsid w:val="007B489F"/>
    <w:rsid w:val="007B5A68"/>
    <w:rsid w:val="007B7095"/>
    <w:rsid w:val="007C5A63"/>
    <w:rsid w:val="007C6997"/>
    <w:rsid w:val="007D24E1"/>
    <w:rsid w:val="007D5687"/>
    <w:rsid w:val="007D6288"/>
    <w:rsid w:val="007E0521"/>
    <w:rsid w:val="007E11B1"/>
    <w:rsid w:val="007E2097"/>
    <w:rsid w:val="007E3772"/>
    <w:rsid w:val="007F4CE9"/>
    <w:rsid w:val="007F4E20"/>
    <w:rsid w:val="0080434D"/>
    <w:rsid w:val="00807954"/>
    <w:rsid w:val="0082199E"/>
    <w:rsid w:val="00822C7E"/>
    <w:rsid w:val="00825237"/>
    <w:rsid w:val="00844295"/>
    <w:rsid w:val="008454E7"/>
    <w:rsid w:val="00847060"/>
    <w:rsid w:val="00847A36"/>
    <w:rsid w:val="00856A33"/>
    <w:rsid w:val="00860B4A"/>
    <w:rsid w:val="00892620"/>
    <w:rsid w:val="008A3EFA"/>
    <w:rsid w:val="008B6025"/>
    <w:rsid w:val="008C7D37"/>
    <w:rsid w:val="008D3413"/>
    <w:rsid w:val="008D51F2"/>
    <w:rsid w:val="008D5885"/>
    <w:rsid w:val="008E4ABE"/>
    <w:rsid w:val="008E5FA6"/>
    <w:rsid w:val="008E7FE9"/>
    <w:rsid w:val="008F0209"/>
    <w:rsid w:val="008F5946"/>
    <w:rsid w:val="00906F65"/>
    <w:rsid w:val="00912E8C"/>
    <w:rsid w:val="00922FA7"/>
    <w:rsid w:val="00923FA2"/>
    <w:rsid w:val="0093329A"/>
    <w:rsid w:val="00951E11"/>
    <w:rsid w:val="0096060D"/>
    <w:rsid w:val="00962CCA"/>
    <w:rsid w:val="00974A50"/>
    <w:rsid w:val="0097532C"/>
    <w:rsid w:val="009753EF"/>
    <w:rsid w:val="0097585A"/>
    <w:rsid w:val="009842C4"/>
    <w:rsid w:val="00991D2C"/>
    <w:rsid w:val="009924B0"/>
    <w:rsid w:val="009942C9"/>
    <w:rsid w:val="009B35C4"/>
    <w:rsid w:val="009C2EC9"/>
    <w:rsid w:val="009C630A"/>
    <w:rsid w:val="009C7285"/>
    <w:rsid w:val="009D4CBB"/>
    <w:rsid w:val="009D5A41"/>
    <w:rsid w:val="009E0D98"/>
    <w:rsid w:val="009F6C40"/>
    <w:rsid w:val="00A068A1"/>
    <w:rsid w:val="00A1207D"/>
    <w:rsid w:val="00A12FD8"/>
    <w:rsid w:val="00A17E5B"/>
    <w:rsid w:val="00A2530B"/>
    <w:rsid w:val="00A346FC"/>
    <w:rsid w:val="00A42656"/>
    <w:rsid w:val="00A43BF3"/>
    <w:rsid w:val="00A45F4C"/>
    <w:rsid w:val="00A50B28"/>
    <w:rsid w:val="00A52968"/>
    <w:rsid w:val="00A52F8F"/>
    <w:rsid w:val="00A63CA9"/>
    <w:rsid w:val="00A66677"/>
    <w:rsid w:val="00A72BB9"/>
    <w:rsid w:val="00A829F5"/>
    <w:rsid w:val="00A846F2"/>
    <w:rsid w:val="00A84F93"/>
    <w:rsid w:val="00A87824"/>
    <w:rsid w:val="00A966DF"/>
    <w:rsid w:val="00AA3056"/>
    <w:rsid w:val="00AB13DA"/>
    <w:rsid w:val="00AB185D"/>
    <w:rsid w:val="00AB1AC5"/>
    <w:rsid w:val="00AB3BFC"/>
    <w:rsid w:val="00AB665C"/>
    <w:rsid w:val="00AC4F2E"/>
    <w:rsid w:val="00AC5C1A"/>
    <w:rsid w:val="00AD0C37"/>
    <w:rsid w:val="00AD385F"/>
    <w:rsid w:val="00AD6E9B"/>
    <w:rsid w:val="00AE312E"/>
    <w:rsid w:val="00AE6E2A"/>
    <w:rsid w:val="00AF100B"/>
    <w:rsid w:val="00B028CB"/>
    <w:rsid w:val="00B03EAB"/>
    <w:rsid w:val="00B148F5"/>
    <w:rsid w:val="00B20A59"/>
    <w:rsid w:val="00B20D4D"/>
    <w:rsid w:val="00B24C63"/>
    <w:rsid w:val="00B31E9C"/>
    <w:rsid w:val="00B321B5"/>
    <w:rsid w:val="00B35595"/>
    <w:rsid w:val="00B40673"/>
    <w:rsid w:val="00B40C63"/>
    <w:rsid w:val="00B4609A"/>
    <w:rsid w:val="00B5156B"/>
    <w:rsid w:val="00B51C6D"/>
    <w:rsid w:val="00B5533C"/>
    <w:rsid w:val="00B555EC"/>
    <w:rsid w:val="00B659E8"/>
    <w:rsid w:val="00B72A62"/>
    <w:rsid w:val="00B778C3"/>
    <w:rsid w:val="00B77ACE"/>
    <w:rsid w:val="00B8203E"/>
    <w:rsid w:val="00B83DD2"/>
    <w:rsid w:val="00B86D64"/>
    <w:rsid w:val="00B935BD"/>
    <w:rsid w:val="00B95AE3"/>
    <w:rsid w:val="00BA4AC5"/>
    <w:rsid w:val="00BC09F2"/>
    <w:rsid w:val="00BC1364"/>
    <w:rsid w:val="00BC1FC9"/>
    <w:rsid w:val="00BC2667"/>
    <w:rsid w:val="00BC2FBB"/>
    <w:rsid w:val="00BC7DE9"/>
    <w:rsid w:val="00BD5ACD"/>
    <w:rsid w:val="00BD698A"/>
    <w:rsid w:val="00BE2E9E"/>
    <w:rsid w:val="00BE569D"/>
    <w:rsid w:val="00BF479B"/>
    <w:rsid w:val="00BF4EEF"/>
    <w:rsid w:val="00C02577"/>
    <w:rsid w:val="00C03C60"/>
    <w:rsid w:val="00C05953"/>
    <w:rsid w:val="00C204FB"/>
    <w:rsid w:val="00C20BEE"/>
    <w:rsid w:val="00C2158D"/>
    <w:rsid w:val="00C320E7"/>
    <w:rsid w:val="00C4783F"/>
    <w:rsid w:val="00C54D51"/>
    <w:rsid w:val="00C55DED"/>
    <w:rsid w:val="00C60D2B"/>
    <w:rsid w:val="00C61CB7"/>
    <w:rsid w:val="00C67DD2"/>
    <w:rsid w:val="00C725CB"/>
    <w:rsid w:val="00C76F5C"/>
    <w:rsid w:val="00C943A8"/>
    <w:rsid w:val="00C96BAD"/>
    <w:rsid w:val="00CA2551"/>
    <w:rsid w:val="00CA3907"/>
    <w:rsid w:val="00CA6944"/>
    <w:rsid w:val="00CB051E"/>
    <w:rsid w:val="00CB0F8E"/>
    <w:rsid w:val="00CB3E7F"/>
    <w:rsid w:val="00CB41D4"/>
    <w:rsid w:val="00CB7E7D"/>
    <w:rsid w:val="00CC0375"/>
    <w:rsid w:val="00CC2911"/>
    <w:rsid w:val="00CD2966"/>
    <w:rsid w:val="00CE0902"/>
    <w:rsid w:val="00CE324C"/>
    <w:rsid w:val="00CE6AF0"/>
    <w:rsid w:val="00CF0C6D"/>
    <w:rsid w:val="00CF7307"/>
    <w:rsid w:val="00CF7C68"/>
    <w:rsid w:val="00D120CC"/>
    <w:rsid w:val="00D124FA"/>
    <w:rsid w:val="00D278A4"/>
    <w:rsid w:val="00D27BE2"/>
    <w:rsid w:val="00D340DE"/>
    <w:rsid w:val="00D344CD"/>
    <w:rsid w:val="00D40F84"/>
    <w:rsid w:val="00D507CA"/>
    <w:rsid w:val="00D55723"/>
    <w:rsid w:val="00D62F22"/>
    <w:rsid w:val="00D62FAD"/>
    <w:rsid w:val="00D63113"/>
    <w:rsid w:val="00D64355"/>
    <w:rsid w:val="00D70450"/>
    <w:rsid w:val="00D83BFD"/>
    <w:rsid w:val="00D86BFE"/>
    <w:rsid w:val="00D90A38"/>
    <w:rsid w:val="00D9752E"/>
    <w:rsid w:val="00DA0515"/>
    <w:rsid w:val="00DA171E"/>
    <w:rsid w:val="00DA17F9"/>
    <w:rsid w:val="00DA56AA"/>
    <w:rsid w:val="00DB4D82"/>
    <w:rsid w:val="00DB5833"/>
    <w:rsid w:val="00DD2858"/>
    <w:rsid w:val="00DD39CE"/>
    <w:rsid w:val="00DD7DE8"/>
    <w:rsid w:val="00DE0EEE"/>
    <w:rsid w:val="00DE70A5"/>
    <w:rsid w:val="00E00590"/>
    <w:rsid w:val="00E03E33"/>
    <w:rsid w:val="00E059E0"/>
    <w:rsid w:val="00E2362C"/>
    <w:rsid w:val="00E3228A"/>
    <w:rsid w:val="00E3642A"/>
    <w:rsid w:val="00E415C4"/>
    <w:rsid w:val="00E46670"/>
    <w:rsid w:val="00E50016"/>
    <w:rsid w:val="00E50EAA"/>
    <w:rsid w:val="00E5278D"/>
    <w:rsid w:val="00E656D6"/>
    <w:rsid w:val="00E73958"/>
    <w:rsid w:val="00E86982"/>
    <w:rsid w:val="00E87685"/>
    <w:rsid w:val="00E92C4C"/>
    <w:rsid w:val="00E977EE"/>
    <w:rsid w:val="00EA2F24"/>
    <w:rsid w:val="00EA67A2"/>
    <w:rsid w:val="00EB15A5"/>
    <w:rsid w:val="00EB630F"/>
    <w:rsid w:val="00EB6B6F"/>
    <w:rsid w:val="00EC4F98"/>
    <w:rsid w:val="00ED6586"/>
    <w:rsid w:val="00EE493C"/>
    <w:rsid w:val="00F02A3A"/>
    <w:rsid w:val="00F12F02"/>
    <w:rsid w:val="00F30687"/>
    <w:rsid w:val="00F32E0D"/>
    <w:rsid w:val="00F3423D"/>
    <w:rsid w:val="00F34F9E"/>
    <w:rsid w:val="00F35134"/>
    <w:rsid w:val="00F37624"/>
    <w:rsid w:val="00F37B9C"/>
    <w:rsid w:val="00F411A4"/>
    <w:rsid w:val="00F41812"/>
    <w:rsid w:val="00F45C5B"/>
    <w:rsid w:val="00F715D1"/>
    <w:rsid w:val="00F72715"/>
    <w:rsid w:val="00F73333"/>
    <w:rsid w:val="00F95D8F"/>
    <w:rsid w:val="00FA1235"/>
    <w:rsid w:val="00FB350A"/>
    <w:rsid w:val="00FB35B7"/>
    <w:rsid w:val="00FB36DA"/>
    <w:rsid w:val="00FB4C5D"/>
    <w:rsid w:val="00FC1671"/>
    <w:rsid w:val="00FE0A41"/>
    <w:rsid w:val="00FE1C3F"/>
    <w:rsid w:val="00FE731D"/>
    <w:rsid w:val="00FE74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FAE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1"/>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16645E"/>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unhideWhenUsed/>
    <w:qFormat/>
    <w:locked/>
    <w:rsid w:val="00BE569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aliases w:val="Styl moj,Akapit z listą1,Akapit z listą11,BulletPoints"/>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16645E"/>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aliases w:val="Summary box"/>
    <w:basedOn w:val="TableNormal"/>
    <w:uiPriority w:val="59"/>
    <w:locked/>
    <w:rsid w:val="0016645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link w:val="TableHeadingChar"/>
    <w:qFormat/>
    <w:rsid w:val="0016645E"/>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16645E"/>
    <w:rPr>
      <w:rFonts w:ascii="Arial Narrow" w:eastAsia="Times New Roman" w:hAnsi="Arial Narrow" w:cs="Tahoma"/>
      <w:b/>
      <w:noProof/>
      <w:sz w:val="20"/>
      <w:szCs w:val="20"/>
    </w:rPr>
  </w:style>
  <w:style w:type="paragraph" w:customStyle="1" w:styleId="Bullet">
    <w:name w:val="Bullet"/>
    <w:basedOn w:val="ListParagraph"/>
    <w:qFormat/>
    <w:rsid w:val="0016645E"/>
    <w:pPr>
      <w:numPr>
        <w:numId w:val="2"/>
      </w:numPr>
      <w:spacing w:line="312" w:lineRule="auto"/>
      <w:contextualSpacing w:val="0"/>
    </w:pPr>
    <w:rPr>
      <w:rFonts w:ascii="Calibri" w:hAnsi="Calibri" w:cs="Tahoma"/>
      <w:sz w:val="22"/>
      <w:szCs w:val="22"/>
    </w:rPr>
  </w:style>
  <w:style w:type="paragraph" w:customStyle="1" w:styleId="TableText">
    <w:name w:val="TableText"/>
    <w:basedOn w:val="Normal"/>
    <w:rsid w:val="0016645E"/>
    <w:pPr>
      <w:keepNext/>
      <w:spacing w:before="60" w:after="60"/>
    </w:pPr>
    <w:rPr>
      <w:color w:val="000000"/>
      <w:sz w:val="21"/>
      <w:szCs w:val="21"/>
    </w:rPr>
  </w:style>
  <w:style w:type="paragraph" w:customStyle="1" w:styleId="BulletBeforeDash">
    <w:name w:val="BulletBeforeDash"/>
    <w:basedOn w:val="Normal"/>
    <w:rsid w:val="0016645E"/>
    <w:pPr>
      <w:numPr>
        <w:numId w:val="3"/>
      </w:numPr>
    </w:pPr>
    <w:rPr>
      <w:color w:val="000000"/>
    </w:rPr>
  </w:style>
  <w:style w:type="paragraph" w:customStyle="1" w:styleId="BulletLast">
    <w:name w:val="BulletLast"/>
    <w:basedOn w:val="Bullet"/>
    <w:qFormat/>
    <w:rsid w:val="0016645E"/>
    <w:pPr>
      <w:numPr>
        <w:numId w:val="0"/>
      </w:numPr>
      <w:tabs>
        <w:tab w:val="num" w:pos="1080"/>
      </w:tabs>
      <w:spacing w:after="240" w:line="240" w:lineRule="auto"/>
      <w:ind w:left="1080" w:hanging="360"/>
    </w:pPr>
    <w:rPr>
      <w:rFonts w:ascii="Times New Roman" w:hAnsi="Times New Roman" w:cs="Times New Roman"/>
      <w:color w:val="000000"/>
      <w:sz w:val="24"/>
      <w:szCs w:val="20"/>
    </w:rPr>
  </w:style>
  <w:style w:type="paragraph" w:customStyle="1" w:styleId="NormalBeforeBullet">
    <w:name w:val="NormalBeforeBullet"/>
    <w:basedOn w:val="Normal"/>
    <w:qFormat/>
    <w:rsid w:val="0016645E"/>
    <w:pPr>
      <w:keepNext/>
      <w:spacing w:after="120"/>
    </w:pPr>
    <w:rPr>
      <w:color w:val="000000"/>
    </w:rPr>
  </w:style>
  <w:style w:type="paragraph" w:customStyle="1" w:styleId="NumberList">
    <w:name w:val="NumberList"/>
    <w:basedOn w:val="Normal"/>
    <w:rsid w:val="0016645E"/>
    <w:pPr>
      <w:tabs>
        <w:tab w:val="left" w:pos="360"/>
      </w:tabs>
      <w:spacing w:after="200"/>
      <w:ind w:left="360" w:hanging="360"/>
    </w:pPr>
    <w:rPr>
      <w:color w:val="000000"/>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35"/>
    <w:unhideWhenUsed/>
    <w:qFormat/>
    <w:locked/>
    <w:rsid w:val="0082199E"/>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82199E"/>
    <w:rPr>
      <w:rFonts w:ascii="Arial Narrow" w:eastAsia="Times New Roman" w:hAnsi="Arial Narrow" w:cs="Arial"/>
      <w:b/>
      <w:bCs/>
      <w:iCs/>
      <w:sz w:val="20"/>
      <w:szCs w:val="20"/>
      <w:lang w:eastAsia="en-US"/>
    </w:rPr>
  </w:style>
  <w:style w:type="paragraph" w:customStyle="1" w:styleId="TableText0">
    <w:name w:val="Table Text"/>
    <w:basedOn w:val="Normal"/>
    <w:link w:val="TableTextChar"/>
    <w:qFormat/>
    <w:rsid w:val="0082199E"/>
    <w:pPr>
      <w:keepNext/>
      <w:spacing w:before="40" w:after="40"/>
      <w:jc w:val="both"/>
    </w:pPr>
    <w:rPr>
      <w:rFonts w:ascii="Arial Narrow" w:hAnsi="Arial Narrow" w:cs="Tahoma"/>
      <w:sz w:val="20"/>
      <w:szCs w:val="22"/>
      <w:lang w:eastAsia="en-US"/>
    </w:rPr>
  </w:style>
  <w:style w:type="character" w:customStyle="1" w:styleId="TableTextChar">
    <w:name w:val="Table Text Char"/>
    <w:link w:val="TableText0"/>
    <w:rsid w:val="0082199E"/>
    <w:rPr>
      <w:rFonts w:ascii="Arial Narrow" w:eastAsia="Times New Roman" w:hAnsi="Arial Narrow" w:cs="Tahoma"/>
      <w:sz w:val="20"/>
      <w:lang w:eastAsia="en-US"/>
    </w:rPr>
  </w:style>
  <w:style w:type="character" w:customStyle="1" w:styleId="ListParagraphChar">
    <w:name w:val="List Paragraph Char"/>
    <w:aliases w:val="Styl moj Char,Akapit z listą1 Char,Akapit z listą11 Char,BulletPoints Char"/>
    <w:link w:val="ListParagraph"/>
    <w:uiPriority w:val="34"/>
    <w:rsid w:val="0053271A"/>
    <w:rPr>
      <w:rFonts w:eastAsia="Times New Roman"/>
      <w:sz w:val="24"/>
      <w:szCs w:val="20"/>
    </w:rPr>
  </w:style>
  <w:style w:type="table" w:customStyle="1" w:styleId="TableGrid1">
    <w:name w:val="Table Grid1"/>
    <w:basedOn w:val="TableNormal"/>
    <w:next w:val="TableGrid"/>
    <w:rsid w:val="0053271A"/>
    <w:pPr>
      <w:spacing w:before="40" w:after="40"/>
    </w:pPr>
    <w:rPr>
      <w:rFonts w:ascii="Arial Narrow" w:eastAsia="Times New Roman"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ahoma" w:hAnsi="Tahoma"/>
        <w:b w:val="0"/>
        <w:sz w:val="20"/>
      </w:rPr>
    </w:tblStylePr>
  </w:style>
  <w:style w:type="paragraph" w:customStyle="1" w:styleId="Tabletext1">
    <w:name w:val="Table text"/>
    <w:basedOn w:val="Normal"/>
    <w:link w:val="TabletextChar0"/>
    <w:qFormat/>
    <w:rsid w:val="007C6997"/>
    <w:pPr>
      <w:spacing w:before="40" w:after="40"/>
    </w:pPr>
    <w:rPr>
      <w:rFonts w:ascii="Arial Narrow" w:hAnsi="Arial Narrow"/>
      <w:sz w:val="20"/>
      <w:szCs w:val="24"/>
      <w:lang w:eastAsia="en-US"/>
    </w:rPr>
  </w:style>
  <w:style w:type="character" w:customStyle="1" w:styleId="TabletextChar0">
    <w:name w:val="Table text Char"/>
    <w:basedOn w:val="DefaultParagraphFont"/>
    <w:link w:val="Tabletext1"/>
    <w:rsid w:val="007C6997"/>
    <w:rPr>
      <w:rFonts w:ascii="Arial Narrow" w:eastAsia="Times New Roman" w:hAnsi="Arial Narrow"/>
      <w:sz w:val="20"/>
      <w:szCs w:val="24"/>
      <w:lang w:eastAsia="en-US"/>
    </w:rPr>
  </w:style>
  <w:style w:type="paragraph" w:customStyle="1" w:styleId="Tablefooter">
    <w:name w:val="Table footer"/>
    <w:basedOn w:val="Normal"/>
    <w:link w:val="TablefooterChar"/>
    <w:qFormat/>
    <w:rsid w:val="007C6997"/>
    <w:pPr>
      <w:keepNext/>
      <w:keepLines/>
      <w:spacing w:after="360"/>
      <w:contextualSpacing/>
    </w:pPr>
    <w:rPr>
      <w:rFonts w:ascii="Arial" w:eastAsia="Calibri" w:hAnsi="Arial"/>
      <w:sz w:val="16"/>
      <w:szCs w:val="18"/>
      <w:lang w:val="en-GB" w:eastAsia="en-US"/>
    </w:rPr>
  </w:style>
  <w:style w:type="character" w:customStyle="1" w:styleId="TablefooterChar">
    <w:name w:val="Table footer Char"/>
    <w:link w:val="Tablefooter"/>
    <w:rsid w:val="007C6997"/>
    <w:rPr>
      <w:rFonts w:ascii="Arial" w:hAnsi="Arial"/>
      <w:sz w:val="16"/>
      <w:szCs w:val="18"/>
      <w:lang w:val="en-GB" w:eastAsia="en-US"/>
    </w:rPr>
  </w:style>
  <w:style w:type="paragraph" w:customStyle="1" w:styleId="NormalIndent">
    <w:name w:val="NormalIndent"/>
    <w:basedOn w:val="Normal"/>
    <w:rsid w:val="00CA3907"/>
    <w:pPr>
      <w:spacing w:after="240"/>
      <w:ind w:left="357"/>
    </w:pPr>
    <w:rPr>
      <w:color w:val="000000"/>
    </w:rPr>
  </w:style>
  <w:style w:type="paragraph" w:styleId="Revision">
    <w:name w:val="Revision"/>
    <w:hidden/>
    <w:uiPriority w:val="99"/>
    <w:semiHidden/>
    <w:rsid w:val="00AD6E9B"/>
    <w:rPr>
      <w:rFonts w:eastAsia="Times New Roman"/>
      <w:sz w:val="24"/>
      <w:szCs w:val="20"/>
    </w:rPr>
  </w:style>
  <w:style w:type="character" w:customStyle="1" w:styleId="Heading3Char">
    <w:name w:val="Heading 3 Char"/>
    <w:basedOn w:val="DefaultParagraphFont"/>
    <w:link w:val="Heading3"/>
    <w:rsid w:val="00BE569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53545">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1603953146">
      <w:bodyDiv w:val="1"/>
      <w:marLeft w:val="0"/>
      <w:marRight w:val="0"/>
      <w:marTop w:val="0"/>
      <w:marBottom w:val="0"/>
      <w:divBdr>
        <w:top w:val="none" w:sz="0" w:space="0" w:color="auto"/>
        <w:left w:val="none" w:sz="0" w:space="0" w:color="auto"/>
        <w:bottom w:val="none" w:sz="0" w:space="0" w:color="auto"/>
        <w:right w:val="none" w:sz="0" w:space="0" w:color="auto"/>
      </w:divBdr>
    </w:div>
    <w:div w:id="18163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10362</Words>
  <Characters>58284</Characters>
  <Application>Microsoft Office Word</Application>
  <DocSecurity>0</DocSecurity>
  <Lines>485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1342.5 Final PSD</dc:title>
  <dc:creator/>
  <cp:lastModifiedBy/>
  <cp:revision>1</cp:revision>
  <dcterms:created xsi:type="dcterms:W3CDTF">2020-02-12T01:10:00Z</dcterms:created>
  <dcterms:modified xsi:type="dcterms:W3CDTF">2020-02-17T04:05:00Z</dcterms:modified>
</cp:coreProperties>
</file>