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63A9" w14:textId="77777777" w:rsidR="00810EDB" w:rsidRPr="00707064" w:rsidRDefault="00810EDB" w:rsidP="00810EDB">
      <w:pPr>
        <w:spacing w:after="240"/>
        <w:jc w:val="center"/>
        <w:rPr>
          <w:b/>
          <w:i/>
          <w:szCs w:val="24"/>
          <w:highlight w:val="yellow"/>
        </w:rPr>
      </w:pPr>
      <w:r>
        <w:rPr>
          <w:rFonts w:ascii="Arial" w:hAnsi="Arial" w:cs="Arial"/>
          <w:b/>
          <w:noProof/>
          <w:color w:val="000080"/>
          <w:sz w:val="28"/>
          <w:szCs w:val="28"/>
        </w:rPr>
        <w:drawing>
          <wp:inline distT="0" distB="0" distL="0" distR="0" wp14:anchorId="3A74823D" wp14:editId="22B5389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075091D" w14:textId="77777777" w:rsidR="00810EDB" w:rsidRPr="00F715D1" w:rsidRDefault="00810EDB" w:rsidP="00810EDB">
      <w:pPr>
        <w:pStyle w:val="Title"/>
        <w:tabs>
          <w:tab w:val="left" w:pos="1926"/>
          <w:tab w:val="center" w:pos="4513"/>
        </w:tabs>
        <w:jc w:val="left"/>
      </w:pPr>
      <w:r>
        <w:tab/>
      </w:r>
      <w:r>
        <w:tab/>
      </w:r>
      <w:r w:rsidRPr="00F715D1">
        <w:t>Public Summary Document</w:t>
      </w:r>
    </w:p>
    <w:p w14:paraId="74EB5248" w14:textId="77777777" w:rsidR="00810EDB" w:rsidRPr="00F715D1" w:rsidRDefault="00810EDB" w:rsidP="00810EDB">
      <w:pPr>
        <w:pStyle w:val="Subtitle"/>
      </w:pPr>
      <w:r w:rsidRPr="00F715D1">
        <w:t xml:space="preserve">Application No. </w:t>
      </w:r>
      <w:r>
        <w:t>1570</w:t>
      </w:r>
      <w:r w:rsidRPr="00F715D1">
        <w:t xml:space="preserve"> – </w:t>
      </w:r>
      <w:r>
        <w:rPr>
          <w:rFonts w:cs="Helvetica"/>
        </w:rPr>
        <w:t>PD-L1 (Programmed Death Ligand 1) immunohistochemistry (IHC) testing for access to atezolizumab as first line therapy for patients with locally advanced or metastatic triple-negative breast cancer (TNBC)</w:t>
      </w:r>
    </w:p>
    <w:p w14:paraId="02C08F91" w14:textId="77777777" w:rsidR="00810EDB" w:rsidRPr="00F715D1" w:rsidRDefault="00810EDB" w:rsidP="00810EDB">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Roche Products Pty Ltd</w:t>
      </w:r>
    </w:p>
    <w:p w14:paraId="30506772" w14:textId="6FA9AD31" w:rsidR="00810EDB" w:rsidRPr="00F715D1" w:rsidRDefault="00810EDB" w:rsidP="00810EDB">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179D5BFB" w14:textId="77777777" w:rsidR="00810EDB" w:rsidRPr="00B03EAB" w:rsidRDefault="00810EDB" w:rsidP="00810EDB">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10" w:tooltip="Link to Medical Services Advisory Committee website" w:history="1">
        <w:r w:rsidRPr="00F715D1">
          <w:rPr>
            <w:rStyle w:val="Hyperlink"/>
            <w:szCs w:val="24"/>
          </w:rPr>
          <w:t>visit the MSAC website</w:t>
        </w:r>
      </w:hyperlink>
    </w:p>
    <w:p w14:paraId="0ADE7551" w14:textId="0B11605C" w:rsidR="00810EDB" w:rsidRPr="00F715D1" w:rsidRDefault="00E84BDF" w:rsidP="00810EDB">
      <w:pPr>
        <w:pStyle w:val="Heading1"/>
      </w:pPr>
      <w:r>
        <w:t>Purpose of application</w:t>
      </w:r>
    </w:p>
    <w:p w14:paraId="134762B2" w14:textId="57E28313" w:rsidR="008015E7" w:rsidRDefault="008015E7" w:rsidP="008015E7">
      <w:pPr>
        <w:pStyle w:val="MSACESParagraph"/>
      </w:pPr>
      <w:r>
        <w:t>An application was received from Roche Products Pty Limited by the Department of Health. The integrated codependent submission requested:</w:t>
      </w:r>
    </w:p>
    <w:p w14:paraId="34A1F7F8" w14:textId="77777777" w:rsidR="008015E7" w:rsidRDefault="008015E7" w:rsidP="008015E7">
      <w:pPr>
        <w:pStyle w:val="MSACESBulletPoint"/>
      </w:pPr>
      <w:r>
        <w:t xml:space="preserve">Medicare Benefits Schedule (MBS) listing of programmed death-ligand 1(PD-L1) immunohistochemical (IHC) testing for the evaluation of PD-L1 expression on tumour-infiltrating immune cells (IC) to determine eligibility for treatment with </w:t>
      </w:r>
      <w:r>
        <w:rPr>
          <w:color w:val="000000" w:themeColor="text1"/>
        </w:rPr>
        <w:t xml:space="preserve">atezolizumab plus a taxane </w:t>
      </w:r>
      <w:r>
        <w:t>in patients with unresectable locally advanced or metastatic triple-negative breast cancer (TNBC); and</w:t>
      </w:r>
    </w:p>
    <w:p w14:paraId="44B2AC80" w14:textId="77777777" w:rsidR="008015E7" w:rsidRDefault="008015E7" w:rsidP="008015E7">
      <w:pPr>
        <w:pStyle w:val="MSACESBulletPoint"/>
      </w:pPr>
      <w:r>
        <w:t>Pharmaceutical Benefits Scheme (PBS) [Authority Required] listing for treatment with atezolizumab plus a taxane for the treatment of patients with unresectable locally advanced or metastatic TNBC who have evidence of PD-L1 expression on IC covering ≥1% of tumour area.</w:t>
      </w:r>
    </w:p>
    <w:p w14:paraId="15908850" w14:textId="77777777" w:rsidR="00810EDB" w:rsidRPr="00F715D1" w:rsidRDefault="00810EDB" w:rsidP="00810EDB">
      <w:pPr>
        <w:pStyle w:val="Heading1"/>
      </w:pPr>
      <w:r w:rsidRPr="00F715D1">
        <w:t>MSAC’s advice to the Minister</w:t>
      </w:r>
    </w:p>
    <w:p w14:paraId="7CA43796" w14:textId="2880C5A3" w:rsidR="00810EDB" w:rsidRDefault="00810EDB" w:rsidP="00810EDB">
      <w:pPr>
        <w:pStyle w:val="Default"/>
        <w:spacing w:after="240"/>
        <w:rPr>
          <w:i/>
          <w:color w:val="auto"/>
        </w:rPr>
      </w:pPr>
      <w:r w:rsidRPr="00E84BDF">
        <w:rPr>
          <w:color w:val="auto"/>
        </w:rPr>
        <w:t xml:space="preserve">After considering the strength of the available evidence in relation to the safety, clinical effectiveness and cost-effectiveness of </w:t>
      </w:r>
      <w:r w:rsidR="00E84BDF" w:rsidRPr="00E84BDF">
        <w:t>pr</w:t>
      </w:r>
      <w:r w:rsidR="00E84BDF">
        <w:t xml:space="preserve">ogrammed death-ligand 1(PD-L1) immunohistochemical (IHC) testing in </w:t>
      </w:r>
      <w:r w:rsidR="009A3B0F">
        <w:t xml:space="preserve">some </w:t>
      </w:r>
      <w:r w:rsidR="00E84BDF">
        <w:t xml:space="preserve">patients with unresectable locally advanced or metastatic triple-negative breast cancer (TNBC), </w:t>
      </w:r>
      <w:r w:rsidR="00E84BDF" w:rsidRPr="00AA42B7">
        <w:t xml:space="preserve">MSAC </w:t>
      </w:r>
      <w:r w:rsidR="00E84BDF">
        <w:t>deferred its advice on the creation of an MBS item for this purpose. Although inclined to support, MSAC will expeditiously reconsider this application at</w:t>
      </w:r>
      <w:r w:rsidR="00E84BDF" w:rsidRPr="00CF5C68">
        <w:t xml:space="preserve"> such time as </w:t>
      </w:r>
      <w:r w:rsidR="0047026F">
        <w:t xml:space="preserve">the </w:t>
      </w:r>
      <w:r w:rsidR="005F5982">
        <w:rPr>
          <w:color w:val="auto"/>
        </w:rPr>
        <w:t>Pharmaceutical Benefits Advisory Committee (</w:t>
      </w:r>
      <w:r w:rsidR="00E84BDF" w:rsidRPr="00CF5C68">
        <w:t>PBAC</w:t>
      </w:r>
      <w:r w:rsidR="005F5982">
        <w:t>)</w:t>
      </w:r>
      <w:r w:rsidR="00E84BDF" w:rsidRPr="00CF5C68">
        <w:t xml:space="preserve"> </w:t>
      </w:r>
      <w:r w:rsidR="00E84BDF">
        <w:t xml:space="preserve">recommends </w:t>
      </w:r>
      <w:r w:rsidR="00E84BDF" w:rsidRPr="00CF5C68">
        <w:t>the co</w:t>
      </w:r>
      <w:r w:rsidR="009A3B0F">
        <w:t>dependent</w:t>
      </w:r>
      <w:r w:rsidR="00E84BDF" w:rsidRPr="00CF5C68">
        <w:t xml:space="preserve"> PBS listing of </w:t>
      </w:r>
      <w:r w:rsidR="00E84BDF">
        <w:t>atezolizumab.</w:t>
      </w:r>
    </w:p>
    <w:tbl>
      <w:tblPr>
        <w:tblStyle w:val="TableGrid"/>
        <w:tblW w:w="0" w:type="auto"/>
        <w:tblLook w:val="04A0" w:firstRow="1" w:lastRow="0" w:firstColumn="1" w:lastColumn="0" w:noHBand="0" w:noVBand="1"/>
        <w:tblCaption w:val="Consumer summary"/>
      </w:tblPr>
      <w:tblGrid>
        <w:gridCol w:w="9242"/>
      </w:tblGrid>
      <w:tr w:rsidR="00810EDB" w14:paraId="0417BA2B" w14:textId="77777777" w:rsidTr="001548F6">
        <w:trPr>
          <w:tblHeader/>
        </w:trPr>
        <w:tc>
          <w:tcPr>
            <w:tcW w:w="9242" w:type="dxa"/>
          </w:tcPr>
          <w:p w14:paraId="42F56CEE" w14:textId="6A302116" w:rsidR="00810EDB" w:rsidRPr="001264F3" w:rsidRDefault="00810EDB" w:rsidP="0012025A">
            <w:pPr>
              <w:pStyle w:val="Default"/>
              <w:spacing w:before="120" w:after="120"/>
              <w:rPr>
                <w:b/>
                <w:color w:val="auto"/>
                <w:sz w:val="24"/>
                <w:szCs w:val="24"/>
              </w:rPr>
            </w:pPr>
            <w:r w:rsidRPr="001264F3">
              <w:rPr>
                <w:b/>
                <w:color w:val="auto"/>
                <w:sz w:val="24"/>
                <w:szCs w:val="24"/>
              </w:rPr>
              <w:lastRenderedPageBreak/>
              <w:t>Consumer summary</w:t>
            </w:r>
          </w:p>
          <w:p w14:paraId="53723005" w14:textId="1860828E" w:rsidR="007B5B05" w:rsidRPr="001264F3" w:rsidRDefault="007B5B05" w:rsidP="00E84BDF">
            <w:pPr>
              <w:pStyle w:val="Default"/>
              <w:spacing w:before="120" w:after="240"/>
              <w:rPr>
                <w:color w:val="auto"/>
                <w:sz w:val="24"/>
                <w:szCs w:val="24"/>
              </w:rPr>
            </w:pPr>
            <w:r w:rsidRPr="001264F3">
              <w:rPr>
                <w:color w:val="auto"/>
                <w:sz w:val="24"/>
                <w:szCs w:val="24"/>
              </w:rPr>
              <w:t>Roche Products Pty Ltd applied for public funding through the Medicare Benefits Schedule (MBS) for a test called programmed death ligand 1 (PD-L1) immunohistochemistry</w:t>
            </w:r>
            <w:r w:rsidR="0047026F">
              <w:rPr>
                <w:color w:val="auto"/>
                <w:sz w:val="24"/>
                <w:szCs w:val="24"/>
              </w:rPr>
              <w:t xml:space="preserve"> (IHC)</w:t>
            </w:r>
            <w:r w:rsidRPr="001264F3">
              <w:rPr>
                <w:color w:val="auto"/>
                <w:sz w:val="24"/>
                <w:szCs w:val="24"/>
              </w:rPr>
              <w:t xml:space="preserve">. This test is used to </w:t>
            </w:r>
            <w:r w:rsidR="00812590">
              <w:rPr>
                <w:color w:val="auto"/>
                <w:sz w:val="24"/>
                <w:szCs w:val="24"/>
              </w:rPr>
              <w:t xml:space="preserve">help </w:t>
            </w:r>
            <w:r w:rsidRPr="001264F3">
              <w:rPr>
                <w:color w:val="auto"/>
                <w:sz w:val="24"/>
                <w:szCs w:val="24"/>
              </w:rPr>
              <w:t xml:space="preserve">a person with triple-negative breast cancer </w:t>
            </w:r>
            <w:r w:rsidR="005F5982" w:rsidRPr="001264F3">
              <w:rPr>
                <w:color w:val="auto"/>
                <w:sz w:val="24"/>
                <w:szCs w:val="24"/>
              </w:rPr>
              <w:t xml:space="preserve">(TNBC) </w:t>
            </w:r>
            <w:r w:rsidR="009A3B0F">
              <w:rPr>
                <w:color w:val="auto"/>
                <w:sz w:val="24"/>
                <w:szCs w:val="24"/>
              </w:rPr>
              <w:t xml:space="preserve">know whether they </w:t>
            </w:r>
            <w:r w:rsidRPr="001264F3">
              <w:rPr>
                <w:color w:val="auto"/>
                <w:sz w:val="24"/>
                <w:szCs w:val="24"/>
              </w:rPr>
              <w:t>can access a medicine called atezolizumab on the Pharmaceutical Benefits Scheme (PBS), in combination with chemotherapy.</w:t>
            </w:r>
          </w:p>
          <w:p w14:paraId="20C3E3D6" w14:textId="696369D5" w:rsidR="007B5B05" w:rsidRPr="001264F3" w:rsidRDefault="005F5982" w:rsidP="00E84BDF">
            <w:pPr>
              <w:pStyle w:val="Default"/>
              <w:spacing w:before="120" w:after="240"/>
              <w:rPr>
                <w:color w:val="auto"/>
                <w:sz w:val="24"/>
                <w:szCs w:val="24"/>
              </w:rPr>
            </w:pPr>
            <w:r w:rsidRPr="001264F3">
              <w:rPr>
                <w:color w:val="auto"/>
                <w:sz w:val="24"/>
                <w:szCs w:val="24"/>
              </w:rPr>
              <w:t>TNBC</w:t>
            </w:r>
            <w:r w:rsidR="007B5B05" w:rsidRPr="001264F3">
              <w:rPr>
                <w:color w:val="auto"/>
                <w:sz w:val="24"/>
                <w:szCs w:val="24"/>
              </w:rPr>
              <w:t xml:space="preserve"> is an aggressive type of cancer that is not easily treated using hormone therapy or other treatments that are commonly used for breast cancer. This application is for people who have </w:t>
            </w:r>
            <w:r w:rsidRPr="001264F3">
              <w:rPr>
                <w:color w:val="auto"/>
                <w:sz w:val="24"/>
                <w:szCs w:val="24"/>
              </w:rPr>
              <w:t>TNBC</w:t>
            </w:r>
            <w:r w:rsidR="007B5B05" w:rsidRPr="001264F3">
              <w:rPr>
                <w:color w:val="auto"/>
                <w:sz w:val="24"/>
                <w:szCs w:val="24"/>
              </w:rPr>
              <w:t xml:space="preserve"> that is advanced or has spread to other parts of the body.</w:t>
            </w:r>
          </w:p>
          <w:p w14:paraId="551365CF" w14:textId="6B9BF620" w:rsidR="007B5B05" w:rsidRPr="001264F3" w:rsidRDefault="007B5B05" w:rsidP="00E84BDF">
            <w:pPr>
              <w:pStyle w:val="Default"/>
              <w:spacing w:before="120" w:after="240"/>
              <w:rPr>
                <w:color w:val="auto"/>
                <w:sz w:val="24"/>
                <w:szCs w:val="24"/>
              </w:rPr>
            </w:pPr>
            <w:r w:rsidRPr="001264F3">
              <w:rPr>
                <w:color w:val="auto"/>
                <w:sz w:val="24"/>
                <w:szCs w:val="24"/>
              </w:rPr>
              <w:t xml:space="preserve">Some </w:t>
            </w:r>
            <w:r w:rsidR="005F5982" w:rsidRPr="001264F3">
              <w:rPr>
                <w:color w:val="auto"/>
                <w:sz w:val="24"/>
                <w:szCs w:val="24"/>
              </w:rPr>
              <w:t>TNBC</w:t>
            </w:r>
            <w:r w:rsidR="00812590">
              <w:rPr>
                <w:color w:val="auto"/>
                <w:sz w:val="24"/>
                <w:szCs w:val="24"/>
              </w:rPr>
              <w:t xml:space="preserve"> cell</w:t>
            </w:r>
            <w:r w:rsidR="005F5982" w:rsidRPr="001264F3">
              <w:rPr>
                <w:color w:val="auto"/>
                <w:sz w:val="24"/>
                <w:szCs w:val="24"/>
              </w:rPr>
              <w:t>s</w:t>
            </w:r>
            <w:r w:rsidRPr="001264F3">
              <w:rPr>
                <w:color w:val="auto"/>
                <w:sz w:val="24"/>
                <w:szCs w:val="24"/>
              </w:rPr>
              <w:t xml:space="preserve"> (as well as </w:t>
            </w:r>
            <w:r w:rsidR="00812590">
              <w:rPr>
                <w:color w:val="auto"/>
                <w:sz w:val="24"/>
                <w:szCs w:val="24"/>
              </w:rPr>
              <w:t xml:space="preserve">cells from </w:t>
            </w:r>
            <w:r w:rsidRPr="001264F3">
              <w:rPr>
                <w:color w:val="auto"/>
                <w:sz w:val="24"/>
                <w:szCs w:val="24"/>
              </w:rPr>
              <w:t xml:space="preserve">other types of cancer), and the immune cells inside the cancer, </w:t>
            </w:r>
            <w:r w:rsidR="001605A3">
              <w:rPr>
                <w:color w:val="auto"/>
                <w:sz w:val="24"/>
                <w:szCs w:val="24"/>
              </w:rPr>
              <w:t>produce</w:t>
            </w:r>
            <w:r w:rsidRPr="001264F3">
              <w:rPr>
                <w:color w:val="auto"/>
                <w:sz w:val="24"/>
                <w:szCs w:val="24"/>
              </w:rPr>
              <w:t xml:space="preserve"> a protein called </w:t>
            </w:r>
            <w:r w:rsidR="005F5982" w:rsidRPr="001264F3">
              <w:rPr>
                <w:sz w:val="24"/>
                <w:szCs w:val="24"/>
              </w:rPr>
              <w:t>programmed death-ligand 1 (</w:t>
            </w:r>
            <w:r w:rsidRPr="001264F3">
              <w:rPr>
                <w:color w:val="auto"/>
                <w:sz w:val="24"/>
                <w:szCs w:val="24"/>
              </w:rPr>
              <w:t>PD-L1</w:t>
            </w:r>
            <w:r w:rsidR="005F5982" w:rsidRPr="001264F3">
              <w:rPr>
                <w:color w:val="auto"/>
                <w:sz w:val="24"/>
                <w:szCs w:val="24"/>
              </w:rPr>
              <w:t>)</w:t>
            </w:r>
            <w:r w:rsidRPr="001264F3">
              <w:rPr>
                <w:color w:val="auto"/>
                <w:sz w:val="24"/>
                <w:szCs w:val="24"/>
              </w:rPr>
              <w:t xml:space="preserve">. In healthy people, PD-L1 stops a person’s immune system from attacking their normal cells. But if someone has cancer that </w:t>
            </w:r>
            <w:r w:rsidR="00812590">
              <w:rPr>
                <w:color w:val="auto"/>
                <w:sz w:val="24"/>
                <w:szCs w:val="24"/>
              </w:rPr>
              <w:t>expresses</w:t>
            </w:r>
            <w:r w:rsidRPr="001264F3">
              <w:rPr>
                <w:color w:val="auto"/>
                <w:sz w:val="24"/>
                <w:szCs w:val="24"/>
              </w:rPr>
              <w:t xml:space="preserve"> PD-L1, it stops the immune cells from attacking the cancer. Some medicines (called PD-L1 inhibitors or checkpoint inhibitors) can </w:t>
            </w:r>
            <w:r w:rsidR="00812590">
              <w:rPr>
                <w:color w:val="auto"/>
                <w:sz w:val="24"/>
                <w:szCs w:val="24"/>
              </w:rPr>
              <w:t>reduce this effect</w:t>
            </w:r>
            <w:r w:rsidRPr="001264F3">
              <w:rPr>
                <w:color w:val="auto"/>
                <w:sz w:val="24"/>
                <w:szCs w:val="24"/>
              </w:rPr>
              <w:t xml:space="preserve">, which allows the person’s immune system to recognise the cancer and attack it. If the person’s PD-L1 </w:t>
            </w:r>
            <w:r w:rsidR="0047026F">
              <w:rPr>
                <w:color w:val="auto"/>
                <w:sz w:val="24"/>
                <w:szCs w:val="24"/>
              </w:rPr>
              <w:t>IHC</w:t>
            </w:r>
            <w:r w:rsidRPr="001264F3">
              <w:rPr>
                <w:color w:val="auto"/>
                <w:sz w:val="24"/>
                <w:szCs w:val="24"/>
              </w:rPr>
              <w:t xml:space="preserve"> test shows that the immune cells inside the cancer are PD-L1 positive, this may mean that a PD-L1 inhibitor medicine such as atezolizumab will help them respond better to treatment. When combined with chemotherapy, </w:t>
            </w:r>
            <w:r w:rsidR="009A3B0F">
              <w:rPr>
                <w:color w:val="auto"/>
                <w:sz w:val="24"/>
                <w:szCs w:val="24"/>
              </w:rPr>
              <w:t>this can help treat the cancer more effectively.</w:t>
            </w:r>
          </w:p>
          <w:p w14:paraId="3A3B0866" w14:textId="39CA4272" w:rsidR="007B5B05" w:rsidRPr="001264F3" w:rsidRDefault="007B5B05" w:rsidP="00E84BDF">
            <w:pPr>
              <w:pStyle w:val="Default"/>
              <w:spacing w:before="120" w:after="240"/>
              <w:rPr>
                <w:color w:val="auto"/>
                <w:sz w:val="24"/>
                <w:szCs w:val="24"/>
              </w:rPr>
            </w:pPr>
            <w:r w:rsidRPr="001264F3">
              <w:rPr>
                <w:color w:val="auto"/>
                <w:sz w:val="24"/>
                <w:szCs w:val="24"/>
              </w:rPr>
              <w:t>This application is for MBS funding of the PD-L1 test</w:t>
            </w:r>
            <w:r w:rsidR="00BE1B11">
              <w:rPr>
                <w:color w:val="auto"/>
                <w:sz w:val="24"/>
                <w:szCs w:val="24"/>
              </w:rPr>
              <w:t xml:space="preserve">, and </w:t>
            </w:r>
            <w:r w:rsidRPr="001264F3">
              <w:rPr>
                <w:color w:val="auto"/>
                <w:sz w:val="24"/>
                <w:szCs w:val="24"/>
              </w:rPr>
              <w:t xml:space="preserve">is </w:t>
            </w:r>
            <w:r w:rsidR="00BE1B11">
              <w:rPr>
                <w:color w:val="auto"/>
                <w:sz w:val="24"/>
                <w:szCs w:val="24"/>
              </w:rPr>
              <w:t xml:space="preserve">linked to </w:t>
            </w:r>
            <w:r w:rsidRPr="001264F3">
              <w:rPr>
                <w:color w:val="auto"/>
                <w:sz w:val="24"/>
                <w:szCs w:val="24"/>
              </w:rPr>
              <w:t xml:space="preserve">an application to the Pharmaceutical Benefits Advisory Committee (PBAC) for PBS listing of </w:t>
            </w:r>
            <w:r w:rsidR="00BE1B11">
              <w:rPr>
                <w:color w:val="auto"/>
                <w:sz w:val="24"/>
                <w:szCs w:val="24"/>
              </w:rPr>
              <w:t>atezolizumab</w:t>
            </w:r>
            <w:r w:rsidRPr="001264F3">
              <w:rPr>
                <w:color w:val="auto"/>
                <w:sz w:val="24"/>
                <w:szCs w:val="24"/>
              </w:rPr>
              <w:t>. The test and the medicine go hand in hand; this is called a codependent submission. The PBAC discussed the medicine at its meeting, but did not recommend</w:t>
            </w:r>
            <w:r w:rsidR="00BE1B11">
              <w:rPr>
                <w:color w:val="auto"/>
                <w:sz w:val="24"/>
                <w:szCs w:val="24"/>
              </w:rPr>
              <w:t xml:space="preserve"> its listing on </w:t>
            </w:r>
            <w:r w:rsidRPr="001264F3">
              <w:rPr>
                <w:color w:val="auto"/>
                <w:sz w:val="24"/>
                <w:szCs w:val="24"/>
              </w:rPr>
              <w:t xml:space="preserve">the </w:t>
            </w:r>
            <w:r w:rsidR="00BE1B11">
              <w:rPr>
                <w:color w:val="auto"/>
                <w:sz w:val="24"/>
                <w:szCs w:val="24"/>
              </w:rPr>
              <w:t>PBS</w:t>
            </w:r>
            <w:r w:rsidR="001605A3">
              <w:rPr>
                <w:color w:val="auto"/>
                <w:sz w:val="24"/>
                <w:szCs w:val="24"/>
              </w:rPr>
              <w:t xml:space="preserve"> because of concerns with the comparative effectiveness and cost-effectiveness of the </w:t>
            </w:r>
            <w:r w:rsidRPr="001264F3">
              <w:rPr>
                <w:color w:val="auto"/>
                <w:sz w:val="24"/>
                <w:szCs w:val="24"/>
              </w:rPr>
              <w:t>medicine and</w:t>
            </w:r>
            <w:r w:rsidR="001605A3">
              <w:rPr>
                <w:color w:val="auto"/>
                <w:sz w:val="24"/>
                <w:szCs w:val="24"/>
              </w:rPr>
              <w:t xml:space="preserve"> how these are affected by the test results</w:t>
            </w:r>
            <w:r w:rsidRPr="001264F3">
              <w:rPr>
                <w:color w:val="auto"/>
                <w:sz w:val="24"/>
                <w:szCs w:val="24"/>
              </w:rPr>
              <w:t>.</w:t>
            </w:r>
          </w:p>
          <w:p w14:paraId="1AB364A9" w14:textId="13A0A106" w:rsidR="007B5B05" w:rsidRPr="001264F3" w:rsidRDefault="005F5982" w:rsidP="00E84BDF">
            <w:pPr>
              <w:pStyle w:val="Default"/>
              <w:spacing w:before="120" w:after="240"/>
              <w:rPr>
                <w:color w:val="auto"/>
                <w:sz w:val="24"/>
                <w:szCs w:val="24"/>
              </w:rPr>
            </w:pPr>
            <w:r w:rsidRPr="001264F3">
              <w:rPr>
                <w:color w:val="auto"/>
                <w:sz w:val="24"/>
                <w:szCs w:val="24"/>
              </w:rPr>
              <w:t xml:space="preserve">The PBAC </w:t>
            </w:r>
            <w:r w:rsidR="001605A3">
              <w:rPr>
                <w:color w:val="auto"/>
                <w:sz w:val="24"/>
                <w:szCs w:val="24"/>
              </w:rPr>
              <w:t xml:space="preserve">therefore </w:t>
            </w:r>
            <w:r w:rsidRPr="001264F3">
              <w:rPr>
                <w:color w:val="auto"/>
                <w:sz w:val="24"/>
                <w:szCs w:val="24"/>
              </w:rPr>
              <w:t xml:space="preserve">asked for MSAC’s advice on which of the three </w:t>
            </w:r>
            <w:r w:rsidR="0047026F">
              <w:rPr>
                <w:color w:val="auto"/>
                <w:sz w:val="24"/>
                <w:szCs w:val="24"/>
              </w:rPr>
              <w:t xml:space="preserve">commercially </w:t>
            </w:r>
            <w:r w:rsidRPr="001264F3">
              <w:rPr>
                <w:color w:val="auto"/>
                <w:sz w:val="24"/>
                <w:szCs w:val="24"/>
              </w:rPr>
              <w:t>available PD-L1 test</w:t>
            </w:r>
            <w:r w:rsidR="00BE1B11">
              <w:rPr>
                <w:color w:val="auto"/>
                <w:sz w:val="24"/>
                <w:szCs w:val="24"/>
              </w:rPr>
              <w:t xml:space="preserve"> </w:t>
            </w:r>
            <w:r w:rsidR="0047026F">
              <w:rPr>
                <w:color w:val="auto"/>
                <w:sz w:val="24"/>
                <w:szCs w:val="24"/>
              </w:rPr>
              <w:t>assays</w:t>
            </w:r>
            <w:r w:rsidRPr="001264F3">
              <w:rPr>
                <w:color w:val="auto"/>
                <w:sz w:val="24"/>
                <w:szCs w:val="24"/>
              </w:rPr>
              <w:t xml:space="preserve"> was the best one to use. MSAC noted that the three </w:t>
            </w:r>
            <w:r w:rsidR="0047026F">
              <w:rPr>
                <w:color w:val="auto"/>
                <w:sz w:val="24"/>
                <w:szCs w:val="24"/>
              </w:rPr>
              <w:t>assays</w:t>
            </w:r>
            <w:r w:rsidRPr="001264F3">
              <w:rPr>
                <w:color w:val="auto"/>
                <w:sz w:val="24"/>
                <w:szCs w:val="24"/>
              </w:rPr>
              <w:t xml:space="preserve"> can give different results, and all three </w:t>
            </w:r>
            <w:r w:rsidR="0047026F">
              <w:rPr>
                <w:color w:val="auto"/>
                <w:sz w:val="24"/>
                <w:szCs w:val="24"/>
              </w:rPr>
              <w:t>assays</w:t>
            </w:r>
            <w:r w:rsidRPr="001264F3">
              <w:rPr>
                <w:color w:val="auto"/>
                <w:sz w:val="24"/>
                <w:szCs w:val="24"/>
              </w:rPr>
              <w:t xml:space="preserve"> give the same result only about 60–70% of the time. MSAC advised that the </w:t>
            </w:r>
            <w:r w:rsidR="001605A3">
              <w:rPr>
                <w:color w:val="auto"/>
                <w:sz w:val="24"/>
                <w:szCs w:val="24"/>
              </w:rPr>
              <w:t>reagent</w:t>
            </w:r>
            <w:r w:rsidRPr="001264F3">
              <w:rPr>
                <w:color w:val="auto"/>
                <w:sz w:val="24"/>
                <w:szCs w:val="24"/>
              </w:rPr>
              <w:t xml:space="preserve"> called SP142 was the most appropriate, as </w:t>
            </w:r>
            <w:r w:rsidR="00BE1B11">
              <w:rPr>
                <w:color w:val="auto"/>
                <w:sz w:val="24"/>
                <w:szCs w:val="24"/>
              </w:rPr>
              <w:t xml:space="preserve">it was the </w:t>
            </w:r>
            <w:r w:rsidR="0047026F">
              <w:rPr>
                <w:color w:val="auto"/>
                <w:sz w:val="24"/>
                <w:szCs w:val="24"/>
              </w:rPr>
              <w:t>assay</w:t>
            </w:r>
            <w:r w:rsidR="00BE1B11">
              <w:rPr>
                <w:color w:val="auto"/>
                <w:sz w:val="24"/>
                <w:szCs w:val="24"/>
              </w:rPr>
              <w:t xml:space="preserve"> used in the clinical studies of the medicine, and </w:t>
            </w:r>
            <w:r w:rsidRPr="001264F3">
              <w:rPr>
                <w:color w:val="auto"/>
                <w:sz w:val="24"/>
                <w:szCs w:val="24"/>
              </w:rPr>
              <w:t xml:space="preserve">the other </w:t>
            </w:r>
            <w:r w:rsidR="0047026F">
              <w:rPr>
                <w:color w:val="auto"/>
                <w:sz w:val="24"/>
                <w:szCs w:val="24"/>
              </w:rPr>
              <w:t>available assays</w:t>
            </w:r>
            <w:r w:rsidRPr="001264F3">
              <w:rPr>
                <w:color w:val="auto"/>
                <w:sz w:val="24"/>
                <w:szCs w:val="24"/>
              </w:rPr>
              <w:t xml:space="preserve"> are </w:t>
            </w:r>
            <w:r w:rsidR="009A3B0F">
              <w:rPr>
                <w:color w:val="auto"/>
                <w:sz w:val="24"/>
                <w:szCs w:val="24"/>
              </w:rPr>
              <w:t xml:space="preserve">also </w:t>
            </w:r>
            <w:r w:rsidRPr="001264F3">
              <w:rPr>
                <w:color w:val="auto"/>
                <w:sz w:val="24"/>
                <w:szCs w:val="24"/>
              </w:rPr>
              <w:t xml:space="preserve">not </w:t>
            </w:r>
            <w:r w:rsidR="0047026F">
              <w:rPr>
                <w:color w:val="auto"/>
                <w:sz w:val="24"/>
                <w:szCs w:val="24"/>
              </w:rPr>
              <w:t xml:space="preserve">specifically </w:t>
            </w:r>
            <w:r w:rsidR="009A3B0F">
              <w:rPr>
                <w:color w:val="auto"/>
                <w:sz w:val="24"/>
                <w:szCs w:val="24"/>
              </w:rPr>
              <w:t xml:space="preserve">approved by </w:t>
            </w:r>
            <w:r w:rsidRPr="001264F3">
              <w:rPr>
                <w:color w:val="auto"/>
                <w:sz w:val="24"/>
                <w:szCs w:val="24"/>
              </w:rPr>
              <w:t>the Therapeutic Goods Administration (TGA) for TNBC.</w:t>
            </w:r>
          </w:p>
          <w:p w14:paraId="1C949487" w14:textId="4D477606" w:rsidR="005F5982" w:rsidRPr="001264F3" w:rsidRDefault="005F5982" w:rsidP="00E84BDF">
            <w:pPr>
              <w:pStyle w:val="Default"/>
              <w:spacing w:before="120" w:after="240"/>
              <w:rPr>
                <w:color w:val="auto"/>
                <w:sz w:val="24"/>
                <w:szCs w:val="24"/>
              </w:rPr>
            </w:pPr>
            <w:r w:rsidRPr="001264F3">
              <w:rPr>
                <w:color w:val="auto"/>
                <w:sz w:val="24"/>
                <w:szCs w:val="24"/>
              </w:rPr>
              <w:t xml:space="preserve">The PBAC also asked MSAC whether a fresh biopsy (tissue sample) was needed for the test, or whether an old (archival) </w:t>
            </w:r>
            <w:r w:rsidR="0047026F">
              <w:rPr>
                <w:color w:val="auto"/>
                <w:sz w:val="24"/>
                <w:szCs w:val="24"/>
              </w:rPr>
              <w:t xml:space="preserve">tissue </w:t>
            </w:r>
            <w:r w:rsidRPr="001264F3">
              <w:rPr>
                <w:color w:val="auto"/>
                <w:sz w:val="24"/>
                <w:szCs w:val="24"/>
              </w:rPr>
              <w:t xml:space="preserve">sample could be used. MSAC advised that the most recent </w:t>
            </w:r>
            <w:r w:rsidR="0047026F">
              <w:rPr>
                <w:color w:val="auto"/>
                <w:sz w:val="24"/>
                <w:szCs w:val="24"/>
              </w:rPr>
              <w:t xml:space="preserve">tissue </w:t>
            </w:r>
            <w:r w:rsidRPr="001264F3">
              <w:rPr>
                <w:color w:val="auto"/>
                <w:sz w:val="24"/>
                <w:szCs w:val="24"/>
              </w:rPr>
              <w:t xml:space="preserve">sample </w:t>
            </w:r>
            <w:r w:rsidR="007511DB" w:rsidRPr="001264F3">
              <w:rPr>
                <w:color w:val="auto"/>
                <w:sz w:val="24"/>
                <w:szCs w:val="24"/>
              </w:rPr>
              <w:t>(which could be archival)</w:t>
            </w:r>
            <w:r w:rsidR="007511DB">
              <w:rPr>
                <w:color w:val="auto"/>
                <w:sz w:val="24"/>
                <w:szCs w:val="24"/>
              </w:rPr>
              <w:t xml:space="preserve"> </w:t>
            </w:r>
            <w:r w:rsidRPr="001264F3">
              <w:rPr>
                <w:color w:val="auto"/>
                <w:sz w:val="24"/>
                <w:szCs w:val="24"/>
              </w:rPr>
              <w:t>should be used.</w:t>
            </w:r>
          </w:p>
          <w:p w14:paraId="73BEDFFB" w14:textId="568C76CC" w:rsidR="00810EDB" w:rsidRPr="001264F3" w:rsidRDefault="00810EDB" w:rsidP="0012025A">
            <w:pPr>
              <w:pStyle w:val="Default"/>
              <w:spacing w:after="120"/>
              <w:rPr>
                <w:b/>
                <w:color w:val="auto"/>
                <w:sz w:val="24"/>
                <w:szCs w:val="24"/>
              </w:rPr>
            </w:pPr>
            <w:r w:rsidRPr="001264F3">
              <w:rPr>
                <w:b/>
                <w:color w:val="auto"/>
                <w:sz w:val="24"/>
                <w:szCs w:val="24"/>
              </w:rPr>
              <w:t>MSAC’s advice to the Commonwealth Minister f</w:t>
            </w:r>
            <w:r w:rsidR="00B964C8">
              <w:rPr>
                <w:b/>
                <w:color w:val="auto"/>
                <w:sz w:val="24"/>
                <w:szCs w:val="24"/>
              </w:rPr>
              <w:t>or</w:t>
            </w:r>
            <w:r w:rsidRPr="001264F3">
              <w:rPr>
                <w:b/>
                <w:color w:val="auto"/>
                <w:sz w:val="24"/>
                <w:szCs w:val="24"/>
              </w:rPr>
              <w:t xml:space="preserve"> Health</w:t>
            </w:r>
          </w:p>
          <w:p w14:paraId="5C60AE9E" w14:textId="0E7FEB11" w:rsidR="005F5982" w:rsidRDefault="005F5982" w:rsidP="007511DB">
            <w:pPr>
              <w:pStyle w:val="Default"/>
              <w:spacing w:after="240"/>
              <w:rPr>
                <w:b/>
                <w:i/>
                <w:color w:val="auto"/>
              </w:rPr>
            </w:pPr>
            <w:r w:rsidRPr="001264F3">
              <w:rPr>
                <w:color w:val="auto"/>
                <w:sz w:val="24"/>
                <w:szCs w:val="24"/>
              </w:rPr>
              <w:t>MSAC was inclined to support the application</w:t>
            </w:r>
            <w:r w:rsidR="00050F8E">
              <w:rPr>
                <w:color w:val="auto"/>
                <w:sz w:val="24"/>
                <w:szCs w:val="24"/>
              </w:rPr>
              <w:t xml:space="preserve"> to list </w:t>
            </w:r>
            <w:r w:rsidR="0047026F" w:rsidRPr="001264F3">
              <w:rPr>
                <w:color w:val="auto"/>
                <w:sz w:val="24"/>
                <w:szCs w:val="24"/>
              </w:rPr>
              <w:t>programmed death ligand 1 (</w:t>
            </w:r>
            <w:r w:rsidR="00050F8E">
              <w:t>PD-L1</w:t>
            </w:r>
            <w:r w:rsidR="0047026F">
              <w:t>)</w:t>
            </w:r>
            <w:r w:rsidR="00050F8E">
              <w:t xml:space="preserve"> immunohistochemi</w:t>
            </w:r>
            <w:r w:rsidR="007511DB">
              <w:t>stry</w:t>
            </w:r>
            <w:r w:rsidR="00050F8E">
              <w:t xml:space="preserve"> testing</w:t>
            </w:r>
            <w:r w:rsidRPr="001264F3">
              <w:rPr>
                <w:color w:val="auto"/>
                <w:sz w:val="24"/>
                <w:szCs w:val="24"/>
              </w:rPr>
              <w:t>, but deferred its advice until the PBAC recommend</w:t>
            </w:r>
            <w:r w:rsidR="00B964C8">
              <w:rPr>
                <w:color w:val="auto"/>
                <w:sz w:val="24"/>
                <w:szCs w:val="24"/>
              </w:rPr>
              <w:t>s that</w:t>
            </w:r>
            <w:r w:rsidRPr="001264F3">
              <w:rPr>
                <w:color w:val="auto"/>
                <w:sz w:val="24"/>
                <w:szCs w:val="24"/>
              </w:rPr>
              <w:t xml:space="preserve"> atezolizumab should be listed on the PBS.</w:t>
            </w:r>
            <w:r w:rsidR="00DB38C1">
              <w:rPr>
                <w:color w:val="auto"/>
                <w:sz w:val="24"/>
                <w:szCs w:val="24"/>
              </w:rPr>
              <w:t xml:space="preserve"> MSAC offered to reconsider this application at that time.</w:t>
            </w:r>
          </w:p>
        </w:tc>
      </w:tr>
    </w:tbl>
    <w:p w14:paraId="1D4DC423" w14:textId="205557B1" w:rsidR="00810EDB" w:rsidRPr="00F715D1" w:rsidRDefault="00810EDB" w:rsidP="00810EDB">
      <w:pPr>
        <w:pStyle w:val="Heading1"/>
      </w:pPr>
      <w:r w:rsidRPr="00F715D1">
        <w:t xml:space="preserve">Summary of consideration </w:t>
      </w:r>
      <w:r w:rsidR="00E84BDF">
        <w:t>and rationale for MSAC’s advice</w:t>
      </w:r>
    </w:p>
    <w:p w14:paraId="7124C8C7" w14:textId="582CC904" w:rsidR="005F5982" w:rsidRDefault="005F5982" w:rsidP="005F5982">
      <w:pPr>
        <w:pStyle w:val="NormalBeforeBullet"/>
      </w:pPr>
      <w:r>
        <w:t>MSAC noted this codependent application for PD-L1</w:t>
      </w:r>
      <w:r w:rsidRPr="00873C5E">
        <w:t xml:space="preserve"> IHC </w:t>
      </w:r>
      <w:r w:rsidRPr="00E62449">
        <w:t>testing for access to atezolizumab as first</w:t>
      </w:r>
      <w:r>
        <w:t>-</w:t>
      </w:r>
      <w:r w:rsidRPr="00E62449">
        <w:t>line therapy for patients with local</w:t>
      </w:r>
      <w:r w:rsidR="0012025A">
        <w:t xml:space="preserve">ly advanced or metastatic </w:t>
      </w:r>
      <w:r w:rsidR="0012532E">
        <w:t>TNBC</w:t>
      </w:r>
      <w:r w:rsidR="0012025A">
        <w:t xml:space="preserve">. The </w:t>
      </w:r>
      <w:r>
        <w:t xml:space="preserve">PBAC deferred its recommendation to list </w:t>
      </w:r>
      <w:r w:rsidRPr="00E62449">
        <w:t>atezolizumab</w:t>
      </w:r>
      <w:r>
        <w:t xml:space="preserve"> on the PBS due to limited applicability of </w:t>
      </w:r>
      <w:r>
        <w:lastRenderedPageBreak/>
        <w:t>clinical evidence in the relevant patient population, uncertainty in the claim of overall survival benefit and recognition that cost-effectiveness is likely to be affected by the choice of PD-L1 assay. The PBAC sought MSAC’s advice on three points:</w:t>
      </w:r>
    </w:p>
    <w:p w14:paraId="2B377E05" w14:textId="77777777" w:rsidR="005F5982" w:rsidRPr="00E62449" w:rsidRDefault="005F5982" w:rsidP="005F5982">
      <w:pPr>
        <w:pStyle w:val="Bullet"/>
      </w:pPr>
      <w:r w:rsidRPr="00E62449">
        <w:t xml:space="preserve">concordance of </w:t>
      </w:r>
      <w:r>
        <w:t xml:space="preserve">the </w:t>
      </w:r>
      <w:r w:rsidRPr="00E62449">
        <w:t>Ventana PD-L1 (SP142) assay with others and implications for incremental cost</w:t>
      </w:r>
      <w:r>
        <w:t>-</w:t>
      </w:r>
      <w:r w:rsidRPr="00E62449">
        <w:t>effectiveness</w:t>
      </w:r>
    </w:p>
    <w:p w14:paraId="0AEA45E2" w14:textId="77777777" w:rsidR="005F5982" w:rsidRPr="00E62449" w:rsidRDefault="005F5982" w:rsidP="005F5982">
      <w:pPr>
        <w:pStyle w:val="Bullet"/>
      </w:pPr>
      <w:r w:rsidRPr="00E62449">
        <w:t xml:space="preserve">implications of possibly limiting testing to </w:t>
      </w:r>
      <w:r>
        <w:t xml:space="preserve">the </w:t>
      </w:r>
      <w:r w:rsidRPr="00E62449">
        <w:t>SP142 assay, for this therapy and potential future therapies</w:t>
      </w:r>
    </w:p>
    <w:p w14:paraId="5887AE31" w14:textId="77777777" w:rsidR="005F5982" w:rsidRDefault="005F5982" w:rsidP="005F5982">
      <w:pPr>
        <w:pStyle w:val="BulletLast"/>
      </w:pPr>
      <w:r w:rsidRPr="00E62449">
        <w:t xml:space="preserve">implications of possible variation between archival and recent biopsies </w:t>
      </w:r>
      <w:r>
        <w:t>with respect to</w:t>
      </w:r>
      <w:r w:rsidRPr="00E62449">
        <w:t xml:space="preserve"> PD-L1 expression</w:t>
      </w:r>
      <w:r>
        <w:t>, and whether a new biopsy would be</w:t>
      </w:r>
      <w:r w:rsidRPr="00E62449">
        <w:t xml:space="preserve"> required</w:t>
      </w:r>
      <w:r>
        <w:t>.</w:t>
      </w:r>
    </w:p>
    <w:p w14:paraId="15233BBF" w14:textId="2BF1625A" w:rsidR="005F5982" w:rsidRDefault="005F5982" w:rsidP="005F5982">
      <w:r>
        <w:t xml:space="preserve">MSAC discussed the key trial (IMpassion 130), a </w:t>
      </w:r>
      <w:r w:rsidRPr="006E3203">
        <w:t>double</w:t>
      </w:r>
      <w:r>
        <w:t>-</w:t>
      </w:r>
      <w:r w:rsidRPr="006E3203">
        <w:t>blind, multicentre, randomised, placebo</w:t>
      </w:r>
      <w:r>
        <w:t>-</w:t>
      </w:r>
      <w:r w:rsidRPr="006E3203">
        <w:t xml:space="preserve">controlled </w:t>
      </w:r>
      <w:r>
        <w:t>p</w:t>
      </w:r>
      <w:r w:rsidRPr="006E3203">
        <w:t>hase 3</w:t>
      </w:r>
      <w:r>
        <w:t xml:space="preserve"> trial of</w:t>
      </w:r>
      <w:r w:rsidRPr="006E3203">
        <w:t xml:space="preserve"> atezolizumab in combination with nab-paclitaxel compared with placebo with nab-paclitaxel as </w:t>
      </w:r>
      <w:r>
        <w:t>fir</w:t>
      </w:r>
      <w:r w:rsidRPr="006E3203">
        <w:t xml:space="preserve">st-line </w:t>
      </w:r>
      <w:r>
        <w:t>treatment.</w:t>
      </w:r>
      <w:r w:rsidRPr="006E3203">
        <w:t xml:space="preserve"> </w:t>
      </w:r>
      <w:r>
        <w:t>The trial had 902 participants, including 42 Australians, who were stratified by PD-L1 status on enrolment (41% were PD-L1 positive</w:t>
      </w:r>
      <w:r w:rsidR="00BE1B11">
        <w:t xml:space="preserve"> according to the SP142 assay</w:t>
      </w:r>
      <w:r>
        <w:t>). MSAC noted the applicant’s claim of benefit for overall survival in PD-L1 positive patients, but considered that the study design had statistical complications that introduced uncertainty in this claim. This was acknowledged in the applicant’s pre-MSAC response.</w:t>
      </w:r>
    </w:p>
    <w:p w14:paraId="319E3D25" w14:textId="4AD49B52" w:rsidR="005F5982" w:rsidRDefault="005F5982" w:rsidP="0015386A">
      <w:pPr>
        <w:spacing w:before="240"/>
      </w:pPr>
      <w:r w:rsidRPr="00084A7F">
        <w:t xml:space="preserve">In breast cancer, more cases show PD-L1 expression on </w:t>
      </w:r>
      <w:r w:rsidR="003C6BA2" w:rsidRPr="00084A7F">
        <w:t xml:space="preserve">tumour-infiltrating </w:t>
      </w:r>
      <w:r w:rsidRPr="00084A7F">
        <w:t>immune cells (ICs) than on tumour cells (TCs), with most TC</w:t>
      </w:r>
      <w:r>
        <w:t>-positive</w:t>
      </w:r>
      <w:r w:rsidRPr="00084A7F">
        <w:t xml:space="preserve"> cases also being IC</w:t>
      </w:r>
      <w:r>
        <w:t>-positive</w:t>
      </w:r>
      <w:r w:rsidRPr="00084A7F">
        <w:t xml:space="preserve"> </w:t>
      </w:r>
      <w:r>
        <w:t>(</w:t>
      </w:r>
      <w:r w:rsidRPr="00084A7F">
        <w:t>unlike other solid tumours</w:t>
      </w:r>
      <w:r>
        <w:t>).</w:t>
      </w:r>
      <w:r w:rsidRPr="00084A7F">
        <w:t xml:space="preserve"> </w:t>
      </w:r>
      <w:r>
        <w:t>For this application, PD-L1 p</w:t>
      </w:r>
      <w:r w:rsidRPr="00084A7F">
        <w:t xml:space="preserve">ositivity </w:t>
      </w:r>
      <w:r>
        <w:t>was</w:t>
      </w:r>
      <w:r w:rsidRPr="00084A7F">
        <w:t xml:space="preserve"> defined as PD-L1 expression on </w:t>
      </w:r>
      <w:r>
        <w:t>ICs</w:t>
      </w:r>
      <w:r w:rsidRPr="00084A7F">
        <w:t xml:space="preserve"> covering ≥1% of the tumour area</w:t>
      </w:r>
      <w:r>
        <w:t>.</w:t>
      </w:r>
      <w:r w:rsidR="00324507">
        <w:t xml:space="preserve"> MSAC noted the potential for confusion in the reporting and interpretation of PD-L1 testing across different cell types assessed using different assays and threshold of positivity across different cancers for different immunotherapy medicines.</w:t>
      </w:r>
      <w:r w:rsidR="000C6C38">
        <w:t xml:space="preserve"> MSAC therefore emphasised the need for </w:t>
      </w:r>
      <w:r w:rsidR="0031578B">
        <w:t xml:space="preserve">appropriate training and </w:t>
      </w:r>
      <w:r w:rsidR="000C6C38">
        <w:t>a satisfactory quality assurance program to be in place.</w:t>
      </w:r>
    </w:p>
    <w:p w14:paraId="187ED202" w14:textId="1D2B1496" w:rsidR="005F5982" w:rsidRDefault="005F5982" w:rsidP="0015386A">
      <w:pPr>
        <w:spacing w:before="240"/>
      </w:pPr>
      <w:r>
        <w:t xml:space="preserve">The Ventana SP142 PD-L1 IHC assay is listed by the Therapeutic Goods Administration (TGA) as a companion diagnostic test for </w:t>
      </w:r>
      <w:r w:rsidR="003C6BA2">
        <w:t>TNBC</w:t>
      </w:r>
      <w:r>
        <w:t>. MSAC noted th</w:t>
      </w:r>
      <w:r w:rsidR="003C6BA2">
        <w:t>at</w:t>
      </w:r>
      <w:r>
        <w:t xml:space="preserve"> other IHC assays for PD-L1 testing – Ventana SP263 and </w:t>
      </w:r>
      <w:r w:rsidRPr="00084A7F">
        <w:t>Agilent/Dako</w:t>
      </w:r>
      <w:r>
        <w:t xml:space="preserve"> 22C3</w:t>
      </w:r>
      <w:r w:rsidR="003C6BA2">
        <w:t xml:space="preserve"> – are available, however,</w:t>
      </w:r>
      <w:r>
        <w:t xml:space="preserve"> SP263 and 22C3 are not TGA-</w:t>
      </w:r>
      <w:r w:rsidR="003C6BA2">
        <w:t>approved</w:t>
      </w:r>
      <w:r>
        <w:t xml:space="preserve"> for </w:t>
      </w:r>
      <w:r w:rsidR="003C6BA2">
        <w:t>TNBC</w:t>
      </w:r>
      <w:r>
        <w:t xml:space="preserve">. SP263 is the most common </w:t>
      </w:r>
      <w:r w:rsidR="00324507">
        <w:t xml:space="preserve">PD-L1 </w:t>
      </w:r>
      <w:r>
        <w:t>IHC assay in use in Australia, primarily driven by its use in non-small cell lung cancer</w:t>
      </w:r>
      <w:r w:rsidR="00157CA1">
        <w:t xml:space="preserve"> (NSCLC)</w:t>
      </w:r>
      <w:r>
        <w:t xml:space="preserve">. MSAC noted that laboratories wishing to use an assay other than SP142 for </w:t>
      </w:r>
      <w:r w:rsidR="003C6BA2">
        <w:t>TNBC</w:t>
      </w:r>
      <w:r>
        <w:t xml:space="preserve"> would likely be required to perform a full in</w:t>
      </w:r>
      <w:r w:rsidR="003C6BA2">
        <w:t>-</w:t>
      </w:r>
      <w:r>
        <w:t>house in vitro diagnostic validation</w:t>
      </w:r>
      <w:r w:rsidR="000C6C38">
        <w:t xml:space="preserve"> to meet the TGA requirements (if the laboratories are aware of these implications of these TGA approvals)</w:t>
      </w:r>
      <w:r>
        <w:t>, which would be a significant deterrent to using assays other than SP142</w:t>
      </w:r>
      <w:r w:rsidR="003C6BA2">
        <w:t xml:space="preserve"> given the expected low volume of this test</w:t>
      </w:r>
      <w:r w:rsidR="003B1055">
        <w:t>ing in TNBC</w:t>
      </w:r>
      <w:r w:rsidR="0031578B">
        <w:t xml:space="preserve"> in individual laboratories</w:t>
      </w:r>
      <w:r>
        <w:t xml:space="preserve">. This would effectively limit the test to the SP142 assay, which MSAC considered to be appropriate. The applicant, in </w:t>
      </w:r>
      <w:r w:rsidR="003C6BA2">
        <w:t>its</w:t>
      </w:r>
      <w:r>
        <w:t xml:space="preserve"> pre-MSAC response, also agreed to limit testing to SP142. MSAC also noted the small patient population and suggested that inter-laboratory referrals would be required, as not all laboratories would be willing to set up the assay for </w:t>
      </w:r>
      <w:r w:rsidR="003C6BA2">
        <w:t xml:space="preserve">the expected </w:t>
      </w:r>
      <w:r>
        <w:t>small number of cases per year.</w:t>
      </w:r>
    </w:p>
    <w:p w14:paraId="5479A3CC" w14:textId="0F8931CF" w:rsidR="005F5982" w:rsidRDefault="005F5982" w:rsidP="0015386A">
      <w:pPr>
        <w:spacing w:before="240"/>
      </w:pPr>
      <w:r>
        <w:t xml:space="preserve">MSAC discussed the concordance between the different PD-L1 assays. US Food and Drug Administration </w:t>
      </w:r>
      <w:r w:rsidR="0012532E">
        <w:t xml:space="preserve">(FDA) </w:t>
      </w:r>
      <w:r>
        <w:t>criteria for concordant assays specify that overall per cent agreement (OPA) should be at least 90%. The IMpassion 130 trial undertook exploratory analysis of assay concordance on a subset of participants (</w:t>
      </w:r>
      <w:r w:rsidRPr="00F2537D">
        <w:rPr>
          <w:i/>
          <w:iCs/>
        </w:rPr>
        <w:t>n</w:t>
      </w:r>
      <w:r>
        <w:t xml:space="preserve"> = 641). OPA was 69% between SP142 and SP263, </w:t>
      </w:r>
      <w:r w:rsidRPr="0015386A">
        <w:t xml:space="preserve">and </w:t>
      </w:r>
      <w:r w:rsidR="00BC2558" w:rsidRPr="0015386A">
        <w:rPr>
          <w:b/>
        </w:rPr>
        <w:t>redacted</w:t>
      </w:r>
      <w:r w:rsidRPr="0015386A">
        <w:t>% between</w:t>
      </w:r>
      <w:r>
        <w:t xml:space="preserve"> SP142 and 22C3. The proportion</w:t>
      </w:r>
      <w:r w:rsidR="003C6BA2">
        <w:t>s</w:t>
      </w:r>
      <w:r>
        <w:t xml:space="preserve"> of patients identified as PD-L1 positive </w:t>
      </w:r>
      <w:r w:rsidR="003B1055">
        <w:t xml:space="preserve">in this subset </w:t>
      </w:r>
      <w:r>
        <w:t xml:space="preserve">were markedly different between assays: 46% using SP142, 75% using SP263 and </w:t>
      </w:r>
      <w:r w:rsidR="00BC2558" w:rsidRPr="00BC2558">
        <w:rPr>
          <w:b/>
        </w:rPr>
        <w:t>redacted</w:t>
      </w:r>
      <w:r>
        <w:t>% using 22C3. T</w:t>
      </w:r>
      <w:r w:rsidR="0089223A">
        <w:t>rends towards t</w:t>
      </w:r>
      <w:r>
        <w:t xml:space="preserve">he greatest progression-free </w:t>
      </w:r>
      <w:r>
        <w:lastRenderedPageBreak/>
        <w:t xml:space="preserve">survival and overall survival benefits were </w:t>
      </w:r>
      <w:r w:rsidR="003C6BA2">
        <w:t>suggested</w:t>
      </w:r>
      <w:r>
        <w:t xml:space="preserve"> in patients who were identified as positi</w:t>
      </w:r>
      <w:r w:rsidR="0089223A">
        <w:t>ve using SP142.</w:t>
      </w:r>
    </w:p>
    <w:p w14:paraId="37B300B5" w14:textId="41FFE899" w:rsidR="005F5982" w:rsidRPr="0015386A" w:rsidRDefault="005F5982" w:rsidP="0015386A">
      <w:pPr>
        <w:spacing w:before="240"/>
      </w:pPr>
      <w:r w:rsidRPr="0015386A">
        <w:t xml:space="preserve">MSAC also noted an Australian study (the SPRINT study) of assay concordance, which identified </w:t>
      </w:r>
      <w:r w:rsidR="00BC2558" w:rsidRPr="0015386A">
        <w:rPr>
          <w:b/>
        </w:rPr>
        <w:t>redacted</w:t>
      </w:r>
      <w:r w:rsidR="0089223A" w:rsidRPr="0015386A">
        <w:t>.</w:t>
      </w:r>
    </w:p>
    <w:p w14:paraId="05398ED5" w14:textId="1E5EAF20" w:rsidR="005F5982" w:rsidRDefault="005F5982" w:rsidP="0015386A">
      <w:pPr>
        <w:spacing w:before="240"/>
      </w:pPr>
      <w:r w:rsidRPr="0015386A">
        <w:t>Regarding potential variation between archival and recent biopsies</w:t>
      </w:r>
      <w:r w:rsidR="0047026F" w:rsidRPr="0015386A">
        <w:t xml:space="preserve"> of tissue samples</w:t>
      </w:r>
      <w:r w:rsidRPr="0015386A">
        <w:t>, MSAC considered that genuine triple-negative breast cancers would not change in PD-L1 status over time</w:t>
      </w:r>
      <w:r w:rsidR="007511DB" w:rsidRPr="0015386A">
        <w:t xml:space="preserve"> to the same extent as in lung cancer</w:t>
      </w:r>
      <w:r w:rsidRPr="0015386A">
        <w:t xml:space="preserve">, and the cut-off of 1% of the tumour area for PD-L1–expressing ICs was a low threshold. MSAC also considered that </w:t>
      </w:r>
      <w:r w:rsidR="0047026F" w:rsidRPr="0015386A">
        <w:t xml:space="preserve">a </w:t>
      </w:r>
      <w:r w:rsidRPr="0015386A">
        <w:t xml:space="preserve">repeat biopsy would be impractical for many patients. In </w:t>
      </w:r>
      <w:r w:rsidR="0089223A" w:rsidRPr="0015386A">
        <w:t xml:space="preserve">its </w:t>
      </w:r>
      <w:r w:rsidRPr="0015386A">
        <w:t xml:space="preserve">pre-MSAC response, the applicant also noted there was </w:t>
      </w:r>
      <w:r w:rsidR="00BC2558" w:rsidRPr="0015386A">
        <w:rPr>
          <w:b/>
        </w:rPr>
        <w:t>redacted</w:t>
      </w:r>
      <w:r w:rsidRPr="0015386A">
        <w:t xml:space="preserve">. MSAC therefore considered that </w:t>
      </w:r>
      <w:r w:rsidR="007511DB" w:rsidRPr="0015386A">
        <w:t xml:space="preserve">the most prudent and practical balance </w:t>
      </w:r>
      <w:r w:rsidRPr="0015386A">
        <w:t>would be to specify the “most recent sample” for PD-L1 testing, which co</w:t>
      </w:r>
      <w:r w:rsidR="0089223A" w:rsidRPr="0015386A">
        <w:t>uld be archival</w:t>
      </w:r>
      <w:r w:rsidR="00D434FF" w:rsidRPr="0015386A">
        <w:t xml:space="preserve"> if necessary</w:t>
      </w:r>
      <w:r w:rsidR="0089223A" w:rsidRPr="0015386A">
        <w:t>.</w:t>
      </w:r>
    </w:p>
    <w:p w14:paraId="65F336AF" w14:textId="4CAD664C" w:rsidR="005F5982" w:rsidRDefault="005F5982" w:rsidP="0015386A">
      <w:pPr>
        <w:spacing w:before="240"/>
      </w:pPr>
      <w:r>
        <w:t xml:space="preserve">In the economic evaluation, MSAC considered the time horizon of 10 years to be long for patients with triple-negative breast cancer. </w:t>
      </w:r>
      <w:r w:rsidR="003B1055">
        <w:t>The sensitivity analysis adjusting t</w:t>
      </w:r>
      <w:r>
        <w:t xml:space="preserve">he overall positivity rate used in the </w:t>
      </w:r>
      <w:r w:rsidR="003B1055">
        <w:t xml:space="preserve">economic </w:t>
      </w:r>
      <w:r>
        <w:t xml:space="preserve">evaluation </w:t>
      </w:r>
      <w:r w:rsidR="003B1055">
        <w:t xml:space="preserve">for half the testing to be based on SP263 did </w:t>
      </w:r>
      <w:r>
        <w:t xml:space="preserve">not </w:t>
      </w:r>
      <w:r w:rsidR="003B1055">
        <w:t xml:space="preserve">include an appropriate </w:t>
      </w:r>
      <w:r>
        <w:t>adjust</w:t>
      </w:r>
      <w:r w:rsidR="003B1055">
        <w:t xml:space="preserve">ment </w:t>
      </w:r>
      <w:r>
        <w:t xml:space="preserve">for </w:t>
      </w:r>
      <w:r w:rsidR="003B1055">
        <w:t xml:space="preserve">the corresponding increase in </w:t>
      </w:r>
      <w:r>
        <w:t>false positive</w:t>
      </w:r>
      <w:r w:rsidR="003B1055">
        <w:t xml:space="preserve"> test result</w:t>
      </w:r>
      <w:r>
        <w:t>s.</w:t>
      </w:r>
      <w:r w:rsidR="0031578B">
        <w:t xml:space="preserve"> If testing using only assay SP263 is not considered appropriate, the sensitivity analysis should be adjusted accordingly.</w:t>
      </w:r>
    </w:p>
    <w:p w14:paraId="798AEF71" w14:textId="03522172" w:rsidR="0089223A" w:rsidRDefault="0089223A" w:rsidP="0015386A">
      <w:pPr>
        <w:spacing w:before="240"/>
      </w:pPr>
      <w:r>
        <w:t xml:space="preserve">MSAC </w:t>
      </w:r>
      <w:r w:rsidR="003B1055">
        <w:t xml:space="preserve">also </w:t>
      </w:r>
      <w:r>
        <w:t>noted the implications of the</w:t>
      </w:r>
      <w:r w:rsidR="00D3312F">
        <w:t xml:space="preserve"> </w:t>
      </w:r>
      <w:r>
        <w:t>differen</w:t>
      </w:r>
      <w:r w:rsidR="00D3312F">
        <w:t xml:space="preserve">t rates of positive test results </w:t>
      </w:r>
      <w:r>
        <w:t xml:space="preserve">on </w:t>
      </w:r>
      <w:r w:rsidR="00D3312F">
        <w:t>the financial implications</w:t>
      </w:r>
      <w:r>
        <w:t xml:space="preserve">. Using SP142 only, an expected 41% of patients would test positive, </w:t>
      </w:r>
      <w:r w:rsidRPr="007B37DD">
        <w:t xml:space="preserve">resulting in a total </w:t>
      </w:r>
      <w:r w:rsidR="004F1B2D" w:rsidRPr="007B37DD">
        <w:t xml:space="preserve">net </w:t>
      </w:r>
      <w:r w:rsidRPr="007B37DD">
        <w:t xml:space="preserve">cost </w:t>
      </w:r>
      <w:r w:rsidR="004F1B2D" w:rsidRPr="007B37DD">
        <w:t xml:space="preserve">to the PBS/RPBS </w:t>
      </w:r>
      <w:r w:rsidRPr="007B37DD">
        <w:t>for atezolizumab of $</w:t>
      </w:r>
      <w:r w:rsidR="00BC2558" w:rsidRPr="00BC2558">
        <w:rPr>
          <w:b/>
        </w:rPr>
        <w:t>redacted</w:t>
      </w:r>
      <w:r w:rsidRPr="007B37DD">
        <w:t xml:space="preserve">, and a </w:t>
      </w:r>
      <w:r w:rsidR="004F1B2D" w:rsidRPr="007B37DD">
        <w:t xml:space="preserve">total </w:t>
      </w:r>
      <w:r w:rsidRPr="007B37DD">
        <w:t xml:space="preserve">net cost </w:t>
      </w:r>
      <w:r w:rsidR="004F1B2D" w:rsidRPr="007B37DD">
        <w:t xml:space="preserve">to the PBS/RPBS </w:t>
      </w:r>
      <w:r w:rsidRPr="007B37DD">
        <w:t>of atezolizumab + nab-paclitaxel of $</w:t>
      </w:r>
      <w:r w:rsidR="00BC2558" w:rsidRPr="007C3A0C">
        <w:rPr>
          <w:b/>
        </w:rPr>
        <w:t>redacted</w:t>
      </w:r>
      <w:r w:rsidRPr="007B37DD">
        <w:t xml:space="preserve">. Using </w:t>
      </w:r>
      <w:r w:rsidR="00D3312F" w:rsidRPr="007B37DD">
        <w:t>the</w:t>
      </w:r>
      <w:r w:rsidRPr="007B37DD">
        <w:t xml:space="preserve"> SP263 or 22C3</w:t>
      </w:r>
      <w:r w:rsidR="00D3312F" w:rsidRPr="007B37DD">
        <w:t xml:space="preserve"> assays</w:t>
      </w:r>
      <w:r w:rsidRPr="007B37DD">
        <w:t xml:space="preserve">, an expected 74% of patients would test positive, resulting </w:t>
      </w:r>
      <w:r w:rsidR="009A3B0F" w:rsidRPr="007B37DD">
        <w:t xml:space="preserve">in </w:t>
      </w:r>
      <w:r w:rsidR="004F1B2D" w:rsidRPr="007B37DD">
        <w:t>these estimates increasing t</w:t>
      </w:r>
      <w:r w:rsidRPr="007B37DD">
        <w:t>o $</w:t>
      </w:r>
      <w:r w:rsidR="00BC2558" w:rsidRPr="0015386A">
        <w:rPr>
          <w:b/>
        </w:rPr>
        <w:t>redacted</w:t>
      </w:r>
      <w:r w:rsidR="00BC2558" w:rsidRPr="0015386A" w:rsidDel="00BC2558">
        <w:t xml:space="preserve"> </w:t>
      </w:r>
      <w:r w:rsidR="004F1B2D" w:rsidRPr="0015386A">
        <w:t>for atezolizumab</w:t>
      </w:r>
      <w:r w:rsidRPr="0015386A">
        <w:t xml:space="preserve">, and </w:t>
      </w:r>
      <w:r w:rsidR="004F1B2D" w:rsidRPr="0015386A">
        <w:t xml:space="preserve">to </w:t>
      </w:r>
      <w:r w:rsidRPr="0015386A">
        <w:t>$</w:t>
      </w:r>
      <w:r w:rsidR="00BC2558" w:rsidRPr="0015386A">
        <w:rPr>
          <w:b/>
        </w:rPr>
        <w:t>redacted</w:t>
      </w:r>
      <w:r w:rsidR="00BC2558" w:rsidRPr="0015386A" w:rsidDel="00BC2558">
        <w:t xml:space="preserve"> </w:t>
      </w:r>
      <w:r w:rsidR="004F1B2D" w:rsidRPr="0015386A">
        <w:t>for atezoli</w:t>
      </w:r>
      <w:r w:rsidR="004F1B2D" w:rsidRPr="007B37DD">
        <w:t>zumab</w:t>
      </w:r>
      <w:r w:rsidR="004F1B2D">
        <w:t xml:space="preserve"> + </w:t>
      </w:r>
      <w:r w:rsidR="004F1B2D" w:rsidRPr="006E3203">
        <w:t>nab-paclitaxel</w:t>
      </w:r>
      <w:r>
        <w:t>.</w:t>
      </w:r>
    </w:p>
    <w:p w14:paraId="27955378" w14:textId="7C534031" w:rsidR="007B76A3" w:rsidRDefault="005F5982" w:rsidP="0015386A">
      <w:pPr>
        <w:spacing w:before="240" w:after="240"/>
      </w:pPr>
      <w:r>
        <w:t xml:space="preserve">Regarding the proposed item descriptor, MSAC considered that this should specify “tumour </w:t>
      </w:r>
      <w:r w:rsidRPr="00CD637D">
        <w:rPr>
          <w:u w:val="single"/>
        </w:rPr>
        <w:t>biopsy</w:t>
      </w:r>
      <w:r>
        <w:t xml:space="preserve"> material” because IC infiltrate cannot be assessed from a cytology sample. MSAC also suggested </w:t>
      </w:r>
      <w:r w:rsidR="002D0AAA">
        <w:t xml:space="preserve">that the explanatory notes to the item descriptor should </w:t>
      </w:r>
      <w:r>
        <w:t xml:space="preserve">clarify the definition of triple-negative breast cancer </w:t>
      </w:r>
      <w:r w:rsidR="002D0AAA">
        <w:t xml:space="preserve">and </w:t>
      </w:r>
      <w:r>
        <w:t>defin</w:t>
      </w:r>
      <w:r w:rsidR="002D0AAA">
        <w:t>e</w:t>
      </w:r>
      <w:r>
        <w:t xml:space="preserve"> a positive PD-L1 result</w:t>
      </w:r>
      <w:r w:rsidR="00CD637D">
        <w:t xml:space="preserve"> for PBS eligibility purposes</w:t>
      </w:r>
      <w:r w:rsidR="00A11B81">
        <w:t>. MSAC further suggest</w:t>
      </w:r>
      <w:r w:rsidR="0007531D">
        <w:t>ed</w:t>
      </w:r>
      <w:r w:rsidR="00A11B81">
        <w:t xml:space="preserve"> that, if a new MBS item is created, it not be subject to Rule 13 – otherwise it will be affected by other immunohistochemistry MBS items for breast cancer (if tested on a metastasis for instance)</w:t>
      </w:r>
      <w:r>
        <w:t>. MSAC noted that, if testing is limited to patients with</w:t>
      </w:r>
      <w:r w:rsidR="009A3B0F">
        <w:t xml:space="preserve"> previously untreated patients with locally advanced or metastatic disease and</w:t>
      </w:r>
      <w:r>
        <w:t xml:space="preserve"> </w:t>
      </w:r>
      <w:r w:rsidR="0012532E">
        <w:t xml:space="preserve">an </w:t>
      </w:r>
      <w:r>
        <w:t xml:space="preserve">ECOG </w:t>
      </w:r>
      <w:r w:rsidR="0012532E">
        <w:t xml:space="preserve">score of </w:t>
      </w:r>
      <w:r>
        <w:t>0–1, this would require the test to be requested by the treating clinician (that is, it could not be pathologist determinable). MSAC also considered that, if the laboratory does not have access to a TGA-listed assay (that is, SP142), it should not undertake testing</w:t>
      </w:r>
      <w:r w:rsidR="000C6C38">
        <w:t xml:space="preserve">, so a limitation to the SP142 assay </w:t>
      </w:r>
      <w:r w:rsidR="0023226B">
        <w:t xml:space="preserve">may </w:t>
      </w:r>
      <w:r w:rsidR="000C6C38">
        <w:t>not be needed in the item descriptor</w:t>
      </w:r>
      <w:r w:rsidR="0023226B">
        <w:t>, and a note indicating that testing should be performed by a TGA-listed assay might suffice</w:t>
      </w:r>
      <w:r>
        <w:t>.</w:t>
      </w:r>
      <w:r w:rsidR="007B76A3">
        <w:br w:type="page"/>
      </w:r>
    </w:p>
    <w:p w14:paraId="37DB4998" w14:textId="5507A120" w:rsidR="00FB7568" w:rsidRDefault="0007531D" w:rsidP="0015386A">
      <w:pPr>
        <w:spacing w:after="240"/>
      </w:pPr>
      <w:r>
        <w:lastRenderedPageBreak/>
        <w:t>A</w:t>
      </w:r>
      <w:r w:rsidR="00FB7568">
        <w:t xml:space="preserve"> foreshadowed MBS item reflecting the ESC and MSAC discussions is as follows</w:t>
      </w:r>
      <w:r w:rsidR="006E3F01">
        <w:t>.</w:t>
      </w:r>
    </w:p>
    <w:tbl>
      <w:tblPr>
        <w:tblStyle w:val="TableGrid"/>
        <w:tblW w:w="4981" w:type="pct"/>
        <w:tblLook w:val="04A0" w:firstRow="1" w:lastRow="0" w:firstColumn="1" w:lastColumn="0" w:noHBand="0" w:noVBand="1"/>
        <w:tblDescription w:val="foreshadowed MBS item reflecting the ESC and MSAC discussions "/>
      </w:tblPr>
      <w:tblGrid>
        <w:gridCol w:w="9207"/>
      </w:tblGrid>
      <w:tr w:rsidR="00FB7568" w:rsidRPr="009F4EBD" w14:paraId="7825DD0C" w14:textId="77777777" w:rsidTr="005E0817">
        <w:trPr>
          <w:tblHeader/>
        </w:trPr>
        <w:tc>
          <w:tcPr>
            <w:tcW w:w="5000" w:type="pct"/>
          </w:tcPr>
          <w:p w14:paraId="72A32741" w14:textId="77777777" w:rsidR="00FB7568" w:rsidRPr="00E83D27" w:rsidRDefault="00FB7568" w:rsidP="00A12B0E">
            <w:pPr>
              <w:pStyle w:val="TableText"/>
              <w:keepNext/>
              <w:spacing w:line="257" w:lineRule="auto"/>
              <w:jc w:val="right"/>
              <w:rPr>
                <w:szCs w:val="20"/>
              </w:rPr>
            </w:pPr>
            <w:r w:rsidRPr="00E83D27">
              <w:rPr>
                <w:szCs w:val="20"/>
              </w:rPr>
              <w:t xml:space="preserve">Category 6 – PATHOLOGY SERVICES </w:t>
            </w:r>
          </w:p>
        </w:tc>
      </w:tr>
      <w:tr w:rsidR="00FB7568" w:rsidRPr="009F4EBD" w14:paraId="7F952CAD" w14:textId="77777777" w:rsidTr="00B90F39">
        <w:tc>
          <w:tcPr>
            <w:tcW w:w="5000" w:type="pct"/>
          </w:tcPr>
          <w:p w14:paraId="5F9E200D" w14:textId="77777777" w:rsidR="00FB7568" w:rsidRPr="00E83D27" w:rsidRDefault="00FB7568" w:rsidP="00A12B0E">
            <w:pPr>
              <w:pStyle w:val="TableText"/>
              <w:keepNext/>
              <w:spacing w:line="257" w:lineRule="auto"/>
              <w:rPr>
                <w:i/>
                <w:szCs w:val="20"/>
                <w:u w:color="FF0000"/>
              </w:rPr>
            </w:pPr>
            <w:r w:rsidRPr="00E83D27">
              <w:rPr>
                <w:i/>
                <w:szCs w:val="20"/>
                <w:u w:color="FF0000"/>
              </w:rPr>
              <w:t>MBS item number</w:t>
            </w:r>
          </w:p>
          <w:p w14:paraId="53D39380" w14:textId="08157331" w:rsidR="00FB7568" w:rsidRPr="0015386A" w:rsidRDefault="00FB7568" w:rsidP="0015386A">
            <w:pPr>
              <w:pStyle w:val="TableText"/>
              <w:keepNext/>
              <w:spacing w:line="257" w:lineRule="auto"/>
              <w:rPr>
                <w:szCs w:val="20"/>
                <w:u w:color="FF0000"/>
              </w:rPr>
            </w:pPr>
            <w:r w:rsidRPr="00E83D27">
              <w:rPr>
                <w:szCs w:val="20"/>
                <w:u w:color="FF0000"/>
              </w:rPr>
              <w:t xml:space="preserve">Immunohistochemical examination </w:t>
            </w:r>
            <w:r w:rsidR="006E3F01">
              <w:rPr>
                <w:rFonts w:cs="Arial"/>
                <w:b/>
                <w:snapToGrid w:val="0"/>
                <w:color w:val="FF0000"/>
                <w:szCs w:val="20"/>
              </w:rPr>
              <w:t xml:space="preserve">by </w:t>
            </w:r>
            <w:r w:rsidR="00E83D27" w:rsidRPr="00E83D27">
              <w:rPr>
                <w:rFonts w:cs="Arial"/>
                <w:b/>
                <w:snapToGrid w:val="0"/>
                <w:color w:val="FF0000"/>
                <w:szCs w:val="20"/>
              </w:rPr>
              <w:t>VENTANA SP142 Assay</w:t>
            </w:r>
            <w:r w:rsidR="00E83D27">
              <w:rPr>
                <w:szCs w:val="20"/>
                <w:u w:color="FF0000"/>
              </w:rPr>
              <w:t xml:space="preserve"> of</w:t>
            </w:r>
            <w:r w:rsidRPr="00E83D27">
              <w:rPr>
                <w:szCs w:val="20"/>
                <w:u w:color="FF0000"/>
              </w:rPr>
              <w:t xml:space="preserve"> programmed death ligand 1 (PD</w:t>
            </w:r>
            <w:r w:rsidRPr="00E83D27">
              <w:rPr>
                <w:szCs w:val="20"/>
                <w:u w:color="FF0000"/>
              </w:rPr>
              <w:noBreakHyphen/>
              <w:t>L1)</w:t>
            </w:r>
            <w:r w:rsidRPr="00E83D27">
              <w:rPr>
                <w:rFonts w:cs="Times New Roman"/>
                <w:b/>
                <w:snapToGrid w:val="0"/>
                <w:color w:val="0000FF"/>
                <w:szCs w:val="20"/>
                <w:lang w:val="en-US"/>
              </w:rPr>
              <w:t xml:space="preserve"> </w:t>
            </w:r>
            <w:r w:rsidRPr="00E83D27">
              <w:rPr>
                <w:rFonts w:cs="Arial"/>
                <w:b/>
                <w:snapToGrid w:val="0"/>
                <w:color w:val="FF0000"/>
                <w:szCs w:val="20"/>
              </w:rPr>
              <w:t xml:space="preserve">expression </w:t>
            </w:r>
            <w:r w:rsidR="006E3F01">
              <w:rPr>
                <w:rFonts w:cs="Arial"/>
                <w:b/>
                <w:snapToGrid w:val="0"/>
                <w:color w:val="FF0000"/>
                <w:szCs w:val="20"/>
              </w:rPr>
              <w:t>i</w:t>
            </w:r>
            <w:r w:rsidRPr="00E83D27">
              <w:rPr>
                <w:rFonts w:cs="Arial"/>
                <w:b/>
                <w:snapToGrid w:val="0"/>
                <w:color w:val="FF0000"/>
                <w:szCs w:val="20"/>
              </w:rPr>
              <w:t xml:space="preserve">n tumour-infiltrating immune cells (IC) </w:t>
            </w:r>
            <w:r w:rsidR="00E83D27">
              <w:rPr>
                <w:rFonts w:cs="Arial"/>
                <w:b/>
                <w:snapToGrid w:val="0"/>
                <w:color w:val="FF0000"/>
                <w:szCs w:val="20"/>
              </w:rPr>
              <w:t>in</w:t>
            </w:r>
            <w:r w:rsidRPr="00E83D27">
              <w:rPr>
                <w:szCs w:val="20"/>
                <w:u w:color="FF0000"/>
              </w:rPr>
              <w:t xml:space="preserve"> tumour </w:t>
            </w:r>
            <w:r w:rsidRPr="00E83D27">
              <w:rPr>
                <w:rFonts w:cs="Arial"/>
                <w:b/>
                <w:snapToGrid w:val="0"/>
                <w:color w:val="FF0000"/>
                <w:szCs w:val="20"/>
              </w:rPr>
              <w:t>biopsy</w:t>
            </w:r>
            <w:r w:rsidRPr="00E83D27">
              <w:rPr>
                <w:szCs w:val="20"/>
                <w:u w:color="FF0000"/>
              </w:rPr>
              <w:t xml:space="preserve"> material from a patient diagnosed with </w:t>
            </w:r>
            <w:r w:rsidRPr="00E83D27">
              <w:rPr>
                <w:b/>
                <w:color w:val="FF0000"/>
                <w:szCs w:val="20"/>
                <w:u w:color="FF0000"/>
              </w:rPr>
              <w:t xml:space="preserve">unresectable </w:t>
            </w:r>
            <w:r w:rsidRPr="00E83D27">
              <w:rPr>
                <w:szCs w:val="20"/>
                <w:u w:color="FF0000"/>
              </w:rPr>
              <w:t xml:space="preserve">locally advanced or </w:t>
            </w:r>
            <w:r w:rsidRPr="00E83D27">
              <w:rPr>
                <w:b/>
                <w:color w:val="FF0000"/>
                <w:szCs w:val="20"/>
              </w:rPr>
              <w:t xml:space="preserve">metastatic </w:t>
            </w:r>
            <w:r w:rsidRPr="00E83D27">
              <w:rPr>
                <w:szCs w:val="20"/>
                <w:u w:color="FF0000"/>
              </w:rPr>
              <w:t xml:space="preserve">triple-negative breast cancer </w:t>
            </w:r>
            <w:r w:rsidRPr="00E83D27">
              <w:rPr>
                <w:b/>
                <w:color w:val="FF0000"/>
                <w:szCs w:val="20"/>
                <w:u w:color="FF0000"/>
              </w:rPr>
              <w:t>and an ECOG score of 0</w:t>
            </w:r>
            <w:r w:rsidRPr="00E83D27">
              <w:rPr>
                <w:b/>
                <w:color w:val="FF0000"/>
                <w:szCs w:val="20"/>
              </w:rPr>
              <w:t>–</w:t>
            </w:r>
            <w:r w:rsidRPr="00E83D27">
              <w:rPr>
                <w:b/>
                <w:color w:val="FF0000"/>
                <w:szCs w:val="20"/>
                <w:u w:color="FF0000"/>
              </w:rPr>
              <w:t>1</w:t>
            </w:r>
            <w:r w:rsidRPr="00E83D27">
              <w:rPr>
                <w:szCs w:val="20"/>
                <w:u w:color="FF0000"/>
              </w:rPr>
              <w:t>,</w:t>
            </w:r>
            <w:r w:rsidRPr="00E83D27">
              <w:rPr>
                <w:szCs w:val="20"/>
              </w:rPr>
              <w:t xml:space="preserve"> </w:t>
            </w:r>
            <w:r w:rsidRPr="00E83D27">
              <w:rPr>
                <w:b/>
                <w:color w:val="FF0000"/>
                <w:szCs w:val="20"/>
              </w:rPr>
              <w:t xml:space="preserve">requested by, or on behalf of, </w:t>
            </w:r>
            <w:r w:rsidR="006E3F01">
              <w:rPr>
                <w:b/>
                <w:color w:val="FF0000"/>
                <w:szCs w:val="20"/>
              </w:rPr>
              <w:t xml:space="preserve">a </w:t>
            </w:r>
            <w:r w:rsidRPr="00E83D27">
              <w:rPr>
                <w:b/>
                <w:color w:val="FF0000"/>
                <w:szCs w:val="20"/>
              </w:rPr>
              <w:t>specialist or consultant physician,</w:t>
            </w:r>
            <w:r w:rsidRPr="00E83D27">
              <w:rPr>
                <w:szCs w:val="20"/>
                <w:u w:color="FF0000"/>
              </w:rPr>
              <w:t xml:space="preserve"> to determine if the requirements relating to PD-L1 expression status for access to atezolizumab under the Pharmaceutical Benefits Scheme (PBS) are fulfilled.</w:t>
            </w:r>
          </w:p>
          <w:p w14:paraId="6852F11F" w14:textId="39F0E5E9" w:rsidR="00FB7568" w:rsidRPr="0015386A" w:rsidRDefault="00FB7568" w:rsidP="0015386A">
            <w:pPr>
              <w:spacing w:before="240" w:after="240"/>
              <w:rPr>
                <w:rFonts w:ascii="Arial Narrow" w:hAnsi="Arial Narrow" w:cs="Arial"/>
                <w:b/>
                <w:color w:val="FF0000"/>
                <w:sz w:val="20"/>
              </w:rPr>
            </w:pPr>
            <w:r w:rsidRPr="00E83D27">
              <w:rPr>
                <w:rFonts w:ascii="Arial Narrow" w:hAnsi="Arial Narrow" w:cs="Arial"/>
                <w:b/>
                <w:color w:val="FF0000"/>
                <w:sz w:val="20"/>
              </w:rPr>
              <w:t>This item must not be used more than once per patient.</w:t>
            </w:r>
          </w:p>
          <w:p w14:paraId="30A795E7" w14:textId="77777777" w:rsidR="00E83D27" w:rsidRDefault="00FB7568" w:rsidP="00A12B0E">
            <w:pPr>
              <w:pStyle w:val="TableText"/>
              <w:keepNext/>
              <w:spacing w:line="257" w:lineRule="auto"/>
              <w:rPr>
                <w:rFonts w:cs="Arial"/>
                <w:b/>
                <w:snapToGrid w:val="0"/>
                <w:color w:val="FF0000"/>
                <w:szCs w:val="20"/>
              </w:rPr>
            </w:pPr>
            <w:r w:rsidRPr="00E83D27">
              <w:rPr>
                <w:rFonts w:cs="Arial"/>
                <w:b/>
                <w:snapToGrid w:val="0"/>
                <w:color w:val="FF0000"/>
                <w:szCs w:val="20"/>
              </w:rPr>
              <w:t>Explanatory Note</w:t>
            </w:r>
            <w:r w:rsidR="00E83D27">
              <w:rPr>
                <w:rFonts w:cs="Arial"/>
                <w:b/>
                <w:snapToGrid w:val="0"/>
                <w:color w:val="FF0000"/>
                <w:szCs w:val="20"/>
              </w:rPr>
              <w:t>s</w:t>
            </w:r>
            <w:r w:rsidRPr="00E83D27">
              <w:rPr>
                <w:rFonts w:cs="Arial"/>
                <w:b/>
                <w:snapToGrid w:val="0"/>
                <w:color w:val="FF0000"/>
                <w:szCs w:val="20"/>
              </w:rPr>
              <w:t>:</w:t>
            </w:r>
          </w:p>
          <w:p w14:paraId="50F91996" w14:textId="41CB1DD4" w:rsidR="00FB7568" w:rsidRDefault="00FB7568" w:rsidP="00A12B0E">
            <w:pPr>
              <w:pStyle w:val="TableText"/>
              <w:keepNext/>
              <w:spacing w:line="257" w:lineRule="auto"/>
              <w:rPr>
                <w:rFonts w:cs="Arial"/>
                <w:b/>
                <w:snapToGrid w:val="0"/>
                <w:color w:val="FF0000"/>
                <w:szCs w:val="20"/>
              </w:rPr>
            </w:pPr>
            <w:r w:rsidRPr="00E83D27">
              <w:rPr>
                <w:rFonts w:cs="Arial"/>
                <w:b/>
                <w:snapToGrid w:val="0"/>
                <w:color w:val="FF0000"/>
                <w:szCs w:val="20"/>
              </w:rPr>
              <w:t>Where available, the most recent tissue sample should be tested in preference to an archival tissue sample.</w:t>
            </w:r>
          </w:p>
          <w:p w14:paraId="284434F8" w14:textId="232DBB68" w:rsidR="006E3F01" w:rsidRDefault="006E3F01" w:rsidP="00A12B0E">
            <w:pPr>
              <w:pStyle w:val="TableText"/>
              <w:keepNext/>
              <w:spacing w:line="257" w:lineRule="auto"/>
              <w:rPr>
                <w:rFonts w:cs="Arial"/>
                <w:b/>
                <w:snapToGrid w:val="0"/>
                <w:color w:val="FF0000"/>
                <w:szCs w:val="20"/>
              </w:rPr>
            </w:pPr>
            <w:r>
              <w:rPr>
                <w:rFonts w:cs="Arial"/>
                <w:b/>
                <w:snapToGrid w:val="0"/>
                <w:color w:val="FF0000"/>
                <w:szCs w:val="20"/>
              </w:rPr>
              <w:t xml:space="preserve">Triple-negative breast cancer is defined as </w:t>
            </w:r>
            <w:r w:rsidR="009200E2">
              <w:rPr>
                <w:rFonts w:cs="Arial"/>
                <w:b/>
                <w:snapToGrid w:val="0"/>
                <w:color w:val="FF0000"/>
                <w:szCs w:val="20"/>
              </w:rPr>
              <w:t xml:space="preserve">showing </w:t>
            </w:r>
            <w:r w:rsidR="009F127A">
              <w:rPr>
                <w:rFonts w:cs="Arial"/>
                <w:b/>
                <w:snapToGrid w:val="0"/>
                <w:color w:val="FF0000"/>
                <w:szCs w:val="20"/>
              </w:rPr>
              <w:t xml:space="preserve">less than 1% </w:t>
            </w:r>
            <w:r w:rsidR="009200E2">
              <w:rPr>
                <w:rFonts w:cs="Arial"/>
                <w:b/>
                <w:snapToGrid w:val="0"/>
                <w:color w:val="FF0000"/>
                <w:szCs w:val="20"/>
              </w:rPr>
              <w:t>positive</w:t>
            </w:r>
            <w:r w:rsidR="009F127A">
              <w:rPr>
                <w:rFonts w:cs="Arial"/>
                <w:b/>
                <w:snapToGrid w:val="0"/>
                <w:color w:val="FF0000"/>
                <w:szCs w:val="20"/>
              </w:rPr>
              <w:t xml:space="preserve"> nucle</w:t>
            </w:r>
            <w:r w:rsidR="009200E2">
              <w:rPr>
                <w:rFonts w:cs="Arial"/>
                <w:b/>
                <w:snapToGrid w:val="0"/>
                <w:color w:val="FF0000"/>
                <w:szCs w:val="20"/>
              </w:rPr>
              <w:t>ar staining</w:t>
            </w:r>
            <w:r w:rsidR="009F127A">
              <w:rPr>
                <w:rFonts w:cs="Arial"/>
                <w:b/>
                <w:snapToGrid w:val="0"/>
                <w:color w:val="FF0000"/>
                <w:szCs w:val="20"/>
              </w:rPr>
              <w:t xml:space="preserve"> for o</w:t>
            </w:r>
            <w:r w:rsidR="0007531D">
              <w:rPr>
                <w:rFonts w:cs="Arial"/>
                <w:b/>
                <w:snapToGrid w:val="0"/>
                <w:color w:val="FF0000"/>
                <w:szCs w:val="20"/>
              </w:rPr>
              <w:t>estrogen receptor</w:t>
            </w:r>
            <w:r w:rsidR="009200E2">
              <w:rPr>
                <w:rFonts w:cs="Arial"/>
                <w:b/>
                <w:snapToGrid w:val="0"/>
                <w:color w:val="FF0000"/>
                <w:szCs w:val="20"/>
              </w:rPr>
              <w:t xml:space="preserve"> and for</w:t>
            </w:r>
            <w:r w:rsidR="009F127A">
              <w:rPr>
                <w:rFonts w:cs="Arial"/>
                <w:b/>
                <w:snapToGrid w:val="0"/>
                <w:color w:val="FF0000"/>
                <w:szCs w:val="20"/>
              </w:rPr>
              <w:t xml:space="preserve"> </w:t>
            </w:r>
            <w:r w:rsidR="0007531D">
              <w:rPr>
                <w:rFonts w:cs="Arial"/>
                <w:b/>
                <w:snapToGrid w:val="0"/>
                <w:color w:val="FF0000"/>
                <w:szCs w:val="20"/>
              </w:rPr>
              <w:t>progest</w:t>
            </w:r>
            <w:r w:rsidR="009F127A">
              <w:rPr>
                <w:rFonts w:cs="Arial"/>
                <w:b/>
                <w:snapToGrid w:val="0"/>
                <w:color w:val="FF0000"/>
                <w:szCs w:val="20"/>
              </w:rPr>
              <w:t>er</w:t>
            </w:r>
            <w:r w:rsidR="0007531D">
              <w:rPr>
                <w:rFonts w:cs="Arial"/>
                <w:b/>
                <w:snapToGrid w:val="0"/>
                <w:color w:val="FF0000"/>
                <w:szCs w:val="20"/>
              </w:rPr>
              <w:t>on</w:t>
            </w:r>
            <w:r w:rsidR="009F127A">
              <w:rPr>
                <w:rFonts w:cs="Arial"/>
                <w:b/>
                <w:snapToGrid w:val="0"/>
                <w:color w:val="FF0000"/>
                <w:szCs w:val="20"/>
              </w:rPr>
              <w:t>e</w:t>
            </w:r>
            <w:r w:rsidR="0007531D">
              <w:rPr>
                <w:rFonts w:cs="Arial"/>
                <w:b/>
                <w:snapToGrid w:val="0"/>
                <w:color w:val="FF0000"/>
                <w:szCs w:val="20"/>
              </w:rPr>
              <w:t xml:space="preserve"> receptor</w:t>
            </w:r>
            <w:r w:rsidR="009F127A">
              <w:rPr>
                <w:rFonts w:cs="Arial"/>
                <w:b/>
                <w:snapToGrid w:val="0"/>
                <w:color w:val="FF0000"/>
                <w:szCs w:val="20"/>
              </w:rPr>
              <w:t xml:space="preserve">, and </w:t>
            </w:r>
            <w:r w:rsidR="009200E2" w:rsidRPr="009200E2">
              <w:rPr>
                <w:rFonts w:cs="Arial"/>
                <w:b/>
                <w:snapToGrid w:val="0"/>
                <w:color w:val="FF0000"/>
                <w:szCs w:val="20"/>
              </w:rPr>
              <w:t xml:space="preserve">negative overexpression/absence of gene amplification for </w:t>
            </w:r>
            <w:r w:rsidR="009F127A">
              <w:rPr>
                <w:rFonts w:cs="Arial"/>
                <w:b/>
                <w:snapToGrid w:val="0"/>
                <w:color w:val="FF0000"/>
                <w:szCs w:val="20"/>
              </w:rPr>
              <w:t>human</w:t>
            </w:r>
            <w:r w:rsidR="00193F47">
              <w:rPr>
                <w:rFonts w:cs="Arial"/>
                <w:b/>
                <w:snapToGrid w:val="0"/>
                <w:color w:val="FF0000"/>
                <w:szCs w:val="20"/>
              </w:rPr>
              <w:t xml:space="preserve"> epidermal growth factor receptor 2 (HER2 or c-erb-B2)</w:t>
            </w:r>
            <w:r>
              <w:rPr>
                <w:rFonts w:cs="Arial"/>
                <w:b/>
                <w:snapToGrid w:val="0"/>
                <w:color w:val="FF0000"/>
                <w:szCs w:val="20"/>
              </w:rPr>
              <w:t>.</w:t>
            </w:r>
          </w:p>
          <w:p w14:paraId="2902D310" w14:textId="0774F0DA" w:rsidR="006E3F01" w:rsidRDefault="006E3F01" w:rsidP="00A12B0E">
            <w:pPr>
              <w:pStyle w:val="TableText"/>
              <w:keepNext/>
              <w:spacing w:line="257" w:lineRule="auto"/>
              <w:rPr>
                <w:rFonts w:cs="Arial"/>
                <w:b/>
                <w:snapToGrid w:val="0"/>
                <w:color w:val="FF0000"/>
                <w:szCs w:val="20"/>
              </w:rPr>
            </w:pPr>
            <w:r w:rsidRPr="006E3F01">
              <w:rPr>
                <w:rFonts w:cs="Arial"/>
                <w:b/>
                <w:snapToGrid w:val="0"/>
                <w:color w:val="FF0000"/>
                <w:szCs w:val="20"/>
              </w:rPr>
              <w:t xml:space="preserve">PD-L1 expression on ICs covering </w:t>
            </w:r>
            <w:r>
              <w:rPr>
                <w:rFonts w:cs="Arial"/>
                <w:b/>
                <w:snapToGrid w:val="0"/>
                <w:color w:val="FF0000"/>
                <w:szCs w:val="20"/>
              </w:rPr>
              <w:t xml:space="preserve">greater than or equal to 1% </w:t>
            </w:r>
            <w:r w:rsidR="0007531D" w:rsidRPr="006E3F01">
              <w:rPr>
                <w:rFonts w:cs="Arial"/>
                <w:b/>
                <w:snapToGrid w:val="0"/>
                <w:color w:val="FF0000"/>
                <w:szCs w:val="20"/>
              </w:rPr>
              <w:t>of the tumour area</w:t>
            </w:r>
            <w:r w:rsidR="0007531D">
              <w:rPr>
                <w:rFonts w:cs="Arial"/>
                <w:b/>
                <w:snapToGrid w:val="0"/>
                <w:color w:val="FF0000"/>
                <w:szCs w:val="20"/>
              </w:rPr>
              <w:t xml:space="preserve"> </w:t>
            </w:r>
            <w:r>
              <w:rPr>
                <w:rFonts w:cs="Arial"/>
                <w:b/>
                <w:snapToGrid w:val="0"/>
                <w:color w:val="FF0000"/>
                <w:szCs w:val="20"/>
              </w:rPr>
              <w:t>is considered a positive PD-L1 score for PBS eligibility purposes.</w:t>
            </w:r>
          </w:p>
          <w:p w14:paraId="7F577BD6" w14:textId="3C7423A6" w:rsidR="00FB7568" w:rsidRPr="0015386A" w:rsidRDefault="009200E2" w:rsidP="0015386A">
            <w:pPr>
              <w:pStyle w:val="TableText"/>
              <w:keepNext/>
              <w:spacing w:after="240" w:line="257" w:lineRule="auto"/>
              <w:rPr>
                <w:rFonts w:cs="Arial"/>
                <w:b/>
                <w:snapToGrid w:val="0"/>
                <w:color w:val="FF0000"/>
                <w:szCs w:val="20"/>
              </w:rPr>
            </w:pPr>
            <w:r w:rsidRPr="009200E2">
              <w:rPr>
                <w:rFonts w:cs="Arial"/>
                <w:b/>
                <w:snapToGrid w:val="0"/>
                <w:color w:val="FF0000"/>
                <w:szCs w:val="20"/>
              </w:rPr>
              <w:t>A cytology sample is not an appropriate sample to test.</w:t>
            </w:r>
          </w:p>
          <w:p w14:paraId="5A36B39B" w14:textId="77777777" w:rsidR="00FB7568" w:rsidRPr="00E83D27" w:rsidRDefault="00FB7568" w:rsidP="0015386A">
            <w:pPr>
              <w:pStyle w:val="TableText"/>
              <w:keepNext/>
              <w:spacing w:line="257" w:lineRule="auto"/>
              <w:rPr>
                <w:szCs w:val="20"/>
              </w:rPr>
            </w:pPr>
            <w:r w:rsidRPr="00E83D27">
              <w:rPr>
                <w:szCs w:val="20"/>
                <w:u w:color="FF0000"/>
              </w:rPr>
              <w:t xml:space="preserve">Fee:  </w:t>
            </w:r>
            <w:r w:rsidRPr="007B37DD">
              <w:rPr>
                <w:szCs w:val="20"/>
                <w:u w:color="FF0000"/>
              </w:rPr>
              <w:t>$</w:t>
            </w:r>
            <w:r w:rsidRPr="007F1846">
              <w:rPr>
                <w:szCs w:val="20"/>
                <w:u w:color="FF0000"/>
              </w:rPr>
              <w:t>74.50</w:t>
            </w:r>
            <w:r w:rsidRPr="00C87817">
              <w:rPr>
                <w:szCs w:val="20"/>
                <w:u w:color="FF0000"/>
              </w:rPr>
              <w:t xml:space="preserve"> </w:t>
            </w:r>
            <w:r w:rsidRPr="00C87817">
              <w:rPr>
                <w:szCs w:val="20"/>
              </w:rPr>
              <w:t>Benefit: 75% = $</w:t>
            </w:r>
            <w:r w:rsidRPr="007F1846">
              <w:rPr>
                <w:szCs w:val="20"/>
              </w:rPr>
              <w:t>55.90</w:t>
            </w:r>
            <w:r w:rsidRPr="00C87817">
              <w:rPr>
                <w:szCs w:val="20"/>
              </w:rPr>
              <w:t xml:space="preserve"> 85% = $</w:t>
            </w:r>
            <w:r w:rsidRPr="007F1846">
              <w:rPr>
                <w:szCs w:val="20"/>
              </w:rPr>
              <w:t>63.35</w:t>
            </w:r>
          </w:p>
        </w:tc>
      </w:tr>
    </w:tbl>
    <w:p w14:paraId="62A8B620" w14:textId="6E03F899" w:rsidR="00FB7568" w:rsidRPr="00036446" w:rsidRDefault="00FB7568" w:rsidP="00FB7568">
      <w:pPr>
        <w:pStyle w:val="TableFooter"/>
        <w:jc w:val="left"/>
      </w:pPr>
      <w:r w:rsidRPr="00036446">
        <w:t>N</w:t>
      </w:r>
      <w:r w:rsidRPr="0000352B">
        <w:rPr>
          <w:szCs w:val="18"/>
        </w:rPr>
        <w:t xml:space="preserve">ote: </w:t>
      </w:r>
      <w:r>
        <w:t>T</w:t>
      </w:r>
      <w:r w:rsidRPr="00036446">
        <w:t>ext in</w:t>
      </w:r>
      <w:r w:rsidRPr="005372DA">
        <w:rPr>
          <w:b/>
        </w:rPr>
        <w:t xml:space="preserve"> </w:t>
      </w:r>
      <w:r w:rsidRPr="005372DA">
        <w:rPr>
          <w:b/>
          <w:color w:val="FF0000"/>
        </w:rPr>
        <w:t>bold red font</w:t>
      </w:r>
      <w:r>
        <w:t xml:space="preserve"> indicates the ESC</w:t>
      </w:r>
      <w:r w:rsidR="007044B0">
        <w:t>s</w:t>
      </w:r>
      <w:r>
        <w:t xml:space="preserve"> or MSAC proposed </w:t>
      </w:r>
      <w:r w:rsidRPr="00036446">
        <w:t>amendment</w:t>
      </w:r>
      <w:r w:rsidR="007044B0">
        <w:t>s</w:t>
      </w:r>
      <w:r w:rsidRPr="00036446">
        <w:t xml:space="preserve"> to the listing.</w:t>
      </w:r>
    </w:p>
    <w:p w14:paraId="1A643B51" w14:textId="3CF2C2F8" w:rsidR="00810EDB" w:rsidRPr="0089223A" w:rsidRDefault="005F5982" w:rsidP="005F5982">
      <w:r>
        <w:t xml:space="preserve">MSAC was inclined </w:t>
      </w:r>
      <w:r w:rsidRPr="00FD4F35">
        <w:t>to support the application, but deferred its advice until such time as the PBAC recommends the co</w:t>
      </w:r>
      <w:r w:rsidR="00324507">
        <w:t>dependent</w:t>
      </w:r>
      <w:r w:rsidRPr="00FD4F35">
        <w:t xml:space="preserve"> PBS listing of atezolizumab.</w:t>
      </w:r>
      <w:r>
        <w:t xml:space="preserve"> Following </w:t>
      </w:r>
      <w:r w:rsidR="0089223A">
        <w:t>a</w:t>
      </w:r>
      <w:r>
        <w:t xml:space="preserve"> PBAC recommendation, MSAC </w:t>
      </w:r>
      <w:r w:rsidR="0089223A">
        <w:t xml:space="preserve">will reconsider its advice based on a streamlined codependent </w:t>
      </w:r>
      <w:r w:rsidR="00324507">
        <w:t>submission</w:t>
      </w:r>
      <w:r>
        <w:t>.</w:t>
      </w:r>
    </w:p>
    <w:p w14:paraId="12444CF3" w14:textId="77777777" w:rsidR="00810EDB" w:rsidRPr="00F715D1" w:rsidRDefault="00810EDB" w:rsidP="00810EDB">
      <w:pPr>
        <w:pStyle w:val="Heading1"/>
      </w:pPr>
      <w:r w:rsidRPr="00F715D1">
        <w:t>Background</w:t>
      </w:r>
    </w:p>
    <w:p w14:paraId="6148B46E" w14:textId="77777777" w:rsidR="008015E7" w:rsidRPr="009F4EBD" w:rsidRDefault="008015E7" w:rsidP="0012532E">
      <w:pPr>
        <w:pStyle w:val="MSACESParagraph"/>
      </w:pPr>
      <w:r>
        <w:t>IHC</w:t>
      </w:r>
      <w:r w:rsidRPr="009F4EBD">
        <w:t xml:space="preserve"> testing for the evaluation of PD-L1 expression in patients diagnosed with unresectable locally advanced o</w:t>
      </w:r>
      <w:r>
        <w:t>r</w:t>
      </w:r>
      <w:r w:rsidRPr="009F4EBD">
        <w:t xml:space="preserve"> m</w:t>
      </w:r>
      <w:r>
        <w:rPr>
          <w:color w:val="000000"/>
        </w:rPr>
        <w:t xml:space="preserve">etastatic </w:t>
      </w:r>
      <w:r w:rsidRPr="009F4EBD">
        <w:t>TNBC has not bee</w:t>
      </w:r>
      <w:r>
        <w:t>n previously considered by MSAC.</w:t>
      </w:r>
    </w:p>
    <w:p w14:paraId="3D3EDBF8" w14:textId="6FB84556" w:rsidR="008015E7" w:rsidRPr="008A66E8" w:rsidRDefault="008015E7" w:rsidP="008015E7">
      <w:pPr>
        <w:pStyle w:val="MSACESParagraph"/>
      </w:pPr>
      <w:r w:rsidRPr="008A66E8">
        <w:t xml:space="preserve">PASC considered the PICO Confirmation for </w:t>
      </w:r>
      <w:r w:rsidR="00F0130D" w:rsidRPr="008A66E8">
        <w:t>A</w:t>
      </w:r>
      <w:r w:rsidRPr="008A66E8">
        <w:t xml:space="preserve">pplication 1570 - </w:t>
      </w:r>
      <w:r w:rsidRPr="0012025A">
        <w:rPr>
          <w:rStyle w:val="InstructionalTextChar"/>
          <w:rFonts w:ascii="Times New Roman" w:hAnsi="Times New Roman" w:cs="Times New Roman"/>
          <w:color w:val="auto"/>
        </w:rPr>
        <w:t>PD-L1 testing</w:t>
      </w:r>
      <w:r w:rsidRPr="0012025A">
        <w:t xml:space="preserve"> </w:t>
      </w:r>
      <w:r w:rsidRPr="008A66E8">
        <w:t xml:space="preserve">for access to atezolizumab for the treatment of locally advanced or metastatic </w:t>
      </w:r>
      <w:r w:rsidR="0012532E">
        <w:t>TNBC</w:t>
      </w:r>
      <w:r w:rsidRPr="008A66E8">
        <w:t xml:space="preserve"> at its April 2019 meeting.</w:t>
      </w:r>
    </w:p>
    <w:p w14:paraId="2F89842C" w14:textId="77777777" w:rsidR="008015E7" w:rsidRPr="009F4EBD" w:rsidRDefault="008015E7" w:rsidP="008015E7">
      <w:pPr>
        <w:pStyle w:val="MSACESParagraph"/>
      </w:pPr>
      <w:r w:rsidRPr="009F4EBD">
        <w:t xml:space="preserve">The concerns raised by PASC and how these have been addressed by the submission are listed in </w:t>
      </w:r>
      <w:r>
        <w:t>Table 1.</w:t>
      </w:r>
    </w:p>
    <w:p w14:paraId="49A065F9" w14:textId="77777777" w:rsidR="008015E7" w:rsidRPr="00B90F39" w:rsidRDefault="008015E7" w:rsidP="00B90F39">
      <w:pPr>
        <w:rPr>
          <w:rFonts w:ascii="Arial Narrow" w:hAnsi="Arial Narrow"/>
          <w:b/>
          <w:sz w:val="20"/>
        </w:rPr>
      </w:pPr>
      <w:bookmarkStart w:id="0" w:name="_Ref27403935"/>
      <w:r w:rsidRPr="00B90F39">
        <w:rPr>
          <w:rFonts w:ascii="Arial Narrow" w:hAnsi="Arial Narrow"/>
          <w:b/>
          <w:sz w:val="20"/>
        </w:rPr>
        <w:t xml:space="preserve">Table </w:t>
      </w:r>
      <w:bookmarkEnd w:id="0"/>
      <w:r w:rsidRPr="00B90F39">
        <w:rPr>
          <w:rFonts w:ascii="Arial Narrow" w:hAnsi="Arial Narrow"/>
          <w:b/>
          <w:sz w:val="20"/>
        </w:rPr>
        <w:t>1: PASC concerns and how these were addressed in the submission</w:t>
      </w:r>
    </w:p>
    <w:tbl>
      <w:tblPr>
        <w:tblStyle w:val="TableGrid"/>
        <w:tblW w:w="9242" w:type="dxa"/>
        <w:shd w:val="clear" w:color="auto" w:fill="FFFFFF" w:themeFill="background1"/>
        <w:tblLayout w:type="fixed"/>
        <w:tblCellMar>
          <w:left w:w="28" w:type="dxa"/>
          <w:right w:w="28" w:type="dxa"/>
        </w:tblCellMar>
        <w:tblLook w:val="04A0" w:firstRow="1" w:lastRow="0" w:firstColumn="1" w:lastColumn="0" w:noHBand="0" w:noVBand="1"/>
        <w:tblCaption w:val="Table 1: PASC concerns and how these were addressed in the submission"/>
        <w:tblDescription w:val="Summary of PASC issues and how submission adressed them"/>
      </w:tblPr>
      <w:tblGrid>
        <w:gridCol w:w="4248"/>
        <w:gridCol w:w="4994"/>
      </w:tblGrid>
      <w:tr w:rsidR="008015E7" w:rsidRPr="009F4EBD" w14:paraId="6D5DB120" w14:textId="77777777" w:rsidTr="00E84BDF">
        <w:trPr>
          <w:tblHeader/>
        </w:trPr>
        <w:tc>
          <w:tcPr>
            <w:tcW w:w="4248" w:type="dxa"/>
            <w:shd w:val="clear" w:color="auto" w:fill="auto"/>
          </w:tcPr>
          <w:p w14:paraId="2974E111" w14:textId="77777777" w:rsidR="008015E7" w:rsidRPr="00F02AEC" w:rsidRDefault="008015E7" w:rsidP="00E84BDF">
            <w:pPr>
              <w:pStyle w:val="TableText"/>
            </w:pPr>
            <w:r w:rsidRPr="00F02AEC">
              <w:t>PASC issue (1570 Ratified PASC Outcome, April 2019)</w:t>
            </w:r>
          </w:p>
        </w:tc>
        <w:tc>
          <w:tcPr>
            <w:tcW w:w="4994" w:type="dxa"/>
            <w:shd w:val="clear" w:color="auto" w:fill="auto"/>
          </w:tcPr>
          <w:p w14:paraId="03EB1A54" w14:textId="77777777" w:rsidR="008015E7" w:rsidRPr="00F02AEC" w:rsidRDefault="008015E7" w:rsidP="00E84BDF">
            <w:pPr>
              <w:pStyle w:val="TableText"/>
            </w:pPr>
            <w:r w:rsidRPr="00F02AEC">
              <w:t>How it wa</w:t>
            </w:r>
            <w:r>
              <w:t>s addressed in the submission</w:t>
            </w:r>
          </w:p>
        </w:tc>
      </w:tr>
      <w:tr w:rsidR="008015E7" w:rsidRPr="009F4EBD" w14:paraId="3003CA08" w14:textId="77777777" w:rsidTr="00E84BDF">
        <w:tc>
          <w:tcPr>
            <w:tcW w:w="4248" w:type="dxa"/>
            <w:shd w:val="clear" w:color="auto" w:fill="FFFFFF" w:themeFill="background1"/>
          </w:tcPr>
          <w:p w14:paraId="3E6103B3" w14:textId="77777777" w:rsidR="008015E7" w:rsidRPr="00F02AEC" w:rsidRDefault="008015E7" w:rsidP="00E84BDF">
            <w:pPr>
              <w:pStyle w:val="TableText"/>
            </w:pPr>
            <w:r w:rsidRPr="00F02AEC">
              <w:t>PASC recommended that the TNBC population should include men.</w:t>
            </w:r>
          </w:p>
        </w:tc>
        <w:tc>
          <w:tcPr>
            <w:tcW w:w="4994" w:type="dxa"/>
            <w:shd w:val="clear" w:color="auto" w:fill="FFFFFF" w:themeFill="background1"/>
          </w:tcPr>
          <w:p w14:paraId="2AD7B33C" w14:textId="77777777" w:rsidR="008015E7" w:rsidRPr="009F4EBD" w:rsidRDefault="008015E7" w:rsidP="00E84BDF">
            <w:pPr>
              <w:pStyle w:val="TableText"/>
              <w:rPr>
                <w:i/>
              </w:rPr>
            </w:pPr>
            <w:r w:rsidRPr="009F4EBD">
              <w:rPr>
                <w:i/>
              </w:rPr>
              <w:t xml:space="preserve">Men (n=4/902) were included in the key IMpassion130 trial and have not </w:t>
            </w:r>
            <w:r>
              <w:rPr>
                <w:i/>
              </w:rPr>
              <w:t>been excluded by the submission.</w:t>
            </w:r>
          </w:p>
        </w:tc>
      </w:tr>
      <w:tr w:rsidR="008015E7" w:rsidRPr="009F4EBD" w14:paraId="658EC505" w14:textId="77777777" w:rsidTr="00E84BDF">
        <w:tc>
          <w:tcPr>
            <w:tcW w:w="4248" w:type="dxa"/>
            <w:shd w:val="clear" w:color="auto" w:fill="FFFFFF" w:themeFill="background1"/>
          </w:tcPr>
          <w:p w14:paraId="1C6A6874" w14:textId="77777777" w:rsidR="008015E7" w:rsidRPr="00F02AEC" w:rsidRDefault="008015E7" w:rsidP="00E84BDF">
            <w:pPr>
              <w:pStyle w:val="TableText"/>
            </w:pPr>
            <w:r w:rsidRPr="00F02AEC">
              <w:t>PASC noted that the estimated population in the final PICO only included patients with metastatic and not locally advanced disease, so is likely to be an underestimate.</w:t>
            </w:r>
          </w:p>
        </w:tc>
        <w:tc>
          <w:tcPr>
            <w:tcW w:w="4994" w:type="dxa"/>
            <w:shd w:val="clear" w:color="auto" w:fill="FFFFFF" w:themeFill="background1"/>
          </w:tcPr>
          <w:p w14:paraId="3935F1EC" w14:textId="6DFB5DDA" w:rsidR="008015E7" w:rsidRPr="009F4EBD" w:rsidRDefault="008015E7" w:rsidP="0015386A">
            <w:pPr>
              <w:pStyle w:val="TableText"/>
              <w:spacing w:after="240" w:line="257" w:lineRule="auto"/>
            </w:pPr>
            <w:r w:rsidRPr="009F4EBD">
              <w:t>Unresectable locally advanced TNBC patients represented 9.8% of the total patient population in the IMpassion130 trial and the submission predict</w:t>
            </w:r>
            <w:r w:rsidR="00E84BDF">
              <w:t>ed</w:t>
            </w:r>
            <w:r w:rsidRPr="009F4EBD">
              <w:t xml:space="preserve"> </w:t>
            </w:r>
            <w:r>
              <w:t xml:space="preserve">there would be </w:t>
            </w:r>
            <w:r w:rsidRPr="009F4EBD">
              <w:t>a similar proportion in the eligible Australian population. Khan et al (2019)</w:t>
            </w:r>
            <w:r w:rsidRPr="009F4EBD">
              <w:rPr>
                <w:vertAlign w:val="superscript"/>
              </w:rPr>
              <w:t>a</w:t>
            </w:r>
            <w:r w:rsidRPr="009F4EBD">
              <w:t xml:space="preserve"> </w:t>
            </w:r>
            <w:r w:rsidR="00E84BDF" w:rsidRPr="009F4EBD">
              <w:t>in South</w:t>
            </w:r>
            <w:r w:rsidR="00E84BDF">
              <w:t xml:space="preserve"> </w:t>
            </w:r>
            <w:r w:rsidR="00E84BDF" w:rsidRPr="009F4EBD">
              <w:t xml:space="preserve">Western Sydney </w:t>
            </w:r>
            <w:r w:rsidRPr="009F4EBD">
              <w:t>found that unresectable locally advanced TNBC represented 18% and m</w:t>
            </w:r>
            <w:r>
              <w:t xml:space="preserve">etastatic </w:t>
            </w:r>
            <w:r w:rsidRPr="009F4EBD">
              <w:t xml:space="preserve">TNBC 82% of a </w:t>
            </w:r>
            <w:r w:rsidR="00E84BDF">
              <w:t>p</w:t>
            </w:r>
            <w:r w:rsidRPr="009F4EBD">
              <w:t>opulation-</w:t>
            </w:r>
            <w:r w:rsidR="00E84BDF">
              <w:t>b</w:t>
            </w:r>
            <w:r w:rsidRPr="009F4EBD">
              <w:t xml:space="preserve">ased </w:t>
            </w:r>
            <w:r w:rsidR="00E84BDF">
              <w:t>c</w:t>
            </w:r>
            <w:r w:rsidRPr="009F4EBD">
              <w:t xml:space="preserve">ohort. </w:t>
            </w:r>
            <w:r w:rsidRPr="009F4EBD">
              <w:rPr>
                <w:i/>
              </w:rPr>
              <w:t>Thus, the addition of patients with unresectable locally advanced TNBC is likely to increase the population by 10-20%</w:t>
            </w:r>
            <w:r>
              <w:rPr>
                <w:i/>
              </w:rPr>
              <w:t>.</w:t>
            </w:r>
          </w:p>
        </w:tc>
      </w:tr>
      <w:tr w:rsidR="008015E7" w:rsidRPr="009F4EBD" w14:paraId="587CCBB0" w14:textId="77777777" w:rsidTr="00E84BDF">
        <w:tc>
          <w:tcPr>
            <w:tcW w:w="4248" w:type="dxa"/>
            <w:tcBorders>
              <w:bottom w:val="single" w:sz="4" w:space="0" w:color="auto"/>
            </w:tcBorders>
            <w:shd w:val="clear" w:color="auto" w:fill="FFFFFF" w:themeFill="background1"/>
          </w:tcPr>
          <w:p w14:paraId="31294C4D" w14:textId="77777777" w:rsidR="008015E7" w:rsidRPr="00F02AEC" w:rsidRDefault="008015E7" w:rsidP="00E84BDF">
            <w:pPr>
              <w:pStyle w:val="TableText"/>
            </w:pPr>
            <w:r w:rsidRPr="00F02AEC">
              <w:lastRenderedPageBreak/>
              <w:t>PASC noted that ER-positive tumours are those with ER &gt;1%, but expression of ER antigens can be dramatically affected by how tissue is fixed and processed, and the staining platform used. The true rate of ER-negative tumours may therefore be much lower than 20%.</w:t>
            </w:r>
          </w:p>
        </w:tc>
        <w:tc>
          <w:tcPr>
            <w:tcW w:w="4994" w:type="dxa"/>
            <w:tcBorders>
              <w:bottom w:val="single" w:sz="4" w:space="0" w:color="auto"/>
            </w:tcBorders>
            <w:shd w:val="clear" w:color="auto" w:fill="FFFFFF" w:themeFill="background1"/>
          </w:tcPr>
          <w:p w14:paraId="1860E6A3" w14:textId="77777777" w:rsidR="008015E7" w:rsidRPr="009F4EBD" w:rsidRDefault="008015E7" w:rsidP="00E84BDF">
            <w:pPr>
              <w:pStyle w:val="TableText"/>
              <w:rPr>
                <w:i/>
              </w:rPr>
            </w:pPr>
            <w:r w:rsidRPr="009F4EBD">
              <w:rPr>
                <w:i/>
              </w:rPr>
              <w:t>This was not addressed by the submission</w:t>
            </w:r>
            <w:r>
              <w:rPr>
                <w:i/>
              </w:rPr>
              <w:t>.</w:t>
            </w:r>
          </w:p>
        </w:tc>
      </w:tr>
      <w:tr w:rsidR="008015E7" w:rsidRPr="009F4EBD" w14:paraId="3D572B87" w14:textId="77777777" w:rsidTr="00E84B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PrEx>
        <w:tc>
          <w:tcPr>
            <w:tcW w:w="4248" w:type="dxa"/>
            <w:tcBorders>
              <w:top w:val="single" w:sz="4" w:space="0" w:color="auto"/>
              <w:left w:val="single" w:sz="4" w:space="0" w:color="auto"/>
              <w:bottom w:val="single" w:sz="4" w:space="0" w:color="auto"/>
              <w:right w:val="single" w:sz="4" w:space="0" w:color="auto"/>
            </w:tcBorders>
          </w:tcPr>
          <w:p w14:paraId="469EFBEC" w14:textId="77777777" w:rsidR="008015E7" w:rsidRPr="00F02AEC" w:rsidRDefault="008015E7" w:rsidP="00E84BDF">
            <w:pPr>
              <w:pStyle w:val="TableText"/>
            </w:pPr>
            <w:r w:rsidRPr="00F02AEC">
              <w:t xml:space="preserve">PASC queried whether the </w:t>
            </w:r>
            <w:r w:rsidRPr="00F02AEC">
              <w:rPr>
                <w:i/>
              </w:rPr>
              <w:t>BRCA1/2</w:t>
            </w:r>
            <w:r w:rsidRPr="00F02AEC">
              <w:t xml:space="preserve"> status of patients would affect outcomes. The applicant stated that about 15% of patients in the IMpassion130 trial were </w:t>
            </w:r>
            <w:r w:rsidRPr="00F02AEC">
              <w:rPr>
                <w:i/>
              </w:rPr>
              <w:t>BRCA1/2</w:t>
            </w:r>
            <w:r w:rsidRPr="00F02AEC">
              <w:t xml:space="preserve"> positive and outcomes did not depend on </w:t>
            </w:r>
            <w:r w:rsidRPr="00F02AEC">
              <w:rPr>
                <w:i/>
              </w:rPr>
              <w:t>BRCA1/2</w:t>
            </w:r>
            <w:r w:rsidRPr="00F02AEC">
              <w:t xml:space="preserve"> status. This data need</w:t>
            </w:r>
            <w:r>
              <w:t>ed</w:t>
            </w:r>
            <w:r w:rsidRPr="00F02AEC">
              <w:t xml:space="preserve"> to be clarified.</w:t>
            </w:r>
          </w:p>
        </w:tc>
        <w:tc>
          <w:tcPr>
            <w:tcW w:w="4994" w:type="dxa"/>
            <w:tcBorders>
              <w:top w:val="single" w:sz="4" w:space="0" w:color="auto"/>
              <w:left w:val="single" w:sz="4" w:space="0" w:color="auto"/>
              <w:bottom w:val="single" w:sz="4" w:space="0" w:color="auto"/>
              <w:right w:val="single" w:sz="4" w:space="0" w:color="auto"/>
            </w:tcBorders>
          </w:tcPr>
          <w:p w14:paraId="5C337688" w14:textId="2B300C84" w:rsidR="008015E7" w:rsidRPr="009F4EBD" w:rsidRDefault="008015E7" w:rsidP="00452E95">
            <w:pPr>
              <w:pStyle w:val="TableText"/>
            </w:pPr>
            <w:r w:rsidRPr="009F4EBD">
              <w:t xml:space="preserve">This issue </w:t>
            </w:r>
            <w:r>
              <w:t xml:space="preserve">was </w:t>
            </w:r>
            <w:r w:rsidRPr="009F4EBD">
              <w:t xml:space="preserve">addressed of the </w:t>
            </w:r>
            <w:r>
              <w:t>s</w:t>
            </w:r>
            <w:r w:rsidRPr="009F4EBD">
              <w:t>ubmission</w:t>
            </w:r>
            <w:r w:rsidR="00F43B34">
              <w:t>, which</w:t>
            </w:r>
            <w:r w:rsidRPr="009F4EBD">
              <w:t xml:space="preserve"> reported that patients with </w:t>
            </w:r>
            <w:r w:rsidRPr="00DE5FC8">
              <w:rPr>
                <w:i/>
              </w:rPr>
              <w:t>BRCA1/2</w:t>
            </w:r>
            <w:r w:rsidRPr="009F4EBD">
              <w:t xml:space="preserve"> </w:t>
            </w:r>
            <w:r w:rsidRPr="005C6F0D">
              <w:t xml:space="preserve">deleterious mutations </w:t>
            </w:r>
            <w:r w:rsidRPr="009F4EBD">
              <w:t xml:space="preserve">derived clinical benefit (PFS/OS) only if their tumours were also PD-L1 IC positive. </w:t>
            </w:r>
            <w:r w:rsidRPr="00A222A7">
              <w:rPr>
                <w:i/>
              </w:rPr>
              <w:t xml:space="preserve">This contradicts the findings </w:t>
            </w:r>
            <w:r>
              <w:rPr>
                <w:i/>
              </w:rPr>
              <w:t xml:space="preserve">observed </w:t>
            </w:r>
            <w:r w:rsidRPr="00A222A7">
              <w:rPr>
                <w:i/>
              </w:rPr>
              <w:t xml:space="preserve">during </w:t>
            </w:r>
            <w:r>
              <w:rPr>
                <w:i/>
              </w:rPr>
              <w:t xml:space="preserve">the </w:t>
            </w:r>
            <w:r w:rsidRPr="00A222A7">
              <w:rPr>
                <w:i/>
              </w:rPr>
              <w:t>evaluation whe</w:t>
            </w:r>
            <w:r>
              <w:rPr>
                <w:i/>
              </w:rPr>
              <w:t>r</w:t>
            </w:r>
            <w:r w:rsidRPr="00A222A7">
              <w:rPr>
                <w:i/>
              </w:rPr>
              <w:t>e the OS HR point estimates suggest that</w:t>
            </w:r>
            <w:r>
              <w:rPr>
                <w:i/>
              </w:rPr>
              <w:t>,</w:t>
            </w:r>
            <w:r w:rsidRPr="00A222A7">
              <w:rPr>
                <w:i/>
              </w:rPr>
              <w:t xml:space="preserve"> </w:t>
            </w:r>
            <w:r>
              <w:rPr>
                <w:i/>
              </w:rPr>
              <w:t>irrespective</w:t>
            </w:r>
            <w:r w:rsidRPr="00A222A7">
              <w:rPr>
                <w:i/>
              </w:rPr>
              <w:t xml:space="preserve"> of PD-L1 status, patients with </w:t>
            </w:r>
            <w:r w:rsidRPr="00A222A7">
              <w:t>BRCA1/2</w:t>
            </w:r>
            <w:r w:rsidRPr="00A222A7">
              <w:rPr>
                <w:i/>
              </w:rPr>
              <w:t xml:space="preserve"> deleterious mutations may have a </w:t>
            </w:r>
            <w:r w:rsidRPr="00946DFF">
              <w:rPr>
                <w:i/>
                <w:u w:val="single"/>
              </w:rPr>
              <w:t>poorer</w:t>
            </w:r>
            <w:r w:rsidRPr="00A222A7">
              <w:rPr>
                <w:i/>
              </w:rPr>
              <w:t xml:space="preserve"> response to atezolizumab plus </w:t>
            </w:r>
            <w:r w:rsidRPr="005358E0">
              <w:rPr>
                <w:i/>
              </w:rPr>
              <w:t>nanoparticle albumin</w:t>
            </w:r>
            <w:r w:rsidR="00452E95">
              <w:rPr>
                <w:i/>
              </w:rPr>
              <w:t>-</w:t>
            </w:r>
            <w:r w:rsidRPr="005358E0">
              <w:rPr>
                <w:i/>
              </w:rPr>
              <w:t xml:space="preserve">bound paclitaxel </w:t>
            </w:r>
            <w:r>
              <w:rPr>
                <w:i/>
              </w:rPr>
              <w:t>(</w:t>
            </w:r>
            <w:r w:rsidRPr="00A222A7">
              <w:rPr>
                <w:i/>
              </w:rPr>
              <w:t>nab-</w:t>
            </w:r>
            <w:r>
              <w:rPr>
                <w:i/>
              </w:rPr>
              <w:t>P)</w:t>
            </w:r>
            <w:r w:rsidRPr="00A222A7">
              <w:rPr>
                <w:i/>
              </w:rPr>
              <w:t xml:space="preserve"> over nab-</w:t>
            </w:r>
            <w:r>
              <w:rPr>
                <w:i/>
              </w:rPr>
              <w:t>P</w:t>
            </w:r>
            <w:r w:rsidRPr="00A222A7">
              <w:rPr>
                <w:i/>
              </w:rPr>
              <w:t xml:space="preserve"> alone than patients with wild type </w:t>
            </w:r>
            <w:r w:rsidRPr="00A222A7">
              <w:t xml:space="preserve">BRCA1/2 </w:t>
            </w:r>
            <w:r w:rsidRPr="00A222A7">
              <w:rPr>
                <w:i/>
              </w:rPr>
              <w:t xml:space="preserve">genes. This result is uncertain due to the small number of patients who had </w:t>
            </w:r>
            <w:r w:rsidRPr="00A222A7">
              <w:t>BRCA1/2</w:t>
            </w:r>
            <w:r w:rsidRPr="00A222A7">
              <w:rPr>
                <w:i/>
              </w:rPr>
              <w:t xml:space="preserve"> deleterious mutations.</w:t>
            </w:r>
          </w:p>
        </w:tc>
      </w:tr>
      <w:tr w:rsidR="008015E7" w:rsidRPr="009F4EBD" w14:paraId="7C43634D" w14:textId="77777777" w:rsidTr="00E84BDF">
        <w:tc>
          <w:tcPr>
            <w:tcW w:w="4248" w:type="dxa"/>
            <w:tcBorders>
              <w:top w:val="single" w:sz="4" w:space="0" w:color="auto"/>
            </w:tcBorders>
            <w:shd w:val="clear" w:color="auto" w:fill="FFFFFF" w:themeFill="background1"/>
          </w:tcPr>
          <w:p w14:paraId="542DB801" w14:textId="77777777" w:rsidR="008015E7" w:rsidRPr="00F02AEC" w:rsidRDefault="008015E7" w:rsidP="00E84BDF">
            <w:pPr>
              <w:pStyle w:val="TableText"/>
            </w:pPr>
            <w:r w:rsidRPr="00F02AEC">
              <w:t xml:space="preserve">PASC noted that the available IHC assays differ in the cell types and thresholds used to define PD-L1 positivity. PASC expressed concern about the comparability of the different assays, noting that </w:t>
            </w:r>
            <w:r>
              <w:t>atezolizumab</w:t>
            </w:r>
            <w:r w:rsidRPr="00F02AEC">
              <w:t xml:space="preserve"> results had not been validated on other platforms.</w:t>
            </w:r>
          </w:p>
        </w:tc>
        <w:tc>
          <w:tcPr>
            <w:tcW w:w="4994" w:type="dxa"/>
            <w:tcBorders>
              <w:top w:val="single" w:sz="4" w:space="0" w:color="auto"/>
            </w:tcBorders>
            <w:shd w:val="clear" w:color="auto" w:fill="FFFFFF" w:themeFill="background1"/>
          </w:tcPr>
          <w:p w14:paraId="78F8CFA8" w14:textId="77DFF130" w:rsidR="008015E7" w:rsidRPr="009F4EBD" w:rsidRDefault="008015E7" w:rsidP="008C7991">
            <w:pPr>
              <w:pStyle w:val="TableText"/>
            </w:pPr>
            <w:r w:rsidRPr="009F4EBD">
              <w:t>This was addressed by the submission</w:t>
            </w:r>
            <w:r w:rsidR="00F43B34">
              <w:t>, which</w:t>
            </w:r>
            <w:r w:rsidRPr="009F4EBD">
              <w:t xml:space="preserve"> concluded that the patients assessed as being PD-L1</w:t>
            </w:r>
            <w:r w:rsidR="008C7991">
              <w:t xml:space="preserve"> </w:t>
            </w:r>
            <w:r w:rsidRPr="009F4EBD">
              <w:t>positive obtained clinical benefit from treatment with atezolizumab plus nab-</w:t>
            </w:r>
            <w:r>
              <w:t>P,</w:t>
            </w:r>
            <w:r w:rsidR="005D3915">
              <w:t xml:space="preserve"> whereas those who were PD-L1 </w:t>
            </w:r>
            <w:r w:rsidRPr="009F4EBD">
              <w:t xml:space="preserve">negative did not, regardless of the PD-L1 assay used. </w:t>
            </w:r>
            <w:r w:rsidRPr="003C2849">
              <w:rPr>
                <w:i/>
              </w:rPr>
              <w:t xml:space="preserve">Although the HR data appears to support this, the median PFS/OS and the area between treatment arms of the Kaplan-Meier curves </w:t>
            </w:r>
            <w:r w:rsidRPr="00FD09FF">
              <w:rPr>
                <w:i/>
              </w:rPr>
              <w:t xml:space="preserve">indicated a </w:t>
            </w:r>
            <w:r>
              <w:rPr>
                <w:i/>
              </w:rPr>
              <w:t xml:space="preserve">numerically </w:t>
            </w:r>
            <w:r w:rsidRPr="00FD09FF">
              <w:rPr>
                <w:i/>
              </w:rPr>
              <w:t xml:space="preserve">larger incremental treatment effect in the </w:t>
            </w:r>
            <w:r>
              <w:rPr>
                <w:i/>
              </w:rPr>
              <w:t>biomarker evaluable population (</w:t>
            </w:r>
            <w:r w:rsidRPr="00FD09FF">
              <w:rPr>
                <w:i/>
              </w:rPr>
              <w:t>BEP</w:t>
            </w:r>
            <w:r>
              <w:rPr>
                <w:i/>
              </w:rPr>
              <w:t>)</w:t>
            </w:r>
            <w:r w:rsidRPr="00FD09FF">
              <w:rPr>
                <w:i/>
              </w:rPr>
              <w:t xml:space="preserve"> SP142-IC and the ITT SP142-IC (evidentiary test) PD-L1</w:t>
            </w:r>
            <w:r w:rsidR="008C7991">
              <w:rPr>
                <w:i/>
              </w:rPr>
              <w:t>-</w:t>
            </w:r>
            <w:r w:rsidRPr="00FD09FF">
              <w:rPr>
                <w:i/>
              </w:rPr>
              <w:t>positive populations wh</w:t>
            </w:r>
            <w:r w:rsidR="008C7991">
              <w:rPr>
                <w:i/>
              </w:rPr>
              <w:t>en compared to the larger PD-L1-</w:t>
            </w:r>
            <w:r w:rsidRPr="00FD09FF">
              <w:rPr>
                <w:i/>
              </w:rPr>
              <w:t xml:space="preserve">positive populations identified by the three additional testing strategies (that included SP142-IC false-positive patients), which in turn was </w:t>
            </w:r>
            <w:r>
              <w:rPr>
                <w:i/>
              </w:rPr>
              <w:t xml:space="preserve">numerically </w:t>
            </w:r>
            <w:r w:rsidRPr="00FD09FF">
              <w:rPr>
                <w:i/>
              </w:rPr>
              <w:t>larger than for the ITT unselected population (that in</w:t>
            </w:r>
            <w:r w:rsidR="005D3915">
              <w:rPr>
                <w:i/>
              </w:rPr>
              <w:t>cluded PD-L1-</w:t>
            </w:r>
            <w:r>
              <w:rPr>
                <w:i/>
              </w:rPr>
              <w:t>negative patients)</w:t>
            </w:r>
            <w:r w:rsidRPr="003C2849">
              <w:rPr>
                <w:i/>
              </w:rPr>
              <w:t>.</w:t>
            </w:r>
          </w:p>
        </w:tc>
      </w:tr>
      <w:tr w:rsidR="008015E7" w:rsidRPr="009F4EBD" w14:paraId="0F5CB4F6" w14:textId="77777777" w:rsidTr="00E84BDF">
        <w:tc>
          <w:tcPr>
            <w:tcW w:w="4248" w:type="dxa"/>
            <w:tcBorders>
              <w:top w:val="single" w:sz="4" w:space="0" w:color="auto"/>
            </w:tcBorders>
            <w:shd w:val="clear" w:color="auto" w:fill="FFFFFF" w:themeFill="background1"/>
          </w:tcPr>
          <w:p w14:paraId="40458A2B" w14:textId="77777777" w:rsidR="008015E7" w:rsidRPr="00F02AEC" w:rsidRDefault="008015E7" w:rsidP="00E84BDF">
            <w:pPr>
              <w:pStyle w:val="TableText"/>
            </w:pPr>
            <w:r w:rsidRPr="00F02AEC">
              <w:t>PASC also considered that reproducibility of results with different assay kits and platforms may have an impact on treatment decisions.</w:t>
            </w:r>
          </w:p>
        </w:tc>
        <w:tc>
          <w:tcPr>
            <w:tcW w:w="4994" w:type="dxa"/>
            <w:tcBorders>
              <w:top w:val="single" w:sz="4" w:space="0" w:color="auto"/>
            </w:tcBorders>
            <w:shd w:val="clear" w:color="auto" w:fill="FFFFFF" w:themeFill="background1"/>
          </w:tcPr>
          <w:p w14:paraId="46D25D93" w14:textId="19321C23" w:rsidR="008015E7" w:rsidRPr="009F4EBD" w:rsidRDefault="008015E7" w:rsidP="00E84BDF">
            <w:pPr>
              <w:pStyle w:val="TableText"/>
              <w:rPr>
                <w:i/>
              </w:rPr>
            </w:pPr>
            <w:r w:rsidRPr="009F4EBD">
              <w:t xml:space="preserve">The submission reported on the concordance </w:t>
            </w:r>
            <w:r>
              <w:t>between</w:t>
            </w:r>
            <w:r w:rsidRPr="009F4EBD">
              <w:t xml:space="preserve"> the three PD-L1 IHC assays commercially available in Australia. </w:t>
            </w:r>
            <w:r w:rsidRPr="009F4EBD">
              <w:rPr>
                <w:i/>
              </w:rPr>
              <w:t>There was low negative percent agreement between testing strategies (34% to 46%)</w:t>
            </w:r>
            <w:r>
              <w:rPr>
                <w:i/>
              </w:rPr>
              <w:t>.</w:t>
            </w:r>
            <w:r w:rsidRPr="009F4EBD">
              <w:rPr>
                <w:i/>
              </w:rPr>
              <w:t xml:space="preserve"> </w:t>
            </w:r>
            <w:r>
              <w:rPr>
                <w:i/>
              </w:rPr>
              <w:t>T</w:t>
            </w:r>
            <w:r w:rsidRPr="009F4EBD">
              <w:rPr>
                <w:i/>
              </w:rPr>
              <w:t xml:space="preserve">his resulted in approximately 30% more patients </w:t>
            </w:r>
            <w:r>
              <w:rPr>
                <w:i/>
              </w:rPr>
              <w:t xml:space="preserve">being </w:t>
            </w:r>
            <w:r w:rsidRPr="009F4EBD">
              <w:rPr>
                <w:i/>
              </w:rPr>
              <w:t>identified as PD-L1 positive by the other two assays</w:t>
            </w:r>
            <w:r>
              <w:rPr>
                <w:i/>
              </w:rPr>
              <w:t>, as</w:t>
            </w:r>
            <w:r w:rsidRPr="009F4EBD">
              <w:rPr>
                <w:i/>
              </w:rPr>
              <w:t xml:space="preserve"> compared with the evidentiary standard. </w:t>
            </w:r>
          </w:p>
        </w:tc>
      </w:tr>
      <w:tr w:rsidR="008015E7" w:rsidRPr="009F4EBD" w14:paraId="18B7CBCF" w14:textId="77777777" w:rsidTr="00E84BDF">
        <w:tc>
          <w:tcPr>
            <w:tcW w:w="4248" w:type="dxa"/>
            <w:shd w:val="clear" w:color="auto" w:fill="FFFFFF" w:themeFill="background1"/>
          </w:tcPr>
          <w:p w14:paraId="7296EBB3" w14:textId="77777777" w:rsidR="008015E7" w:rsidRPr="00F02AEC" w:rsidRDefault="008015E7" w:rsidP="00E84BDF">
            <w:pPr>
              <w:pStyle w:val="TableText"/>
            </w:pPr>
            <w:r w:rsidRPr="00F02AEC">
              <w:t>PASC queried whether differences between tests would affect service provision by different laboratories/locations.</w:t>
            </w:r>
          </w:p>
        </w:tc>
        <w:tc>
          <w:tcPr>
            <w:tcW w:w="4994" w:type="dxa"/>
            <w:shd w:val="clear" w:color="auto" w:fill="FFFFFF" w:themeFill="background1"/>
          </w:tcPr>
          <w:p w14:paraId="22DD23EC" w14:textId="77777777" w:rsidR="008015E7" w:rsidRPr="009F4EBD" w:rsidRDefault="008015E7" w:rsidP="00E84BDF">
            <w:pPr>
              <w:pStyle w:val="TableText"/>
            </w:pPr>
            <w:r w:rsidRPr="009F4EBD">
              <w:t xml:space="preserve">The submission indicated that pathologists should receive training for using the PD-L1 IC ≥1% scoring algorithm and </w:t>
            </w:r>
            <w:r>
              <w:t>the sponsor has</w:t>
            </w:r>
            <w:r w:rsidRPr="009F4EBD">
              <w:t xml:space="preserve"> implemented an extensive training program for oncologists and pathologists</w:t>
            </w:r>
            <w:r>
              <w:t xml:space="preserve">. </w:t>
            </w:r>
            <w:r w:rsidRPr="00946DFF">
              <w:t>This training should be suitable for use with all three commercially available PD-L1 IHC assays.</w:t>
            </w:r>
          </w:p>
        </w:tc>
      </w:tr>
      <w:tr w:rsidR="008015E7" w:rsidRPr="009F4EBD" w14:paraId="10FF5E64" w14:textId="77777777" w:rsidTr="00E84BDF">
        <w:tc>
          <w:tcPr>
            <w:tcW w:w="4248" w:type="dxa"/>
            <w:shd w:val="clear" w:color="auto" w:fill="FFFFFF" w:themeFill="background1"/>
          </w:tcPr>
          <w:p w14:paraId="5E128B14" w14:textId="77777777" w:rsidR="008015E7" w:rsidRPr="00F02AEC" w:rsidRDefault="008015E7" w:rsidP="00E84BDF">
            <w:pPr>
              <w:pStyle w:val="TableText"/>
            </w:pPr>
            <w:r w:rsidRPr="00F02AEC">
              <w:t>PASC suggested it may be appropriate to include a requester definition: ‘requested by, or on behalf of, specialist or consultant physician’.</w:t>
            </w:r>
          </w:p>
        </w:tc>
        <w:tc>
          <w:tcPr>
            <w:tcW w:w="4994" w:type="dxa"/>
            <w:shd w:val="clear" w:color="auto" w:fill="FFFFFF" w:themeFill="background1"/>
          </w:tcPr>
          <w:p w14:paraId="086E7807" w14:textId="77777777" w:rsidR="008015E7" w:rsidRPr="009F4EBD" w:rsidRDefault="008015E7" w:rsidP="00E84BDF">
            <w:pPr>
              <w:pStyle w:val="TableText"/>
            </w:pPr>
            <w:r w:rsidRPr="009F4EBD">
              <w:t>The submission agreed with this suggestion</w:t>
            </w:r>
            <w:r>
              <w:t>.</w:t>
            </w:r>
          </w:p>
        </w:tc>
      </w:tr>
      <w:tr w:rsidR="008015E7" w:rsidRPr="009F4EBD" w14:paraId="6BBCB024" w14:textId="77777777" w:rsidTr="00E84BDF">
        <w:tc>
          <w:tcPr>
            <w:tcW w:w="4248" w:type="dxa"/>
            <w:shd w:val="clear" w:color="auto" w:fill="FFFFFF" w:themeFill="background1"/>
          </w:tcPr>
          <w:p w14:paraId="2FD4DE7F" w14:textId="11320162" w:rsidR="008015E7" w:rsidRPr="00F02AEC" w:rsidRDefault="008015E7" w:rsidP="00F0130D">
            <w:pPr>
              <w:pStyle w:val="TableText"/>
            </w:pPr>
            <w:r w:rsidRPr="00F02AEC">
              <w:t>P</w:t>
            </w:r>
            <w:r w:rsidR="00F0130D">
              <w:t>A</w:t>
            </w:r>
            <w:r w:rsidRPr="00F02AEC">
              <w:t>SC advised that false-positive and false-negative rates must be considered, especially in terms of the consequences of a high false-positive rate on economic aspects for the PBAC.</w:t>
            </w:r>
          </w:p>
        </w:tc>
        <w:tc>
          <w:tcPr>
            <w:tcW w:w="4994" w:type="dxa"/>
            <w:shd w:val="clear" w:color="auto" w:fill="FFFFFF" w:themeFill="background1"/>
          </w:tcPr>
          <w:p w14:paraId="14688282" w14:textId="77777777" w:rsidR="008015E7" w:rsidRDefault="008015E7" w:rsidP="00E84BDF">
            <w:pPr>
              <w:pStyle w:val="TableText"/>
              <w:rPr>
                <w:i/>
              </w:rPr>
            </w:pPr>
            <w:r w:rsidRPr="009F4EBD">
              <w:rPr>
                <w:i/>
              </w:rPr>
              <w:t>The submission did not adequately account for false-negative and false-positive</w:t>
            </w:r>
            <w:r>
              <w:rPr>
                <w:i/>
              </w:rPr>
              <w:t xml:space="preserve"> result</w:t>
            </w:r>
            <w:r w:rsidRPr="009F4EBD">
              <w:rPr>
                <w:i/>
              </w:rPr>
              <w:t xml:space="preserve">s. All modelled outcomes were based on an analysis of survival data from patients identified as PD-L1 positive based on the SP142-IC assay. The economic model was not constructed to allow </w:t>
            </w:r>
            <w:r>
              <w:rPr>
                <w:i/>
              </w:rPr>
              <w:t xml:space="preserve">a </w:t>
            </w:r>
            <w:r w:rsidRPr="009F4EBD">
              <w:rPr>
                <w:i/>
              </w:rPr>
              <w:t>sensitivity analysis of the impact of using different assays. The modelled outcomes may</w:t>
            </w:r>
            <w:r>
              <w:rPr>
                <w:i/>
              </w:rPr>
              <w:t>, therefore,</w:t>
            </w:r>
            <w:r w:rsidRPr="009F4EBD">
              <w:rPr>
                <w:i/>
              </w:rPr>
              <w:t xml:space="preserve"> not be applicable to the Australian PBS population</w:t>
            </w:r>
            <w:r>
              <w:t xml:space="preserve"> </w:t>
            </w:r>
            <w:r w:rsidRPr="006A4F91">
              <w:rPr>
                <w:i/>
              </w:rPr>
              <w:t>if tests other than the SP142-IC assay are used to determine eligibility for atezolizumab</w:t>
            </w:r>
            <w:r w:rsidRPr="009F4EBD">
              <w:rPr>
                <w:i/>
              </w:rPr>
              <w:t>.</w:t>
            </w:r>
          </w:p>
          <w:p w14:paraId="08637CF0" w14:textId="7E21192E" w:rsidR="008015E7" w:rsidRPr="009F4EBD" w:rsidRDefault="008015E7" w:rsidP="00E54B79">
            <w:pPr>
              <w:pStyle w:val="TableText"/>
              <w:rPr>
                <w:i/>
              </w:rPr>
            </w:pPr>
            <w:r w:rsidRPr="000D744A">
              <w:rPr>
                <w:i/>
              </w:rPr>
              <w:t xml:space="preserve">30% of patients in the </w:t>
            </w:r>
            <w:r w:rsidR="00E81BE4">
              <w:rPr>
                <w:i/>
              </w:rPr>
              <w:t>BEP</w:t>
            </w:r>
            <w:r w:rsidRPr="000D744A">
              <w:rPr>
                <w:i/>
              </w:rPr>
              <w:t xml:space="preserve"> </w:t>
            </w:r>
            <w:r>
              <w:rPr>
                <w:i/>
              </w:rPr>
              <w:t>were PD-L1</w:t>
            </w:r>
            <w:r w:rsidRPr="000D744A">
              <w:rPr>
                <w:i/>
              </w:rPr>
              <w:t xml:space="preserve"> negative according to the SP142-IC evidentiary standard </w:t>
            </w:r>
            <w:r>
              <w:rPr>
                <w:i/>
              </w:rPr>
              <w:t>and PD-L1</w:t>
            </w:r>
            <w:r w:rsidRPr="000D744A">
              <w:rPr>
                <w:i/>
              </w:rPr>
              <w:t xml:space="preserve"> positive by SP263-IC, </w:t>
            </w:r>
            <w:r w:rsidR="00E54B79" w:rsidRPr="00E54B79">
              <w:rPr>
                <w:b/>
                <w:i/>
              </w:rPr>
              <w:t>redacted</w:t>
            </w:r>
            <w:r w:rsidRPr="000D744A">
              <w:rPr>
                <w:i/>
              </w:rPr>
              <w:t xml:space="preserve"> and 22C3-CPS. </w:t>
            </w:r>
            <w:r>
              <w:rPr>
                <w:i/>
              </w:rPr>
              <w:t>A</w:t>
            </w:r>
            <w:r w:rsidRPr="000D744A">
              <w:rPr>
                <w:i/>
              </w:rPr>
              <w:t xml:space="preserve">n exploratory analysis of these patients found that they are likely to be </w:t>
            </w:r>
            <w:r>
              <w:rPr>
                <w:i/>
              </w:rPr>
              <w:t>“</w:t>
            </w:r>
            <w:r w:rsidRPr="000D744A">
              <w:rPr>
                <w:i/>
              </w:rPr>
              <w:t>false positive</w:t>
            </w:r>
            <w:r>
              <w:rPr>
                <w:i/>
              </w:rPr>
              <w:t>”</w:t>
            </w:r>
            <w:r w:rsidRPr="000D744A">
              <w:rPr>
                <w:i/>
              </w:rPr>
              <w:t>. The HRs for OS and the median OS values all align mor</w:t>
            </w:r>
            <w:r w:rsidR="005D3915">
              <w:rPr>
                <w:i/>
              </w:rPr>
              <w:t>e closely to the SP142-IC PD-</w:t>
            </w:r>
            <w:r w:rsidR="005D3915">
              <w:rPr>
                <w:i/>
              </w:rPr>
              <w:lastRenderedPageBreak/>
              <w:t>L1-</w:t>
            </w:r>
            <w:r w:rsidRPr="000D744A">
              <w:rPr>
                <w:i/>
              </w:rPr>
              <w:t>negative pop</w:t>
            </w:r>
            <w:r w:rsidR="005C0E29">
              <w:rPr>
                <w:i/>
              </w:rPr>
              <w:t>ulation than the SP142-IC PD-L1-</w:t>
            </w:r>
            <w:r w:rsidRPr="000D744A">
              <w:rPr>
                <w:i/>
              </w:rPr>
              <w:t>positive population. The Kaplan-Meier curves also show little or no true differences between treatment arms.</w:t>
            </w:r>
          </w:p>
        </w:tc>
      </w:tr>
    </w:tbl>
    <w:p w14:paraId="40BE54AE" w14:textId="77777777" w:rsidR="008015E7" w:rsidRPr="001C5966" w:rsidRDefault="008015E7" w:rsidP="008015E7">
      <w:pPr>
        <w:pStyle w:val="TableFooter"/>
        <w:jc w:val="left"/>
      </w:pPr>
      <w:r w:rsidRPr="001C5966">
        <w:rPr>
          <w:vertAlign w:val="superscript"/>
        </w:rPr>
        <w:lastRenderedPageBreak/>
        <w:t>a</w:t>
      </w:r>
      <w:r w:rsidRPr="001C5966">
        <w:t xml:space="preserve"> Khan, S, Kiely, B &amp; Moylan, E 2019, 'Advanced Triple Negative Breast Cancer: Treatment Patterns and Outcomes in a Population</w:t>
      </w:r>
      <w:r w:rsidRPr="001C5966">
        <w:rPr>
          <w:rFonts w:ascii="Cambria Math" w:hAnsi="Cambria Math" w:cs="Cambria Math"/>
        </w:rPr>
        <w:t>‐</w:t>
      </w:r>
      <w:r w:rsidRPr="001C5966">
        <w:t>Based Cohort in South Western Sydney', Asia-Pacific Journal of Clinical Oncology, vol. 15, no. S5, pp. 80-81.</w:t>
      </w:r>
    </w:p>
    <w:p w14:paraId="60C37DF0" w14:textId="77777777" w:rsidR="008015E7" w:rsidRPr="001C5966" w:rsidRDefault="008015E7" w:rsidP="008015E7">
      <w:pPr>
        <w:pStyle w:val="TableFooter"/>
        <w:jc w:val="left"/>
      </w:pPr>
      <w:r w:rsidRPr="001C5966">
        <w:t>Source: Constructed during the evaluation</w:t>
      </w:r>
    </w:p>
    <w:p w14:paraId="46C33B26" w14:textId="77777777" w:rsidR="00810EDB" w:rsidRPr="00F715D1" w:rsidRDefault="00810EDB" w:rsidP="00810EDB">
      <w:pPr>
        <w:pStyle w:val="Heading1"/>
      </w:pPr>
      <w:r w:rsidRPr="00F715D1">
        <w:t>Prerequisites to implementation of any funding advice</w:t>
      </w:r>
    </w:p>
    <w:p w14:paraId="4AC10E46" w14:textId="77777777" w:rsidR="008015E7" w:rsidRPr="009F4EBD" w:rsidRDefault="008015E7" w:rsidP="008015E7">
      <w:pPr>
        <w:pStyle w:val="MSACESParagraph"/>
      </w:pPr>
      <w:r w:rsidRPr="009F4EBD">
        <w:t xml:space="preserve">Roche Diagnostics submitted a medical device in vitro diagnostic (IVD) Class 3 application in June 2019 for inclusion of the VENTANA PD-L1 (SP142) assay on the </w:t>
      </w:r>
      <w:r w:rsidRPr="006A4F91">
        <w:t xml:space="preserve">Australian Register of Therapeutic Goods (ARTG) </w:t>
      </w:r>
      <w:r w:rsidRPr="009F4EBD">
        <w:t>as an abridgement to the current FDA approval specific to TNBC. Roche received inclusion in the ARTG for the VENTANA (SP142) PD-L1 assay, as a Companion Diagnostic test for TNBC on 2 September 2019 (ARTG 322582).</w:t>
      </w:r>
    </w:p>
    <w:p w14:paraId="6B4D7BBA" w14:textId="77777777" w:rsidR="008015E7" w:rsidRDefault="008015E7" w:rsidP="008015E7">
      <w:pPr>
        <w:pStyle w:val="MSACESParagraph"/>
      </w:pPr>
      <w:r w:rsidRPr="009F4EBD">
        <w:t>The VENTANA PD-L1 (SP263) assay and the Agilent/Dako PD-L1 (22C3) pharmDx assay are both TGA-approved as in vitro diagnostic (IVD) Class 3 medical devices for PD-L1 IHC testing in patients with NSCLC and urothelial carcinoma, but not TNBC.</w:t>
      </w:r>
      <w:r>
        <w:t xml:space="preserve"> These tests are currently being used in clinical practice to identify PD-L1 positive (defined as ≥50% tumour proportion score) NSCLC for access to pembrolizumab.</w:t>
      </w:r>
    </w:p>
    <w:p w14:paraId="169088C8" w14:textId="22F38984" w:rsidR="008015E7" w:rsidRDefault="008015E7" w:rsidP="008015E7">
      <w:pPr>
        <w:pStyle w:val="MSACESParagraph"/>
        <w:rPr>
          <w:color w:val="000000"/>
        </w:rPr>
      </w:pPr>
      <w:r w:rsidRPr="009F4EBD">
        <w:rPr>
          <w:color w:val="000000"/>
        </w:rPr>
        <w:t xml:space="preserve">The submission indicated that PD-L1 testing for the TNBC indication will be conducted in National Association of Testing Authorities </w:t>
      </w:r>
      <w:r w:rsidR="00F0130D">
        <w:rPr>
          <w:color w:val="000000"/>
        </w:rPr>
        <w:t xml:space="preserve">(NATA) </w:t>
      </w:r>
      <w:r w:rsidRPr="009F4EBD">
        <w:rPr>
          <w:color w:val="000000"/>
        </w:rPr>
        <w:t xml:space="preserve">accredited Australian laboratories and that a request has been submitted for the implementation of </w:t>
      </w:r>
      <w:r>
        <w:rPr>
          <w:color w:val="000000"/>
        </w:rPr>
        <w:t xml:space="preserve">a </w:t>
      </w:r>
      <w:r w:rsidRPr="009F4EBD">
        <w:rPr>
          <w:color w:val="000000"/>
        </w:rPr>
        <w:t>Quality Assurance Programme</w:t>
      </w:r>
      <w:r>
        <w:rPr>
          <w:color w:val="000000"/>
        </w:rPr>
        <w:t xml:space="preserve"> (QAP)</w:t>
      </w:r>
      <w:r w:rsidRPr="009F4EBD">
        <w:rPr>
          <w:color w:val="000000"/>
        </w:rPr>
        <w:t xml:space="preserve"> by the Royal College </w:t>
      </w:r>
      <w:r>
        <w:rPr>
          <w:color w:val="000000"/>
        </w:rPr>
        <w:t>of Pathologists of Australasia (RCPA).</w:t>
      </w:r>
    </w:p>
    <w:p w14:paraId="41DC1E06" w14:textId="77777777" w:rsidR="008015E7" w:rsidRDefault="008015E7" w:rsidP="008015E7">
      <w:pPr>
        <w:pStyle w:val="Heading2"/>
      </w:pPr>
      <w:r w:rsidRPr="00634E3A">
        <w:t>National Pathology Accreditation Advisory Counci</w:t>
      </w:r>
      <w:r>
        <w:t>l (NPAAC) advice to MSAC</w:t>
      </w:r>
    </w:p>
    <w:p w14:paraId="122A0F24" w14:textId="0DF9EE28" w:rsidR="008015E7" w:rsidRDefault="008015E7" w:rsidP="008015E7">
      <w:r>
        <w:t xml:space="preserve">This testing is already being performed in some laboratories in Australia supported by Roche. The technical aspects of the staining are standard but the interpretation requires experience. Roche provide an on line module to train pathologists, and where the test is being performed, pathologists are double reading the stains to standardize the interpretation. </w:t>
      </w:r>
      <w:r w:rsidR="005C0E29" w:rsidRPr="009A4EBB">
        <w:t xml:space="preserve">The quality assurance programs for this marker </w:t>
      </w:r>
      <w:r w:rsidR="005C0E29">
        <w:t>are</w:t>
      </w:r>
      <w:r w:rsidR="005C0E29" w:rsidRPr="009A4EBB">
        <w:t xml:space="preserve"> new. </w:t>
      </w:r>
      <w:r>
        <w:t xml:space="preserve">There is no Australian EQA program available at present, but RCPA QAP are running a pilot program for interpretation performance in 2020. There is an existing EQA for the technical performance of the stain offered </w:t>
      </w:r>
      <w:r w:rsidR="005C0E29">
        <w:t xml:space="preserve">by </w:t>
      </w:r>
      <w:r>
        <w:t>IQNPath</w:t>
      </w:r>
      <w:r w:rsidR="005C0E29">
        <w:rPr>
          <w:rStyle w:val="FootnoteReference"/>
        </w:rPr>
        <w:footnoteReference w:id="1"/>
      </w:r>
      <w:r w:rsidR="005C0E29">
        <w:t xml:space="preserve"> (</w:t>
      </w:r>
      <w:r w:rsidR="005C0E29" w:rsidRPr="009A4EBB">
        <w:t>a consortium which includes UK and major Euopean quality assurance programs)</w:t>
      </w:r>
      <w:r>
        <w:t>.</w:t>
      </w:r>
      <w:r w:rsidR="005C0E29">
        <w:t xml:space="preserve"> </w:t>
      </w:r>
      <w:r w:rsidR="005C0E29" w:rsidRPr="009A4EBB">
        <w:t>IQNPath will offer the interpretation module for the first time in 2020.</w:t>
      </w:r>
    </w:p>
    <w:p w14:paraId="72938B07" w14:textId="129C6210" w:rsidR="008015E7" w:rsidRPr="00532829" w:rsidRDefault="008015E7" w:rsidP="0015386A">
      <w:pPr>
        <w:spacing w:before="240"/>
      </w:pPr>
      <w:r w:rsidRPr="009A4EBB">
        <w:t>It is critical that biomarker testing is offered in a robust quality assurance framework to</w:t>
      </w:r>
      <w:r w:rsidR="005D3915">
        <w:t xml:space="preserve"> protect patients against false-</w:t>
      </w:r>
      <w:r w:rsidRPr="009A4EBB">
        <w:t xml:space="preserve">positive or </w:t>
      </w:r>
      <w:r w:rsidR="005D3915">
        <w:t>false-</w:t>
      </w:r>
      <w:r w:rsidRPr="009A4EBB">
        <w:t>negative results.</w:t>
      </w:r>
    </w:p>
    <w:p w14:paraId="2149792A" w14:textId="77777777" w:rsidR="00810EDB" w:rsidRPr="00F715D1" w:rsidRDefault="00810EDB" w:rsidP="00810EDB">
      <w:pPr>
        <w:pStyle w:val="Heading1"/>
      </w:pPr>
      <w:r w:rsidRPr="00F715D1">
        <w:t>Proposal for public funding</w:t>
      </w:r>
    </w:p>
    <w:p w14:paraId="7EBA9A6A" w14:textId="57C2C6C6" w:rsidR="0015386A" w:rsidRPr="0015386A" w:rsidRDefault="008015E7" w:rsidP="0015386A">
      <w:pPr>
        <w:pStyle w:val="MSACESParagraph"/>
        <w:spacing w:after="120"/>
      </w:pPr>
      <w:r>
        <w:t xml:space="preserve">The </w:t>
      </w:r>
      <w:r w:rsidR="00F0130D">
        <w:t xml:space="preserve">applicant’s initially </w:t>
      </w:r>
      <w:r>
        <w:t>requested MBS item is shown in Table 2.</w:t>
      </w:r>
      <w:r w:rsidR="0015386A">
        <w:br w:type="page"/>
      </w:r>
    </w:p>
    <w:p w14:paraId="6F0C93D3" w14:textId="6BD5A8D3" w:rsidR="008015E7" w:rsidRPr="00B90F39" w:rsidRDefault="008015E7" w:rsidP="00B90F39">
      <w:pPr>
        <w:rPr>
          <w:rFonts w:ascii="Arial Narrow" w:hAnsi="Arial Narrow"/>
          <w:b/>
          <w:sz w:val="20"/>
        </w:rPr>
      </w:pPr>
      <w:r w:rsidRPr="00B90F39">
        <w:rPr>
          <w:rFonts w:ascii="Arial Narrow" w:hAnsi="Arial Narrow"/>
          <w:b/>
          <w:sz w:val="20"/>
        </w:rPr>
        <w:lastRenderedPageBreak/>
        <w:t xml:space="preserve">Table 2: </w:t>
      </w:r>
      <w:r w:rsidR="00F0130D" w:rsidRPr="00B90F39">
        <w:rPr>
          <w:rFonts w:ascii="Arial Narrow" w:hAnsi="Arial Narrow"/>
          <w:b/>
          <w:sz w:val="20"/>
        </w:rPr>
        <w:t>Applic</w:t>
      </w:r>
      <w:r w:rsidR="00211473" w:rsidRPr="00B90F39">
        <w:rPr>
          <w:rFonts w:ascii="Arial Narrow" w:hAnsi="Arial Narrow"/>
          <w:b/>
          <w:sz w:val="20"/>
        </w:rPr>
        <w:t>a</w:t>
      </w:r>
      <w:r w:rsidR="00F0130D" w:rsidRPr="00B90F39">
        <w:rPr>
          <w:rFonts w:ascii="Arial Narrow" w:hAnsi="Arial Narrow"/>
          <w:b/>
          <w:sz w:val="20"/>
        </w:rPr>
        <w:t>nt’s initially p</w:t>
      </w:r>
      <w:r w:rsidRPr="00B90F39">
        <w:rPr>
          <w:rFonts w:ascii="Arial Narrow" w:hAnsi="Arial Narrow"/>
          <w:b/>
          <w:sz w:val="20"/>
        </w:rPr>
        <w:t>roposed MBS listing</w:t>
      </w:r>
    </w:p>
    <w:tbl>
      <w:tblPr>
        <w:tblStyle w:val="TableGrid"/>
        <w:tblW w:w="4981" w:type="pct"/>
        <w:tblLook w:val="04A0" w:firstRow="1" w:lastRow="0" w:firstColumn="1" w:lastColumn="0" w:noHBand="0" w:noVBand="1"/>
        <w:tblCaption w:val="Table 2: Proposed MBS listing"/>
        <w:tblDescription w:val="MBS item descriptor"/>
      </w:tblPr>
      <w:tblGrid>
        <w:gridCol w:w="9207"/>
      </w:tblGrid>
      <w:tr w:rsidR="008015E7" w:rsidRPr="00C834E5" w14:paraId="3B74EB66" w14:textId="77777777" w:rsidTr="005E0817">
        <w:trPr>
          <w:tblHeader/>
        </w:trPr>
        <w:tc>
          <w:tcPr>
            <w:tcW w:w="5000" w:type="pct"/>
          </w:tcPr>
          <w:p w14:paraId="508FE5EF" w14:textId="2DD56CF4" w:rsidR="008015E7" w:rsidRPr="00C834E5" w:rsidRDefault="00452E95" w:rsidP="00E84BDF">
            <w:pPr>
              <w:pStyle w:val="TableText"/>
            </w:pPr>
            <w:r>
              <w:t>Category 6 – PATHOLOGY SERVICES</w:t>
            </w:r>
          </w:p>
        </w:tc>
      </w:tr>
      <w:tr w:rsidR="008015E7" w:rsidRPr="00C834E5" w14:paraId="1550CB7C" w14:textId="77777777" w:rsidTr="005E0817">
        <w:tc>
          <w:tcPr>
            <w:tcW w:w="5000" w:type="pct"/>
          </w:tcPr>
          <w:p w14:paraId="0F777F46" w14:textId="5EA98872" w:rsidR="008015E7" w:rsidRPr="00C834E5" w:rsidRDefault="00452E95" w:rsidP="00E84BDF">
            <w:pPr>
              <w:pStyle w:val="TableText"/>
            </w:pPr>
            <w:r>
              <w:t>[</w:t>
            </w:r>
            <w:r w:rsidR="008015E7" w:rsidRPr="00C834E5">
              <w:t>MBS item number</w:t>
            </w:r>
            <w:r>
              <w:t>]</w:t>
            </w:r>
          </w:p>
          <w:p w14:paraId="765A6463" w14:textId="77777777" w:rsidR="008015E7" w:rsidRPr="00C834E5" w:rsidRDefault="008015E7" w:rsidP="0015386A">
            <w:pPr>
              <w:pStyle w:val="TableText"/>
              <w:spacing w:after="240" w:line="257" w:lineRule="auto"/>
            </w:pPr>
            <w:r w:rsidRPr="00C834E5">
              <w:t>Immunohistochemical examination by immunoperoxidase or other labelled antibody techniques using the programmed death ligand 1 (PD</w:t>
            </w:r>
            <w:r w:rsidRPr="00C834E5">
              <w:noBreakHyphen/>
              <w:t>L1) antibody of tumour material from a patient diagnosed with triple-negative breast cancer, to determine if the requirements relating to (PD-L1) expression status</w:t>
            </w:r>
            <w:bookmarkStart w:id="1" w:name="_GoBack"/>
            <w:bookmarkEnd w:id="1"/>
            <w:r w:rsidRPr="00C834E5">
              <w:t xml:space="preserve"> for access to atezolizumab under the Pharmaceutical Benefits Scheme (PBS) are fulfilled.</w:t>
            </w:r>
          </w:p>
          <w:p w14:paraId="594DB620" w14:textId="5435643B" w:rsidR="008015E7" w:rsidRPr="00C834E5" w:rsidRDefault="008015E7" w:rsidP="0015386A">
            <w:pPr>
              <w:pStyle w:val="TableText"/>
              <w:spacing w:after="0"/>
            </w:pPr>
            <w:r w:rsidRPr="00C834E5">
              <w:t>Fee:  $</w:t>
            </w:r>
            <w:r w:rsidR="00E54B79" w:rsidRPr="00E54B79">
              <w:rPr>
                <w:b/>
              </w:rPr>
              <w:t>redacted</w:t>
            </w:r>
            <w:r w:rsidRPr="00C834E5">
              <w:t xml:space="preserve"> Benefit: 75% </w:t>
            </w:r>
            <w:r w:rsidRPr="0015386A">
              <w:t>= $</w:t>
            </w:r>
            <w:r w:rsidR="00E54B79" w:rsidRPr="0015386A">
              <w:rPr>
                <w:b/>
              </w:rPr>
              <w:t>redacted</w:t>
            </w:r>
            <w:r w:rsidR="00E54B79" w:rsidRPr="0015386A" w:rsidDel="00E54B79">
              <w:t xml:space="preserve"> </w:t>
            </w:r>
            <w:r w:rsidRPr="0015386A">
              <w:t>85% = $</w:t>
            </w:r>
            <w:r w:rsidR="00E54B79" w:rsidRPr="0015386A">
              <w:rPr>
                <w:b/>
              </w:rPr>
              <w:t>redacted</w:t>
            </w:r>
          </w:p>
        </w:tc>
      </w:tr>
    </w:tbl>
    <w:p w14:paraId="579B1010" w14:textId="77777777" w:rsidR="008015E7" w:rsidRPr="009F4EBD" w:rsidRDefault="008015E7" w:rsidP="008015E7">
      <w:pPr>
        <w:pStyle w:val="TableFooter"/>
        <w:jc w:val="left"/>
      </w:pPr>
      <w:r w:rsidRPr="009F4EBD">
        <w:t xml:space="preserve">Source: Table 1.8.1 of the MSAC_PBAC </w:t>
      </w:r>
      <w:r>
        <w:t xml:space="preserve">Combined </w:t>
      </w:r>
      <w:r w:rsidRPr="009F4EBD">
        <w:t>Submission</w:t>
      </w:r>
    </w:p>
    <w:p w14:paraId="72C4229B" w14:textId="773E592F" w:rsidR="008015E7" w:rsidRDefault="008015E7" w:rsidP="008015E7">
      <w:pPr>
        <w:pStyle w:val="MSACESParagraph"/>
      </w:pPr>
      <w:r w:rsidRPr="009F4EBD">
        <w:t xml:space="preserve">The submission agreed with the suggestion by PASC that it may be appropriate to include a requester definition </w:t>
      </w:r>
      <w:r w:rsidRPr="006A4F91">
        <w:t xml:space="preserve">in the proposed MBS listing </w:t>
      </w:r>
      <w:r w:rsidRPr="009F4EBD">
        <w:t>such as: ‘requested by, or on behalf of, specialist or consultant physician’ due to the differences in PD-L1 testing in TNBC compared with other tumour types.</w:t>
      </w:r>
      <w:r w:rsidRPr="006A4F91">
        <w:t xml:space="preserve"> </w:t>
      </w:r>
      <w:r>
        <w:t xml:space="preserve">However, the Commentary noted the </w:t>
      </w:r>
      <w:r w:rsidRPr="00532829">
        <w:t xml:space="preserve">proposed MBS listing is not </w:t>
      </w:r>
      <w:r w:rsidR="00F53151">
        <w:t xml:space="preserve">explicitly </w:t>
      </w:r>
      <w:r w:rsidRPr="00532829">
        <w:t>restricted to the particular antibody (SP142) used by the evidentiary standard test.</w:t>
      </w:r>
    </w:p>
    <w:p w14:paraId="69708A9E" w14:textId="291C9439" w:rsidR="008015E7" w:rsidRDefault="008015E7" w:rsidP="008015E7">
      <w:pPr>
        <w:pStyle w:val="MSACESParagraph"/>
      </w:pPr>
      <w:r>
        <w:t xml:space="preserve">In </w:t>
      </w:r>
      <w:r w:rsidR="00452E95">
        <w:t>its</w:t>
      </w:r>
      <w:r>
        <w:t xml:space="preserve"> pre-MSAC response</w:t>
      </w:r>
      <w:r w:rsidR="00E83D27">
        <w:t xml:space="preserve"> following the ESC discussion</w:t>
      </w:r>
      <w:r>
        <w:t>, the applicant provided an amended MBS item descriptor (Table 3). This was provided after consulting s</w:t>
      </w:r>
      <w:r w:rsidRPr="00561E91">
        <w:t xml:space="preserve">pecialist breast cancer pathologists </w:t>
      </w:r>
      <w:r>
        <w:t>who</w:t>
      </w:r>
      <w:r w:rsidRPr="00561E91">
        <w:t xml:space="preserve"> support</w:t>
      </w:r>
      <w:r>
        <w:t>ed</w:t>
      </w:r>
      <w:r w:rsidRPr="00561E91">
        <w:t xml:space="preserve"> the MBS item descriptor specifying the use of the SP142 assay as the descriptor is clearly linked to treatment with atezolizumab</w:t>
      </w:r>
      <w:r>
        <w:t xml:space="preserve">. Revised wording </w:t>
      </w:r>
      <w:r w:rsidR="00F0130D">
        <w:t>i</w:t>
      </w:r>
      <w:r w:rsidR="00452E95">
        <w:t xml:space="preserve">n Table 3 is </w:t>
      </w:r>
      <w:r>
        <w:t xml:space="preserve">in </w:t>
      </w:r>
      <w:r w:rsidRPr="009A4EBB">
        <w:rPr>
          <w:i/>
          <w:iCs/>
        </w:rPr>
        <w:t>italics</w:t>
      </w:r>
      <w:r>
        <w:t xml:space="preserve">. </w:t>
      </w:r>
      <w:r w:rsidR="00E83D27">
        <w:t>However</w:t>
      </w:r>
      <w:r>
        <w:t>, the applicant considered</w:t>
      </w:r>
      <w:r w:rsidRPr="00561E91">
        <w:t xml:space="preserve"> that the MBS </w:t>
      </w:r>
      <w:r w:rsidR="00452E95">
        <w:t>i</w:t>
      </w:r>
      <w:r w:rsidRPr="00561E91">
        <w:t xml:space="preserve">tem descriptor </w:t>
      </w:r>
      <w:r>
        <w:t>(</w:t>
      </w:r>
      <w:r w:rsidRPr="00561E91">
        <w:t>or PBS restriction</w:t>
      </w:r>
      <w:r>
        <w:t>)</w:t>
      </w:r>
      <w:r w:rsidRPr="00561E91">
        <w:t xml:space="preserve"> should</w:t>
      </w:r>
      <w:r>
        <w:t xml:space="preserve"> not</w:t>
      </w:r>
      <w:r w:rsidRPr="00561E91">
        <w:t xml:space="preserve"> contain explicit wording with requirements for tissue samples</w:t>
      </w:r>
      <w:r w:rsidR="00E83D27">
        <w:t>, or any limitation to the number of times th</w:t>
      </w:r>
      <w:r w:rsidR="00193F47">
        <w:t>e MBS</w:t>
      </w:r>
      <w:r w:rsidR="00E83D27">
        <w:t xml:space="preserve"> item could be billed for a patient</w:t>
      </w:r>
      <w:r w:rsidRPr="00561E91">
        <w:t>.</w:t>
      </w:r>
    </w:p>
    <w:p w14:paraId="1D82C869" w14:textId="1CCD5EDE" w:rsidR="008015E7" w:rsidRPr="00B90F39" w:rsidRDefault="008015E7" w:rsidP="00B90F39">
      <w:pPr>
        <w:rPr>
          <w:rFonts w:ascii="Arial Narrow" w:hAnsi="Arial Narrow"/>
          <w:b/>
          <w:sz w:val="20"/>
        </w:rPr>
      </w:pPr>
      <w:r w:rsidRPr="00B90F39">
        <w:rPr>
          <w:rFonts w:ascii="Arial Narrow" w:hAnsi="Arial Narrow"/>
          <w:b/>
          <w:sz w:val="20"/>
        </w:rPr>
        <w:t>Table 3: A</w:t>
      </w:r>
      <w:r w:rsidR="00F0130D" w:rsidRPr="00B90F39">
        <w:rPr>
          <w:rFonts w:ascii="Arial Narrow" w:hAnsi="Arial Narrow"/>
          <w:b/>
          <w:sz w:val="20"/>
        </w:rPr>
        <w:t>pplicant’s a</w:t>
      </w:r>
      <w:r w:rsidRPr="00B90F39">
        <w:rPr>
          <w:rFonts w:ascii="Arial Narrow" w:hAnsi="Arial Narrow"/>
          <w:b/>
          <w:sz w:val="20"/>
        </w:rPr>
        <w:t>mended MBS listing provided in pre-MSAC response</w:t>
      </w:r>
    </w:p>
    <w:tbl>
      <w:tblPr>
        <w:tblStyle w:val="TableGrid"/>
        <w:tblW w:w="4981" w:type="pct"/>
        <w:tblLook w:val="04A0" w:firstRow="1" w:lastRow="0" w:firstColumn="1" w:lastColumn="0" w:noHBand="0" w:noVBand="1"/>
        <w:tblCaption w:val="Table 2: Proposed MBS listing"/>
        <w:tblDescription w:val="MBS item descriptor"/>
      </w:tblPr>
      <w:tblGrid>
        <w:gridCol w:w="9207"/>
      </w:tblGrid>
      <w:tr w:rsidR="008015E7" w:rsidRPr="00C834E5" w14:paraId="204C8949" w14:textId="77777777" w:rsidTr="005E0817">
        <w:trPr>
          <w:tblHeader/>
        </w:trPr>
        <w:tc>
          <w:tcPr>
            <w:tcW w:w="5000" w:type="pct"/>
          </w:tcPr>
          <w:p w14:paraId="3D4F2508" w14:textId="4B397F6E" w:rsidR="008015E7" w:rsidRPr="00C834E5" w:rsidRDefault="00452E95" w:rsidP="00E84BDF">
            <w:pPr>
              <w:pStyle w:val="TableText"/>
            </w:pPr>
            <w:r>
              <w:t>Category 6 – PATHOLOGY SERVICES</w:t>
            </w:r>
          </w:p>
        </w:tc>
      </w:tr>
      <w:tr w:rsidR="008015E7" w:rsidRPr="00C834E5" w14:paraId="74DAE26B" w14:textId="77777777" w:rsidTr="005E0817">
        <w:tc>
          <w:tcPr>
            <w:tcW w:w="5000" w:type="pct"/>
          </w:tcPr>
          <w:p w14:paraId="333B8625" w14:textId="602411DB" w:rsidR="008015E7" w:rsidRPr="00C834E5" w:rsidRDefault="00452E95" w:rsidP="00E84BDF">
            <w:pPr>
              <w:pStyle w:val="TableText"/>
            </w:pPr>
            <w:r>
              <w:t>[</w:t>
            </w:r>
            <w:r w:rsidR="008015E7" w:rsidRPr="00C834E5">
              <w:t>MBS item number</w:t>
            </w:r>
            <w:r>
              <w:t>]</w:t>
            </w:r>
          </w:p>
          <w:p w14:paraId="0D95FE01" w14:textId="77777777" w:rsidR="008015E7" w:rsidRPr="00C834E5" w:rsidRDefault="008015E7" w:rsidP="000F5DF1">
            <w:pPr>
              <w:pStyle w:val="TableText"/>
              <w:spacing w:after="240" w:line="257" w:lineRule="auto"/>
            </w:pPr>
            <w:r w:rsidRPr="00C834E5">
              <w:t xml:space="preserve">Immunohistochemical examination by </w:t>
            </w:r>
            <w:r w:rsidRPr="009A4EBB">
              <w:rPr>
                <w:i/>
                <w:iCs/>
              </w:rPr>
              <w:t>VENTANA PD-L1 (SP142) Assay</w:t>
            </w:r>
            <w:r w:rsidRPr="008706B0">
              <w:t xml:space="preserve"> </w:t>
            </w:r>
            <w:r w:rsidRPr="00C834E5">
              <w:t>using the programmed death ligand 1 (PD</w:t>
            </w:r>
            <w:r w:rsidRPr="00C834E5">
              <w:noBreakHyphen/>
              <w:t>L1) antibody of tumour material from a patient diagnosed with triple-negative breast cancer, to determine if the requirements relating to (PD-L1) expression status for access to atezolizumab under the Pharmaceutical Benefits Scheme (PBS) are fulfilled.</w:t>
            </w:r>
          </w:p>
          <w:p w14:paraId="41805F75" w14:textId="5CC9CB93" w:rsidR="008015E7" w:rsidRPr="00C834E5" w:rsidRDefault="008015E7" w:rsidP="00E54B79">
            <w:pPr>
              <w:pStyle w:val="TableText"/>
            </w:pPr>
            <w:r w:rsidRPr="00C834E5">
              <w:t>Fee:  $</w:t>
            </w:r>
            <w:r w:rsidR="00E54B79" w:rsidRPr="0015386A">
              <w:rPr>
                <w:b/>
              </w:rPr>
              <w:t>redacted</w:t>
            </w:r>
            <w:r w:rsidR="00E54B79" w:rsidRPr="0015386A" w:rsidDel="00E54B79">
              <w:t xml:space="preserve"> </w:t>
            </w:r>
            <w:r w:rsidRPr="0015386A">
              <w:t>Benefit: 75% = $</w:t>
            </w:r>
            <w:r w:rsidR="00E54B79" w:rsidRPr="0015386A">
              <w:rPr>
                <w:b/>
              </w:rPr>
              <w:t>redacted</w:t>
            </w:r>
            <w:r w:rsidRPr="0015386A">
              <w:t xml:space="preserve"> 85</w:t>
            </w:r>
            <w:r w:rsidRPr="00C834E5">
              <w:t>% = $</w:t>
            </w:r>
            <w:r w:rsidR="00E54B79" w:rsidRPr="00E54B79">
              <w:rPr>
                <w:b/>
              </w:rPr>
              <w:t>redacted</w:t>
            </w:r>
          </w:p>
        </w:tc>
      </w:tr>
    </w:tbl>
    <w:p w14:paraId="0C2D17B0" w14:textId="49F8187C" w:rsidR="008015E7" w:rsidRDefault="008015E7" w:rsidP="008015E7">
      <w:pPr>
        <w:pStyle w:val="TableFooter"/>
      </w:pPr>
      <w:r w:rsidRPr="009F4EBD">
        <w:t>Source: Ta</w:t>
      </w:r>
      <w:r>
        <w:t>ble 1, p2</w:t>
      </w:r>
      <w:r w:rsidRPr="009F4EBD">
        <w:t xml:space="preserve"> of the </w:t>
      </w:r>
      <w:r w:rsidR="00452E95">
        <w:t>pre-</w:t>
      </w:r>
      <w:r>
        <w:t>MSAC response</w:t>
      </w:r>
    </w:p>
    <w:p w14:paraId="38F2754F" w14:textId="77777777" w:rsidR="00810EDB" w:rsidRPr="00F715D1" w:rsidRDefault="00810EDB" w:rsidP="00810EDB">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488B1E48" w14:textId="77777777" w:rsidR="008015E7" w:rsidRPr="009F4EBD" w:rsidRDefault="008015E7" w:rsidP="008015E7">
      <w:pPr>
        <w:pStyle w:val="MSACESParagraph"/>
      </w:pPr>
      <w:r>
        <w:t xml:space="preserve">The </w:t>
      </w:r>
      <w:r w:rsidRPr="009F4EBD">
        <w:t>Breast Cancer Network Australia (BCNA) support</w:t>
      </w:r>
      <w:r>
        <w:t>ed</w:t>
      </w:r>
      <w:r w:rsidRPr="009F4EBD">
        <w:t xml:space="preserve"> MSAC consideration of the proposed service, particularly considering the limited treatment options for women with TNBC. </w:t>
      </w:r>
      <w:r w:rsidRPr="00AF1C88">
        <w:t xml:space="preserve">BCNA indicated that </w:t>
      </w:r>
      <w:r>
        <w:t>p</w:t>
      </w:r>
      <w:r w:rsidRPr="009F4EBD">
        <w:t xml:space="preserve">atients who may benefit from treatment with atezolizumab should be able to access PD-L1 testing at an affordable price, and should not be excluded because of out-of-pocket </w:t>
      </w:r>
      <w:r>
        <w:t>expenses</w:t>
      </w:r>
      <w:r w:rsidRPr="009F4EBD">
        <w:t>.</w:t>
      </w:r>
    </w:p>
    <w:p w14:paraId="1C158E0B" w14:textId="77777777" w:rsidR="008015E7" w:rsidRPr="00CC7BFE" w:rsidRDefault="008015E7" w:rsidP="008015E7">
      <w:pPr>
        <w:pStyle w:val="MSACESParagraph"/>
      </w:pPr>
      <w:r w:rsidRPr="009F4EBD">
        <w:t>The Peter MacCallum Cancer Centre also supported the application</w:t>
      </w:r>
      <w:r>
        <w:t xml:space="preserve">, advising that </w:t>
      </w:r>
      <w:r w:rsidRPr="009F4EBD">
        <w:t xml:space="preserve">PD-L1 testing allows targeted treatment in a patient population with </w:t>
      </w:r>
      <w:r>
        <w:t xml:space="preserve">a </w:t>
      </w:r>
      <w:r w:rsidRPr="009F4EBD">
        <w:t xml:space="preserve">very strong clinical need, with cost savings for patients who otherwise may have to self-fund testing and therapy. However, </w:t>
      </w:r>
      <w:r>
        <w:t xml:space="preserve">it was noted that </w:t>
      </w:r>
      <w:r w:rsidRPr="009F4EBD">
        <w:t>the addition of immunotherapy (atezolizumab) will increase the toxicity of patients</w:t>
      </w:r>
      <w:r>
        <w:t>’</w:t>
      </w:r>
      <w:r w:rsidRPr="009F4EBD">
        <w:t xml:space="preserve"> treatment.</w:t>
      </w:r>
    </w:p>
    <w:p w14:paraId="01F70654" w14:textId="77777777" w:rsidR="00810EDB" w:rsidRPr="00F715D1" w:rsidRDefault="00810EDB" w:rsidP="00810EDB">
      <w:pPr>
        <w:pStyle w:val="Heading1"/>
      </w:pPr>
      <w:r w:rsidRPr="00F715D1">
        <w:lastRenderedPageBreak/>
        <w:t>Proposed intervention’s place in clinical management</w:t>
      </w:r>
    </w:p>
    <w:p w14:paraId="75D5DDDB" w14:textId="10C4EA10" w:rsidR="006E1118" w:rsidRPr="006E1118" w:rsidRDefault="006E1118" w:rsidP="00F53151">
      <w:pPr>
        <w:pStyle w:val="MSACESParagraph"/>
        <w:keepNext/>
        <w:rPr>
          <w:b/>
        </w:rPr>
      </w:pPr>
      <w:r>
        <w:rPr>
          <w:b/>
        </w:rPr>
        <w:t>Description of the</w:t>
      </w:r>
      <w:r w:rsidR="00452E95">
        <w:rPr>
          <w:b/>
        </w:rPr>
        <w:t xml:space="preserve"> proposed int</w:t>
      </w:r>
      <w:r>
        <w:rPr>
          <w:b/>
        </w:rPr>
        <w:t>ervention</w:t>
      </w:r>
    </w:p>
    <w:p w14:paraId="7CBA7F2E" w14:textId="64A05F7B" w:rsidR="008015E7" w:rsidRDefault="008015E7" w:rsidP="008015E7">
      <w:pPr>
        <w:pStyle w:val="MSACESParagraph"/>
      </w:pPr>
      <w:r>
        <w:t xml:space="preserve">The proposed medical service is an IHC test for evaluation of PD-L1 expression to determine eligibility for treatment with atezolizumab in patients with locally advanced or metastatic TNBC who are previously untreated in the advanced setting. The biopsy sample taken as part of a standard diagnostic process will be used for </w:t>
      </w:r>
      <w:r w:rsidR="00F0130D">
        <w:t>IHC</w:t>
      </w:r>
      <w:r>
        <w:t xml:space="preserve"> testing with PD-L1. The testing would be done by a pathologist alongside other </w:t>
      </w:r>
      <w:r w:rsidR="00F0130D">
        <w:t>IHC</w:t>
      </w:r>
      <w:r>
        <w:t xml:space="preserve"> tests which are done routinely.</w:t>
      </w:r>
    </w:p>
    <w:p w14:paraId="19AE1089" w14:textId="77777777" w:rsidR="008015E7" w:rsidRPr="008015E7" w:rsidRDefault="008015E7" w:rsidP="008015E7">
      <w:pPr>
        <w:pStyle w:val="MSACESParagraph"/>
      </w:pPr>
      <w:r>
        <w:t>The scoring threshold for TNBC is PD-L1 IHC staining of IC at any discernible intensity that covers ≥1% of the tumour area. The key IMpassion130 trial used the VENTANA PD-L1 (SP142) Assay to determine PD-L1 positivity. There are currently two other commercially available PD-L1 IHC assays that could also be used; the VENTANA PD-L1 (SP263) and Agilent/Dako PD-L1 (22C3) pharmDx assays.</w:t>
      </w:r>
    </w:p>
    <w:p w14:paraId="5B846232" w14:textId="550361C1" w:rsidR="006E1118" w:rsidRDefault="006E1118" w:rsidP="00F53151">
      <w:pPr>
        <w:pStyle w:val="MSACESParagraph"/>
        <w:keepNext/>
        <w:rPr>
          <w:b/>
        </w:rPr>
      </w:pPr>
      <w:r>
        <w:rPr>
          <w:b/>
        </w:rPr>
        <w:t>Description of the medical condition(s)</w:t>
      </w:r>
    </w:p>
    <w:p w14:paraId="34E4D71C" w14:textId="596A8AE8" w:rsidR="006E1118" w:rsidRPr="009F4EBD" w:rsidRDefault="006E1118" w:rsidP="006E1118">
      <w:pPr>
        <w:spacing w:after="240"/>
        <w:rPr>
          <w:color w:val="000000"/>
        </w:rPr>
      </w:pPr>
      <w:r w:rsidRPr="009F4EBD">
        <w:rPr>
          <w:color w:val="000000"/>
        </w:rPr>
        <w:t xml:space="preserve">TNBC accounts for approximately 15% of </w:t>
      </w:r>
      <w:r w:rsidR="005D3915">
        <w:rPr>
          <w:color w:val="000000"/>
        </w:rPr>
        <w:t>patients</w:t>
      </w:r>
      <w:r w:rsidR="005D3915" w:rsidRPr="009F4EBD">
        <w:rPr>
          <w:color w:val="000000"/>
        </w:rPr>
        <w:t xml:space="preserve"> </w:t>
      </w:r>
      <w:r w:rsidR="005D3915">
        <w:rPr>
          <w:color w:val="000000"/>
        </w:rPr>
        <w:t xml:space="preserve">with </w:t>
      </w:r>
      <w:r w:rsidRPr="009F4EBD">
        <w:rPr>
          <w:color w:val="000000"/>
        </w:rPr>
        <w:t>breast cancer in Australia</w:t>
      </w:r>
      <w:r w:rsidRPr="009F4EBD">
        <w:rPr>
          <w:rStyle w:val="FootnoteReference"/>
          <w:color w:val="000000"/>
        </w:rPr>
        <w:footnoteReference w:id="2"/>
      </w:r>
      <w:r w:rsidRPr="009F4EBD">
        <w:rPr>
          <w:color w:val="000000"/>
        </w:rPr>
        <w:t>, and is defined as &lt;1% IHC immunostaining for oestrogen and p</w:t>
      </w:r>
      <w:r w:rsidR="005D3915">
        <w:rPr>
          <w:color w:val="000000"/>
        </w:rPr>
        <w:t>rogesterone receptors, and HER2-</w:t>
      </w:r>
      <w:r w:rsidRPr="009F4EBD">
        <w:rPr>
          <w:color w:val="000000"/>
        </w:rPr>
        <w:t xml:space="preserve">negative by </w:t>
      </w:r>
      <w:r w:rsidRPr="00AF1C88">
        <w:rPr>
          <w:i/>
          <w:color w:val="000000"/>
        </w:rPr>
        <w:t>in situ</w:t>
      </w:r>
      <w:r w:rsidRPr="009F4EBD">
        <w:rPr>
          <w:color w:val="000000"/>
        </w:rPr>
        <w:t xml:space="preserve"> hybridi</w:t>
      </w:r>
      <w:r>
        <w:rPr>
          <w:color w:val="000000"/>
        </w:rPr>
        <w:t>s</w:t>
      </w:r>
      <w:r w:rsidRPr="009F4EBD">
        <w:rPr>
          <w:color w:val="000000"/>
        </w:rPr>
        <w:t>ation. TNBC tumours are generally larger in size and are more poorly differentiated compared to other breast cancers with an</w:t>
      </w:r>
      <w:r w:rsidRPr="009F4EBD">
        <w:t xml:space="preserve"> </w:t>
      </w:r>
      <w:r w:rsidRPr="009F4EBD">
        <w:rPr>
          <w:color w:val="000000"/>
        </w:rPr>
        <w:t>invasive phenotype.</w:t>
      </w:r>
      <w:r w:rsidRPr="009F4EBD">
        <w:t xml:space="preserve"> </w:t>
      </w:r>
      <w:r w:rsidRPr="009F4EBD">
        <w:rPr>
          <w:color w:val="000000"/>
        </w:rPr>
        <w:t xml:space="preserve">Therefore, patients have more extensive lymph node involvement and more advanced disease at diagnosis. Patients with TNBC are typically younger and have a poorer prognosis in the first 5 years after diagnosis than those with other breast cancer subtypes despite their good response rate to </w:t>
      </w:r>
      <w:r>
        <w:rPr>
          <w:color w:val="000000"/>
        </w:rPr>
        <w:t>(</w:t>
      </w:r>
      <w:r w:rsidRPr="009F4EBD">
        <w:rPr>
          <w:color w:val="000000"/>
        </w:rPr>
        <w:t>neo</w:t>
      </w:r>
      <w:r>
        <w:rPr>
          <w:color w:val="000000"/>
        </w:rPr>
        <w:t>)</w:t>
      </w:r>
      <w:r w:rsidRPr="009F4EBD">
        <w:rPr>
          <w:color w:val="000000"/>
        </w:rPr>
        <w:t>adjuvant chemotherapy</w:t>
      </w:r>
      <w:r w:rsidRPr="009F4EBD">
        <w:rPr>
          <w:rStyle w:val="FootnoteReference"/>
          <w:color w:val="000000"/>
        </w:rPr>
        <w:footnoteReference w:id="3"/>
      </w:r>
      <w:r w:rsidRPr="009F4EBD">
        <w:rPr>
          <w:color w:val="000000"/>
        </w:rPr>
        <w:t>.</w:t>
      </w:r>
    </w:p>
    <w:p w14:paraId="7DCA19A7" w14:textId="61766B9C" w:rsidR="006E1118" w:rsidRPr="006E1118" w:rsidRDefault="006E1118" w:rsidP="006E1118">
      <w:pPr>
        <w:spacing w:after="240"/>
        <w:rPr>
          <w:color w:val="000000"/>
        </w:rPr>
      </w:pPr>
      <w:r w:rsidRPr="009F4EBD">
        <w:rPr>
          <w:color w:val="000000"/>
        </w:rPr>
        <w:t>Patients may be diagnosed with newly occurring (</w:t>
      </w:r>
      <w:r w:rsidRPr="003530E1">
        <w:rPr>
          <w:i/>
          <w:color w:val="000000"/>
        </w:rPr>
        <w:t>de novo</w:t>
      </w:r>
      <w:r w:rsidRPr="009F4EBD">
        <w:rPr>
          <w:color w:val="000000"/>
        </w:rPr>
        <w:t>) or recurrent unresectable locally advanced or mTNBC. Those with recurrent disease most likely had previous adjuvant treatment for early stage (I-III) breast cancer.</w:t>
      </w:r>
      <w:r w:rsidRPr="009F4EBD">
        <w:t xml:space="preserve"> </w:t>
      </w:r>
      <w:r w:rsidRPr="009F4EBD">
        <w:rPr>
          <w:color w:val="000000"/>
        </w:rPr>
        <w:t xml:space="preserve">The submission estimated that </w:t>
      </w:r>
      <w:r w:rsidRPr="003530E1">
        <w:rPr>
          <w:i/>
          <w:color w:val="000000"/>
        </w:rPr>
        <w:t>de novo</w:t>
      </w:r>
      <w:r w:rsidRPr="009F4EBD">
        <w:rPr>
          <w:color w:val="000000"/>
        </w:rPr>
        <w:t xml:space="preserve"> TNBC is estimated to be approximately 25% of the proposed PBS population.</w:t>
      </w:r>
    </w:p>
    <w:p w14:paraId="4042B5E4" w14:textId="25662ACB" w:rsidR="006E1118" w:rsidRPr="006E1118" w:rsidRDefault="006E1118" w:rsidP="00F53151">
      <w:pPr>
        <w:pStyle w:val="MSACESParagraph"/>
        <w:keepNext/>
        <w:rPr>
          <w:b/>
        </w:rPr>
      </w:pPr>
      <w:r w:rsidRPr="006E1118">
        <w:rPr>
          <w:b/>
        </w:rPr>
        <w:t>Place in clinical management</w:t>
      </w:r>
    </w:p>
    <w:p w14:paraId="45BD15E3" w14:textId="2A34A24A" w:rsidR="008015E7" w:rsidRPr="00083EF0" w:rsidRDefault="008015E7" w:rsidP="008015E7">
      <w:pPr>
        <w:pStyle w:val="MSACESParagraph"/>
      </w:pPr>
      <w:r w:rsidRPr="00083EF0">
        <w:t>Currently, patients with unresectable locally advanced, recurrent or m</w:t>
      </w:r>
      <w:r>
        <w:rPr>
          <w:color w:val="000000"/>
        </w:rPr>
        <w:t xml:space="preserve">etastatic </w:t>
      </w:r>
      <w:r w:rsidRPr="00083EF0">
        <w:t>TNBC do not undergo PD-L1 IHC testing</w:t>
      </w:r>
      <w:r>
        <w:t>. They</w:t>
      </w:r>
      <w:r w:rsidRPr="00083EF0">
        <w:t xml:space="preserve"> receive standard of care chemotherapy</w:t>
      </w:r>
      <w:r>
        <w:t>,</w:t>
      </w:r>
      <w:r w:rsidRPr="00083EF0">
        <w:t xml:space="preserve"> including anthracyclines, taxanes and/or platinu</w:t>
      </w:r>
      <w:r>
        <w:t>m-based chemotherapy (Figure 1)</w:t>
      </w:r>
      <w:r w:rsidRPr="00083EF0">
        <w:t>. The regimen chosen depends on patient characteristics, previous treatment in the early breast cancer setting and clinician and/or patient choice. Typically, patients receive more than one line of chemotherapy.</w:t>
      </w:r>
    </w:p>
    <w:p w14:paraId="01FD6F33" w14:textId="77777777" w:rsidR="008015E7" w:rsidRPr="00083EF0" w:rsidRDefault="008015E7" w:rsidP="008015E7">
      <w:pPr>
        <w:pStyle w:val="MSACESParagraph"/>
      </w:pPr>
      <w:r w:rsidRPr="00083EF0">
        <w:t xml:space="preserve">It </w:t>
      </w:r>
      <w:r>
        <w:t>wa</w:t>
      </w:r>
      <w:r w:rsidRPr="00083EF0">
        <w:t>s proposed that patients diagnosed with unresectable locally advanced, recurrent or m</w:t>
      </w:r>
      <w:r>
        <w:rPr>
          <w:color w:val="000000"/>
        </w:rPr>
        <w:t xml:space="preserve">etastatic </w:t>
      </w:r>
      <w:r w:rsidRPr="00083EF0">
        <w:t>TNBC and with an ECOG of 0-1 w</w:t>
      </w:r>
      <w:r>
        <w:t>ould</w:t>
      </w:r>
      <w:r w:rsidRPr="00083EF0">
        <w:t xml:space="preserve"> receive PD-L1 IHC testing </w:t>
      </w:r>
      <w:r>
        <w:t>(</w:t>
      </w:r>
      <w:r w:rsidRPr="00083EF0">
        <w:t>Figure 2</w:t>
      </w:r>
      <w:r>
        <w:t>)</w:t>
      </w:r>
      <w:r w:rsidRPr="00083EF0">
        <w:t>. Those fo</w:t>
      </w:r>
      <w:r>
        <w:t>und to be PD-L1 IC positive would</w:t>
      </w:r>
      <w:r w:rsidRPr="00083EF0">
        <w:t xml:space="preserve"> receive first-line treatment with atezolizumab in combination with taxane chemotherapy. Patients w</w:t>
      </w:r>
      <w:r>
        <w:t>ould</w:t>
      </w:r>
      <w:r w:rsidRPr="00083EF0">
        <w:t xml:space="preserve"> continue to receive more than one line of treatment. The second-line chemotherapy regimen w</w:t>
      </w:r>
      <w:r>
        <w:t>ould</w:t>
      </w:r>
      <w:r w:rsidRPr="00083EF0">
        <w:t xml:space="preserve"> vary and w</w:t>
      </w:r>
      <w:r>
        <w:t>ould</w:t>
      </w:r>
      <w:r w:rsidRPr="00083EF0">
        <w:t xml:space="preserve"> be determined in the same way as for the current clinical algorithm.</w:t>
      </w:r>
    </w:p>
    <w:p w14:paraId="729FA0CF" w14:textId="77777777" w:rsidR="008015E7" w:rsidRPr="00083EF0" w:rsidRDefault="008015E7" w:rsidP="008015E7">
      <w:pPr>
        <w:pStyle w:val="MSACESParagraph"/>
      </w:pPr>
      <w:r w:rsidRPr="00083EF0">
        <w:lastRenderedPageBreak/>
        <w:t>The Commentary stated that both algorithms assume predominantly taxane-based chemotherapy is used in the m</w:t>
      </w:r>
      <w:r>
        <w:rPr>
          <w:color w:val="000000"/>
        </w:rPr>
        <w:t xml:space="preserve">etastatic </w:t>
      </w:r>
      <w:r w:rsidRPr="00083EF0">
        <w:t xml:space="preserve">TNBC setting. However, treatment guidelines and recent Australian data have shown that this may not be the case. In addition, the algorithm failed to accommodate the varied treatment approaches in patient subpopulations with either </w:t>
      </w:r>
      <w:r w:rsidRPr="00FF760D">
        <w:rPr>
          <w:i/>
        </w:rPr>
        <w:t>BRCA1/2</w:t>
      </w:r>
      <w:r w:rsidRPr="00083EF0">
        <w:t xml:space="preserve"> deleterious mutations (usually receive platinum-based chemotherapy) or unresectable locally advanced TNBC (receive chemoradiotherapy with a goal of rendering the tumour operable), as delineated by international guidelines.</w:t>
      </w:r>
    </w:p>
    <w:p w14:paraId="70E928A0" w14:textId="77777777" w:rsidR="008015E7" w:rsidRPr="009F4EBD" w:rsidRDefault="008015E7" w:rsidP="008015E7">
      <w:pPr>
        <w:pStyle w:val="InstructionalText"/>
        <w:rPr>
          <w:color w:val="auto"/>
        </w:rPr>
      </w:pPr>
      <w:r w:rsidRPr="009F4EBD">
        <w:rPr>
          <w:noProof/>
          <w:color w:val="auto"/>
          <w:lang w:eastAsia="en-AU"/>
        </w:rPr>
        <w:drawing>
          <wp:inline distT="0" distB="0" distL="0" distR="0" wp14:anchorId="786635EA" wp14:editId="042F500B">
            <wp:extent cx="5124450" cy="3137714"/>
            <wp:effectExtent l="0" t="0" r="0" b="5715"/>
            <wp:docPr id="1" name="Picture 1" descr="Current algorithm" title="Figure 1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428"/>
                    <a:stretch/>
                  </pic:blipFill>
                  <pic:spPr bwMode="auto">
                    <a:xfrm>
                      <a:off x="0" y="0"/>
                      <a:ext cx="5136492" cy="3145087"/>
                    </a:xfrm>
                    <a:prstGeom prst="rect">
                      <a:avLst/>
                    </a:prstGeom>
                    <a:noFill/>
                    <a:ln>
                      <a:noFill/>
                    </a:ln>
                    <a:extLst>
                      <a:ext uri="{53640926-AAD7-44D8-BBD7-CCE9431645EC}">
                        <a14:shadowObscured xmlns:a14="http://schemas.microsoft.com/office/drawing/2010/main"/>
                      </a:ext>
                    </a:extLst>
                  </pic:spPr>
                </pic:pic>
              </a:graphicData>
            </a:graphic>
          </wp:inline>
        </w:drawing>
      </w:r>
    </w:p>
    <w:p w14:paraId="3BC8639B" w14:textId="77777777" w:rsidR="008015E7" w:rsidRPr="00B90F39" w:rsidRDefault="008015E7" w:rsidP="00B90F39">
      <w:pPr>
        <w:rPr>
          <w:rFonts w:ascii="Arial Narrow" w:hAnsi="Arial Narrow"/>
          <w:b/>
          <w:sz w:val="20"/>
        </w:rPr>
      </w:pPr>
      <w:bookmarkStart w:id="2" w:name="_Ref23341795"/>
      <w:r w:rsidRPr="00B90F39">
        <w:rPr>
          <w:rFonts w:ascii="Arial Narrow" w:hAnsi="Arial Narrow"/>
          <w:b/>
          <w:sz w:val="20"/>
        </w:rPr>
        <w:t>Figure</w:t>
      </w:r>
      <w:bookmarkEnd w:id="2"/>
      <w:r w:rsidRPr="00B90F39">
        <w:rPr>
          <w:rFonts w:ascii="Arial Narrow" w:hAnsi="Arial Narrow"/>
          <w:b/>
          <w:sz w:val="20"/>
        </w:rPr>
        <w:t xml:space="preserve"> 1: Current clinical management algorithm</w:t>
      </w:r>
    </w:p>
    <w:p w14:paraId="11A2174A" w14:textId="77777777" w:rsidR="008015E7" w:rsidRPr="009F4EBD" w:rsidRDefault="008015E7" w:rsidP="008015E7">
      <w:pPr>
        <w:pStyle w:val="TableFooter"/>
        <w:jc w:val="left"/>
      </w:pPr>
      <w:r w:rsidRPr="009F4EBD">
        <w:t>BC = breast cancer; ER = oestrogen; HER2 = human epidermal growth factor receptor; PR = progesterone; TNBC = triple-negative breast cancer</w:t>
      </w:r>
    </w:p>
    <w:p w14:paraId="12642D87" w14:textId="77777777" w:rsidR="008015E7" w:rsidRDefault="008015E7" w:rsidP="008015E7">
      <w:pPr>
        <w:pStyle w:val="TableFooter"/>
        <w:jc w:val="left"/>
      </w:pPr>
      <w:r w:rsidRPr="009F4EBD">
        <w:t xml:space="preserve">Source: Figure 1.5.1 from the </w:t>
      </w:r>
      <w:r w:rsidRPr="008D006C">
        <w:t>MSAC_PBAC Combined Submission</w:t>
      </w:r>
    </w:p>
    <w:p w14:paraId="28335E00" w14:textId="77777777" w:rsidR="008015E7" w:rsidRPr="00CD637D" w:rsidRDefault="008015E7" w:rsidP="008015E7">
      <w:pPr>
        <w:rPr>
          <w:rStyle w:val="InstructionalTextChar"/>
          <w:color w:val="auto"/>
        </w:rPr>
      </w:pPr>
      <w:r w:rsidRPr="009F4EBD">
        <w:rPr>
          <w:rStyle w:val="InstructionalTextChar"/>
          <w:noProof/>
        </w:rPr>
        <w:drawing>
          <wp:inline distT="0" distB="0" distL="0" distR="0" wp14:anchorId="261E5731" wp14:editId="17B47C17">
            <wp:extent cx="5863590" cy="3148422"/>
            <wp:effectExtent l="0" t="0" r="3810" b="0"/>
            <wp:docPr id="3" name="Picture 3" descr="Proposed clinical management algorithm" title="Figure 2: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94" b="-1"/>
                    <a:stretch/>
                  </pic:blipFill>
                  <pic:spPr bwMode="auto">
                    <a:xfrm>
                      <a:off x="0" y="0"/>
                      <a:ext cx="5883583" cy="3159157"/>
                    </a:xfrm>
                    <a:prstGeom prst="rect">
                      <a:avLst/>
                    </a:prstGeom>
                    <a:noFill/>
                    <a:ln>
                      <a:noFill/>
                    </a:ln>
                    <a:extLst>
                      <a:ext uri="{53640926-AAD7-44D8-BBD7-CCE9431645EC}">
                        <a14:shadowObscured xmlns:a14="http://schemas.microsoft.com/office/drawing/2010/main"/>
                      </a:ext>
                    </a:extLst>
                  </pic:spPr>
                </pic:pic>
              </a:graphicData>
            </a:graphic>
          </wp:inline>
        </w:drawing>
      </w:r>
    </w:p>
    <w:p w14:paraId="55A9E431" w14:textId="77777777" w:rsidR="008015E7" w:rsidRPr="00B90F39" w:rsidRDefault="008015E7" w:rsidP="00B90F39">
      <w:pPr>
        <w:rPr>
          <w:rFonts w:ascii="Arial Narrow" w:hAnsi="Arial Narrow"/>
          <w:b/>
          <w:sz w:val="20"/>
        </w:rPr>
      </w:pPr>
      <w:bookmarkStart w:id="3" w:name="_Ref23345978"/>
      <w:r w:rsidRPr="00B90F39">
        <w:rPr>
          <w:rFonts w:ascii="Arial Narrow" w:hAnsi="Arial Narrow"/>
          <w:b/>
          <w:sz w:val="20"/>
        </w:rPr>
        <w:t>Figure</w:t>
      </w:r>
      <w:bookmarkEnd w:id="3"/>
      <w:r w:rsidRPr="00B90F39">
        <w:rPr>
          <w:rFonts w:ascii="Arial Narrow" w:hAnsi="Arial Narrow"/>
          <w:b/>
          <w:sz w:val="20"/>
        </w:rPr>
        <w:t xml:space="preserve"> 2: Proposed clinical management algorithm</w:t>
      </w:r>
    </w:p>
    <w:p w14:paraId="71A3FC7F" w14:textId="77777777" w:rsidR="008015E7" w:rsidRPr="009F4EBD" w:rsidRDefault="008015E7" w:rsidP="008015E7">
      <w:pPr>
        <w:pStyle w:val="TableFooter"/>
        <w:jc w:val="left"/>
      </w:pPr>
      <w:r w:rsidRPr="009F4EBD">
        <w:t>BC = breast cancer; BSC = best supportive care; ECOG = Eastern Cooperative Oncology Group; ER = oestrogen; HER2 = human epidermal growth factor receptor; PR = progesterone; TNBC = triple-negative breast cancer</w:t>
      </w:r>
    </w:p>
    <w:p w14:paraId="3B1A8607" w14:textId="77777777" w:rsidR="008015E7" w:rsidRPr="00B02E35" w:rsidRDefault="008015E7" w:rsidP="008015E7">
      <w:pPr>
        <w:pStyle w:val="TableFooter"/>
        <w:jc w:val="left"/>
      </w:pPr>
      <w:r w:rsidRPr="009F4EBD">
        <w:t xml:space="preserve">Source: Figure 1.5.2 from the </w:t>
      </w:r>
      <w:r w:rsidRPr="008D006C">
        <w:t>MSAC_PBAC Combined Submission</w:t>
      </w:r>
    </w:p>
    <w:p w14:paraId="039497FC" w14:textId="3DD5D48F" w:rsidR="00810EDB" w:rsidRPr="00F715D1" w:rsidRDefault="00452E95" w:rsidP="00810EDB">
      <w:pPr>
        <w:pStyle w:val="Heading1"/>
      </w:pPr>
      <w:r>
        <w:t>Comparator</w:t>
      </w:r>
    </w:p>
    <w:p w14:paraId="76973F10" w14:textId="77777777" w:rsidR="008603E5" w:rsidRPr="009F4EBD" w:rsidRDefault="008603E5" w:rsidP="008603E5">
      <w:pPr>
        <w:pStyle w:val="MSACESParagraph"/>
      </w:pPr>
      <w:r w:rsidRPr="009F4EBD">
        <w:t>The appropriate comparator to PD-L1 IHC testing is no testing.</w:t>
      </w:r>
    </w:p>
    <w:p w14:paraId="235B4293" w14:textId="77777777" w:rsidR="008603E5" w:rsidRPr="009F4EBD" w:rsidRDefault="008603E5" w:rsidP="008603E5">
      <w:pPr>
        <w:pStyle w:val="MSACESParagraph"/>
      </w:pPr>
      <w:r>
        <w:t>T</w:t>
      </w:r>
      <w:r w:rsidRPr="009F4EBD">
        <w:t xml:space="preserve">he PD-L1 testing strategy (SP142-IC) used to stratify patients according to their PD-L1 IC positivity in the IMpassion130 trial was considered the evidentiary standard against which the percent agreement </w:t>
      </w:r>
      <w:r>
        <w:t xml:space="preserve">and comparative health outcomes </w:t>
      </w:r>
      <w:r w:rsidRPr="009F4EBD">
        <w:t>f</w:t>
      </w:r>
      <w:r>
        <w:t>or</w:t>
      </w:r>
      <w:r w:rsidRPr="009F4EBD">
        <w:t xml:space="preserve"> the other three testing strategies were measured.</w:t>
      </w:r>
    </w:p>
    <w:p w14:paraId="7F15BB52" w14:textId="0ED178CC" w:rsidR="008603E5" w:rsidRDefault="008603E5" w:rsidP="008603E5">
      <w:pPr>
        <w:pStyle w:val="MSACESParagraph"/>
      </w:pPr>
      <w:r w:rsidRPr="009F4EBD">
        <w:t>The submission nominated nab-</w:t>
      </w:r>
      <w:r w:rsidR="00452E95">
        <w:t>P</w:t>
      </w:r>
      <w:r w:rsidRPr="009F4EBD">
        <w:t xml:space="preserve"> as the main comparator for the proposed medicine</w:t>
      </w:r>
      <w:r>
        <w:t xml:space="preserve">. However, the Commentary stated that </w:t>
      </w:r>
      <w:r w:rsidRPr="00CF3F21">
        <w:t>this is much narrower than the “standard of care” nominated as the comparator in the PASC-ratified PICO Confirmation. Additionally, nab-P is only PBS funded for ‘metastatic breast cancer’, not for unresectable locally advanced disease and so is not a suitable comparator for the Australian setting for this subpopulation.</w:t>
      </w:r>
    </w:p>
    <w:p w14:paraId="7FC02249" w14:textId="77777777" w:rsidR="008603E5" w:rsidRDefault="008603E5" w:rsidP="008603E5">
      <w:pPr>
        <w:pStyle w:val="MSACESParagraph"/>
      </w:pPr>
      <w:r w:rsidRPr="00CF3F21">
        <w:t>Furthermore, the selected comparator was not appropriate for first-line use in up to 90% of the ITT population in the IMpassion130 trial.</w:t>
      </w:r>
      <w:r>
        <w:t xml:space="preserve"> Therefore, the Commentary considered the </w:t>
      </w:r>
      <w:r w:rsidRPr="00CF3F21">
        <w:t>applicability of the treatment received (nab-P) by patients in the key IMpassion130 trial is concerning.</w:t>
      </w:r>
    </w:p>
    <w:p w14:paraId="08F04122" w14:textId="77777777" w:rsidR="00810EDB" w:rsidRPr="00F715D1" w:rsidRDefault="00810EDB" w:rsidP="00810EDB">
      <w:pPr>
        <w:pStyle w:val="Heading1"/>
      </w:pPr>
      <w:r w:rsidRPr="00F715D1">
        <w:t>Comparative safety</w:t>
      </w:r>
    </w:p>
    <w:p w14:paraId="03FF7D83" w14:textId="6B307814" w:rsidR="008603E5" w:rsidRPr="00083EF0" w:rsidRDefault="008603E5" w:rsidP="008603E5">
      <w:pPr>
        <w:pStyle w:val="MSACESParagraph"/>
      </w:pPr>
      <w:r w:rsidRPr="00083EF0">
        <w:t>The approach taken in the submission was to present direct evidence of the effect o</w:t>
      </w:r>
      <w:r w:rsidR="005C0E29">
        <w:t>f targeting patients with PD-L1-</w:t>
      </w:r>
      <w:r w:rsidRPr="00083EF0">
        <w:t xml:space="preserve">positive TNBC with </w:t>
      </w:r>
      <w:r>
        <w:t xml:space="preserve">atezolizumab and </w:t>
      </w:r>
      <w:r w:rsidRPr="005358E0">
        <w:t>nanoparticle albumin</w:t>
      </w:r>
      <w:r w:rsidR="00452E95">
        <w:t>-</w:t>
      </w:r>
      <w:r w:rsidRPr="005358E0">
        <w:t xml:space="preserve">bound paclitaxel </w:t>
      </w:r>
      <w:r>
        <w:t>(</w:t>
      </w:r>
      <w:r w:rsidRPr="00083EF0">
        <w:t>ATZ+nab-P</w:t>
      </w:r>
      <w:r>
        <w:t>)</w:t>
      </w:r>
      <w:r w:rsidRPr="00083EF0">
        <w:t xml:space="preserve"> to i</w:t>
      </w:r>
      <w:r w:rsidR="00B3669E">
        <w:t>mprove their PFS and OS (Table 4</w:t>
      </w:r>
      <w:r w:rsidRPr="00083EF0">
        <w:t>).</w:t>
      </w:r>
    </w:p>
    <w:p w14:paraId="7B7EBAFD" w14:textId="77777777" w:rsidR="008603E5" w:rsidRPr="00B90F39" w:rsidRDefault="008603E5" w:rsidP="00B90F39">
      <w:pPr>
        <w:rPr>
          <w:rFonts w:ascii="Arial Narrow" w:hAnsi="Arial Narrow"/>
          <w:b/>
          <w:sz w:val="20"/>
        </w:rPr>
      </w:pPr>
      <w:r w:rsidRPr="00B90F39">
        <w:rPr>
          <w:rFonts w:ascii="Arial Narrow" w:hAnsi="Arial Narrow"/>
          <w:b/>
          <w:sz w:val="20"/>
        </w:rPr>
        <w:t>Table 4: Evidence provided in the submission to support the use of the codependent technology</w:t>
      </w:r>
    </w:p>
    <w:tbl>
      <w:tblPr>
        <w:tblStyle w:val="TableGrid"/>
        <w:tblW w:w="5001" w:type="pct"/>
        <w:tblLook w:val="04A0" w:firstRow="1" w:lastRow="0" w:firstColumn="1" w:lastColumn="0" w:noHBand="0" w:noVBand="1"/>
        <w:tblCaption w:val="Table 4: Evidence provided in the submission to support the use of the codependent technology"/>
        <w:tblDescription w:val="Overview of evidence base"/>
      </w:tblPr>
      <w:tblGrid>
        <w:gridCol w:w="3481"/>
        <w:gridCol w:w="2472"/>
        <w:gridCol w:w="3291"/>
      </w:tblGrid>
      <w:tr w:rsidR="008603E5" w:rsidRPr="009F4EBD" w14:paraId="326A3D57" w14:textId="77777777" w:rsidTr="005E0817">
        <w:trPr>
          <w:trHeight w:val="384"/>
          <w:tblHeader/>
        </w:trPr>
        <w:tc>
          <w:tcPr>
            <w:tcW w:w="1883" w:type="pct"/>
            <w:hideMark/>
          </w:tcPr>
          <w:p w14:paraId="47D88926" w14:textId="77777777" w:rsidR="008603E5" w:rsidRPr="009F4EBD" w:rsidRDefault="008603E5" w:rsidP="00E84BDF">
            <w:pPr>
              <w:pStyle w:val="TableText"/>
              <w:rPr>
                <w:b/>
              </w:rPr>
            </w:pPr>
            <w:r w:rsidRPr="009F4EBD">
              <w:rPr>
                <w:b/>
              </w:rPr>
              <w:t>Study design</w:t>
            </w:r>
          </w:p>
        </w:tc>
        <w:tc>
          <w:tcPr>
            <w:tcW w:w="1337" w:type="pct"/>
            <w:hideMark/>
          </w:tcPr>
          <w:p w14:paraId="59125FC7" w14:textId="77777777" w:rsidR="008603E5" w:rsidRPr="009F4EBD" w:rsidRDefault="008603E5" w:rsidP="00E84BDF">
            <w:pPr>
              <w:pStyle w:val="TableText"/>
              <w:rPr>
                <w:b/>
              </w:rPr>
            </w:pPr>
            <w:r w:rsidRPr="009F4EBD">
              <w:rPr>
                <w:b/>
              </w:rPr>
              <w:t>Extent of evidence supplied</w:t>
            </w:r>
          </w:p>
        </w:tc>
        <w:tc>
          <w:tcPr>
            <w:tcW w:w="1780" w:type="pct"/>
            <w:hideMark/>
          </w:tcPr>
          <w:p w14:paraId="30F1417E" w14:textId="77777777" w:rsidR="008603E5" w:rsidRPr="009F4EBD" w:rsidRDefault="008603E5" w:rsidP="00E84BDF">
            <w:pPr>
              <w:pStyle w:val="TableText"/>
              <w:rPr>
                <w:b/>
              </w:rPr>
            </w:pPr>
            <w:r w:rsidRPr="009F4EBD">
              <w:rPr>
                <w:b/>
              </w:rPr>
              <w:t>Overall risk of bias in clinical trials</w:t>
            </w:r>
          </w:p>
        </w:tc>
      </w:tr>
      <w:tr w:rsidR="008603E5" w:rsidRPr="009F4EBD" w14:paraId="403B978F" w14:textId="77777777" w:rsidTr="005E0817">
        <w:trPr>
          <w:trHeight w:val="384"/>
        </w:trPr>
        <w:tc>
          <w:tcPr>
            <w:tcW w:w="1883" w:type="pct"/>
            <w:hideMark/>
          </w:tcPr>
          <w:p w14:paraId="30BFFFC8" w14:textId="77777777" w:rsidR="008603E5" w:rsidRPr="009F4EBD" w:rsidRDefault="008603E5" w:rsidP="00E84BDF">
            <w:pPr>
              <w:pStyle w:val="TableText"/>
              <w:rPr>
                <w:vertAlign w:val="superscript"/>
              </w:rPr>
            </w:pPr>
            <w:r w:rsidRPr="009F4EBD">
              <w:t>Double-randomised controlled trial</w:t>
            </w:r>
            <w:r w:rsidRPr="009F4EBD">
              <w:rPr>
                <w:vertAlign w:val="superscript"/>
              </w:rPr>
              <w:t>a</w:t>
            </w:r>
          </w:p>
        </w:tc>
        <w:tc>
          <w:tcPr>
            <w:tcW w:w="1337" w:type="pct"/>
            <w:hideMark/>
          </w:tcPr>
          <w:p w14:paraId="50C478F1" w14:textId="77777777" w:rsidR="008603E5" w:rsidRPr="009F4EBD" w:rsidRDefault="0015386A" w:rsidP="00E84BDF">
            <w:pPr>
              <w:pStyle w:val="TableText"/>
              <w:tabs>
                <w:tab w:val="left" w:pos="486"/>
                <w:tab w:val="left" w:pos="972"/>
              </w:tabs>
            </w:pPr>
            <w:sdt>
              <w:sdtPr>
                <w:id w:val="-114749225"/>
                <w14:checkbox>
                  <w14:checked w14:val="0"/>
                  <w14:checkedState w14:val="2612" w14:font="MS Gothic"/>
                  <w14:uncheckedState w14:val="2610" w14:font="MS Gothic"/>
                </w14:checkbox>
              </w:sdtPr>
              <w:sdtContent>
                <w:r w:rsidR="008603E5" w:rsidRPr="009F4EBD">
                  <w:rPr>
                    <w:rFonts w:ascii="MS Gothic" w:eastAsia="MS Gothic" w:hAnsi="MS Gothic"/>
                  </w:rPr>
                  <w:t>☐</w:t>
                </w:r>
              </w:sdtContent>
            </w:sdt>
            <w:r w:rsidR="008603E5" w:rsidRPr="009F4EBD">
              <w:tab/>
              <w:t>k=</w:t>
            </w:r>
            <w:r w:rsidR="008603E5" w:rsidRPr="009F4EBD">
              <w:tab/>
              <w:t>n=</w:t>
            </w:r>
          </w:p>
        </w:tc>
        <w:tc>
          <w:tcPr>
            <w:tcW w:w="1780" w:type="pct"/>
          </w:tcPr>
          <w:p w14:paraId="1C6094DD" w14:textId="77777777" w:rsidR="008603E5" w:rsidRPr="009F4EBD" w:rsidRDefault="008603E5" w:rsidP="00E84BDF">
            <w:pPr>
              <w:pStyle w:val="TableText"/>
            </w:pPr>
          </w:p>
        </w:tc>
      </w:tr>
      <w:tr w:rsidR="008603E5" w:rsidRPr="009F4EBD" w14:paraId="0B2F38C2" w14:textId="77777777" w:rsidTr="005E0817">
        <w:trPr>
          <w:trHeight w:val="384"/>
        </w:trPr>
        <w:tc>
          <w:tcPr>
            <w:tcW w:w="1883" w:type="pct"/>
            <w:hideMark/>
          </w:tcPr>
          <w:p w14:paraId="49322868" w14:textId="77777777" w:rsidR="008603E5" w:rsidRPr="009F4EBD" w:rsidRDefault="008603E5" w:rsidP="00E84BDF">
            <w:pPr>
              <w:pStyle w:val="TableText"/>
              <w:rPr>
                <w:vertAlign w:val="superscript"/>
              </w:rPr>
            </w:pPr>
            <w:r w:rsidRPr="009F4EBD">
              <w:t>Single-randomised (3-arm) controlled trial</w:t>
            </w:r>
            <w:r w:rsidRPr="009F4EBD">
              <w:rPr>
                <w:vertAlign w:val="superscript"/>
              </w:rPr>
              <w:t>b</w:t>
            </w:r>
          </w:p>
        </w:tc>
        <w:tc>
          <w:tcPr>
            <w:tcW w:w="1337" w:type="pct"/>
            <w:hideMark/>
          </w:tcPr>
          <w:p w14:paraId="2445075B" w14:textId="77777777" w:rsidR="008603E5" w:rsidRPr="009F4EBD" w:rsidRDefault="0015386A" w:rsidP="00E84BDF">
            <w:pPr>
              <w:pStyle w:val="TableText"/>
              <w:tabs>
                <w:tab w:val="left" w:pos="486"/>
                <w:tab w:val="left" w:pos="972"/>
              </w:tabs>
            </w:pPr>
            <w:sdt>
              <w:sdtPr>
                <w:id w:val="1570685252"/>
                <w14:checkbox>
                  <w14:checked w14:val="0"/>
                  <w14:checkedState w14:val="2612" w14:font="MS Gothic"/>
                  <w14:uncheckedState w14:val="2610" w14:font="MS Gothic"/>
                </w14:checkbox>
              </w:sdtPr>
              <w:sdtContent>
                <w:r w:rsidR="008603E5" w:rsidRPr="009F4EBD">
                  <w:rPr>
                    <w:rFonts w:ascii="MS Gothic" w:eastAsia="MS Gothic" w:hAnsi="MS Gothic"/>
                  </w:rPr>
                  <w:t>☐</w:t>
                </w:r>
              </w:sdtContent>
            </w:sdt>
            <w:r w:rsidR="008603E5" w:rsidRPr="009F4EBD">
              <w:tab/>
              <w:t>k=</w:t>
            </w:r>
            <w:r w:rsidR="008603E5" w:rsidRPr="009F4EBD">
              <w:tab/>
              <w:t>n=</w:t>
            </w:r>
          </w:p>
        </w:tc>
        <w:tc>
          <w:tcPr>
            <w:tcW w:w="1780" w:type="pct"/>
          </w:tcPr>
          <w:p w14:paraId="07380547" w14:textId="77777777" w:rsidR="008603E5" w:rsidRPr="009F4EBD" w:rsidRDefault="008603E5" w:rsidP="00E84BDF">
            <w:pPr>
              <w:pStyle w:val="TableText"/>
            </w:pPr>
          </w:p>
        </w:tc>
      </w:tr>
      <w:tr w:rsidR="008603E5" w:rsidRPr="009F4EBD" w14:paraId="0B82AB37" w14:textId="77777777" w:rsidTr="005E0817">
        <w:trPr>
          <w:trHeight w:val="621"/>
        </w:trPr>
        <w:tc>
          <w:tcPr>
            <w:tcW w:w="1883" w:type="pct"/>
            <w:hideMark/>
          </w:tcPr>
          <w:p w14:paraId="2DA1144A" w14:textId="77777777" w:rsidR="008603E5" w:rsidRPr="009F4EBD" w:rsidRDefault="008603E5" w:rsidP="00E84BDF">
            <w:pPr>
              <w:pStyle w:val="TableText"/>
              <w:rPr>
                <w:vertAlign w:val="superscript"/>
              </w:rPr>
            </w:pPr>
            <w:r w:rsidRPr="009F4EBD">
              <w:t>Prospective biomarker stratified randomised controlled trial of medicine</w:t>
            </w:r>
            <w:r w:rsidRPr="009F4EBD">
              <w:rPr>
                <w:vertAlign w:val="superscript"/>
              </w:rPr>
              <w:t>c</w:t>
            </w:r>
          </w:p>
        </w:tc>
        <w:tc>
          <w:tcPr>
            <w:tcW w:w="1337" w:type="pct"/>
            <w:hideMark/>
          </w:tcPr>
          <w:p w14:paraId="17941C00" w14:textId="77777777" w:rsidR="008603E5" w:rsidRPr="009F4EBD" w:rsidRDefault="0015386A" w:rsidP="00E84BDF">
            <w:pPr>
              <w:pStyle w:val="TableText"/>
              <w:tabs>
                <w:tab w:val="left" w:pos="486"/>
                <w:tab w:val="left" w:pos="972"/>
              </w:tabs>
            </w:pPr>
            <w:sdt>
              <w:sdtPr>
                <w:id w:val="-1077747511"/>
                <w14:checkbox>
                  <w14:checked w14:val="1"/>
                  <w14:checkedState w14:val="2612" w14:font="MS Gothic"/>
                  <w14:uncheckedState w14:val="2610" w14:font="MS Gothic"/>
                </w14:checkbox>
              </w:sdtPr>
              <w:sdtContent>
                <w:r w:rsidR="008603E5" w:rsidRPr="009F4EBD">
                  <w:rPr>
                    <w:rFonts w:ascii="MS Gothic" w:eastAsia="MS Gothic" w:hAnsi="MS Gothic"/>
                  </w:rPr>
                  <w:t>☒</w:t>
                </w:r>
              </w:sdtContent>
            </w:sdt>
            <w:r w:rsidR="008603E5" w:rsidRPr="009F4EBD">
              <w:tab/>
              <w:t>k=1</w:t>
            </w:r>
          </w:p>
          <w:p w14:paraId="2802D98F" w14:textId="77777777" w:rsidR="008603E5" w:rsidRPr="009F4EBD" w:rsidRDefault="008603E5" w:rsidP="00E84BDF">
            <w:pPr>
              <w:pStyle w:val="TableText"/>
              <w:tabs>
                <w:tab w:val="left" w:pos="486"/>
                <w:tab w:val="left" w:pos="972"/>
              </w:tabs>
            </w:pPr>
            <w:r w:rsidRPr="009F4EBD">
              <w:tab/>
              <w:t>ITT: n=902</w:t>
            </w:r>
          </w:p>
          <w:p w14:paraId="10610736" w14:textId="77777777" w:rsidR="008603E5" w:rsidRPr="009F4EBD" w:rsidRDefault="008603E5" w:rsidP="00E84BDF">
            <w:pPr>
              <w:pStyle w:val="TableText"/>
              <w:tabs>
                <w:tab w:val="left" w:pos="486"/>
                <w:tab w:val="left" w:pos="972"/>
              </w:tabs>
            </w:pPr>
            <w:r w:rsidRPr="009F4EBD">
              <w:tab/>
              <w:t>BEP: n=614</w:t>
            </w:r>
          </w:p>
        </w:tc>
        <w:tc>
          <w:tcPr>
            <w:tcW w:w="1780" w:type="pct"/>
          </w:tcPr>
          <w:p w14:paraId="755E684C" w14:textId="77777777" w:rsidR="008603E5" w:rsidRPr="009F4EBD" w:rsidRDefault="008603E5" w:rsidP="00E84BDF">
            <w:pPr>
              <w:pStyle w:val="TableText"/>
            </w:pPr>
            <w:r w:rsidRPr="009F4EBD">
              <w:t>ITT population: low risk of bias</w:t>
            </w:r>
          </w:p>
          <w:p w14:paraId="41D428F7" w14:textId="2331CC17" w:rsidR="008603E5" w:rsidRPr="009F4EBD" w:rsidRDefault="005C0E29" w:rsidP="00E84BDF">
            <w:pPr>
              <w:pStyle w:val="TableText"/>
            </w:pPr>
            <w:r>
              <w:t>ITT PD-L1-</w:t>
            </w:r>
            <w:r w:rsidR="008603E5" w:rsidRPr="009F4EBD">
              <w:t>positive population: medium risk of attrition bias</w:t>
            </w:r>
          </w:p>
          <w:p w14:paraId="0334613A" w14:textId="77777777" w:rsidR="008603E5" w:rsidRPr="009F4EBD" w:rsidRDefault="008603E5" w:rsidP="00E84BDF">
            <w:pPr>
              <w:pStyle w:val="TableText"/>
            </w:pPr>
            <w:r w:rsidRPr="009F4EBD">
              <w:t>BEP population</w:t>
            </w:r>
            <w:r>
              <w:t>:</w:t>
            </w:r>
            <w:r w:rsidRPr="009F4EBD">
              <w:t xml:space="preserve"> </w:t>
            </w:r>
            <w:r>
              <w:t>h</w:t>
            </w:r>
            <w:r w:rsidRPr="009F4EBD">
              <w:t>igh risk of attrition bias</w:t>
            </w:r>
          </w:p>
        </w:tc>
      </w:tr>
      <w:tr w:rsidR="008603E5" w:rsidRPr="009F4EBD" w14:paraId="342E97C7" w14:textId="77777777" w:rsidTr="005E0817">
        <w:trPr>
          <w:trHeight w:val="634"/>
        </w:trPr>
        <w:tc>
          <w:tcPr>
            <w:tcW w:w="1883" w:type="pct"/>
            <w:hideMark/>
          </w:tcPr>
          <w:p w14:paraId="2EEF18DA" w14:textId="77777777" w:rsidR="008603E5" w:rsidRPr="009F4EBD" w:rsidRDefault="008603E5" w:rsidP="00E84BDF">
            <w:pPr>
              <w:pStyle w:val="TableText"/>
              <w:rPr>
                <w:vertAlign w:val="superscript"/>
              </w:rPr>
            </w:pPr>
            <w:r w:rsidRPr="009F4EBD">
              <w:t>Retrospective biomarker stratified randomised controlled trial of medicine</w:t>
            </w:r>
            <w:r w:rsidRPr="009F4EBD">
              <w:rPr>
                <w:vertAlign w:val="superscript"/>
              </w:rPr>
              <w:t>d</w:t>
            </w:r>
          </w:p>
        </w:tc>
        <w:tc>
          <w:tcPr>
            <w:tcW w:w="1337" w:type="pct"/>
            <w:hideMark/>
          </w:tcPr>
          <w:p w14:paraId="259932B0" w14:textId="77777777" w:rsidR="008603E5" w:rsidRPr="009F4EBD" w:rsidRDefault="0015386A" w:rsidP="00E84BDF">
            <w:pPr>
              <w:pStyle w:val="TableText"/>
              <w:tabs>
                <w:tab w:val="left" w:pos="486"/>
                <w:tab w:val="left" w:pos="972"/>
              </w:tabs>
            </w:pPr>
            <w:sdt>
              <w:sdtPr>
                <w:id w:val="-126398473"/>
                <w14:checkbox>
                  <w14:checked w14:val="0"/>
                  <w14:checkedState w14:val="2612" w14:font="MS Gothic"/>
                  <w14:uncheckedState w14:val="2610" w14:font="MS Gothic"/>
                </w14:checkbox>
              </w:sdtPr>
              <w:sdtContent>
                <w:r w:rsidR="008603E5" w:rsidRPr="009F4EBD">
                  <w:rPr>
                    <w:rFonts w:ascii="MS Gothic" w:eastAsia="MS Gothic" w:hAnsi="MS Gothic"/>
                  </w:rPr>
                  <w:t>☐</w:t>
                </w:r>
              </w:sdtContent>
            </w:sdt>
            <w:r w:rsidR="008603E5" w:rsidRPr="009F4EBD">
              <w:tab/>
              <w:t>k=</w:t>
            </w:r>
            <w:r w:rsidR="008603E5" w:rsidRPr="009F4EBD">
              <w:tab/>
              <w:t>n=</w:t>
            </w:r>
          </w:p>
        </w:tc>
        <w:tc>
          <w:tcPr>
            <w:tcW w:w="1780" w:type="pct"/>
          </w:tcPr>
          <w:p w14:paraId="013A49D1" w14:textId="77777777" w:rsidR="008603E5" w:rsidRPr="009F4EBD" w:rsidRDefault="008603E5" w:rsidP="00E84BDF">
            <w:pPr>
              <w:pStyle w:val="TableText"/>
            </w:pPr>
          </w:p>
        </w:tc>
      </w:tr>
    </w:tbl>
    <w:p w14:paraId="7A817C01" w14:textId="5910EC59" w:rsidR="008603E5" w:rsidRPr="009F4EBD" w:rsidRDefault="008603E5" w:rsidP="008603E5">
      <w:pPr>
        <w:pStyle w:val="TableFooter"/>
        <w:jc w:val="left"/>
      </w:pPr>
      <w:r w:rsidRPr="009F4EBD">
        <w:rPr>
          <w:vertAlign w:val="superscript"/>
        </w:rPr>
        <w:t>a</w:t>
      </w:r>
      <w:r w:rsidRPr="009F4EBD">
        <w:t xml:space="preserve"> randomised to test versus no (or alternative) test, with each component subsequently randomised to the proposed medicine or comparator medicine; </w:t>
      </w:r>
      <w:r w:rsidRPr="009F4EBD">
        <w:rPr>
          <w:vertAlign w:val="superscript"/>
        </w:rPr>
        <w:t>b</w:t>
      </w:r>
      <w:r w:rsidRPr="009F4EBD">
        <w:t xml:space="preserve"> randomised to ARM 1: test + medicine in test</w:t>
      </w:r>
      <w:r w:rsidR="005C0E29">
        <w:t>-</w:t>
      </w:r>
      <w:r w:rsidRPr="009F4EBD">
        <w:t xml:space="preserve">positive patients </w:t>
      </w:r>
      <w:r w:rsidR="005D3915">
        <w:t>or usual care in test-</w:t>
      </w:r>
      <w:r w:rsidRPr="009F4EBD">
        <w:t xml:space="preserve">negative patients vs ARM 2: no test + usual care vs ARM 3: no test + medicine; </w:t>
      </w:r>
      <w:r w:rsidRPr="009F4EBD">
        <w:rPr>
          <w:vertAlign w:val="superscript"/>
        </w:rPr>
        <w:t>c</w:t>
      </w:r>
      <w:r w:rsidRPr="009F4EBD">
        <w:t xml:space="preserve"> population with and without the biomarker randomised to medicine or usual care; </w:t>
      </w:r>
      <w:r w:rsidRPr="009F4EBD">
        <w:rPr>
          <w:vertAlign w:val="superscript"/>
        </w:rPr>
        <w:t>d</w:t>
      </w:r>
      <w:r w:rsidRPr="009F4EBD">
        <w:t xml:space="preserve"> randomised to medicine or usual care and then biomarker status determined.</w:t>
      </w:r>
    </w:p>
    <w:p w14:paraId="547F23BB" w14:textId="77777777" w:rsidR="008603E5" w:rsidRDefault="008603E5" w:rsidP="008603E5">
      <w:pPr>
        <w:pStyle w:val="TableFooter"/>
        <w:jc w:val="left"/>
      </w:pPr>
      <w:r w:rsidRPr="009F4EBD">
        <w:t>BEP = biomarker evaluable population; ITT = intention-to-treat; k = number of studies; n = number of patients; PD-L1 = programmed death ligand 1</w:t>
      </w:r>
    </w:p>
    <w:p w14:paraId="2C8A9008" w14:textId="77777777" w:rsidR="008603E5" w:rsidRDefault="008603E5" w:rsidP="008603E5">
      <w:pPr>
        <w:pStyle w:val="Heading2"/>
        <w:spacing w:before="240"/>
      </w:pPr>
      <w:r>
        <w:t>Adverse events from testing</w:t>
      </w:r>
    </w:p>
    <w:p w14:paraId="5AC4473D" w14:textId="77777777" w:rsidR="008603E5" w:rsidRPr="009F4EBD" w:rsidRDefault="008603E5" w:rsidP="008603E5">
      <w:pPr>
        <w:pStyle w:val="MSACESParagraph"/>
      </w:pPr>
      <w:r w:rsidRPr="009F4EBD">
        <w:t xml:space="preserve">The PD-L1 IHC test is performed on the same tumour specimen used for the histological assessment and standard diagnostic work-up of patients suspected of having breast cancer, and there is likely no requirement for </w:t>
      </w:r>
      <w:r w:rsidRPr="0012710C">
        <w:t xml:space="preserve">most </w:t>
      </w:r>
      <w:r w:rsidRPr="009F4EBD">
        <w:t>patients to undergo any additional procedures associated with the collection of tumour tissue in order to perform PD-L1 IHC testing. For those with recurrent disease, PD-L1 IHC testing could be performed on archival tumour tissue.</w:t>
      </w:r>
    </w:p>
    <w:p w14:paraId="36EDE22D" w14:textId="2707DCFE" w:rsidR="008603E5" w:rsidRDefault="008603E5" w:rsidP="008603E5">
      <w:pPr>
        <w:pStyle w:val="MSACESParagraph"/>
      </w:pPr>
      <w:r>
        <w:t>However, the Commentary stated that</w:t>
      </w:r>
      <w:r w:rsidRPr="00D82D86">
        <w:t xml:space="preserve"> PD-L1 status will differ between the primary tumour and metastases for some patients. Thus, PD-L1 IHC testing should be conducted using new biopsies or surgical tumour samples, rather than archival material, if possible. A new biopsy may be taken to determine that the hormone receptor status of the recurrent or metastatic tumours has not altered. An additional biopsy for the purposes of PD-L1 IHC testing would only be required if adequate tumour tissue for PD-L1 IHC testing was not available. Re-biopsy rates have previously been considered by MSAC to be around 8–10%</w:t>
      </w:r>
      <w:r w:rsidR="00F53151">
        <w:t>, although MSAC noted that these rates included other types of cancer such as lung cancer involving smaller sample</w:t>
      </w:r>
      <w:r w:rsidR="0031508E">
        <w:t>s</w:t>
      </w:r>
      <w:r w:rsidR="00F53151">
        <w:t xml:space="preserve"> than is usually the case with breast cancer, and thus </w:t>
      </w:r>
      <w:r w:rsidR="0031508E">
        <w:t>likely higher re-biopsy rates</w:t>
      </w:r>
      <w:r w:rsidRPr="00D82D86">
        <w:t>.</w:t>
      </w:r>
    </w:p>
    <w:p w14:paraId="5F0AAB37" w14:textId="77777777" w:rsidR="008603E5" w:rsidRDefault="008603E5" w:rsidP="008603E5">
      <w:pPr>
        <w:pStyle w:val="Heading2"/>
        <w:spacing w:before="240"/>
      </w:pPr>
      <w:r>
        <w:t>Adverse events from atezolizumab plus nab-paclitaxel</w:t>
      </w:r>
    </w:p>
    <w:p w14:paraId="37575923" w14:textId="7C6A8ACA" w:rsidR="008603E5" w:rsidRDefault="008603E5" w:rsidP="008603E5">
      <w:pPr>
        <w:pStyle w:val="MSACESParagraph"/>
      </w:pPr>
      <w:r w:rsidRPr="009F4EBD">
        <w:t xml:space="preserve">A higher incidence of grade 3-4 adverse events (AEs), serious AEs and AEs leading to dose modification/interruption or discontinuation was observed in the </w:t>
      </w:r>
      <w:r w:rsidRPr="00B41BAD">
        <w:t>ATZ+nab-P</w:t>
      </w:r>
      <w:r w:rsidRPr="009F4EBD">
        <w:t xml:space="preserve"> arm compared to the placebo plus nab-paclitaxel </w:t>
      </w:r>
      <w:r>
        <w:t xml:space="preserve">(PBO+nab-P) </w:t>
      </w:r>
      <w:r w:rsidRPr="009F4EBD">
        <w:t xml:space="preserve">arm in both the ITT </w:t>
      </w:r>
      <w:r w:rsidR="005C0E29">
        <w:t>and PD-L1-</w:t>
      </w:r>
      <w:r w:rsidRPr="009F4EBD">
        <w:t>positive populations</w:t>
      </w:r>
      <w:r>
        <w:t xml:space="preserve"> (see Table 5)</w:t>
      </w:r>
      <w:r w:rsidRPr="009F4EBD">
        <w:t>.</w:t>
      </w:r>
    </w:p>
    <w:p w14:paraId="2D036CBB" w14:textId="77777777" w:rsidR="008603E5" w:rsidRDefault="008603E5" w:rsidP="008603E5">
      <w:pPr>
        <w:pStyle w:val="MSACESParagraph"/>
        <w:spacing w:after="0"/>
      </w:pPr>
      <w:r>
        <w:t>The Commentary stated that patients with:</w:t>
      </w:r>
    </w:p>
    <w:p w14:paraId="776F13AD" w14:textId="7B31BAD6" w:rsidR="008603E5" w:rsidRDefault="005C0E29" w:rsidP="008603E5">
      <w:pPr>
        <w:pStyle w:val="MSACESBulletPoint"/>
        <w:spacing w:before="0" w:after="0"/>
        <w:ind w:left="714" w:hanging="357"/>
      </w:pPr>
      <w:r>
        <w:t>false-</w:t>
      </w:r>
      <w:r w:rsidR="008603E5" w:rsidRPr="00376D92">
        <w:t>positive PD-L1 results who receive atezolizumab plus taxane chemotherapy will experience more harms (adverse events), and require more treatment discontinuations or interruptions than with chemotherapy alone. These patients may or may not obtain some additional benefit f</w:t>
      </w:r>
      <w:r w:rsidR="008603E5">
        <w:t>rom treatment with atezolizumab</w:t>
      </w:r>
    </w:p>
    <w:p w14:paraId="3497DD4B" w14:textId="21AC260E" w:rsidR="008603E5" w:rsidRDefault="008603E5" w:rsidP="008603E5">
      <w:pPr>
        <w:pStyle w:val="MSACESBulletPoint"/>
        <w:spacing w:before="0" w:after="0"/>
        <w:ind w:left="714" w:hanging="357"/>
      </w:pPr>
      <w:r w:rsidRPr="00376D92">
        <w:t>false</w:t>
      </w:r>
      <w:r w:rsidR="005C0E29">
        <w:t>-</w:t>
      </w:r>
      <w:r w:rsidRPr="00376D92">
        <w:t>negative PD-L1 results who forgo treatment with atezolizumab plus taxane chemotherapy may have a shorter time before progression and/or death than if they had received the targeted treatment.</w:t>
      </w:r>
    </w:p>
    <w:p w14:paraId="52AB7D25" w14:textId="3573D21A" w:rsidR="008603E5" w:rsidRPr="0012710C" w:rsidRDefault="008603E5" w:rsidP="000F5DF1">
      <w:pPr>
        <w:pStyle w:val="MSACESParagraph"/>
        <w:spacing w:before="240" w:after="0"/>
      </w:pPr>
      <w:r>
        <w:t xml:space="preserve">However, the Commentary stated that, given </w:t>
      </w:r>
      <w:r w:rsidRPr="00376D92">
        <w:t>there is no reference standard for PD-L1 IHC testing on IC, the proportion o</w:t>
      </w:r>
      <w:r w:rsidR="005C0E29">
        <w:t>f patients likely to have false-positive or false-</w:t>
      </w:r>
      <w:r w:rsidRPr="00376D92">
        <w:t>negative PD-L1 r</w:t>
      </w:r>
      <w:r w:rsidR="000F5DF1">
        <w:t>esults could not be determined.</w:t>
      </w:r>
    </w:p>
    <w:p w14:paraId="17ECE3B6" w14:textId="7163498A" w:rsidR="008603E5" w:rsidRPr="00B90F39" w:rsidRDefault="008603E5" w:rsidP="00BE1F87">
      <w:pPr>
        <w:spacing w:before="240"/>
        <w:rPr>
          <w:rFonts w:ascii="Arial Narrow" w:hAnsi="Arial Narrow"/>
          <w:b/>
          <w:sz w:val="20"/>
        </w:rPr>
      </w:pPr>
      <w:bookmarkStart w:id="4" w:name="_Ref26281215"/>
      <w:r w:rsidRPr="00B90F39">
        <w:rPr>
          <w:rFonts w:ascii="Arial Narrow" w:hAnsi="Arial Narrow"/>
          <w:b/>
          <w:sz w:val="20"/>
        </w:rPr>
        <w:t xml:space="preserve">Table </w:t>
      </w:r>
      <w:bookmarkEnd w:id="4"/>
      <w:r w:rsidRPr="00B90F39">
        <w:rPr>
          <w:rFonts w:ascii="Arial Narrow" w:hAnsi="Arial Narrow"/>
          <w:b/>
          <w:sz w:val="20"/>
        </w:rPr>
        <w:t>5: Overview of adverse events and deaths in the safety-evaluable population in IMpassion130 (</w:t>
      </w:r>
      <w:r w:rsidR="005D3915" w:rsidRPr="00B90F39">
        <w:rPr>
          <w:rFonts w:ascii="Arial Narrow" w:hAnsi="Arial Narrow"/>
          <w:b/>
          <w:sz w:val="20"/>
        </w:rPr>
        <w:t>data cut off</w:t>
      </w:r>
      <w:r w:rsidRPr="00B90F39">
        <w:rPr>
          <w:rFonts w:ascii="Arial Narrow" w:hAnsi="Arial Narrow"/>
          <w:b/>
          <w:sz w:val="20"/>
        </w:rPr>
        <w:t xml:space="preserve"> 17 April 2018)</w:t>
      </w:r>
    </w:p>
    <w:tbl>
      <w:tblPr>
        <w:tblW w:w="5196" w:type="pct"/>
        <w:tblLayout w:type="fixed"/>
        <w:tblCellMar>
          <w:left w:w="28" w:type="dxa"/>
          <w:right w:w="28" w:type="dxa"/>
        </w:tblCellMar>
        <w:tblLook w:val="0000" w:firstRow="0" w:lastRow="0" w:firstColumn="0" w:lastColumn="0" w:noHBand="0" w:noVBand="0"/>
        <w:tblCaption w:val="Table 5: Overview of adverse events and deaths in the safety-evaluable population in IMpassion130 (CCOD 17 April 2018)"/>
        <w:tblDescription w:val="Results for safety from trial population"/>
      </w:tblPr>
      <w:tblGrid>
        <w:gridCol w:w="2191"/>
        <w:gridCol w:w="955"/>
        <w:gridCol w:w="1000"/>
        <w:gridCol w:w="1533"/>
        <w:gridCol w:w="974"/>
        <w:gridCol w:w="851"/>
        <w:gridCol w:w="347"/>
        <w:gridCol w:w="1587"/>
      </w:tblGrid>
      <w:tr w:rsidR="008603E5" w:rsidRPr="00291E62" w14:paraId="3DDD1429" w14:textId="77777777" w:rsidTr="00E84BDF">
        <w:trPr>
          <w:trHeight w:val="70"/>
          <w:tblHeader/>
        </w:trPr>
        <w:tc>
          <w:tcPr>
            <w:tcW w:w="1160" w:type="pct"/>
            <w:vMerge w:val="restart"/>
            <w:tcBorders>
              <w:top w:val="single" w:sz="4" w:space="0" w:color="auto"/>
              <w:left w:val="single" w:sz="4" w:space="0" w:color="auto"/>
              <w:right w:val="single" w:sz="4" w:space="0" w:color="auto"/>
            </w:tcBorders>
            <w:vAlign w:val="center"/>
          </w:tcPr>
          <w:p w14:paraId="75E88CD7" w14:textId="77777777" w:rsidR="008603E5" w:rsidRPr="00361A5B" w:rsidRDefault="008603E5" w:rsidP="000F5DF1">
            <w:pPr>
              <w:pStyle w:val="TableHeadingRow"/>
              <w:keepNext w:val="0"/>
              <w:widowControl w:val="0"/>
              <w:spacing w:before="0" w:after="0"/>
              <w:rPr>
                <w:rFonts w:ascii="Arial Narrow" w:hAnsi="Arial Narrow"/>
              </w:rPr>
            </w:pPr>
            <w:r w:rsidRPr="00361A5B">
              <w:rPr>
                <w:rFonts w:ascii="Arial Narrow" w:hAnsi="Arial Narrow"/>
              </w:rPr>
              <w:t>Adverse event</w:t>
            </w:r>
          </w:p>
        </w:tc>
        <w:tc>
          <w:tcPr>
            <w:tcW w:w="1036" w:type="pct"/>
            <w:gridSpan w:val="2"/>
            <w:tcBorders>
              <w:top w:val="single" w:sz="4" w:space="0" w:color="auto"/>
              <w:left w:val="nil"/>
              <w:bottom w:val="single" w:sz="4" w:space="0" w:color="auto"/>
              <w:right w:val="single" w:sz="4" w:space="0" w:color="auto"/>
            </w:tcBorders>
            <w:vAlign w:val="center"/>
          </w:tcPr>
          <w:p w14:paraId="756FF822" w14:textId="77777777" w:rsidR="008603E5" w:rsidRPr="00361A5B" w:rsidRDefault="008603E5" w:rsidP="000F5DF1">
            <w:pPr>
              <w:pStyle w:val="TableHeadingRow"/>
              <w:keepNext w:val="0"/>
              <w:widowControl w:val="0"/>
              <w:spacing w:before="0" w:after="0"/>
              <w:jc w:val="center"/>
              <w:rPr>
                <w:rFonts w:ascii="Arial Narrow" w:hAnsi="Arial Narrow"/>
              </w:rPr>
            </w:pPr>
            <w:r w:rsidRPr="00361A5B">
              <w:rPr>
                <w:rFonts w:ascii="Arial Narrow" w:hAnsi="Arial Narrow"/>
              </w:rPr>
              <w:t xml:space="preserve">ITT </w:t>
            </w:r>
            <w:r>
              <w:rPr>
                <w:rFonts w:ascii="Arial Narrow" w:hAnsi="Arial Narrow"/>
              </w:rPr>
              <w:t>safety-evaluable population (%)</w:t>
            </w:r>
          </w:p>
        </w:tc>
        <w:tc>
          <w:tcPr>
            <w:tcW w:w="812" w:type="pct"/>
            <w:vMerge w:val="restart"/>
            <w:tcBorders>
              <w:top w:val="single" w:sz="4" w:space="0" w:color="auto"/>
              <w:left w:val="single" w:sz="4" w:space="0" w:color="auto"/>
              <w:right w:val="single" w:sz="4" w:space="0" w:color="auto"/>
            </w:tcBorders>
            <w:vAlign w:val="center"/>
          </w:tcPr>
          <w:p w14:paraId="638F1D12" w14:textId="77777777" w:rsidR="008603E5" w:rsidRPr="00361A5B" w:rsidRDefault="008603E5" w:rsidP="000F5DF1">
            <w:pPr>
              <w:pStyle w:val="TableHeadingRow"/>
              <w:keepNext w:val="0"/>
              <w:widowControl w:val="0"/>
              <w:spacing w:before="0" w:after="0"/>
              <w:jc w:val="center"/>
              <w:rPr>
                <w:rFonts w:ascii="Arial Narrow" w:hAnsi="Arial Narrow"/>
                <w:lang w:val="it-IT"/>
              </w:rPr>
            </w:pPr>
            <w:r w:rsidRPr="00361A5B">
              <w:rPr>
                <w:rFonts w:ascii="Arial Narrow" w:hAnsi="Arial Narrow"/>
                <w:lang w:val="it-IT"/>
              </w:rPr>
              <w:t>RR (95% CI)</w:t>
            </w:r>
          </w:p>
          <w:p w14:paraId="045B2AF6" w14:textId="77777777" w:rsidR="008603E5" w:rsidRPr="00361A5B" w:rsidRDefault="008603E5" w:rsidP="000F5DF1">
            <w:pPr>
              <w:pStyle w:val="TableHeadingRow"/>
              <w:keepNext w:val="0"/>
              <w:widowControl w:val="0"/>
              <w:spacing w:before="0" w:after="0"/>
              <w:jc w:val="center"/>
              <w:rPr>
                <w:rFonts w:ascii="Arial Narrow" w:hAnsi="Arial Narrow"/>
                <w:lang w:val="it-IT"/>
              </w:rPr>
            </w:pPr>
            <w:r w:rsidRPr="00361A5B">
              <w:rPr>
                <w:rFonts w:ascii="Arial Narrow" w:hAnsi="Arial Narrow"/>
                <w:lang w:val="it-IT"/>
              </w:rPr>
              <w:t>(</w:t>
            </w:r>
            <w:r w:rsidRPr="001058DF">
              <w:rPr>
                <w:rFonts w:ascii="Arial Narrow" w:hAnsi="Arial Narrow"/>
                <w:lang w:val="it-IT"/>
              </w:rPr>
              <w:t xml:space="preserve">ATZ+nab-P </w:t>
            </w:r>
            <w:r w:rsidRPr="00361A5B">
              <w:rPr>
                <w:rFonts w:ascii="Arial Narrow" w:hAnsi="Arial Narrow"/>
                <w:lang w:val="it-IT"/>
              </w:rPr>
              <w:t xml:space="preserve">vs. </w:t>
            </w:r>
            <w:r w:rsidRPr="001058DF">
              <w:rPr>
                <w:rFonts w:ascii="Arial Narrow" w:hAnsi="Arial Narrow"/>
                <w:lang w:val="it-IT"/>
              </w:rPr>
              <w:t>PBO+nab-P</w:t>
            </w:r>
            <w:r w:rsidRPr="00361A5B">
              <w:rPr>
                <w:rFonts w:ascii="Arial Narrow" w:hAnsi="Arial Narrow"/>
                <w:lang w:val="it-IT"/>
              </w:rPr>
              <w:t>)</w:t>
            </w:r>
          </w:p>
        </w:tc>
        <w:tc>
          <w:tcPr>
            <w:tcW w:w="1151" w:type="pct"/>
            <w:gridSpan w:val="3"/>
            <w:tcBorders>
              <w:top w:val="single" w:sz="4" w:space="0" w:color="auto"/>
              <w:left w:val="single" w:sz="4" w:space="0" w:color="auto"/>
              <w:bottom w:val="single" w:sz="4" w:space="0" w:color="auto"/>
              <w:right w:val="single" w:sz="4" w:space="0" w:color="auto"/>
            </w:tcBorders>
            <w:vAlign w:val="center"/>
          </w:tcPr>
          <w:p w14:paraId="388BD6AA" w14:textId="77777777" w:rsidR="008603E5" w:rsidRPr="00361A5B" w:rsidRDefault="008603E5" w:rsidP="000F5DF1">
            <w:pPr>
              <w:pStyle w:val="TableHeadingRow"/>
              <w:keepNext w:val="0"/>
              <w:widowControl w:val="0"/>
              <w:spacing w:before="0" w:after="0"/>
              <w:jc w:val="center"/>
              <w:rPr>
                <w:rFonts w:ascii="Arial Narrow" w:hAnsi="Arial Narrow"/>
                <w:lang w:val="it-IT"/>
              </w:rPr>
            </w:pPr>
            <w:r w:rsidRPr="00361A5B">
              <w:rPr>
                <w:rFonts w:ascii="Arial Narrow" w:hAnsi="Arial Narrow"/>
              </w:rPr>
              <w:t xml:space="preserve">PD-L1-positive </w:t>
            </w:r>
            <w:r>
              <w:rPr>
                <w:rFonts w:ascii="Arial Narrow" w:hAnsi="Arial Narrow"/>
              </w:rPr>
              <w:t>safety-evaluable population (%)</w:t>
            </w:r>
          </w:p>
        </w:tc>
        <w:tc>
          <w:tcPr>
            <w:tcW w:w="842" w:type="pct"/>
            <w:vMerge w:val="restart"/>
            <w:tcBorders>
              <w:top w:val="single" w:sz="4" w:space="0" w:color="auto"/>
              <w:left w:val="single" w:sz="4" w:space="0" w:color="auto"/>
              <w:right w:val="single" w:sz="4" w:space="0" w:color="auto"/>
            </w:tcBorders>
            <w:vAlign w:val="center"/>
          </w:tcPr>
          <w:p w14:paraId="67B7138B" w14:textId="77777777" w:rsidR="008603E5" w:rsidRPr="00BC527C" w:rsidRDefault="008603E5" w:rsidP="000F5DF1">
            <w:pPr>
              <w:pStyle w:val="TableHeadingRow"/>
              <w:keepNext w:val="0"/>
              <w:widowControl w:val="0"/>
              <w:spacing w:before="0" w:after="0"/>
              <w:jc w:val="center"/>
              <w:rPr>
                <w:rFonts w:ascii="Arial Narrow" w:hAnsi="Arial Narrow"/>
                <w:lang w:val="it-IT"/>
              </w:rPr>
            </w:pPr>
            <w:r w:rsidRPr="00BC527C">
              <w:rPr>
                <w:rFonts w:ascii="Arial Narrow" w:hAnsi="Arial Narrow"/>
                <w:lang w:val="it-IT"/>
              </w:rPr>
              <w:t>RR (95% CI)</w:t>
            </w:r>
          </w:p>
          <w:p w14:paraId="7575A8E3" w14:textId="77777777" w:rsidR="008603E5" w:rsidRPr="00361A5B" w:rsidRDefault="008603E5" w:rsidP="000F5DF1">
            <w:pPr>
              <w:pStyle w:val="TableHeadingRow"/>
              <w:keepNext w:val="0"/>
              <w:widowControl w:val="0"/>
              <w:spacing w:before="0" w:after="0"/>
              <w:jc w:val="center"/>
              <w:rPr>
                <w:rFonts w:ascii="Arial Narrow" w:hAnsi="Arial Narrow"/>
                <w:lang w:val="it-IT"/>
              </w:rPr>
            </w:pPr>
            <w:r w:rsidRPr="00BC527C">
              <w:rPr>
                <w:rFonts w:ascii="Arial Narrow" w:hAnsi="Arial Narrow"/>
                <w:lang w:val="it-IT"/>
              </w:rPr>
              <w:t>(</w:t>
            </w:r>
            <w:r w:rsidRPr="001058DF">
              <w:rPr>
                <w:rFonts w:ascii="Arial Narrow" w:hAnsi="Arial Narrow"/>
                <w:lang w:val="it-IT"/>
              </w:rPr>
              <w:t xml:space="preserve">ATZ+nab-P </w:t>
            </w:r>
            <w:r w:rsidRPr="00BC527C">
              <w:rPr>
                <w:rFonts w:ascii="Arial Narrow" w:hAnsi="Arial Narrow"/>
                <w:lang w:val="it-IT"/>
              </w:rPr>
              <w:t xml:space="preserve">vs. </w:t>
            </w:r>
            <w:r w:rsidRPr="001058DF">
              <w:rPr>
                <w:rFonts w:ascii="Arial Narrow" w:hAnsi="Arial Narrow"/>
                <w:lang w:val="it-IT"/>
              </w:rPr>
              <w:t>PBO+nab-P</w:t>
            </w:r>
            <w:r w:rsidRPr="00BC527C">
              <w:rPr>
                <w:rFonts w:ascii="Arial Narrow" w:hAnsi="Arial Narrow"/>
                <w:lang w:val="it-IT"/>
              </w:rPr>
              <w:t>)</w:t>
            </w:r>
          </w:p>
        </w:tc>
      </w:tr>
      <w:tr w:rsidR="008603E5" w:rsidRPr="00361A5B" w14:paraId="4B2D4C31" w14:textId="77777777" w:rsidTr="00E84BDF">
        <w:trPr>
          <w:trHeight w:val="70"/>
          <w:tblHeader/>
        </w:trPr>
        <w:tc>
          <w:tcPr>
            <w:tcW w:w="1160" w:type="pct"/>
            <w:vMerge/>
            <w:tcBorders>
              <w:left w:val="single" w:sz="4" w:space="0" w:color="auto"/>
              <w:bottom w:val="single" w:sz="4" w:space="0" w:color="auto"/>
              <w:right w:val="single" w:sz="4" w:space="0" w:color="auto"/>
            </w:tcBorders>
            <w:vAlign w:val="center"/>
          </w:tcPr>
          <w:p w14:paraId="655B40EF" w14:textId="77777777" w:rsidR="008603E5" w:rsidRPr="00361A5B" w:rsidRDefault="008603E5" w:rsidP="000F5DF1">
            <w:pPr>
              <w:pStyle w:val="TableHeadingRow"/>
              <w:keepNext w:val="0"/>
              <w:widowControl w:val="0"/>
              <w:spacing w:before="0" w:after="0"/>
              <w:rPr>
                <w:rFonts w:ascii="Arial Narrow" w:hAnsi="Arial Narrow"/>
                <w:lang w:val="it-IT"/>
              </w:rPr>
            </w:pPr>
          </w:p>
        </w:tc>
        <w:tc>
          <w:tcPr>
            <w:tcW w:w="506" w:type="pct"/>
            <w:tcBorders>
              <w:top w:val="single" w:sz="4" w:space="0" w:color="auto"/>
              <w:left w:val="nil"/>
              <w:bottom w:val="single" w:sz="4" w:space="0" w:color="auto"/>
              <w:right w:val="single" w:sz="4" w:space="0" w:color="auto"/>
            </w:tcBorders>
            <w:vAlign w:val="center"/>
          </w:tcPr>
          <w:p w14:paraId="78D6FB12" w14:textId="77777777" w:rsidR="008603E5" w:rsidRPr="00361A5B" w:rsidRDefault="008603E5" w:rsidP="000F5DF1">
            <w:pPr>
              <w:pStyle w:val="TableHeadingRow"/>
              <w:keepNext w:val="0"/>
              <w:widowControl w:val="0"/>
              <w:spacing w:before="0" w:after="0"/>
              <w:jc w:val="center"/>
              <w:rPr>
                <w:rFonts w:ascii="Arial Narrow" w:hAnsi="Arial Narrow"/>
              </w:rPr>
            </w:pPr>
            <w:r w:rsidRPr="001058DF">
              <w:rPr>
                <w:rFonts w:ascii="Arial Narrow" w:hAnsi="Arial Narrow"/>
              </w:rPr>
              <w:t>ATZ+nab-P</w:t>
            </w:r>
            <w:r w:rsidRPr="00361A5B">
              <w:rPr>
                <w:rFonts w:ascii="Arial Narrow" w:hAnsi="Arial Narrow"/>
              </w:rPr>
              <w:br/>
              <w:t>(N=452)</w:t>
            </w:r>
          </w:p>
        </w:tc>
        <w:tc>
          <w:tcPr>
            <w:tcW w:w="530" w:type="pct"/>
            <w:tcBorders>
              <w:top w:val="single" w:sz="4" w:space="0" w:color="auto"/>
              <w:left w:val="nil"/>
              <w:bottom w:val="single" w:sz="4" w:space="0" w:color="auto"/>
              <w:right w:val="single" w:sz="4" w:space="0" w:color="auto"/>
            </w:tcBorders>
            <w:vAlign w:val="center"/>
          </w:tcPr>
          <w:p w14:paraId="6A6AD11B" w14:textId="77777777" w:rsidR="008603E5" w:rsidRPr="00361A5B" w:rsidRDefault="008603E5" w:rsidP="000F5DF1">
            <w:pPr>
              <w:pStyle w:val="TableHeadingRow"/>
              <w:keepNext w:val="0"/>
              <w:widowControl w:val="0"/>
              <w:spacing w:before="0" w:after="0"/>
              <w:jc w:val="center"/>
              <w:rPr>
                <w:rFonts w:ascii="Arial Narrow" w:hAnsi="Arial Narrow"/>
              </w:rPr>
            </w:pPr>
            <w:r w:rsidRPr="001058DF">
              <w:rPr>
                <w:rFonts w:ascii="Arial Narrow" w:hAnsi="Arial Narrow"/>
              </w:rPr>
              <w:t>PBO+nab-P</w:t>
            </w:r>
            <w:r w:rsidRPr="00361A5B">
              <w:rPr>
                <w:rFonts w:ascii="Arial Narrow" w:hAnsi="Arial Narrow"/>
              </w:rPr>
              <w:br/>
              <w:t>(N=438)</w:t>
            </w:r>
          </w:p>
        </w:tc>
        <w:tc>
          <w:tcPr>
            <w:tcW w:w="812" w:type="pct"/>
            <w:vMerge/>
            <w:tcBorders>
              <w:left w:val="single" w:sz="4" w:space="0" w:color="auto"/>
              <w:bottom w:val="single" w:sz="4" w:space="0" w:color="auto"/>
              <w:right w:val="single" w:sz="4" w:space="0" w:color="auto"/>
            </w:tcBorders>
            <w:vAlign w:val="center"/>
          </w:tcPr>
          <w:p w14:paraId="1EE4E47C" w14:textId="77777777" w:rsidR="008603E5" w:rsidRPr="00361A5B" w:rsidRDefault="008603E5" w:rsidP="000F5DF1">
            <w:pPr>
              <w:pStyle w:val="TableHeadingRow"/>
              <w:keepNext w:val="0"/>
              <w:widowControl w:val="0"/>
              <w:spacing w:before="0" w:after="0"/>
              <w:jc w:val="center"/>
              <w:rPr>
                <w:rFonts w:ascii="Arial Narrow" w:hAnsi="Arial Narrow"/>
              </w:rPr>
            </w:pPr>
          </w:p>
        </w:tc>
        <w:tc>
          <w:tcPr>
            <w:tcW w:w="516" w:type="pct"/>
            <w:tcBorders>
              <w:top w:val="single" w:sz="4" w:space="0" w:color="auto"/>
              <w:left w:val="single" w:sz="4" w:space="0" w:color="auto"/>
              <w:bottom w:val="single" w:sz="4" w:space="0" w:color="auto"/>
              <w:right w:val="single" w:sz="4" w:space="0" w:color="auto"/>
            </w:tcBorders>
            <w:vAlign w:val="center"/>
          </w:tcPr>
          <w:p w14:paraId="4E1E1D32" w14:textId="77777777" w:rsidR="008603E5" w:rsidRPr="00361A5B" w:rsidRDefault="008603E5" w:rsidP="000F5DF1">
            <w:pPr>
              <w:pStyle w:val="TableHeadingRow"/>
              <w:keepNext w:val="0"/>
              <w:widowControl w:val="0"/>
              <w:spacing w:before="0" w:after="0"/>
              <w:jc w:val="center"/>
              <w:rPr>
                <w:rFonts w:ascii="Arial Narrow" w:hAnsi="Arial Narrow"/>
              </w:rPr>
            </w:pPr>
            <w:r w:rsidRPr="001058DF">
              <w:rPr>
                <w:rFonts w:ascii="Arial Narrow" w:hAnsi="Arial Narrow"/>
              </w:rPr>
              <w:t>ATZ+nab-P</w:t>
            </w:r>
            <w:r w:rsidRPr="00361A5B">
              <w:rPr>
                <w:rFonts w:ascii="Arial Narrow" w:hAnsi="Arial Narrow"/>
              </w:rPr>
              <w:br/>
              <w:t>(N=185)</w:t>
            </w:r>
          </w:p>
        </w:tc>
        <w:tc>
          <w:tcPr>
            <w:tcW w:w="635" w:type="pct"/>
            <w:gridSpan w:val="2"/>
            <w:tcBorders>
              <w:top w:val="single" w:sz="4" w:space="0" w:color="auto"/>
              <w:left w:val="single" w:sz="4" w:space="0" w:color="auto"/>
              <w:bottom w:val="single" w:sz="4" w:space="0" w:color="auto"/>
              <w:right w:val="single" w:sz="4" w:space="0" w:color="auto"/>
            </w:tcBorders>
            <w:vAlign w:val="center"/>
          </w:tcPr>
          <w:p w14:paraId="7452F12F" w14:textId="77777777" w:rsidR="008603E5" w:rsidRPr="00361A5B" w:rsidRDefault="008603E5" w:rsidP="000F5DF1">
            <w:pPr>
              <w:pStyle w:val="TableHeadingRow"/>
              <w:keepNext w:val="0"/>
              <w:widowControl w:val="0"/>
              <w:spacing w:before="0" w:after="0"/>
              <w:jc w:val="center"/>
              <w:rPr>
                <w:rFonts w:ascii="Arial Narrow" w:hAnsi="Arial Narrow"/>
              </w:rPr>
            </w:pPr>
            <w:r w:rsidRPr="001058DF">
              <w:rPr>
                <w:rFonts w:ascii="Arial Narrow" w:hAnsi="Arial Narrow"/>
              </w:rPr>
              <w:t>PBO+nab-P</w:t>
            </w:r>
            <w:r w:rsidRPr="00361A5B">
              <w:rPr>
                <w:rFonts w:ascii="Arial Narrow" w:hAnsi="Arial Narrow"/>
              </w:rPr>
              <w:br/>
              <w:t>(N=181)</w:t>
            </w:r>
          </w:p>
        </w:tc>
        <w:tc>
          <w:tcPr>
            <w:tcW w:w="842" w:type="pct"/>
            <w:vMerge/>
            <w:tcBorders>
              <w:left w:val="single" w:sz="4" w:space="0" w:color="auto"/>
              <w:bottom w:val="single" w:sz="4" w:space="0" w:color="auto"/>
              <w:right w:val="single" w:sz="4" w:space="0" w:color="auto"/>
            </w:tcBorders>
          </w:tcPr>
          <w:p w14:paraId="2CFB991A" w14:textId="77777777" w:rsidR="008603E5" w:rsidRPr="00361A5B" w:rsidRDefault="008603E5" w:rsidP="000F5DF1">
            <w:pPr>
              <w:pStyle w:val="TableHeadingRow"/>
              <w:keepNext w:val="0"/>
              <w:widowControl w:val="0"/>
              <w:spacing w:before="0" w:after="0"/>
              <w:jc w:val="center"/>
              <w:rPr>
                <w:rFonts w:ascii="Arial Narrow" w:hAnsi="Arial Narrow"/>
              </w:rPr>
            </w:pPr>
          </w:p>
        </w:tc>
      </w:tr>
      <w:tr w:rsidR="008603E5" w:rsidRPr="00361A5B" w14:paraId="2E673FF4" w14:textId="77777777" w:rsidTr="00E84BDF">
        <w:tc>
          <w:tcPr>
            <w:tcW w:w="1160" w:type="pct"/>
            <w:tcBorders>
              <w:top w:val="single" w:sz="4" w:space="0" w:color="auto"/>
              <w:left w:val="single" w:sz="4" w:space="0" w:color="auto"/>
              <w:right w:val="single" w:sz="4" w:space="0" w:color="auto"/>
            </w:tcBorders>
          </w:tcPr>
          <w:p w14:paraId="23D0D429" w14:textId="77777777" w:rsidR="008603E5" w:rsidRPr="00376D92" w:rsidRDefault="008603E5" w:rsidP="000F5DF1">
            <w:pPr>
              <w:pStyle w:val="TableText0"/>
              <w:widowControl w:val="0"/>
              <w:spacing w:before="0" w:after="0"/>
              <w:rPr>
                <w:rFonts w:ascii="Arial Narrow" w:hAnsi="Arial Narrow"/>
              </w:rPr>
            </w:pPr>
            <w:r w:rsidRPr="00376D92">
              <w:rPr>
                <w:rFonts w:ascii="Arial Narrow" w:hAnsi="Arial Narrow"/>
              </w:rPr>
              <w:t>Any AE</w:t>
            </w:r>
          </w:p>
        </w:tc>
        <w:tc>
          <w:tcPr>
            <w:tcW w:w="506" w:type="pct"/>
            <w:tcBorders>
              <w:top w:val="single" w:sz="4" w:space="0" w:color="auto"/>
              <w:left w:val="nil"/>
              <w:right w:val="single" w:sz="4" w:space="0" w:color="auto"/>
            </w:tcBorders>
          </w:tcPr>
          <w:p w14:paraId="1D67F300"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449 (99.3)</w:t>
            </w:r>
          </w:p>
        </w:tc>
        <w:tc>
          <w:tcPr>
            <w:tcW w:w="530" w:type="pct"/>
            <w:tcBorders>
              <w:top w:val="single" w:sz="4" w:space="0" w:color="auto"/>
              <w:left w:val="nil"/>
              <w:right w:val="single" w:sz="4" w:space="0" w:color="auto"/>
            </w:tcBorders>
          </w:tcPr>
          <w:p w14:paraId="37E21321"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429 (97.9)</w:t>
            </w:r>
          </w:p>
        </w:tc>
        <w:tc>
          <w:tcPr>
            <w:tcW w:w="812" w:type="pct"/>
            <w:tcBorders>
              <w:top w:val="single" w:sz="4" w:space="0" w:color="auto"/>
              <w:left w:val="single" w:sz="4" w:space="0" w:color="auto"/>
              <w:right w:val="single" w:sz="4" w:space="0" w:color="auto"/>
            </w:tcBorders>
          </w:tcPr>
          <w:p w14:paraId="7704A171"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1.01 (1.00, 1.03)</w:t>
            </w:r>
          </w:p>
        </w:tc>
        <w:tc>
          <w:tcPr>
            <w:tcW w:w="516" w:type="pct"/>
            <w:tcBorders>
              <w:top w:val="single" w:sz="4" w:space="0" w:color="auto"/>
              <w:left w:val="single" w:sz="4" w:space="0" w:color="auto"/>
              <w:right w:val="single" w:sz="4" w:space="0" w:color="auto"/>
            </w:tcBorders>
          </w:tcPr>
          <w:p w14:paraId="07B25EB2"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185 (100)</w:t>
            </w:r>
          </w:p>
        </w:tc>
        <w:tc>
          <w:tcPr>
            <w:tcW w:w="635" w:type="pct"/>
            <w:gridSpan w:val="2"/>
            <w:tcBorders>
              <w:top w:val="single" w:sz="4" w:space="0" w:color="auto"/>
              <w:left w:val="single" w:sz="4" w:space="0" w:color="auto"/>
              <w:right w:val="single" w:sz="4" w:space="0" w:color="auto"/>
            </w:tcBorders>
          </w:tcPr>
          <w:p w14:paraId="60E782D7"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177 (97.8)</w:t>
            </w:r>
          </w:p>
        </w:tc>
        <w:tc>
          <w:tcPr>
            <w:tcW w:w="842" w:type="pct"/>
            <w:tcBorders>
              <w:top w:val="single" w:sz="4" w:space="0" w:color="auto"/>
              <w:left w:val="single" w:sz="4" w:space="0" w:color="auto"/>
              <w:right w:val="single" w:sz="4" w:space="0" w:color="auto"/>
            </w:tcBorders>
          </w:tcPr>
          <w:p w14:paraId="2C936A71"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1.02 (1.00, 1.05)</w:t>
            </w:r>
          </w:p>
        </w:tc>
      </w:tr>
      <w:tr w:rsidR="008603E5" w:rsidRPr="00361A5B" w14:paraId="793055FA" w14:textId="77777777" w:rsidTr="00E84BDF">
        <w:tc>
          <w:tcPr>
            <w:tcW w:w="1160" w:type="pct"/>
            <w:tcBorders>
              <w:left w:val="single" w:sz="4" w:space="0" w:color="auto"/>
              <w:right w:val="single" w:sz="4" w:space="0" w:color="auto"/>
            </w:tcBorders>
          </w:tcPr>
          <w:p w14:paraId="4A0D3162" w14:textId="77777777" w:rsidR="008603E5" w:rsidRPr="00376D92" w:rsidRDefault="008603E5" w:rsidP="000F5DF1">
            <w:pPr>
              <w:pStyle w:val="TableText0"/>
              <w:widowControl w:val="0"/>
              <w:spacing w:before="0" w:after="0"/>
              <w:rPr>
                <w:rFonts w:ascii="Arial Narrow" w:hAnsi="Arial Narrow"/>
              </w:rPr>
            </w:pPr>
            <w:r w:rsidRPr="00376D92">
              <w:rPr>
                <w:rFonts w:ascii="Arial Narrow" w:hAnsi="Arial Narrow"/>
              </w:rPr>
              <w:t>N</w:t>
            </w:r>
            <w:r>
              <w:rPr>
                <w:rFonts w:ascii="Arial Narrow" w:hAnsi="Arial Narrow"/>
              </w:rPr>
              <w:t>umber</w:t>
            </w:r>
            <w:r w:rsidRPr="00376D92">
              <w:rPr>
                <w:rFonts w:ascii="Arial Narrow" w:hAnsi="Arial Narrow"/>
              </w:rPr>
              <w:t xml:space="preserve"> of deaths</w:t>
            </w:r>
          </w:p>
          <w:p w14:paraId="772C49D9" w14:textId="77777777" w:rsidR="008603E5" w:rsidRPr="00376D92" w:rsidRDefault="008603E5" w:rsidP="000F5DF1">
            <w:pPr>
              <w:pStyle w:val="TableText0"/>
              <w:widowControl w:val="0"/>
              <w:spacing w:before="0" w:after="0"/>
              <w:rPr>
                <w:rFonts w:ascii="Arial Narrow" w:hAnsi="Arial Narrow"/>
              </w:rPr>
            </w:pPr>
            <w:r w:rsidRPr="00376D92">
              <w:rPr>
                <w:rFonts w:ascii="Arial Narrow" w:hAnsi="Arial Narrow"/>
              </w:rPr>
              <w:t>N</w:t>
            </w:r>
            <w:r>
              <w:rPr>
                <w:rFonts w:ascii="Arial Narrow" w:hAnsi="Arial Narrow"/>
              </w:rPr>
              <w:t>umber</w:t>
            </w:r>
            <w:r w:rsidRPr="00376D92">
              <w:rPr>
                <w:rFonts w:ascii="Arial Narrow" w:hAnsi="Arial Narrow"/>
              </w:rPr>
              <w:t xml:space="preserve"> of patients with at least one: </w:t>
            </w:r>
          </w:p>
        </w:tc>
        <w:tc>
          <w:tcPr>
            <w:tcW w:w="506" w:type="pct"/>
            <w:tcBorders>
              <w:left w:val="nil"/>
              <w:right w:val="single" w:sz="4" w:space="0" w:color="auto"/>
            </w:tcBorders>
          </w:tcPr>
          <w:p w14:paraId="791A1472"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181</w:t>
            </w:r>
            <w:r>
              <w:rPr>
                <w:rFonts w:ascii="Arial Narrow" w:hAnsi="Arial Narrow"/>
              </w:rPr>
              <w:t xml:space="preserve"> </w:t>
            </w:r>
            <w:r w:rsidRPr="00376D92">
              <w:rPr>
                <w:rFonts w:ascii="Arial Narrow" w:hAnsi="Arial Narrow"/>
              </w:rPr>
              <w:t>(40.0)</w:t>
            </w:r>
          </w:p>
        </w:tc>
        <w:tc>
          <w:tcPr>
            <w:tcW w:w="530" w:type="pct"/>
            <w:tcBorders>
              <w:left w:val="nil"/>
              <w:right w:val="single" w:sz="4" w:space="0" w:color="auto"/>
            </w:tcBorders>
          </w:tcPr>
          <w:p w14:paraId="788F5B1D"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203 (46.3)</w:t>
            </w:r>
          </w:p>
        </w:tc>
        <w:tc>
          <w:tcPr>
            <w:tcW w:w="812" w:type="pct"/>
            <w:tcBorders>
              <w:left w:val="single" w:sz="4" w:space="0" w:color="auto"/>
              <w:right w:val="single" w:sz="4" w:space="0" w:color="auto"/>
            </w:tcBorders>
          </w:tcPr>
          <w:p w14:paraId="2EA7518F"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0.86 (0.74, 1.01)</w:t>
            </w:r>
          </w:p>
        </w:tc>
        <w:tc>
          <w:tcPr>
            <w:tcW w:w="516" w:type="pct"/>
            <w:tcBorders>
              <w:left w:val="single" w:sz="4" w:space="0" w:color="auto"/>
              <w:right w:val="single" w:sz="4" w:space="0" w:color="auto"/>
            </w:tcBorders>
          </w:tcPr>
          <w:p w14:paraId="63F0B5AF"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63 (34.1)</w:t>
            </w:r>
          </w:p>
        </w:tc>
        <w:tc>
          <w:tcPr>
            <w:tcW w:w="635" w:type="pct"/>
            <w:gridSpan w:val="2"/>
            <w:tcBorders>
              <w:left w:val="single" w:sz="4" w:space="0" w:color="auto"/>
              <w:right w:val="single" w:sz="4" w:space="0" w:color="auto"/>
            </w:tcBorders>
          </w:tcPr>
          <w:p w14:paraId="2476F981"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88 (48.6)</w:t>
            </w:r>
          </w:p>
        </w:tc>
        <w:tc>
          <w:tcPr>
            <w:tcW w:w="842" w:type="pct"/>
            <w:tcBorders>
              <w:left w:val="single" w:sz="4" w:space="0" w:color="auto"/>
              <w:right w:val="single" w:sz="4" w:space="0" w:color="auto"/>
            </w:tcBorders>
          </w:tcPr>
          <w:p w14:paraId="034E982B"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0.70 (0.55, 0.90)</w:t>
            </w:r>
          </w:p>
        </w:tc>
      </w:tr>
      <w:tr w:rsidR="008603E5" w:rsidRPr="00361A5B" w14:paraId="7C521EF5" w14:textId="77777777" w:rsidTr="00E84BDF">
        <w:tc>
          <w:tcPr>
            <w:tcW w:w="1160" w:type="pct"/>
            <w:tcBorders>
              <w:left w:val="single" w:sz="4" w:space="0" w:color="auto"/>
              <w:right w:val="single" w:sz="4" w:space="0" w:color="auto"/>
            </w:tcBorders>
          </w:tcPr>
          <w:p w14:paraId="4E5F460B"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Grade 5 AE</w:t>
            </w:r>
          </w:p>
          <w:p w14:paraId="380EE5E5"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Related Grade 5 AE</w:t>
            </w:r>
          </w:p>
        </w:tc>
        <w:tc>
          <w:tcPr>
            <w:tcW w:w="506" w:type="pct"/>
            <w:tcBorders>
              <w:left w:val="nil"/>
              <w:right w:val="single" w:sz="4" w:space="0" w:color="auto"/>
            </w:tcBorders>
          </w:tcPr>
          <w:p w14:paraId="2E964A20"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6 (1.3)</w:t>
            </w:r>
          </w:p>
          <w:p w14:paraId="56A66F7C"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3 (0.7)</w:t>
            </w:r>
          </w:p>
        </w:tc>
        <w:tc>
          <w:tcPr>
            <w:tcW w:w="530" w:type="pct"/>
            <w:tcBorders>
              <w:left w:val="nil"/>
              <w:right w:val="single" w:sz="4" w:space="0" w:color="auto"/>
            </w:tcBorders>
          </w:tcPr>
          <w:p w14:paraId="4A0FDB49"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3 (0.7)</w:t>
            </w:r>
          </w:p>
          <w:p w14:paraId="5D5C674B"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w:t>
            </w:r>
            <w:r>
              <w:rPr>
                <w:rFonts w:ascii="Arial Narrow" w:hAnsi="Arial Narrow"/>
              </w:rPr>
              <w:t xml:space="preserve"> </w:t>
            </w:r>
            <w:r w:rsidRPr="00376D92">
              <w:rPr>
                <w:rFonts w:ascii="Arial Narrow" w:hAnsi="Arial Narrow"/>
              </w:rPr>
              <w:t>(0.2)</w:t>
            </w:r>
          </w:p>
        </w:tc>
        <w:tc>
          <w:tcPr>
            <w:tcW w:w="812" w:type="pct"/>
            <w:tcBorders>
              <w:left w:val="single" w:sz="4" w:space="0" w:color="auto"/>
              <w:right w:val="single" w:sz="4" w:space="0" w:color="auto"/>
            </w:tcBorders>
          </w:tcPr>
          <w:p w14:paraId="3CF3980A"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1.94 (0.49, 7.70)</w:t>
            </w:r>
          </w:p>
          <w:p w14:paraId="681C91C5"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2.91 (0.30, 27.84)</w:t>
            </w:r>
          </w:p>
        </w:tc>
        <w:tc>
          <w:tcPr>
            <w:tcW w:w="516" w:type="pct"/>
            <w:tcBorders>
              <w:left w:val="single" w:sz="4" w:space="0" w:color="auto"/>
              <w:right w:val="single" w:sz="4" w:space="0" w:color="auto"/>
            </w:tcBorders>
          </w:tcPr>
          <w:p w14:paraId="2B11201D"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2 (1.1)</w:t>
            </w:r>
          </w:p>
        </w:tc>
        <w:tc>
          <w:tcPr>
            <w:tcW w:w="635" w:type="pct"/>
            <w:gridSpan w:val="2"/>
            <w:tcBorders>
              <w:left w:val="single" w:sz="4" w:space="0" w:color="auto"/>
              <w:right w:val="single" w:sz="4" w:space="0" w:color="auto"/>
            </w:tcBorders>
          </w:tcPr>
          <w:p w14:paraId="4B09C171"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 (0.6)</w:t>
            </w:r>
          </w:p>
        </w:tc>
        <w:tc>
          <w:tcPr>
            <w:tcW w:w="842" w:type="pct"/>
            <w:tcBorders>
              <w:left w:val="single" w:sz="4" w:space="0" w:color="auto"/>
              <w:right w:val="single" w:sz="4" w:space="0" w:color="auto"/>
            </w:tcBorders>
          </w:tcPr>
          <w:p w14:paraId="504EDBC6"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1.96 (0.18, 21.39)</w:t>
            </w:r>
          </w:p>
        </w:tc>
      </w:tr>
      <w:tr w:rsidR="008603E5" w:rsidRPr="00361A5B" w14:paraId="640A9600" w14:textId="77777777" w:rsidTr="00E84BDF">
        <w:tc>
          <w:tcPr>
            <w:tcW w:w="1160" w:type="pct"/>
            <w:tcBorders>
              <w:left w:val="single" w:sz="4" w:space="0" w:color="auto"/>
              <w:right w:val="single" w:sz="4" w:space="0" w:color="auto"/>
            </w:tcBorders>
          </w:tcPr>
          <w:p w14:paraId="757A89A6"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Grade 3-4 AE</w:t>
            </w:r>
          </w:p>
        </w:tc>
        <w:tc>
          <w:tcPr>
            <w:tcW w:w="506" w:type="pct"/>
            <w:tcBorders>
              <w:left w:val="nil"/>
              <w:right w:val="single" w:sz="4" w:space="0" w:color="auto"/>
            </w:tcBorders>
          </w:tcPr>
          <w:p w14:paraId="78FF8DD4"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220 (48.7)</w:t>
            </w:r>
          </w:p>
        </w:tc>
        <w:tc>
          <w:tcPr>
            <w:tcW w:w="530" w:type="pct"/>
            <w:tcBorders>
              <w:left w:val="nil"/>
              <w:right w:val="single" w:sz="4" w:space="0" w:color="auto"/>
            </w:tcBorders>
          </w:tcPr>
          <w:p w14:paraId="7EF0E6D6"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185 (42.2)</w:t>
            </w:r>
          </w:p>
        </w:tc>
        <w:tc>
          <w:tcPr>
            <w:tcW w:w="812" w:type="pct"/>
            <w:tcBorders>
              <w:left w:val="single" w:sz="4" w:space="0" w:color="auto"/>
              <w:right w:val="single" w:sz="4" w:space="0" w:color="auto"/>
            </w:tcBorders>
          </w:tcPr>
          <w:p w14:paraId="7AD4A470"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1.15 (1.00, 1.33)</w:t>
            </w:r>
          </w:p>
        </w:tc>
        <w:tc>
          <w:tcPr>
            <w:tcW w:w="516" w:type="pct"/>
            <w:tcBorders>
              <w:left w:val="single" w:sz="4" w:space="0" w:color="auto"/>
              <w:right w:val="single" w:sz="4" w:space="0" w:color="auto"/>
            </w:tcBorders>
          </w:tcPr>
          <w:p w14:paraId="4AB550E7"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1 (0.5)</w:t>
            </w:r>
          </w:p>
        </w:tc>
        <w:tc>
          <w:tcPr>
            <w:tcW w:w="451" w:type="pct"/>
            <w:tcBorders>
              <w:left w:val="single" w:sz="4" w:space="0" w:color="auto"/>
            </w:tcBorders>
          </w:tcPr>
          <w:p w14:paraId="28ED7D45"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0</w:t>
            </w:r>
          </w:p>
        </w:tc>
        <w:tc>
          <w:tcPr>
            <w:tcW w:w="184" w:type="pct"/>
            <w:tcBorders>
              <w:right w:val="single" w:sz="4" w:space="0" w:color="auto"/>
            </w:tcBorders>
          </w:tcPr>
          <w:p w14:paraId="39EB8141" w14:textId="77777777" w:rsidR="008603E5" w:rsidRPr="00376D92" w:rsidRDefault="008603E5" w:rsidP="000F5DF1">
            <w:pPr>
              <w:pStyle w:val="TableText0"/>
              <w:widowControl w:val="0"/>
              <w:spacing w:before="0" w:after="0"/>
              <w:jc w:val="center"/>
              <w:rPr>
                <w:rFonts w:ascii="Arial Narrow" w:hAnsi="Arial Narrow"/>
                <w:b/>
              </w:rPr>
            </w:pPr>
          </w:p>
        </w:tc>
        <w:tc>
          <w:tcPr>
            <w:tcW w:w="842" w:type="pct"/>
            <w:tcBorders>
              <w:right w:val="single" w:sz="4" w:space="0" w:color="auto"/>
            </w:tcBorders>
          </w:tcPr>
          <w:p w14:paraId="1ACA7581"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NC</w:t>
            </w:r>
          </w:p>
        </w:tc>
      </w:tr>
      <w:tr w:rsidR="008603E5" w:rsidRPr="00361A5B" w14:paraId="1A24FFCB" w14:textId="77777777" w:rsidTr="00E84BDF">
        <w:tc>
          <w:tcPr>
            <w:tcW w:w="1160" w:type="pct"/>
            <w:tcBorders>
              <w:left w:val="single" w:sz="4" w:space="0" w:color="auto"/>
              <w:right w:val="single" w:sz="4" w:space="0" w:color="auto"/>
            </w:tcBorders>
          </w:tcPr>
          <w:p w14:paraId="05296A6D"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Related Grade 3-4 AE</w:t>
            </w:r>
          </w:p>
        </w:tc>
        <w:tc>
          <w:tcPr>
            <w:tcW w:w="506" w:type="pct"/>
            <w:tcBorders>
              <w:left w:val="nil"/>
              <w:right w:val="single" w:sz="4" w:space="0" w:color="auto"/>
            </w:tcBorders>
          </w:tcPr>
          <w:p w14:paraId="20E484B5"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179 (39.6)</w:t>
            </w:r>
          </w:p>
        </w:tc>
        <w:tc>
          <w:tcPr>
            <w:tcW w:w="530" w:type="pct"/>
            <w:tcBorders>
              <w:left w:val="nil"/>
              <w:right w:val="single" w:sz="4" w:space="0" w:color="auto"/>
            </w:tcBorders>
          </w:tcPr>
          <w:p w14:paraId="79C3D490"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132 (30.1)</w:t>
            </w:r>
          </w:p>
        </w:tc>
        <w:tc>
          <w:tcPr>
            <w:tcW w:w="812" w:type="pct"/>
            <w:tcBorders>
              <w:left w:val="single" w:sz="4" w:space="0" w:color="auto"/>
              <w:right w:val="single" w:sz="4" w:space="0" w:color="auto"/>
            </w:tcBorders>
          </w:tcPr>
          <w:p w14:paraId="68BE9D15"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1.31 (1.09, 1.58)</w:t>
            </w:r>
          </w:p>
        </w:tc>
        <w:tc>
          <w:tcPr>
            <w:tcW w:w="516" w:type="pct"/>
            <w:tcBorders>
              <w:left w:val="single" w:sz="4" w:space="0" w:color="auto"/>
              <w:right w:val="single" w:sz="4" w:space="0" w:color="auto"/>
            </w:tcBorders>
          </w:tcPr>
          <w:p w14:paraId="739D29BC"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95 (51.4)</w:t>
            </w:r>
          </w:p>
        </w:tc>
        <w:tc>
          <w:tcPr>
            <w:tcW w:w="635" w:type="pct"/>
            <w:gridSpan w:val="2"/>
            <w:tcBorders>
              <w:left w:val="single" w:sz="4" w:space="0" w:color="auto"/>
              <w:right w:val="single" w:sz="4" w:space="0" w:color="auto"/>
            </w:tcBorders>
          </w:tcPr>
          <w:p w14:paraId="6F56FBD8"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72 (39.8)</w:t>
            </w:r>
          </w:p>
        </w:tc>
        <w:tc>
          <w:tcPr>
            <w:tcW w:w="842" w:type="pct"/>
            <w:tcBorders>
              <w:left w:val="single" w:sz="4" w:space="0" w:color="auto"/>
              <w:right w:val="single" w:sz="4" w:space="0" w:color="auto"/>
            </w:tcBorders>
          </w:tcPr>
          <w:p w14:paraId="770872B2"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1.29 (1.03, 1.62)</w:t>
            </w:r>
          </w:p>
        </w:tc>
      </w:tr>
      <w:tr w:rsidR="008603E5" w:rsidRPr="00361A5B" w14:paraId="01C3809B" w14:textId="77777777" w:rsidTr="00E84BDF">
        <w:tc>
          <w:tcPr>
            <w:tcW w:w="1160" w:type="pct"/>
            <w:tcBorders>
              <w:left w:val="single" w:sz="4" w:space="0" w:color="auto"/>
              <w:right w:val="single" w:sz="4" w:space="0" w:color="auto"/>
            </w:tcBorders>
          </w:tcPr>
          <w:p w14:paraId="1875BC3B" w14:textId="77777777" w:rsidR="008603E5" w:rsidRPr="00376D92" w:rsidRDefault="008603E5" w:rsidP="000F5DF1">
            <w:pPr>
              <w:pStyle w:val="TableText0"/>
              <w:widowControl w:val="0"/>
              <w:spacing w:before="0" w:after="0"/>
              <w:rPr>
                <w:rFonts w:ascii="Arial Narrow" w:hAnsi="Arial Narrow"/>
              </w:rPr>
            </w:pPr>
            <w:r w:rsidRPr="00376D92">
              <w:rPr>
                <w:rFonts w:ascii="Arial Narrow" w:hAnsi="Arial Narrow"/>
              </w:rPr>
              <w:t>SAE</w:t>
            </w:r>
          </w:p>
        </w:tc>
        <w:tc>
          <w:tcPr>
            <w:tcW w:w="506" w:type="pct"/>
            <w:tcBorders>
              <w:left w:val="nil"/>
              <w:right w:val="single" w:sz="4" w:space="0" w:color="auto"/>
            </w:tcBorders>
          </w:tcPr>
          <w:p w14:paraId="77C2E0B9"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103 (22.8)</w:t>
            </w:r>
          </w:p>
        </w:tc>
        <w:tc>
          <w:tcPr>
            <w:tcW w:w="530" w:type="pct"/>
            <w:tcBorders>
              <w:left w:val="nil"/>
              <w:right w:val="single" w:sz="4" w:space="0" w:color="auto"/>
            </w:tcBorders>
          </w:tcPr>
          <w:p w14:paraId="0A340961"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80 (18.3)</w:t>
            </w:r>
          </w:p>
        </w:tc>
        <w:tc>
          <w:tcPr>
            <w:tcW w:w="812" w:type="pct"/>
            <w:tcBorders>
              <w:left w:val="single" w:sz="4" w:space="0" w:color="auto"/>
              <w:right w:val="single" w:sz="4" w:space="0" w:color="auto"/>
            </w:tcBorders>
          </w:tcPr>
          <w:p w14:paraId="09587E92"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1.25 (0.96, 1.62)</w:t>
            </w:r>
          </w:p>
        </w:tc>
        <w:tc>
          <w:tcPr>
            <w:tcW w:w="516" w:type="pct"/>
            <w:tcBorders>
              <w:left w:val="single" w:sz="4" w:space="0" w:color="auto"/>
              <w:right w:val="single" w:sz="4" w:space="0" w:color="auto"/>
            </w:tcBorders>
          </w:tcPr>
          <w:p w14:paraId="22FC6096"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76 (41.1)</w:t>
            </w:r>
          </w:p>
        </w:tc>
        <w:tc>
          <w:tcPr>
            <w:tcW w:w="635" w:type="pct"/>
            <w:gridSpan w:val="2"/>
            <w:tcBorders>
              <w:left w:val="single" w:sz="4" w:space="0" w:color="auto"/>
              <w:right w:val="single" w:sz="4" w:space="0" w:color="auto"/>
            </w:tcBorders>
          </w:tcPr>
          <w:p w14:paraId="47122126"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49 (27.1)</w:t>
            </w:r>
          </w:p>
        </w:tc>
        <w:tc>
          <w:tcPr>
            <w:tcW w:w="842" w:type="pct"/>
            <w:tcBorders>
              <w:left w:val="single" w:sz="4" w:space="0" w:color="auto"/>
              <w:right w:val="single" w:sz="4" w:space="0" w:color="auto"/>
            </w:tcBorders>
          </w:tcPr>
          <w:p w14:paraId="1D8E93A9"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1.52 (1.13, 2.04)</w:t>
            </w:r>
          </w:p>
        </w:tc>
      </w:tr>
      <w:tr w:rsidR="008603E5" w:rsidRPr="00361A5B" w14:paraId="3F88AB68" w14:textId="77777777" w:rsidTr="00E84BDF">
        <w:tc>
          <w:tcPr>
            <w:tcW w:w="1160" w:type="pct"/>
            <w:tcBorders>
              <w:left w:val="single" w:sz="4" w:space="0" w:color="auto"/>
              <w:right w:val="single" w:sz="4" w:space="0" w:color="auto"/>
            </w:tcBorders>
          </w:tcPr>
          <w:p w14:paraId="4429755A"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Related SAE</w:t>
            </w:r>
          </w:p>
        </w:tc>
        <w:tc>
          <w:tcPr>
            <w:tcW w:w="506" w:type="pct"/>
            <w:tcBorders>
              <w:left w:val="nil"/>
              <w:right w:val="single" w:sz="4" w:space="0" w:color="auto"/>
            </w:tcBorders>
          </w:tcPr>
          <w:p w14:paraId="0587DCA3"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56 (12.4)</w:t>
            </w:r>
          </w:p>
        </w:tc>
        <w:tc>
          <w:tcPr>
            <w:tcW w:w="530" w:type="pct"/>
            <w:tcBorders>
              <w:left w:val="nil"/>
              <w:right w:val="single" w:sz="4" w:space="0" w:color="auto"/>
            </w:tcBorders>
          </w:tcPr>
          <w:p w14:paraId="482802A6"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32 (7.3)</w:t>
            </w:r>
          </w:p>
        </w:tc>
        <w:tc>
          <w:tcPr>
            <w:tcW w:w="812" w:type="pct"/>
            <w:tcBorders>
              <w:left w:val="single" w:sz="4" w:space="0" w:color="auto"/>
              <w:right w:val="single" w:sz="4" w:space="0" w:color="auto"/>
            </w:tcBorders>
          </w:tcPr>
          <w:p w14:paraId="41FA854D"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1.70 (1.12, 2.57)</w:t>
            </w:r>
          </w:p>
        </w:tc>
        <w:tc>
          <w:tcPr>
            <w:tcW w:w="516" w:type="pct"/>
            <w:tcBorders>
              <w:left w:val="single" w:sz="4" w:space="0" w:color="auto"/>
              <w:right w:val="single" w:sz="4" w:space="0" w:color="auto"/>
            </w:tcBorders>
          </w:tcPr>
          <w:p w14:paraId="42D8C37F"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42 (22.7)</w:t>
            </w:r>
          </w:p>
        </w:tc>
        <w:tc>
          <w:tcPr>
            <w:tcW w:w="635" w:type="pct"/>
            <w:gridSpan w:val="2"/>
            <w:tcBorders>
              <w:left w:val="single" w:sz="4" w:space="0" w:color="auto"/>
              <w:right w:val="single" w:sz="4" w:space="0" w:color="auto"/>
            </w:tcBorders>
          </w:tcPr>
          <w:p w14:paraId="10D0C7E4"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31 (17.1)</w:t>
            </w:r>
          </w:p>
        </w:tc>
        <w:tc>
          <w:tcPr>
            <w:tcW w:w="842" w:type="pct"/>
            <w:tcBorders>
              <w:left w:val="single" w:sz="4" w:space="0" w:color="auto"/>
              <w:right w:val="single" w:sz="4" w:space="0" w:color="auto"/>
            </w:tcBorders>
          </w:tcPr>
          <w:p w14:paraId="349126C2"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1.33 (0.87, 2.01)</w:t>
            </w:r>
          </w:p>
        </w:tc>
      </w:tr>
      <w:tr w:rsidR="008603E5" w:rsidRPr="00361A5B" w14:paraId="75FB2D68" w14:textId="77777777" w:rsidTr="00E84BDF">
        <w:tc>
          <w:tcPr>
            <w:tcW w:w="1160" w:type="pct"/>
            <w:tcBorders>
              <w:left w:val="single" w:sz="4" w:space="0" w:color="auto"/>
              <w:right w:val="single" w:sz="4" w:space="0" w:color="auto"/>
            </w:tcBorders>
          </w:tcPr>
          <w:p w14:paraId="792480D5" w14:textId="77777777" w:rsidR="008603E5" w:rsidRPr="00376D92" w:rsidRDefault="008603E5" w:rsidP="000F5DF1">
            <w:pPr>
              <w:pStyle w:val="TableText0"/>
              <w:widowControl w:val="0"/>
              <w:spacing w:before="0" w:after="0"/>
              <w:rPr>
                <w:rFonts w:ascii="Arial Narrow" w:hAnsi="Arial Narrow"/>
              </w:rPr>
            </w:pPr>
            <w:r w:rsidRPr="00376D92">
              <w:rPr>
                <w:rFonts w:ascii="Arial Narrow" w:hAnsi="Arial Narrow"/>
              </w:rPr>
              <w:t>AE leading to discontinuation of any study treatment</w:t>
            </w:r>
          </w:p>
        </w:tc>
        <w:tc>
          <w:tcPr>
            <w:tcW w:w="506" w:type="pct"/>
            <w:tcBorders>
              <w:left w:val="nil"/>
              <w:right w:val="single" w:sz="4" w:space="0" w:color="auto"/>
            </w:tcBorders>
          </w:tcPr>
          <w:p w14:paraId="086F533C"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72 (15.9)</w:t>
            </w:r>
          </w:p>
        </w:tc>
        <w:tc>
          <w:tcPr>
            <w:tcW w:w="530" w:type="pct"/>
            <w:tcBorders>
              <w:left w:val="nil"/>
              <w:right w:val="single" w:sz="4" w:space="0" w:color="auto"/>
            </w:tcBorders>
          </w:tcPr>
          <w:p w14:paraId="31D8CEFC"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36 (8.2)</w:t>
            </w:r>
          </w:p>
        </w:tc>
        <w:tc>
          <w:tcPr>
            <w:tcW w:w="812" w:type="pct"/>
            <w:tcBorders>
              <w:left w:val="single" w:sz="4" w:space="0" w:color="auto"/>
              <w:right w:val="single" w:sz="4" w:space="0" w:color="auto"/>
            </w:tcBorders>
          </w:tcPr>
          <w:p w14:paraId="65895723"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1.94 (1.33, 2.83)</w:t>
            </w:r>
          </w:p>
        </w:tc>
        <w:tc>
          <w:tcPr>
            <w:tcW w:w="516" w:type="pct"/>
            <w:tcBorders>
              <w:left w:val="single" w:sz="4" w:space="0" w:color="auto"/>
              <w:right w:val="single" w:sz="4" w:space="0" w:color="auto"/>
            </w:tcBorders>
          </w:tcPr>
          <w:p w14:paraId="60E0BF64"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37 (20.0)</w:t>
            </w:r>
          </w:p>
        </w:tc>
        <w:tc>
          <w:tcPr>
            <w:tcW w:w="635" w:type="pct"/>
            <w:gridSpan w:val="2"/>
            <w:tcBorders>
              <w:left w:val="single" w:sz="4" w:space="0" w:color="auto"/>
              <w:right w:val="single" w:sz="4" w:space="0" w:color="auto"/>
            </w:tcBorders>
          </w:tcPr>
          <w:p w14:paraId="291B4BD3"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14 (7.7)</w:t>
            </w:r>
          </w:p>
        </w:tc>
        <w:tc>
          <w:tcPr>
            <w:tcW w:w="842" w:type="pct"/>
            <w:tcBorders>
              <w:left w:val="single" w:sz="4" w:space="0" w:color="auto"/>
              <w:right w:val="single" w:sz="4" w:space="0" w:color="auto"/>
            </w:tcBorders>
          </w:tcPr>
          <w:p w14:paraId="1738B818"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2.59 (1.45, 4.62)</w:t>
            </w:r>
          </w:p>
        </w:tc>
      </w:tr>
      <w:tr w:rsidR="008603E5" w:rsidRPr="00361A5B" w14:paraId="5A9FE128" w14:textId="77777777" w:rsidTr="00E84BDF">
        <w:tc>
          <w:tcPr>
            <w:tcW w:w="1160" w:type="pct"/>
            <w:tcBorders>
              <w:left w:val="single" w:sz="4" w:space="0" w:color="auto"/>
              <w:right w:val="single" w:sz="4" w:space="0" w:color="auto"/>
            </w:tcBorders>
          </w:tcPr>
          <w:p w14:paraId="4009F3EE"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Atezolizumab/placebo</w:t>
            </w:r>
          </w:p>
        </w:tc>
        <w:tc>
          <w:tcPr>
            <w:tcW w:w="506" w:type="pct"/>
            <w:tcBorders>
              <w:left w:val="nil"/>
              <w:right w:val="single" w:sz="4" w:space="0" w:color="auto"/>
            </w:tcBorders>
          </w:tcPr>
          <w:p w14:paraId="58DFC2C2"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29 (6.4)</w:t>
            </w:r>
          </w:p>
        </w:tc>
        <w:tc>
          <w:tcPr>
            <w:tcW w:w="530" w:type="pct"/>
            <w:tcBorders>
              <w:left w:val="nil"/>
              <w:right w:val="single" w:sz="4" w:space="0" w:color="auto"/>
            </w:tcBorders>
          </w:tcPr>
          <w:p w14:paraId="1B3F6964"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6 (1.4)</w:t>
            </w:r>
          </w:p>
        </w:tc>
        <w:tc>
          <w:tcPr>
            <w:tcW w:w="812" w:type="pct"/>
            <w:tcBorders>
              <w:left w:val="single" w:sz="4" w:space="0" w:color="auto"/>
              <w:right w:val="single" w:sz="4" w:space="0" w:color="auto"/>
            </w:tcBorders>
          </w:tcPr>
          <w:p w14:paraId="6ABADDCB"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4.68 (1.96, 11.17)</w:t>
            </w:r>
          </w:p>
        </w:tc>
        <w:tc>
          <w:tcPr>
            <w:tcW w:w="516" w:type="pct"/>
            <w:tcBorders>
              <w:left w:val="single" w:sz="4" w:space="0" w:color="auto"/>
              <w:right w:val="single" w:sz="4" w:space="0" w:color="auto"/>
            </w:tcBorders>
          </w:tcPr>
          <w:p w14:paraId="1DDBA4FE"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12 (6.5)</w:t>
            </w:r>
          </w:p>
        </w:tc>
        <w:tc>
          <w:tcPr>
            <w:tcW w:w="635" w:type="pct"/>
            <w:gridSpan w:val="2"/>
            <w:tcBorders>
              <w:left w:val="single" w:sz="4" w:space="0" w:color="auto"/>
              <w:right w:val="single" w:sz="4" w:space="0" w:color="auto"/>
            </w:tcBorders>
          </w:tcPr>
          <w:p w14:paraId="0E555B80"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4 (2.2)</w:t>
            </w:r>
          </w:p>
        </w:tc>
        <w:tc>
          <w:tcPr>
            <w:tcW w:w="842" w:type="pct"/>
            <w:tcBorders>
              <w:left w:val="single" w:sz="4" w:space="0" w:color="auto"/>
              <w:right w:val="single" w:sz="4" w:space="0" w:color="auto"/>
            </w:tcBorders>
          </w:tcPr>
          <w:p w14:paraId="7BA3EBF4"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2.94 (0.96, 8.93)</w:t>
            </w:r>
          </w:p>
        </w:tc>
      </w:tr>
      <w:tr w:rsidR="008603E5" w:rsidRPr="00361A5B" w14:paraId="0D0697D2" w14:textId="77777777" w:rsidTr="00E84BDF">
        <w:tc>
          <w:tcPr>
            <w:tcW w:w="1160" w:type="pct"/>
            <w:tcBorders>
              <w:left w:val="single" w:sz="4" w:space="0" w:color="auto"/>
              <w:right w:val="single" w:sz="4" w:space="0" w:color="auto"/>
            </w:tcBorders>
          </w:tcPr>
          <w:p w14:paraId="428D9C90" w14:textId="77777777" w:rsidR="008603E5" w:rsidRPr="00376D92" w:rsidRDefault="008603E5" w:rsidP="000F5DF1">
            <w:pPr>
              <w:pStyle w:val="TableText0"/>
              <w:widowControl w:val="0"/>
              <w:spacing w:before="0" w:after="0"/>
              <w:ind w:left="284"/>
              <w:rPr>
                <w:rFonts w:ascii="Arial Narrow" w:hAnsi="Arial Narrow"/>
              </w:rPr>
            </w:pPr>
            <w:r w:rsidRPr="00376D92">
              <w:rPr>
                <w:rFonts w:ascii="Arial Narrow" w:hAnsi="Arial Narrow"/>
              </w:rPr>
              <w:t>Nab-paclitaxel</w:t>
            </w:r>
          </w:p>
        </w:tc>
        <w:tc>
          <w:tcPr>
            <w:tcW w:w="506" w:type="pct"/>
            <w:tcBorders>
              <w:left w:val="nil"/>
              <w:right w:val="single" w:sz="4" w:space="0" w:color="auto"/>
            </w:tcBorders>
          </w:tcPr>
          <w:p w14:paraId="4DBC22C5"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72 (15.9)</w:t>
            </w:r>
          </w:p>
        </w:tc>
        <w:tc>
          <w:tcPr>
            <w:tcW w:w="530" w:type="pct"/>
            <w:tcBorders>
              <w:left w:val="nil"/>
              <w:right w:val="single" w:sz="4" w:space="0" w:color="auto"/>
            </w:tcBorders>
          </w:tcPr>
          <w:p w14:paraId="458EACF8"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36 (8.2)</w:t>
            </w:r>
          </w:p>
        </w:tc>
        <w:tc>
          <w:tcPr>
            <w:tcW w:w="812" w:type="pct"/>
            <w:tcBorders>
              <w:left w:val="single" w:sz="4" w:space="0" w:color="auto"/>
              <w:right w:val="single" w:sz="4" w:space="0" w:color="auto"/>
            </w:tcBorders>
          </w:tcPr>
          <w:p w14:paraId="0D8E71ED"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1.94 (1.33, 2.83)</w:t>
            </w:r>
          </w:p>
        </w:tc>
        <w:tc>
          <w:tcPr>
            <w:tcW w:w="516" w:type="pct"/>
            <w:tcBorders>
              <w:left w:val="single" w:sz="4" w:space="0" w:color="auto"/>
              <w:right w:val="single" w:sz="4" w:space="0" w:color="auto"/>
            </w:tcBorders>
          </w:tcPr>
          <w:p w14:paraId="2CB53DAE"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37 (20.0)</w:t>
            </w:r>
          </w:p>
        </w:tc>
        <w:tc>
          <w:tcPr>
            <w:tcW w:w="635" w:type="pct"/>
            <w:gridSpan w:val="2"/>
            <w:tcBorders>
              <w:left w:val="single" w:sz="4" w:space="0" w:color="auto"/>
              <w:right w:val="single" w:sz="4" w:space="0" w:color="auto"/>
            </w:tcBorders>
          </w:tcPr>
          <w:p w14:paraId="400C18F9"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14 (7.7)</w:t>
            </w:r>
          </w:p>
        </w:tc>
        <w:tc>
          <w:tcPr>
            <w:tcW w:w="842" w:type="pct"/>
            <w:tcBorders>
              <w:left w:val="single" w:sz="4" w:space="0" w:color="auto"/>
              <w:right w:val="single" w:sz="4" w:space="0" w:color="auto"/>
            </w:tcBorders>
          </w:tcPr>
          <w:p w14:paraId="2B26DD5A"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2.59 (1.45, 4.62)</w:t>
            </w:r>
          </w:p>
        </w:tc>
      </w:tr>
      <w:tr w:rsidR="008603E5" w:rsidRPr="00361A5B" w14:paraId="76113C68" w14:textId="77777777" w:rsidTr="00E84BDF">
        <w:tc>
          <w:tcPr>
            <w:tcW w:w="1160" w:type="pct"/>
            <w:tcBorders>
              <w:left w:val="single" w:sz="4" w:space="0" w:color="auto"/>
              <w:bottom w:val="single" w:sz="4" w:space="0" w:color="auto"/>
              <w:right w:val="single" w:sz="4" w:space="0" w:color="auto"/>
            </w:tcBorders>
          </w:tcPr>
          <w:p w14:paraId="50FB09C3" w14:textId="77777777" w:rsidR="008603E5" w:rsidRPr="00376D92" w:rsidRDefault="008603E5" w:rsidP="000F5DF1">
            <w:pPr>
              <w:pStyle w:val="TableText0"/>
              <w:widowControl w:val="0"/>
              <w:spacing w:before="0" w:after="0"/>
              <w:rPr>
                <w:rFonts w:ascii="Arial Narrow" w:hAnsi="Arial Narrow"/>
              </w:rPr>
            </w:pPr>
            <w:r w:rsidRPr="00376D92">
              <w:rPr>
                <w:rFonts w:ascii="Arial Narrow" w:hAnsi="Arial Narrow"/>
              </w:rPr>
              <w:t>AE leading to any dose interruption of atezolizumab/placebo</w:t>
            </w:r>
          </w:p>
        </w:tc>
        <w:tc>
          <w:tcPr>
            <w:tcW w:w="506" w:type="pct"/>
            <w:tcBorders>
              <w:left w:val="nil"/>
              <w:bottom w:val="single" w:sz="4" w:space="0" w:color="auto"/>
              <w:right w:val="single" w:sz="4" w:space="0" w:color="auto"/>
            </w:tcBorders>
          </w:tcPr>
          <w:p w14:paraId="49B259B4"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139 (30.8)</w:t>
            </w:r>
          </w:p>
        </w:tc>
        <w:tc>
          <w:tcPr>
            <w:tcW w:w="530" w:type="pct"/>
            <w:tcBorders>
              <w:left w:val="nil"/>
              <w:bottom w:val="single" w:sz="4" w:space="0" w:color="auto"/>
              <w:right w:val="single" w:sz="4" w:space="0" w:color="auto"/>
            </w:tcBorders>
          </w:tcPr>
          <w:p w14:paraId="5A281C64" w14:textId="77777777" w:rsidR="008603E5" w:rsidRPr="00376D92" w:rsidRDefault="008603E5" w:rsidP="000F5DF1">
            <w:pPr>
              <w:pStyle w:val="TableText0"/>
              <w:widowControl w:val="0"/>
              <w:spacing w:before="0" w:after="0"/>
              <w:jc w:val="center"/>
              <w:rPr>
                <w:rFonts w:ascii="Arial Narrow" w:hAnsi="Arial Narrow"/>
              </w:rPr>
            </w:pPr>
            <w:r w:rsidRPr="00376D92">
              <w:rPr>
                <w:rFonts w:ascii="Arial Narrow" w:hAnsi="Arial Narrow"/>
              </w:rPr>
              <w:t>103 (23.5)</w:t>
            </w:r>
          </w:p>
        </w:tc>
        <w:tc>
          <w:tcPr>
            <w:tcW w:w="812" w:type="pct"/>
            <w:tcBorders>
              <w:left w:val="single" w:sz="4" w:space="0" w:color="auto"/>
              <w:bottom w:val="single" w:sz="4" w:space="0" w:color="auto"/>
              <w:right w:val="single" w:sz="4" w:space="0" w:color="auto"/>
            </w:tcBorders>
          </w:tcPr>
          <w:p w14:paraId="4FD6058A"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1.31 (1.05, 1.63)</w:t>
            </w:r>
          </w:p>
        </w:tc>
        <w:tc>
          <w:tcPr>
            <w:tcW w:w="516" w:type="pct"/>
            <w:tcBorders>
              <w:left w:val="single" w:sz="4" w:space="0" w:color="auto"/>
              <w:bottom w:val="single" w:sz="4" w:space="0" w:color="auto"/>
              <w:right w:val="single" w:sz="4" w:space="0" w:color="auto"/>
            </w:tcBorders>
          </w:tcPr>
          <w:p w14:paraId="609F5779"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60 (32.4)</w:t>
            </w:r>
          </w:p>
        </w:tc>
        <w:tc>
          <w:tcPr>
            <w:tcW w:w="635" w:type="pct"/>
            <w:gridSpan w:val="2"/>
            <w:tcBorders>
              <w:left w:val="single" w:sz="4" w:space="0" w:color="auto"/>
              <w:bottom w:val="single" w:sz="4" w:space="0" w:color="auto"/>
              <w:right w:val="single" w:sz="4" w:space="0" w:color="auto"/>
            </w:tcBorders>
          </w:tcPr>
          <w:p w14:paraId="5BEB9CB7"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rPr>
              <w:t>38 (21.0)</w:t>
            </w:r>
          </w:p>
        </w:tc>
        <w:tc>
          <w:tcPr>
            <w:tcW w:w="842" w:type="pct"/>
            <w:tcBorders>
              <w:left w:val="single" w:sz="4" w:space="0" w:color="auto"/>
              <w:bottom w:val="single" w:sz="4" w:space="0" w:color="auto"/>
              <w:right w:val="single" w:sz="4" w:space="0" w:color="auto"/>
            </w:tcBorders>
          </w:tcPr>
          <w:p w14:paraId="78E7F790" w14:textId="77777777" w:rsidR="008603E5" w:rsidRPr="00376D92" w:rsidRDefault="008603E5" w:rsidP="000F5DF1">
            <w:pPr>
              <w:pStyle w:val="TableText0"/>
              <w:widowControl w:val="0"/>
              <w:spacing w:before="0" w:after="0"/>
              <w:jc w:val="center"/>
              <w:rPr>
                <w:rFonts w:ascii="Arial Narrow" w:hAnsi="Arial Narrow"/>
                <w:b/>
              </w:rPr>
            </w:pPr>
            <w:r w:rsidRPr="00376D92">
              <w:rPr>
                <w:rFonts w:ascii="Arial Narrow" w:hAnsi="Arial Narrow"/>
                <w:b/>
              </w:rPr>
              <w:t>1.54 (1.09, 2.19)</w:t>
            </w:r>
          </w:p>
        </w:tc>
      </w:tr>
    </w:tbl>
    <w:p w14:paraId="0E474D9B" w14:textId="77777777" w:rsidR="008603E5" w:rsidRDefault="008603E5" w:rsidP="008603E5">
      <w:pPr>
        <w:pStyle w:val="TableFooter"/>
        <w:jc w:val="left"/>
      </w:pPr>
      <w:r w:rsidRPr="00914EB1">
        <w:t>AE</w:t>
      </w:r>
      <w:r>
        <w:t xml:space="preserve"> </w:t>
      </w:r>
      <w:r w:rsidRPr="00914EB1">
        <w:t>=</w:t>
      </w:r>
      <w:r>
        <w:t xml:space="preserve"> </w:t>
      </w:r>
      <w:r w:rsidRPr="00914EB1">
        <w:t xml:space="preserve">adverse event; </w:t>
      </w:r>
      <w:r w:rsidRPr="006F0A42">
        <w:t>ATZ+nab-P = atezolizumab + nab-paclitaxel</w:t>
      </w:r>
      <w:r w:rsidRPr="00914EB1">
        <w:t>; CI</w:t>
      </w:r>
      <w:r>
        <w:t xml:space="preserve"> </w:t>
      </w:r>
      <w:r w:rsidRPr="00914EB1">
        <w:t>=</w:t>
      </w:r>
      <w:r>
        <w:t xml:space="preserve"> </w:t>
      </w:r>
      <w:r w:rsidRPr="00914EB1">
        <w:t>confidence interval; N</w:t>
      </w:r>
      <w:r>
        <w:t xml:space="preserve"> </w:t>
      </w:r>
      <w:r w:rsidRPr="00914EB1">
        <w:t>=</w:t>
      </w:r>
      <w:r>
        <w:t xml:space="preserve"> </w:t>
      </w:r>
      <w:r w:rsidRPr="00914EB1">
        <w:t>total participants in group; NC</w:t>
      </w:r>
      <w:r>
        <w:t xml:space="preserve"> </w:t>
      </w:r>
      <w:r w:rsidRPr="00914EB1">
        <w:t>=</w:t>
      </w:r>
      <w:r>
        <w:t xml:space="preserve"> </w:t>
      </w:r>
      <w:r w:rsidRPr="00914EB1">
        <w:t xml:space="preserve">not calculable; PD-L1=programmed death-ligand 1; </w:t>
      </w:r>
      <w:r w:rsidRPr="006F0A42">
        <w:t>PBO+nab-P = placebo + nab-paclitaxel</w:t>
      </w:r>
      <w:r w:rsidRPr="00914EB1">
        <w:t>; SAE</w:t>
      </w:r>
      <w:r>
        <w:t xml:space="preserve"> </w:t>
      </w:r>
      <w:r w:rsidRPr="00914EB1">
        <w:t>=</w:t>
      </w:r>
      <w:r>
        <w:t xml:space="preserve"> </w:t>
      </w:r>
      <w:r w:rsidRPr="00914EB1">
        <w:t>serious adverse event; vs=versus.</w:t>
      </w:r>
    </w:p>
    <w:p w14:paraId="6078F578" w14:textId="77777777" w:rsidR="008603E5" w:rsidRPr="00914EB1" w:rsidRDefault="008603E5" w:rsidP="008603E5">
      <w:pPr>
        <w:pStyle w:val="TableFooter"/>
        <w:jc w:val="left"/>
      </w:pPr>
      <w:r>
        <w:t xml:space="preserve">Notes: </w:t>
      </w:r>
      <w:r w:rsidRPr="00914EB1">
        <w:t>Relative risks and 95% confidence intervals for relative risks were calculated using the Normal approximation to the binomial distribution. Statistically significant relative risks are bolded.</w:t>
      </w:r>
    </w:p>
    <w:p w14:paraId="1B6DE559" w14:textId="77777777" w:rsidR="008603E5" w:rsidRPr="004F33EC" w:rsidRDefault="008603E5" w:rsidP="008603E5">
      <w:pPr>
        <w:pStyle w:val="TableFooter"/>
        <w:jc w:val="left"/>
      </w:pPr>
      <w:r w:rsidRPr="00914EB1">
        <w:t>Source:</w:t>
      </w:r>
      <w:r>
        <w:t xml:space="preserve"> data combined from Table 2.5.12, p 101 and Table 2.5.13, p 102 of the </w:t>
      </w:r>
      <w:r w:rsidRPr="008D006C">
        <w:t>MSAC_PBAC Combined S</w:t>
      </w:r>
      <w:r w:rsidRPr="00772F73">
        <w:t>ubmission</w:t>
      </w:r>
      <w:r>
        <w:t>.</w:t>
      </w:r>
    </w:p>
    <w:p w14:paraId="62043842" w14:textId="77777777" w:rsidR="00810EDB" w:rsidRPr="00F715D1" w:rsidRDefault="00810EDB" w:rsidP="00810EDB">
      <w:pPr>
        <w:pStyle w:val="Heading1"/>
      </w:pPr>
      <w:r w:rsidRPr="00F715D1">
        <w:t>Comparative effectiveness</w:t>
      </w:r>
    </w:p>
    <w:p w14:paraId="56EF2D44" w14:textId="77777777" w:rsidR="008603E5" w:rsidRDefault="008603E5" w:rsidP="008603E5">
      <w:pPr>
        <w:pStyle w:val="Heading2"/>
        <w:spacing w:before="240"/>
      </w:pPr>
      <w:r>
        <w:t>Prognostic evidence</w:t>
      </w:r>
    </w:p>
    <w:p w14:paraId="30A87C1F" w14:textId="77777777" w:rsidR="008603E5" w:rsidRDefault="008603E5" w:rsidP="008603E5">
      <w:pPr>
        <w:pStyle w:val="MSACESParagraph"/>
      </w:pPr>
      <w:r w:rsidRPr="009F4EBD">
        <w:t>PD-L1 expression was identified as a prognostic factor for Stage I-III TNBC. Higher levels of PD-L1 expression in either tumour or immune cells associated with the tumour predicted longer survival (DFS and OS) than lower or no PD-L1 expression in Stage I-III TNBC patients</w:t>
      </w:r>
      <w:r>
        <w:t xml:space="preserve">. </w:t>
      </w:r>
      <w:r w:rsidRPr="009F4EBD">
        <w:t xml:space="preserve">There were no studies identified to determine if PD-L1 expression is also a prognostic factor </w:t>
      </w:r>
      <w:r>
        <w:t>in</w:t>
      </w:r>
      <w:r w:rsidRPr="009F4EBD">
        <w:t xml:space="preserve"> Stage IV TNBC</w:t>
      </w:r>
      <w:r>
        <w:t>. The Commentary stated that two studies reported that patients receiving (neo)adjuvant chemotherapy were 3–4 times more likely to have a complete response if they had upregulated PD-L1 mRNA expression on IC compared to patients with no upregulation of PD-L1 mRNA.</w:t>
      </w:r>
    </w:p>
    <w:p w14:paraId="4AAE72C0" w14:textId="43F7114B" w:rsidR="008603E5" w:rsidRDefault="008603E5" w:rsidP="008603E5">
      <w:pPr>
        <w:pStyle w:val="MSACESParagraph"/>
      </w:pPr>
      <w:r>
        <w:t xml:space="preserve">The Commentary stated that this contradicts the predicted effect of PD-L1 in dampening the immune response, which would lead to a worse prognosis. This may be the case in the IMpassion130 trial; in the comparator arm, there appeared to be a non-significant decrease in PFS and </w:t>
      </w:r>
      <w:r w:rsidR="005C0E29">
        <w:t>OS among patients with PD-L1 IC-</w:t>
      </w:r>
      <w:r>
        <w:t>positive TNBC compared with those who were PD-L1 IC negative.</w:t>
      </w:r>
    </w:p>
    <w:p w14:paraId="21750026" w14:textId="7C05954B" w:rsidR="008603E5" w:rsidRDefault="008603E5" w:rsidP="008603E5">
      <w:pPr>
        <w:pStyle w:val="MSACESParagraph"/>
      </w:pPr>
      <w:r>
        <w:t>Thus, t</w:t>
      </w:r>
      <w:r w:rsidR="005C0E29">
        <w:t>he Commentary stated that PD-L1-</w:t>
      </w:r>
      <w:r>
        <w:t>positive patients enrolled in the IMpassion130 trial did not have a prognostic benefit (and may have a poorer prognosis) compared to those who are PD-L1 negative.</w:t>
      </w:r>
    </w:p>
    <w:p w14:paraId="209387D3" w14:textId="77777777" w:rsidR="008603E5" w:rsidRDefault="008603E5" w:rsidP="008603E5">
      <w:pPr>
        <w:pStyle w:val="Heading2"/>
        <w:spacing w:before="240"/>
      </w:pPr>
      <w:r>
        <w:t>Concordance of PD-L1 IHC tests</w:t>
      </w:r>
    </w:p>
    <w:p w14:paraId="56CE7135" w14:textId="4493ACE7" w:rsidR="008603E5" w:rsidRPr="00083EF0" w:rsidRDefault="008603E5" w:rsidP="008603E5">
      <w:pPr>
        <w:pStyle w:val="MSACESParagraph"/>
      </w:pPr>
      <w:r w:rsidRPr="00083EF0">
        <w:t>The overall percent agreement (OPA) between the other PD-L1 assays and the evidentiary standard SP142-IC assay was between 64% and 69%, with a high degree of positive percent agreement (PPA) between tests (95% to 98%). The Commentary stated this indicates that almost all p</w:t>
      </w:r>
      <w:r w:rsidR="005C0E29">
        <w:t xml:space="preserve">atients assessed as being PD-L1 </w:t>
      </w:r>
      <w:r w:rsidRPr="00083EF0">
        <w:t>positive using the SP142-IC strategy we</w:t>
      </w:r>
      <w:r w:rsidR="005C0E29">
        <w:t xml:space="preserve">re also assessed as being PD-L1 </w:t>
      </w:r>
      <w:r w:rsidRPr="00083EF0">
        <w:t xml:space="preserve">positive when tested using the </w:t>
      </w:r>
      <w:r w:rsidRPr="0015386A">
        <w:t xml:space="preserve">SP263-IC, </w:t>
      </w:r>
      <w:r w:rsidR="00E54B79" w:rsidRPr="0015386A">
        <w:rPr>
          <w:b/>
        </w:rPr>
        <w:t>redacted</w:t>
      </w:r>
      <w:r w:rsidRPr="0015386A">
        <w:t xml:space="preserve"> and</w:t>
      </w:r>
      <w:r w:rsidRPr="00083EF0">
        <w:t xml:space="preserve"> 22C3-CPS strategies.</w:t>
      </w:r>
    </w:p>
    <w:p w14:paraId="48D9EA00" w14:textId="3EF312DC" w:rsidR="008603E5" w:rsidRPr="00083EF0" w:rsidRDefault="008603E5" w:rsidP="008603E5">
      <w:pPr>
        <w:pStyle w:val="MSACESParagraph"/>
      </w:pPr>
      <w:r w:rsidRPr="00083EF0">
        <w:t xml:space="preserve">However, the Commentary stated that the low negative percent agreement (NPA) between tests (34% to 46%) suggests that a large number of patient tumour specimens in the </w:t>
      </w:r>
      <w:r>
        <w:t>biomarker evaluable population (</w:t>
      </w:r>
      <w:r w:rsidRPr="00083EF0">
        <w:t>BEP</w:t>
      </w:r>
      <w:r>
        <w:t>)</w:t>
      </w:r>
      <w:r w:rsidRPr="00083EF0">
        <w:t xml:space="preserve"> assessed as being P</w:t>
      </w:r>
      <w:r w:rsidR="005D3915">
        <w:t xml:space="preserve">D-L1 </w:t>
      </w:r>
      <w:r w:rsidRPr="00083EF0">
        <w:t>negative using the SP142-IC strate</w:t>
      </w:r>
      <w:r w:rsidR="005C0E29">
        <w:t xml:space="preserve">gy were assessed as being PD-L1 </w:t>
      </w:r>
      <w:r w:rsidRPr="00083EF0">
        <w:t xml:space="preserve">positive by other strategies. This was reflected in the variability of the prevalence of PD-L1 positivity identified by the four testing strategies (Table </w:t>
      </w:r>
      <w:r>
        <w:t>6</w:t>
      </w:r>
      <w:r w:rsidRPr="00083EF0">
        <w:t>).</w:t>
      </w:r>
    </w:p>
    <w:p w14:paraId="6AF2E37B" w14:textId="77777777" w:rsidR="008603E5" w:rsidRPr="00B90F39" w:rsidRDefault="008603E5" w:rsidP="00B90F39">
      <w:pPr>
        <w:rPr>
          <w:rFonts w:ascii="Arial Narrow" w:hAnsi="Arial Narrow"/>
          <w:b/>
          <w:sz w:val="20"/>
        </w:rPr>
      </w:pPr>
      <w:bookmarkStart w:id="5" w:name="_Ref25760963"/>
      <w:r w:rsidRPr="00B90F39">
        <w:rPr>
          <w:rFonts w:ascii="Arial Narrow" w:hAnsi="Arial Narrow"/>
          <w:b/>
          <w:sz w:val="20"/>
        </w:rPr>
        <w:t xml:space="preserve">Table </w:t>
      </w:r>
      <w:bookmarkEnd w:id="5"/>
      <w:r w:rsidRPr="00B90F39">
        <w:rPr>
          <w:rFonts w:ascii="Arial Narrow" w:hAnsi="Arial Narrow"/>
          <w:b/>
          <w:sz w:val="20"/>
        </w:rPr>
        <w:t>6: Prevalence of PD-L1 positives and negatives in the BEP population (n=614)</w:t>
      </w:r>
    </w:p>
    <w:tbl>
      <w:tblPr>
        <w:tblStyle w:val="TableGrid"/>
        <w:tblW w:w="9016" w:type="dxa"/>
        <w:tblLook w:val="04A0" w:firstRow="1" w:lastRow="0" w:firstColumn="1" w:lastColumn="0" w:noHBand="0" w:noVBand="1"/>
        <w:tblCaption w:val="Table 6: Prevalence of PD-L1 positives and negatives in the BEP population (n=614)"/>
        <w:tblDescription w:val="Table 6: Prevalence of PD-L1 positives and negatives in the BEP population (n=614)"/>
      </w:tblPr>
      <w:tblGrid>
        <w:gridCol w:w="3005"/>
        <w:gridCol w:w="3005"/>
        <w:gridCol w:w="3006"/>
      </w:tblGrid>
      <w:tr w:rsidR="008603E5" w:rsidRPr="009F4EBD" w14:paraId="598330DD" w14:textId="77777777" w:rsidTr="001548F6">
        <w:trPr>
          <w:tblHeader/>
        </w:trPr>
        <w:tc>
          <w:tcPr>
            <w:tcW w:w="3005" w:type="dxa"/>
            <w:shd w:val="clear" w:color="auto" w:fill="auto"/>
          </w:tcPr>
          <w:p w14:paraId="030DCB97" w14:textId="77777777" w:rsidR="008603E5" w:rsidRPr="001548F6" w:rsidRDefault="008603E5" w:rsidP="001548F6">
            <w:pPr>
              <w:pStyle w:val="TableText"/>
              <w:keepNext/>
              <w:keepLines/>
              <w:rPr>
                <w:b/>
              </w:rPr>
            </w:pPr>
            <w:r w:rsidRPr="001548F6">
              <w:rPr>
                <w:b/>
              </w:rPr>
              <w:t>Testing strategy</w:t>
            </w:r>
          </w:p>
        </w:tc>
        <w:tc>
          <w:tcPr>
            <w:tcW w:w="3005" w:type="dxa"/>
            <w:shd w:val="clear" w:color="auto" w:fill="auto"/>
          </w:tcPr>
          <w:p w14:paraId="43481488" w14:textId="29B448C6" w:rsidR="008603E5" w:rsidRPr="001548F6" w:rsidRDefault="005C0E29" w:rsidP="008C7991">
            <w:pPr>
              <w:pStyle w:val="TableText"/>
              <w:keepNext/>
              <w:keepLines/>
              <w:jc w:val="center"/>
              <w:rPr>
                <w:b/>
              </w:rPr>
            </w:pPr>
            <w:r>
              <w:rPr>
                <w:b/>
              </w:rPr>
              <w:t xml:space="preserve">Prevalence of PD-L1 </w:t>
            </w:r>
            <w:r w:rsidR="008603E5" w:rsidRPr="001548F6">
              <w:rPr>
                <w:b/>
              </w:rPr>
              <w:t>positive</w:t>
            </w:r>
          </w:p>
        </w:tc>
        <w:tc>
          <w:tcPr>
            <w:tcW w:w="3006" w:type="dxa"/>
            <w:shd w:val="clear" w:color="auto" w:fill="auto"/>
          </w:tcPr>
          <w:p w14:paraId="3F48737C" w14:textId="5A5BA6F5" w:rsidR="008603E5" w:rsidRPr="001548F6" w:rsidRDefault="005C0E29" w:rsidP="008C7991">
            <w:pPr>
              <w:pStyle w:val="TableText"/>
              <w:keepNext/>
              <w:keepLines/>
              <w:jc w:val="center"/>
              <w:rPr>
                <w:b/>
              </w:rPr>
            </w:pPr>
            <w:r>
              <w:rPr>
                <w:b/>
              </w:rPr>
              <w:t xml:space="preserve">Prevalence of PD-L1 </w:t>
            </w:r>
            <w:r w:rsidR="008603E5" w:rsidRPr="001548F6">
              <w:rPr>
                <w:b/>
              </w:rPr>
              <w:t>negative</w:t>
            </w:r>
          </w:p>
        </w:tc>
      </w:tr>
      <w:tr w:rsidR="008603E5" w:rsidRPr="009F4EBD" w14:paraId="38E9444D" w14:textId="77777777" w:rsidTr="00E84BDF">
        <w:tc>
          <w:tcPr>
            <w:tcW w:w="3005" w:type="dxa"/>
          </w:tcPr>
          <w:p w14:paraId="18F67FCE" w14:textId="77777777" w:rsidR="008603E5" w:rsidRPr="009F4EBD" w:rsidRDefault="008603E5" w:rsidP="001548F6">
            <w:pPr>
              <w:keepNext/>
              <w:spacing w:before="40" w:after="40"/>
              <w:rPr>
                <w:rFonts w:ascii="Arial Narrow" w:hAnsi="Arial Narrow"/>
                <w:sz w:val="20"/>
              </w:rPr>
            </w:pPr>
            <w:r w:rsidRPr="009F4EBD">
              <w:rPr>
                <w:rFonts w:ascii="Arial Narrow" w:hAnsi="Arial Narrow"/>
                <w:sz w:val="20"/>
              </w:rPr>
              <w:t>SP142-IC</w:t>
            </w:r>
          </w:p>
        </w:tc>
        <w:tc>
          <w:tcPr>
            <w:tcW w:w="3005" w:type="dxa"/>
          </w:tcPr>
          <w:p w14:paraId="4391BC6E" w14:textId="77777777" w:rsidR="008603E5" w:rsidRPr="009F4EBD" w:rsidRDefault="008603E5" w:rsidP="008C7991">
            <w:pPr>
              <w:pStyle w:val="TableText"/>
              <w:keepNext/>
              <w:keepLines/>
              <w:jc w:val="center"/>
            </w:pPr>
            <w:r>
              <w:t>46% (n=285)</w:t>
            </w:r>
          </w:p>
        </w:tc>
        <w:tc>
          <w:tcPr>
            <w:tcW w:w="3006" w:type="dxa"/>
          </w:tcPr>
          <w:p w14:paraId="48F6A373" w14:textId="77777777" w:rsidR="008603E5" w:rsidRPr="009F4EBD" w:rsidRDefault="008603E5" w:rsidP="008C7991">
            <w:pPr>
              <w:pStyle w:val="TableText"/>
              <w:keepNext/>
              <w:keepLines/>
              <w:jc w:val="center"/>
            </w:pPr>
            <w:r>
              <w:t>54% (n=329)</w:t>
            </w:r>
          </w:p>
        </w:tc>
      </w:tr>
      <w:tr w:rsidR="008603E5" w:rsidRPr="009F4EBD" w14:paraId="47A20BBB" w14:textId="77777777" w:rsidTr="00E84BDF">
        <w:tc>
          <w:tcPr>
            <w:tcW w:w="3005" w:type="dxa"/>
          </w:tcPr>
          <w:p w14:paraId="67EE096C" w14:textId="77777777" w:rsidR="008603E5" w:rsidRPr="009F4EBD" w:rsidRDefault="008603E5" w:rsidP="001548F6">
            <w:pPr>
              <w:keepNext/>
              <w:spacing w:before="40" w:after="40"/>
              <w:rPr>
                <w:rFonts w:ascii="Arial Narrow" w:hAnsi="Arial Narrow"/>
                <w:sz w:val="20"/>
              </w:rPr>
            </w:pPr>
            <w:r w:rsidRPr="009F4EBD">
              <w:rPr>
                <w:rFonts w:ascii="Arial Narrow" w:hAnsi="Arial Narrow"/>
                <w:sz w:val="20"/>
              </w:rPr>
              <w:t>SP263-IC</w:t>
            </w:r>
          </w:p>
        </w:tc>
        <w:tc>
          <w:tcPr>
            <w:tcW w:w="3005" w:type="dxa"/>
          </w:tcPr>
          <w:p w14:paraId="31EC7111" w14:textId="77777777" w:rsidR="008603E5" w:rsidRPr="009F4EBD" w:rsidRDefault="008603E5" w:rsidP="008C7991">
            <w:pPr>
              <w:pStyle w:val="TableText"/>
              <w:keepNext/>
              <w:keepLines/>
              <w:jc w:val="center"/>
            </w:pPr>
            <w:r w:rsidRPr="009F4EBD">
              <w:t>75% (n=460)</w:t>
            </w:r>
          </w:p>
        </w:tc>
        <w:tc>
          <w:tcPr>
            <w:tcW w:w="3006" w:type="dxa"/>
          </w:tcPr>
          <w:p w14:paraId="56BA642E" w14:textId="77777777" w:rsidR="008603E5" w:rsidRPr="009F4EBD" w:rsidRDefault="008603E5" w:rsidP="008C7991">
            <w:pPr>
              <w:pStyle w:val="TableText"/>
              <w:keepNext/>
              <w:keepLines/>
              <w:jc w:val="center"/>
            </w:pPr>
            <w:r w:rsidRPr="009F4EBD">
              <w:t>25% (n=154)</w:t>
            </w:r>
          </w:p>
        </w:tc>
      </w:tr>
      <w:tr w:rsidR="008603E5" w:rsidRPr="009F4EBD" w14:paraId="460FA03C" w14:textId="77777777" w:rsidTr="00E84BDF">
        <w:tc>
          <w:tcPr>
            <w:tcW w:w="3005" w:type="dxa"/>
          </w:tcPr>
          <w:p w14:paraId="2EA8E8AA" w14:textId="705D0656" w:rsidR="008603E5" w:rsidRPr="0015386A" w:rsidRDefault="00E54B79" w:rsidP="001548F6">
            <w:pPr>
              <w:spacing w:before="40" w:after="40"/>
              <w:rPr>
                <w:rFonts w:ascii="Arial Narrow" w:hAnsi="Arial Narrow"/>
                <w:sz w:val="20"/>
                <w:highlight w:val="yellow"/>
              </w:rPr>
            </w:pPr>
            <w:r>
              <w:rPr>
                <w:rFonts w:ascii="Arial Narrow" w:hAnsi="Arial Narrow"/>
                <w:sz w:val="20"/>
              </w:rPr>
              <w:t>redacted</w:t>
            </w:r>
          </w:p>
        </w:tc>
        <w:tc>
          <w:tcPr>
            <w:tcW w:w="3005" w:type="dxa"/>
          </w:tcPr>
          <w:p w14:paraId="20F29288" w14:textId="2ABABF15" w:rsidR="008603E5" w:rsidRPr="003514DE" w:rsidRDefault="00E54B79" w:rsidP="00E54B79">
            <w:pPr>
              <w:pStyle w:val="TableText"/>
              <w:keepNext/>
              <w:keepLines/>
              <w:jc w:val="center"/>
            </w:pPr>
            <w:r>
              <w:t>redacted</w:t>
            </w:r>
            <w:r w:rsidR="008603E5" w:rsidRPr="003514DE">
              <w:t>% (n=</w:t>
            </w:r>
            <w:r>
              <w:t>redacted</w:t>
            </w:r>
            <w:r w:rsidR="008603E5" w:rsidRPr="003514DE">
              <w:t>)</w:t>
            </w:r>
          </w:p>
        </w:tc>
        <w:tc>
          <w:tcPr>
            <w:tcW w:w="3006" w:type="dxa"/>
          </w:tcPr>
          <w:p w14:paraId="14EC3DE8" w14:textId="375B0198" w:rsidR="008603E5" w:rsidRPr="003514DE" w:rsidRDefault="00E54B79" w:rsidP="00E54B79">
            <w:pPr>
              <w:pStyle w:val="TableText"/>
              <w:keepNext/>
              <w:keepLines/>
              <w:jc w:val="center"/>
            </w:pPr>
            <w:r>
              <w:t>redacted</w:t>
            </w:r>
            <w:r w:rsidR="008603E5" w:rsidRPr="003514DE">
              <w:t>% (n=</w:t>
            </w:r>
            <w:r>
              <w:t>redacted</w:t>
            </w:r>
            <w:r w:rsidR="008603E5" w:rsidRPr="00E66106">
              <w:t>)</w:t>
            </w:r>
          </w:p>
        </w:tc>
      </w:tr>
      <w:tr w:rsidR="008603E5" w:rsidRPr="009F4EBD" w14:paraId="179EB780" w14:textId="77777777" w:rsidTr="00E84BDF">
        <w:tc>
          <w:tcPr>
            <w:tcW w:w="3005" w:type="dxa"/>
          </w:tcPr>
          <w:p w14:paraId="6082E50D" w14:textId="77777777" w:rsidR="008603E5" w:rsidRPr="009F4EBD" w:rsidRDefault="008603E5" w:rsidP="001548F6">
            <w:pPr>
              <w:spacing w:before="40" w:after="40"/>
              <w:rPr>
                <w:rFonts w:ascii="Arial Narrow" w:hAnsi="Arial Narrow"/>
                <w:sz w:val="20"/>
              </w:rPr>
            </w:pPr>
            <w:r w:rsidRPr="009F4EBD">
              <w:rPr>
                <w:rFonts w:ascii="Arial Narrow" w:hAnsi="Arial Narrow"/>
                <w:sz w:val="20"/>
              </w:rPr>
              <w:t>22C3-CPS</w:t>
            </w:r>
          </w:p>
        </w:tc>
        <w:tc>
          <w:tcPr>
            <w:tcW w:w="3005" w:type="dxa"/>
          </w:tcPr>
          <w:p w14:paraId="189A19F6" w14:textId="77777777" w:rsidR="008603E5" w:rsidRPr="009F4EBD" w:rsidRDefault="008603E5" w:rsidP="008C7991">
            <w:pPr>
              <w:pStyle w:val="TableText"/>
              <w:keepNext/>
              <w:keepLines/>
              <w:jc w:val="center"/>
            </w:pPr>
            <w:r w:rsidRPr="009F4EBD">
              <w:t>81% (n=497)</w:t>
            </w:r>
          </w:p>
        </w:tc>
        <w:tc>
          <w:tcPr>
            <w:tcW w:w="3006" w:type="dxa"/>
          </w:tcPr>
          <w:p w14:paraId="6AE2BDF8" w14:textId="77777777" w:rsidR="008603E5" w:rsidRPr="009F4EBD" w:rsidRDefault="008603E5" w:rsidP="008C7991">
            <w:pPr>
              <w:pStyle w:val="TableText"/>
              <w:keepNext/>
              <w:keepLines/>
              <w:jc w:val="center"/>
            </w:pPr>
            <w:r w:rsidRPr="009F4EBD">
              <w:t>19% (n=117)</w:t>
            </w:r>
          </w:p>
        </w:tc>
      </w:tr>
    </w:tbl>
    <w:p w14:paraId="3EF26C43" w14:textId="77777777" w:rsidR="008603E5" w:rsidRDefault="008603E5" w:rsidP="008603E5">
      <w:pPr>
        <w:pStyle w:val="TableFooter"/>
      </w:pPr>
      <w:r w:rsidRPr="009F4EBD">
        <w:t>CPS = combined positive score; IC = t</w:t>
      </w:r>
      <w:r>
        <w:t>umour-infiltrating immune cells</w:t>
      </w:r>
    </w:p>
    <w:p w14:paraId="75301A1B" w14:textId="77777777" w:rsidR="008603E5" w:rsidRPr="009F4EBD" w:rsidRDefault="008603E5" w:rsidP="008603E5">
      <w:pPr>
        <w:pStyle w:val="TableFooter"/>
        <w:jc w:val="left"/>
      </w:pPr>
      <w:r w:rsidRPr="009F4EBD">
        <w:t>Source: Table 2(T).4.9 of the Section 2 – Test submission document</w:t>
      </w:r>
    </w:p>
    <w:p w14:paraId="19D37D8B" w14:textId="6184044D" w:rsidR="000F5DF1" w:rsidRDefault="008603E5" w:rsidP="000F5DF1">
      <w:pPr>
        <w:pStyle w:val="MSACESParagraph"/>
      </w:pPr>
      <w:r w:rsidRPr="00B519D0">
        <w:t>The</w:t>
      </w:r>
      <w:r>
        <w:t xml:space="preserve"> Commentary stated that the</w:t>
      </w:r>
      <w:r w:rsidRPr="00B519D0">
        <w:t xml:space="preserve"> </w:t>
      </w:r>
      <w:r w:rsidR="00E54B79" w:rsidRPr="00E54B79">
        <w:rPr>
          <w:b/>
        </w:rPr>
        <w:t>redacted</w:t>
      </w:r>
      <w:r w:rsidR="005C0E29">
        <w:t>% difference between the PD-L1-</w:t>
      </w:r>
      <w:r w:rsidRPr="00B519D0">
        <w:t>positive populations for the evidentiary standard compared to the additional testing strategies indicates that the three additional testing strategies cannot be considered concordant with the evidentiary standard.</w:t>
      </w:r>
      <w:r w:rsidR="000F5DF1">
        <w:br w:type="page"/>
      </w:r>
    </w:p>
    <w:p w14:paraId="646A45EC" w14:textId="21DF97E9" w:rsidR="008603E5" w:rsidRDefault="008603E5" w:rsidP="008603E5">
      <w:pPr>
        <w:pStyle w:val="MSACESParagraph"/>
        <w:spacing w:after="0"/>
      </w:pPr>
      <w:r>
        <w:t xml:space="preserve">In its </w:t>
      </w:r>
      <w:r w:rsidR="00002312">
        <w:t>p</w:t>
      </w:r>
      <w:r>
        <w:t xml:space="preserve">re-ESCs </w:t>
      </w:r>
      <w:r w:rsidR="00002312">
        <w:t>r</w:t>
      </w:r>
      <w:r>
        <w:t>esponse, the applicant provided results from the Australian SPRINT study:</w:t>
      </w:r>
    </w:p>
    <w:p w14:paraId="5C094BF2" w14:textId="7600A060" w:rsidR="008603E5" w:rsidRPr="0015386A" w:rsidRDefault="00E54B79" w:rsidP="008603E5">
      <w:pPr>
        <w:pStyle w:val="MSACESBulletPoint"/>
        <w:spacing w:before="0" w:after="0"/>
      </w:pPr>
      <w:r w:rsidRPr="0015386A">
        <w:rPr>
          <w:b/>
        </w:rPr>
        <w:t>redacted</w:t>
      </w:r>
    </w:p>
    <w:p w14:paraId="5AC0AC5F" w14:textId="59F588C9" w:rsidR="008603E5" w:rsidRPr="0015386A" w:rsidRDefault="00E54B79" w:rsidP="000F5DF1">
      <w:pPr>
        <w:pStyle w:val="MSACESBulletPoint"/>
        <w:spacing w:before="0" w:after="240"/>
        <w:ind w:left="714" w:hanging="357"/>
      </w:pPr>
      <w:r w:rsidRPr="0015386A">
        <w:rPr>
          <w:b/>
        </w:rPr>
        <w:t>redacted</w:t>
      </w:r>
      <w:r w:rsidR="000F5DF1">
        <w:t>.</w:t>
      </w:r>
    </w:p>
    <w:p w14:paraId="2CA197BF" w14:textId="77777777" w:rsidR="008603E5" w:rsidRPr="0015386A" w:rsidRDefault="008603E5" w:rsidP="000F5DF1">
      <w:pPr>
        <w:pStyle w:val="MSACESBulletPoint"/>
        <w:numPr>
          <w:ilvl w:val="0"/>
          <w:numId w:val="0"/>
        </w:numPr>
        <w:spacing w:after="0"/>
      </w:pPr>
      <w:r w:rsidRPr="0015386A">
        <w:t>From these results, the applicant noted:</w:t>
      </w:r>
    </w:p>
    <w:p w14:paraId="5D46252D" w14:textId="77777777" w:rsidR="00256918" w:rsidRPr="0015386A" w:rsidRDefault="00256918" w:rsidP="00256918">
      <w:pPr>
        <w:pStyle w:val="MSACESBulletPoint"/>
        <w:spacing w:before="0" w:after="0"/>
      </w:pPr>
      <w:r w:rsidRPr="0015386A">
        <w:rPr>
          <w:b/>
        </w:rPr>
        <w:t>redacted</w:t>
      </w:r>
    </w:p>
    <w:p w14:paraId="1F2DD664" w14:textId="77777777" w:rsidR="00256918" w:rsidRPr="0015386A" w:rsidRDefault="00256918" w:rsidP="00256918">
      <w:pPr>
        <w:pStyle w:val="MSACESBulletPoint"/>
        <w:spacing w:before="0" w:after="0"/>
      </w:pPr>
      <w:r w:rsidRPr="0015386A">
        <w:rPr>
          <w:b/>
        </w:rPr>
        <w:t>redacted</w:t>
      </w:r>
    </w:p>
    <w:p w14:paraId="534A3F91" w14:textId="77777777" w:rsidR="00256918" w:rsidRPr="0015386A" w:rsidRDefault="00256918" w:rsidP="00256918">
      <w:pPr>
        <w:pStyle w:val="MSACESBulletPoint"/>
        <w:spacing w:before="0" w:after="0"/>
      </w:pPr>
      <w:r w:rsidRPr="0015386A">
        <w:rPr>
          <w:b/>
        </w:rPr>
        <w:t>redacted</w:t>
      </w:r>
    </w:p>
    <w:p w14:paraId="63E43F04" w14:textId="77777777" w:rsidR="00256918" w:rsidRPr="0015386A" w:rsidRDefault="00256918" w:rsidP="00256918">
      <w:pPr>
        <w:pStyle w:val="MSACESBulletPoint"/>
        <w:spacing w:before="0" w:after="0"/>
      </w:pPr>
      <w:r w:rsidRPr="0015386A">
        <w:rPr>
          <w:b/>
        </w:rPr>
        <w:t>redacted</w:t>
      </w:r>
    </w:p>
    <w:p w14:paraId="2D1B7E28" w14:textId="475FA123" w:rsidR="008603E5" w:rsidRPr="0015386A" w:rsidRDefault="00256918" w:rsidP="008603E5">
      <w:pPr>
        <w:pStyle w:val="MSACESBulletPoint"/>
        <w:spacing w:before="0" w:after="0"/>
      </w:pPr>
      <w:r w:rsidRPr="0015386A">
        <w:rPr>
          <w:b/>
        </w:rPr>
        <w:t>redacted</w:t>
      </w:r>
    </w:p>
    <w:p w14:paraId="12C39741" w14:textId="693A4C5B" w:rsidR="008603E5" w:rsidRPr="00B90F39" w:rsidRDefault="008603E5" w:rsidP="005E0817">
      <w:pPr>
        <w:spacing w:before="240"/>
        <w:rPr>
          <w:rFonts w:ascii="Arial Narrow" w:hAnsi="Arial Narrow"/>
          <w:b/>
          <w:sz w:val="20"/>
        </w:rPr>
      </w:pPr>
      <w:r w:rsidRPr="00B90F39">
        <w:rPr>
          <w:rFonts w:ascii="Arial Narrow" w:hAnsi="Arial Narrow"/>
          <w:b/>
          <w:sz w:val="20"/>
        </w:rPr>
        <w:t xml:space="preserve">Table 7: </w:t>
      </w:r>
      <w:r w:rsidR="00256918" w:rsidRPr="00B90F39">
        <w:rPr>
          <w:rFonts w:ascii="Arial Narrow" w:hAnsi="Arial Narrow"/>
          <w:b/>
          <w:sz w:val="20"/>
        </w:rPr>
        <w:t>redacted</w:t>
      </w:r>
    </w:p>
    <w:p w14:paraId="13AB184E" w14:textId="64C4A1C2" w:rsidR="008603E5" w:rsidRPr="0015386A" w:rsidRDefault="008603E5" w:rsidP="008603E5">
      <w:pPr>
        <w:pStyle w:val="TableFooter"/>
        <w:jc w:val="left"/>
      </w:pPr>
      <w:r w:rsidRPr="0015386A">
        <w:t xml:space="preserve">Source: Table 3, p9 of the applicant’s </w:t>
      </w:r>
      <w:r w:rsidR="00002312" w:rsidRPr="0015386A">
        <w:t>p</w:t>
      </w:r>
      <w:r w:rsidRPr="0015386A">
        <w:t xml:space="preserve">re-ESCs </w:t>
      </w:r>
      <w:r w:rsidR="00002312" w:rsidRPr="0015386A">
        <w:t>r</w:t>
      </w:r>
      <w:r w:rsidRPr="0015386A">
        <w:t>esponse (from the SPRINT study)</w:t>
      </w:r>
    </w:p>
    <w:p w14:paraId="25D0161E" w14:textId="77777777" w:rsidR="008603E5" w:rsidRPr="0015386A" w:rsidRDefault="008603E5" w:rsidP="008603E5">
      <w:pPr>
        <w:pStyle w:val="Heading2"/>
      </w:pPr>
      <w:r w:rsidRPr="0015386A">
        <w:t>Tissue sample</w:t>
      </w:r>
    </w:p>
    <w:p w14:paraId="1CA5B3D2" w14:textId="0AC57907" w:rsidR="008603E5" w:rsidRPr="000F5DF1" w:rsidRDefault="008603E5" w:rsidP="008603E5">
      <w:r w:rsidRPr="0015386A">
        <w:t xml:space="preserve">In </w:t>
      </w:r>
      <w:r w:rsidR="00452E95" w:rsidRPr="0015386A">
        <w:t>i</w:t>
      </w:r>
      <w:r w:rsidRPr="0015386A">
        <w:t>t</w:t>
      </w:r>
      <w:r w:rsidR="00452E95" w:rsidRPr="0015386A">
        <w:t>s</w:t>
      </w:r>
      <w:r w:rsidRPr="0015386A">
        <w:t xml:space="preserve"> pre-MSAC response, the applicant provided new unpublished data currently being reviewed by JAMA Oncology (under embargo; strictly academic in confidence), which evaluated the impact of </w:t>
      </w:r>
      <w:r w:rsidR="00B3669E" w:rsidRPr="0015386A">
        <w:t xml:space="preserve">atezolizumab on </w:t>
      </w:r>
      <w:r w:rsidRPr="0015386A">
        <w:t>survival (</w:t>
      </w:r>
      <w:r w:rsidR="00B3669E" w:rsidRPr="0015386A">
        <w:t xml:space="preserve">both </w:t>
      </w:r>
      <w:r w:rsidRPr="0015386A">
        <w:t xml:space="preserve">PFS and OS) in PD-L1-positive samples determined from archival versus fresh tissue in IMpassion130. </w:t>
      </w:r>
      <w:r w:rsidR="00256918" w:rsidRPr="0015386A">
        <w:rPr>
          <w:b/>
        </w:rPr>
        <w:t>Redacted</w:t>
      </w:r>
      <w:r w:rsidR="000F5DF1">
        <w:t>.</w:t>
      </w:r>
    </w:p>
    <w:p w14:paraId="64B8D479" w14:textId="453D57FE" w:rsidR="00CE474B" w:rsidRPr="00B90F39" w:rsidRDefault="00CE474B" w:rsidP="00B90F39">
      <w:pPr>
        <w:spacing w:before="240"/>
        <w:rPr>
          <w:rFonts w:ascii="Arial Narrow" w:hAnsi="Arial Narrow"/>
          <w:b/>
          <w:sz w:val="20"/>
        </w:rPr>
      </w:pPr>
      <w:bookmarkStart w:id="6" w:name="_Ref36033456"/>
      <w:bookmarkStart w:id="7" w:name="_Ref36033461"/>
      <w:r w:rsidRPr="00B90F39">
        <w:rPr>
          <w:rFonts w:ascii="Arial Narrow" w:hAnsi="Arial Narrow"/>
          <w:b/>
          <w:sz w:val="20"/>
        </w:rPr>
        <w:t xml:space="preserve">Figure </w:t>
      </w:r>
      <w:r w:rsidR="00185E98" w:rsidRPr="00B90F39">
        <w:rPr>
          <w:rFonts w:ascii="Arial Narrow" w:hAnsi="Arial Narrow"/>
          <w:b/>
          <w:sz w:val="20"/>
        </w:rPr>
        <w:fldChar w:fldCharType="begin"/>
      </w:r>
      <w:r w:rsidR="00185E98" w:rsidRPr="00B90F39">
        <w:rPr>
          <w:rFonts w:ascii="Arial Narrow" w:hAnsi="Arial Narrow"/>
          <w:b/>
          <w:sz w:val="20"/>
        </w:rPr>
        <w:instrText xml:space="preserve"> SEQ Figure \* ARABIC </w:instrText>
      </w:r>
      <w:r w:rsidR="00185E98" w:rsidRPr="00B90F39">
        <w:rPr>
          <w:rFonts w:ascii="Arial Narrow" w:hAnsi="Arial Narrow"/>
          <w:b/>
          <w:sz w:val="20"/>
        </w:rPr>
        <w:fldChar w:fldCharType="separate"/>
      </w:r>
      <w:r w:rsidRPr="00B90F39">
        <w:rPr>
          <w:rFonts w:ascii="Arial Narrow" w:hAnsi="Arial Narrow"/>
          <w:b/>
          <w:sz w:val="20"/>
        </w:rPr>
        <w:t>3</w:t>
      </w:r>
      <w:r w:rsidR="00185E98" w:rsidRPr="00B90F39">
        <w:rPr>
          <w:rFonts w:ascii="Arial Narrow" w:hAnsi="Arial Narrow"/>
          <w:b/>
          <w:sz w:val="20"/>
        </w:rPr>
        <w:fldChar w:fldCharType="end"/>
      </w:r>
      <w:bookmarkEnd w:id="6"/>
      <w:r w:rsidRPr="00B90F39">
        <w:rPr>
          <w:rFonts w:ascii="Arial Narrow" w:hAnsi="Arial Narrow"/>
          <w:b/>
          <w:sz w:val="20"/>
        </w:rPr>
        <w:t xml:space="preserve">: </w:t>
      </w:r>
      <w:r w:rsidR="00256918" w:rsidRPr="00B90F39">
        <w:rPr>
          <w:rFonts w:ascii="Arial Narrow" w:hAnsi="Arial Narrow"/>
          <w:b/>
          <w:sz w:val="20"/>
        </w:rPr>
        <w:t>Redacted</w:t>
      </w:r>
    </w:p>
    <w:bookmarkEnd w:id="7"/>
    <w:p w14:paraId="5C351EFF" w14:textId="1AB35B15" w:rsidR="008603E5" w:rsidRPr="0015386A" w:rsidRDefault="008603E5" w:rsidP="00212D8A">
      <w:pPr>
        <w:pStyle w:val="TableFooter"/>
        <w:rPr>
          <w:shd w:val="clear" w:color="auto" w:fill="FFFFFF"/>
        </w:rPr>
      </w:pPr>
      <w:r w:rsidRPr="0015386A">
        <w:t>Source: Figure 3, p5 of the pre-MSAC response</w:t>
      </w:r>
    </w:p>
    <w:p w14:paraId="114BAE00" w14:textId="6DB9E388" w:rsidR="00CE474B" w:rsidRPr="00B90F39" w:rsidRDefault="00CE474B" w:rsidP="00B90F39">
      <w:pPr>
        <w:rPr>
          <w:rFonts w:ascii="Arial Narrow" w:hAnsi="Arial Narrow"/>
          <w:b/>
          <w:sz w:val="20"/>
        </w:rPr>
      </w:pPr>
      <w:r w:rsidRPr="00B90F39">
        <w:rPr>
          <w:rFonts w:ascii="Arial Narrow" w:hAnsi="Arial Narrow"/>
          <w:b/>
          <w:sz w:val="20"/>
        </w:rPr>
        <w:t xml:space="preserve">Figure </w:t>
      </w:r>
      <w:r w:rsidR="00185E98" w:rsidRPr="00B90F39">
        <w:rPr>
          <w:rFonts w:ascii="Arial Narrow" w:hAnsi="Arial Narrow"/>
          <w:b/>
          <w:sz w:val="20"/>
        </w:rPr>
        <w:fldChar w:fldCharType="begin"/>
      </w:r>
      <w:r w:rsidR="00185E98" w:rsidRPr="00B90F39">
        <w:rPr>
          <w:rFonts w:ascii="Arial Narrow" w:hAnsi="Arial Narrow"/>
          <w:b/>
          <w:sz w:val="20"/>
        </w:rPr>
        <w:instrText xml:space="preserve"> SEQ Figure \* ARABIC </w:instrText>
      </w:r>
      <w:r w:rsidR="00185E98" w:rsidRPr="00B90F39">
        <w:rPr>
          <w:rFonts w:ascii="Arial Narrow" w:hAnsi="Arial Narrow"/>
          <w:b/>
          <w:sz w:val="20"/>
        </w:rPr>
        <w:fldChar w:fldCharType="separate"/>
      </w:r>
      <w:r w:rsidRPr="00B90F39">
        <w:rPr>
          <w:rFonts w:ascii="Arial Narrow" w:hAnsi="Arial Narrow"/>
          <w:b/>
          <w:sz w:val="20"/>
        </w:rPr>
        <w:t>4</w:t>
      </w:r>
      <w:r w:rsidR="00185E98" w:rsidRPr="00B90F39">
        <w:rPr>
          <w:rFonts w:ascii="Arial Narrow" w:hAnsi="Arial Narrow"/>
          <w:b/>
          <w:sz w:val="20"/>
        </w:rPr>
        <w:fldChar w:fldCharType="end"/>
      </w:r>
      <w:r w:rsidRPr="00B90F39">
        <w:rPr>
          <w:rFonts w:ascii="Arial Narrow" w:hAnsi="Arial Narrow"/>
          <w:b/>
          <w:sz w:val="20"/>
        </w:rPr>
        <w:t xml:space="preserve">: </w:t>
      </w:r>
      <w:r w:rsidR="00256918" w:rsidRPr="00B90F39">
        <w:rPr>
          <w:rFonts w:ascii="Arial Narrow" w:hAnsi="Arial Narrow"/>
          <w:b/>
          <w:sz w:val="20"/>
        </w:rPr>
        <w:t>Redacted</w:t>
      </w:r>
    </w:p>
    <w:p w14:paraId="7CF306F5" w14:textId="77777777" w:rsidR="008603E5" w:rsidRPr="00C15835" w:rsidRDefault="008603E5" w:rsidP="008603E5">
      <w:pPr>
        <w:pStyle w:val="TableFooter"/>
      </w:pPr>
      <w:r w:rsidRPr="0015386A">
        <w:t>Source: Figure 4, p5 of the pre-MSAC response</w:t>
      </w:r>
    </w:p>
    <w:p w14:paraId="125EDB8B" w14:textId="77777777" w:rsidR="008603E5" w:rsidRDefault="008603E5" w:rsidP="008603E5">
      <w:pPr>
        <w:pStyle w:val="Heading2"/>
        <w:spacing w:before="240"/>
      </w:pPr>
      <w:r>
        <w:t>Effectiveness (based on direct evidence only)</w:t>
      </w:r>
    </w:p>
    <w:p w14:paraId="5C1924C2" w14:textId="10FAC34F" w:rsidR="008603E5" w:rsidRDefault="008603E5" w:rsidP="008603E5">
      <w:pPr>
        <w:pStyle w:val="MSACESParagraph"/>
      </w:pPr>
      <w:r>
        <w:t>The submission concluded from the data presented for PFS (</w:t>
      </w:r>
      <w:r w:rsidRPr="00B519D0">
        <w:t xml:space="preserve">Table </w:t>
      </w:r>
      <w:r>
        <w:t xml:space="preserve">8) </w:t>
      </w:r>
      <w:r w:rsidRPr="00B519D0">
        <w:t>and</w:t>
      </w:r>
      <w:r>
        <w:t xml:space="preserve"> OS</w:t>
      </w:r>
      <w:r w:rsidRPr="00B519D0">
        <w:t xml:space="preserve"> </w:t>
      </w:r>
      <w:r>
        <w:t>(Table 9) from the BEP showing</w:t>
      </w:r>
      <w:r w:rsidRPr="00B519D0">
        <w:t xml:space="preserve"> that patients assessed </w:t>
      </w:r>
      <w:r w:rsidR="005C0E29">
        <w:t xml:space="preserve">as being PD-L1 </w:t>
      </w:r>
      <w:r w:rsidRPr="00B519D0">
        <w:t>positive obtained a clinical benefit from treatment with ATZ+nab</w:t>
      </w:r>
      <w:r w:rsidR="005D3915">
        <w:t xml:space="preserve">-P whereas those who were PD-L1 </w:t>
      </w:r>
      <w:r w:rsidRPr="00B519D0">
        <w:t>negative did not, regardless of the PD-L1 assay used.</w:t>
      </w:r>
    </w:p>
    <w:p w14:paraId="4BA40855" w14:textId="77777777" w:rsidR="008603E5" w:rsidRDefault="008603E5" w:rsidP="008603E5">
      <w:pPr>
        <w:pStyle w:val="MSACESParagraph"/>
        <w:spacing w:after="0"/>
      </w:pPr>
      <w:r>
        <w:t>However, the Commentary stated this claim could not be substantiated for several reasons.</w:t>
      </w:r>
    </w:p>
    <w:p w14:paraId="6EE08742" w14:textId="77777777" w:rsidR="008603E5" w:rsidRDefault="008603E5" w:rsidP="008603E5">
      <w:pPr>
        <w:pStyle w:val="MSACESBulletPoint"/>
        <w:spacing w:before="0" w:after="0"/>
      </w:pPr>
      <w:r>
        <w:t>The BEP (n=614) was subject to attrition bias and may not be representative of the ITT population (n=902). No reasons for exclusion of patients from the BEP were reported, e.g. availability of biopsy tissue, testing country, etc.</w:t>
      </w:r>
    </w:p>
    <w:p w14:paraId="36B1DBC6" w14:textId="51CBC1DB" w:rsidR="008603E5" w:rsidRDefault="005C0E29" w:rsidP="008603E5">
      <w:pPr>
        <w:pStyle w:val="MSACESBulletPoint"/>
        <w:spacing w:before="0" w:after="0"/>
      </w:pPr>
      <w:r>
        <w:t>The HRs for the PD-L1-</w:t>
      </w:r>
      <w:r w:rsidR="008603E5">
        <w:t>positive patients as determined by the four testing strategies appear to support the conclusion reached by the submission. However, the median PFS/OS values and the areas between the intervention and control arms in the Kaplan-Meier curves do not appear to support the same conclusion:</w:t>
      </w:r>
    </w:p>
    <w:p w14:paraId="60490AE0" w14:textId="0F5ACD5F" w:rsidR="008603E5" w:rsidRDefault="008603E5" w:rsidP="008603E5">
      <w:pPr>
        <w:pStyle w:val="MSACESBulletPoint"/>
        <w:numPr>
          <w:ilvl w:val="1"/>
          <w:numId w:val="5"/>
        </w:numPr>
        <w:spacing w:before="0" w:after="0"/>
      </w:pPr>
      <w:r>
        <w:t xml:space="preserve">the difference in median OS showed numerically longer survival after receiving the intervention in </w:t>
      </w:r>
      <w:r w:rsidR="005C0E29">
        <w:t>the BEP and ITT SP142-IC PD-L1-</w:t>
      </w:r>
      <w:r>
        <w:t>positive populations compar</w:t>
      </w:r>
      <w:r w:rsidR="005C0E29">
        <w:t>ed to the other three BEP PD-L1-</w:t>
      </w:r>
      <w:r>
        <w:t>positive populations; and</w:t>
      </w:r>
    </w:p>
    <w:p w14:paraId="6D332C4F" w14:textId="79458FB8" w:rsidR="008603E5" w:rsidRDefault="008603E5" w:rsidP="008603E5">
      <w:pPr>
        <w:pStyle w:val="MSACESBulletPoint"/>
        <w:numPr>
          <w:ilvl w:val="1"/>
          <w:numId w:val="5"/>
        </w:numPr>
        <w:spacing w:before="0" w:after="0"/>
      </w:pPr>
      <w:r>
        <w:t>the areas between the intervention and control Kaplan-Meier OS curves for</w:t>
      </w:r>
      <w:r w:rsidR="005C0E29">
        <w:t xml:space="preserve"> the four BEP and the ITT PD-L1-</w:t>
      </w:r>
      <w:r>
        <w:t>positive populations are suggestive of a stronger treatment effect in the BEP SP142-IC and the ITT SP142-IC populations when compared to the other testing strategies, which are in turn stronger than for the ITT unselected population.</w:t>
      </w:r>
    </w:p>
    <w:p w14:paraId="5F37B2FB" w14:textId="7450C21F" w:rsidR="008603E5" w:rsidRDefault="008603E5" w:rsidP="008603E5">
      <w:pPr>
        <w:pStyle w:val="MSACESBulletPoint"/>
        <w:spacing w:before="0" w:after="0"/>
      </w:pPr>
      <w:r>
        <w:t>The 30% of patients who were PD-L1 negative according to the</w:t>
      </w:r>
      <w:r w:rsidR="005C0E29">
        <w:t xml:space="preserve"> evidentiary standard and PD-L1 </w:t>
      </w:r>
      <w:r>
        <w:t xml:space="preserve">positive by SP263-IC, </w:t>
      </w:r>
      <w:r w:rsidR="00212D8A" w:rsidRPr="00212D8A">
        <w:rPr>
          <w:b/>
        </w:rPr>
        <w:t>redacted</w:t>
      </w:r>
      <w:r>
        <w:t xml:space="preserve"> and 22C3-CPS were more likely to be “false positive” than “false negative” according to an exploratory </w:t>
      </w:r>
      <w:r w:rsidRPr="000A0718">
        <w:rPr>
          <w:i/>
        </w:rPr>
        <w:t>post hoc</w:t>
      </w:r>
      <w:r>
        <w:t xml:space="preserve"> analysis:</w:t>
      </w:r>
    </w:p>
    <w:p w14:paraId="76DA30C1" w14:textId="1B2C07C5" w:rsidR="008603E5" w:rsidRDefault="008603E5" w:rsidP="008603E5">
      <w:pPr>
        <w:pStyle w:val="MSACESBulletPoint"/>
        <w:numPr>
          <w:ilvl w:val="1"/>
          <w:numId w:val="5"/>
        </w:numPr>
        <w:spacing w:before="0" w:after="0"/>
      </w:pPr>
      <w:r>
        <w:t>the HRs for OS and the median OS values all align numerically mor</w:t>
      </w:r>
      <w:r w:rsidR="005D3915">
        <w:t>e closely to the SP142-IC PD-L1-</w:t>
      </w:r>
      <w:r>
        <w:t>negative pop</w:t>
      </w:r>
      <w:r w:rsidR="005C0E29">
        <w:t>ulation than the SP142-IC PD-L1-</w:t>
      </w:r>
      <w:r>
        <w:t>positive population. The Kaplan-Meier curves also show little or no true differences between treatment arms; and</w:t>
      </w:r>
    </w:p>
    <w:p w14:paraId="68B6C59F" w14:textId="39841387" w:rsidR="008603E5" w:rsidRPr="00D96002" w:rsidRDefault="008603E5" w:rsidP="008603E5">
      <w:pPr>
        <w:pStyle w:val="MSACESBulletPoint"/>
        <w:numPr>
          <w:ilvl w:val="1"/>
          <w:numId w:val="5"/>
        </w:numPr>
        <w:spacing w:before="0" w:after="0"/>
      </w:pPr>
      <w:r>
        <w:t>given that these “false positive” patients do not appear to derive any additional benefit from atezolizumab, MSAC should consider limiting PD-L1 IHC testing to determine PD-L1 positivity in TNBC to the evidentiary standard, the VENTANA PD-L1 SP142 assay.</w:t>
      </w:r>
    </w:p>
    <w:p w14:paraId="46C85B4C" w14:textId="2243432A" w:rsidR="008603E5" w:rsidRPr="00B90F39" w:rsidRDefault="008603E5" w:rsidP="005E0817">
      <w:pPr>
        <w:spacing w:before="240"/>
        <w:rPr>
          <w:rFonts w:ascii="Arial Narrow" w:hAnsi="Arial Narrow"/>
          <w:b/>
          <w:sz w:val="20"/>
        </w:rPr>
      </w:pPr>
      <w:bookmarkStart w:id="8" w:name="_Ref25589206"/>
      <w:r w:rsidRPr="00B90F39">
        <w:rPr>
          <w:rFonts w:ascii="Arial Narrow" w:hAnsi="Arial Narrow"/>
          <w:b/>
          <w:sz w:val="20"/>
        </w:rPr>
        <w:t xml:space="preserve">Table </w:t>
      </w:r>
      <w:bookmarkEnd w:id="8"/>
      <w:r w:rsidRPr="00B90F39">
        <w:rPr>
          <w:rFonts w:ascii="Arial Narrow" w:hAnsi="Arial Narrow"/>
          <w:b/>
          <w:sz w:val="20"/>
        </w:rPr>
        <w:t>8: Summary results for PFS by PD-L1 assay (</w:t>
      </w:r>
      <w:r w:rsidR="005C0E29" w:rsidRPr="00B90F39">
        <w:rPr>
          <w:rFonts w:ascii="Arial Narrow" w:hAnsi="Arial Narrow"/>
          <w:b/>
          <w:sz w:val="20"/>
        </w:rPr>
        <w:t>data cut off</w:t>
      </w:r>
      <w:r w:rsidRPr="00B90F39">
        <w:rPr>
          <w:rFonts w:ascii="Arial Narrow" w:hAnsi="Arial Narrow"/>
          <w:b/>
          <w:sz w:val="20"/>
        </w:rPr>
        <w:t xml:space="preserve"> 2 January 2019): BEP</w:t>
      </w:r>
    </w:p>
    <w:tbl>
      <w:tblPr>
        <w:tblStyle w:val="TableGrid"/>
        <w:tblW w:w="9067" w:type="dxa"/>
        <w:tblLayout w:type="fixed"/>
        <w:tblLook w:val="04A0" w:firstRow="1" w:lastRow="0" w:firstColumn="1" w:lastColumn="0" w:noHBand="0" w:noVBand="1"/>
        <w:tblCaption w:val="Table 7: Summary results for PFS by PD-L1 assay (CCOD 2 January 2019): BEP"/>
        <w:tblDescription w:val="Summary of PFS results by assay for BEP population"/>
      </w:tblPr>
      <w:tblGrid>
        <w:gridCol w:w="1271"/>
        <w:gridCol w:w="1559"/>
        <w:gridCol w:w="1247"/>
        <w:gridCol w:w="1247"/>
        <w:gridCol w:w="1248"/>
        <w:gridCol w:w="1247"/>
        <w:gridCol w:w="1248"/>
      </w:tblGrid>
      <w:tr w:rsidR="008603E5" w:rsidRPr="00291E62" w14:paraId="3A749B88" w14:textId="77777777" w:rsidTr="00E84BDF">
        <w:trPr>
          <w:tblHeader/>
        </w:trPr>
        <w:tc>
          <w:tcPr>
            <w:tcW w:w="2830" w:type="dxa"/>
            <w:gridSpan w:val="2"/>
            <w:shd w:val="clear" w:color="auto" w:fill="auto"/>
          </w:tcPr>
          <w:p w14:paraId="0F635A17" w14:textId="77777777" w:rsidR="008603E5" w:rsidRPr="009F4EBD" w:rsidRDefault="008603E5" w:rsidP="00E84BDF">
            <w:pPr>
              <w:pStyle w:val="TableText"/>
              <w:keepNext/>
              <w:spacing w:line="257" w:lineRule="auto"/>
              <w:ind w:right="-57"/>
              <w:rPr>
                <w:szCs w:val="20"/>
              </w:rPr>
            </w:pPr>
            <w:r w:rsidRPr="009F4EBD">
              <w:rPr>
                <w:szCs w:val="20"/>
              </w:rPr>
              <w:t>PFS</w:t>
            </w:r>
          </w:p>
        </w:tc>
        <w:tc>
          <w:tcPr>
            <w:tcW w:w="1247" w:type="dxa"/>
            <w:shd w:val="clear" w:color="auto" w:fill="auto"/>
          </w:tcPr>
          <w:p w14:paraId="7183D1E9" w14:textId="77777777" w:rsidR="008603E5" w:rsidRPr="009F4EBD" w:rsidRDefault="008603E5" w:rsidP="00E84BDF">
            <w:pPr>
              <w:pStyle w:val="TableText"/>
              <w:keepNext/>
              <w:spacing w:line="257" w:lineRule="auto"/>
              <w:ind w:right="-57"/>
              <w:jc w:val="center"/>
              <w:rPr>
                <w:szCs w:val="20"/>
              </w:rPr>
            </w:pPr>
            <w:r w:rsidRPr="009F4EBD">
              <w:rPr>
                <w:szCs w:val="20"/>
              </w:rPr>
              <w:t>SP142-IC</w:t>
            </w:r>
          </w:p>
        </w:tc>
        <w:tc>
          <w:tcPr>
            <w:tcW w:w="1247" w:type="dxa"/>
            <w:shd w:val="clear" w:color="auto" w:fill="auto"/>
          </w:tcPr>
          <w:p w14:paraId="6918C244" w14:textId="77777777" w:rsidR="008603E5" w:rsidRPr="009F4EBD" w:rsidRDefault="008603E5" w:rsidP="00E84BDF">
            <w:pPr>
              <w:pStyle w:val="TableText"/>
              <w:keepNext/>
              <w:spacing w:line="257" w:lineRule="auto"/>
              <w:ind w:right="-57"/>
              <w:jc w:val="center"/>
              <w:rPr>
                <w:szCs w:val="20"/>
              </w:rPr>
            </w:pPr>
            <w:r w:rsidRPr="009F4EBD">
              <w:rPr>
                <w:szCs w:val="20"/>
              </w:rPr>
              <w:t>SP263-IC</w:t>
            </w:r>
          </w:p>
        </w:tc>
        <w:tc>
          <w:tcPr>
            <w:tcW w:w="1248" w:type="dxa"/>
            <w:shd w:val="clear" w:color="auto" w:fill="auto"/>
          </w:tcPr>
          <w:p w14:paraId="75E196D2" w14:textId="593408E9" w:rsidR="008603E5" w:rsidRPr="0015386A" w:rsidRDefault="00A0279D" w:rsidP="00E84BDF">
            <w:pPr>
              <w:pStyle w:val="TableText"/>
              <w:keepNext/>
              <w:spacing w:line="257" w:lineRule="auto"/>
              <w:ind w:right="-57"/>
              <w:jc w:val="center"/>
              <w:rPr>
                <w:szCs w:val="20"/>
              </w:rPr>
            </w:pPr>
            <w:r w:rsidRPr="0015386A">
              <w:rPr>
                <w:szCs w:val="20"/>
              </w:rPr>
              <w:t>redacted</w:t>
            </w:r>
          </w:p>
        </w:tc>
        <w:tc>
          <w:tcPr>
            <w:tcW w:w="1247" w:type="dxa"/>
            <w:shd w:val="clear" w:color="auto" w:fill="auto"/>
          </w:tcPr>
          <w:p w14:paraId="6A63FA9C" w14:textId="77777777" w:rsidR="008603E5" w:rsidRPr="009F4EBD" w:rsidRDefault="008603E5" w:rsidP="00E84BDF">
            <w:pPr>
              <w:pStyle w:val="TableText"/>
              <w:keepNext/>
              <w:spacing w:line="257" w:lineRule="auto"/>
              <w:ind w:right="-57"/>
              <w:jc w:val="center"/>
              <w:rPr>
                <w:szCs w:val="20"/>
              </w:rPr>
            </w:pPr>
            <w:r w:rsidRPr="009F4EBD">
              <w:rPr>
                <w:szCs w:val="20"/>
              </w:rPr>
              <w:t>22C3-CPS</w:t>
            </w:r>
          </w:p>
        </w:tc>
        <w:tc>
          <w:tcPr>
            <w:tcW w:w="1248" w:type="dxa"/>
            <w:shd w:val="clear" w:color="auto" w:fill="auto"/>
          </w:tcPr>
          <w:p w14:paraId="18922A7C" w14:textId="77777777" w:rsidR="008603E5" w:rsidRPr="00A0279D" w:rsidRDefault="008603E5" w:rsidP="00E84BDF">
            <w:pPr>
              <w:pStyle w:val="TableText"/>
              <w:keepNext/>
              <w:spacing w:line="257" w:lineRule="auto"/>
              <w:ind w:right="-57"/>
              <w:jc w:val="center"/>
              <w:rPr>
                <w:szCs w:val="20"/>
                <w:lang w:val="de-DE"/>
              </w:rPr>
            </w:pPr>
            <w:r w:rsidRPr="00A0279D">
              <w:rPr>
                <w:szCs w:val="20"/>
                <w:lang w:val="de-DE"/>
              </w:rPr>
              <w:t>ITT-PD-L1</w:t>
            </w:r>
            <w:r w:rsidRPr="00A0279D">
              <w:rPr>
                <w:szCs w:val="20"/>
                <w:lang w:val="de-DE"/>
              </w:rPr>
              <w:br/>
              <w:t>(SP142-IC)</w:t>
            </w:r>
          </w:p>
        </w:tc>
      </w:tr>
      <w:tr w:rsidR="008603E5" w:rsidRPr="009F4EBD" w14:paraId="642539F1" w14:textId="77777777" w:rsidTr="00E84BDF">
        <w:tc>
          <w:tcPr>
            <w:tcW w:w="2830" w:type="dxa"/>
            <w:gridSpan w:val="2"/>
            <w:shd w:val="clear" w:color="auto" w:fill="auto"/>
          </w:tcPr>
          <w:p w14:paraId="267F8AFF" w14:textId="66F5EEFD" w:rsidR="008603E5" w:rsidRPr="00385E4C" w:rsidRDefault="005C0E29" w:rsidP="00E84BDF">
            <w:pPr>
              <w:pStyle w:val="TableText"/>
              <w:keepNext/>
              <w:spacing w:line="257" w:lineRule="auto"/>
              <w:ind w:right="-57"/>
              <w:rPr>
                <w:b/>
                <w:szCs w:val="20"/>
              </w:rPr>
            </w:pPr>
            <w:r>
              <w:rPr>
                <w:b/>
                <w:szCs w:val="20"/>
              </w:rPr>
              <w:t xml:space="preserve">PD-L1 </w:t>
            </w:r>
            <w:r w:rsidR="008603E5" w:rsidRPr="00385E4C">
              <w:rPr>
                <w:b/>
                <w:szCs w:val="20"/>
              </w:rPr>
              <w:t>positive</w:t>
            </w:r>
          </w:p>
        </w:tc>
        <w:tc>
          <w:tcPr>
            <w:tcW w:w="1247" w:type="dxa"/>
            <w:shd w:val="clear" w:color="auto" w:fill="auto"/>
          </w:tcPr>
          <w:p w14:paraId="06042345" w14:textId="77777777" w:rsidR="008603E5" w:rsidRPr="009F4EBD" w:rsidRDefault="008603E5" w:rsidP="00E84BDF">
            <w:pPr>
              <w:pStyle w:val="TableText"/>
              <w:keepNext/>
              <w:spacing w:line="257" w:lineRule="auto"/>
              <w:ind w:right="-57"/>
              <w:jc w:val="center"/>
              <w:rPr>
                <w:szCs w:val="20"/>
              </w:rPr>
            </w:pPr>
            <w:r w:rsidRPr="009F4EBD">
              <w:rPr>
                <w:szCs w:val="20"/>
              </w:rPr>
              <w:t>46% BEP (n=285)</w:t>
            </w:r>
          </w:p>
        </w:tc>
        <w:tc>
          <w:tcPr>
            <w:tcW w:w="1247" w:type="dxa"/>
            <w:shd w:val="clear" w:color="auto" w:fill="auto"/>
          </w:tcPr>
          <w:p w14:paraId="67C9BE3E" w14:textId="77777777" w:rsidR="008603E5" w:rsidRPr="009F4EBD" w:rsidRDefault="008603E5" w:rsidP="00E84BDF">
            <w:pPr>
              <w:pStyle w:val="TableText"/>
              <w:keepNext/>
              <w:spacing w:line="257" w:lineRule="auto"/>
              <w:ind w:right="-57"/>
              <w:jc w:val="center"/>
              <w:rPr>
                <w:szCs w:val="20"/>
              </w:rPr>
            </w:pPr>
            <w:r w:rsidRPr="009F4EBD">
              <w:rPr>
                <w:szCs w:val="20"/>
              </w:rPr>
              <w:t>75% BEP (n=460)</w:t>
            </w:r>
          </w:p>
        </w:tc>
        <w:tc>
          <w:tcPr>
            <w:tcW w:w="1248" w:type="dxa"/>
            <w:shd w:val="clear" w:color="auto" w:fill="auto"/>
          </w:tcPr>
          <w:p w14:paraId="419448DC" w14:textId="00B5474E" w:rsidR="008603E5" w:rsidRPr="0015386A" w:rsidRDefault="00A0279D" w:rsidP="00A0279D">
            <w:pPr>
              <w:pStyle w:val="TableText"/>
              <w:keepNext/>
              <w:spacing w:line="257" w:lineRule="auto"/>
              <w:ind w:right="-57"/>
              <w:jc w:val="center"/>
              <w:rPr>
                <w:szCs w:val="20"/>
              </w:rPr>
            </w:pPr>
            <w:r w:rsidRPr="0015386A">
              <w:rPr>
                <w:szCs w:val="20"/>
              </w:rPr>
              <w:t>redacted</w:t>
            </w:r>
            <w:r w:rsidR="008603E5" w:rsidRPr="0015386A">
              <w:rPr>
                <w:szCs w:val="20"/>
              </w:rPr>
              <w:t xml:space="preserve"> (n=</w:t>
            </w:r>
            <w:r w:rsidRPr="0015386A">
              <w:rPr>
                <w:szCs w:val="20"/>
              </w:rPr>
              <w:t>redacted</w:t>
            </w:r>
            <w:r w:rsidR="008603E5" w:rsidRPr="0015386A">
              <w:rPr>
                <w:szCs w:val="20"/>
              </w:rPr>
              <w:t>)</w:t>
            </w:r>
          </w:p>
        </w:tc>
        <w:tc>
          <w:tcPr>
            <w:tcW w:w="1247" w:type="dxa"/>
            <w:shd w:val="clear" w:color="auto" w:fill="auto"/>
          </w:tcPr>
          <w:p w14:paraId="70BBEED2" w14:textId="77777777" w:rsidR="008603E5" w:rsidRPr="009F4EBD" w:rsidRDefault="008603E5" w:rsidP="00E84BDF">
            <w:pPr>
              <w:pStyle w:val="TableText"/>
              <w:keepNext/>
              <w:spacing w:line="257" w:lineRule="auto"/>
              <w:ind w:right="-57"/>
              <w:jc w:val="center"/>
              <w:rPr>
                <w:szCs w:val="20"/>
              </w:rPr>
            </w:pPr>
            <w:r w:rsidRPr="009F4EBD">
              <w:rPr>
                <w:szCs w:val="20"/>
              </w:rPr>
              <w:t>81% BEP (n=497)</w:t>
            </w:r>
          </w:p>
        </w:tc>
        <w:tc>
          <w:tcPr>
            <w:tcW w:w="1248" w:type="dxa"/>
            <w:shd w:val="clear" w:color="auto" w:fill="auto"/>
          </w:tcPr>
          <w:p w14:paraId="74C5D264" w14:textId="77777777" w:rsidR="008603E5" w:rsidRPr="009F4EBD" w:rsidRDefault="008603E5" w:rsidP="00E84BDF">
            <w:pPr>
              <w:pStyle w:val="TableText"/>
              <w:keepNext/>
              <w:spacing w:line="257" w:lineRule="auto"/>
              <w:ind w:right="-57"/>
              <w:jc w:val="center"/>
              <w:rPr>
                <w:szCs w:val="20"/>
              </w:rPr>
            </w:pPr>
            <w:r w:rsidRPr="009F4EBD">
              <w:rPr>
                <w:szCs w:val="20"/>
              </w:rPr>
              <w:t>41% ITT (n=369)</w:t>
            </w:r>
          </w:p>
        </w:tc>
      </w:tr>
      <w:tr w:rsidR="008603E5" w:rsidRPr="009F4EBD" w14:paraId="1B44E500" w14:textId="77777777" w:rsidTr="00E84BDF">
        <w:tc>
          <w:tcPr>
            <w:tcW w:w="1271" w:type="dxa"/>
            <w:vMerge w:val="restart"/>
            <w:shd w:val="clear" w:color="auto" w:fill="auto"/>
          </w:tcPr>
          <w:p w14:paraId="032CB6E2" w14:textId="77777777" w:rsidR="008603E5" w:rsidRPr="009F4EBD" w:rsidRDefault="008603E5" w:rsidP="00E84BDF">
            <w:pPr>
              <w:pStyle w:val="TableText"/>
              <w:spacing w:line="257" w:lineRule="auto"/>
              <w:ind w:right="-57"/>
              <w:rPr>
                <w:szCs w:val="20"/>
              </w:rPr>
            </w:pPr>
            <w:r w:rsidRPr="009F4EBD">
              <w:rPr>
                <w:szCs w:val="20"/>
              </w:rPr>
              <w:t>Median PFS (months)</w:t>
            </w:r>
          </w:p>
        </w:tc>
        <w:tc>
          <w:tcPr>
            <w:tcW w:w="1559" w:type="dxa"/>
            <w:shd w:val="clear" w:color="auto" w:fill="auto"/>
          </w:tcPr>
          <w:p w14:paraId="6570B7E4" w14:textId="77777777" w:rsidR="008603E5" w:rsidRPr="009F4EBD" w:rsidRDefault="008603E5" w:rsidP="00E84BDF">
            <w:pPr>
              <w:pStyle w:val="TableText"/>
              <w:spacing w:line="257" w:lineRule="auto"/>
              <w:ind w:right="-57"/>
              <w:rPr>
                <w:szCs w:val="20"/>
              </w:rPr>
            </w:pPr>
            <w:r w:rsidRPr="009F4EBD">
              <w:rPr>
                <w:szCs w:val="20"/>
              </w:rPr>
              <w:t>Intervention</w:t>
            </w:r>
          </w:p>
        </w:tc>
        <w:tc>
          <w:tcPr>
            <w:tcW w:w="1247" w:type="dxa"/>
            <w:shd w:val="clear" w:color="auto" w:fill="auto"/>
          </w:tcPr>
          <w:p w14:paraId="304BA416" w14:textId="77777777" w:rsidR="008603E5" w:rsidRPr="009F4EBD" w:rsidRDefault="008603E5" w:rsidP="00E84BDF">
            <w:pPr>
              <w:pStyle w:val="TableText"/>
              <w:spacing w:line="257" w:lineRule="auto"/>
              <w:ind w:right="-57"/>
              <w:jc w:val="center"/>
              <w:rPr>
                <w:szCs w:val="20"/>
              </w:rPr>
            </w:pPr>
            <w:r w:rsidRPr="009F4EBD">
              <w:rPr>
                <w:szCs w:val="20"/>
              </w:rPr>
              <w:t>8.3</w:t>
            </w:r>
          </w:p>
        </w:tc>
        <w:tc>
          <w:tcPr>
            <w:tcW w:w="1247" w:type="dxa"/>
            <w:shd w:val="clear" w:color="auto" w:fill="auto"/>
          </w:tcPr>
          <w:p w14:paraId="60E2ACF1" w14:textId="77777777" w:rsidR="008603E5" w:rsidRPr="009F4EBD" w:rsidRDefault="008603E5" w:rsidP="00E84BDF">
            <w:pPr>
              <w:pStyle w:val="TableText"/>
              <w:spacing w:line="257" w:lineRule="auto"/>
              <w:ind w:right="-57"/>
              <w:jc w:val="center"/>
              <w:rPr>
                <w:szCs w:val="20"/>
              </w:rPr>
            </w:pPr>
            <w:r w:rsidRPr="009F4EBD">
              <w:rPr>
                <w:szCs w:val="20"/>
              </w:rPr>
              <w:t>7.5</w:t>
            </w:r>
          </w:p>
        </w:tc>
        <w:tc>
          <w:tcPr>
            <w:tcW w:w="1248" w:type="dxa"/>
            <w:shd w:val="clear" w:color="auto" w:fill="auto"/>
          </w:tcPr>
          <w:p w14:paraId="7311884B" w14:textId="457D370E" w:rsidR="008603E5" w:rsidRPr="0015386A" w:rsidRDefault="00A0279D" w:rsidP="00E84BDF">
            <w:pPr>
              <w:pStyle w:val="TableText"/>
              <w:spacing w:line="257" w:lineRule="auto"/>
              <w:ind w:right="-57"/>
              <w:jc w:val="center"/>
              <w:rPr>
                <w:szCs w:val="20"/>
              </w:rPr>
            </w:pPr>
            <w:r w:rsidRPr="0015386A">
              <w:rPr>
                <w:szCs w:val="20"/>
              </w:rPr>
              <w:t>redacted</w:t>
            </w:r>
          </w:p>
        </w:tc>
        <w:tc>
          <w:tcPr>
            <w:tcW w:w="1247" w:type="dxa"/>
            <w:shd w:val="clear" w:color="auto" w:fill="auto"/>
          </w:tcPr>
          <w:p w14:paraId="02A690EC" w14:textId="77777777" w:rsidR="008603E5" w:rsidRPr="009F4EBD" w:rsidRDefault="008603E5" w:rsidP="00E84BDF">
            <w:pPr>
              <w:pStyle w:val="TableText"/>
              <w:spacing w:line="257" w:lineRule="auto"/>
              <w:ind w:right="-57"/>
              <w:jc w:val="center"/>
              <w:rPr>
                <w:szCs w:val="20"/>
              </w:rPr>
            </w:pPr>
            <w:r w:rsidRPr="009F4EBD">
              <w:rPr>
                <w:szCs w:val="20"/>
              </w:rPr>
              <w:t>7.5</w:t>
            </w:r>
          </w:p>
        </w:tc>
        <w:tc>
          <w:tcPr>
            <w:tcW w:w="1248" w:type="dxa"/>
            <w:shd w:val="clear" w:color="auto" w:fill="auto"/>
          </w:tcPr>
          <w:p w14:paraId="4B1261F6" w14:textId="77777777" w:rsidR="008603E5" w:rsidRPr="009F4EBD" w:rsidRDefault="008603E5" w:rsidP="00E84BDF">
            <w:pPr>
              <w:pStyle w:val="TableText"/>
              <w:spacing w:line="257" w:lineRule="auto"/>
              <w:ind w:right="-57"/>
              <w:jc w:val="center"/>
              <w:rPr>
                <w:szCs w:val="20"/>
              </w:rPr>
            </w:pPr>
            <w:r w:rsidRPr="009F4EBD">
              <w:rPr>
                <w:szCs w:val="20"/>
              </w:rPr>
              <w:t>7.5</w:t>
            </w:r>
          </w:p>
        </w:tc>
      </w:tr>
      <w:tr w:rsidR="008603E5" w:rsidRPr="009F4EBD" w14:paraId="22910BF9" w14:textId="77777777" w:rsidTr="00E84BDF">
        <w:tc>
          <w:tcPr>
            <w:tcW w:w="1271" w:type="dxa"/>
            <w:vMerge/>
            <w:shd w:val="clear" w:color="auto" w:fill="auto"/>
          </w:tcPr>
          <w:p w14:paraId="3D11F82F" w14:textId="77777777" w:rsidR="008603E5" w:rsidRPr="009F4EBD" w:rsidRDefault="008603E5" w:rsidP="00E84BDF">
            <w:pPr>
              <w:pStyle w:val="TableText"/>
              <w:spacing w:line="257" w:lineRule="auto"/>
              <w:ind w:right="-57"/>
              <w:rPr>
                <w:szCs w:val="20"/>
              </w:rPr>
            </w:pPr>
          </w:p>
        </w:tc>
        <w:tc>
          <w:tcPr>
            <w:tcW w:w="1559" w:type="dxa"/>
            <w:shd w:val="clear" w:color="auto" w:fill="auto"/>
          </w:tcPr>
          <w:p w14:paraId="756AEBFA" w14:textId="77777777" w:rsidR="008603E5" w:rsidRPr="009F4EBD" w:rsidRDefault="008603E5" w:rsidP="00E84BDF">
            <w:pPr>
              <w:pStyle w:val="TableText"/>
              <w:spacing w:line="257" w:lineRule="auto"/>
              <w:ind w:right="-57"/>
              <w:rPr>
                <w:szCs w:val="20"/>
              </w:rPr>
            </w:pPr>
            <w:r w:rsidRPr="009F4EBD">
              <w:rPr>
                <w:szCs w:val="20"/>
              </w:rPr>
              <w:t>Control</w:t>
            </w:r>
          </w:p>
        </w:tc>
        <w:tc>
          <w:tcPr>
            <w:tcW w:w="1247" w:type="dxa"/>
            <w:shd w:val="clear" w:color="auto" w:fill="auto"/>
          </w:tcPr>
          <w:p w14:paraId="21EBCBE9" w14:textId="77777777" w:rsidR="008603E5" w:rsidRPr="00E55BA8" w:rsidRDefault="008603E5" w:rsidP="00E84BDF">
            <w:pPr>
              <w:pStyle w:val="TableText"/>
              <w:spacing w:line="257" w:lineRule="auto"/>
              <w:ind w:right="-57"/>
              <w:jc w:val="center"/>
              <w:rPr>
                <w:szCs w:val="20"/>
              </w:rPr>
            </w:pPr>
            <w:r w:rsidRPr="00E55BA8">
              <w:rPr>
                <w:szCs w:val="20"/>
              </w:rPr>
              <w:t>4.1</w:t>
            </w:r>
          </w:p>
        </w:tc>
        <w:tc>
          <w:tcPr>
            <w:tcW w:w="1247" w:type="dxa"/>
            <w:shd w:val="clear" w:color="auto" w:fill="auto"/>
          </w:tcPr>
          <w:p w14:paraId="6DFA674F" w14:textId="77777777" w:rsidR="008603E5" w:rsidRPr="00E55BA8" w:rsidRDefault="008603E5" w:rsidP="00E84BDF">
            <w:pPr>
              <w:pStyle w:val="TableText"/>
              <w:spacing w:line="257" w:lineRule="auto"/>
              <w:ind w:right="-57"/>
              <w:jc w:val="center"/>
              <w:rPr>
                <w:szCs w:val="20"/>
              </w:rPr>
            </w:pPr>
            <w:r w:rsidRPr="00E55BA8">
              <w:rPr>
                <w:szCs w:val="20"/>
              </w:rPr>
              <w:t>5.3</w:t>
            </w:r>
          </w:p>
        </w:tc>
        <w:tc>
          <w:tcPr>
            <w:tcW w:w="1248" w:type="dxa"/>
            <w:shd w:val="clear" w:color="auto" w:fill="auto"/>
          </w:tcPr>
          <w:p w14:paraId="3A5A2E59" w14:textId="6FB5E502" w:rsidR="008603E5" w:rsidRPr="0015386A" w:rsidRDefault="00A0279D" w:rsidP="00E84BDF">
            <w:pPr>
              <w:pStyle w:val="TableText"/>
              <w:spacing w:line="257" w:lineRule="auto"/>
              <w:ind w:right="-57"/>
              <w:jc w:val="center"/>
              <w:rPr>
                <w:szCs w:val="20"/>
              </w:rPr>
            </w:pPr>
            <w:r w:rsidRPr="0015386A">
              <w:rPr>
                <w:szCs w:val="20"/>
              </w:rPr>
              <w:t>redacted</w:t>
            </w:r>
          </w:p>
        </w:tc>
        <w:tc>
          <w:tcPr>
            <w:tcW w:w="1247" w:type="dxa"/>
            <w:shd w:val="clear" w:color="auto" w:fill="auto"/>
          </w:tcPr>
          <w:p w14:paraId="30B0CE7F" w14:textId="77777777" w:rsidR="008603E5" w:rsidRPr="009F4EBD" w:rsidRDefault="008603E5" w:rsidP="00E84BDF">
            <w:pPr>
              <w:pStyle w:val="TableText"/>
              <w:spacing w:line="257" w:lineRule="auto"/>
              <w:ind w:right="-57"/>
              <w:jc w:val="center"/>
              <w:rPr>
                <w:szCs w:val="20"/>
              </w:rPr>
            </w:pPr>
            <w:r w:rsidRPr="009F4EBD">
              <w:rPr>
                <w:szCs w:val="20"/>
              </w:rPr>
              <w:t>5.4</w:t>
            </w:r>
          </w:p>
        </w:tc>
        <w:tc>
          <w:tcPr>
            <w:tcW w:w="1248" w:type="dxa"/>
            <w:shd w:val="clear" w:color="auto" w:fill="auto"/>
          </w:tcPr>
          <w:p w14:paraId="09EEA087" w14:textId="77777777" w:rsidR="008603E5" w:rsidRPr="009F4EBD" w:rsidRDefault="008603E5" w:rsidP="00E84BDF">
            <w:pPr>
              <w:pStyle w:val="TableText"/>
              <w:spacing w:line="257" w:lineRule="auto"/>
              <w:ind w:right="-57"/>
              <w:jc w:val="center"/>
              <w:rPr>
                <w:szCs w:val="20"/>
              </w:rPr>
            </w:pPr>
            <w:r w:rsidRPr="009F4EBD">
              <w:rPr>
                <w:szCs w:val="20"/>
              </w:rPr>
              <w:t>5.3</w:t>
            </w:r>
          </w:p>
        </w:tc>
      </w:tr>
      <w:tr w:rsidR="008603E5" w:rsidRPr="009F4EBD" w14:paraId="0ABC71EF" w14:textId="77777777" w:rsidTr="00E84BDF">
        <w:tc>
          <w:tcPr>
            <w:tcW w:w="2830" w:type="dxa"/>
            <w:gridSpan w:val="2"/>
            <w:shd w:val="clear" w:color="auto" w:fill="auto"/>
          </w:tcPr>
          <w:p w14:paraId="31851A63" w14:textId="77777777" w:rsidR="008603E5" w:rsidRPr="009F4EBD" w:rsidRDefault="008603E5" w:rsidP="00E84BDF">
            <w:pPr>
              <w:pStyle w:val="TableText"/>
              <w:spacing w:line="257" w:lineRule="auto"/>
              <w:ind w:right="-57"/>
              <w:rPr>
                <w:szCs w:val="20"/>
              </w:rPr>
            </w:pPr>
            <w:r w:rsidRPr="009F4EBD">
              <w:rPr>
                <w:szCs w:val="20"/>
              </w:rPr>
              <w:t>Difference in median PFS (months)</w:t>
            </w:r>
          </w:p>
        </w:tc>
        <w:tc>
          <w:tcPr>
            <w:tcW w:w="1247" w:type="dxa"/>
            <w:shd w:val="clear" w:color="auto" w:fill="auto"/>
          </w:tcPr>
          <w:p w14:paraId="5A521404" w14:textId="77777777" w:rsidR="008603E5" w:rsidRPr="009F4EBD" w:rsidRDefault="008603E5" w:rsidP="00E84BDF">
            <w:pPr>
              <w:pStyle w:val="TableText"/>
              <w:spacing w:line="257" w:lineRule="auto"/>
              <w:ind w:right="-57"/>
              <w:jc w:val="center"/>
              <w:rPr>
                <w:szCs w:val="20"/>
              </w:rPr>
            </w:pPr>
            <w:r w:rsidRPr="009F4EBD">
              <w:rPr>
                <w:szCs w:val="20"/>
              </w:rPr>
              <w:t>4.2</w:t>
            </w:r>
          </w:p>
        </w:tc>
        <w:tc>
          <w:tcPr>
            <w:tcW w:w="1247" w:type="dxa"/>
            <w:shd w:val="clear" w:color="auto" w:fill="auto"/>
          </w:tcPr>
          <w:p w14:paraId="19D6C54E" w14:textId="77777777" w:rsidR="008603E5" w:rsidRPr="009F4EBD" w:rsidRDefault="008603E5" w:rsidP="00E84BDF">
            <w:pPr>
              <w:pStyle w:val="TableText"/>
              <w:spacing w:line="257" w:lineRule="auto"/>
              <w:ind w:right="-57"/>
              <w:jc w:val="center"/>
              <w:rPr>
                <w:szCs w:val="20"/>
              </w:rPr>
            </w:pPr>
            <w:r w:rsidRPr="009F4EBD">
              <w:rPr>
                <w:szCs w:val="20"/>
              </w:rPr>
              <w:t>2.2</w:t>
            </w:r>
          </w:p>
        </w:tc>
        <w:tc>
          <w:tcPr>
            <w:tcW w:w="1248" w:type="dxa"/>
            <w:shd w:val="clear" w:color="auto" w:fill="auto"/>
          </w:tcPr>
          <w:p w14:paraId="5F5C11BB" w14:textId="301F69A0" w:rsidR="008603E5" w:rsidRPr="0015386A" w:rsidRDefault="00A0279D" w:rsidP="00E84BDF">
            <w:pPr>
              <w:pStyle w:val="TableText"/>
              <w:spacing w:line="257" w:lineRule="auto"/>
              <w:ind w:right="-57"/>
              <w:jc w:val="center"/>
              <w:rPr>
                <w:szCs w:val="20"/>
              </w:rPr>
            </w:pPr>
            <w:r w:rsidRPr="0015386A">
              <w:rPr>
                <w:szCs w:val="20"/>
              </w:rPr>
              <w:t>redacted</w:t>
            </w:r>
          </w:p>
        </w:tc>
        <w:tc>
          <w:tcPr>
            <w:tcW w:w="1247" w:type="dxa"/>
            <w:shd w:val="clear" w:color="auto" w:fill="auto"/>
          </w:tcPr>
          <w:p w14:paraId="6A212F50" w14:textId="77777777" w:rsidR="008603E5" w:rsidRPr="009F4EBD" w:rsidRDefault="008603E5" w:rsidP="00E84BDF">
            <w:pPr>
              <w:pStyle w:val="TableText"/>
              <w:spacing w:line="257" w:lineRule="auto"/>
              <w:ind w:right="-57"/>
              <w:jc w:val="center"/>
              <w:rPr>
                <w:szCs w:val="20"/>
              </w:rPr>
            </w:pPr>
            <w:r w:rsidRPr="009F4EBD">
              <w:rPr>
                <w:szCs w:val="20"/>
              </w:rPr>
              <w:t>2.1</w:t>
            </w:r>
          </w:p>
        </w:tc>
        <w:tc>
          <w:tcPr>
            <w:tcW w:w="1248" w:type="dxa"/>
            <w:shd w:val="clear" w:color="auto" w:fill="auto"/>
          </w:tcPr>
          <w:p w14:paraId="1620FDFC" w14:textId="77777777" w:rsidR="008603E5" w:rsidRPr="009F4EBD" w:rsidRDefault="008603E5" w:rsidP="00E84BDF">
            <w:pPr>
              <w:pStyle w:val="TableText"/>
              <w:spacing w:line="257" w:lineRule="auto"/>
              <w:ind w:right="-57"/>
              <w:jc w:val="center"/>
              <w:rPr>
                <w:szCs w:val="20"/>
              </w:rPr>
            </w:pPr>
            <w:r w:rsidRPr="009F4EBD">
              <w:rPr>
                <w:szCs w:val="20"/>
              </w:rPr>
              <w:t>2.2</w:t>
            </w:r>
          </w:p>
        </w:tc>
      </w:tr>
      <w:tr w:rsidR="008603E5" w:rsidRPr="009F4EBD" w14:paraId="69AB3863" w14:textId="77777777" w:rsidTr="00E84BDF">
        <w:tc>
          <w:tcPr>
            <w:tcW w:w="2830" w:type="dxa"/>
            <w:gridSpan w:val="2"/>
            <w:shd w:val="clear" w:color="auto" w:fill="auto"/>
          </w:tcPr>
          <w:p w14:paraId="7A6B98F0" w14:textId="77777777" w:rsidR="008603E5" w:rsidRPr="009F4EBD" w:rsidRDefault="008603E5" w:rsidP="00E84BDF">
            <w:pPr>
              <w:pStyle w:val="TableText"/>
              <w:spacing w:line="257" w:lineRule="auto"/>
              <w:ind w:right="-57"/>
              <w:rPr>
                <w:szCs w:val="20"/>
              </w:rPr>
            </w:pPr>
            <w:r w:rsidRPr="009F4EBD">
              <w:rPr>
                <w:szCs w:val="20"/>
              </w:rPr>
              <w:t>HR (95% CI)</w:t>
            </w:r>
          </w:p>
        </w:tc>
        <w:tc>
          <w:tcPr>
            <w:tcW w:w="1247" w:type="dxa"/>
            <w:shd w:val="clear" w:color="auto" w:fill="auto"/>
          </w:tcPr>
          <w:p w14:paraId="0CD73B75" w14:textId="77777777" w:rsidR="008603E5" w:rsidRPr="009F4EBD" w:rsidRDefault="008603E5" w:rsidP="00E84BDF">
            <w:pPr>
              <w:pStyle w:val="TableText"/>
              <w:spacing w:line="257" w:lineRule="auto"/>
              <w:ind w:right="-57"/>
              <w:jc w:val="center"/>
              <w:rPr>
                <w:szCs w:val="20"/>
              </w:rPr>
            </w:pPr>
            <w:r w:rsidRPr="009F4EBD">
              <w:rPr>
                <w:szCs w:val="20"/>
              </w:rPr>
              <w:t xml:space="preserve">0.60 </w:t>
            </w:r>
            <w:r w:rsidRPr="009F4EBD">
              <w:rPr>
                <w:szCs w:val="20"/>
              </w:rPr>
              <w:br/>
              <w:t>(0.47, 0.78)</w:t>
            </w:r>
          </w:p>
        </w:tc>
        <w:tc>
          <w:tcPr>
            <w:tcW w:w="1247" w:type="dxa"/>
            <w:shd w:val="clear" w:color="auto" w:fill="auto"/>
          </w:tcPr>
          <w:p w14:paraId="3810AC2E" w14:textId="77777777" w:rsidR="008603E5" w:rsidRPr="009F4EBD" w:rsidRDefault="008603E5" w:rsidP="00E84BDF">
            <w:pPr>
              <w:pStyle w:val="TableText"/>
              <w:spacing w:line="257" w:lineRule="auto"/>
              <w:ind w:right="-57"/>
              <w:jc w:val="center"/>
              <w:rPr>
                <w:szCs w:val="20"/>
              </w:rPr>
            </w:pPr>
            <w:r w:rsidRPr="009F4EBD">
              <w:rPr>
                <w:szCs w:val="20"/>
              </w:rPr>
              <w:t xml:space="preserve">0.64 </w:t>
            </w:r>
            <w:r w:rsidRPr="009F4EBD">
              <w:rPr>
                <w:szCs w:val="20"/>
              </w:rPr>
              <w:br/>
              <w:t>(0.53, 0.79)</w:t>
            </w:r>
          </w:p>
        </w:tc>
        <w:tc>
          <w:tcPr>
            <w:tcW w:w="1248" w:type="dxa"/>
            <w:shd w:val="clear" w:color="auto" w:fill="auto"/>
          </w:tcPr>
          <w:p w14:paraId="72AA2EC9" w14:textId="3C8F0A5F" w:rsidR="008603E5" w:rsidRPr="0015386A" w:rsidRDefault="00A0279D" w:rsidP="00A0279D">
            <w:pPr>
              <w:pStyle w:val="TableText"/>
              <w:spacing w:line="257" w:lineRule="auto"/>
              <w:ind w:right="-57"/>
              <w:jc w:val="center"/>
              <w:rPr>
                <w:szCs w:val="20"/>
              </w:rPr>
            </w:pPr>
            <w:r w:rsidRPr="0015386A">
              <w:rPr>
                <w:szCs w:val="20"/>
              </w:rPr>
              <w:t>redacted</w:t>
            </w:r>
            <w:r w:rsidR="008603E5" w:rsidRPr="0015386A">
              <w:rPr>
                <w:szCs w:val="20"/>
              </w:rPr>
              <w:t xml:space="preserve"> </w:t>
            </w:r>
            <w:r w:rsidR="008603E5" w:rsidRPr="0015386A">
              <w:rPr>
                <w:szCs w:val="20"/>
              </w:rPr>
              <w:br/>
              <w:t>(</w:t>
            </w:r>
            <w:r w:rsidRPr="0015386A">
              <w:rPr>
                <w:szCs w:val="20"/>
              </w:rPr>
              <w:t>redacted</w:t>
            </w:r>
            <w:r w:rsidR="008603E5" w:rsidRPr="0015386A">
              <w:rPr>
                <w:szCs w:val="20"/>
              </w:rPr>
              <w:t>)</w:t>
            </w:r>
          </w:p>
        </w:tc>
        <w:tc>
          <w:tcPr>
            <w:tcW w:w="1247" w:type="dxa"/>
            <w:shd w:val="clear" w:color="auto" w:fill="auto"/>
          </w:tcPr>
          <w:p w14:paraId="05D1B934" w14:textId="77777777" w:rsidR="008603E5" w:rsidRPr="009F4EBD" w:rsidRDefault="008603E5" w:rsidP="00E84BDF">
            <w:pPr>
              <w:pStyle w:val="TableText"/>
              <w:spacing w:line="257" w:lineRule="auto"/>
              <w:ind w:right="-57"/>
              <w:jc w:val="center"/>
              <w:rPr>
                <w:szCs w:val="20"/>
              </w:rPr>
            </w:pPr>
            <w:r w:rsidRPr="009F4EBD">
              <w:rPr>
                <w:szCs w:val="20"/>
              </w:rPr>
              <w:t xml:space="preserve">0.68 </w:t>
            </w:r>
            <w:r w:rsidRPr="009F4EBD">
              <w:rPr>
                <w:szCs w:val="20"/>
              </w:rPr>
              <w:br/>
              <w:t>(0.56, 0.82)</w:t>
            </w:r>
          </w:p>
        </w:tc>
        <w:tc>
          <w:tcPr>
            <w:tcW w:w="1248" w:type="dxa"/>
            <w:shd w:val="clear" w:color="auto" w:fill="auto"/>
          </w:tcPr>
          <w:p w14:paraId="59BAADD2" w14:textId="77777777" w:rsidR="008603E5" w:rsidRPr="009F4EBD" w:rsidRDefault="008603E5" w:rsidP="00E84BDF">
            <w:pPr>
              <w:pStyle w:val="TableText"/>
              <w:spacing w:line="257" w:lineRule="auto"/>
              <w:ind w:right="-57"/>
              <w:jc w:val="center"/>
              <w:rPr>
                <w:szCs w:val="20"/>
              </w:rPr>
            </w:pPr>
            <w:r w:rsidRPr="009F4EBD">
              <w:rPr>
                <w:szCs w:val="20"/>
              </w:rPr>
              <w:t>0.63</w:t>
            </w:r>
            <w:r w:rsidRPr="009F4EBD">
              <w:rPr>
                <w:szCs w:val="20"/>
              </w:rPr>
              <w:br/>
              <w:t>(0.50, 0.80)</w:t>
            </w:r>
          </w:p>
        </w:tc>
      </w:tr>
      <w:tr w:rsidR="008603E5" w:rsidRPr="009F4EBD" w14:paraId="18C85CAD" w14:textId="77777777" w:rsidTr="00E84BDF">
        <w:tc>
          <w:tcPr>
            <w:tcW w:w="2830" w:type="dxa"/>
            <w:gridSpan w:val="2"/>
            <w:shd w:val="clear" w:color="auto" w:fill="auto"/>
          </w:tcPr>
          <w:p w14:paraId="689F2BC4" w14:textId="04645103" w:rsidR="008603E5" w:rsidRPr="00385E4C" w:rsidRDefault="005C0E29" w:rsidP="00E84BDF">
            <w:pPr>
              <w:pStyle w:val="TableText"/>
              <w:keepNext/>
              <w:spacing w:line="257" w:lineRule="auto"/>
              <w:ind w:right="-57"/>
              <w:rPr>
                <w:b/>
                <w:szCs w:val="20"/>
              </w:rPr>
            </w:pPr>
            <w:r>
              <w:rPr>
                <w:b/>
                <w:szCs w:val="20"/>
              </w:rPr>
              <w:t xml:space="preserve">PD-L1 </w:t>
            </w:r>
            <w:r w:rsidR="008603E5" w:rsidRPr="00385E4C">
              <w:rPr>
                <w:b/>
                <w:szCs w:val="20"/>
              </w:rPr>
              <w:t>negative</w:t>
            </w:r>
          </w:p>
        </w:tc>
        <w:tc>
          <w:tcPr>
            <w:tcW w:w="1247" w:type="dxa"/>
            <w:shd w:val="clear" w:color="auto" w:fill="auto"/>
          </w:tcPr>
          <w:p w14:paraId="3D5EFD6F" w14:textId="77777777" w:rsidR="008603E5" w:rsidRPr="009F4EBD" w:rsidRDefault="008603E5" w:rsidP="00E84BDF">
            <w:pPr>
              <w:pStyle w:val="TableText"/>
              <w:keepNext/>
              <w:spacing w:line="257" w:lineRule="auto"/>
              <w:ind w:right="-57"/>
              <w:jc w:val="center"/>
              <w:rPr>
                <w:szCs w:val="20"/>
              </w:rPr>
            </w:pPr>
            <w:r w:rsidRPr="009F4EBD">
              <w:rPr>
                <w:szCs w:val="20"/>
              </w:rPr>
              <w:t>54% BEP (n=329)</w:t>
            </w:r>
          </w:p>
        </w:tc>
        <w:tc>
          <w:tcPr>
            <w:tcW w:w="1247" w:type="dxa"/>
            <w:shd w:val="clear" w:color="auto" w:fill="auto"/>
          </w:tcPr>
          <w:p w14:paraId="002D4F23" w14:textId="77777777" w:rsidR="008603E5" w:rsidRPr="009F4EBD" w:rsidRDefault="008603E5" w:rsidP="00E84BDF">
            <w:pPr>
              <w:pStyle w:val="TableText"/>
              <w:keepNext/>
              <w:spacing w:line="257" w:lineRule="auto"/>
              <w:ind w:right="-57"/>
              <w:jc w:val="center"/>
              <w:rPr>
                <w:szCs w:val="20"/>
              </w:rPr>
            </w:pPr>
            <w:r w:rsidRPr="009F4EBD">
              <w:rPr>
                <w:szCs w:val="20"/>
              </w:rPr>
              <w:t>25% BEP (n=154)</w:t>
            </w:r>
          </w:p>
        </w:tc>
        <w:tc>
          <w:tcPr>
            <w:tcW w:w="1248" w:type="dxa"/>
            <w:shd w:val="clear" w:color="auto" w:fill="auto"/>
          </w:tcPr>
          <w:p w14:paraId="6541B3F3" w14:textId="6C817EB1" w:rsidR="008603E5" w:rsidRPr="0015386A" w:rsidRDefault="00715AC7" w:rsidP="00715AC7">
            <w:pPr>
              <w:pStyle w:val="TableText"/>
              <w:keepNext/>
              <w:spacing w:line="257" w:lineRule="auto"/>
              <w:ind w:right="-57"/>
              <w:jc w:val="center"/>
              <w:rPr>
                <w:szCs w:val="20"/>
              </w:rPr>
            </w:pPr>
            <w:r w:rsidRPr="0015386A">
              <w:rPr>
                <w:szCs w:val="20"/>
              </w:rPr>
              <w:t>redacted</w:t>
            </w:r>
            <w:r w:rsidR="008603E5" w:rsidRPr="0015386A">
              <w:rPr>
                <w:szCs w:val="20"/>
              </w:rPr>
              <w:t xml:space="preserve"> (n=</w:t>
            </w:r>
            <w:r w:rsidRPr="0015386A">
              <w:rPr>
                <w:szCs w:val="20"/>
              </w:rPr>
              <w:t>redacted</w:t>
            </w:r>
            <w:r w:rsidR="008603E5" w:rsidRPr="0015386A">
              <w:rPr>
                <w:szCs w:val="20"/>
              </w:rPr>
              <w:t>)</w:t>
            </w:r>
          </w:p>
        </w:tc>
        <w:tc>
          <w:tcPr>
            <w:tcW w:w="1247" w:type="dxa"/>
            <w:shd w:val="clear" w:color="auto" w:fill="auto"/>
          </w:tcPr>
          <w:p w14:paraId="24A16100" w14:textId="77777777" w:rsidR="008603E5" w:rsidRPr="009F4EBD" w:rsidRDefault="008603E5" w:rsidP="00E84BDF">
            <w:pPr>
              <w:pStyle w:val="TableText"/>
              <w:keepNext/>
              <w:spacing w:line="257" w:lineRule="auto"/>
              <w:ind w:right="-57"/>
              <w:jc w:val="center"/>
              <w:rPr>
                <w:szCs w:val="20"/>
              </w:rPr>
            </w:pPr>
            <w:r w:rsidRPr="009F4EBD">
              <w:rPr>
                <w:szCs w:val="20"/>
              </w:rPr>
              <w:t>19% BEP (n=117)</w:t>
            </w:r>
          </w:p>
        </w:tc>
        <w:tc>
          <w:tcPr>
            <w:tcW w:w="1248" w:type="dxa"/>
            <w:shd w:val="clear" w:color="auto" w:fill="auto"/>
          </w:tcPr>
          <w:p w14:paraId="5E12F831" w14:textId="77777777" w:rsidR="008603E5" w:rsidRPr="009F4EBD" w:rsidRDefault="008603E5" w:rsidP="00E84BDF">
            <w:pPr>
              <w:pStyle w:val="TableText"/>
              <w:keepNext/>
              <w:spacing w:line="257" w:lineRule="auto"/>
              <w:ind w:right="-57"/>
              <w:jc w:val="center"/>
              <w:rPr>
                <w:szCs w:val="20"/>
              </w:rPr>
            </w:pPr>
            <w:r w:rsidRPr="009F4EBD">
              <w:rPr>
                <w:szCs w:val="20"/>
              </w:rPr>
              <w:t>59% ITT (n=533)</w:t>
            </w:r>
          </w:p>
        </w:tc>
      </w:tr>
      <w:tr w:rsidR="008603E5" w:rsidRPr="009F4EBD" w14:paraId="15E90F2E" w14:textId="77777777" w:rsidTr="00E84BDF">
        <w:tc>
          <w:tcPr>
            <w:tcW w:w="1271" w:type="dxa"/>
            <w:vMerge w:val="restart"/>
          </w:tcPr>
          <w:p w14:paraId="59980966" w14:textId="77777777" w:rsidR="008603E5" w:rsidRPr="009F4EBD" w:rsidRDefault="008603E5" w:rsidP="00E84BDF">
            <w:pPr>
              <w:pStyle w:val="TableText"/>
              <w:spacing w:line="257" w:lineRule="auto"/>
              <w:ind w:right="-57"/>
              <w:rPr>
                <w:szCs w:val="20"/>
              </w:rPr>
            </w:pPr>
            <w:r w:rsidRPr="009F4EBD">
              <w:rPr>
                <w:szCs w:val="20"/>
              </w:rPr>
              <w:t>Median PFS (months)</w:t>
            </w:r>
          </w:p>
        </w:tc>
        <w:tc>
          <w:tcPr>
            <w:tcW w:w="1559" w:type="dxa"/>
          </w:tcPr>
          <w:p w14:paraId="38AD82DE" w14:textId="77777777" w:rsidR="008603E5" w:rsidRPr="009F4EBD" w:rsidRDefault="008603E5" w:rsidP="00E84BDF">
            <w:pPr>
              <w:pStyle w:val="TableText"/>
              <w:spacing w:line="257" w:lineRule="auto"/>
              <w:ind w:right="-57"/>
              <w:rPr>
                <w:szCs w:val="20"/>
              </w:rPr>
            </w:pPr>
            <w:r w:rsidRPr="009F4EBD">
              <w:rPr>
                <w:szCs w:val="20"/>
              </w:rPr>
              <w:t>Intervention</w:t>
            </w:r>
          </w:p>
        </w:tc>
        <w:tc>
          <w:tcPr>
            <w:tcW w:w="1247" w:type="dxa"/>
          </w:tcPr>
          <w:p w14:paraId="73825F4E" w14:textId="77777777" w:rsidR="008603E5" w:rsidRPr="009F4EBD" w:rsidRDefault="008603E5" w:rsidP="00E84BDF">
            <w:pPr>
              <w:pStyle w:val="TableText"/>
              <w:spacing w:line="257" w:lineRule="auto"/>
              <w:ind w:right="-57"/>
              <w:jc w:val="center"/>
            </w:pPr>
            <w:r w:rsidRPr="009F4EBD">
              <w:t>5.7</w:t>
            </w:r>
          </w:p>
        </w:tc>
        <w:tc>
          <w:tcPr>
            <w:tcW w:w="1247" w:type="dxa"/>
          </w:tcPr>
          <w:p w14:paraId="6B8F1950" w14:textId="77777777" w:rsidR="008603E5" w:rsidRPr="009F4EBD" w:rsidRDefault="008603E5" w:rsidP="00E84BDF">
            <w:pPr>
              <w:pStyle w:val="TableText"/>
              <w:spacing w:line="257" w:lineRule="auto"/>
              <w:ind w:right="-57"/>
              <w:jc w:val="center"/>
            </w:pPr>
            <w:r w:rsidRPr="009F4EBD">
              <w:t>5.5</w:t>
            </w:r>
          </w:p>
        </w:tc>
        <w:tc>
          <w:tcPr>
            <w:tcW w:w="1248" w:type="dxa"/>
          </w:tcPr>
          <w:p w14:paraId="6BCAF424" w14:textId="3EE64AA1" w:rsidR="008603E5" w:rsidRPr="0015386A" w:rsidRDefault="00715AC7" w:rsidP="00E84BDF">
            <w:pPr>
              <w:pStyle w:val="TableText"/>
              <w:spacing w:line="257" w:lineRule="auto"/>
              <w:ind w:right="-57"/>
              <w:jc w:val="center"/>
            </w:pPr>
            <w:r w:rsidRPr="0015386A">
              <w:t>redacted</w:t>
            </w:r>
          </w:p>
        </w:tc>
        <w:tc>
          <w:tcPr>
            <w:tcW w:w="1247" w:type="dxa"/>
          </w:tcPr>
          <w:p w14:paraId="64050070" w14:textId="77777777" w:rsidR="008603E5" w:rsidRPr="009F4EBD" w:rsidRDefault="008603E5" w:rsidP="00E84BDF">
            <w:pPr>
              <w:pStyle w:val="TableText"/>
              <w:spacing w:line="257" w:lineRule="auto"/>
              <w:ind w:right="-57"/>
              <w:jc w:val="center"/>
            </w:pPr>
            <w:r w:rsidRPr="009F4EBD">
              <w:t>5.5</w:t>
            </w:r>
          </w:p>
        </w:tc>
        <w:tc>
          <w:tcPr>
            <w:tcW w:w="1248" w:type="dxa"/>
          </w:tcPr>
          <w:p w14:paraId="2EEEB02A" w14:textId="77777777" w:rsidR="008603E5" w:rsidRPr="009F4EBD" w:rsidRDefault="008603E5" w:rsidP="00E84BDF">
            <w:pPr>
              <w:pStyle w:val="TableText"/>
              <w:spacing w:line="257" w:lineRule="auto"/>
              <w:ind w:right="-57"/>
              <w:jc w:val="center"/>
              <w:rPr>
                <w:szCs w:val="20"/>
              </w:rPr>
            </w:pPr>
            <w:r w:rsidRPr="009F4EBD">
              <w:rPr>
                <w:szCs w:val="20"/>
              </w:rPr>
              <w:t>5.6</w:t>
            </w:r>
          </w:p>
        </w:tc>
      </w:tr>
      <w:tr w:rsidR="008603E5" w:rsidRPr="009F4EBD" w14:paraId="3774371F" w14:textId="77777777" w:rsidTr="00E84BDF">
        <w:tc>
          <w:tcPr>
            <w:tcW w:w="1271" w:type="dxa"/>
            <w:vMerge/>
          </w:tcPr>
          <w:p w14:paraId="28F81BF9" w14:textId="77777777" w:rsidR="008603E5" w:rsidRPr="009F4EBD" w:rsidRDefault="008603E5" w:rsidP="00E84BDF">
            <w:pPr>
              <w:pStyle w:val="TableText"/>
              <w:spacing w:line="257" w:lineRule="auto"/>
              <w:ind w:right="-57"/>
              <w:rPr>
                <w:szCs w:val="20"/>
              </w:rPr>
            </w:pPr>
          </w:p>
        </w:tc>
        <w:tc>
          <w:tcPr>
            <w:tcW w:w="1559" w:type="dxa"/>
          </w:tcPr>
          <w:p w14:paraId="5155E524" w14:textId="77777777" w:rsidR="008603E5" w:rsidRPr="009F4EBD" w:rsidRDefault="008603E5" w:rsidP="00E84BDF">
            <w:pPr>
              <w:pStyle w:val="TableText"/>
              <w:spacing w:line="257" w:lineRule="auto"/>
              <w:ind w:right="-57"/>
              <w:rPr>
                <w:szCs w:val="20"/>
              </w:rPr>
            </w:pPr>
            <w:r w:rsidRPr="009F4EBD">
              <w:rPr>
                <w:szCs w:val="20"/>
              </w:rPr>
              <w:t>Control</w:t>
            </w:r>
          </w:p>
        </w:tc>
        <w:tc>
          <w:tcPr>
            <w:tcW w:w="1247" w:type="dxa"/>
          </w:tcPr>
          <w:p w14:paraId="67446D11" w14:textId="77777777" w:rsidR="008603E5" w:rsidRPr="009F4EBD" w:rsidRDefault="008603E5" w:rsidP="00E84BDF">
            <w:pPr>
              <w:pStyle w:val="TableText"/>
              <w:spacing w:line="257" w:lineRule="auto"/>
              <w:ind w:right="-57"/>
              <w:jc w:val="center"/>
            </w:pPr>
            <w:r w:rsidRPr="009F4EBD">
              <w:t>5.6</w:t>
            </w:r>
          </w:p>
        </w:tc>
        <w:tc>
          <w:tcPr>
            <w:tcW w:w="1247" w:type="dxa"/>
          </w:tcPr>
          <w:p w14:paraId="471920F5" w14:textId="77777777" w:rsidR="008603E5" w:rsidRPr="00E55BA8" w:rsidRDefault="008603E5" w:rsidP="00E84BDF">
            <w:pPr>
              <w:pStyle w:val="TableText"/>
              <w:spacing w:line="257" w:lineRule="auto"/>
              <w:ind w:right="-57"/>
              <w:jc w:val="center"/>
            </w:pPr>
            <w:r w:rsidRPr="00E55BA8">
              <w:t>6.9</w:t>
            </w:r>
          </w:p>
        </w:tc>
        <w:tc>
          <w:tcPr>
            <w:tcW w:w="1248" w:type="dxa"/>
          </w:tcPr>
          <w:p w14:paraId="2A12338B" w14:textId="23C9E5C5" w:rsidR="008603E5" w:rsidRPr="0015386A" w:rsidRDefault="00715AC7" w:rsidP="00E84BDF">
            <w:pPr>
              <w:pStyle w:val="TableText"/>
              <w:spacing w:line="257" w:lineRule="auto"/>
              <w:ind w:right="-57"/>
              <w:jc w:val="center"/>
            </w:pPr>
            <w:r w:rsidRPr="0015386A">
              <w:t>redacted</w:t>
            </w:r>
          </w:p>
        </w:tc>
        <w:tc>
          <w:tcPr>
            <w:tcW w:w="1247" w:type="dxa"/>
          </w:tcPr>
          <w:p w14:paraId="17501B7D" w14:textId="77777777" w:rsidR="008603E5" w:rsidRPr="009F4EBD" w:rsidRDefault="008603E5" w:rsidP="00E84BDF">
            <w:pPr>
              <w:pStyle w:val="TableText"/>
              <w:spacing w:line="257" w:lineRule="auto"/>
              <w:ind w:right="-57"/>
              <w:jc w:val="center"/>
            </w:pPr>
            <w:r w:rsidRPr="009F4EBD">
              <w:t>5.5</w:t>
            </w:r>
          </w:p>
        </w:tc>
        <w:tc>
          <w:tcPr>
            <w:tcW w:w="1248" w:type="dxa"/>
          </w:tcPr>
          <w:p w14:paraId="773B4287" w14:textId="77777777" w:rsidR="008603E5" w:rsidRPr="009F4EBD" w:rsidRDefault="008603E5" w:rsidP="00E84BDF">
            <w:pPr>
              <w:pStyle w:val="TableText"/>
              <w:spacing w:line="257" w:lineRule="auto"/>
              <w:ind w:right="-57"/>
              <w:jc w:val="center"/>
              <w:rPr>
                <w:szCs w:val="20"/>
              </w:rPr>
            </w:pPr>
            <w:r w:rsidRPr="009F4EBD">
              <w:rPr>
                <w:szCs w:val="20"/>
              </w:rPr>
              <w:t>5.6</w:t>
            </w:r>
          </w:p>
        </w:tc>
      </w:tr>
      <w:tr w:rsidR="008603E5" w:rsidRPr="009F4EBD" w14:paraId="468ACEAD" w14:textId="77777777" w:rsidTr="00E84BDF">
        <w:tc>
          <w:tcPr>
            <w:tcW w:w="2830" w:type="dxa"/>
            <w:gridSpan w:val="2"/>
          </w:tcPr>
          <w:p w14:paraId="00736054" w14:textId="77777777" w:rsidR="008603E5" w:rsidRPr="009F4EBD" w:rsidRDefault="008603E5" w:rsidP="00E84BDF">
            <w:pPr>
              <w:pStyle w:val="TableText"/>
              <w:spacing w:line="257" w:lineRule="auto"/>
              <w:ind w:right="-57"/>
              <w:rPr>
                <w:szCs w:val="20"/>
              </w:rPr>
            </w:pPr>
            <w:r w:rsidRPr="009F4EBD">
              <w:rPr>
                <w:szCs w:val="20"/>
              </w:rPr>
              <w:t>Difference in median PFS (months)</w:t>
            </w:r>
          </w:p>
        </w:tc>
        <w:tc>
          <w:tcPr>
            <w:tcW w:w="1247" w:type="dxa"/>
          </w:tcPr>
          <w:p w14:paraId="6543359A" w14:textId="77777777" w:rsidR="008603E5" w:rsidRPr="009F4EBD" w:rsidRDefault="008603E5" w:rsidP="00E84BDF">
            <w:pPr>
              <w:pStyle w:val="TableText"/>
              <w:spacing w:line="257" w:lineRule="auto"/>
              <w:ind w:right="-57"/>
              <w:jc w:val="center"/>
              <w:rPr>
                <w:szCs w:val="20"/>
              </w:rPr>
            </w:pPr>
            <w:r w:rsidRPr="009F4EBD">
              <w:rPr>
                <w:szCs w:val="20"/>
              </w:rPr>
              <w:t>0.1</w:t>
            </w:r>
          </w:p>
        </w:tc>
        <w:tc>
          <w:tcPr>
            <w:tcW w:w="1247" w:type="dxa"/>
          </w:tcPr>
          <w:p w14:paraId="5E6C52E6" w14:textId="77777777" w:rsidR="008603E5" w:rsidRPr="009F4EBD" w:rsidRDefault="008603E5" w:rsidP="00E84BDF">
            <w:pPr>
              <w:pStyle w:val="TableText"/>
              <w:spacing w:line="257" w:lineRule="auto"/>
              <w:ind w:right="-57"/>
              <w:jc w:val="center"/>
            </w:pPr>
            <w:r w:rsidRPr="009F4EBD">
              <w:t>-1.4</w:t>
            </w:r>
          </w:p>
        </w:tc>
        <w:tc>
          <w:tcPr>
            <w:tcW w:w="1248" w:type="dxa"/>
          </w:tcPr>
          <w:p w14:paraId="7CB533D1" w14:textId="138083E5" w:rsidR="008603E5" w:rsidRPr="0015386A" w:rsidRDefault="00715AC7" w:rsidP="00E84BDF">
            <w:pPr>
              <w:pStyle w:val="TableText"/>
              <w:spacing w:line="257" w:lineRule="auto"/>
              <w:ind w:right="-57"/>
              <w:jc w:val="center"/>
            </w:pPr>
            <w:r w:rsidRPr="0015386A">
              <w:t>redacted</w:t>
            </w:r>
          </w:p>
        </w:tc>
        <w:tc>
          <w:tcPr>
            <w:tcW w:w="1247" w:type="dxa"/>
          </w:tcPr>
          <w:p w14:paraId="4E91D934" w14:textId="77777777" w:rsidR="008603E5" w:rsidRPr="009F4EBD" w:rsidRDefault="008603E5" w:rsidP="00E84BDF">
            <w:pPr>
              <w:pStyle w:val="TableText"/>
              <w:spacing w:line="257" w:lineRule="auto"/>
              <w:ind w:right="-57"/>
              <w:jc w:val="center"/>
            </w:pPr>
            <w:r w:rsidRPr="009F4EBD">
              <w:t>0.0</w:t>
            </w:r>
          </w:p>
        </w:tc>
        <w:tc>
          <w:tcPr>
            <w:tcW w:w="1248" w:type="dxa"/>
          </w:tcPr>
          <w:p w14:paraId="4C467888" w14:textId="77777777" w:rsidR="008603E5" w:rsidRPr="009F4EBD" w:rsidRDefault="008603E5" w:rsidP="00E84BDF">
            <w:pPr>
              <w:pStyle w:val="TableText"/>
              <w:spacing w:line="257" w:lineRule="auto"/>
              <w:ind w:right="-57"/>
              <w:jc w:val="center"/>
              <w:rPr>
                <w:szCs w:val="20"/>
              </w:rPr>
            </w:pPr>
            <w:r w:rsidRPr="009F4EBD">
              <w:rPr>
                <w:szCs w:val="20"/>
              </w:rPr>
              <w:t>0.0</w:t>
            </w:r>
          </w:p>
        </w:tc>
      </w:tr>
      <w:tr w:rsidR="008603E5" w:rsidRPr="009F4EBD" w14:paraId="2AD771FE" w14:textId="77777777" w:rsidTr="00E84BDF">
        <w:tc>
          <w:tcPr>
            <w:tcW w:w="2830" w:type="dxa"/>
            <w:gridSpan w:val="2"/>
          </w:tcPr>
          <w:p w14:paraId="56279172" w14:textId="77777777" w:rsidR="008603E5" w:rsidRPr="009F4EBD" w:rsidRDefault="008603E5" w:rsidP="00E84BDF">
            <w:pPr>
              <w:pStyle w:val="TableText"/>
              <w:spacing w:line="257" w:lineRule="auto"/>
              <w:ind w:right="-57"/>
              <w:rPr>
                <w:szCs w:val="20"/>
              </w:rPr>
            </w:pPr>
            <w:r w:rsidRPr="009F4EBD">
              <w:rPr>
                <w:szCs w:val="20"/>
              </w:rPr>
              <w:t>HR (95% CI)</w:t>
            </w:r>
          </w:p>
        </w:tc>
        <w:tc>
          <w:tcPr>
            <w:tcW w:w="1247" w:type="dxa"/>
          </w:tcPr>
          <w:p w14:paraId="4703B102" w14:textId="77777777" w:rsidR="008603E5" w:rsidRPr="009F4EBD" w:rsidRDefault="008603E5" w:rsidP="00E84BDF">
            <w:pPr>
              <w:pStyle w:val="TableText"/>
              <w:spacing w:line="257" w:lineRule="auto"/>
              <w:ind w:right="-57"/>
              <w:jc w:val="center"/>
            </w:pPr>
            <w:r w:rsidRPr="009F4EBD">
              <w:t>0.86</w:t>
            </w:r>
            <w:r w:rsidRPr="009F4EBD">
              <w:br/>
              <w:t>(0.68, 1.09)</w:t>
            </w:r>
          </w:p>
        </w:tc>
        <w:tc>
          <w:tcPr>
            <w:tcW w:w="1247" w:type="dxa"/>
          </w:tcPr>
          <w:p w14:paraId="73AA7776" w14:textId="77777777" w:rsidR="008603E5" w:rsidRPr="009F4EBD" w:rsidRDefault="008603E5" w:rsidP="00E84BDF">
            <w:pPr>
              <w:pStyle w:val="TableText"/>
              <w:spacing w:line="257" w:lineRule="auto"/>
              <w:ind w:right="-57"/>
              <w:jc w:val="center"/>
            </w:pPr>
            <w:r w:rsidRPr="009F4EBD">
              <w:t>1.08</w:t>
            </w:r>
            <w:r w:rsidRPr="009F4EBD">
              <w:br/>
              <w:t>(0.77, 1.51)</w:t>
            </w:r>
          </w:p>
        </w:tc>
        <w:tc>
          <w:tcPr>
            <w:tcW w:w="1248" w:type="dxa"/>
          </w:tcPr>
          <w:p w14:paraId="4B819D1D" w14:textId="4450AD0D" w:rsidR="00715AC7" w:rsidRPr="0015386A" w:rsidRDefault="00715AC7" w:rsidP="00E84BDF">
            <w:pPr>
              <w:pStyle w:val="TableText"/>
              <w:spacing w:line="257" w:lineRule="auto"/>
              <w:ind w:right="-57"/>
              <w:jc w:val="center"/>
            </w:pPr>
            <w:r w:rsidRPr="0015386A">
              <w:t>redacted</w:t>
            </w:r>
          </w:p>
          <w:p w14:paraId="6DB5CC9F" w14:textId="6770FBC4" w:rsidR="008603E5" w:rsidRPr="0015386A" w:rsidRDefault="008603E5" w:rsidP="00715AC7">
            <w:pPr>
              <w:pStyle w:val="TableText"/>
              <w:spacing w:line="257" w:lineRule="auto"/>
              <w:ind w:right="-57"/>
              <w:jc w:val="center"/>
            </w:pPr>
            <w:r w:rsidRPr="0015386A">
              <w:t>(</w:t>
            </w:r>
            <w:r w:rsidR="00715AC7" w:rsidRPr="0015386A">
              <w:t>redacted</w:t>
            </w:r>
            <w:r w:rsidRPr="0015386A">
              <w:t>)</w:t>
            </w:r>
          </w:p>
        </w:tc>
        <w:tc>
          <w:tcPr>
            <w:tcW w:w="1247" w:type="dxa"/>
          </w:tcPr>
          <w:p w14:paraId="7277D92F" w14:textId="77777777" w:rsidR="008603E5" w:rsidRPr="009F4EBD" w:rsidRDefault="008603E5" w:rsidP="00E84BDF">
            <w:pPr>
              <w:pStyle w:val="TableText"/>
              <w:spacing w:line="257" w:lineRule="auto"/>
              <w:ind w:right="-57"/>
              <w:jc w:val="center"/>
            </w:pPr>
            <w:r w:rsidRPr="009F4EBD">
              <w:t>1.0</w:t>
            </w:r>
            <w:r w:rsidRPr="009F4EBD">
              <w:br/>
              <w:t>(0.68, 1.49)</w:t>
            </w:r>
          </w:p>
        </w:tc>
        <w:tc>
          <w:tcPr>
            <w:tcW w:w="1248" w:type="dxa"/>
          </w:tcPr>
          <w:p w14:paraId="7AD3CFCA" w14:textId="77777777" w:rsidR="008603E5" w:rsidRPr="009F4EBD" w:rsidRDefault="008603E5" w:rsidP="00E84BDF">
            <w:pPr>
              <w:pStyle w:val="TableText"/>
              <w:spacing w:line="257" w:lineRule="auto"/>
              <w:ind w:right="-57"/>
              <w:jc w:val="center"/>
              <w:rPr>
                <w:szCs w:val="20"/>
              </w:rPr>
            </w:pPr>
            <w:r w:rsidRPr="009F4EBD">
              <w:rPr>
                <w:szCs w:val="20"/>
              </w:rPr>
              <w:t>0.90</w:t>
            </w:r>
            <w:r w:rsidRPr="009F4EBD">
              <w:rPr>
                <w:szCs w:val="20"/>
              </w:rPr>
              <w:br/>
              <w:t>(0.75, 1.08)</w:t>
            </w:r>
          </w:p>
        </w:tc>
      </w:tr>
    </w:tbl>
    <w:p w14:paraId="263CEF9F" w14:textId="4675353B" w:rsidR="008603E5" w:rsidRPr="009F4EBD" w:rsidRDefault="008603E5" w:rsidP="008603E5">
      <w:pPr>
        <w:pStyle w:val="TableFooter"/>
        <w:jc w:val="left"/>
      </w:pPr>
      <w:r w:rsidRPr="009F4EBD">
        <w:t>BEP = biomarker evaluable population; CI = confidence interval; Control = placebo + nab-paclitaxel; CPS = combined positive score; HR = hazard ratio; IC = tumour-infiltrating immune cells; Intervention = atezolizumab plus nab-paclitaxel; ITT = intention-to-treat; PFS</w:t>
      </w:r>
      <w:r>
        <w:t xml:space="preserve"> </w:t>
      </w:r>
      <w:r w:rsidRPr="009F4EBD">
        <w:t>=</w:t>
      </w:r>
      <w:r>
        <w:t xml:space="preserve"> </w:t>
      </w:r>
      <w:r w:rsidRPr="009F4EBD">
        <w:t>progression-free survival</w:t>
      </w:r>
    </w:p>
    <w:p w14:paraId="0AC17225" w14:textId="77777777" w:rsidR="008603E5" w:rsidRPr="009F4EBD" w:rsidRDefault="008603E5" w:rsidP="008603E5">
      <w:pPr>
        <w:pStyle w:val="TableFooter"/>
        <w:jc w:val="left"/>
      </w:pPr>
      <w:r w:rsidRPr="009F4EBD">
        <w:t>Source: Table 2(T).4.10 and Table 2(T).4.11 of the Section 2 – Test submission document</w:t>
      </w:r>
    </w:p>
    <w:p w14:paraId="3A449E94" w14:textId="05E2633B" w:rsidR="008603E5" w:rsidRPr="00B90F39" w:rsidRDefault="008603E5" w:rsidP="00B90F39">
      <w:pPr>
        <w:rPr>
          <w:rFonts w:ascii="Arial Narrow" w:hAnsi="Arial Narrow"/>
          <w:b/>
          <w:sz w:val="20"/>
        </w:rPr>
      </w:pPr>
      <w:bookmarkStart w:id="9" w:name="_Ref25589216"/>
      <w:r w:rsidRPr="00B90F39">
        <w:rPr>
          <w:rFonts w:ascii="Arial Narrow" w:hAnsi="Arial Narrow"/>
          <w:b/>
          <w:sz w:val="20"/>
        </w:rPr>
        <w:t xml:space="preserve">Table </w:t>
      </w:r>
      <w:bookmarkEnd w:id="9"/>
      <w:r w:rsidRPr="00B90F39">
        <w:rPr>
          <w:rFonts w:ascii="Arial Narrow" w:hAnsi="Arial Narrow"/>
          <w:b/>
          <w:sz w:val="20"/>
        </w:rPr>
        <w:t>9: Summary results for OS by PD-L1 assay (</w:t>
      </w:r>
      <w:r w:rsidR="005C0E29" w:rsidRPr="00B90F39">
        <w:rPr>
          <w:rFonts w:ascii="Arial Narrow" w:hAnsi="Arial Narrow"/>
          <w:b/>
          <w:sz w:val="20"/>
        </w:rPr>
        <w:t xml:space="preserve">data cut off </w:t>
      </w:r>
      <w:r w:rsidRPr="00B90F39">
        <w:rPr>
          <w:rFonts w:ascii="Arial Narrow" w:hAnsi="Arial Narrow"/>
          <w:b/>
          <w:sz w:val="20"/>
        </w:rPr>
        <w:t>2 January 2019): BEP</w:t>
      </w:r>
    </w:p>
    <w:tbl>
      <w:tblPr>
        <w:tblStyle w:val="TableGrid"/>
        <w:tblW w:w="9067" w:type="dxa"/>
        <w:tblLayout w:type="fixed"/>
        <w:tblLook w:val="04A0" w:firstRow="1" w:lastRow="0" w:firstColumn="1" w:lastColumn="0" w:noHBand="0" w:noVBand="1"/>
        <w:tblCaption w:val="Table 8: Summary results for OS by PD-L1 assay (CCOD 2 January 2019): BEP"/>
        <w:tblDescription w:val="Summary of OS results by assay for BEP population"/>
      </w:tblPr>
      <w:tblGrid>
        <w:gridCol w:w="1271"/>
        <w:gridCol w:w="1418"/>
        <w:gridCol w:w="1275"/>
        <w:gridCol w:w="1276"/>
        <w:gridCol w:w="1275"/>
        <w:gridCol w:w="1276"/>
        <w:gridCol w:w="1276"/>
      </w:tblGrid>
      <w:tr w:rsidR="008603E5" w:rsidRPr="00291E62" w14:paraId="7DAC7DDD" w14:textId="77777777" w:rsidTr="00E84BDF">
        <w:trPr>
          <w:tblHeader/>
        </w:trPr>
        <w:tc>
          <w:tcPr>
            <w:tcW w:w="2689" w:type="dxa"/>
            <w:gridSpan w:val="2"/>
            <w:shd w:val="clear" w:color="auto" w:fill="auto"/>
          </w:tcPr>
          <w:p w14:paraId="758462E3" w14:textId="77777777" w:rsidR="008603E5" w:rsidRPr="009F4EBD" w:rsidRDefault="008603E5" w:rsidP="00E84BDF">
            <w:pPr>
              <w:pStyle w:val="TableText"/>
              <w:keepNext/>
              <w:spacing w:line="257" w:lineRule="auto"/>
              <w:ind w:right="-57"/>
              <w:rPr>
                <w:szCs w:val="20"/>
              </w:rPr>
            </w:pPr>
            <w:r w:rsidRPr="009F4EBD">
              <w:rPr>
                <w:szCs w:val="20"/>
              </w:rPr>
              <w:t>OS</w:t>
            </w:r>
          </w:p>
        </w:tc>
        <w:tc>
          <w:tcPr>
            <w:tcW w:w="1275" w:type="dxa"/>
            <w:shd w:val="clear" w:color="auto" w:fill="auto"/>
          </w:tcPr>
          <w:p w14:paraId="72D29779" w14:textId="77777777" w:rsidR="008603E5" w:rsidRPr="009F4EBD" w:rsidRDefault="008603E5" w:rsidP="00E84BDF">
            <w:pPr>
              <w:pStyle w:val="TableText"/>
              <w:keepNext/>
              <w:spacing w:line="257" w:lineRule="auto"/>
              <w:ind w:right="-57"/>
              <w:jc w:val="center"/>
              <w:rPr>
                <w:szCs w:val="20"/>
              </w:rPr>
            </w:pPr>
            <w:r w:rsidRPr="009F4EBD">
              <w:rPr>
                <w:szCs w:val="20"/>
              </w:rPr>
              <w:t>SP142-IC</w:t>
            </w:r>
          </w:p>
        </w:tc>
        <w:tc>
          <w:tcPr>
            <w:tcW w:w="1276" w:type="dxa"/>
            <w:shd w:val="clear" w:color="auto" w:fill="auto"/>
          </w:tcPr>
          <w:p w14:paraId="1409E449" w14:textId="77777777" w:rsidR="008603E5" w:rsidRPr="009F4EBD" w:rsidRDefault="008603E5" w:rsidP="00E84BDF">
            <w:pPr>
              <w:pStyle w:val="TableText"/>
              <w:keepNext/>
              <w:spacing w:line="257" w:lineRule="auto"/>
              <w:ind w:right="-57"/>
              <w:jc w:val="center"/>
              <w:rPr>
                <w:szCs w:val="20"/>
              </w:rPr>
            </w:pPr>
            <w:r w:rsidRPr="009F4EBD">
              <w:rPr>
                <w:szCs w:val="20"/>
              </w:rPr>
              <w:t>SP263-IC</w:t>
            </w:r>
          </w:p>
        </w:tc>
        <w:tc>
          <w:tcPr>
            <w:tcW w:w="1275" w:type="dxa"/>
            <w:shd w:val="clear" w:color="auto" w:fill="auto"/>
          </w:tcPr>
          <w:p w14:paraId="5A878A94" w14:textId="74778CFB" w:rsidR="008603E5" w:rsidRPr="0015386A" w:rsidRDefault="00715AC7" w:rsidP="00E84BDF">
            <w:pPr>
              <w:pStyle w:val="TableText"/>
              <w:keepNext/>
              <w:spacing w:line="257" w:lineRule="auto"/>
              <w:ind w:right="-57"/>
              <w:jc w:val="center"/>
              <w:rPr>
                <w:szCs w:val="20"/>
              </w:rPr>
            </w:pPr>
            <w:r w:rsidRPr="0015386A">
              <w:rPr>
                <w:szCs w:val="20"/>
              </w:rPr>
              <w:t>redacted</w:t>
            </w:r>
          </w:p>
        </w:tc>
        <w:tc>
          <w:tcPr>
            <w:tcW w:w="1276" w:type="dxa"/>
            <w:shd w:val="clear" w:color="auto" w:fill="auto"/>
          </w:tcPr>
          <w:p w14:paraId="1CDC233D" w14:textId="77777777" w:rsidR="008603E5" w:rsidRPr="009F4EBD" w:rsidRDefault="008603E5" w:rsidP="00E84BDF">
            <w:pPr>
              <w:pStyle w:val="TableText"/>
              <w:keepNext/>
              <w:spacing w:line="257" w:lineRule="auto"/>
              <w:ind w:right="-57"/>
              <w:jc w:val="center"/>
              <w:rPr>
                <w:szCs w:val="20"/>
              </w:rPr>
            </w:pPr>
            <w:r w:rsidRPr="009F4EBD">
              <w:rPr>
                <w:szCs w:val="20"/>
              </w:rPr>
              <w:t>22C3-CPS</w:t>
            </w:r>
          </w:p>
        </w:tc>
        <w:tc>
          <w:tcPr>
            <w:tcW w:w="1276" w:type="dxa"/>
            <w:shd w:val="clear" w:color="auto" w:fill="auto"/>
          </w:tcPr>
          <w:p w14:paraId="44409BF9" w14:textId="77777777" w:rsidR="008603E5" w:rsidRPr="00715AC7" w:rsidRDefault="008603E5" w:rsidP="00E84BDF">
            <w:pPr>
              <w:pStyle w:val="TableText"/>
              <w:keepNext/>
              <w:spacing w:line="257" w:lineRule="auto"/>
              <w:ind w:right="-57"/>
              <w:jc w:val="center"/>
              <w:rPr>
                <w:szCs w:val="20"/>
                <w:lang w:val="de-DE"/>
              </w:rPr>
            </w:pPr>
            <w:r w:rsidRPr="00715AC7">
              <w:rPr>
                <w:szCs w:val="20"/>
                <w:lang w:val="de-DE"/>
              </w:rPr>
              <w:t>ITT-PD-L1</w:t>
            </w:r>
            <w:r w:rsidRPr="00715AC7">
              <w:rPr>
                <w:szCs w:val="20"/>
                <w:lang w:val="de-DE"/>
              </w:rPr>
              <w:br/>
              <w:t>(SP142-IC)</w:t>
            </w:r>
          </w:p>
        </w:tc>
      </w:tr>
      <w:tr w:rsidR="008603E5" w:rsidRPr="009F4EBD" w14:paraId="5FA70BDB" w14:textId="77777777" w:rsidTr="00E84BDF">
        <w:tc>
          <w:tcPr>
            <w:tcW w:w="2689" w:type="dxa"/>
            <w:gridSpan w:val="2"/>
            <w:shd w:val="clear" w:color="auto" w:fill="auto"/>
          </w:tcPr>
          <w:p w14:paraId="5D658264" w14:textId="117B1070" w:rsidR="008603E5" w:rsidRPr="00385E4C" w:rsidRDefault="005C0E29" w:rsidP="00E84BDF">
            <w:pPr>
              <w:pStyle w:val="TableText"/>
              <w:keepNext/>
              <w:spacing w:line="257" w:lineRule="auto"/>
              <w:ind w:right="-57"/>
              <w:rPr>
                <w:b/>
                <w:szCs w:val="20"/>
              </w:rPr>
            </w:pPr>
            <w:r>
              <w:rPr>
                <w:b/>
                <w:szCs w:val="20"/>
              </w:rPr>
              <w:t xml:space="preserve">PD-L1 </w:t>
            </w:r>
            <w:r w:rsidR="008603E5" w:rsidRPr="00385E4C">
              <w:rPr>
                <w:b/>
                <w:szCs w:val="20"/>
              </w:rPr>
              <w:t>positive</w:t>
            </w:r>
          </w:p>
        </w:tc>
        <w:tc>
          <w:tcPr>
            <w:tcW w:w="1275" w:type="dxa"/>
            <w:shd w:val="clear" w:color="auto" w:fill="auto"/>
          </w:tcPr>
          <w:p w14:paraId="1A4820F4" w14:textId="77777777" w:rsidR="008603E5" w:rsidRPr="009F4EBD" w:rsidRDefault="008603E5" w:rsidP="00E84BDF">
            <w:pPr>
              <w:pStyle w:val="TableText"/>
              <w:keepNext/>
              <w:spacing w:line="257" w:lineRule="auto"/>
              <w:ind w:right="-57"/>
              <w:jc w:val="center"/>
              <w:rPr>
                <w:szCs w:val="20"/>
              </w:rPr>
            </w:pPr>
            <w:r w:rsidRPr="009F4EBD">
              <w:rPr>
                <w:szCs w:val="20"/>
              </w:rPr>
              <w:t>46% BEP (n=285)</w:t>
            </w:r>
          </w:p>
        </w:tc>
        <w:tc>
          <w:tcPr>
            <w:tcW w:w="1276" w:type="dxa"/>
            <w:shd w:val="clear" w:color="auto" w:fill="auto"/>
          </w:tcPr>
          <w:p w14:paraId="5C24F653" w14:textId="77777777" w:rsidR="008603E5" w:rsidRPr="009F4EBD" w:rsidRDefault="008603E5" w:rsidP="00E84BDF">
            <w:pPr>
              <w:pStyle w:val="TableText"/>
              <w:keepNext/>
              <w:spacing w:line="257" w:lineRule="auto"/>
              <w:ind w:right="-57"/>
              <w:jc w:val="center"/>
              <w:rPr>
                <w:szCs w:val="20"/>
              </w:rPr>
            </w:pPr>
            <w:r w:rsidRPr="009F4EBD">
              <w:rPr>
                <w:szCs w:val="20"/>
              </w:rPr>
              <w:t>75% BEP (n=460)</w:t>
            </w:r>
          </w:p>
        </w:tc>
        <w:tc>
          <w:tcPr>
            <w:tcW w:w="1275" w:type="dxa"/>
            <w:shd w:val="clear" w:color="auto" w:fill="auto"/>
          </w:tcPr>
          <w:p w14:paraId="110AA526" w14:textId="243448AF" w:rsidR="008603E5" w:rsidRPr="0015386A" w:rsidRDefault="00715AC7" w:rsidP="00715AC7">
            <w:pPr>
              <w:pStyle w:val="TableText"/>
              <w:keepNext/>
              <w:spacing w:line="257" w:lineRule="auto"/>
              <w:ind w:right="-57"/>
              <w:jc w:val="center"/>
              <w:rPr>
                <w:szCs w:val="20"/>
              </w:rPr>
            </w:pPr>
            <w:r w:rsidRPr="0015386A">
              <w:rPr>
                <w:szCs w:val="20"/>
              </w:rPr>
              <w:t>redacted</w:t>
            </w:r>
            <w:r w:rsidR="008603E5" w:rsidRPr="0015386A">
              <w:rPr>
                <w:szCs w:val="20"/>
              </w:rPr>
              <w:t xml:space="preserve"> (n=</w:t>
            </w:r>
            <w:r w:rsidRPr="0015386A">
              <w:rPr>
                <w:szCs w:val="20"/>
              </w:rPr>
              <w:t>redacted</w:t>
            </w:r>
            <w:r w:rsidR="008603E5" w:rsidRPr="0015386A">
              <w:rPr>
                <w:szCs w:val="20"/>
              </w:rPr>
              <w:t>)</w:t>
            </w:r>
          </w:p>
        </w:tc>
        <w:tc>
          <w:tcPr>
            <w:tcW w:w="1276" w:type="dxa"/>
            <w:shd w:val="clear" w:color="auto" w:fill="auto"/>
          </w:tcPr>
          <w:p w14:paraId="606E51DC" w14:textId="77777777" w:rsidR="008603E5" w:rsidRPr="009F4EBD" w:rsidRDefault="008603E5" w:rsidP="00E84BDF">
            <w:pPr>
              <w:pStyle w:val="TableText"/>
              <w:keepNext/>
              <w:spacing w:line="257" w:lineRule="auto"/>
              <w:ind w:right="-57"/>
              <w:jc w:val="center"/>
              <w:rPr>
                <w:szCs w:val="20"/>
              </w:rPr>
            </w:pPr>
            <w:r w:rsidRPr="009F4EBD">
              <w:rPr>
                <w:szCs w:val="20"/>
              </w:rPr>
              <w:t>81% BEP (n=497)</w:t>
            </w:r>
          </w:p>
        </w:tc>
        <w:tc>
          <w:tcPr>
            <w:tcW w:w="1276" w:type="dxa"/>
            <w:shd w:val="clear" w:color="auto" w:fill="auto"/>
          </w:tcPr>
          <w:p w14:paraId="03474176" w14:textId="77777777" w:rsidR="008603E5" w:rsidRPr="009F4EBD" w:rsidRDefault="008603E5" w:rsidP="00E84BDF">
            <w:pPr>
              <w:pStyle w:val="TableText"/>
              <w:keepNext/>
              <w:spacing w:line="257" w:lineRule="auto"/>
              <w:ind w:right="-57"/>
              <w:jc w:val="center"/>
              <w:rPr>
                <w:szCs w:val="20"/>
              </w:rPr>
            </w:pPr>
            <w:r w:rsidRPr="009F4EBD">
              <w:rPr>
                <w:szCs w:val="20"/>
              </w:rPr>
              <w:t>41% ITT (n=369)</w:t>
            </w:r>
          </w:p>
        </w:tc>
      </w:tr>
      <w:tr w:rsidR="008603E5" w:rsidRPr="009F4EBD" w14:paraId="6CE442A0" w14:textId="77777777" w:rsidTr="00E84BDF">
        <w:tc>
          <w:tcPr>
            <w:tcW w:w="1271" w:type="dxa"/>
            <w:vMerge w:val="restart"/>
            <w:shd w:val="clear" w:color="auto" w:fill="auto"/>
          </w:tcPr>
          <w:p w14:paraId="267EAF0C" w14:textId="77777777" w:rsidR="008603E5" w:rsidRPr="009F4EBD" w:rsidRDefault="008603E5" w:rsidP="00E84BDF">
            <w:pPr>
              <w:pStyle w:val="TableText"/>
              <w:keepNext/>
              <w:spacing w:line="257" w:lineRule="auto"/>
              <w:ind w:right="-57"/>
              <w:rPr>
                <w:szCs w:val="20"/>
              </w:rPr>
            </w:pPr>
            <w:r w:rsidRPr="009F4EBD">
              <w:rPr>
                <w:szCs w:val="20"/>
              </w:rPr>
              <w:t>Median OS (months)</w:t>
            </w:r>
          </w:p>
        </w:tc>
        <w:tc>
          <w:tcPr>
            <w:tcW w:w="1418" w:type="dxa"/>
            <w:shd w:val="clear" w:color="auto" w:fill="auto"/>
          </w:tcPr>
          <w:p w14:paraId="650E2BB6" w14:textId="77777777" w:rsidR="008603E5" w:rsidRPr="009F4EBD" w:rsidRDefault="008603E5" w:rsidP="00E84BDF">
            <w:pPr>
              <w:pStyle w:val="TableText"/>
              <w:keepNext/>
              <w:spacing w:line="257" w:lineRule="auto"/>
              <w:ind w:right="-57"/>
              <w:rPr>
                <w:szCs w:val="20"/>
              </w:rPr>
            </w:pPr>
            <w:r w:rsidRPr="009F4EBD">
              <w:rPr>
                <w:szCs w:val="20"/>
              </w:rPr>
              <w:t>Intervention</w:t>
            </w:r>
          </w:p>
        </w:tc>
        <w:tc>
          <w:tcPr>
            <w:tcW w:w="1275" w:type="dxa"/>
            <w:shd w:val="clear" w:color="auto" w:fill="auto"/>
          </w:tcPr>
          <w:p w14:paraId="6BAFC27A" w14:textId="77777777" w:rsidR="008603E5" w:rsidRPr="009F4EBD" w:rsidRDefault="008603E5" w:rsidP="00E84BDF">
            <w:pPr>
              <w:pStyle w:val="TableText"/>
              <w:keepNext/>
              <w:spacing w:line="257" w:lineRule="auto"/>
              <w:ind w:right="-57"/>
              <w:jc w:val="center"/>
            </w:pPr>
            <w:r w:rsidRPr="009F4EBD">
              <w:t>27.3</w:t>
            </w:r>
          </w:p>
        </w:tc>
        <w:tc>
          <w:tcPr>
            <w:tcW w:w="1276" w:type="dxa"/>
            <w:shd w:val="clear" w:color="auto" w:fill="auto"/>
          </w:tcPr>
          <w:p w14:paraId="50C4A899" w14:textId="77777777" w:rsidR="008603E5" w:rsidRPr="009F4EBD" w:rsidRDefault="008603E5" w:rsidP="00E84BDF">
            <w:pPr>
              <w:pStyle w:val="TableText"/>
              <w:keepNext/>
              <w:spacing w:line="257" w:lineRule="auto"/>
              <w:ind w:right="-57"/>
              <w:jc w:val="center"/>
            </w:pPr>
            <w:r w:rsidRPr="009F4EBD">
              <w:t>22.0</w:t>
            </w:r>
          </w:p>
        </w:tc>
        <w:tc>
          <w:tcPr>
            <w:tcW w:w="1275" w:type="dxa"/>
            <w:shd w:val="clear" w:color="auto" w:fill="auto"/>
          </w:tcPr>
          <w:p w14:paraId="2384CD2D" w14:textId="04D52FA7" w:rsidR="008603E5" w:rsidRPr="0015386A" w:rsidRDefault="00715AC7" w:rsidP="00E84BDF">
            <w:pPr>
              <w:pStyle w:val="TableText"/>
              <w:keepNext/>
              <w:spacing w:line="257" w:lineRule="auto"/>
              <w:ind w:right="-57"/>
              <w:jc w:val="center"/>
            </w:pPr>
            <w:r w:rsidRPr="0015386A">
              <w:t>redacted</w:t>
            </w:r>
          </w:p>
        </w:tc>
        <w:tc>
          <w:tcPr>
            <w:tcW w:w="1276" w:type="dxa"/>
            <w:shd w:val="clear" w:color="auto" w:fill="auto"/>
          </w:tcPr>
          <w:p w14:paraId="38BFF7C9" w14:textId="77777777" w:rsidR="008603E5" w:rsidRPr="009F4EBD" w:rsidRDefault="008603E5" w:rsidP="00E84BDF">
            <w:pPr>
              <w:pStyle w:val="TableText"/>
              <w:keepNext/>
              <w:spacing w:line="257" w:lineRule="auto"/>
              <w:ind w:right="-57"/>
              <w:jc w:val="center"/>
            </w:pPr>
            <w:r w:rsidRPr="009F4EBD">
              <w:t>21.6</w:t>
            </w:r>
          </w:p>
        </w:tc>
        <w:tc>
          <w:tcPr>
            <w:tcW w:w="1276" w:type="dxa"/>
            <w:shd w:val="clear" w:color="auto" w:fill="auto"/>
          </w:tcPr>
          <w:p w14:paraId="3791BBF4" w14:textId="77777777" w:rsidR="008603E5" w:rsidRPr="009F4EBD" w:rsidRDefault="008603E5" w:rsidP="00E84BDF">
            <w:pPr>
              <w:pStyle w:val="TableText"/>
              <w:keepNext/>
              <w:spacing w:line="257" w:lineRule="auto"/>
              <w:ind w:right="-57"/>
              <w:jc w:val="center"/>
            </w:pPr>
            <w:r w:rsidRPr="009F4EBD">
              <w:t>25.0</w:t>
            </w:r>
          </w:p>
        </w:tc>
      </w:tr>
      <w:tr w:rsidR="008603E5" w:rsidRPr="009F4EBD" w14:paraId="0D9D1ACD" w14:textId="77777777" w:rsidTr="00E84BDF">
        <w:tc>
          <w:tcPr>
            <w:tcW w:w="1271" w:type="dxa"/>
            <w:vMerge/>
            <w:shd w:val="clear" w:color="auto" w:fill="auto"/>
          </w:tcPr>
          <w:p w14:paraId="0BDCDCCE" w14:textId="77777777" w:rsidR="008603E5" w:rsidRPr="009F4EBD" w:rsidRDefault="008603E5" w:rsidP="00E84BDF">
            <w:pPr>
              <w:pStyle w:val="TableText"/>
              <w:keepNext/>
              <w:spacing w:line="257" w:lineRule="auto"/>
              <w:ind w:right="-57"/>
              <w:rPr>
                <w:szCs w:val="20"/>
              </w:rPr>
            </w:pPr>
          </w:p>
        </w:tc>
        <w:tc>
          <w:tcPr>
            <w:tcW w:w="1418" w:type="dxa"/>
            <w:shd w:val="clear" w:color="auto" w:fill="auto"/>
          </w:tcPr>
          <w:p w14:paraId="330F74DF" w14:textId="77777777" w:rsidR="008603E5" w:rsidRPr="009F4EBD" w:rsidRDefault="008603E5" w:rsidP="00E84BDF">
            <w:pPr>
              <w:pStyle w:val="TableText"/>
              <w:keepNext/>
              <w:spacing w:line="257" w:lineRule="auto"/>
              <w:ind w:right="-57"/>
              <w:rPr>
                <w:szCs w:val="20"/>
              </w:rPr>
            </w:pPr>
            <w:r w:rsidRPr="009F4EBD">
              <w:rPr>
                <w:szCs w:val="20"/>
              </w:rPr>
              <w:t>Control</w:t>
            </w:r>
          </w:p>
        </w:tc>
        <w:tc>
          <w:tcPr>
            <w:tcW w:w="1275" w:type="dxa"/>
            <w:shd w:val="clear" w:color="auto" w:fill="auto"/>
          </w:tcPr>
          <w:p w14:paraId="73036507" w14:textId="77777777" w:rsidR="008603E5" w:rsidRPr="009F4EBD" w:rsidRDefault="008603E5" w:rsidP="00E84BDF">
            <w:pPr>
              <w:pStyle w:val="TableText"/>
              <w:keepNext/>
              <w:spacing w:line="257" w:lineRule="auto"/>
              <w:ind w:right="-57"/>
              <w:jc w:val="center"/>
            </w:pPr>
            <w:r w:rsidRPr="009F4EBD">
              <w:t>17.9</w:t>
            </w:r>
          </w:p>
        </w:tc>
        <w:tc>
          <w:tcPr>
            <w:tcW w:w="1276" w:type="dxa"/>
            <w:shd w:val="clear" w:color="auto" w:fill="auto"/>
          </w:tcPr>
          <w:p w14:paraId="6447AB76" w14:textId="77777777" w:rsidR="008603E5" w:rsidRPr="009F4EBD" w:rsidRDefault="008603E5" w:rsidP="00E84BDF">
            <w:pPr>
              <w:pStyle w:val="TableText"/>
              <w:keepNext/>
              <w:spacing w:line="257" w:lineRule="auto"/>
              <w:ind w:right="-57"/>
              <w:jc w:val="center"/>
            </w:pPr>
            <w:r w:rsidRPr="009F4EBD">
              <w:t>18.7</w:t>
            </w:r>
          </w:p>
        </w:tc>
        <w:tc>
          <w:tcPr>
            <w:tcW w:w="1275" w:type="dxa"/>
            <w:shd w:val="clear" w:color="auto" w:fill="auto"/>
          </w:tcPr>
          <w:p w14:paraId="2C89B9B1" w14:textId="0191D77D" w:rsidR="008603E5" w:rsidRPr="0015386A" w:rsidRDefault="00715AC7" w:rsidP="00E84BDF">
            <w:pPr>
              <w:pStyle w:val="TableText"/>
              <w:keepNext/>
              <w:spacing w:line="257" w:lineRule="auto"/>
              <w:ind w:right="-57"/>
              <w:jc w:val="center"/>
            </w:pPr>
            <w:r w:rsidRPr="0015386A">
              <w:t>redacted</w:t>
            </w:r>
          </w:p>
        </w:tc>
        <w:tc>
          <w:tcPr>
            <w:tcW w:w="1276" w:type="dxa"/>
            <w:shd w:val="clear" w:color="auto" w:fill="auto"/>
          </w:tcPr>
          <w:p w14:paraId="3AA57D63" w14:textId="77777777" w:rsidR="008603E5" w:rsidRPr="009F4EBD" w:rsidRDefault="008603E5" w:rsidP="00E84BDF">
            <w:pPr>
              <w:pStyle w:val="TableText"/>
              <w:keepNext/>
              <w:spacing w:line="257" w:lineRule="auto"/>
              <w:ind w:right="-57"/>
              <w:jc w:val="center"/>
            </w:pPr>
            <w:r w:rsidRPr="009F4EBD">
              <w:t>19.2</w:t>
            </w:r>
          </w:p>
        </w:tc>
        <w:tc>
          <w:tcPr>
            <w:tcW w:w="1276" w:type="dxa"/>
            <w:shd w:val="clear" w:color="auto" w:fill="auto"/>
          </w:tcPr>
          <w:p w14:paraId="79C820BE" w14:textId="77777777" w:rsidR="008603E5" w:rsidRPr="009F4EBD" w:rsidRDefault="008603E5" w:rsidP="00E84BDF">
            <w:pPr>
              <w:pStyle w:val="TableText"/>
              <w:keepNext/>
              <w:spacing w:line="257" w:lineRule="auto"/>
              <w:ind w:right="-57"/>
              <w:jc w:val="center"/>
            </w:pPr>
            <w:r w:rsidRPr="009F4EBD">
              <w:t>18.0</w:t>
            </w:r>
          </w:p>
        </w:tc>
      </w:tr>
      <w:tr w:rsidR="008603E5" w:rsidRPr="009F4EBD" w14:paraId="405650FC" w14:textId="77777777" w:rsidTr="00E84BDF">
        <w:tc>
          <w:tcPr>
            <w:tcW w:w="2689" w:type="dxa"/>
            <w:gridSpan w:val="2"/>
            <w:shd w:val="clear" w:color="auto" w:fill="auto"/>
          </w:tcPr>
          <w:p w14:paraId="5F19F506" w14:textId="77777777" w:rsidR="008603E5" w:rsidRPr="009F4EBD" w:rsidRDefault="008603E5" w:rsidP="00E84BDF">
            <w:pPr>
              <w:pStyle w:val="TableText"/>
              <w:spacing w:line="257" w:lineRule="auto"/>
              <w:ind w:right="-57"/>
              <w:rPr>
                <w:szCs w:val="20"/>
              </w:rPr>
            </w:pPr>
            <w:r w:rsidRPr="009F4EBD">
              <w:rPr>
                <w:szCs w:val="20"/>
              </w:rPr>
              <w:t>Difference in median OS (months)</w:t>
            </w:r>
          </w:p>
        </w:tc>
        <w:tc>
          <w:tcPr>
            <w:tcW w:w="1275" w:type="dxa"/>
            <w:shd w:val="clear" w:color="auto" w:fill="auto"/>
          </w:tcPr>
          <w:p w14:paraId="01D9DD1F" w14:textId="77777777" w:rsidR="008603E5" w:rsidRPr="009F4EBD" w:rsidRDefault="008603E5" w:rsidP="00E84BDF">
            <w:pPr>
              <w:pStyle w:val="TableText"/>
              <w:spacing w:line="257" w:lineRule="auto"/>
              <w:ind w:right="-57"/>
              <w:jc w:val="center"/>
            </w:pPr>
            <w:r w:rsidRPr="009F4EBD">
              <w:t>9.4</w:t>
            </w:r>
          </w:p>
        </w:tc>
        <w:tc>
          <w:tcPr>
            <w:tcW w:w="1276" w:type="dxa"/>
            <w:shd w:val="clear" w:color="auto" w:fill="auto"/>
          </w:tcPr>
          <w:p w14:paraId="1E049DFE" w14:textId="77777777" w:rsidR="008603E5" w:rsidRPr="009F4EBD" w:rsidRDefault="008603E5" w:rsidP="00E84BDF">
            <w:pPr>
              <w:pStyle w:val="TableText"/>
              <w:spacing w:line="257" w:lineRule="auto"/>
              <w:ind w:right="-57"/>
              <w:jc w:val="center"/>
            </w:pPr>
            <w:r w:rsidRPr="009F4EBD">
              <w:t>3.3</w:t>
            </w:r>
          </w:p>
        </w:tc>
        <w:tc>
          <w:tcPr>
            <w:tcW w:w="1275" w:type="dxa"/>
            <w:shd w:val="clear" w:color="auto" w:fill="auto"/>
          </w:tcPr>
          <w:p w14:paraId="322DE7CD" w14:textId="53048444" w:rsidR="008603E5" w:rsidRPr="0015386A" w:rsidRDefault="00715AC7" w:rsidP="00E84BDF">
            <w:pPr>
              <w:pStyle w:val="TableText"/>
              <w:spacing w:line="257" w:lineRule="auto"/>
              <w:ind w:right="-57"/>
              <w:jc w:val="center"/>
            </w:pPr>
            <w:r w:rsidRPr="0015386A">
              <w:t>redacted</w:t>
            </w:r>
          </w:p>
        </w:tc>
        <w:tc>
          <w:tcPr>
            <w:tcW w:w="1276" w:type="dxa"/>
            <w:shd w:val="clear" w:color="auto" w:fill="auto"/>
          </w:tcPr>
          <w:p w14:paraId="26227BBD" w14:textId="77777777" w:rsidR="008603E5" w:rsidRPr="009F4EBD" w:rsidRDefault="008603E5" w:rsidP="00E84BDF">
            <w:pPr>
              <w:pStyle w:val="TableText"/>
              <w:spacing w:line="257" w:lineRule="auto"/>
              <w:ind w:right="-57"/>
              <w:jc w:val="center"/>
            </w:pPr>
            <w:r w:rsidRPr="009F4EBD">
              <w:t>2.4</w:t>
            </w:r>
          </w:p>
        </w:tc>
        <w:tc>
          <w:tcPr>
            <w:tcW w:w="1276" w:type="dxa"/>
            <w:shd w:val="clear" w:color="auto" w:fill="auto"/>
          </w:tcPr>
          <w:p w14:paraId="13F1DA74" w14:textId="77777777" w:rsidR="008603E5" w:rsidRPr="009F4EBD" w:rsidRDefault="008603E5" w:rsidP="00E84BDF">
            <w:pPr>
              <w:pStyle w:val="TableText"/>
              <w:spacing w:line="257" w:lineRule="auto"/>
              <w:ind w:right="-57"/>
              <w:jc w:val="center"/>
            </w:pPr>
            <w:r w:rsidRPr="009F4EBD">
              <w:t>7</w:t>
            </w:r>
          </w:p>
        </w:tc>
      </w:tr>
      <w:tr w:rsidR="008603E5" w:rsidRPr="009F4EBD" w14:paraId="04C53EE9" w14:textId="77777777" w:rsidTr="00E84BDF">
        <w:tc>
          <w:tcPr>
            <w:tcW w:w="2689" w:type="dxa"/>
            <w:gridSpan w:val="2"/>
            <w:shd w:val="clear" w:color="auto" w:fill="auto"/>
          </w:tcPr>
          <w:p w14:paraId="4A6D99E7" w14:textId="77777777" w:rsidR="008603E5" w:rsidRPr="009F4EBD" w:rsidRDefault="008603E5" w:rsidP="00E84BDF">
            <w:pPr>
              <w:pStyle w:val="TableText"/>
              <w:spacing w:line="257" w:lineRule="auto"/>
              <w:ind w:right="-57"/>
              <w:rPr>
                <w:szCs w:val="20"/>
              </w:rPr>
            </w:pPr>
            <w:r w:rsidRPr="009F4EBD">
              <w:rPr>
                <w:szCs w:val="20"/>
              </w:rPr>
              <w:t>HR (95% CI)</w:t>
            </w:r>
          </w:p>
        </w:tc>
        <w:tc>
          <w:tcPr>
            <w:tcW w:w="1275" w:type="dxa"/>
            <w:shd w:val="clear" w:color="auto" w:fill="auto"/>
          </w:tcPr>
          <w:p w14:paraId="69B62242" w14:textId="77777777" w:rsidR="008603E5" w:rsidRPr="009F4EBD" w:rsidRDefault="008603E5" w:rsidP="00E84BDF">
            <w:pPr>
              <w:pStyle w:val="TableText"/>
              <w:spacing w:line="257" w:lineRule="auto"/>
              <w:ind w:right="-57"/>
              <w:jc w:val="center"/>
            </w:pPr>
            <w:r w:rsidRPr="009F4EBD">
              <w:t xml:space="preserve">0.74 </w:t>
            </w:r>
            <w:r w:rsidRPr="009F4EBD">
              <w:br/>
              <w:t>(0.54, 1.01)</w:t>
            </w:r>
          </w:p>
        </w:tc>
        <w:tc>
          <w:tcPr>
            <w:tcW w:w="1276" w:type="dxa"/>
            <w:shd w:val="clear" w:color="auto" w:fill="auto"/>
          </w:tcPr>
          <w:p w14:paraId="0B4D3B09" w14:textId="77777777" w:rsidR="008603E5" w:rsidRPr="009F4EBD" w:rsidRDefault="008603E5" w:rsidP="00E84BDF">
            <w:pPr>
              <w:pStyle w:val="TableText"/>
              <w:spacing w:line="257" w:lineRule="auto"/>
              <w:ind w:right="-57"/>
              <w:jc w:val="center"/>
            </w:pPr>
            <w:r w:rsidRPr="009F4EBD">
              <w:t xml:space="preserve">0.75 </w:t>
            </w:r>
            <w:r w:rsidRPr="009F4EBD">
              <w:br/>
              <w:t>(0.59, 0.96)</w:t>
            </w:r>
          </w:p>
        </w:tc>
        <w:tc>
          <w:tcPr>
            <w:tcW w:w="1275" w:type="dxa"/>
            <w:shd w:val="clear" w:color="auto" w:fill="auto"/>
          </w:tcPr>
          <w:p w14:paraId="2CDE81D1" w14:textId="5EED6CC4" w:rsidR="008603E5" w:rsidRPr="0015386A" w:rsidRDefault="00252889" w:rsidP="00252889">
            <w:pPr>
              <w:pStyle w:val="TableText"/>
              <w:spacing w:line="257" w:lineRule="auto"/>
              <w:ind w:right="-57"/>
              <w:jc w:val="center"/>
            </w:pPr>
            <w:r w:rsidRPr="0015386A">
              <w:t>redacted</w:t>
            </w:r>
            <w:r w:rsidR="008603E5" w:rsidRPr="0015386A">
              <w:t xml:space="preserve"> </w:t>
            </w:r>
            <w:r w:rsidR="008603E5" w:rsidRPr="0015386A">
              <w:br/>
              <w:t>(</w:t>
            </w:r>
            <w:r w:rsidRPr="0015386A">
              <w:t>redacted</w:t>
            </w:r>
            <w:r w:rsidR="008603E5" w:rsidRPr="0015386A">
              <w:t>)</w:t>
            </w:r>
          </w:p>
        </w:tc>
        <w:tc>
          <w:tcPr>
            <w:tcW w:w="1276" w:type="dxa"/>
            <w:shd w:val="clear" w:color="auto" w:fill="auto"/>
          </w:tcPr>
          <w:p w14:paraId="6F26F595" w14:textId="77777777" w:rsidR="008603E5" w:rsidRPr="009F4EBD" w:rsidRDefault="008603E5" w:rsidP="00E84BDF">
            <w:pPr>
              <w:pStyle w:val="TableText"/>
              <w:spacing w:line="257" w:lineRule="auto"/>
              <w:ind w:right="-57"/>
              <w:jc w:val="center"/>
            </w:pPr>
            <w:r w:rsidRPr="009F4EBD">
              <w:t xml:space="preserve">0.78 </w:t>
            </w:r>
            <w:r w:rsidRPr="009F4EBD">
              <w:br/>
              <w:t>(0.62, 0.99)</w:t>
            </w:r>
          </w:p>
        </w:tc>
        <w:tc>
          <w:tcPr>
            <w:tcW w:w="1276" w:type="dxa"/>
            <w:shd w:val="clear" w:color="auto" w:fill="auto"/>
          </w:tcPr>
          <w:p w14:paraId="44A839FC" w14:textId="77777777" w:rsidR="008603E5" w:rsidRPr="009F4EBD" w:rsidRDefault="008603E5" w:rsidP="00E84BDF">
            <w:pPr>
              <w:pStyle w:val="TableText"/>
              <w:spacing w:line="257" w:lineRule="auto"/>
              <w:ind w:right="-57"/>
              <w:jc w:val="center"/>
            </w:pPr>
            <w:r w:rsidRPr="009F4EBD">
              <w:t xml:space="preserve">0.69 </w:t>
            </w:r>
            <w:r w:rsidRPr="009F4EBD">
              <w:br/>
              <w:t>(0.52, 0.91)</w:t>
            </w:r>
          </w:p>
        </w:tc>
      </w:tr>
      <w:tr w:rsidR="008603E5" w:rsidRPr="009F4EBD" w14:paraId="73269C42" w14:textId="77777777" w:rsidTr="00E84BDF">
        <w:tc>
          <w:tcPr>
            <w:tcW w:w="2689" w:type="dxa"/>
            <w:gridSpan w:val="2"/>
            <w:shd w:val="clear" w:color="auto" w:fill="auto"/>
          </w:tcPr>
          <w:p w14:paraId="1E0B1344" w14:textId="1670CB34" w:rsidR="008603E5" w:rsidRPr="00385E4C" w:rsidRDefault="005C0E29" w:rsidP="00E84BDF">
            <w:pPr>
              <w:pStyle w:val="TableText"/>
              <w:spacing w:line="257" w:lineRule="auto"/>
              <w:ind w:right="-57"/>
              <w:rPr>
                <w:b/>
                <w:szCs w:val="20"/>
              </w:rPr>
            </w:pPr>
            <w:r>
              <w:rPr>
                <w:b/>
                <w:szCs w:val="20"/>
              </w:rPr>
              <w:t xml:space="preserve">PD-L1 </w:t>
            </w:r>
            <w:r w:rsidR="008603E5" w:rsidRPr="00385E4C">
              <w:rPr>
                <w:b/>
                <w:szCs w:val="20"/>
              </w:rPr>
              <w:t>negative</w:t>
            </w:r>
          </w:p>
        </w:tc>
        <w:tc>
          <w:tcPr>
            <w:tcW w:w="1275" w:type="dxa"/>
            <w:shd w:val="clear" w:color="auto" w:fill="auto"/>
          </w:tcPr>
          <w:p w14:paraId="29EEC809" w14:textId="77777777" w:rsidR="008603E5" w:rsidRPr="009F4EBD" w:rsidRDefault="008603E5" w:rsidP="00E84BDF">
            <w:pPr>
              <w:pStyle w:val="TableText"/>
              <w:spacing w:line="257" w:lineRule="auto"/>
              <w:ind w:right="-57"/>
              <w:jc w:val="center"/>
              <w:rPr>
                <w:szCs w:val="20"/>
              </w:rPr>
            </w:pPr>
            <w:r w:rsidRPr="009F4EBD">
              <w:rPr>
                <w:szCs w:val="20"/>
              </w:rPr>
              <w:t>54% BEP (n=329)</w:t>
            </w:r>
          </w:p>
        </w:tc>
        <w:tc>
          <w:tcPr>
            <w:tcW w:w="1276" w:type="dxa"/>
            <w:shd w:val="clear" w:color="auto" w:fill="auto"/>
          </w:tcPr>
          <w:p w14:paraId="487CBAD0" w14:textId="77777777" w:rsidR="008603E5" w:rsidRPr="009F4EBD" w:rsidRDefault="008603E5" w:rsidP="00E84BDF">
            <w:pPr>
              <w:pStyle w:val="TableText"/>
              <w:spacing w:line="257" w:lineRule="auto"/>
              <w:ind w:right="-57"/>
              <w:jc w:val="center"/>
              <w:rPr>
                <w:szCs w:val="20"/>
              </w:rPr>
            </w:pPr>
            <w:r w:rsidRPr="009F4EBD">
              <w:rPr>
                <w:szCs w:val="20"/>
              </w:rPr>
              <w:t>25% BEP (n=154)</w:t>
            </w:r>
          </w:p>
        </w:tc>
        <w:tc>
          <w:tcPr>
            <w:tcW w:w="1275" w:type="dxa"/>
            <w:shd w:val="clear" w:color="auto" w:fill="auto"/>
          </w:tcPr>
          <w:p w14:paraId="7417AA95" w14:textId="275C467E" w:rsidR="008603E5" w:rsidRPr="0015386A" w:rsidRDefault="00252889" w:rsidP="00252889">
            <w:pPr>
              <w:pStyle w:val="TableText"/>
              <w:spacing w:line="257" w:lineRule="auto"/>
              <w:ind w:right="-57"/>
              <w:jc w:val="center"/>
              <w:rPr>
                <w:szCs w:val="20"/>
              </w:rPr>
            </w:pPr>
            <w:r w:rsidRPr="0015386A">
              <w:rPr>
                <w:szCs w:val="20"/>
              </w:rPr>
              <w:t>redacted</w:t>
            </w:r>
            <w:r w:rsidR="008603E5" w:rsidRPr="0015386A">
              <w:rPr>
                <w:szCs w:val="20"/>
              </w:rPr>
              <w:t xml:space="preserve"> (n=</w:t>
            </w:r>
            <w:r w:rsidRPr="0015386A">
              <w:rPr>
                <w:szCs w:val="20"/>
              </w:rPr>
              <w:t>redacted</w:t>
            </w:r>
            <w:r w:rsidR="008603E5" w:rsidRPr="0015386A">
              <w:rPr>
                <w:szCs w:val="20"/>
              </w:rPr>
              <w:t>)</w:t>
            </w:r>
          </w:p>
        </w:tc>
        <w:tc>
          <w:tcPr>
            <w:tcW w:w="1276" w:type="dxa"/>
            <w:shd w:val="clear" w:color="auto" w:fill="auto"/>
          </w:tcPr>
          <w:p w14:paraId="4AF7FAFB" w14:textId="77777777" w:rsidR="008603E5" w:rsidRPr="009F4EBD" w:rsidRDefault="008603E5" w:rsidP="00E84BDF">
            <w:pPr>
              <w:pStyle w:val="TableText"/>
              <w:spacing w:line="257" w:lineRule="auto"/>
              <w:ind w:right="-57"/>
              <w:jc w:val="center"/>
              <w:rPr>
                <w:szCs w:val="20"/>
              </w:rPr>
            </w:pPr>
            <w:r w:rsidRPr="009F4EBD">
              <w:rPr>
                <w:szCs w:val="20"/>
              </w:rPr>
              <w:t>19% BEP (n=117)</w:t>
            </w:r>
          </w:p>
        </w:tc>
        <w:tc>
          <w:tcPr>
            <w:tcW w:w="1276" w:type="dxa"/>
            <w:shd w:val="clear" w:color="auto" w:fill="auto"/>
          </w:tcPr>
          <w:p w14:paraId="26645BE8" w14:textId="77777777" w:rsidR="008603E5" w:rsidRPr="009F4EBD" w:rsidRDefault="008603E5" w:rsidP="00E84BDF">
            <w:pPr>
              <w:pStyle w:val="TableText"/>
              <w:spacing w:line="257" w:lineRule="auto"/>
              <w:ind w:right="-57"/>
              <w:jc w:val="center"/>
              <w:rPr>
                <w:szCs w:val="20"/>
              </w:rPr>
            </w:pPr>
            <w:r w:rsidRPr="009F4EBD">
              <w:rPr>
                <w:szCs w:val="20"/>
              </w:rPr>
              <w:t>59% ITT (n=533)</w:t>
            </w:r>
          </w:p>
        </w:tc>
      </w:tr>
      <w:tr w:rsidR="008603E5" w:rsidRPr="009F4EBD" w14:paraId="7DA5948F" w14:textId="77777777" w:rsidTr="00E84BDF">
        <w:tc>
          <w:tcPr>
            <w:tcW w:w="1271" w:type="dxa"/>
            <w:vMerge w:val="restart"/>
          </w:tcPr>
          <w:p w14:paraId="2B458D09" w14:textId="77777777" w:rsidR="008603E5" w:rsidRPr="009F4EBD" w:rsidRDefault="008603E5" w:rsidP="00E84BDF">
            <w:pPr>
              <w:pStyle w:val="TableText"/>
              <w:spacing w:line="257" w:lineRule="auto"/>
              <w:ind w:right="-57"/>
              <w:rPr>
                <w:szCs w:val="20"/>
              </w:rPr>
            </w:pPr>
            <w:r w:rsidRPr="009F4EBD">
              <w:rPr>
                <w:szCs w:val="20"/>
              </w:rPr>
              <w:t>Median OS (months)</w:t>
            </w:r>
          </w:p>
        </w:tc>
        <w:tc>
          <w:tcPr>
            <w:tcW w:w="1418" w:type="dxa"/>
          </w:tcPr>
          <w:p w14:paraId="26404BE4" w14:textId="77777777" w:rsidR="008603E5" w:rsidRPr="009F4EBD" w:rsidRDefault="008603E5" w:rsidP="00E84BDF">
            <w:pPr>
              <w:pStyle w:val="TableText"/>
              <w:spacing w:line="257" w:lineRule="auto"/>
              <w:ind w:right="-57"/>
              <w:rPr>
                <w:szCs w:val="20"/>
              </w:rPr>
            </w:pPr>
            <w:r w:rsidRPr="009F4EBD">
              <w:rPr>
                <w:szCs w:val="20"/>
              </w:rPr>
              <w:t>Intervention</w:t>
            </w:r>
          </w:p>
        </w:tc>
        <w:tc>
          <w:tcPr>
            <w:tcW w:w="1275" w:type="dxa"/>
          </w:tcPr>
          <w:p w14:paraId="0BAC3775" w14:textId="77777777" w:rsidR="008603E5" w:rsidRPr="009F4EBD" w:rsidRDefault="008603E5" w:rsidP="00E84BDF">
            <w:pPr>
              <w:pStyle w:val="TableText"/>
              <w:spacing w:line="257" w:lineRule="auto"/>
              <w:ind w:right="-57"/>
              <w:jc w:val="center"/>
            </w:pPr>
            <w:r w:rsidRPr="009F4EBD">
              <w:t>20.8</w:t>
            </w:r>
          </w:p>
        </w:tc>
        <w:tc>
          <w:tcPr>
            <w:tcW w:w="1276" w:type="dxa"/>
          </w:tcPr>
          <w:p w14:paraId="68D83DDF" w14:textId="77777777" w:rsidR="008603E5" w:rsidRPr="009F4EBD" w:rsidRDefault="008603E5" w:rsidP="00E84BDF">
            <w:pPr>
              <w:pStyle w:val="TableText"/>
              <w:spacing w:line="257" w:lineRule="auto"/>
              <w:ind w:right="-57"/>
              <w:jc w:val="center"/>
            </w:pPr>
            <w:r w:rsidRPr="009F4EBD">
              <w:t>17.9</w:t>
            </w:r>
          </w:p>
        </w:tc>
        <w:tc>
          <w:tcPr>
            <w:tcW w:w="1275" w:type="dxa"/>
          </w:tcPr>
          <w:p w14:paraId="4ACA80F5" w14:textId="1A090F17" w:rsidR="008603E5" w:rsidRPr="0015386A" w:rsidRDefault="00252889" w:rsidP="00E84BDF">
            <w:pPr>
              <w:pStyle w:val="TableText"/>
              <w:spacing w:line="257" w:lineRule="auto"/>
              <w:ind w:right="-57"/>
              <w:jc w:val="center"/>
            </w:pPr>
            <w:r w:rsidRPr="0015386A">
              <w:t>redacted</w:t>
            </w:r>
          </w:p>
        </w:tc>
        <w:tc>
          <w:tcPr>
            <w:tcW w:w="1276" w:type="dxa"/>
          </w:tcPr>
          <w:p w14:paraId="55C214E3" w14:textId="77777777" w:rsidR="008603E5" w:rsidRPr="00E55BA8" w:rsidRDefault="008603E5" w:rsidP="00E84BDF">
            <w:pPr>
              <w:pStyle w:val="TableText"/>
              <w:spacing w:line="257" w:lineRule="auto"/>
              <w:ind w:right="-57"/>
              <w:jc w:val="center"/>
            </w:pPr>
            <w:r w:rsidRPr="00E55BA8">
              <w:t>14.7</w:t>
            </w:r>
          </w:p>
        </w:tc>
        <w:tc>
          <w:tcPr>
            <w:tcW w:w="1276" w:type="dxa"/>
          </w:tcPr>
          <w:p w14:paraId="11A83929" w14:textId="77777777" w:rsidR="008603E5" w:rsidRPr="009F4EBD" w:rsidRDefault="008603E5" w:rsidP="00E84BDF">
            <w:pPr>
              <w:pStyle w:val="TableText"/>
              <w:spacing w:line="257" w:lineRule="auto"/>
              <w:ind w:right="-57"/>
              <w:jc w:val="center"/>
            </w:pPr>
            <w:r w:rsidRPr="009F4EBD">
              <w:t>19.7</w:t>
            </w:r>
          </w:p>
        </w:tc>
      </w:tr>
      <w:tr w:rsidR="008603E5" w:rsidRPr="009F4EBD" w14:paraId="62778212" w14:textId="77777777" w:rsidTr="00E84BDF">
        <w:tc>
          <w:tcPr>
            <w:tcW w:w="1271" w:type="dxa"/>
            <w:vMerge/>
          </w:tcPr>
          <w:p w14:paraId="54413AC4" w14:textId="77777777" w:rsidR="008603E5" w:rsidRPr="009F4EBD" w:rsidRDefault="008603E5" w:rsidP="00E84BDF">
            <w:pPr>
              <w:pStyle w:val="TableText"/>
              <w:spacing w:line="257" w:lineRule="auto"/>
              <w:ind w:right="-57"/>
              <w:rPr>
                <w:szCs w:val="20"/>
              </w:rPr>
            </w:pPr>
          </w:p>
        </w:tc>
        <w:tc>
          <w:tcPr>
            <w:tcW w:w="1418" w:type="dxa"/>
          </w:tcPr>
          <w:p w14:paraId="6578651D" w14:textId="77777777" w:rsidR="008603E5" w:rsidRPr="009F4EBD" w:rsidRDefault="008603E5" w:rsidP="00E84BDF">
            <w:pPr>
              <w:pStyle w:val="TableText"/>
              <w:spacing w:line="257" w:lineRule="auto"/>
              <w:ind w:right="-57"/>
              <w:rPr>
                <w:szCs w:val="20"/>
              </w:rPr>
            </w:pPr>
            <w:r w:rsidRPr="009F4EBD">
              <w:rPr>
                <w:szCs w:val="20"/>
              </w:rPr>
              <w:t>Control</w:t>
            </w:r>
          </w:p>
        </w:tc>
        <w:tc>
          <w:tcPr>
            <w:tcW w:w="1275" w:type="dxa"/>
          </w:tcPr>
          <w:p w14:paraId="56CC09A9" w14:textId="77777777" w:rsidR="008603E5" w:rsidRPr="009F4EBD" w:rsidRDefault="008603E5" w:rsidP="00E84BDF">
            <w:pPr>
              <w:pStyle w:val="TableText"/>
              <w:spacing w:line="257" w:lineRule="auto"/>
              <w:ind w:right="-57"/>
              <w:jc w:val="center"/>
            </w:pPr>
            <w:r w:rsidRPr="009F4EBD">
              <w:t>20.7</w:t>
            </w:r>
          </w:p>
        </w:tc>
        <w:tc>
          <w:tcPr>
            <w:tcW w:w="1276" w:type="dxa"/>
          </w:tcPr>
          <w:p w14:paraId="6C9B8975" w14:textId="77777777" w:rsidR="008603E5" w:rsidRPr="009F4EBD" w:rsidRDefault="008603E5" w:rsidP="00E84BDF">
            <w:pPr>
              <w:pStyle w:val="TableText"/>
              <w:spacing w:line="257" w:lineRule="auto"/>
              <w:ind w:right="-57"/>
              <w:jc w:val="center"/>
            </w:pPr>
            <w:r w:rsidRPr="009F4EBD">
              <w:t>20.5</w:t>
            </w:r>
          </w:p>
        </w:tc>
        <w:tc>
          <w:tcPr>
            <w:tcW w:w="1275" w:type="dxa"/>
          </w:tcPr>
          <w:p w14:paraId="25F55161" w14:textId="6894AB7C" w:rsidR="008603E5" w:rsidRPr="0015386A" w:rsidRDefault="00252889" w:rsidP="00E84BDF">
            <w:pPr>
              <w:pStyle w:val="TableText"/>
              <w:spacing w:line="257" w:lineRule="auto"/>
              <w:ind w:right="-57"/>
              <w:jc w:val="center"/>
            </w:pPr>
            <w:r w:rsidRPr="0015386A">
              <w:t>redacted</w:t>
            </w:r>
          </w:p>
        </w:tc>
        <w:tc>
          <w:tcPr>
            <w:tcW w:w="1276" w:type="dxa"/>
          </w:tcPr>
          <w:p w14:paraId="4F3FC417" w14:textId="77777777" w:rsidR="008603E5" w:rsidRPr="00E55BA8" w:rsidRDefault="008603E5" w:rsidP="00E84BDF">
            <w:pPr>
              <w:pStyle w:val="TableText"/>
              <w:spacing w:line="257" w:lineRule="auto"/>
              <w:ind w:right="-57"/>
              <w:jc w:val="center"/>
            </w:pPr>
            <w:r w:rsidRPr="00E55BA8">
              <w:t>19.6</w:t>
            </w:r>
          </w:p>
        </w:tc>
        <w:tc>
          <w:tcPr>
            <w:tcW w:w="1276" w:type="dxa"/>
          </w:tcPr>
          <w:p w14:paraId="5C5275A1" w14:textId="77777777" w:rsidR="008603E5" w:rsidRPr="009F4EBD" w:rsidRDefault="008603E5" w:rsidP="00E84BDF">
            <w:pPr>
              <w:pStyle w:val="TableText"/>
              <w:spacing w:line="257" w:lineRule="auto"/>
              <w:ind w:right="-57"/>
              <w:jc w:val="center"/>
            </w:pPr>
            <w:r w:rsidRPr="009F4EBD">
              <w:t>19.6</w:t>
            </w:r>
          </w:p>
        </w:tc>
      </w:tr>
      <w:tr w:rsidR="008603E5" w:rsidRPr="009F4EBD" w14:paraId="4E4F0260" w14:textId="77777777" w:rsidTr="00E84BDF">
        <w:tc>
          <w:tcPr>
            <w:tcW w:w="2689" w:type="dxa"/>
            <w:gridSpan w:val="2"/>
          </w:tcPr>
          <w:p w14:paraId="1DC5CB8D" w14:textId="77777777" w:rsidR="008603E5" w:rsidRPr="009F4EBD" w:rsidRDefault="008603E5" w:rsidP="00E84BDF">
            <w:pPr>
              <w:pStyle w:val="TableText"/>
              <w:spacing w:line="257" w:lineRule="auto"/>
              <w:ind w:right="-57"/>
              <w:rPr>
                <w:szCs w:val="20"/>
              </w:rPr>
            </w:pPr>
            <w:r w:rsidRPr="009F4EBD">
              <w:rPr>
                <w:szCs w:val="20"/>
              </w:rPr>
              <w:t>Difference in median OS (months)</w:t>
            </w:r>
          </w:p>
        </w:tc>
        <w:tc>
          <w:tcPr>
            <w:tcW w:w="1275" w:type="dxa"/>
          </w:tcPr>
          <w:p w14:paraId="481E9FFD" w14:textId="77777777" w:rsidR="008603E5" w:rsidRPr="009F4EBD" w:rsidRDefault="008603E5" w:rsidP="00E84BDF">
            <w:pPr>
              <w:pStyle w:val="TableText"/>
              <w:spacing w:line="257" w:lineRule="auto"/>
              <w:ind w:right="-57"/>
              <w:jc w:val="center"/>
            </w:pPr>
            <w:r w:rsidRPr="009F4EBD">
              <w:t>0.1</w:t>
            </w:r>
          </w:p>
        </w:tc>
        <w:tc>
          <w:tcPr>
            <w:tcW w:w="1276" w:type="dxa"/>
          </w:tcPr>
          <w:p w14:paraId="59EC767D" w14:textId="77777777" w:rsidR="008603E5" w:rsidRPr="009F4EBD" w:rsidRDefault="008603E5" w:rsidP="00E84BDF">
            <w:pPr>
              <w:pStyle w:val="TableText"/>
              <w:spacing w:line="257" w:lineRule="auto"/>
              <w:ind w:right="-57"/>
              <w:jc w:val="center"/>
            </w:pPr>
            <w:r w:rsidRPr="009F4EBD">
              <w:t>-2.6</w:t>
            </w:r>
          </w:p>
        </w:tc>
        <w:tc>
          <w:tcPr>
            <w:tcW w:w="1275" w:type="dxa"/>
          </w:tcPr>
          <w:p w14:paraId="5F8A817C" w14:textId="2A83B4DA" w:rsidR="008603E5" w:rsidRPr="0015386A" w:rsidRDefault="00252889" w:rsidP="00E84BDF">
            <w:pPr>
              <w:pStyle w:val="TableText"/>
              <w:spacing w:line="257" w:lineRule="auto"/>
              <w:ind w:right="-57"/>
              <w:jc w:val="center"/>
            </w:pPr>
            <w:r w:rsidRPr="0015386A">
              <w:t>redacted</w:t>
            </w:r>
          </w:p>
        </w:tc>
        <w:tc>
          <w:tcPr>
            <w:tcW w:w="1276" w:type="dxa"/>
          </w:tcPr>
          <w:p w14:paraId="5F965759" w14:textId="77777777" w:rsidR="008603E5" w:rsidRPr="009F4EBD" w:rsidRDefault="008603E5" w:rsidP="00E84BDF">
            <w:pPr>
              <w:pStyle w:val="TableText"/>
              <w:spacing w:line="257" w:lineRule="auto"/>
              <w:ind w:right="-57"/>
              <w:jc w:val="center"/>
            </w:pPr>
            <w:r w:rsidRPr="009F4EBD">
              <w:t>-4.9</w:t>
            </w:r>
          </w:p>
        </w:tc>
        <w:tc>
          <w:tcPr>
            <w:tcW w:w="1276" w:type="dxa"/>
          </w:tcPr>
          <w:p w14:paraId="25A1E15A" w14:textId="77777777" w:rsidR="008603E5" w:rsidRPr="009F4EBD" w:rsidRDefault="008603E5" w:rsidP="00E84BDF">
            <w:pPr>
              <w:pStyle w:val="TableText"/>
              <w:spacing w:line="257" w:lineRule="auto"/>
              <w:ind w:right="-57"/>
              <w:jc w:val="center"/>
            </w:pPr>
            <w:r w:rsidRPr="009F4EBD">
              <w:t>0.1</w:t>
            </w:r>
          </w:p>
        </w:tc>
      </w:tr>
      <w:tr w:rsidR="008603E5" w:rsidRPr="009F4EBD" w14:paraId="3DF13F20" w14:textId="77777777" w:rsidTr="00E84BDF">
        <w:tc>
          <w:tcPr>
            <w:tcW w:w="2689" w:type="dxa"/>
            <w:gridSpan w:val="2"/>
          </w:tcPr>
          <w:p w14:paraId="481AFE0F" w14:textId="77777777" w:rsidR="008603E5" w:rsidRPr="009F4EBD" w:rsidRDefault="008603E5" w:rsidP="00E84BDF">
            <w:pPr>
              <w:pStyle w:val="TableText"/>
              <w:spacing w:line="257" w:lineRule="auto"/>
              <w:ind w:right="-57"/>
              <w:rPr>
                <w:szCs w:val="20"/>
              </w:rPr>
            </w:pPr>
            <w:r w:rsidRPr="009F4EBD">
              <w:rPr>
                <w:szCs w:val="20"/>
              </w:rPr>
              <w:t>HR (95% CI)</w:t>
            </w:r>
          </w:p>
        </w:tc>
        <w:tc>
          <w:tcPr>
            <w:tcW w:w="1275" w:type="dxa"/>
          </w:tcPr>
          <w:p w14:paraId="4E914F7A" w14:textId="77777777" w:rsidR="008603E5" w:rsidRPr="009F4EBD" w:rsidRDefault="008603E5" w:rsidP="00E84BDF">
            <w:pPr>
              <w:pStyle w:val="TableText"/>
              <w:spacing w:line="257" w:lineRule="auto"/>
              <w:ind w:right="-57"/>
              <w:jc w:val="center"/>
            </w:pPr>
            <w:r w:rsidRPr="009F4EBD">
              <w:t xml:space="preserve">0.95 </w:t>
            </w:r>
            <w:r w:rsidRPr="009F4EBD">
              <w:br/>
              <w:t>(0.72, 1.27)</w:t>
            </w:r>
          </w:p>
        </w:tc>
        <w:tc>
          <w:tcPr>
            <w:tcW w:w="1276" w:type="dxa"/>
          </w:tcPr>
          <w:p w14:paraId="37A2E6D8" w14:textId="77777777" w:rsidR="008603E5" w:rsidRPr="009F4EBD" w:rsidRDefault="008603E5" w:rsidP="00E84BDF">
            <w:pPr>
              <w:pStyle w:val="TableText"/>
              <w:spacing w:line="257" w:lineRule="auto"/>
              <w:ind w:right="-57"/>
              <w:jc w:val="center"/>
            </w:pPr>
            <w:r w:rsidRPr="009F4EBD">
              <w:t xml:space="preserve">1.15 </w:t>
            </w:r>
            <w:r w:rsidRPr="009F4EBD">
              <w:br/>
              <w:t>(0.76, 1.74)</w:t>
            </w:r>
          </w:p>
        </w:tc>
        <w:tc>
          <w:tcPr>
            <w:tcW w:w="1275" w:type="dxa"/>
          </w:tcPr>
          <w:p w14:paraId="7F7EB90B" w14:textId="3AB44279" w:rsidR="008603E5" w:rsidRPr="0015386A" w:rsidRDefault="00252889" w:rsidP="00252889">
            <w:pPr>
              <w:pStyle w:val="TableText"/>
              <w:spacing w:line="257" w:lineRule="auto"/>
              <w:ind w:right="-57"/>
              <w:jc w:val="center"/>
            </w:pPr>
            <w:r w:rsidRPr="0015386A">
              <w:t>redacted</w:t>
            </w:r>
            <w:r w:rsidR="008603E5" w:rsidRPr="0015386A">
              <w:t xml:space="preserve"> </w:t>
            </w:r>
            <w:r w:rsidR="008603E5" w:rsidRPr="0015386A">
              <w:br/>
              <w:t>(</w:t>
            </w:r>
            <w:r w:rsidRPr="0015386A">
              <w:t>redacted</w:t>
            </w:r>
            <w:r w:rsidR="008603E5" w:rsidRPr="0015386A">
              <w:t>)</w:t>
            </w:r>
          </w:p>
        </w:tc>
        <w:tc>
          <w:tcPr>
            <w:tcW w:w="1276" w:type="dxa"/>
          </w:tcPr>
          <w:p w14:paraId="3B8DCD43" w14:textId="77777777" w:rsidR="008603E5" w:rsidRPr="009F4EBD" w:rsidRDefault="008603E5" w:rsidP="00E84BDF">
            <w:pPr>
              <w:pStyle w:val="TableText"/>
              <w:spacing w:line="257" w:lineRule="auto"/>
              <w:ind w:right="-57"/>
              <w:jc w:val="center"/>
            </w:pPr>
            <w:r w:rsidRPr="009F4EBD">
              <w:t xml:space="preserve">1.12 </w:t>
            </w:r>
            <w:r w:rsidRPr="009F4EBD">
              <w:br/>
              <w:t>(0.70, 1.77)</w:t>
            </w:r>
          </w:p>
        </w:tc>
        <w:tc>
          <w:tcPr>
            <w:tcW w:w="1276" w:type="dxa"/>
          </w:tcPr>
          <w:p w14:paraId="4A085D54" w14:textId="77777777" w:rsidR="008603E5" w:rsidRPr="009F4EBD" w:rsidRDefault="008603E5" w:rsidP="00E84BDF">
            <w:pPr>
              <w:pStyle w:val="TableText"/>
              <w:spacing w:line="257" w:lineRule="auto"/>
              <w:ind w:right="-57"/>
              <w:jc w:val="center"/>
            </w:pPr>
            <w:r w:rsidRPr="009F4EBD">
              <w:t xml:space="preserve">0.94 </w:t>
            </w:r>
            <w:r w:rsidRPr="009F4EBD">
              <w:br/>
              <w:t>(0.75, 1.17)</w:t>
            </w:r>
          </w:p>
        </w:tc>
      </w:tr>
    </w:tbl>
    <w:p w14:paraId="6B0F7FC5" w14:textId="77777777" w:rsidR="008603E5" w:rsidRPr="009F4EBD" w:rsidRDefault="008603E5" w:rsidP="008603E5">
      <w:pPr>
        <w:pStyle w:val="TableFooter"/>
        <w:jc w:val="left"/>
      </w:pPr>
      <w:r w:rsidRPr="009F4EBD">
        <w:t>BEP = biomarker evaluable population; CI = confidence interval; CPS = combined positive score; HR = hazard ratio; IC = tumour-infiltrating immune cells; ITT = intention-to-treat; OS</w:t>
      </w:r>
      <w:r>
        <w:t xml:space="preserve"> </w:t>
      </w:r>
      <w:r w:rsidRPr="009F4EBD">
        <w:t>=</w:t>
      </w:r>
      <w:r>
        <w:t xml:space="preserve"> </w:t>
      </w:r>
      <w:r w:rsidRPr="009F4EBD">
        <w:t>overall survival</w:t>
      </w:r>
    </w:p>
    <w:p w14:paraId="4CA59DE7" w14:textId="77777777" w:rsidR="008603E5" w:rsidRDefault="008603E5" w:rsidP="008603E5">
      <w:pPr>
        <w:pStyle w:val="TableFooter"/>
        <w:jc w:val="left"/>
      </w:pPr>
      <w:r w:rsidRPr="009F4EBD">
        <w:t>Source: Table 2(T).4.10 and Table 2(T).4.11 of the Secti</w:t>
      </w:r>
      <w:r>
        <w:t>on 2 – Test submission document</w:t>
      </w:r>
    </w:p>
    <w:p w14:paraId="08A79225" w14:textId="77777777" w:rsidR="008603E5" w:rsidRDefault="008603E5" w:rsidP="008603E5">
      <w:pPr>
        <w:pStyle w:val="Heading2"/>
        <w:spacing w:before="240"/>
      </w:pPr>
      <w:r>
        <w:t>Clinical effectiveness of atezolizumab</w:t>
      </w:r>
    </w:p>
    <w:p w14:paraId="1F9E4626" w14:textId="7F9CC7D5" w:rsidR="008603E5" w:rsidRDefault="008603E5" w:rsidP="008603E5">
      <w:pPr>
        <w:pStyle w:val="MSACESParagraph"/>
      </w:pPr>
      <w:r w:rsidRPr="00BB06B8">
        <w:t xml:space="preserve">Results from the 2 January 2019 cut-off </w:t>
      </w:r>
      <w:r>
        <w:t>are presented for the</w:t>
      </w:r>
      <w:r w:rsidR="005D3915">
        <w:t xml:space="preserve"> ITT unselected and PD-L1-</w:t>
      </w:r>
      <w:r w:rsidRPr="00BB06B8">
        <w:t>positive populations</w:t>
      </w:r>
      <w:r>
        <w:t xml:space="preserve"> (Table 1</w:t>
      </w:r>
      <w:r w:rsidR="00B3669E">
        <w:t>0</w:t>
      </w:r>
      <w:r>
        <w:t>)</w:t>
      </w:r>
      <w:r w:rsidR="005D3915">
        <w:t>, and for the PD-L1-</w:t>
      </w:r>
      <w:r w:rsidRPr="00BB06B8">
        <w:t>negative population</w:t>
      </w:r>
      <w:r>
        <w:t xml:space="preserve"> (Table 1</w:t>
      </w:r>
      <w:r w:rsidR="00B3669E">
        <w:t>1</w:t>
      </w:r>
      <w:r>
        <w:t>)</w:t>
      </w:r>
      <w:r w:rsidRPr="00BB06B8">
        <w:t>.</w:t>
      </w:r>
      <w:r>
        <w:t xml:space="preserve"> The Commentary stated that, f</w:t>
      </w:r>
      <w:r w:rsidR="005D3915">
        <w:t>or every 100 PD-L1-</w:t>
      </w:r>
      <w:r w:rsidRPr="00BB06B8">
        <w:t>positive patients treated with ATZ+nab-P</w:t>
      </w:r>
      <w:r>
        <w:t>,</w:t>
      </w:r>
      <w:r w:rsidRPr="00BB06B8">
        <w:t xml:space="preserve"> an additional 13 patients would remain progression-free at 1 year and an additional 14 patients would be alive after 2 years compared with nab-P monotherapy. In comparison, for every 100 unselected patients treated with ATZ+nab-P, only half as many additional patients (6) would remain progression-free at 1 year compared with nab-P monotherapy, but there would be no significant difference in the num</w:t>
      </w:r>
      <w:r w:rsidR="005D3915">
        <w:t>ber of ITT unselected and PD-L1-</w:t>
      </w:r>
      <w:r w:rsidRPr="00BB06B8">
        <w:t>negative patients remaining alive after 2 years (3–4 additional patients).</w:t>
      </w:r>
    </w:p>
    <w:p w14:paraId="15F5D5D5" w14:textId="41206473" w:rsidR="008603E5" w:rsidRPr="00B90F39" w:rsidRDefault="008603E5" w:rsidP="00B90F39">
      <w:pPr>
        <w:rPr>
          <w:rFonts w:ascii="Arial Narrow" w:hAnsi="Arial Narrow"/>
          <w:b/>
          <w:sz w:val="20"/>
        </w:rPr>
      </w:pPr>
      <w:bookmarkStart w:id="10" w:name="_Ref25759301"/>
      <w:r w:rsidRPr="00B90F39">
        <w:rPr>
          <w:rFonts w:ascii="Arial Narrow" w:hAnsi="Arial Narrow"/>
          <w:b/>
          <w:sz w:val="20"/>
        </w:rPr>
        <w:t xml:space="preserve">Table </w:t>
      </w:r>
      <w:bookmarkEnd w:id="10"/>
      <w:r w:rsidRPr="00B90F39">
        <w:rPr>
          <w:rFonts w:ascii="Arial Narrow" w:hAnsi="Arial Narrow"/>
          <w:b/>
          <w:sz w:val="20"/>
        </w:rPr>
        <w:t>10: Summary of PFS and OS compari</w:t>
      </w:r>
      <w:r w:rsidR="005D3915" w:rsidRPr="00B90F39">
        <w:rPr>
          <w:rFonts w:ascii="Arial Narrow" w:hAnsi="Arial Narrow"/>
          <w:b/>
          <w:sz w:val="20"/>
        </w:rPr>
        <w:t>ng the ITT unselected and PD-L1-</w:t>
      </w:r>
      <w:r w:rsidRPr="00B90F39">
        <w:rPr>
          <w:rFonts w:ascii="Arial Narrow" w:hAnsi="Arial Narrow"/>
          <w:b/>
          <w:sz w:val="20"/>
        </w:rPr>
        <w:t>positive populations in the IMpassion130 trial (</w:t>
      </w:r>
      <w:r w:rsidR="005D3915" w:rsidRPr="00B90F39">
        <w:rPr>
          <w:rFonts w:ascii="Arial Narrow" w:hAnsi="Arial Narrow"/>
          <w:b/>
          <w:sz w:val="20"/>
        </w:rPr>
        <w:t>data cut off</w:t>
      </w:r>
      <w:r w:rsidRPr="00B90F39">
        <w:rPr>
          <w:rFonts w:ascii="Arial Narrow" w:hAnsi="Arial Narrow"/>
          <w:b/>
          <w:sz w:val="20"/>
        </w:rPr>
        <w:t xml:space="preserve"> 2 January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9: Summary of PFS and OS comparing the ITT unselected and PD-L1 positive populations in the IMpassion130 trial (CCOD 2 January 2019)"/>
        <w:tblDescription w:val="Tabular summary of PFS and OS in trial population"/>
      </w:tblPr>
      <w:tblGrid>
        <w:gridCol w:w="2022"/>
        <w:gridCol w:w="1804"/>
        <w:gridCol w:w="1806"/>
        <w:gridCol w:w="1806"/>
        <w:gridCol w:w="1804"/>
      </w:tblGrid>
      <w:tr w:rsidR="008603E5" w:rsidRPr="009F4EBD" w14:paraId="24645F07" w14:textId="77777777" w:rsidTr="00E84BDF">
        <w:trPr>
          <w:trHeight w:val="146"/>
          <w:tblHeader/>
        </w:trPr>
        <w:tc>
          <w:tcPr>
            <w:tcW w:w="1094" w:type="pct"/>
            <w:vMerge w:val="restart"/>
            <w:tcBorders>
              <w:top w:val="single" w:sz="4" w:space="0" w:color="auto"/>
              <w:left w:val="single" w:sz="4" w:space="0" w:color="auto"/>
              <w:right w:val="single" w:sz="4" w:space="0" w:color="auto"/>
            </w:tcBorders>
            <w:shd w:val="clear" w:color="auto" w:fill="auto"/>
          </w:tcPr>
          <w:p w14:paraId="1318FE6F" w14:textId="77777777" w:rsidR="008603E5" w:rsidRPr="009F4EBD" w:rsidRDefault="008603E5" w:rsidP="00E84BDF">
            <w:pPr>
              <w:keepNext/>
              <w:widowControl w:val="0"/>
              <w:spacing w:before="40" w:after="40" w:line="257" w:lineRule="auto"/>
              <w:rPr>
                <w:rFonts w:ascii="Arial Narrow" w:hAnsi="Arial Narrow"/>
                <w:sz w:val="20"/>
              </w:rPr>
            </w:pPr>
          </w:p>
        </w:tc>
        <w:tc>
          <w:tcPr>
            <w:tcW w:w="19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E5A8B0" w14:textId="317D1E89" w:rsidR="008603E5" w:rsidRPr="009F4EBD" w:rsidRDefault="005D3915" w:rsidP="00E84BDF">
            <w:pPr>
              <w:keepNext/>
              <w:widowControl w:val="0"/>
              <w:spacing w:before="40" w:after="40" w:line="257" w:lineRule="auto"/>
              <w:jc w:val="center"/>
              <w:rPr>
                <w:rFonts w:ascii="Arial Narrow" w:hAnsi="Arial Narrow"/>
                <w:b/>
                <w:sz w:val="20"/>
              </w:rPr>
            </w:pPr>
            <w:r>
              <w:rPr>
                <w:rFonts w:ascii="Arial Narrow" w:hAnsi="Arial Narrow"/>
                <w:b/>
                <w:sz w:val="20"/>
              </w:rPr>
              <w:t>ITT PD-L1-</w:t>
            </w:r>
            <w:r w:rsidR="008603E5" w:rsidRPr="009F4EBD">
              <w:rPr>
                <w:rFonts w:ascii="Arial Narrow" w:hAnsi="Arial Narrow"/>
                <w:b/>
                <w:sz w:val="20"/>
              </w:rPr>
              <w:t>positive population</w:t>
            </w:r>
          </w:p>
        </w:tc>
        <w:tc>
          <w:tcPr>
            <w:tcW w:w="19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8542E7" w14:textId="77777777" w:rsidR="008603E5" w:rsidRPr="009F4EBD" w:rsidRDefault="008603E5" w:rsidP="00E84BDF">
            <w:pPr>
              <w:keepNext/>
              <w:widowControl w:val="0"/>
              <w:spacing w:before="40" w:after="40" w:line="257" w:lineRule="auto"/>
              <w:jc w:val="center"/>
              <w:rPr>
                <w:rFonts w:ascii="Arial Narrow" w:hAnsi="Arial Narrow"/>
                <w:b/>
                <w:sz w:val="20"/>
              </w:rPr>
            </w:pPr>
            <w:r w:rsidRPr="009F4EBD">
              <w:rPr>
                <w:rFonts w:ascii="Arial Narrow" w:hAnsi="Arial Narrow"/>
                <w:b/>
                <w:sz w:val="20"/>
              </w:rPr>
              <w:t>Unselected ITT population</w:t>
            </w:r>
          </w:p>
        </w:tc>
      </w:tr>
      <w:tr w:rsidR="008603E5" w:rsidRPr="009F4EBD" w14:paraId="55961D93" w14:textId="77777777" w:rsidTr="00E84BDF">
        <w:trPr>
          <w:trHeight w:val="207"/>
          <w:tblHeader/>
        </w:trPr>
        <w:tc>
          <w:tcPr>
            <w:tcW w:w="1094" w:type="pct"/>
            <w:vMerge/>
            <w:tcBorders>
              <w:left w:val="single" w:sz="4" w:space="0" w:color="auto"/>
              <w:bottom w:val="single" w:sz="4" w:space="0" w:color="auto"/>
              <w:right w:val="single" w:sz="4" w:space="0" w:color="auto"/>
            </w:tcBorders>
            <w:shd w:val="clear" w:color="auto" w:fill="auto"/>
            <w:vAlign w:val="bottom"/>
          </w:tcPr>
          <w:p w14:paraId="399E517B" w14:textId="77777777" w:rsidR="008603E5" w:rsidRPr="009F4EBD" w:rsidRDefault="008603E5" w:rsidP="00E84BDF">
            <w:pPr>
              <w:keepNext/>
              <w:widowControl w:val="0"/>
              <w:spacing w:before="40" w:after="40" w:line="256" w:lineRule="auto"/>
              <w:jc w:val="center"/>
              <w:rPr>
                <w:rFonts w:ascii="Arial Narrow" w:hAnsi="Arial Narrow"/>
                <w:b/>
                <w:sz w:val="20"/>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bottom"/>
          </w:tcPr>
          <w:p w14:paraId="09A8AF88" w14:textId="77777777" w:rsidR="008603E5" w:rsidRPr="009F4EBD" w:rsidRDefault="008603E5" w:rsidP="00E84BDF">
            <w:pPr>
              <w:keepNext/>
              <w:widowControl w:val="0"/>
              <w:spacing w:before="40" w:after="40" w:line="256" w:lineRule="auto"/>
              <w:jc w:val="center"/>
              <w:rPr>
                <w:rFonts w:ascii="Arial Narrow" w:hAnsi="Arial Narrow"/>
                <w:b/>
                <w:sz w:val="20"/>
              </w:rPr>
            </w:pPr>
            <w:r w:rsidRPr="008B027F">
              <w:rPr>
                <w:rFonts w:ascii="Arial Narrow" w:hAnsi="Arial Narrow"/>
                <w:b/>
                <w:sz w:val="20"/>
              </w:rPr>
              <w:t>ATZ+nab-P</w:t>
            </w:r>
          </w:p>
        </w:tc>
        <w:tc>
          <w:tcPr>
            <w:tcW w:w="977" w:type="pct"/>
            <w:tcBorders>
              <w:top w:val="single" w:sz="4" w:space="0" w:color="auto"/>
              <w:left w:val="single" w:sz="4" w:space="0" w:color="auto"/>
              <w:bottom w:val="single" w:sz="4" w:space="0" w:color="auto"/>
              <w:right w:val="single" w:sz="4" w:space="0" w:color="auto"/>
            </w:tcBorders>
            <w:shd w:val="clear" w:color="auto" w:fill="auto"/>
            <w:vAlign w:val="bottom"/>
          </w:tcPr>
          <w:p w14:paraId="2762B1B3" w14:textId="77777777" w:rsidR="008603E5" w:rsidRPr="009F4EBD" w:rsidRDefault="008603E5" w:rsidP="00E84BDF">
            <w:pPr>
              <w:keepNext/>
              <w:widowControl w:val="0"/>
              <w:spacing w:before="40" w:after="40" w:line="256" w:lineRule="auto"/>
              <w:jc w:val="center"/>
              <w:rPr>
                <w:rFonts w:ascii="Arial Narrow" w:hAnsi="Arial Narrow"/>
                <w:b/>
                <w:sz w:val="20"/>
              </w:rPr>
            </w:pPr>
            <w:r>
              <w:rPr>
                <w:rFonts w:ascii="Arial Narrow" w:hAnsi="Arial Narrow"/>
                <w:b/>
                <w:sz w:val="20"/>
              </w:rPr>
              <w:t>PBO+nab-P</w:t>
            </w:r>
          </w:p>
        </w:tc>
        <w:tc>
          <w:tcPr>
            <w:tcW w:w="977" w:type="pct"/>
            <w:tcBorders>
              <w:top w:val="single" w:sz="4" w:space="0" w:color="auto"/>
              <w:left w:val="single" w:sz="4" w:space="0" w:color="auto"/>
              <w:bottom w:val="single" w:sz="4" w:space="0" w:color="auto"/>
              <w:right w:val="single" w:sz="4" w:space="0" w:color="auto"/>
            </w:tcBorders>
            <w:shd w:val="clear" w:color="auto" w:fill="auto"/>
            <w:vAlign w:val="bottom"/>
          </w:tcPr>
          <w:p w14:paraId="1047E9D6" w14:textId="77777777" w:rsidR="008603E5" w:rsidRPr="009F4EBD" w:rsidRDefault="008603E5" w:rsidP="00E84BDF">
            <w:pPr>
              <w:keepNext/>
              <w:widowControl w:val="0"/>
              <w:spacing w:before="40" w:after="40" w:line="256" w:lineRule="auto"/>
              <w:jc w:val="center"/>
              <w:rPr>
                <w:rFonts w:ascii="Arial Narrow" w:hAnsi="Arial Narrow"/>
                <w:b/>
                <w:sz w:val="20"/>
              </w:rPr>
            </w:pPr>
            <w:r w:rsidRPr="008B027F">
              <w:rPr>
                <w:rFonts w:ascii="Arial Narrow" w:hAnsi="Arial Narrow"/>
                <w:b/>
                <w:sz w:val="20"/>
              </w:rPr>
              <w:t>ATZ+nab-P</w:t>
            </w:r>
          </w:p>
        </w:tc>
        <w:tc>
          <w:tcPr>
            <w:tcW w:w="977" w:type="pct"/>
            <w:tcBorders>
              <w:top w:val="single" w:sz="4" w:space="0" w:color="auto"/>
              <w:left w:val="single" w:sz="4" w:space="0" w:color="auto"/>
              <w:bottom w:val="single" w:sz="4" w:space="0" w:color="auto"/>
              <w:right w:val="single" w:sz="4" w:space="0" w:color="auto"/>
            </w:tcBorders>
            <w:shd w:val="clear" w:color="auto" w:fill="auto"/>
            <w:vAlign w:val="bottom"/>
          </w:tcPr>
          <w:p w14:paraId="31E266FF" w14:textId="77777777" w:rsidR="008603E5" w:rsidRPr="009F4EBD" w:rsidRDefault="008603E5" w:rsidP="00E84BDF">
            <w:pPr>
              <w:keepNext/>
              <w:widowControl w:val="0"/>
              <w:spacing w:before="40" w:after="40" w:line="256" w:lineRule="auto"/>
              <w:jc w:val="center"/>
              <w:rPr>
                <w:rFonts w:ascii="Arial Narrow" w:hAnsi="Arial Narrow"/>
                <w:b/>
                <w:sz w:val="20"/>
              </w:rPr>
            </w:pPr>
            <w:r>
              <w:rPr>
                <w:rFonts w:ascii="Arial Narrow" w:hAnsi="Arial Narrow"/>
                <w:b/>
                <w:sz w:val="20"/>
              </w:rPr>
              <w:t>PBO+nab-P</w:t>
            </w:r>
          </w:p>
        </w:tc>
      </w:tr>
      <w:tr w:rsidR="008603E5" w:rsidRPr="009F4EBD" w14:paraId="50EB95F9" w14:textId="77777777" w:rsidTr="00E84BDF">
        <w:trPr>
          <w:trHeight w:val="352"/>
        </w:trPr>
        <w:tc>
          <w:tcPr>
            <w:tcW w:w="5000" w:type="pct"/>
            <w:gridSpan w:val="5"/>
            <w:tcBorders>
              <w:top w:val="single" w:sz="4" w:space="0" w:color="auto"/>
              <w:left w:val="single" w:sz="4" w:space="0" w:color="auto"/>
              <w:bottom w:val="single" w:sz="4" w:space="0" w:color="auto"/>
              <w:right w:val="single" w:sz="4" w:space="0" w:color="auto"/>
            </w:tcBorders>
            <w:hideMark/>
          </w:tcPr>
          <w:p w14:paraId="7AF9818A" w14:textId="77777777" w:rsidR="008603E5" w:rsidRPr="009F4EBD" w:rsidRDefault="008603E5" w:rsidP="00E84BDF">
            <w:pPr>
              <w:keepNext/>
              <w:widowControl w:val="0"/>
              <w:spacing w:before="40" w:after="40" w:line="257" w:lineRule="auto"/>
              <w:rPr>
                <w:rFonts w:ascii="Arial Narrow" w:hAnsi="Arial Narrow"/>
                <w:b/>
                <w:sz w:val="20"/>
              </w:rPr>
            </w:pPr>
            <w:r w:rsidRPr="009F4EBD">
              <w:rPr>
                <w:rFonts w:ascii="Arial Narrow" w:hAnsi="Arial Narrow"/>
                <w:b/>
                <w:sz w:val="20"/>
              </w:rPr>
              <w:t>PFS</w:t>
            </w:r>
          </w:p>
        </w:tc>
      </w:tr>
      <w:tr w:rsidR="008603E5" w:rsidRPr="009F4EBD" w14:paraId="475A3D0B" w14:textId="77777777" w:rsidTr="00E84BDF">
        <w:trPr>
          <w:trHeight w:val="533"/>
        </w:trPr>
        <w:tc>
          <w:tcPr>
            <w:tcW w:w="1094" w:type="pct"/>
            <w:tcBorders>
              <w:top w:val="single" w:sz="4" w:space="0" w:color="auto"/>
              <w:left w:val="single" w:sz="4" w:space="0" w:color="auto"/>
              <w:bottom w:val="single" w:sz="4" w:space="0" w:color="auto"/>
              <w:right w:val="single" w:sz="4" w:space="0" w:color="auto"/>
            </w:tcBorders>
          </w:tcPr>
          <w:p w14:paraId="78E5619F"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Events/N (%)</w:t>
            </w:r>
          </w:p>
          <w:p w14:paraId="12DF0DBF"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Median (95% CI)</w:t>
            </w:r>
          </w:p>
        </w:tc>
        <w:tc>
          <w:tcPr>
            <w:tcW w:w="976" w:type="pct"/>
            <w:tcBorders>
              <w:top w:val="single" w:sz="4" w:space="0" w:color="auto"/>
              <w:left w:val="single" w:sz="4" w:space="0" w:color="auto"/>
              <w:bottom w:val="single" w:sz="4" w:space="0" w:color="auto"/>
              <w:right w:val="single" w:sz="4" w:space="0" w:color="auto"/>
            </w:tcBorders>
          </w:tcPr>
          <w:p w14:paraId="121F0AF7"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149/185 (80.5%)</w:t>
            </w:r>
          </w:p>
          <w:p w14:paraId="4BF47082"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7.46 (6.70, 9.23)</w:t>
            </w:r>
          </w:p>
        </w:tc>
        <w:tc>
          <w:tcPr>
            <w:tcW w:w="977" w:type="pct"/>
            <w:tcBorders>
              <w:top w:val="single" w:sz="4" w:space="0" w:color="auto"/>
              <w:left w:val="single" w:sz="4" w:space="0" w:color="auto"/>
              <w:bottom w:val="single" w:sz="4" w:space="0" w:color="auto"/>
              <w:right w:val="single" w:sz="4" w:space="0" w:color="auto"/>
            </w:tcBorders>
          </w:tcPr>
          <w:p w14:paraId="7B8D0FB4"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163/184 (88.6%)</w:t>
            </w:r>
          </w:p>
          <w:p w14:paraId="6DA05C7B"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5.29 (3.81, 5,55)</w:t>
            </w:r>
          </w:p>
        </w:tc>
        <w:tc>
          <w:tcPr>
            <w:tcW w:w="977" w:type="pct"/>
            <w:tcBorders>
              <w:top w:val="single" w:sz="4" w:space="0" w:color="auto"/>
              <w:left w:val="single" w:sz="4" w:space="0" w:color="auto"/>
              <w:bottom w:val="single" w:sz="4" w:space="0" w:color="auto"/>
              <w:right w:val="single" w:sz="4" w:space="0" w:color="auto"/>
            </w:tcBorders>
            <w:hideMark/>
          </w:tcPr>
          <w:p w14:paraId="3C08D0B2"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379/451 (84.0%)</w:t>
            </w:r>
          </w:p>
          <w:p w14:paraId="393B19CD"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7.16 (5.55, 7.43)</w:t>
            </w:r>
          </w:p>
        </w:tc>
        <w:tc>
          <w:tcPr>
            <w:tcW w:w="977" w:type="pct"/>
            <w:tcBorders>
              <w:top w:val="single" w:sz="4" w:space="0" w:color="auto"/>
              <w:left w:val="single" w:sz="4" w:space="0" w:color="auto"/>
              <w:bottom w:val="single" w:sz="4" w:space="0" w:color="auto"/>
              <w:right w:val="single" w:sz="4" w:space="0" w:color="auto"/>
            </w:tcBorders>
            <w:hideMark/>
          </w:tcPr>
          <w:p w14:paraId="2B599ED9"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404/451 (89.6%)</w:t>
            </w:r>
          </w:p>
          <w:p w14:paraId="282FA85A"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5.49 (5.32, 5.62)</w:t>
            </w:r>
          </w:p>
        </w:tc>
      </w:tr>
      <w:tr w:rsidR="008603E5" w:rsidRPr="009F4EBD" w14:paraId="458E1670" w14:textId="77777777" w:rsidTr="00E84BDF">
        <w:trPr>
          <w:trHeight w:val="560"/>
        </w:trPr>
        <w:tc>
          <w:tcPr>
            <w:tcW w:w="1094" w:type="pct"/>
            <w:tcBorders>
              <w:top w:val="single" w:sz="4" w:space="0" w:color="auto"/>
              <w:left w:val="single" w:sz="4" w:space="0" w:color="auto"/>
              <w:bottom w:val="single" w:sz="4" w:space="0" w:color="auto"/>
              <w:right w:val="single" w:sz="4" w:space="0" w:color="auto"/>
            </w:tcBorders>
          </w:tcPr>
          <w:p w14:paraId="6BE4993F"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Absolute difference</w:t>
            </w:r>
          </w:p>
          <w:p w14:paraId="3BD80650"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RD (95% CI) at 1 year</w:t>
            </w:r>
          </w:p>
        </w:tc>
        <w:tc>
          <w:tcPr>
            <w:tcW w:w="1953" w:type="pct"/>
            <w:gridSpan w:val="2"/>
            <w:tcBorders>
              <w:top w:val="single" w:sz="4" w:space="0" w:color="auto"/>
              <w:left w:val="single" w:sz="4" w:space="0" w:color="auto"/>
              <w:bottom w:val="single" w:sz="4" w:space="0" w:color="auto"/>
              <w:right w:val="single" w:sz="4" w:space="0" w:color="auto"/>
            </w:tcBorders>
            <w:hideMark/>
          </w:tcPr>
          <w:p w14:paraId="697711C9"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RD = –12.99 (–21.84, –4.14)</w:t>
            </w:r>
          </w:p>
        </w:tc>
        <w:tc>
          <w:tcPr>
            <w:tcW w:w="1953" w:type="pct"/>
            <w:gridSpan w:val="2"/>
            <w:tcBorders>
              <w:top w:val="single" w:sz="4" w:space="0" w:color="auto"/>
              <w:left w:val="single" w:sz="4" w:space="0" w:color="auto"/>
              <w:bottom w:val="single" w:sz="4" w:space="0" w:color="auto"/>
              <w:right w:val="single" w:sz="4" w:space="0" w:color="auto"/>
            </w:tcBorders>
            <w:hideMark/>
          </w:tcPr>
          <w:p w14:paraId="17F24D59"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RD = –6.06 (–11.61, –0.52)</w:t>
            </w:r>
          </w:p>
        </w:tc>
      </w:tr>
      <w:tr w:rsidR="008603E5" w:rsidRPr="009F4EBD" w14:paraId="7E652D3D" w14:textId="77777777" w:rsidTr="00E84BDF">
        <w:trPr>
          <w:trHeight w:val="319"/>
        </w:trPr>
        <w:tc>
          <w:tcPr>
            <w:tcW w:w="1094" w:type="pct"/>
            <w:tcBorders>
              <w:top w:val="single" w:sz="4" w:space="0" w:color="auto"/>
              <w:left w:val="single" w:sz="4" w:space="0" w:color="auto"/>
              <w:bottom w:val="single" w:sz="4" w:space="0" w:color="auto"/>
              <w:right w:val="single" w:sz="4" w:space="0" w:color="auto"/>
            </w:tcBorders>
            <w:hideMark/>
          </w:tcPr>
          <w:p w14:paraId="76FFAEFC"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HR (95% CI), p-value</w:t>
            </w:r>
          </w:p>
        </w:tc>
        <w:tc>
          <w:tcPr>
            <w:tcW w:w="1953" w:type="pct"/>
            <w:gridSpan w:val="2"/>
            <w:tcBorders>
              <w:top w:val="single" w:sz="4" w:space="0" w:color="auto"/>
              <w:left w:val="single" w:sz="4" w:space="0" w:color="auto"/>
              <w:bottom w:val="single" w:sz="4" w:space="0" w:color="auto"/>
              <w:right w:val="single" w:sz="4" w:space="0" w:color="auto"/>
            </w:tcBorders>
            <w:hideMark/>
          </w:tcPr>
          <w:p w14:paraId="49E8F3C1"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HR = 0.63 (0.50, 0.80), p &lt; 0.0001</w:t>
            </w:r>
          </w:p>
        </w:tc>
        <w:tc>
          <w:tcPr>
            <w:tcW w:w="1953" w:type="pct"/>
            <w:gridSpan w:val="2"/>
            <w:tcBorders>
              <w:top w:val="single" w:sz="4" w:space="0" w:color="auto"/>
              <w:left w:val="single" w:sz="4" w:space="0" w:color="auto"/>
              <w:bottom w:val="single" w:sz="4" w:space="0" w:color="auto"/>
              <w:right w:val="single" w:sz="4" w:space="0" w:color="auto"/>
            </w:tcBorders>
            <w:hideMark/>
          </w:tcPr>
          <w:p w14:paraId="08DC16D9"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HR = 0.80 (0.69, 0.92), p = 0.0021</w:t>
            </w:r>
          </w:p>
        </w:tc>
      </w:tr>
      <w:tr w:rsidR="008603E5" w:rsidRPr="009F4EBD" w14:paraId="3D0D7735" w14:textId="77777777" w:rsidTr="00E84BDF">
        <w:trPr>
          <w:trHeight w:val="352"/>
        </w:trPr>
        <w:tc>
          <w:tcPr>
            <w:tcW w:w="5000" w:type="pct"/>
            <w:gridSpan w:val="5"/>
            <w:tcBorders>
              <w:top w:val="single" w:sz="4" w:space="0" w:color="auto"/>
              <w:left w:val="single" w:sz="4" w:space="0" w:color="auto"/>
              <w:bottom w:val="single" w:sz="4" w:space="0" w:color="auto"/>
              <w:right w:val="single" w:sz="4" w:space="0" w:color="auto"/>
            </w:tcBorders>
            <w:hideMark/>
          </w:tcPr>
          <w:p w14:paraId="0A857606" w14:textId="77777777" w:rsidR="008603E5" w:rsidRPr="009F4EBD" w:rsidRDefault="008603E5" w:rsidP="00E84BDF">
            <w:pPr>
              <w:keepNext/>
              <w:widowControl w:val="0"/>
              <w:spacing w:before="40" w:after="40" w:line="257" w:lineRule="auto"/>
              <w:rPr>
                <w:rFonts w:ascii="Arial Narrow" w:hAnsi="Arial Narrow"/>
                <w:b/>
                <w:sz w:val="20"/>
              </w:rPr>
            </w:pPr>
            <w:r w:rsidRPr="009F4EBD">
              <w:rPr>
                <w:rFonts w:ascii="Arial Narrow" w:hAnsi="Arial Narrow"/>
                <w:b/>
                <w:sz w:val="20"/>
              </w:rPr>
              <w:t>OS</w:t>
            </w:r>
          </w:p>
        </w:tc>
      </w:tr>
      <w:tr w:rsidR="008603E5" w:rsidRPr="009F4EBD" w14:paraId="481442D0" w14:textId="77777777" w:rsidTr="00E84BDF">
        <w:trPr>
          <w:trHeight w:val="533"/>
        </w:trPr>
        <w:tc>
          <w:tcPr>
            <w:tcW w:w="1094" w:type="pct"/>
            <w:tcBorders>
              <w:top w:val="single" w:sz="4" w:space="0" w:color="auto"/>
              <w:left w:val="single" w:sz="4" w:space="0" w:color="auto"/>
              <w:bottom w:val="single" w:sz="4" w:space="0" w:color="auto"/>
              <w:right w:val="single" w:sz="4" w:space="0" w:color="auto"/>
            </w:tcBorders>
          </w:tcPr>
          <w:p w14:paraId="48A2FA7B" w14:textId="77777777" w:rsidR="008603E5" w:rsidRPr="009F4EBD" w:rsidRDefault="008603E5" w:rsidP="00E84BDF">
            <w:pPr>
              <w:keepNext/>
              <w:widowControl w:val="0"/>
              <w:spacing w:before="40" w:after="40" w:line="257" w:lineRule="auto"/>
              <w:rPr>
                <w:rFonts w:ascii="Arial Narrow" w:hAnsi="Arial Narrow"/>
                <w:b/>
                <w:sz w:val="20"/>
              </w:rPr>
            </w:pPr>
            <w:r w:rsidRPr="009F4EBD">
              <w:rPr>
                <w:rFonts w:ascii="Arial Narrow" w:hAnsi="Arial Narrow"/>
                <w:b/>
                <w:sz w:val="20"/>
              </w:rPr>
              <w:t>Events/N (%)</w:t>
            </w:r>
          </w:p>
          <w:p w14:paraId="2F700C70" w14:textId="77777777" w:rsidR="008603E5" w:rsidRPr="009F4EBD" w:rsidRDefault="008603E5" w:rsidP="00E84BDF">
            <w:pPr>
              <w:keepNext/>
              <w:widowControl w:val="0"/>
              <w:spacing w:before="40" w:after="40" w:line="257" w:lineRule="auto"/>
              <w:rPr>
                <w:rFonts w:ascii="Arial Narrow" w:hAnsi="Arial Narrow"/>
                <w:b/>
                <w:sz w:val="20"/>
              </w:rPr>
            </w:pPr>
            <w:r w:rsidRPr="009F4EBD">
              <w:rPr>
                <w:rFonts w:ascii="Arial Narrow" w:hAnsi="Arial Narrow"/>
                <w:b/>
                <w:sz w:val="20"/>
              </w:rPr>
              <w:t>Median (95% CI)</w:t>
            </w:r>
          </w:p>
        </w:tc>
        <w:tc>
          <w:tcPr>
            <w:tcW w:w="976" w:type="pct"/>
            <w:tcBorders>
              <w:top w:val="single" w:sz="4" w:space="0" w:color="auto"/>
              <w:left w:val="single" w:sz="4" w:space="0" w:color="auto"/>
              <w:bottom w:val="single" w:sz="4" w:space="0" w:color="auto"/>
              <w:right w:val="single" w:sz="4" w:space="0" w:color="auto"/>
            </w:tcBorders>
          </w:tcPr>
          <w:p w14:paraId="7899F0A9"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94/185 (50.8%)</w:t>
            </w:r>
          </w:p>
          <w:p w14:paraId="44B28AA4"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25.03 (19.55, 30.65)</w:t>
            </w:r>
          </w:p>
        </w:tc>
        <w:tc>
          <w:tcPr>
            <w:tcW w:w="977" w:type="pct"/>
            <w:tcBorders>
              <w:top w:val="single" w:sz="4" w:space="0" w:color="auto"/>
              <w:left w:val="single" w:sz="4" w:space="0" w:color="auto"/>
              <w:bottom w:val="single" w:sz="4" w:space="0" w:color="auto"/>
              <w:right w:val="single" w:sz="4" w:space="0" w:color="auto"/>
            </w:tcBorders>
          </w:tcPr>
          <w:p w14:paraId="107D8A2D"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110/184 (59.8%)</w:t>
            </w:r>
          </w:p>
          <w:p w14:paraId="3B2A9699"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17.97 (13.63, 20.07)</w:t>
            </w:r>
          </w:p>
        </w:tc>
        <w:tc>
          <w:tcPr>
            <w:tcW w:w="977" w:type="pct"/>
            <w:tcBorders>
              <w:top w:val="single" w:sz="4" w:space="0" w:color="auto"/>
              <w:left w:val="single" w:sz="4" w:space="0" w:color="auto"/>
              <w:bottom w:val="single" w:sz="4" w:space="0" w:color="auto"/>
              <w:right w:val="single" w:sz="4" w:space="0" w:color="auto"/>
            </w:tcBorders>
            <w:hideMark/>
          </w:tcPr>
          <w:p w14:paraId="6BE03289"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255/451 (56.5%)</w:t>
            </w:r>
          </w:p>
          <w:p w14:paraId="12FFB280"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20.99 (19.02, 22.60)</w:t>
            </w:r>
          </w:p>
        </w:tc>
        <w:tc>
          <w:tcPr>
            <w:tcW w:w="977" w:type="pct"/>
            <w:tcBorders>
              <w:top w:val="single" w:sz="4" w:space="0" w:color="auto"/>
              <w:left w:val="single" w:sz="4" w:space="0" w:color="auto"/>
              <w:bottom w:val="single" w:sz="4" w:space="0" w:color="auto"/>
              <w:right w:val="single" w:sz="4" w:space="0" w:color="auto"/>
            </w:tcBorders>
            <w:hideMark/>
          </w:tcPr>
          <w:p w14:paraId="766F8E5F"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279/451 (61.9%)</w:t>
            </w:r>
          </w:p>
          <w:p w14:paraId="30B5C35B" w14:textId="77777777" w:rsidR="008603E5" w:rsidRPr="009F4EBD" w:rsidRDefault="008603E5" w:rsidP="00E84BDF">
            <w:pPr>
              <w:keepNext/>
              <w:widowControl w:val="0"/>
              <w:spacing w:before="40" w:after="40" w:line="257" w:lineRule="auto"/>
              <w:jc w:val="center"/>
              <w:rPr>
                <w:rFonts w:ascii="Arial Narrow" w:hAnsi="Arial Narrow"/>
                <w:sz w:val="20"/>
              </w:rPr>
            </w:pPr>
            <w:r w:rsidRPr="009F4EBD">
              <w:rPr>
                <w:rFonts w:ascii="Arial Narrow" w:hAnsi="Arial Narrow"/>
                <w:sz w:val="20"/>
              </w:rPr>
              <w:t>18.73 (16.85, 20.30)</w:t>
            </w:r>
          </w:p>
        </w:tc>
      </w:tr>
      <w:tr w:rsidR="008603E5" w:rsidRPr="009F4EBD" w14:paraId="770AF243" w14:textId="77777777" w:rsidTr="00E84BDF">
        <w:trPr>
          <w:trHeight w:val="479"/>
        </w:trPr>
        <w:tc>
          <w:tcPr>
            <w:tcW w:w="1094" w:type="pct"/>
            <w:tcBorders>
              <w:top w:val="single" w:sz="4" w:space="0" w:color="auto"/>
              <w:left w:val="single" w:sz="4" w:space="0" w:color="auto"/>
              <w:bottom w:val="single" w:sz="4" w:space="0" w:color="auto"/>
              <w:right w:val="single" w:sz="4" w:space="0" w:color="auto"/>
            </w:tcBorders>
          </w:tcPr>
          <w:p w14:paraId="4C540DB6"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Absolute difference</w:t>
            </w:r>
          </w:p>
          <w:p w14:paraId="4F9EEB63"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RD (95% CI) at 2 years</w:t>
            </w:r>
          </w:p>
        </w:tc>
        <w:tc>
          <w:tcPr>
            <w:tcW w:w="1953" w:type="pct"/>
            <w:gridSpan w:val="2"/>
            <w:tcBorders>
              <w:top w:val="single" w:sz="4" w:space="0" w:color="auto"/>
              <w:left w:val="single" w:sz="4" w:space="0" w:color="auto"/>
              <w:bottom w:val="single" w:sz="4" w:space="0" w:color="auto"/>
              <w:right w:val="single" w:sz="4" w:space="0" w:color="auto"/>
            </w:tcBorders>
            <w:hideMark/>
          </w:tcPr>
          <w:p w14:paraId="1EB920DD"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RD = –13.80 (–24.94, –2.66)</w:t>
            </w:r>
          </w:p>
        </w:tc>
        <w:tc>
          <w:tcPr>
            <w:tcW w:w="1953" w:type="pct"/>
            <w:gridSpan w:val="2"/>
            <w:tcBorders>
              <w:top w:val="single" w:sz="4" w:space="0" w:color="auto"/>
              <w:left w:val="single" w:sz="4" w:space="0" w:color="auto"/>
              <w:bottom w:val="single" w:sz="4" w:space="0" w:color="auto"/>
              <w:right w:val="single" w:sz="4" w:space="0" w:color="auto"/>
            </w:tcBorders>
            <w:hideMark/>
          </w:tcPr>
          <w:p w14:paraId="3F2E8757"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RD = –3.69 (–10.75, 3.38)</w:t>
            </w:r>
          </w:p>
        </w:tc>
      </w:tr>
      <w:tr w:rsidR="008603E5" w:rsidRPr="009F4EBD" w14:paraId="2DC5096D" w14:textId="77777777" w:rsidTr="00E84BDF">
        <w:trPr>
          <w:trHeight w:val="187"/>
        </w:trPr>
        <w:tc>
          <w:tcPr>
            <w:tcW w:w="1094" w:type="pct"/>
            <w:tcBorders>
              <w:top w:val="single" w:sz="4" w:space="0" w:color="auto"/>
              <w:left w:val="single" w:sz="4" w:space="0" w:color="auto"/>
              <w:bottom w:val="single" w:sz="4" w:space="0" w:color="auto"/>
              <w:right w:val="single" w:sz="4" w:space="0" w:color="auto"/>
            </w:tcBorders>
            <w:hideMark/>
          </w:tcPr>
          <w:p w14:paraId="79FCF67D" w14:textId="77777777" w:rsidR="008603E5" w:rsidRPr="009F4EBD" w:rsidRDefault="008603E5" w:rsidP="00E84BDF">
            <w:pPr>
              <w:keepNext/>
              <w:widowControl w:val="0"/>
              <w:spacing w:before="40" w:after="40" w:line="256" w:lineRule="auto"/>
              <w:rPr>
                <w:rFonts w:ascii="Arial Narrow" w:hAnsi="Arial Narrow"/>
                <w:b/>
                <w:sz w:val="20"/>
              </w:rPr>
            </w:pPr>
            <w:r w:rsidRPr="009F4EBD">
              <w:rPr>
                <w:rFonts w:ascii="Arial Narrow" w:hAnsi="Arial Narrow"/>
                <w:b/>
                <w:sz w:val="20"/>
              </w:rPr>
              <w:t xml:space="preserve">HR (95% CI), p-value </w:t>
            </w:r>
          </w:p>
        </w:tc>
        <w:tc>
          <w:tcPr>
            <w:tcW w:w="1953" w:type="pct"/>
            <w:gridSpan w:val="2"/>
            <w:tcBorders>
              <w:top w:val="single" w:sz="4" w:space="0" w:color="auto"/>
              <w:left w:val="single" w:sz="4" w:space="0" w:color="auto"/>
              <w:bottom w:val="single" w:sz="4" w:space="0" w:color="auto"/>
              <w:right w:val="single" w:sz="4" w:space="0" w:color="auto"/>
            </w:tcBorders>
            <w:hideMark/>
          </w:tcPr>
          <w:p w14:paraId="788906E1" w14:textId="77777777" w:rsidR="008603E5" w:rsidRPr="00632EB8" w:rsidRDefault="008603E5" w:rsidP="00E84BDF">
            <w:pPr>
              <w:keepNext/>
              <w:widowControl w:val="0"/>
              <w:spacing w:before="40" w:after="40" w:line="256" w:lineRule="auto"/>
              <w:jc w:val="center"/>
              <w:rPr>
                <w:rFonts w:ascii="Arial Narrow" w:hAnsi="Arial Narrow"/>
                <w:sz w:val="20"/>
                <w:vertAlign w:val="superscript"/>
              </w:rPr>
            </w:pPr>
            <w:r w:rsidRPr="009F4EBD">
              <w:rPr>
                <w:rFonts w:ascii="Arial Narrow" w:hAnsi="Arial Narrow"/>
                <w:sz w:val="20"/>
              </w:rPr>
              <w:t>HR = 0.71 (0.54, 0.93), p = 0.0133</w:t>
            </w:r>
            <w:r>
              <w:rPr>
                <w:rFonts w:ascii="Arial Narrow" w:hAnsi="Arial Narrow"/>
                <w:sz w:val="20"/>
                <w:vertAlign w:val="superscript"/>
              </w:rPr>
              <w:t>a</w:t>
            </w:r>
          </w:p>
        </w:tc>
        <w:tc>
          <w:tcPr>
            <w:tcW w:w="1953" w:type="pct"/>
            <w:gridSpan w:val="2"/>
            <w:tcBorders>
              <w:top w:val="single" w:sz="4" w:space="0" w:color="auto"/>
              <w:left w:val="single" w:sz="4" w:space="0" w:color="auto"/>
              <w:bottom w:val="single" w:sz="4" w:space="0" w:color="auto"/>
              <w:right w:val="single" w:sz="4" w:space="0" w:color="auto"/>
            </w:tcBorders>
            <w:hideMark/>
          </w:tcPr>
          <w:p w14:paraId="3BD9CE1D" w14:textId="77777777" w:rsidR="008603E5" w:rsidRPr="009F4EBD" w:rsidRDefault="008603E5" w:rsidP="00E84BDF">
            <w:pPr>
              <w:keepNext/>
              <w:widowControl w:val="0"/>
              <w:spacing w:before="40" w:after="40" w:line="256" w:lineRule="auto"/>
              <w:jc w:val="center"/>
              <w:rPr>
                <w:rFonts w:ascii="Arial Narrow" w:hAnsi="Arial Narrow"/>
                <w:sz w:val="20"/>
              </w:rPr>
            </w:pPr>
            <w:r w:rsidRPr="009F4EBD">
              <w:rPr>
                <w:rFonts w:ascii="Arial Narrow" w:hAnsi="Arial Narrow"/>
                <w:sz w:val="20"/>
              </w:rPr>
              <w:t>HR = 0.86 (0.72, 1.02), p = 0.0777</w:t>
            </w:r>
          </w:p>
        </w:tc>
      </w:tr>
    </w:tbl>
    <w:p w14:paraId="7B075ABC" w14:textId="77777777" w:rsidR="008603E5" w:rsidRDefault="008603E5" w:rsidP="008603E5">
      <w:pPr>
        <w:keepNext/>
        <w:widowControl w:val="0"/>
        <w:spacing w:after="240"/>
        <w:contextualSpacing/>
        <w:rPr>
          <w:rFonts w:ascii="Arial Narrow" w:hAnsi="Arial Narrow" w:cs="Arial"/>
          <w:snapToGrid w:val="0"/>
          <w:sz w:val="18"/>
        </w:rPr>
      </w:pPr>
      <w:r w:rsidRPr="00CE2F21">
        <w:rPr>
          <w:rFonts w:ascii="Arial Narrow" w:hAnsi="Arial Narrow" w:cs="Arial"/>
          <w:snapToGrid w:val="0"/>
          <w:sz w:val="18"/>
        </w:rPr>
        <w:t>ATZ+nab-P = atezolizumab + nab-paclitaxel</w:t>
      </w:r>
      <w:r>
        <w:rPr>
          <w:rFonts w:ascii="Arial Narrow" w:hAnsi="Arial Narrow" w:cs="Arial"/>
          <w:snapToGrid w:val="0"/>
          <w:sz w:val="18"/>
        </w:rPr>
        <w:t>;</w:t>
      </w:r>
      <w:r w:rsidRPr="00CE2F21">
        <w:rPr>
          <w:rFonts w:ascii="Arial Narrow" w:hAnsi="Arial Narrow" w:cs="Arial"/>
          <w:snapToGrid w:val="0"/>
          <w:sz w:val="18"/>
        </w:rPr>
        <w:t xml:space="preserve"> </w:t>
      </w:r>
      <w:r w:rsidRPr="009F4EBD">
        <w:rPr>
          <w:rFonts w:ascii="Arial Narrow" w:hAnsi="Arial Narrow" w:cs="Arial"/>
          <w:snapToGrid w:val="0"/>
          <w:sz w:val="18"/>
        </w:rPr>
        <w:t>CI = confidence interval; HR = hazard ratio</w:t>
      </w:r>
      <w:r>
        <w:rPr>
          <w:rFonts w:ascii="Arial Narrow" w:hAnsi="Arial Narrow" w:cs="Arial"/>
          <w:snapToGrid w:val="0"/>
          <w:sz w:val="18"/>
        </w:rPr>
        <w:t xml:space="preserve">; ITT = intention-to-treat; </w:t>
      </w:r>
      <w:r w:rsidRPr="009F4EBD">
        <w:rPr>
          <w:rFonts w:ascii="Arial Narrow" w:hAnsi="Arial Narrow" w:cs="Arial"/>
          <w:snapToGrid w:val="0"/>
          <w:sz w:val="18"/>
        </w:rPr>
        <w:t xml:space="preserve">N = total participants in group; </w:t>
      </w:r>
      <w:r>
        <w:rPr>
          <w:rFonts w:ascii="Arial Narrow" w:hAnsi="Arial Narrow" w:cs="Arial"/>
          <w:snapToGrid w:val="0"/>
          <w:sz w:val="18"/>
        </w:rPr>
        <w:t>OS = overall survival; PBO</w:t>
      </w:r>
      <w:r w:rsidRPr="00CE2F21">
        <w:rPr>
          <w:rFonts w:ascii="Arial Narrow" w:hAnsi="Arial Narrow" w:cs="Arial"/>
          <w:snapToGrid w:val="0"/>
          <w:sz w:val="18"/>
        </w:rPr>
        <w:t xml:space="preserve">+nab-P = </w:t>
      </w:r>
      <w:r>
        <w:rPr>
          <w:rFonts w:ascii="Arial Narrow" w:hAnsi="Arial Narrow" w:cs="Arial"/>
          <w:snapToGrid w:val="0"/>
          <w:sz w:val="18"/>
        </w:rPr>
        <w:t>placebo</w:t>
      </w:r>
      <w:r w:rsidRPr="00CE2F21">
        <w:rPr>
          <w:rFonts w:ascii="Arial Narrow" w:hAnsi="Arial Narrow" w:cs="Arial"/>
          <w:snapToGrid w:val="0"/>
          <w:sz w:val="18"/>
        </w:rPr>
        <w:t xml:space="preserve"> + nab-paclitaxel</w:t>
      </w:r>
      <w:r>
        <w:rPr>
          <w:rFonts w:ascii="Arial Narrow" w:hAnsi="Arial Narrow" w:cs="Arial"/>
          <w:snapToGrid w:val="0"/>
          <w:sz w:val="18"/>
        </w:rPr>
        <w:t>; PD-L1 = programmed death ligand 1; PFS = progression-free survival; RD = risk difference</w:t>
      </w:r>
    </w:p>
    <w:p w14:paraId="6430CAB7" w14:textId="77777777" w:rsidR="008603E5" w:rsidRPr="00632EB8" w:rsidRDefault="008603E5" w:rsidP="008603E5">
      <w:pPr>
        <w:widowControl w:val="0"/>
        <w:spacing w:after="240"/>
        <w:contextualSpacing/>
        <w:rPr>
          <w:rFonts w:ascii="Arial Narrow" w:hAnsi="Arial Narrow" w:cs="Arial"/>
          <w:snapToGrid w:val="0"/>
          <w:sz w:val="18"/>
        </w:rPr>
      </w:pPr>
      <w:r>
        <w:rPr>
          <w:rFonts w:ascii="Arial Narrow" w:hAnsi="Arial Narrow" w:cs="Arial"/>
          <w:snapToGrid w:val="0"/>
          <w:sz w:val="18"/>
          <w:vertAlign w:val="superscript"/>
        </w:rPr>
        <w:t>a</w:t>
      </w:r>
      <w:r>
        <w:rPr>
          <w:rFonts w:ascii="Arial Narrow" w:hAnsi="Arial Narrow" w:cs="Arial"/>
          <w:snapToGrid w:val="0"/>
          <w:sz w:val="18"/>
        </w:rPr>
        <w:t xml:space="preserve"> </w:t>
      </w:r>
      <w:r w:rsidRPr="008071FD">
        <w:rPr>
          <w:rFonts w:ascii="Arial Narrow" w:hAnsi="Arial Narrow" w:cs="Arial"/>
          <w:snapToGrid w:val="0"/>
          <w:sz w:val="18"/>
        </w:rPr>
        <w:t xml:space="preserve">No formal testing of OS was performed in the PD-L1-positive population because </w:t>
      </w:r>
      <w:r>
        <w:rPr>
          <w:rFonts w:ascii="Arial Narrow" w:hAnsi="Arial Narrow" w:cs="Arial"/>
          <w:snapToGrid w:val="0"/>
          <w:sz w:val="18"/>
        </w:rPr>
        <w:t xml:space="preserve">the </w:t>
      </w:r>
      <w:r w:rsidRPr="008071FD">
        <w:rPr>
          <w:rFonts w:ascii="Arial Narrow" w:hAnsi="Arial Narrow" w:cs="Arial"/>
          <w:snapToGrid w:val="0"/>
          <w:sz w:val="18"/>
        </w:rPr>
        <w:t>hierarchy design indicated formal testing could only occur if OS was first statistically significant in the ITT population, which it was not.</w:t>
      </w:r>
    </w:p>
    <w:p w14:paraId="3EDDC864" w14:textId="77777777" w:rsidR="008603E5" w:rsidRDefault="008603E5" w:rsidP="008603E5">
      <w:pPr>
        <w:widowControl w:val="0"/>
        <w:spacing w:after="240"/>
        <w:rPr>
          <w:rFonts w:ascii="Arial Narrow" w:hAnsi="Arial Narrow" w:cs="Arial"/>
          <w:snapToGrid w:val="0"/>
          <w:sz w:val="18"/>
        </w:rPr>
      </w:pPr>
      <w:r w:rsidRPr="009F4EBD">
        <w:rPr>
          <w:rFonts w:ascii="Arial Narrow" w:hAnsi="Arial Narrow" w:cs="Arial"/>
          <w:snapToGrid w:val="0"/>
          <w:sz w:val="18"/>
        </w:rPr>
        <w:t xml:space="preserve">Source: Table 2.5.1, Table 2.5.2, Table 2.5.3 and Table 2.5.4 of the </w:t>
      </w:r>
      <w:r w:rsidRPr="008D006C">
        <w:rPr>
          <w:rFonts w:ascii="Arial Narrow" w:hAnsi="Arial Narrow" w:cs="Arial"/>
          <w:snapToGrid w:val="0"/>
          <w:sz w:val="18"/>
        </w:rPr>
        <w:t>MSAC_PBAC Combined Submission</w:t>
      </w:r>
    </w:p>
    <w:p w14:paraId="5D5D6C1C" w14:textId="634D6038" w:rsidR="008603E5" w:rsidRPr="00B90F39" w:rsidRDefault="008603E5" w:rsidP="00B90F39">
      <w:pPr>
        <w:rPr>
          <w:rFonts w:ascii="Arial Narrow" w:hAnsi="Arial Narrow"/>
          <w:b/>
          <w:sz w:val="20"/>
        </w:rPr>
      </w:pPr>
      <w:bookmarkStart w:id="11" w:name="_Ref26458837"/>
      <w:r w:rsidRPr="00B90F39">
        <w:rPr>
          <w:rFonts w:ascii="Arial Narrow" w:hAnsi="Arial Narrow"/>
          <w:b/>
          <w:sz w:val="20"/>
        </w:rPr>
        <w:t xml:space="preserve">Table </w:t>
      </w:r>
      <w:bookmarkEnd w:id="11"/>
      <w:r w:rsidRPr="00B90F39">
        <w:rPr>
          <w:rFonts w:ascii="Arial Narrow" w:hAnsi="Arial Narrow"/>
          <w:b/>
          <w:sz w:val="20"/>
        </w:rPr>
        <w:t>11</w:t>
      </w:r>
      <w:r w:rsidR="005D3915" w:rsidRPr="00B90F39">
        <w:rPr>
          <w:rFonts w:ascii="Arial Narrow" w:hAnsi="Arial Narrow"/>
          <w:b/>
          <w:sz w:val="20"/>
        </w:rPr>
        <w:t>: Summary of OS for the PD-L1-</w:t>
      </w:r>
      <w:r w:rsidRPr="00B90F39">
        <w:rPr>
          <w:rFonts w:ascii="Arial Narrow" w:hAnsi="Arial Narrow"/>
          <w:b/>
          <w:sz w:val="20"/>
        </w:rPr>
        <w:t>negative treatment arms in the IMpassion130 trial (</w:t>
      </w:r>
      <w:r w:rsidR="005D3915" w:rsidRPr="00B90F39">
        <w:rPr>
          <w:rFonts w:ascii="Arial Narrow" w:hAnsi="Arial Narrow"/>
          <w:b/>
          <w:sz w:val="20"/>
        </w:rPr>
        <w:t>data cut off</w:t>
      </w:r>
      <w:r w:rsidRPr="00B90F39">
        <w:rPr>
          <w:rFonts w:ascii="Arial Narrow" w:hAnsi="Arial Narrow"/>
          <w:b/>
          <w:sz w:val="20"/>
        </w:rPr>
        <w:t xml:space="preserve"> 2 January 2019)</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0: Summary of OS for the PD-L1 negative treatment arms in the IMpassion130 trial (CCOD 2 January 2019)"/>
        <w:tblDescription w:val="Tabular summary of OS in trial popuation"/>
      </w:tblPr>
      <w:tblGrid>
        <w:gridCol w:w="3828"/>
        <w:gridCol w:w="2622"/>
        <w:gridCol w:w="2622"/>
      </w:tblGrid>
      <w:tr w:rsidR="008603E5" w:rsidRPr="009F4EBD" w14:paraId="1A2BC993" w14:textId="77777777" w:rsidTr="00E84BDF">
        <w:trPr>
          <w:trHeight w:val="146"/>
          <w:tblHeader/>
        </w:trPr>
        <w:tc>
          <w:tcPr>
            <w:tcW w:w="3828" w:type="dxa"/>
            <w:vMerge w:val="restart"/>
            <w:tcBorders>
              <w:top w:val="single" w:sz="4" w:space="0" w:color="auto"/>
              <w:left w:val="single" w:sz="4" w:space="0" w:color="auto"/>
              <w:right w:val="single" w:sz="4" w:space="0" w:color="auto"/>
            </w:tcBorders>
            <w:shd w:val="clear" w:color="auto" w:fill="auto"/>
          </w:tcPr>
          <w:p w14:paraId="64094875" w14:textId="77777777" w:rsidR="008603E5" w:rsidRPr="009F4EBD" w:rsidRDefault="008603E5" w:rsidP="00E84BDF">
            <w:pPr>
              <w:widowControl w:val="0"/>
              <w:spacing w:before="40" w:after="40" w:line="257" w:lineRule="auto"/>
              <w:rPr>
                <w:rFonts w:ascii="Arial Narrow" w:hAnsi="Arial Narrow"/>
                <w:b/>
                <w:sz w:val="20"/>
              </w:rPr>
            </w:pPr>
            <w:r w:rsidRPr="009F4EBD">
              <w:rPr>
                <w:rFonts w:ascii="Arial Narrow" w:hAnsi="Arial Narrow"/>
                <w:b/>
                <w:sz w:val="20"/>
              </w:rPr>
              <w:t>OS</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2DABFC" w14:textId="77777777" w:rsidR="008603E5" w:rsidRPr="009F4EBD" w:rsidRDefault="008603E5" w:rsidP="00E84BDF">
            <w:pPr>
              <w:widowControl w:val="0"/>
              <w:spacing w:before="40" w:after="40" w:line="257" w:lineRule="auto"/>
              <w:jc w:val="center"/>
              <w:rPr>
                <w:rFonts w:ascii="Arial Narrow" w:hAnsi="Arial Narrow"/>
                <w:b/>
                <w:sz w:val="20"/>
              </w:rPr>
            </w:pPr>
            <w:r w:rsidRPr="009F4EBD">
              <w:rPr>
                <w:rFonts w:ascii="Arial Narrow" w:hAnsi="Arial Narrow"/>
                <w:b/>
                <w:sz w:val="20"/>
              </w:rPr>
              <w:t>ITT PD-L1 negative population</w:t>
            </w:r>
          </w:p>
        </w:tc>
      </w:tr>
      <w:tr w:rsidR="008603E5" w:rsidRPr="009F4EBD" w14:paraId="2B490178" w14:textId="77777777" w:rsidTr="00E84BDF">
        <w:trPr>
          <w:trHeight w:val="357"/>
          <w:tblHeader/>
        </w:trPr>
        <w:tc>
          <w:tcPr>
            <w:tcW w:w="3828" w:type="dxa"/>
            <w:vMerge/>
            <w:tcBorders>
              <w:left w:val="single" w:sz="4" w:space="0" w:color="auto"/>
              <w:bottom w:val="single" w:sz="4" w:space="0" w:color="auto"/>
              <w:right w:val="single" w:sz="4" w:space="0" w:color="auto"/>
            </w:tcBorders>
            <w:shd w:val="clear" w:color="auto" w:fill="auto"/>
            <w:vAlign w:val="bottom"/>
          </w:tcPr>
          <w:p w14:paraId="1CE0DCE1" w14:textId="77777777" w:rsidR="008603E5" w:rsidRPr="009F4EBD" w:rsidRDefault="008603E5" w:rsidP="00E84BDF">
            <w:pPr>
              <w:widowControl w:val="0"/>
              <w:spacing w:before="40" w:after="40" w:line="256" w:lineRule="auto"/>
              <w:jc w:val="center"/>
              <w:rPr>
                <w:rFonts w:ascii="Arial Narrow" w:hAnsi="Arial Narrow"/>
                <w:b/>
                <w:sz w:val="20"/>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bottom"/>
          </w:tcPr>
          <w:p w14:paraId="79865A5C" w14:textId="77777777" w:rsidR="008603E5" w:rsidRPr="00F85F3F" w:rsidRDefault="008603E5" w:rsidP="00E84BDF">
            <w:pPr>
              <w:widowControl w:val="0"/>
              <w:spacing w:before="40" w:after="40" w:line="256" w:lineRule="auto"/>
              <w:jc w:val="center"/>
              <w:rPr>
                <w:rFonts w:ascii="Arial Narrow" w:hAnsi="Arial Narrow"/>
                <w:b/>
                <w:sz w:val="20"/>
              </w:rPr>
            </w:pPr>
            <w:r w:rsidRPr="00767DFA">
              <w:rPr>
                <w:rFonts w:ascii="Arial Narrow" w:hAnsi="Arial Narrow"/>
                <w:b/>
                <w:sz w:val="20"/>
              </w:rPr>
              <w:t>ATZ+nab-P</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bottom"/>
          </w:tcPr>
          <w:p w14:paraId="32456539" w14:textId="77777777" w:rsidR="008603E5" w:rsidRPr="009F4EBD" w:rsidRDefault="008603E5" w:rsidP="00E84BDF">
            <w:pPr>
              <w:widowControl w:val="0"/>
              <w:spacing w:before="40" w:after="40" w:line="256" w:lineRule="auto"/>
              <w:jc w:val="center"/>
              <w:rPr>
                <w:rFonts w:ascii="Arial Narrow" w:hAnsi="Arial Narrow"/>
                <w:b/>
                <w:sz w:val="20"/>
              </w:rPr>
            </w:pPr>
            <w:r>
              <w:rPr>
                <w:rFonts w:ascii="Arial Narrow" w:hAnsi="Arial Narrow"/>
                <w:b/>
                <w:sz w:val="20"/>
              </w:rPr>
              <w:t>PBO+</w:t>
            </w:r>
            <w:r w:rsidRPr="009F4EBD">
              <w:rPr>
                <w:rFonts w:ascii="Arial Narrow" w:hAnsi="Arial Narrow"/>
                <w:b/>
                <w:sz w:val="20"/>
              </w:rPr>
              <w:t>nab-</w:t>
            </w:r>
            <w:r>
              <w:rPr>
                <w:rFonts w:ascii="Arial Narrow" w:hAnsi="Arial Narrow"/>
                <w:b/>
                <w:sz w:val="20"/>
              </w:rPr>
              <w:t>P</w:t>
            </w:r>
          </w:p>
        </w:tc>
      </w:tr>
      <w:tr w:rsidR="008603E5" w:rsidRPr="009F4EBD" w14:paraId="122C1E81" w14:textId="77777777" w:rsidTr="00E84BDF">
        <w:trPr>
          <w:trHeight w:val="557"/>
        </w:trPr>
        <w:tc>
          <w:tcPr>
            <w:tcW w:w="3828" w:type="dxa"/>
            <w:tcBorders>
              <w:top w:val="single" w:sz="4" w:space="0" w:color="auto"/>
              <w:left w:val="single" w:sz="4" w:space="0" w:color="auto"/>
              <w:bottom w:val="single" w:sz="4" w:space="0" w:color="auto"/>
              <w:right w:val="single" w:sz="4" w:space="0" w:color="auto"/>
            </w:tcBorders>
          </w:tcPr>
          <w:p w14:paraId="2ACA1031" w14:textId="77777777" w:rsidR="008603E5" w:rsidRPr="009F4EBD" w:rsidRDefault="008603E5" w:rsidP="00E84BDF">
            <w:pPr>
              <w:widowControl w:val="0"/>
              <w:spacing w:before="40" w:after="40" w:line="257" w:lineRule="auto"/>
              <w:rPr>
                <w:rFonts w:ascii="Arial Narrow" w:hAnsi="Arial Narrow"/>
                <w:b/>
                <w:sz w:val="20"/>
              </w:rPr>
            </w:pPr>
            <w:r w:rsidRPr="009F4EBD">
              <w:rPr>
                <w:rFonts w:ascii="Arial Narrow" w:hAnsi="Arial Narrow"/>
                <w:b/>
                <w:sz w:val="20"/>
              </w:rPr>
              <w:t>Events/N (%)</w:t>
            </w:r>
          </w:p>
          <w:p w14:paraId="24DBF91A" w14:textId="77777777" w:rsidR="008603E5" w:rsidRPr="009F4EBD" w:rsidRDefault="008603E5" w:rsidP="00E84BDF">
            <w:pPr>
              <w:widowControl w:val="0"/>
              <w:spacing w:before="40" w:after="40" w:line="257" w:lineRule="auto"/>
              <w:rPr>
                <w:rFonts w:ascii="Arial Narrow" w:hAnsi="Arial Narrow"/>
                <w:b/>
                <w:sz w:val="20"/>
              </w:rPr>
            </w:pPr>
            <w:r w:rsidRPr="009F4EBD">
              <w:rPr>
                <w:rFonts w:ascii="Arial Narrow" w:hAnsi="Arial Narrow"/>
                <w:b/>
                <w:sz w:val="20"/>
              </w:rPr>
              <w:t>Median (95% CI)</w:t>
            </w:r>
          </w:p>
        </w:tc>
        <w:tc>
          <w:tcPr>
            <w:tcW w:w="2622" w:type="dxa"/>
            <w:tcBorders>
              <w:top w:val="single" w:sz="4" w:space="0" w:color="auto"/>
              <w:left w:val="single" w:sz="4" w:space="0" w:color="auto"/>
              <w:bottom w:val="single" w:sz="4" w:space="0" w:color="auto"/>
              <w:right w:val="single" w:sz="4" w:space="0" w:color="auto"/>
            </w:tcBorders>
          </w:tcPr>
          <w:p w14:paraId="25F010FF" w14:textId="77777777" w:rsidR="008603E5" w:rsidRPr="009F4EBD" w:rsidRDefault="008603E5" w:rsidP="00E84BDF">
            <w:pPr>
              <w:widowControl w:val="0"/>
              <w:spacing w:before="40" w:after="40" w:line="257" w:lineRule="auto"/>
              <w:jc w:val="center"/>
              <w:rPr>
                <w:rFonts w:ascii="Arial Narrow" w:hAnsi="Arial Narrow"/>
                <w:sz w:val="20"/>
              </w:rPr>
            </w:pPr>
            <w:r w:rsidRPr="009F4EBD">
              <w:rPr>
                <w:rFonts w:ascii="Arial Narrow" w:hAnsi="Arial Narrow"/>
                <w:sz w:val="20"/>
              </w:rPr>
              <w:t>161/266 (60.5%)</w:t>
            </w:r>
          </w:p>
          <w:p w14:paraId="05C8C31C" w14:textId="77777777" w:rsidR="008603E5" w:rsidRPr="009F4EBD" w:rsidRDefault="008603E5" w:rsidP="00E84BDF">
            <w:pPr>
              <w:widowControl w:val="0"/>
              <w:spacing w:before="40" w:after="40" w:line="257" w:lineRule="auto"/>
              <w:jc w:val="center"/>
              <w:rPr>
                <w:rFonts w:ascii="Arial Narrow" w:hAnsi="Arial Narrow"/>
                <w:sz w:val="20"/>
              </w:rPr>
            </w:pPr>
            <w:r w:rsidRPr="009F4EBD">
              <w:rPr>
                <w:rFonts w:ascii="Arial Narrow" w:hAnsi="Arial Narrow"/>
                <w:sz w:val="20"/>
              </w:rPr>
              <w:t>19.65 (16.26, 21.62)</w:t>
            </w:r>
          </w:p>
        </w:tc>
        <w:tc>
          <w:tcPr>
            <w:tcW w:w="2622" w:type="dxa"/>
            <w:tcBorders>
              <w:top w:val="single" w:sz="4" w:space="0" w:color="auto"/>
              <w:left w:val="single" w:sz="4" w:space="0" w:color="auto"/>
              <w:bottom w:val="single" w:sz="4" w:space="0" w:color="auto"/>
              <w:right w:val="single" w:sz="4" w:space="0" w:color="auto"/>
            </w:tcBorders>
          </w:tcPr>
          <w:p w14:paraId="01F1ACB1" w14:textId="77777777" w:rsidR="008603E5" w:rsidRPr="009F4EBD" w:rsidRDefault="008603E5" w:rsidP="00E84BDF">
            <w:pPr>
              <w:widowControl w:val="0"/>
              <w:spacing w:before="40" w:after="40" w:line="257" w:lineRule="auto"/>
              <w:jc w:val="center"/>
              <w:rPr>
                <w:rFonts w:ascii="Arial Narrow" w:hAnsi="Arial Narrow"/>
                <w:sz w:val="20"/>
              </w:rPr>
            </w:pPr>
            <w:r w:rsidRPr="009F4EBD">
              <w:rPr>
                <w:rFonts w:ascii="Arial Narrow" w:hAnsi="Arial Narrow"/>
                <w:sz w:val="20"/>
              </w:rPr>
              <w:t>169/267 (63.3%)</w:t>
            </w:r>
          </w:p>
          <w:p w14:paraId="2F7AB986" w14:textId="77777777" w:rsidR="008603E5" w:rsidRPr="009F4EBD" w:rsidRDefault="008603E5" w:rsidP="00E84BDF">
            <w:pPr>
              <w:widowControl w:val="0"/>
              <w:spacing w:before="40" w:after="40" w:line="257" w:lineRule="auto"/>
              <w:jc w:val="center"/>
              <w:rPr>
                <w:rFonts w:ascii="Arial Narrow" w:hAnsi="Arial Narrow"/>
                <w:sz w:val="20"/>
              </w:rPr>
            </w:pPr>
            <w:r w:rsidRPr="009F4EBD">
              <w:rPr>
                <w:rFonts w:ascii="Arial Narrow" w:hAnsi="Arial Narrow"/>
                <w:sz w:val="20"/>
              </w:rPr>
              <w:t>19.61 (16.85, 22.18)</w:t>
            </w:r>
          </w:p>
        </w:tc>
      </w:tr>
      <w:tr w:rsidR="008603E5" w:rsidRPr="009F4EBD" w14:paraId="10E0D40D" w14:textId="77777777" w:rsidTr="00E84BDF">
        <w:trPr>
          <w:trHeight w:val="211"/>
        </w:trPr>
        <w:tc>
          <w:tcPr>
            <w:tcW w:w="3828" w:type="dxa"/>
            <w:tcBorders>
              <w:top w:val="single" w:sz="4" w:space="0" w:color="auto"/>
              <w:left w:val="single" w:sz="4" w:space="0" w:color="auto"/>
              <w:bottom w:val="single" w:sz="4" w:space="0" w:color="auto"/>
              <w:right w:val="single" w:sz="4" w:space="0" w:color="auto"/>
            </w:tcBorders>
          </w:tcPr>
          <w:p w14:paraId="419AF6A8" w14:textId="77777777" w:rsidR="008603E5" w:rsidRPr="009F4EBD" w:rsidRDefault="008603E5" w:rsidP="00E84BDF">
            <w:pPr>
              <w:widowControl w:val="0"/>
              <w:spacing w:before="40" w:after="40" w:line="256" w:lineRule="auto"/>
              <w:rPr>
                <w:rFonts w:ascii="Arial Narrow" w:hAnsi="Arial Narrow"/>
                <w:b/>
                <w:sz w:val="20"/>
              </w:rPr>
            </w:pPr>
            <w:r w:rsidRPr="009F4EBD">
              <w:rPr>
                <w:rFonts w:ascii="Arial Narrow" w:hAnsi="Arial Narrow"/>
                <w:b/>
                <w:sz w:val="20"/>
              </w:rPr>
              <w:t>Absolute difference - RD (95% CI) at 2 years</w:t>
            </w:r>
          </w:p>
        </w:tc>
        <w:tc>
          <w:tcPr>
            <w:tcW w:w="5244" w:type="dxa"/>
            <w:gridSpan w:val="2"/>
            <w:tcBorders>
              <w:top w:val="single" w:sz="4" w:space="0" w:color="auto"/>
              <w:left w:val="single" w:sz="4" w:space="0" w:color="auto"/>
              <w:bottom w:val="single" w:sz="4" w:space="0" w:color="auto"/>
              <w:right w:val="single" w:sz="4" w:space="0" w:color="auto"/>
            </w:tcBorders>
            <w:hideMark/>
          </w:tcPr>
          <w:p w14:paraId="70F562EB" w14:textId="77777777" w:rsidR="008603E5" w:rsidRPr="009F4EBD" w:rsidRDefault="008603E5" w:rsidP="00E84BDF">
            <w:pPr>
              <w:widowControl w:val="0"/>
              <w:spacing w:before="40" w:after="40" w:line="256" w:lineRule="auto"/>
              <w:jc w:val="center"/>
              <w:rPr>
                <w:rFonts w:ascii="Arial Narrow" w:hAnsi="Arial Narrow"/>
                <w:sz w:val="20"/>
              </w:rPr>
            </w:pPr>
            <w:r w:rsidRPr="009F4EBD">
              <w:rPr>
                <w:rFonts w:ascii="Arial Narrow" w:hAnsi="Arial Narrow"/>
                <w:sz w:val="20"/>
              </w:rPr>
              <w:t>RD = 3.18 (–5.89, 12.24)</w:t>
            </w:r>
          </w:p>
        </w:tc>
      </w:tr>
      <w:tr w:rsidR="008603E5" w:rsidRPr="009F4EBD" w14:paraId="5B4B8229" w14:textId="77777777" w:rsidTr="00E84BDF">
        <w:trPr>
          <w:trHeight w:val="315"/>
        </w:trPr>
        <w:tc>
          <w:tcPr>
            <w:tcW w:w="3828" w:type="dxa"/>
            <w:tcBorders>
              <w:top w:val="single" w:sz="4" w:space="0" w:color="auto"/>
              <w:left w:val="single" w:sz="4" w:space="0" w:color="auto"/>
              <w:bottom w:val="single" w:sz="4" w:space="0" w:color="auto"/>
              <w:right w:val="single" w:sz="4" w:space="0" w:color="auto"/>
            </w:tcBorders>
            <w:hideMark/>
          </w:tcPr>
          <w:p w14:paraId="1C33A1CF" w14:textId="77777777" w:rsidR="008603E5" w:rsidRPr="009F4EBD" w:rsidRDefault="008603E5" w:rsidP="00E84BDF">
            <w:pPr>
              <w:widowControl w:val="0"/>
              <w:spacing w:before="40" w:after="40" w:line="256" w:lineRule="auto"/>
              <w:rPr>
                <w:rFonts w:ascii="Arial Narrow" w:hAnsi="Arial Narrow"/>
                <w:b/>
                <w:sz w:val="20"/>
              </w:rPr>
            </w:pPr>
            <w:r w:rsidRPr="009F4EBD">
              <w:rPr>
                <w:rFonts w:ascii="Arial Narrow" w:hAnsi="Arial Narrow"/>
                <w:b/>
                <w:sz w:val="20"/>
              </w:rPr>
              <w:t xml:space="preserve">HR (95% CI) </w:t>
            </w:r>
          </w:p>
        </w:tc>
        <w:tc>
          <w:tcPr>
            <w:tcW w:w="5244" w:type="dxa"/>
            <w:gridSpan w:val="2"/>
            <w:tcBorders>
              <w:top w:val="single" w:sz="4" w:space="0" w:color="auto"/>
              <w:left w:val="single" w:sz="4" w:space="0" w:color="auto"/>
              <w:bottom w:val="single" w:sz="4" w:space="0" w:color="auto"/>
              <w:right w:val="single" w:sz="4" w:space="0" w:color="auto"/>
            </w:tcBorders>
            <w:hideMark/>
          </w:tcPr>
          <w:p w14:paraId="03D346B0" w14:textId="77777777" w:rsidR="008603E5" w:rsidRPr="009F4EBD" w:rsidRDefault="008603E5" w:rsidP="00E84BDF">
            <w:pPr>
              <w:widowControl w:val="0"/>
              <w:spacing w:before="40" w:after="40" w:line="256" w:lineRule="auto"/>
              <w:jc w:val="center"/>
              <w:rPr>
                <w:rFonts w:ascii="Arial Narrow" w:hAnsi="Arial Narrow"/>
                <w:sz w:val="20"/>
              </w:rPr>
            </w:pPr>
            <w:r w:rsidRPr="009F4EBD">
              <w:rPr>
                <w:rFonts w:ascii="Arial Narrow" w:hAnsi="Arial Narrow"/>
                <w:sz w:val="20"/>
              </w:rPr>
              <w:t>HR = 0.97 (0.78, 1.20), p = 0.7635</w:t>
            </w:r>
          </w:p>
        </w:tc>
      </w:tr>
    </w:tbl>
    <w:p w14:paraId="7ACD4FE2" w14:textId="77777777" w:rsidR="008603E5" w:rsidRPr="009F4EBD" w:rsidRDefault="008603E5" w:rsidP="008603E5">
      <w:pPr>
        <w:widowControl w:val="0"/>
        <w:spacing w:after="240"/>
        <w:contextualSpacing/>
        <w:rPr>
          <w:rFonts w:ascii="Arial Narrow" w:hAnsi="Arial Narrow" w:cs="Arial"/>
          <w:snapToGrid w:val="0"/>
          <w:sz w:val="18"/>
        </w:rPr>
      </w:pPr>
      <w:r w:rsidRPr="00CE2F21">
        <w:rPr>
          <w:rFonts w:ascii="Arial Narrow" w:hAnsi="Arial Narrow" w:cs="Arial"/>
          <w:snapToGrid w:val="0"/>
          <w:sz w:val="18"/>
        </w:rPr>
        <w:t>ATZ+nab-P = atezolizumab + nab-paclitaxel</w:t>
      </w:r>
      <w:r>
        <w:rPr>
          <w:rFonts w:ascii="Arial Narrow" w:hAnsi="Arial Narrow" w:cs="Arial"/>
          <w:snapToGrid w:val="0"/>
          <w:sz w:val="18"/>
        </w:rPr>
        <w:t xml:space="preserve">; </w:t>
      </w:r>
      <w:r w:rsidRPr="009F4EBD">
        <w:rPr>
          <w:rFonts w:ascii="Arial Narrow" w:hAnsi="Arial Narrow" w:cs="Arial"/>
          <w:snapToGrid w:val="0"/>
          <w:sz w:val="18"/>
        </w:rPr>
        <w:t>CI = confidence interval; HR = hazard ratio</w:t>
      </w:r>
      <w:r>
        <w:rPr>
          <w:rFonts w:ascii="Arial Narrow" w:hAnsi="Arial Narrow" w:cs="Arial"/>
          <w:snapToGrid w:val="0"/>
          <w:sz w:val="18"/>
        </w:rPr>
        <w:t>;</w:t>
      </w:r>
      <w:r w:rsidRPr="009F4EBD">
        <w:rPr>
          <w:rFonts w:ascii="Arial Narrow" w:hAnsi="Arial Narrow" w:cs="Arial"/>
          <w:snapToGrid w:val="0"/>
          <w:sz w:val="18"/>
        </w:rPr>
        <w:t xml:space="preserve"> N = total participants in group; NNT = number needed to treat; </w:t>
      </w:r>
      <w:r>
        <w:rPr>
          <w:rFonts w:ascii="Arial Narrow" w:hAnsi="Arial Narrow" w:cs="Arial"/>
          <w:snapToGrid w:val="0"/>
          <w:sz w:val="18"/>
        </w:rPr>
        <w:t>PBO</w:t>
      </w:r>
      <w:r w:rsidRPr="00CE2F21">
        <w:rPr>
          <w:rFonts w:ascii="Arial Narrow" w:hAnsi="Arial Narrow" w:cs="Arial"/>
          <w:snapToGrid w:val="0"/>
          <w:sz w:val="18"/>
        </w:rPr>
        <w:t xml:space="preserve">+nab-P = </w:t>
      </w:r>
      <w:r>
        <w:rPr>
          <w:rFonts w:ascii="Arial Narrow" w:hAnsi="Arial Narrow" w:cs="Arial"/>
          <w:snapToGrid w:val="0"/>
          <w:sz w:val="18"/>
        </w:rPr>
        <w:t>placebo</w:t>
      </w:r>
      <w:r w:rsidRPr="00CE2F21">
        <w:rPr>
          <w:rFonts w:ascii="Arial Narrow" w:hAnsi="Arial Narrow" w:cs="Arial"/>
          <w:snapToGrid w:val="0"/>
          <w:sz w:val="18"/>
        </w:rPr>
        <w:t xml:space="preserve"> + nab-paclitaxel</w:t>
      </w:r>
      <w:r>
        <w:rPr>
          <w:rFonts w:ascii="Arial Narrow" w:hAnsi="Arial Narrow" w:cs="Arial"/>
          <w:snapToGrid w:val="0"/>
          <w:sz w:val="18"/>
        </w:rPr>
        <w:t>;</w:t>
      </w:r>
      <w:r w:rsidRPr="00CE2F21">
        <w:rPr>
          <w:rFonts w:ascii="Arial Narrow" w:hAnsi="Arial Narrow" w:cs="Arial"/>
          <w:snapToGrid w:val="0"/>
          <w:sz w:val="18"/>
        </w:rPr>
        <w:t xml:space="preserve"> </w:t>
      </w:r>
      <w:r>
        <w:rPr>
          <w:rFonts w:ascii="Arial Narrow" w:hAnsi="Arial Narrow" w:cs="Arial"/>
          <w:snapToGrid w:val="0"/>
          <w:sz w:val="18"/>
        </w:rPr>
        <w:t>RD = risk difference</w:t>
      </w:r>
    </w:p>
    <w:p w14:paraId="317E8E02" w14:textId="77777777" w:rsidR="008603E5" w:rsidRPr="0088322C" w:rsidRDefault="008603E5" w:rsidP="008603E5">
      <w:pPr>
        <w:widowControl w:val="0"/>
        <w:spacing w:after="240"/>
        <w:rPr>
          <w:rFonts w:ascii="Arial Narrow" w:hAnsi="Arial Narrow" w:cs="Arial"/>
          <w:snapToGrid w:val="0"/>
          <w:sz w:val="18"/>
        </w:rPr>
      </w:pPr>
      <w:r w:rsidRPr="009F4EBD">
        <w:rPr>
          <w:rFonts w:ascii="Arial Narrow" w:hAnsi="Arial Narrow" w:cs="Arial"/>
          <w:snapToGrid w:val="0"/>
          <w:sz w:val="18"/>
        </w:rPr>
        <w:t xml:space="preserve">Source: Table OS_PDL1NEG_IT_02JAN2019_29522 Time to event Summary for overall survival provided by the </w:t>
      </w:r>
      <w:r>
        <w:rPr>
          <w:rFonts w:ascii="Arial Narrow" w:hAnsi="Arial Narrow" w:cs="Arial"/>
          <w:snapToGrid w:val="0"/>
          <w:sz w:val="18"/>
        </w:rPr>
        <w:t>applicant on request</w:t>
      </w:r>
    </w:p>
    <w:p w14:paraId="5F1AB4C5" w14:textId="1676ECB8" w:rsidR="008603E5" w:rsidRDefault="008603E5" w:rsidP="008603E5">
      <w:pPr>
        <w:tabs>
          <w:tab w:val="left" w:pos="720"/>
          <w:tab w:val="left" w:pos="1140"/>
        </w:tabs>
        <w:spacing w:after="240"/>
        <w:rPr>
          <w:b/>
          <w:szCs w:val="24"/>
        </w:rPr>
      </w:pPr>
      <w:r w:rsidRPr="00F37B9C">
        <w:rPr>
          <w:b/>
          <w:szCs w:val="24"/>
        </w:rPr>
        <w:t xml:space="preserve">Clinical </w:t>
      </w:r>
      <w:r w:rsidR="005D3915" w:rsidRPr="00F37B9C">
        <w:rPr>
          <w:b/>
          <w:szCs w:val="24"/>
        </w:rPr>
        <w:t>c</w:t>
      </w:r>
      <w:r w:rsidRPr="00F37B9C">
        <w:rPr>
          <w:b/>
          <w:szCs w:val="24"/>
        </w:rPr>
        <w:t>laim</w:t>
      </w:r>
    </w:p>
    <w:p w14:paraId="1E95E5CD" w14:textId="77777777" w:rsidR="008603E5" w:rsidRDefault="008603E5" w:rsidP="008603E5">
      <w:pPr>
        <w:pStyle w:val="MSACESParagraph"/>
      </w:pPr>
      <w:r w:rsidRPr="009F4EBD">
        <w:t xml:space="preserve">On the basis of the benefits and harms reported in the evidence base (summarised above), </w:t>
      </w:r>
      <w:r>
        <w:t xml:space="preserve">the applicant claimed </w:t>
      </w:r>
      <w:r w:rsidRPr="009F4EBD">
        <w:t xml:space="preserve">that, relative to </w:t>
      </w:r>
      <w:r>
        <w:t>nab-P</w:t>
      </w:r>
      <w:r w:rsidRPr="009F4EBD">
        <w:t xml:space="preserve">, </w:t>
      </w:r>
      <w:r w:rsidRPr="008B027F">
        <w:t xml:space="preserve">ATZ+nab-P </w:t>
      </w:r>
      <w:r>
        <w:t xml:space="preserve">has </w:t>
      </w:r>
      <w:r w:rsidRPr="009F4EBD">
        <w:t>inferior safety and superior effectiveness.</w:t>
      </w:r>
    </w:p>
    <w:p w14:paraId="779DA317" w14:textId="031B4AEB" w:rsidR="008603E5" w:rsidRPr="00623676" w:rsidRDefault="008603E5" w:rsidP="008603E5">
      <w:pPr>
        <w:pStyle w:val="MSACESParagraph"/>
      </w:pPr>
      <w:r>
        <w:t>The Commentary considered that the claim of inferior safety was reasonable, but the claim of superior effectiveness was uncertain.</w:t>
      </w:r>
      <w:r w:rsidRPr="00BB06B8">
        <w:t xml:space="preserve"> Although the results of the IMpassion130 trial are suggestive of treatment effect modification with ATZ+nab-P by PD-L1 status, the OS results were exploratory and the prespecified statistical testing procedure was not followed. ATZ+nab-P demonstrated a statistically significant benefit in prolonging PFS, co</w:t>
      </w:r>
      <w:r w:rsidR="005D3915">
        <w:t>mpared with nab-P, in the PD-L1-</w:t>
      </w:r>
      <w:r w:rsidRPr="00BB06B8">
        <w:t xml:space="preserve">positive subgroup. However, the benefit is modest with a median PFS difference of a little over 2 months. In addition, the target Australian population was not well represented in the key trial, which was comprised of nearly 40% taxane- and anthracycline-naïve patients. The majority of unresectable locally advanced </w:t>
      </w:r>
      <w:r>
        <w:t xml:space="preserve">and metastatic </w:t>
      </w:r>
      <w:r w:rsidRPr="00BB06B8">
        <w:t>TNBC patients in Australia will have received prior anthracycline/taxane combination therapy but ATZ+nab-P failed to demonstrate a survival benefit in these patients (in both the ITT and PD-L1-positive subgroup). Although these subgroup data were exploratory, the results suggest caution is needed when considering the clinical claim.</w:t>
      </w:r>
    </w:p>
    <w:p w14:paraId="75869D57" w14:textId="77777777" w:rsidR="00810EDB" w:rsidRPr="00F715D1" w:rsidRDefault="00810EDB" w:rsidP="00810EDB">
      <w:pPr>
        <w:pStyle w:val="Heading1"/>
      </w:pPr>
      <w:r w:rsidRPr="00F715D1">
        <w:t>Economic evaluation</w:t>
      </w:r>
    </w:p>
    <w:p w14:paraId="484F19B3" w14:textId="77777777" w:rsidR="008603E5" w:rsidRDefault="008603E5" w:rsidP="008603E5">
      <w:pPr>
        <w:pStyle w:val="MSACESParagraph"/>
      </w:pPr>
      <w:r w:rsidRPr="00750F9C">
        <w:t xml:space="preserve">The submission presented a modelled evaluation based on the direct trial IMpassion130. The types of economic evaluation presented were a cost-effectiveness </w:t>
      </w:r>
      <w:r>
        <w:t xml:space="preserve">analysis </w:t>
      </w:r>
      <w:r w:rsidRPr="00750F9C">
        <w:t>(cost-per-life-year-gained) and a cost-utility analysis (cost-per-</w:t>
      </w:r>
      <w:r>
        <w:t xml:space="preserve"> quality-adjusted life year [</w:t>
      </w:r>
      <w:r w:rsidRPr="00750F9C">
        <w:t>QALY</w:t>
      </w:r>
      <w:r>
        <w:t>]</w:t>
      </w:r>
      <w:r w:rsidRPr="00750F9C">
        <w:t>-gained).</w:t>
      </w:r>
    </w:p>
    <w:p w14:paraId="1D99D50D" w14:textId="77777777" w:rsidR="008603E5" w:rsidRDefault="008603E5" w:rsidP="008603E5">
      <w:pPr>
        <w:pStyle w:val="MSACESParagraph"/>
      </w:pPr>
      <w:r>
        <w:t xml:space="preserve">The base case economic evaluation used the prevalence of PD-L1 IC ≥1% expression identified in the IMpassion130 trial (40.91%) using the Ventana SP142-IC assay. Two scenarios were provided in the model: current </w:t>
      </w:r>
      <w:r w:rsidRPr="007744E7">
        <w:t>(no-test and treatment with nab-</w:t>
      </w:r>
      <w:r>
        <w:t>P</w:t>
      </w:r>
      <w:r w:rsidRPr="007744E7">
        <w:t>)</w:t>
      </w:r>
      <w:r>
        <w:t xml:space="preserve"> and proposed (Ventana SP142-IC assay + treatment with ATZ+nab-P or nab-P alone stratified by PD-L1-IC status). The health outcomes (OS and PFS) modelled in the submission were based on the results of the Ventana SP142 assay. </w:t>
      </w:r>
      <w:r w:rsidRPr="0086387B">
        <w:t>There are currently two other commercially available PD-L1 IHC assays that can be used to determine PD-L1 status in TNBC;</w:t>
      </w:r>
      <w:r>
        <w:t xml:space="preserve"> the VENTANA PD-L1 (SP263) and Agilent/Dako PD-L1 (22C3) pharmDx assays. The concordance between these tests was low.</w:t>
      </w:r>
    </w:p>
    <w:p w14:paraId="41313808" w14:textId="51EF11BB" w:rsidR="000F5DF1" w:rsidRPr="000F5DF1" w:rsidRDefault="008603E5" w:rsidP="000F5DF1">
      <w:pPr>
        <w:pStyle w:val="MSACESParagraph"/>
      </w:pPr>
      <w:r>
        <w:t>The Commentary stated that, g</w:t>
      </w:r>
      <w:r w:rsidRPr="0088322C">
        <w:t xml:space="preserve">iven the variation in the proportion of patients testing positive with each of </w:t>
      </w:r>
      <w:r>
        <w:t xml:space="preserve">the </w:t>
      </w:r>
      <w:r w:rsidRPr="0088322C">
        <w:t xml:space="preserve">commercially available assays and the variation of ATZ+nab-P treatment effect between these patient populations, it is likely that the cost-effectiveness of the proposed scenario in the Australian population will differ, if test assays other than Ventana SP142 are used. This uncertainty was not considered by the submission, and cannot be reliably assessed given the information provided. However, if MSAC and </w:t>
      </w:r>
      <w:r>
        <w:t xml:space="preserve">the </w:t>
      </w:r>
      <w:r w:rsidRPr="0088322C">
        <w:t xml:space="preserve">PBAC accept that the Weibull parametric function is the most appropriate method for extrapolating the OS curves in both the proposed scenario and the current scenario, this ICER is likely to lie </w:t>
      </w:r>
      <w:r w:rsidRPr="0015386A">
        <w:t>between $</w:t>
      </w:r>
      <w:r w:rsidR="00252889" w:rsidRPr="0015386A">
        <w:rPr>
          <w:b/>
        </w:rPr>
        <w:t>redacted</w:t>
      </w:r>
      <w:r w:rsidRPr="0015386A">
        <w:t>/QALY and $</w:t>
      </w:r>
      <w:r w:rsidR="00252889" w:rsidRPr="0015386A">
        <w:rPr>
          <w:b/>
        </w:rPr>
        <w:t>redacted</w:t>
      </w:r>
      <w:r w:rsidRPr="0015386A">
        <w:t>/QALY, or between $</w:t>
      </w:r>
      <w:r w:rsidR="00252889" w:rsidRPr="0015386A">
        <w:rPr>
          <w:b/>
        </w:rPr>
        <w:t>redacted</w:t>
      </w:r>
      <w:r w:rsidRPr="0015386A">
        <w:t>/QALY and $</w:t>
      </w:r>
      <w:r w:rsidR="00252889" w:rsidRPr="0015386A">
        <w:rPr>
          <w:b/>
        </w:rPr>
        <w:t>redacted</w:t>
      </w:r>
      <w:r w:rsidRPr="0068712D">
        <w:t>/QALY</w:t>
      </w:r>
      <w:r w:rsidRPr="0088322C">
        <w:t xml:space="preserve"> when using the submis</w:t>
      </w:r>
      <w:r>
        <w:t>sion’s extr</w:t>
      </w:r>
      <w:r w:rsidR="000F5DF1">
        <w:t>apolation functions (Table 12).</w:t>
      </w:r>
      <w:r w:rsidR="000F5DF1">
        <w:br w:type="page"/>
      </w:r>
    </w:p>
    <w:p w14:paraId="58BA8E30" w14:textId="71D2DB3A" w:rsidR="008603E5" w:rsidRPr="00B90F39" w:rsidRDefault="008603E5" w:rsidP="00B90F39">
      <w:pPr>
        <w:rPr>
          <w:rFonts w:ascii="Arial Narrow" w:hAnsi="Arial Narrow"/>
          <w:b/>
          <w:sz w:val="20"/>
        </w:rPr>
      </w:pPr>
      <w:r w:rsidRPr="00B90F39">
        <w:rPr>
          <w:rFonts w:ascii="Arial Narrow" w:hAnsi="Arial Narrow"/>
          <w:b/>
          <w:sz w:val="20"/>
        </w:rPr>
        <w:t xml:space="preserve">Table 12: ICERs and considerations of various </w:t>
      </w:r>
      <w:r w:rsidR="005D3915" w:rsidRPr="00B90F39">
        <w:rPr>
          <w:rFonts w:ascii="Arial Narrow" w:hAnsi="Arial Narrow"/>
          <w:b/>
          <w:sz w:val="20"/>
        </w:rPr>
        <w:t>PD-L1-</w:t>
      </w:r>
      <w:r w:rsidRPr="00B90F39">
        <w:rPr>
          <w:rFonts w:ascii="Arial Narrow" w:hAnsi="Arial Narrow"/>
          <w:b/>
          <w:sz w:val="20"/>
        </w:rPr>
        <w:t>positive funding scenarios</w:t>
      </w:r>
    </w:p>
    <w:tbl>
      <w:tblPr>
        <w:tblStyle w:val="PBACTableStyle"/>
        <w:tblW w:w="5000" w:type="pct"/>
        <w:tblLook w:val="04A0" w:firstRow="1" w:lastRow="0" w:firstColumn="1" w:lastColumn="0" w:noHBand="0" w:noVBand="1"/>
        <w:tblCaption w:val="Table 11 ICERs and considerations of various PD-L1 positive funding scenarios"/>
        <w:tblDescription w:val="Commentary summary of economic modelling results"/>
      </w:tblPr>
      <w:tblGrid>
        <w:gridCol w:w="2064"/>
        <w:gridCol w:w="3588"/>
        <w:gridCol w:w="3590"/>
      </w:tblGrid>
      <w:tr w:rsidR="008603E5" w:rsidRPr="009F4EBD" w14:paraId="32717E78" w14:textId="77777777" w:rsidTr="001548F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117" w:type="pct"/>
          </w:tcPr>
          <w:p w14:paraId="07EDA8D9" w14:textId="77777777" w:rsidR="008603E5" w:rsidRPr="009F4EBD" w:rsidRDefault="008603E5" w:rsidP="0015386A">
            <w:pPr>
              <w:pStyle w:val="TableText"/>
              <w:spacing w:before="0" w:after="0" w:line="240" w:lineRule="auto"/>
            </w:pPr>
          </w:p>
        </w:tc>
        <w:tc>
          <w:tcPr>
            <w:tcW w:w="1941" w:type="pct"/>
          </w:tcPr>
          <w:p w14:paraId="43734567" w14:textId="77777777" w:rsidR="008603E5" w:rsidRPr="009F4EBD" w:rsidRDefault="008603E5" w:rsidP="0015386A">
            <w:pPr>
              <w:pStyle w:val="TableText"/>
              <w:spacing w:before="0" w:after="0" w:line="240" w:lineRule="auto"/>
              <w:cnfStyle w:val="100000000000" w:firstRow="1" w:lastRow="0" w:firstColumn="0" w:lastColumn="0" w:oddVBand="0" w:evenVBand="0" w:oddHBand="0" w:evenHBand="0" w:firstRowFirstColumn="0" w:firstRowLastColumn="0" w:lastRowFirstColumn="0" w:lastRowLastColumn="0"/>
            </w:pPr>
            <w:r w:rsidRPr="009F4EBD">
              <w:t>PBAC funded medicine: restricted to</w:t>
            </w:r>
            <w:r>
              <w:t xml:space="preserve"> PD-L1 ≥1% (VENTANA SP-142)</w:t>
            </w:r>
          </w:p>
        </w:tc>
        <w:tc>
          <w:tcPr>
            <w:tcW w:w="1942" w:type="pct"/>
          </w:tcPr>
          <w:p w14:paraId="383A5F94" w14:textId="77777777" w:rsidR="008603E5" w:rsidRPr="009F4EBD" w:rsidRDefault="008603E5" w:rsidP="0015386A">
            <w:pPr>
              <w:pStyle w:val="TableText"/>
              <w:spacing w:before="0" w:after="0" w:line="240" w:lineRule="auto"/>
              <w:cnfStyle w:val="100000000000" w:firstRow="1" w:lastRow="0" w:firstColumn="0" w:lastColumn="0" w:oddVBand="0" w:evenVBand="0" w:oddHBand="0" w:evenHBand="0" w:firstRowFirstColumn="0" w:firstRowLastColumn="0" w:lastRowFirstColumn="0" w:lastRowLastColumn="0"/>
            </w:pPr>
            <w:r w:rsidRPr="009F4EBD">
              <w:t>P</w:t>
            </w:r>
            <w:r>
              <w:t>BAC funded medicine: not restricted by a PD-L1-based eligibility criterion</w:t>
            </w:r>
          </w:p>
        </w:tc>
      </w:tr>
      <w:tr w:rsidR="008603E5" w:rsidRPr="009F4EBD" w14:paraId="597C9C16" w14:textId="77777777" w:rsidTr="00E84BDF">
        <w:trPr>
          <w:trHeight w:val="648"/>
        </w:trPr>
        <w:tc>
          <w:tcPr>
            <w:cnfStyle w:val="001000000000" w:firstRow="0" w:lastRow="0" w:firstColumn="1" w:lastColumn="0" w:oddVBand="0" w:evenVBand="0" w:oddHBand="0" w:evenHBand="0" w:firstRowFirstColumn="0" w:firstRowLastColumn="0" w:lastRowFirstColumn="0" w:lastRowLastColumn="0"/>
            <w:tcW w:w="1117" w:type="pct"/>
          </w:tcPr>
          <w:p w14:paraId="470D82EE" w14:textId="77777777" w:rsidR="008603E5" w:rsidRPr="009F4EBD" w:rsidRDefault="008603E5" w:rsidP="0015386A">
            <w:pPr>
              <w:pStyle w:val="TableText"/>
              <w:spacing w:before="0" w:after="0" w:line="240" w:lineRule="auto"/>
            </w:pPr>
            <w:r w:rsidRPr="009F4EBD">
              <w:t>Submission base case</w:t>
            </w:r>
          </w:p>
        </w:tc>
        <w:tc>
          <w:tcPr>
            <w:tcW w:w="1941" w:type="pct"/>
          </w:tcPr>
          <w:p w14:paraId="6C64CD49" w14:textId="77777777"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t>Applicant</w:t>
            </w:r>
            <w:r w:rsidRPr="00A6192D">
              <w:t xml:space="preserve"> estimated ICER in this setting:</w:t>
            </w:r>
          </w:p>
          <w:p w14:paraId="722447C7" w14:textId="71B0E260"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A6192D">
              <w:t>$</w:t>
            </w:r>
            <w:r w:rsidR="00AB1AD9">
              <w:t>redacted</w:t>
            </w:r>
            <w:r w:rsidRPr="00A6192D">
              <w:t>/QALY</w:t>
            </w:r>
          </w:p>
          <w:p w14:paraId="74E28A9C" w14:textId="7CD500FE"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A6192D">
              <w:t>Assuming Weibull parametric function was the most appropriate for both the proposed and current scenarios: $</w:t>
            </w:r>
            <w:r w:rsidR="00AB1AD9">
              <w:t>redacted</w:t>
            </w:r>
            <w:r w:rsidRPr="00A6192D">
              <w:t>/QALY</w:t>
            </w:r>
          </w:p>
        </w:tc>
        <w:tc>
          <w:tcPr>
            <w:tcW w:w="1942" w:type="pct"/>
          </w:tcPr>
          <w:p w14:paraId="31EC837A" w14:textId="77777777"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A6192D">
              <w:t>NR</w:t>
            </w:r>
          </w:p>
        </w:tc>
      </w:tr>
      <w:tr w:rsidR="008603E5" w:rsidRPr="009F4EBD" w14:paraId="55AE1443" w14:textId="77777777" w:rsidTr="00E84BDF">
        <w:trPr>
          <w:trHeight w:val="648"/>
        </w:trPr>
        <w:tc>
          <w:tcPr>
            <w:cnfStyle w:val="001000000000" w:firstRow="0" w:lastRow="0" w:firstColumn="1" w:lastColumn="0" w:oddVBand="0" w:evenVBand="0" w:oddHBand="0" w:evenHBand="0" w:firstRowFirstColumn="0" w:firstRowLastColumn="0" w:lastRowFirstColumn="0" w:lastRowLastColumn="0"/>
            <w:tcW w:w="1117" w:type="pct"/>
          </w:tcPr>
          <w:p w14:paraId="1C7CDDBF" w14:textId="77777777" w:rsidR="008603E5" w:rsidRPr="009F4EBD" w:rsidRDefault="008603E5" w:rsidP="0015386A">
            <w:pPr>
              <w:pStyle w:val="TableText"/>
              <w:spacing w:before="0" w:after="0" w:line="240" w:lineRule="auto"/>
            </w:pPr>
            <w:r w:rsidRPr="009F4EBD">
              <w:t>No MSAC funded test</w:t>
            </w:r>
          </w:p>
        </w:tc>
        <w:tc>
          <w:tcPr>
            <w:tcW w:w="1941" w:type="pct"/>
          </w:tcPr>
          <w:p w14:paraId="7D53B57C" w14:textId="77777777"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A6192D">
              <w:t>NR</w:t>
            </w:r>
          </w:p>
        </w:tc>
        <w:tc>
          <w:tcPr>
            <w:tcW w:w="1942" w:type="pct"/>
          </w:tcPr>
          <w:p w14:paraId="0F6652BB" w14:textId="12940F5B"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A6192D">
              <w:t>Assuming extrapolation functions the same as the submission’s base case: $</w:t>
            </w:r>
            <w:r w:rsidR="00AB1AD9">
              <w:t>redacted</w:t>
            </w:r>
            <w:r w:rsidRPr="00A6192D">
              <w:t>/QALY</w:t>
            </w:r>
          </w:p>
          <w:p w14:paraId="63808D00" w14:textId="551DCBEE" w:rsidR="008603E5" w:rsidRPr="00A6192D" w:rsidRDefault="008603E5" w:rsidP="0015386A">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pPr>
            <w:r w:rsidRPr="00A6192D">
              <w:t xml:space="preserve">Assuming Weibull parametric function was the most appropriate for both the proposed and current </w:t>
            </w:r>
            <w:r w:rsidRPr="0015386A">
              <w:t>scenarios: $</w:t>
            </w:r>
            <w:r w:rsidR="00AB1AD9" w:rsidRPr="0015386A">
              <w:t>redacted</w:t>
            </w:r>
            <w:r w:rsidRPr="0015386A">
              <w:t>/QALY</w:t>
            </w:r>
          </w:p>
        </w:tc>
      </w:tr>
    </w:tbl>
    <w:p w14:paraId="124C3153" w14:textId="62EC6986" w:rsidR="008603E5" w:rsidRDefault="008603E5" w:rsidP="008603E5">
      <w:pPr>
        <w:pStyle w:val="TableFooter"/>
        <w:jc w:val="left"/>
      </w:pPr>
      <w:r w:rsidRPr="009F4EBD">
        <w:t xml:space="preserve">See Section 6 of the PBAC </w:t>
      </w:r>
      <w:r w:rsidR="00F43B34">
        <w:t xml:space="preserve">Public Summary Document </w:t>
      </w:r>
      <w:r w:rsidRPr="009F4EBD">
        <w:t>for a detailed descript</w:t>
      </w:r>
      <w:r>
        <w:t>ion of the economic evaluation.</w:t>
      </w:r>
    </w:p>
    <w:p w14:paraId="100CEE9C" w14:textId="77777777" w:rsidR="008603E5" w:rsidRPr="00B07883" w:rsidRDefault="008603E5" w:rsidP="008603E5">
      <w:pPr>
        <w:pStyle w:val="TableFooter"/>
        <w:jc w:val="left"/>
      </w:pPr>
      <w:r>
        <w:t>NR = not reported</w:t>
      </w:r>
    </w:p>
    <w:p w14:paraId="5B2A85A7" w14:textId="77777777" w:rsidR="008603E5" w:rsidRDefault="008603E5" w:rsidP="008603E5">
      <w:pPr>
        <w:pStyle w:val="TableFooter"/>
        <w:jc w:val="left"/>
        <w:rPr>
          <w:lang w:val="en-US"/>
        </w:rPr>
      </w:pPr>
      <w:r w:rsidRPr="00A6192D">
        <w:t xml:space="preserve">Source: Compiled during the evaluation based on information presented in </w:t>
      </w:r>
      <w:r w:rsidRPr="00A6192D">
        <w:rPr>
          <w:lang w:val="en-US"/>
        </w:rPr>
        <w:t xml:space="preserve">‘Economic Evaluation.xlsx’ </w:t>
      </w:r>
      <w:r>
        <w:rPr>
          <w:lang w:val="en-US"/>
        </w:rPr>
        <w:t>with</w:t>
      </w:r>
      <w:r w:rsidRPr="00A6192D">
        <w:rPr>
          <w:lang w:val="en-US"/>
        </w:rPr>
        <w:t xml:space="preserve"> the submission</w:t>
      </w:r>
    </w:p>
    <w:p w14:paraId="4A124145" w14:textId="181443AC" w:rsidR="008603E5" w:rsidRDefault="008603E5" w:rsidP="008603E5">
      <w:pPr>
        <w:rPr>
          <w:lang w:val="en-US"/>
        </w:rPr>
      </w:pPr>
      <w:r>
        <w:rPr>
          <w:lang w:val="en-US"/>
        </w:rPr>
        <w:t xml:space="preserve">In </w:t>
      </w:r>
      <w:r w:rsidR="00452E95">
        <w:rPr>
          <w:lang w:val="en-US"/>
        </w:rPr>
        <w:t>its</w:t>
      </w:r>
      <w:r>
        <w:rPr>
          <w:lang w:val="en-US"/>
        </w:rPr>
        <w:t xml:space="preserve"> pre-PBAC and pre-MSAC response</w:t>
      </w:r>
      <w:r w:rsidR="00452E95">
        <w:rPr>
          <w:lang w:val="en-US"/>
        </w:rPr>
        <w:t>s</w:t>
      </w:r>
      <w:r>
        <w:rPr>
          <w:lang w:val="en-US"/>
        </w:rPr>
        <w:t xml:space="preserve">, the applicant revised </w:t>
      </w:r>
      <w:r w:rsidR="00452E95">
        <w:rPr>
          <w:lang w:val="en-US"/>
        </w:rPr>
        <w:t>its</w:t>
      </w:r>
      <w:r>
        <w:rPr>
          <w:lang w:val="en-US"/>
        </w:rPr>
        <w:t xml:space="preserve"> base</w:t>
      </w:r>
      <w:r w:rsidR="005D3915">
        <w:rPr>
          <w:lang w:val="en-US"/>
        </w:rPr>
        <w:t xml:space="preserve"> </w:t>
      </w:r>
      <w:r>
        <w:rPr>
          <w:lang w:val="en-US"/>
        </w:rPr>
        <w:t>case economic model resulting in an ICER of $</w:t>
      </w:r>
      <w:r w:rsidR="00AB1AD9" w:rsidRPr="00AB1AD9">
        <w:rPr>
          <w:b/>
          <w:lang w:val="en-US"/>
        </w:rPr>
        <w:t>redacted</w:t>
      </w:r>
      <w:r>
        <w:rPr>
          <w:lang w:val="en-US"/>
        </w:rPr>
        <w:t xml:space="preserve"> per QALY gained (Table 13).</w:t>
      </w:r>
      <w:r w:rsidR="002210C2">
        <w:rPr>
          <w:lang w:val="en-US"/>
        </w:rPr>
        <w:t xml:space="preserve"> These results were not independently verified.</w:t>
      </w:r>
    </w:p>
    <w:p w14:paraId="395ED22D" w14:textId="6AEA1A16" w:rsidR="008603E5" w:rsidRPr="00B90F39" w:rsidRDefault="008603E5" w:rsidP="005E0817">
      <w:pPr>
        <w:spacing w:before="240"/>
        <w:rPr>
          <w:rFonts w:ascii="Arial Narrow" w:hAnsi="Arial Narrow"/>
          <w:b/>
          <w:sz w:val="20"/>
        </w:rPr>
      </w:pPr>
      <w:r w:rsidRPr="00B90F39">
        <w:rPr>
          <w:rFonts w:ascii="Arial Narrow" w:hAnsi="Arial Narrow"/>
          <w:b/>
          <w:sz w:val="20"/>
        </w:rPr>
        <w:t>Table 13</w:t>
      </w:r>
      <w:r w:rsidR="002210C2" w:rsidRPr="00B90F39">
        <w:rPr>
          <w:rFonts w:ascii="Arial Narrow" w:hAnsi="Arial Narrow"/>
          <w:b/>
          <w:sz w:val="20"/>
        </w:rPr>
        <w:t>:</w:t>
      </w:r>
      <w:r w:rsidRPr="00B90F39">
        <w:rPr>
          <w:rFonts w:ascii="Arial Narrow" w:hAnsi="Arial Narrow"/>
          <w:b/>
          <w:sz w:val="20"/>
        </w:rPr>
        <w:t xml:space="preserve"> Revised base case economic evaluation</w:t>
      </w:r>
    </w:p>
    <w:tbl>
      <w:tblPr>
        <w:tblW w:w="0" w:type="auto"/>
        <w:tblCellMar>
          <w:top w:w="15" w:type="dxa"/>
          <w:left w:w="15" w:type="dxa"/>
          <w:bottom w:w="15" w:type="dxa"/>
          <w:right w:w="15" w:type="dxa"/>
        </w:tblCellMar>
        <w:tblLook w:val="04A0" w:firstRow="1" w:lastRow="0" w:firstColumn="1" w:lastColumn="0" w:noHBand="0" w:noVBand="1"/>
        <w:tblDescription w:val="Revised base case economic evaluation"/>
      </w:tblPr>
      <w:tblGrid>
        <w:gridCol w:w="292"/>
        <w:gridCol w:w="6235"/>
        <w:gridCol w:w="930"/>
        <w:gridCol w:w="839"/>
        <w:gridCol w:w="930"/>
      </w:tblGrid>
      <w:tr w:rsidR="008603E5" w:rsidRPr="008603E5" w14:paraId="13CBDA75" w14:textId="77777777" w:rsidTr="00CE474B">
        <w:trPr>
          <w:trHeight w:val="25"/>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5B1E796" w14:textId="77777777" w:rsidR="008603E5" w:rsidRPr="008603E5" w:rsidRDefault="008603E5" w:rsidP="008603E5">
            <w:pPr>
              <w:pStyle w:val="TableText"/>
              <w:spacing w:line="240" w:lineRule="auto"/>
              <w:rPr>
                <w:b/>
              </w:rPr>
            </w:pPr>
            <w:r w:rsidRPr="008603E5">
              <w:rPr>
                <w:b/>
              </w:rPr>
              <w:t>Parameter</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0E13CD" w14:textId="77777777" w:rsidR="008603E5" w:rsidRPr="008603E5" w:rsidRDefault="008603E5" w:rsidP="00452E95">
            <w:pPr>
              <w:pStyle w:val="TableText"/>
              <w:spacing w:line="240" w:lineRule="auto"/>
              <w:jc w:val="center"/>
              <w:rPr>
                <w:b/>
              </w:rPr>
            </w:pPr>
            <w:r w:rsidRPr="008603E5">
              <w:rPr>
                <w:b/>
              </w:rPr>
              <w:t>Inc. costs</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1A5CB0" w14:textId="77777777" w:rsidR="008603E5" w:rsidRPr="008603E5" w:rsidRDefault="008603E5" w:rsidP="00452E95">
            <w:pPr>
              <w:pStyle w:val="TableText"/>
              <w:spacing w:line="240" w:lineRule="auto"/>
              <w:jc w:val="center"/>
              <w:rPr>
                <w:b/>
              </w:rPr>
            </w:pPr>
            <w:r w:rsidRPr="008603E5">
              <w:rPr>
                <w:b/>
              </w:rPr>
              <w:t>Inc. QALYs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662B524" w14:textId="77777777" w:rsidR="008603E5" w:rsidRPr="008603E5" w:rsidRDefault="008603E5" w:rsidP="00452E95">
            <w:pPr>
              <w:pStyle w:val="TableText"/>
              <w:spacing w:line="240" w:lineRule="auto"/>
              <w:jc w:val="center"/>
              <w:rPr>
                <w:b/>
              </w:rPr>
            </w:pPr>
            <w:r w:rsidRPr="008603E5">
              <w:rPr>
                <w:b/>
              </w:rPr>
              <w:t>ICER ($/QALY)</w:t>
            </w:r>
          </w:p>
        </w:tc>
      </w:tr>
      <w:tr w:rsidR="008603E5" w:rsidRPr="008603E5" w14:paraId="3627C858" w14:textId="77777777" w:rsidTr="00CE474B">
        <w:trPr>
          <w:trHeight w:val="25"/>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886CB6" w14:textId="77777777" w:rsidR="008603E5" w:rsidRPr="008603E5" w:rsidRDefault="008603E5" w:rsidP="008603E5">
            <w:pPr>
              <w:pStyle w:val="TableText"/>
              <w:spacing w:line="240" w:lineRule="auto"/>
            </w:pPr>
            <w:r w:rsidRPr="008603E5">
              <w:t> Submission base case</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2BF2A0E" w14:textId="36AA39D7" w:rsidR="008603E5" w:rsidRPr="008603E5" w:rsidRDefault="008603E5" w:rsidP="00AB1AD9">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ABD2DCF" w14:textId="77777777" w:rsidR="008603E5" w:rsidRPr="008603E5" w:rsidRDefault="008603E5" w:rsidP="00452E95">
            <w:pPr>
              <w:pStyle w:val="TableText"/>
              <w:spacing w:line="240" w:lineRule="auto"/>
              <w:jc w:val="center"/>
            </w:pPr>
            <w:r w:rsidRPr="008603E5">
              <w:t>0.406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93260E" w14:textId="3B79C24D" w:rsidR="008603E5" w:rsidRPr="008603E5" w:rsidRDefault="008603E5" w:rsidP="00AB1AD9">
            <w:pPr>
              <w:pStyle w:val="TableText"/>
              <w:spacing w:line="240" w:lineRule="auto"/>
              <w:jc w:val="center"/>
            </w:pPr>
            <w:r w:rsidRPr="008603E5">
              <w:t>$</w:t>
            </w:r>
            <w:r w:rsidR="00AB1AD9">
              <w:t>redacted</w:t>
            </w:r>
            <w:r w:rsidR="00AB1AD9" w:rsidRPr="00AB1AD9" w:rsidDel="00AB1AD9">
              <w:rPr>
                <w:highlight w:val="yellow"/>
              </w:rPr>
              <w:t xml:space="preserve"> </w:t>
            </w:r>
          </w:p>
        </w:tc>
      </w:tr>
      <w:tr w:rsidR="008603E5" w:rsidRPr="008603E5" w14:paraId="6B87F321" w14:textId="77777777" w:rsidTr="00CE474B">
        <w:trPr>
          <w:trHeight w:val="25"/>
        </w:trPr>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3DA8F8" w14:textId="7C45BF39" w:rsidR="008603E5" w:rsidRPr="008603E5" w:rsidRDefault="008603E5" w:rsidP="00452E95">
            <w:pPr>
              <w:pStyle w:val="TableText"/>
              <w:spacing w:line="240" w:lineRule="auto"/>
            </w:pPr>
            <w:r w:rsidRPr="008603E5">
              <w:t xml:space="preserve">Revised base case addressing ESCs Advice </w:t>
            </w:r>
            <w:r w:rsidRPr="008603E5">
              <w:rPr>
                <w:rFonts w:ascii="Cambria Math" w:hAnsi="Cambria Math" w:cs="Cambria Math"/>
              </w:rPr>
              <w:t>⤉</w:t>
            </w:r>
          </w:p>
        </w:tc>
      </w:tr>
      <w:tr w:rsidR="008603E5" w:rsidRPr="008603E5" w14:paraId="3FC8A6B3" w14:textId="77777777" w:rsidTr="00CE474B">
        <w:trPr>
          <w:trHeight w:val="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872C4D" w14:textId="77777777" w:rsidR="008603E5" w:rsidRPr="008603E5" w:rsidRDefault="008603E5" w:rsidP="008603E5">
            <w:pPr>
              <w:pStyle w:val="TableText"/>
              <w:spacing w:line="240" w:lineRule="auto"/>
            </w:pPr>
            <w:r w:rsidRPr="008603E5">
              <w:t>1</w:t>
            </w:r>
          </w:p>
        </w:tc>
        <w:tc>
          <w:tcPr>
            <w:tcW w:w="7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BB74CB" w14:textId="7C7B20E3" w:rsidR="008603E5" w:rsidRPr="008603E5" w:rsidRDefault="008603E5" w:rsidP="00CE474B">
            <w:pPr>
              <w:pStyle w:val="TableText"/>
              <w:spacing w:line="240" w:lineRule="auto"/>
            </w:pPr>
            <w:r w:rsidRPr="008603E5">
              <w:t>Australian-specific utilities applied (</w:t>
            </w:r>
            <w:r w:rsidR="00CE474B">
              <w:t>Progression-free: 0.734, Progression: 0.684)</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7C5C05" w14:textId="491FCB9B" w:rsidR="008603E5" w:rsidRPr="008603E5" w:rsidRDefault="008603E5" w:rsidP="00452E95">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0E32892" w14:textId="77777777" w:rsidR="008603E5" w:rsidRPr="008603E5" w:rsidRDefault="008603E5" w:rsidP="00452E95">
            <w:pPr>
              <w:pStyle w:val="TableText"/>
              <w:spacing w:line="240" w:lineRule="auto"/>
              <w:jc w:val="center"/>
            </w:pPr>
            <w:r w:rsidRPr="008603E5">
              <w:t>0.424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985384" w14:textId="63D2C5A9" w:rsidR="008603E5" w:rsidRPr="008603E5" w:rsidRDefault="008603E5" w:rsidP="00452E95">
            <w:pPr>
              <w:pStyle w:val="TableText"/>
              <w:spacing w:line="240" w:lineRule="auto"/>
              <w:jc w:val="center"/>
            </w:pPr>
            <w:r w:rsidRPr="008603E5">
              <w:t>$</w:t>
            </w:r>
            <w:r w:rsidR="00AB1AD9">
              <w:t>redacted</w:t>
            </w:r>
          </w:p>
        </w:tc>
      </w:tr>
      <w:tr w:rsidR="008603E5" w:rsidRPr="008603E5" w14:paraId="4B6F77AF" w14:textId="77777777" w:rsidTr="00CE474B">
        <w:trPr>
          <w:trHeight w:val="18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FB00044" w14:textId="77777777" w:rsidR="008603E5" w:rsidRPr="008603E5" w:rsidRDefault="008603E5" w:rsidP="008603E5">
            <w:pPr>
              <w:pStyle w:val="TableText"/>
              <w:spacing w:line="240" w:lineRule="auto"/>
            </w:pPr>
            <w:r w:rsidRPr="008603E5">
              <w:t>2</w:t>
            </w:r>
          </w:p>
        </w:tc>
        <w:tc>
          <w:tcPr>
            <w:tcW w:w="7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E06DF02" w14:textId="077007B8" w:rsidR="008603E5" w:rsidRPr="008603E5" w:rsidRDefault="00CE474B" w:rsidP="00CE474B">
            <w:pPr>
              <w:pStyle w:val="TableText"/>
              <w:spacing w:line="240" w:lineRule="auto"/>
            </w:pPr>
            <w:r>
              <w:t>1 + l</w:t>
            </w:r>
            <w:r w:rsidR="008603E5" w:rsidRPr="008603E5">
              <w:t xml:space="preserve">imit the cost of nab-P to 10 administrations due to toxicity </w:t>
            </w:r>
            <w:r>
              <w:t xml:space="preserve">for all </w:t>
            </w:r>
            <w:r w:rsidR="008603E5" w:rsidRPr="008603E5">
              <w:t>nab-P arms</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8A6334F" w14:textId="27F5C1C2" w:rsidR="008603E5" w:rsidRPr="008603E5" w:rsidRDefault="008603E5" w:rsidP="00452E95">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0B209C" w14:textId="77777777" w:rsidR="008603E5" w:rsidRPr="008603E5" w:rsidRDefault="008603E5" w:rsidP="00452E95">
            <w:pPr>
              <w:pStyle w:val="TableText"/>
              <w:spacing w:line="240" w:lineRule="auto"/>
              <w:jc w:val="center"/>
            </w:pPr>
            <w:r w:rsidRPr="008603E5">
              <w:t>0.424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4EEE261" w14:textId="1A16EF65" w:rsidR="008603E5" w:rsidRPr="008603E5" w:rsidRDefault="008603E5" w:rsidP="00452E95">
            <w:pPr>
              <w:pStyle w:val="TableText"/>
              <w:spacing w:line="240" w:lineRule="auto"/>
              <w:jc w:val="center"/>
            </w:pPr>
            <w:r w:rsidRPr="008603E5">
              <w:t>$</w:t>
            </w:r>
            <w:r w:rsidR="00AB1AD9">
              <w:t>redacted</w:t>
            </w:r>
          </w:p>
        </w:tc>
      </w:tr>
      <w:tr w:rsidR="008603E5" w:rsidRPr="008603E5" w14:paraId="6CE48B14" w14:textId="77777777" w:rsidTr="00CE474B">
        <w:trPr>
          <w:trHeight w:val="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4F4341" w14:textId="77777777" w:rsidR="008603E5" w:rsidRPr="008603E5" w:rsidRDefault="008603E5" w:rsidP="008603E5">
            <w:pPr>
              <w:pStyle w:val="TableText"/>
              <w:spacing w:line="240" w:lineRule="auto"/>
            </w:pPr>
            <w:r w:rsidRPr="008603E5">
              <w:t>3</w:t>
            </w:r>
          </w:p>
        </w:tc>
        <w:tc>
          <w:tcPr>
            <w:tcW w:w="7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1D3BD74" w14:textId="7F282779" w:rsidR="008603E5" w:rsidRPr="008603E5" w:rsidRDefault="008603E5" w:rsidP="00CE474B">
            <w:pPr>
              <w:pStyle w:val="TableText"/>
              <w:spacing w:line="240" w:lineRule="auto"/>
            </w:pPr>
            <w:r w:rsidRPr="008603E5">
              <w:t xml:space="preserve">2 + </w:t>
            </w:r>
            <w:r w:rsidR="00CE474B">
              <w:t>a</w:t>
            </w:r>
            <w:r w:rsidRPr="008603E5">
              <w:t>dd disease management costs post</w:t>
            </w:r>
            <w:r w:rsidR="00CE474B">
              <w:t xml:space="preserve"> treatment discontinuation</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317BE65" w14:textId="7CEAA6D7" w:rsidR="008603E5" w:rsidRPr="008603E5" w:rsidRDefault="008603E5" w:rsidP="00452E95">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0EFE575" w14:textId="77777777" w:rsidR="008603E5" w:rsidRPr="008603E5" w:rsidRDefault="008603E5" w:rsidP="00452E95">
            <w:pPr>
              <w:pStyle w:val="TableText"/>
              <w:spacing w:line="240" w:lineRule="auto"/>
              <w:jc w:val="center"/>
            </w:pPr>
            <w:r w:rsidRPr="008603E5">
              <w:t>0.424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429F42" w14:textId="510F8C4D" w:rsidR="008603E5" w:rsidRPr="008603E5" w:rsidRDefault="008603E5" w:rsidP="00452E95">
            <w:pPr>
              <w:pStyle w:val="TableText"/>
              <w:spacing w:line="240" w:lineRule="auto"/>
              <w:jc w:val="center"/>
            </w:pPr>
            <w:r w:rsidRPr="008603E5">
              <w:t>$</w:t>
            </w:r>
            <w:r w:rsidR="00AB1AD9">
              <w:t>redacted</w:t>
            </w:r>
          </w:p>
        </w:tc>
      </w:tr>
      <w:tr w:rsidR="008603E5" w:rsidRPr="008603E5" w14:paraId="541E192F" w14:textId="77777777" w:rsidTr="00CE474B">
        <w:trPr>
          <w:trHeight w:val="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B871E2" w14:textId="77777777" w:rsidR="008603E5" w:rsidRPr="008603E5" w:rsidRDefault="008603E5" w:rsidP="008603E5">
            <w:pPr>
              <w:pStyle w:val="TableText"/>
              <w:spacing w:line="240" w:lineRule="auto"/>
            </w:pPr>
            <w:r w:rsidRPr="008603E5">
              <w:t>4</w:t>
            </w:r>
          </w:p>
        </w:tc>
        <w:tc>
          <w:tcPr>
            <w:tcW w:w="7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CF5A911" w14:textId="093D7F12" w:rsidR="008603E5" w:rsidRPr="008603E5" w:rsidRDefault="008603E5" w:rsidP="00CE474B">
            <w:pPr>
              <w:pStyle w:val="TableText"/>
              <w:spacing w:line="240" w:lineRule="auto"/>
            </w:pPr>
            <w:r w:rsidRPr="008603E5">
              <w:t xml:space="preserve">3 + </w:t>
            </w:r>
            <w:r w:rsidR="00CE474B">
              <w:t>a</w:t>
            </w:r>
            <w:r w:rsidRPr="008603E5">
              <w:t xml:space="preserve">mend </w:t>
            </w:r>
            <w:r w:rsidR="00CE474B">
              <w:t>overall survival</w:t>
            </w:r>
            <w:r w:rsidRPr="008603E5">
              <w:t xml:space="preserve"> parametric extrapolatio</w:t>
            </w:r>
            <w:r w:rsidR="00CE474B">
              <w:t>n to Weibull for all nab-P arms</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763D355" w14:textId="5C864C19" w:rsidR="008603E5" w:rsidRPr="008603E5" w:rsidRDefault="008603E5" w:rsidP="00452E95">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AF3BC6" w14:textId="77777777" w:rsidR="008603E5" w:rsidRPr="008603E5" w:rsidRDefault="008603E5" w:rsidP="00452E95">
            <w:pPr>
              <w:pStyle w:val="TableText"/>
              <w:spacing w:line="240" w:lineRule="auto"/>
              <w:jc w:val="center"/>
            </w:pPr>
            <w:r w:rsidRPr="008603E5">
              <w:t>0.250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C94D0E0" w14:textId="27224B07" w:rsidR="008603E5" w:rsidRPr="008603E5" w:rsidRDefault="008603E5" w:rsidP="00452E95">
            <w:pPr>
              <w:pStyle w:val="TableText"/>
              <w:spacing w:line="240" w:lineRule="auto"/>
              <w:jc w:val="center"/>
            </w:pPr>
            <w:r w:rsidRPr="008603E5">
              <w:t>$</w:t>
            </w:r>
            <w:r w:rsidR="00AB1AD9">
              <w:t>redacted</w:t>
            </w:r>
          </w:p>
        </w:tc>
      </w:tr>
      <w:tr w:rsidR="008603E5" w:rsidRPr="008603E5" w14:paraId="66DC7E66" w14:textId="77777777" w:rsidTr="00CE474B">
        <w:trPr>
          <w:trHeight w:val="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1B90AED" w14:textId="77777777" w:rsidR="008603E5" w:rsidRPr="008603E5" w:rsidRDefault="008603E5" w:rsidP="008603E5">
            <w:pPr>
              <w:pStyle w:val="TableText"/>
              <w:spacing w:line="240" w:lineRule="auto"/>
            </w:pPr>
            <w:r w:rsidRPr="008603E5">
              <w:t>5</w:t>
            </w:r>
          </w:p>
        </w:tc>
        <w:tc>
          <w:tcPr>
            <w:tcW w:w="7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E4DA52" w14:textId="39A65855" w:rsidR="008603E5" w:rsidRPr="008603E5" w:rsidRDefault="008603E5" w:rsidP="00CE474B">
            <w:pPr>
              <w:pStyle w:val="TableText"/>
              <w:spacing w:line="240" w:lineRule="auto"/>
            </w:pPr>
            <w:r w:rsidRPr="008603E5">
              <w:t xml:space="preserve">4 + </w:t>
            </w:r>
            <w:r w:rsidR="00CE474B">
              <w:t>c</w:t>
            </w:r>
            <w:r w:rsidRPr="008603E5">
              <w:t xml:space="preserve">onverge </w:t>
            </w:r>
            <w:r w:rsidR="00CE474B">
              <w:t>a</w:t>
            </w:r>
            <w:r w:rsidRPr="008603E5">
              <w:t>tezo</w:t>
            </w:r>
            <w:r w:rsidR="00CE474B">
              <w:t>lizumab</w:t>
            </w:r>
            <w:r w:rsidRPr="008603E5">
              <w:t xml:space="preserve"> + nab-P </w:t>
            </w:r>
            <w:r w:rsidR="00CE474B">
              <w:t xml:space="preserve">overall survival </w:t>
            </w:r>
            <w:r w:rsidRPr="008603E5">
              <w:t xml:space="preserve">curve to comparator </w:t>
            </w:r>
            <w:r w:rsidR="00CE474B">
              <w:t xml:space="preserve">overall survival </w:t>
            </w:r>
            <w:r w:rsidRPr="008603E5">
              <w:t>curve (no test + nab-P), starting from 90 months until 120 months</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986CC8" w14:textId="69A50D41" w:rsidR="008603E5" w:rsidRPr="008603E5" w:rsidRDefault="008603E5" w:rsidP="00452E95">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2920B32" w14:textId="77777777" w:rsidR="008603E5" w:rsidRPr="008603E5" w:rsidRDefault="008603E5" w:rsidP="00452E95">
            <w:pPr>
              <w:pStyle w:val="TableText"/>
              <w:spacing w:line="240" w:lineRule="auto"/>
              <w:jc w:val="center"/>
            </w:pPr>
            <w:r w:rsidRPr="008603E5">
              <w:t>0.218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C47580" w14:textId="7BFA5BEA" w:rsidR="008603E5" w:rsidRPr="008603E5" w:rsidRDefault="008603E5" w:rsidP="00452E95">
            <w:pPr>
              <w:pStyle w:val="TableText"/>
              <w:spacing w:line="240" w:lineRule="auto"/>
              <w:jc w:val="center"/>
            </w:pPr>
            <w:r w:rsidRPr="008603E5">
              <w:t>$</w:t>
            </w:r>
            <w:r w:rsidR="00AB1AD9">
              <w:t>redacted</w:t>
            </w:r>
          </w:p>
        </w:tc>
      </w:tr>
      <w:tr w:rsidR="008603E5" w:rsidRPr="008603E5" w14:paraId="23F8ABC6" w14:textId="77777777" w:rsidTr="00CE474B">
        <w:trPr>
          <w:trHeight w:val="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E9F329" w14:textId="77777777" w:rsidR="008603E5" w:rsidRPr="008603E5" w:rsidRDefault="008603E5" w:rsidP="008603E5">
            <w:pPr>
              <w:pStyle w:val="TableText"/>
              <w:spacing w:line="240" w:lineRule="auto"/>
            </w:pPr>
            <w:r w:rsidRPr="008603E5">
              <w:t>6</w:t>
            </w:r>
          </w:p>
        </w:tc>
        <w:tc>
          <w:tcPr>
            <w:tcW w:w="76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223926" w14:textId="77777777" w:rsidR="008603E5" w:rsidRPr="008603E5" w:rsidRDefault="008603E5" w:rsidP="008603E5">
            <w:pPr>
              <w:pStyle w:val="TableText"/>
              <w:spacing w:line="240" w:lineRule="auto"/>
            </w:pPr>
            <w:r w:rsidRPr="008603E5">
              <w:t>Revised base case in pre-PBAC response</w:t>
            </w:r>
          </w:p>
          <w:p w14:paraId="08F724B3" w14:textId="2BD04E93" w:rsidR="008603E5" w:rsidRPr="008603E5" w:rsidRDefault="00040B44" w:rsidP="00CE474B">
            <w:pPr>
              <w:pStyle w:val="TableText"/>
              <w:spacing w:line="240" w:lineRule="auto"/>
            </w:pPr>
            <w:r>
              <w:t>redacted</w:t>
            </w:r>
          </w:p>
        </w:tc>
        <w:tc>
          <w:tcPr>
            <w:tcW w:w="91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479BDB" w14:textId="7163251B" w:rsidR="008603E5" w:rsidRPr="008603E5" w:rsidRDefault="008603E5" w:rsidP="00452E95">
            <w:pPr>
              <w:pStyle w:val="TableText"/>
              <w:spacing w:line="240" w:lineRule="auto"/>
              <w:jc w:val="center"/>
            </w:pPr>
            <w:r w:rsidRPr="008603E5">
              <w:t>$</w:t>
            </w:r>
            <w:r w:rsidR="00AB1AD9">
              <w:t>redacted</w:t>
            </w:r>
          </w:p>
        </w:tc>
        <w:tc>
          <w:tcPr>
            <w:tcW w:w="72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32D635" w14:textId="0393767F" w:rsidR="008603E5" w:rsidRPr="008603E5" w:rsidRDefault="00040B44" w:rsidP="00452E95">
            <w:pPr>
              <w:pStyle w:val="TableText"/>
              <w:spacing w:line="240" w:lineRule="auto"/>
              <w:jc w:val="center"/>
            </w:pPr>
            <w:r>
              <w:t>redacted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3508B30" w14:textId="623BEEBD" w:rsidR="008603E5" w:rsidRPr="008603E5" w:rsidRDefault="008603E5" w:rsidP="00452E95">
            <w:pPr>
              <w:pStyle w:val="TableText"/>
              <w:spacing w:line="240" w:lineRule="auto"/>
              <w:jc w:val="center"/>
            </w:pPr>
            <w:r w:rsidRPr="008603E5">
              <w:t>$</w:t>
            </w:r>
            <w:r w:rsidR="00040B44">
              <w:t>redacted</w:t>
            </w:r>
          </w:p>
        </w:tc>
      </w:tr>
    </w:tbl>
    <w:p w14:paraId="15E27DA9" w14:textId="465246A5" w:rsidR="008603E5" w:rsidRDefault="008603E5" w:rsidP="008603E5">
      <w:pPr>
        <w:pStyle w:val="TableFooter"/>
      </w:pPr>
      <w:r w:rsidRPr="00F74D37">
        <w:rPr>
          <w:rFonts w:ascii="Cambria Math" w:hAnsi="Cambria Math" w:cs="Cambria Math"/>
          <w:b/>
          <w:bCs/>
        </w:rPr>
        <w:t>⤉</w:t>
      </w:r>
      <w:r w:rsidRPr="00F74D37">
        <w:rPr>
          <w:b/>
          <w:bCs/>
        </w:rPr>
        <w:t xml:space="preserve"> </w:t>
      </w:r>
      <w:r w:rsidRPr="00F74D37">
        <w:t xml:space="preserve">The proportion of treatment settings between Public/Private has been amended from 33%/67% in the initial model to 31.4%/68.6% in the updated model (consistent with </w:t>
      </w:r>
      <w:r w:rsidR="00452E95">
        <w:t xml:space="preserve">the </w:t>
      </w:r>
      <w:r w:rsidRPr="00F74D37">
        <w:t xml:space="preserve">revised </w:t>
      </w:r>
      <w:r w:rsidR="00452E95" w:rsidRPr="00F74D37">
        <w:t>financial e</w:t>
      </w:r>
      <w:r w:rsidRPr="00F74D37">
        <w:t>stimates</w:t>
      </w:r>
      <w:r w:rsidR="00452E95">
        <w:t>)</w:t>
      </w:r>
    </w:p>
    <w:p w14:paraId="2CFB6EBF" w14:textId="77777777" w:rsidR="008603E5" w:rsidRPr="009A4EBB" w:rsidRDefault="008603E5" w:rsidP="008603E5">
      <w:pPr>
        <w:pStyle w:val="TableFooter"/>
        <w:rPr>
          <w:rFonts w:ascii="Times New Roman" w:hAnsi="Times New Roman" w:cs="Times New Roman"/>
        </w:rPr>
      </w:pPr>
      <w:r>
        <w:t>Source: Table 1, p4 of pre-PBAC and pre-MSAC response</w:t>
      </w:r>
    </w:p>
    <w:p w14:paraId="44D471A0" w14:textId="77777777" w:rsidR="00810EDB" w:rsidRPr="00F715D1" w:rsidRDefault="00810EDB" w:rsidP="00810EDB">
      <w:pPr>
        <w:pStyle w:val="Heading1"/>
      </w:pPr>
      <w:r w:rsidRPr="00F715D1">
        <w:t>Financial/budgetary impacts</w:t>
      </w:r>
    </w:p>
    <w:p w14:paraId="09D18FE9" w14:textId="2C582821" w:rsidR="000F5DF1" w:rsidRPr="000F5DF1" w:rsidRDefault="008603E5" w:rsidP="000F5DF1">
      <w:pPr>
        <w:pStyle w:val="MSACESParagraph"/>
      </w:pPr>
      <w:r>
        <w:t xml:space="preserve">The submission used an </w:t>
      </w:r>
      <w:r w:rsidRPr="00B167B0">
        <w:t xml:space="preserve">epidemiological approach to estimate the expected cost </w:t>
      </w:r>
      <w:r>
        <w:t xml:space="preserve">to the MBS of listing the test </w:t>
      </w:r>
      <w:r w:rsidRPr="00B167B0">
        <w:t xml:space="preserve">and </w:t>
      </w:r>
      <w:r>
        <w:t xml:space="preserve">the </w:t>
      </w:r>
      <w:r w:rsidRPr="00B167B0">
        <w:t>a</w:t>
      </w:r>
      <w:r>
        <w:t xml:space="preserve">ssociated </w:t>
      </w:r>
      <w:r w:rsidR="000F5DF1">
        <w:t>medicine on the PBS (Table 14).</w:t>
      </w:r>
      <w:r w:rsidR="000F5DF1">
        <w:br w:type="page"/>
      </w:r>
    </w:p>
    <w:p w14:paraId="1DD0EFEB" w14:textId="5C74D9BA" w:rsidR="008603E5" w:rsidRPr="00B90F39" w:rsidRDefault="008603E5" w:rsidP="00B90F39">
      <w:pPr>
        <w:rPr>
          <w:rFonts w:ascii="Arial Narrow" w:hAnsi="Arial Narrow"/>
          <w:b/>
          <w:sz w:val="20"/>
        </w:rPr>
      </w:pPr>
      <w:r w:rsidRPr="00B90F39">
        <w:rPr>
          <w:rFonts w:ascii="Arial Narrow" w:hAnsi="Arial Narrow"/>
          <w:b/>
          <w:sz w:val="20"/>
        </w:rPr>
        <w:t>Table 14: Estimated use and financial implications</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w:tblDescription w:val="Summary of financial estimates"/>
      </w:tblPr>
      <w:tblGrid>
        <w:gridCol w:w="2964"/>
        <w:gridCol w:w="1473"/>
        <w:gridCol w:w="968"/>
        <w:gridCol w:w="968"/>
        <w:gridCol w:w="968"/>
        <w:gridCol w:w="968"/>
        <w:gridCol w:w="967"/>
      </w:tblGrid>
      <w:tr w:rsidR="008603E5" w:rsidRPr="009F4EBD" w14:paraId="7332FB22" w14:textId="77777777" w:rsidTr="00040B44">
        <w:trPr>
          <w:tblHeader/>
        </w:trPr>
        <w:tc>
          <w:tcPr>
            <w:tcW w:w="1597" w:type="pct"/>
            <w:shd w:val="clear" w:color="auto" w:fill="auto"/>
            <w:vAlign w:val="center"/>
          </w:tcPr>
          <w:p w14:paraId="7390BE38" w14:textId="77777777" w:rsidR="008603E5" w:rsidRPr="009F4EBD" w:rsidRDefault="008603E5" w:rsidP="00E84BDF">
            <w:pPr>
              <w:pStyle w:val="TableText"/>
              <w:jc w:val="center"/>
              <w:rPr>
                <w:b/>
              </w:rPr>
            </w:pPr>
          </w:p>
        </w:tc>
        <w:tc>
          <w:tcPr>
            <w:tcW w:w="794" w:type="pct"/>
            <w:shd w:val="clear" w:color="auto" w:fill="auto"/>
            <w:vAlign w:val="center"/>
          </w:tcPr>
          <w:p w14:paraId="12DE5EDC" w14:textId="77777777" w:rsidR="008603E5" w:rsidRPr="009F4EBD" w:rsidRDefault="008603E5" w:rsidP="00E84BDF">
            <w:pPr>
              <w:pStyle w:val="TableText"/>
              <w:jc w:val="center"/>
              <w:rPr>
                <w:b/>
              </w:rPr>
            </w:pPr>
            <w:r w:rsidRPr="009F4EBD">
              <w:rPr>
                <w:b/>
              </w:rPr>
              <w:t>Year 1</w:t>
            </w:r>
          </w:p>
        </w:tc>
        <w:tc>
          <w:tcPr>
            <w:tcW w:w="522" w:type="pct"/>
            <w:shd w:val="clear" w:color="auto" w:fill="auto"/>
            <w:vAlign w:val="center"/>
          </w:tcPr>
          <w:p w14:paraId="77E9E2C7" w14:textId="77777777" w:rsidR="008603E5" w:rsidRPr="009F4EBD" w:rsidRDefault="008603E5" w:rsidP="00E84BDF">
            <w:pPr>
              <w:pStyle w:val="TableText"/>
              <w:jc w:val="center"/>
              <w:rPr>
                <w:b/>
              </w:rPr>
            </w:pPr>
            <w:r w:rsidRPr="009F4EBD">
              <w:rPr>
                <w:b/>
              </w:rPr>
              <w:t>Year 2</w:t>
            </w:r>
          </w:p>
        </w:tc>
        <w:tc>
          <w:tcPr>
            <w:tcW w:w="522" w:type="pct"/>
            <w:shd w:val="clear" w:color="auto" w:fill="auto"/>
            <w:vAlign w:val="center"/>
          </w:tcPr>
          <w:p w14:paraId="62ADE9B9" w14:textId="77777777" w:rsidR="008603E5" w:rsidRPr="009F4EBD" w:rsidRDefault="008603E5" w:rsidP="00E84BDF">
            <w:pPr>
              <w:pStyle w:val="TableText"/>
              <w:jc w:val="center"/>
              <w:rPr>
                <w:b/>
              </w:rPr>
            </w:pPr>
            <w:r w:rsidRPr="009F4EBD">
              <w:rPr>
                <w:b/>
              </w:rPr>
              <w:t>Year 3</w:t>
            </w:r>
          </w:p>
        </w:tc>
        <w:tc>
          <w:tcPr>
            <w:tcW w:w="522" w:type="pct"/>
            <w:shd w:val="clear" w:color="auto" w:fill="auto"/>
            <w:vAlign w:val="center"/>
          </w:tcPr>
          <w:p w14:paraId="44EC3ABE" w14:textId="77777777" w:rsidR="008603E5" w:rsidRPr="009F4EBD" w:rsidRDefault="008603E5" w:rsidP="00E84BDF">
            <w:pPr>
              <w:pStyle w:val="TableText"/>
              <w:jc w:val="center"/>
              <w:rPr>
                <w:b/>
              </w:rPr>
            </w:pPr>
            <w:r w:rsidRPr="009F4EBD">
              <w:rPr>
                <w:b/>
              </w:rPr>
              <w:t>Year 4</w:t>
            </w:r>
          </w:p>
        </w:tc>
        <w:tc>
          <w:tcPr>
            <w:tcW w:w="522" w:type="pct"/>
            <w:shd w:val="clear" w:color="auto" w:fill="auto"/>
            <w:vAlign w:val="center"/>
          </w:tcPr>
          <w:p w14:paraId="35967160" w14:textId="77777777" w:rsidR="008603E5" w:rsidRPr="009F4EBD" w:rsidRDefault="008603E5" w:rsidP="00E84BDF">
            <w:pPr>
              <w:pStyle w:val="TableText"/>
              <w:jc w:val="center"/>
              <w:rPr>
                <w:b/>
              </w:rPr>
            </w:pPr>
            <w:r w:rsidRPr="009F4EBD">
              <w:rPr>
                <w:b/>
              </w:rPr>
              <w:t>Year 5</w:t>
            </w:r>
          </w:p>
        </w:tc>
        <w:tc>
          <w:tcPr>
            <w:tcW w:w="522" w:type="pct"/>
          </w:tcPr>
          <w:p w14:paraId="67884E5C" w14:textId="77777777" w:rsidR="008603E5" w:rsidRPr="009F4EBD" w:rsidRDefault="008603E5" w:rsidP="00E84BDF">
            <w:pPr>
              <w:pStyle w:val="TableText"/>
              <w:jc w:val="center"/>
              <w:rPr>
                <w:b/>
              </w:rPr>
            </w:pPr>
            <w:r w:rsidRPr="009F4EBD">
              <w:rPr>
                <w:b/>
              </w:rPr>
              <w:t>Year 6</w:t>
            </w:r>
          </w:p>
        </w:tc>
      </w:tr>
      <w:tr w:rsidR="008603E5" w:rsidRPr="009F4EBD" w14:paraId="77BE10D1" w14:textId="77777777" w:rsidTr="00E84BDF">
        <w:tc>
          <w:tcPr>
            <w:tcW w:w="5000" w:type="pct"/>
            <w:gridSpan w:val="7"/>
            <w:shd w:val="clear" w:color="auto" w:fill="auto"/>
            <w:vAlign w:val="center"/>
          </w:tcPr>
          <w:p w14:paraId="05D92DC8" w14:textId="77777777" w:rsidR="008603E5" w:rsidRPr="009F4EBD" w:rsidRDefault="008603E5" w:rsidP="00E84BDF">
            <w:pPr>
              <w:pStyle w:val="TableText"/>
              <w:rPr>
                <w:b/>
              </w:rPr>
            </w:pPr>
            <w:r w:rsidRPr="009F4EBD">
              <w:rPr>
                <w:b/>
              </w:rPr>
              <w:t xml:space="preserve">Estimated extent of use of </w:t>
            </w:r>
            <w:r>
              <w:rPr>
                <w:b/>
              </w:rPr>
              <w:t>the PD-L1 test</w:t>
            </w:r>
          </w:p>
        </w:tc>
      </w:tr>
      <w:tr w:rsidR="00040B44" w:rsidRPr="009F4EBD" w14:paraId="49C487C8" w14:textId="77777777" w:rsidTr="00040B44">
        <w:tc>
          <w:tcPr>
            <w:tcW w:w="1597" w:type="pct"/>
            <w:tcBorders>
              <w:bottom w:val="nil"/>
            </w:tcBorders>
            <w:shd w:val="clear" w:color="auto" w:fill="auto"/>
            <w:vAlign w:val="center"/>
          </w:tcPr>
          <w:p w14:paraId="519826D9" w14:textId="77777777" w:rsidR="00040B44" w:rsidRPr="009F4EBD" w:rsidRDefault="00040B44" w:rsidP="00E84BDF">
            <w:pPr>
              <w:pStyle w:val="TableText"/>
            </w:pPr>
            <w:r w:rsidRPr="009F4EBD">
              <w:t>Number of patients tested</w:t>
            </w:r>
          </w:p>
        </w:tc>
        <w:tc>
          <w:tcPr>
            <w:tcW w:w="794" w:type="pct"/>
            <w:tcBorders>
              <w:bottom w:val="nil"/>
            </w:tcBorders>
            <w:shd w:val="clear" w:color="auto" w:fill="auto"/>
            <w:vAlign w:val="center"/>
          </w:tcPr>
          <w:p w14:paraId="551735A9" w14:textId="0C40620C" w:rsidR="00040B44" w:rsidRPr="0015386A" w:rsidRDefault="00040B44" w:rsidP="00E84BDF">
            <w:pPr>
              <w:pStyle w:val="TableNumber"/>
            </w:pPr>
            <w:r w:rsidRPr="0015386A">
              <w:t>redacted</w:t>
            </w:r>
          </w:p>
        </w:tc>
        <w:tc>
          <w:tcPr>
            <w:tcW w:w="522" w:type="pct"/>
            <w:tcBorders>
              <w:bottom w:val="nil"/>
            </w:tcBorders>
            <w:shd w:val="clear" w:color="auto" w:fill="auto"/>
          </w:tcPr>
          <w:p w14:paraId="767284A2" w14:textId="1CFE27ED" w:rsidR="00040B44" w:rsidRPr="0015386A" w:rsidRDefault="00040B44" w:rsidP="00E84BDF">
            <w:pPr>
              <w:pStyle w:val="TableText"/>
              <w:tabs>
                <w:tab w:val="decimal" w:pos="396"/>
              </w:tabs>
              <w:jc w:val="center"/>
            </w:pPr>
            <w:r w:rsidRPr="0015386A">
              <w:t>redacted</w:t>
            </w:r>
          </w:p>
        </w:tc>
        <w:tc>
          <w:tcPr>
            <w:tcW w:w="522" w:type="pct"/>
            <w:tcBorders>
              <w:bottom w:val="nil"/>
            </w:tcBorders>
            <w:shd w:val="clear" w:color="auto" w:fill="auto"/>
          </w:tcPr>
          <w:p w14:paraId="22573ECD" w14:textId="5D4E6019" w:rsidR="00040B44" w:rsidRPr="0015386A" w:rsidRDefault="00040B44" w:rsidP="00E84BDF">
            <w:pPr>
              <w:pStyle w:val="TableText"/>
              <w:tabs>
                <w:tab w:val="decimal" w:pos="396"/>
              </w:tabs>
              <w:jc w:val="center"/>
            </w:pPr>
            <w:r w:rsidRPr="0015386A">
              <w:t>redacted</w:t>
            </w:r>
          </w:p>
        </w:tc>
        <w:tc>
          <w:tcPr>
            <w:tcW w:w="522" w:type="pct"/>
            <w:tcBorders>
              <w:bottom w:val="nil"/>
            </w:tcBorders>
            <w:shd w:val="clear" w:color="auto" w:fill="auto"/>
          </w:tcPr>
          <w:p w14:paraId="0811135F" w14:textId="22C99758" w:rsidR="00040B44" w:rsidRPr="0015386A" w:rsidRDefault="00040B44" w:rsidP="00E84BDF">
            <w:pPr>
              <w:pStyle w:val="TableText"/>
              <w:tabs>
                <w:tab w:val="decimal" w:pos="396"/>
              </w:tabs>
              <w:jc w:val="center"/>
            </w:pPr>
            <w:r w:rsidRPr="0015386A">
              <w:t>redacted</w:t>
            </w:r>
          </w:p>
        </w:tc>
        <w:tc>
          <w:tcPr>
            <w:tcW w:w="522" w:type="pct"/>
            <w:tcBorders>
              <w:bottom w:val="nil"/>
            </w:tcBorders>
            <w:shd w:val="clear" w:color="auto" w:fill="auto"/>
          </w:tcPr>
          <w:p w14:paraId="1220CF46" w14:textId="2ABFD2E7" w:rsidR="00040B44" w:rsidRPr="0015386A" w:rsidRDefault="00040B44" w:rsidP="00E84BDF">
            <w:pPr>
              <w:pStyle w:val="TableText"/>
              <w:tabs>
                <w:tab w:val="decimal" w:pos="396"/>
              </w:tabs>
              <w:jc w:val="center"/>
            </w:pPr>
            <w:r w:rsidRPr="0015386A">
              <w:t>redacted</w:t>
            </w:r>
          </w:p>
        </w:tc>
        <w:tc>
          <w:tcPr>
            <w:tcW w:w="522" w:type="pct"/>
            <w:tcBorders>
              <w:bottom w:val="nil"/>
            </w:tcBorders>
          </w:tcPr>
          <w:p w14:paraId="0FBC66E8" w14:textId="1C0AA9C8" w:rsidR="00040B44" w:rsidRPr="0015386A" w:rsidRDefault="00040B44" w:rsidP="00E84BDF">
            <w:pPr>
              <w:pStyle w:val="TableText"/>
              <w:tabs>
                <w:tab w:val="decimal" w:pos="396"/>
              </w:tabs>
              <w:jc w:val="center"/>
            </w:pPr>
            <w:r w:rsidRPr="0015386A">
              <w:t>redacted</w:t>
            </w:r>
          </w:p>
        </w:tc>
      </w:tr>
      <w:tr w:rsidR="008603E5" w:rsidRPr="00802CB3" w14:paraId="3A557061" w14:textId="77777777" w:rsidTr="00040B44">
        <w:tc>
          <w:tcPr>
            <w:tcW w:w="1597" w:type="pct"/>
            <w:tcBorders>
              <w:top w:val="nil"/>
            </w:tcBorders>
            <w:shd w:val="clear" w:color="auto" w:fill="auto"/>
            <w:vAlign w:val="center"/>
          </w:tcPr>
          <w:p w14:paraId="1399D1A9" w14:textId="77777777" w:rsidR="008603E5" w:rsidRPr="003B082E" w:rsidRDefault="008603E5" w:rsidP="00E84BDF">
            <w:pPr>
              <w:pStyle w:val="TableText"/>
            </w:pPr>
            <w:r w:rsidRPr="003B082E">
              <w:t>Revised</w:t>
            </w:r>
            <w:r w:rsidRPr="003B082E">
              <w:rPr>
                <w:vertAlign w:val="superscript"/>
              </w:rPr>
              <w:t>a</w:t>
            </w:r>
          </w:p>
        </w:tc>
        <w:tc>
          <w:tcPr>
            <w:tcW w:w="794" w:type="pct"/>
            <w:tcBorders>
              <w:top w:val="nil"/>
            </w:tcBorders>
            <w:shd w:val="clear" w:color="auto" w:fill="auto"/>
            <w:vAlign w:val="center"/>
          </w:tcPr>
          <w:p w14:paraId="0F0CF73F" w14:textId="60202A88" w:rsidR="008603E5" w:rsidRPr="0015386A" w:rsidRDefault="00040B44" w:rsidP="00E84BDF">
            <w:pPr>
              <w:pStyle w:val="TableNumber"/>
            </w:pPr>
            <w:r w:rsidRPr="0015386A">
              <w:t>redacted</w:t>
            </w:r>
          </w:p>
        </w:tc>
        <w:tc>
          <w:tcPr>
            <w:tcW w:w="522" w:type="pct"/>
            <w:tcBorders>
              <w:top w:val="nil"/>
            </w:tcBorders>
            <w:shd w:val="clear" w:color="auto" w:fill="auto"/>
            <w:vAlign w:val="center"/>
          </w:tcPr>
          <w:p w14:paraId="7F75DDDC" w14:textId="77777777" w:rsidR="008603E5" w:rsidRPr="0015386A" w:rsidRDefault="008603E5" w:rsidP="00E84BDF">
            <w:pPr>
              <w:pStyle w:val="TableText"/>
              <w:tabs>
                <w:tab w:val="decimal" w:pos="396"/>
              </w:tabs>
              <w:jc w:val="center"/>
            </w:pPr>
          </w:p>
        </w:tc>
        <w:tc>
          <w:tcPr>
            <w:tcW w:w="522" w:type="pct"/>
            <w:tcBorders>
              <w:top w:val="nil"/>
            </w:tcBorders>
            <w:shd w:val="clear" w:color="auto" w:fill="auto"/>
            <w:vAlign w:val="center"/>
          </w:tcPr>
          <w:p w14:paraId="67CD470B" w14:textId="77777777" w:rsidR="008603E5" w:rsidRPr="0015386A" w:rsidRDefault="008603E5" w:rsidP="00E84BDF">
            <w:pPr>
              <w:pStyle w:val="TableText"/>
              <w:tabs>
                <w:tab w:val="decimal" w:pos="396"/>
              </w:tabs>
              <w:jc w:val="center"/>
            </w:pPr>
          </w:p>
        </w:tc>
        <w:tc>
          <w:tcPr>
            <w:tcW w:w="522" w:type="pct"/>
            <w:tcBorders>
              <w:top w:val="nil"/>
            </w:tcBorders>
            <w:shd w:val="clear" w:color="auto" w:fill="auto"/>
            <w:vAlign w:val="center"/>
          </w:tcPr>
          <w:p w14:paraId="492B503B" w14:textId="77777777" w:rsidR="008603E5" w:rsidRPr="0015386A" w:rsidRDefault="008603E5" w:rsidP="00E84BDF">
            <w:pPr>
              <w:pStyle w:val="TableText"/>
              <w:tabs>
                <w:tab w:val="decimal" w:pos="396"/>
              </w:tabs>
              <w:jc w:val="center"/>
            </w:pPr>
          </w:p>
        </w:tc>
        <w:tc>
          <w:tcPr>
            <w:tcW w:w="522" w:type="pct"/>
            <w:tcBorders>
              <w:top w:val="nil"/>
            </w:tcBorders>
            <w:shd w:val="clear" w:color="auto" w:fill="auto"/>
            <w:vAlign w:val="center"/>
          </w:tcPr>
          <w:p w14:paraId="1DB1BC1B" w14:textId="77777777" w:rsidR="008603E5" w:rsidRPr="0015386A" w:rsidRDefault="008603E5" w:rsidP="00E84BDF">
            <w:pPr>
              <w:pStyle w:val="TableText"/>
              <w:tabs>
                <w:tab w:val="decimal" w:pos="396"/>
              </w:tabs>
              <w:jc w:val="center"/>
            </w:pPr>
          </w:p>
        </w:tc>
        <w:tc>
          <w:tcPr>
            <w:tcW w:w="522" w:type="pct"/>
            <w:tcBorders>
              <w:top w:val="nil"/>
            </w:tcBorders>
            <w:vAlign w:val="center"/>
          </w:tcPr>
          <w:p w14:paraId="468A1506" w14:textId="77777777" w:rsidR="008603E5" w:rsidRPr="0015386A" w:rsidRDefault="008603E5" w:rsidP="00E84BDF">
            <w:pPr>
              <w:pStyle w:val="TableText"/>
              <w:tabs>
                <w:tab w:val="decimal" w:pos="396"/>
              </w:tabs>
              <w:jc w:val="center"/>
            </w:pPr>
          </w:p>
        </w:tc>
      </w:tr>
      <w:tr w:rsidR="00040B44" w:rsidRPr="009F4EBD" w14:paraId="1727624F" w14:textId="77777777" w:rsidTr="00040B44">
        <w:tc>
          <w:tcPr>
            <w:tcW w:w="1597" w:type="pct"/>
            <w:shd w:val="clear" w:color="auto" w:fill="auto"/>
            <w:vAlign w:val="center"/>
          </w:tcPr>
          <w:p w14:paraId="7AC513F9" w14:textId="77777777" w:rsidR="00040B44" w:rsidRPr="003B082E" w:rsidRDefault="00040B44" w:rsidP="00E84BDF">
            <w:pPr>
              <w:pStyle w:val="TableText"/>
            </w:pPr>
            <w:r w:rsidRPr="003B082E">
              <w:t>Number of patients likely to receive a positive test result</w:t>
            </w:r>
          </w:p>
        </w:tc>
        <w:tc>
          <w:tcPr>
            <w:tcW w:w="794" w:type="pct"/>
            <w:shd w:val="clear" w:color="auto" w:fill="auto"/>
          </w:tcPr>
          <w:p w14:paraId="759C3662" w14:textId="75445380" w:rsidR="00040B44" w:rsidRPr="0015386A" w:rsidRDefault="00040B44" w:rsidP="00E84BDF">
            <w:pPr>
              <w:pStyle w:val="TableNumber"/>
            </w:pPr>
            <w:r w:rsidRPr="0015386A">
              <w:t>redacted</w:t>
            </w:r>
          </w:p>
        </w:tc>
        <w:tc>
          <w:tcPr>
            <w:tcW w:w="522" w:type="pct"/>
            <w:shd w:val="clear" w:color="auto" w:fill="auto"/>
          </w:tcPr>
          <w:p w14:paraId="04DF426B" w14:textId="59445600" w:rsidR="00040B44" w:rsidRPr="0015386A" w:rsidRDefault="00040B44" w:rsidP="00E84BDF">
            <w:pPr>
              <w:pStyle w:val="TableText"/>
              <w:tabs>
                <w:tab w:val="decimal" w:pos="396"/>
              </w:tabs>
              <w:jc w:val="center"/>
            </w:pPr>
            <w:r w:rsidRPr="0015386A">
              <w:t>redacted</w:t>
            </w:r>
          </w:p>
        </w:tc>
        <w:tc>
          <w:tcPr>
            <w:tcW w:w="522" w:type="pct"/>
            <w:shd w:val="clear" w:color="auto" w:fill="auto"/>
          </w:tcPr>
          <w:p w14:paraId="0403BD3F" w14:textId="2DA42B9F" w:rsidR="00040B44" w:rsidRPr="0015386A" w:rsidRDefault="00040B44" w:rsidP="00E84BDF">
            <w:pPr>
              <w:pStyle w:val="TableText"/>
              <w:tabs>
                <w:tab w:val="decimal" w:pos="396"/>
              </w:tabs>
              <w:jc w:val="center"/>
            </w:pPr>
            <w:r w:rsidRPr="0015386A">
              <w:t>redacted</w:t>
            </w:r>
          </w:p>
        </w:tc>
        <w:tc>
          <w:tcPr>
            <w:tcW w:w="522" w:type="pct"/>
            <w:shd w:val="clear" w:color="auto" w:fill="auto"/>
          </w:tcPr>
          <w:p w14:paraId="1E7FBA1C" w14:textId="0E2A42A3" w:rsidR="00040B44" w:rsidRPr="0015386A" w:rsidRDefault="00040B44" w:rsidP="00E84BDF">
            <w:pPr>
              <w:pStyle w:val="TableText"/>
              <w:tabs>
                <w:tab w:val="decimal" w:pos="396"/>
              </w:tabs>
              <w:jc w:val="center"/>
            </w:pPr>
            <w:r w:rsidRPr="0015386A">
              <w:t>redacted</w:t>
            </w:r>
          </w:p>
        </w:tc>
        <w:tc>
          <w:tcPr>
            <w:tcW w:w="522" w:type="pct"/>
            <w:shd w:val="clear" w:color="auto" w:fill="auto"/>
          </w:tcPr>
          <w:p w14:paraId="25137BB2" w14:textId="064B32D2" w:rsidR="00040B44" w:rsidRPr="0015386A" w:rsidRDefault="00040B44" w:rsidP="00E84BDF">
            <w:pPr>
              <w:pStyle w:val="TableText"/>
              <w:tabs>
                <w:tab w:val="decimal" w:pos="396"/>
              </w:tabs>
              <w:jc w:val="center"/>
            </w:pPr>
            <w:r w:rsidRPr="0015386A">
              <w:t>redacted</w:t>
            </w:r>
          </w:p>
        </w:tc>
        <w:tc>
          <w:tcPr>
            <w:tcW w:w="522" w:type="pct"/>
          </w:tcPr>
          <w:p w14:paraId="777D25FD" w14:textId="0DE96055" w:rsidR="00040B44" w:rsidRPr="0015386A" w:rsidRDefault="00040B44" w:rsidP="00E84BDF">
            <w:pPr>
              <w:pStyle w:val="TableText"/>
              <w:tabs>
                <w:tab w:val="decimal" w:pos="396"/>
              </w:tabs>
              <w:jc w:val="center"/>
            </w:pPr>
            <w:r w:rsidRPr="0015386A">
              <w:t>redacted</w:t>
            </w:r>
          </w:p>
        </w:tc>
      </w:tr>
      <w:tr w:rsidR="008603E5" w:rsidRPr="009F4EBD" w14:paraId="780D1504" w14:textId="77777777" w:rsidTr="00E84BDF">
        <w:tc>
          <w:tcPr>
            <w:tcW w:w="5000" w:type="pct"/>
            <w:gridSpan w:val="7"/>
            <w:shd w:val="clear" w:color="auto" w:fill="auto"/>
            <w:vAlign w:val="center"/>
          </w:tcPr>
          <w:p w14:paraId="5CF32CDD" w14:textId="77777777" w:rsidR="008603E5" w:rsidRPr="003B082E" w:rsidRDefault="008603E5" w:rsidP="00E84BDF">
            <w:pPr>
              <w:pStyle w:val="TableText"/>
              <w:rPr>
                <w:b/>
                <w:bCs/>
                <w:color w:val="000000"/>
              </w:rPr>
            </w:pPr>
            <w:r w:rsidRPr="003B082E">
              <w:rPr>
                <w:b/>
              </w:rPr>
              <w:t>Estimated financial implications of the PD-L1 test to the MBS</w:t>
            </w:r>
          </w:p>
        </w:tc>
      </w:tr>
      <w:tr w:rsidR="008603E5" w:rsidRPr="009F4EBD" w14:paraId="5DAE1DF3" w14:textId="77777777" w:rsidTr="00040B44">
        <w:tc>
          <w:tcPr>
            <w:tcW w:w="1597" w:type="pct"/>
            <w:tcBorders>
              <w:bottom w:val="nil"/>
            </w:tcBorders>
            <w:shd w:val="clear" w:color="auto" w:fill="auto"/>
            <w:vAlign w:val="center"/>
          </w:tcPr>
          <w:p w14:paraId="28EC2886" w14:textId="77777777" w:rsidR="008603E5" w:rsidRPr="003B082E" w:rsidRDefault="008603E5" w:rsidP="00E84BDF">
            <w:pPr>
              <w:pStyle w:val="TableText"/>
            </w:pPr>
            <w:r w:rsidRPr="003B082E">
              <w:t>Cost to MBS (100% schedule fee)</w:t>
            </w:r>
            <w:r w:rsidRPr="003B082E">
              <w:rPr>
                <w:vertAlign w:val="superscript"/>
              </w:rPr>
              <w:t>b</w:t>
            </w:r>
          </w:p>
        </w:tc>
        <w:tc>
          <w:tcPr>
            <w:tcW w:w="794" w:type="pct"/>
            <w:tcBorders>
              <w:bottom w:val="nil"/>
            </w:tcBorders>
            <w:shd w:val="clear" w:color="auto" w:fill="auto"/>
            <w:vAlign w:val="center"/>
          </w:tcPr>
          <w:p w14:paraId="06DB7014" w14:textId="4D215FA4" w:rsidR="008603E5" w:rsidRPr="003B082E" w:rsidRDefault="008603E5" w:rsidP="00040B44">
            <w:pPr>
              <w:pStyle w:val="TableText"/>
              <w:jc w:val="center"/>
            </w:pPr>
            <w:r w:rsidRPr="003B082E">
              <w:t>$</w:t>
            </w:r>
            <w:r w:rsidR="00040B44">
              <w:t>redacted</w:t>
            </w:r>
          </w:p>
        </w:tc>
        <w:tc>
          <w:tcPr>
            <w:tcW w:w="522" w:type="pct"/>
            <w:tcBorders>
              <w:bottom w:val="nil"/>
            </w:tcBorders>
            <w:shd w:val="clear" w:color="auto" w:fill="auto"/>
            <w:vAlign w:val="center"/>
          </w:tcPr>
          <w:p w14:paraId="2B67691D" w14:textId="145EEA5A"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393839B4" w14:textId="18513505"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3D0A82C3" w14:textId="7E6BCEBD"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57473A8C" w14:textId="08E72545" w:rsidR="008603E5" w:rsidRPr="003B082E" w:rsidRDefault="008603E5" w:rsidP="00E84BDF">
            <w:pPr>
              <w:pStyle w:val="TableText"/>
              <w:jc w:val="center"/>
            </w:pPr>
            <w:r w:rsidRPr="003B082E">
              <w:t>$</w:t>
            </w:r>
            <w:r w:rsidR="00040B44">
              <w:t>redacted</w:t>
            </w:r>
          </w:p>
        </w:tc>
        <w:tc>
          <w:tcPr>
            <w:tcW w:w="522" w:type="pct"/>
            <w:tcBorders>
              <w:bottom w:val="nil"/>
            </w:tcBorders>
            <w:vAlign w:val="center"/>
          </w:tcPr>
          <w:p w14:paraId="629DE02E" w14:textId="268D7E3E" w:rsidR="008603E5" w:rsidRPr="003B082E" w:rsidRDefault="008603E5" w:rsidP="00E84BDF">
            <w:pPr>
              <w:pStyle w:val="TableText"/>
              <w:jc w:val="center"/>
            </w:pPr>
            <w:r w:rsidRPr="003B082E">
              <w:t>$</w:t>
            </w:r>
            <w:r w:rsidR="00040B44">
              <w:t>redacted</w:t>
            </w:r>
          </w:p>
        </w:tc>
      </w:tr>
      <w:tr w:rsidR="008603E5" w:rsidRPr="0050477A" w14:paraId="79D7079F" w14:textId="77777777" w:rsidTr="00040B44">
        <w:tc>
          <w:tcPr>
            <w:tcW w:w="1597" w:type="pct"/>
            <w:tcBorders>
              <w:top w:val="nil"/>
            </w:tcBorders>
            <w:shd w:val="clear" w:color="auto" w:fill="auto"/>
            <w:vAlign w:val="center"/>
          </w:tcPr>
          <w:p w14:paraId="7BBFD9ED" w14:textId="77777777" w:rsidR="008603E5" w:rsidRPr="003B082E" w:rsidRDefault="008603E5" w:rsidP="00E84BDF">
            <w:pPr>
              <w:pStyle w:val="TableText"/>
            </w:pPr>
            <w:r w:rsidRPr="003B082E">
              <w:t>Revised (85% schedule fee)</w:t>
            </w:r>
            <w:r w:rsidRPr="003B082E">
              <w:rPr>
                <w:vertAlign w:val="superscript"/>
              </w:rPr>
              <w:t>c</w:t>
            </w:r>
          </w:p>
        </w:tc>
        <w:tc>
          <w:tcPr>
            <w:tcW w:w="794" w:type="pct"/>
            <w:tcBorders>
              <w:top w:val="nil"/>
            </w:tcBorders>
            <w:shd w:val="clear" w:color="auto" w:fill="auto"/>
            <w:vAlign w:val="center"/>
          </w:tcPr>
          <w:p w14:paraId="0A185376" w14:textId="1D30D084" w:rsidR="008603E5" w:rsidRPr="003B082E" w:rsidRDefault="008603E5" w:rsidP="00040B44">
            <w:pPr>
              <w:pStyle w:val="TableText"/>
              <w:jc w:val="center"/>
            </w:pPr>
            <w:r w:rsidRPr="003B082E">
              <w:t>$</w:t>
            </w:r>
            <w:r w:rsidR="00040B44">
              <w:t>redacted</w:t>
            </w:r>
          </w:p>
        </w:tc>
        <w:tc>
          <w:tcPr>
            <w:tcW w:w="522" w:type="pct"/>
            <w:tcBorders>
              <w:top w:val="nil"/>
            </w:tcBorders>
            <w:shd w:val="clear" w:color="auto" w:fill="auto"/>
            <w:vAlign w:val="center"/>
          </w:tcPr>
          <w:p w14:paraId="62467ACE" w14:textId="74BC1012" w:rsidR="008603E5" w:rsidRPr="003B082E" w:rsidRDefault="008603E5" w:rsidP="00E84BDF">
            <w:pPr>
              <w:pStyle w:val="TableText"/>
              <w:jc w:val="center"/>
            </w:pPr>
            <w:r w:rsidRPr="003B082E">
              <w:t>$</w:t>
            </w:r>
            <w:r w:rsidR="00040B44">
              <w:t>redacted</w:t>
            </w:r>
          </w:p>
        </w:tc>
        <w:tc>
          <w:tcPr>
            <w:tcW w:w="522" w:type="pct"/>
            <w:tcBorders>
              <w:top w:val="nil"/>
            </w:tcBorders>
            <w:shd w:val="clear" w:color="auto" w:fill="auto"/>
            <w:vAlign w:val="center"/>
          </w:tcPr>
          <w:p w14:paraId="44E21FBB" w14:textId="6DC1849D" w:rsidR="008603E5" w:rsidRPr="003B082E" w:rsidRDefault="008603E5" w:rsidP="00E84BDF">
            <w:pPr>
              <w:pStyle w:val="TableText"/>
              <w:jc w:val="center"/>
            </w:pPr>
            <w:r w:rsidRPr="003B082E">
              <w:t>$</w:t>
            </w:r>
            <w:r w:rsidR="00040B44">
              <w:t>redacted</w:t>
            </w:r>
          </w:p>
        </w:tc>
        <w:tc>
          <w:tcPr>
            <w:tcW w:w="522" w:type="pct"/>
            <w:tcBorders>
              <w:top w:val="nil"/>
            </w:tcBorders>
            <w:shd w:val="clear" w:color="auto" w:fill="auto"/>
            <w:vAlign w:val="center"/>
          </w:tcPr>
          <w:p w14:paraId="31E81C2E" w14:textId="34096177" w:rsidR="008603E5" w:rsidRPr="003B082E" w:rsidRDefault="008603E5" w:rsidP="00E84BDF">
            <w:pPr>
              <w:pStyle w:val="TableText"/>
              <w:jc w:val="center"/>
            </w:pPr>
            <w:r w:rsidRPr="003B082E">
              <w:t>$</w:t>
            </w:r>
            <w:r w:rsidR="00040B44">
              <w:t>redacted</w:t>
            </w:r>
          </w:p>
        </w:tc>
        <w:tc>
          <w:tcPr>
            <w:tcW w:w="522" w:type="pct"/>
            <w:tcBorders>
              <w:top w:val="nil"/>
            </w:tcBorders>
            <w:shd w:val="clear" w:color="auto" w:fill="auto"/>
            <w:vAlign w:val="center"/>
          </w:tcPr>
          <w:p w14:paraId="308DE2FC" w14:textId="66ECD165" w:rsidR="008603E5" w:rsidRPr="003B082E" w:rsidRDefault="008603E5" w:rsidP="00E84BDF">
            <w:pPr>
              <w:pStyle w:val="TableText"/>
              <w:jc w:val="center"/>
            </w:pPr>
            <w:r w:rsidRPr="003B082E">
              <w:t>$</w:t>
            </w:r>
            <w:r w:rsidR="00040B44">
              <w:t>redacted</w:t>
            </w:r>
          </w:p>
        </w:tc>
        <w:tc>
          <w:tcPr>
            <w:tcW w:w="522" w:type="pct"/>
            <w:tcBorders>
              <w:top w:val="nil"/>
            </w:tcBorders>
            <w:vAlign w:val="center"/>
          </w:tcPr>
          <w:p w14:paraId="4E49A1F5" w14:textId="2629EE41" w:rsidR="008603E5" w:rsidRPr="003B082E" w:rsidRDefault="008603E5" w:rsidP="00E84BDF">
            <w:pPr>
              <w:pStyle w:val="TableText"/>
              <w:jc w:val="center"/>
            </w:pPr>
            <w:r w:rsidRPr="003B082E">
              <w:t>$</w:t>
            </w:r>
            <w:r w:rsidR="00040B44">
              <w:t>redacted</w:t>
            </w:r>
          </w:p>
        </w:tc>
      </w:tr>
      <w:tr w:rsidR="008603E5" w:rsidRPr="009F4EBD" w14:paraId="0F06F835" w14:textId="77777777" w:rsidTr="00040B44">
        <w:tc>
          <w:tcPr>
            <w:tcW w:w="1597" w:type="pct"/>
            <w:shd w:val="clear" w:color="auto" w:fill="auto"/>
            <w:vAlign w:val="center"/>
          </w:tcPr>
          <w:p w14:paraId="494C53E0" w14:textId="77777777" w:rsidR="008603E5" w:rsidRPr="003B082E" w:rsidRDefault="008603E5" w:rsidP="00E84BDF">
            <w:pPr>
              <w:pStyle w:val="TableText"/>
            </w:pPr>
            <w:r w:rsidRPr="003B082E">
              <w:t>Copayments</w:t>
            </w:r>
            <w:r w:rsidRPr="003B082E">
              <w:rPr>
                <w:vertAlign w:val="superscript"/>
              </w:rPr>
              <w:t>c</w:t>
            </w:r>
          </w:p>
        </w:tc>
        <w:tc>
          <w:tcPr>
            <w:tcW w:w="794" w:type="pct"/>
            <w:shd w:val="clear" w:color="auto" w:fill="auto"/>
            <w:vAlign w:val="center"/>
          </w:tcPr>
          <w:p w14:paraId="103A8E9F" w14:textId="31A5EFEF" w:rsidR="008603E5" w:rsidRPr="003B082E" w:rsidRDefault="008603E5" w:rsidP="00E84BDF">
            <w:pPr>
              <w:pStyle w:val="TableText"/>
              <w:jc w:val="center"/>
            </w:pPr>
            <w:r w:rsidRPr="003B082E">
              <w:t>$</w:t>
            </w:r>
            <w:r w:rsidR="00040B44">
              <w:t>redacted</w:t>
            </w:r>
          </w:p>
        </w:tc>
        <w:tc>
          <w:tcPr>
            <w:tcW w:w="522" w:type="pct"/>
            <w:shd w:val="clear" w:color="auto" w:fill="auto"/>
            <w:vAlign w:val="center"/>
          </w:tcPr>
          <w:p w14:paraId="317E1FDC" w14:textId="45F25FC4" w:rsidR="008603E5" w:rsidRPr="003B082E" w:rsidRDefault="008603E5" w:rsidP="00E84BDF">
            <w:pPr>
              <w:pStyle w:val="TableText"/>
              <w:jc w:val="center"/>
            </w:pPr>
            <w:r w:rsidRPr="003B082E">
              <w:t>$</w:t>
            </w:r>
            <w:r w:rsidR="00040B44">
              <w:t>redacted</w:t>
            </w:r>
          </w:p>
        </w:tc>
        <w:tc>
          <w:tcPr>
            <w:tcW w:w="522" w:type="pct"/>
            <w:shd w:val="clear" w:color="auto" w:fill="auto"/>
            <w:vAlign w:val="center"/>
          </w:tcPr>
          <w:p w14:paraId="4E991A4E" w14:textId="7E50C807" w:rsidR="008603E5" w:rsidRPr="003B082E" w:rsidRDefault="008603E5" w:rsidP="00E84BDF">
            <w:pPr>
              <w:pStyle w:val="TableText"/>
              <w:jc w:val="center"/>
            </w:pPr>
            <w:r w:rsidRPr="003B082E">
              <w:t>$</w:t>
            </w:r>
            <w:r w:rsidR="00040B44">
              <w:t>redacted</w:t>
            </w:r>
          </w:p>
        </w:tc>
        <w:tc>
          <w:tcPr>
            <w:tcW w:w="522" w:type="pct"/>
            <w:shd w:val="clear" w:color="auto" w:fill="auto"/>
            <w:vAlign w:val="center"/>
          </w:tcPr>
          <w:p w14:paraId="629304F1" w14:textId="7C16AEF9" w:rsidR="008603E5" w:rsidRPr="003B082E" w:rsidRDefault="008603E5" w:rsidP="00E84BDF">
            <w:pPr>
              <w:pStyle w:val="TableText"/>
              <w:jc w:val="center"/>
            </w:pPr>
            <w:r w:rsidRPr="003B082E">
              <w:t>$</w:t>
            </w:r>
            <w:r w:rsidR="00040B44">
              <w:t>redacted</w:t>
            </w:r>
          </w:p>
        </w:tc>
        <w:tc>
          <w:tcPr>
            <w:tcW w:w="522" w:type="pct"/>
            <w:shd w:val="clear" w:color="auto" w:fill="auto"/>
            <w:vAlign w:val="center"/>
          </w:tcPr>
          <w:p w14:paraId="3D316CE4" w14:textId="0D437F05" w:rsidR="008603E5" w:rsidRPr="003B082E" w:rsidRDefault="008603E5" w:rsidP="00E84BDF">
            <w:pPr>
              <w:pStyle w:val="TableText"/>
              <w:jc w:val="center"/>
            </w:pPr>
            <w:r w:rsidRPr="003B082E">
              <w:t>$</w:t>
            </w:r>
            <w:r w:rsidR="00040B44">
              <w:t>redacted</w:t>
            </w:r>
          </w:p>
        </w:tc>
        <w:tc>
          <w:tcPr>
            <w:tcW w:w="522" w:type="pct"/>
            <w:shd w:val="clear" w:color="auto" w:fill="auto"/>
            <w:vAlign w:val="center"/>
          </w:tcPr>
          <w:p w14:paraId="2C2B2A6A" w14:textId="716CA054" w:rsidR="008603E5" w:rsidRPr="003B082E" w:rsidRDefault="008603E5" w:rsidP="00E84BDF">
            <w:pPr>
              <w:pStyle w:val="TableText"/>
              <w:jc w:val="center"/>
            </w:pPr>
            <w:r w:rsidRPr="003B082E">
              <w:t>$</w:t>
            </w:r>
            <w:r w:rsidR="00040B44">
              <w:t>redacted</w:t>
            </w:r>
          </w:p>
        </w:tc>
      </w:tr>
      <w:tr w:rsidR="008603E5" w:rsidRPr="009F4EBD" w14:paraId="7AF30AB7" w14:textId="77777777" w:rsidTr="00E84BDF">
        <w:tc>
          <w:tcPr>
            <w:tcW w:w="5000" w:type="pct"/>
            <w:gridSpan w:val="7"/>
            <w:shd w:val="clear" w:color="auto" w:fill="auto"/>
            <w:vAlign w:val="center"/>
          </w:tcPr>
          <w:p w14:paraId="196CB89C" w14:textId="77777777" w:rsidR="008603E5" w:rsidRPr="003B082E" w:rsidRDefault="008603E5" w:rsidP="00E84BDF">
            <w:pPr>
              <w:pStyle w:val="TableText"/>
              <w:rPr>
                <w:b/>
              </w:rPr>
            </w:pPr>
            <w:r w:rsidRPr="003B082E">
              <w:rPr>
                <w:b/>
              </w:rPr>
              <w:t>Estimated financial implications for other MBS Items, including administration and on-treatment monitoring</w:t>
            </w:r>
          </w:p>
        </w:tc>
      </w:tr>
      <w:tr w:rsidR="008603E5" w:rsidRPr="009F4EBD" w14:paraId="357F1626" w14:textId="77777777" w:rsidTr="00040B44">
        <w:tc>
          <w:tcPr>
            <w:tcW w:w="1597" w:type="pct"/>
            <w:tcBorders>
              <w:bottom w:val="nil"/>
            </w:tcBorders>
            <w:shd w:val="clear" w:color="auto" w:fill="auto"/>
            <w:vAlign w:val="center"/>
          </w:tcPr>
          <w:p w14:paraId="58EF0AB6" w14:textId="77777777" w:rsidR="008603E5" w:rsidRPr="003B082E" w:rsidRDefault="008603E5" w:rsidP="00E84BDF">
            <w:pPr>
              <w:pStyle w:val="TableText"/>
            </w:pPr>
            <w:r w:rsidRPr="003B082E">
              <w:t>Cost to MBS (100% schedule fee)</w:t>
            </w:r>
          </w:p>
        </w:tc>
        <w:tc>
          <w:tcPr>
            <w:tcW w:w="794" w:type="pct"/>
            <w:tcBorders>
              <w:bottom w:val="nil"/>
            </w:tcBorders>
            <w:shd w:val="clear" w:color="auto" w:fill="auto"/>
            <w:vAlign w:val="center"/>
          </w:tcPr>
          <w:p w14:paraId="657AC840" w14:textId="6F4FBB96"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32611AD0" w14:textId="60DC5A1C"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524E760D" w14:textId="0079BE51"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2713BE6B" w14:textId="5986CA3E"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3B7CE5B7" w14:textId="23099BCC" w:rsidR="008603E5" w:rsidRPr="003B082E" w:rsidRDefault="008603E5" w:rsidP="00E84BDF">
            <w:pPr>
              <w:pStyle w:val="TableText"/>
              <w:jc w:val="center"/>
            </w:pPr>
            <w:r w:rsidRPr="003B082E">
              <w:t>$</w:t>
            </w:r>
            <w:r w:rsidR="00040B44">
              <w:t>redacted</w:t>
            </w:r>
          </w:p>
        </w:tc>
        <w:tc>
          <w:tcPr>
            <w:tcW w:w="522" w:type="pct"/>
            <w:tcBorders>
              <w:bottom w:val="nil"/>
            </w:tcBorders>
            <w:vAlign w:val="center"/>
          </w:tcPr>
          <w:p w14:paraId="418564F6" w14:textId="42AA95EF" w:rsidR="008603E5" w:rsidRPr="003B082E" w:rsidRDefault="008603E5" w:rsidP="00E84BDF">
            <w:pPr>
              <w:pStyle w:val="TableText"/>
              <w:jc w:val="center"/>
            </w:pPr>
            <w:r w:rsidRPr="003B082E">
              <w:t>$</w:t>
            </w:r>
            <w:r w:rsidR="00040B44">
              <w:t>redacted</w:t>
            </w:r>
          </w:p>
        </w:tc>
      </w:tr>
      <w:tr w:rsidR="008603E5" w:rsidRPr="009F4EBD" w14:paraId="070F45FB" w14:textId="77777777" w:rsidTr="00040B44">
        <w:tc>
          <w:tcPr>
            <w:tcW w:w="1597" w:type="pct"/>
            <w:tcBorders>
              <w:top w:val="nil"/>
              <w:bottom w:val="single" w:sz="4" w:space="0" w:color="auto"/>
            </w:tcBorders>
            <w:shd w:val="clear" w:color="auto" w:fill="auto"/>
            <w:vAlign w:val="center"/>
          </w:tcPr>
          <w:p w14:paraId="67816F0B" w14:textId="77777777" w:rsidR="008603E5" w:rsidRPr="003B082E" w:rsidRDefault="008603E5" w:rsidP="00E84BDF">
            <w:pPr>
              <w:pStyle w:val="TableText"/>
            </w:pPr>
            <w:r w:rsidRPr="003B082E">
              <w:t>Revised (85% schedule fee)</w:t>
            </w:r>
            <w:r w:rsidRPr="003B082E">
              <w:rPr>
                <w:vertAlign w:val="superscript"/>
              </w:rPr>
              <w:t>c</w:t>
            </w:r>
          </w:p>
        </w:tc>
        <w:tc>
          <w:tcPr>
            <w:tcW w:w="794" w:type="pct"/>
            <w:tcBorders>
              <w:top w:val="nil"/>
              <w:bottom w:val="single" w:sz="4" w:space="0" w:color="auto"/>
            </w:tcBorders>
            <w:shd w:val="clear" w:color="auto" w:fill="auto"/>
            <w:vAlign w:val="center"/>
          </w:tcPr>
          <w:p w14:paraId="6B8DDE86" w14:textId="2546CDD7"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3C9E993D" w14:textId="285366AE"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2B699BFE" w14:textId="2296F62F"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0D922928" w14:textId="146F1BCE"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3B419AC1" w14:textId="058A6031"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vAlign w:val="center"/>
          </w:tcPr>
          <w:p w14:paraId="5EDAB2EE" w14:textId="2898EDAD" w:rsidR="008603E5" w:rsidRPr="003B082E" w:rsidRDefault="008603E5" w:rsidP="00E84BDF">
            <w:pPr>
              <w:pStyle w:val="TableText"/>
              <w:jc w:val="center"/>
            </w:pPr>
            <w:r w:rsidRPr="003B082E">
              <w:t>$</w:t>
            </w:r>
            <w:r w:rsidR="00040B44">
              <w:t>redacted</w:t>
            </w:r>
          </w:p>
        </w:tc>
      </w:tr>
      <w:tr w:rsidR="008603E5" w:rsidRPr="009F4EBD" w14:paraId="747EC5DE" w14:textId="77777777" w:rsidTr="00040B44">
        <w:tc>
          <w:tcPr>
            <w:tcW w:w="1597" w:type="pct"/>
            <w:tcBorders>
              <w:top w:val="single" w:sz="4" w:space="0" w:color="auto"/>
            </w:tcBorders>
            <w:shd w:val="clear" w:color="auto" w:fill="auto"/>
            <w:vAlign w:val="center"/>
          </w:tcPr>
          <w:p w14:paraId="6FFC68C6" w14:textId="77777777" w:rsidR="008603E5" w:rsidRPr="003B082E" w:rsidRDefault="008603E5" w:rsidP="00E84BDF">
            <w:pPr>
              <w:pStyle w:val="TableText"/>
            </w:pPr>
            <w:r w:rsidRPr="003B082E">
              <w:t>Copayments</w:t>
            </w:r>
            <w:r w:rsidRPr="003B082E">
              <w:rPr>
                <w:vertAlign w:val="superscript"/>
              </w:rPr>
              <w:t>c</w:t>
            </w:r>
          </w:p>
        </w:tc>
        <w:tc>
          <w:tcPr>
            <w:tcW w:w="794" w:type="pct"/>
            <w:tcBorders>
              <w:top w:val="single" w:sz="4" w:space="0" w:color="auto"/>
            </w:tcBorders>
            <w:shd w:val="clear" w:color="auto" w:fill="auto"/>
            <w:vAlign w:val="center"/>
          </w:tcPr>
          <w:p w14:paraId="414C75C8" w14:textId="0DE2D054" w:rsidR="008603E5" w:rsidRPr="003B082E" w:rsidRDefault="008603E5" w:rsidP="00040B44">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2D4F4B41" w14:textId="515EEF1F" w:rsidR="008603E5" w:rsidRPr="003B082E" w:rsidRDefault="008603E5" w:rsidP="00040B44">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5606CF09" w14:textId="4208527A"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5E415E9D" w14:textId="5450E078"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0CD79EC8" w14:textId="3DC046BE"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46F307CB" w14:textId="1466B720" w:rsidR="008603E5" w:rsidRPr="003B082E" w:rsidRDefault="008603E5" w:rsidP="00E84BDF">
            <w:pPr>
              <w:pStyle w:val="TableText"/>
              <w:jc w:val="center"/>
            </w:pPr>
            <w:r w:rsidRPr="003B082E">
              <w:t>$</w:t>
            </w:r>
            <w:r w:rsidR="00040B44">
              <w:t>redacted</w:t>
            </w:r>
          </w:p>
        </w:tc>
      </w:tr>
      <w:tr w:rsidR="008603E5" w:rsidRPr="009F4EBD" w14:paraId="61F9EA5B" w14:textId="77777777" w:rsidTr="00E84BDF">
        <w:tc>
          <w:tcPr>
            <w:tcW w:w="5000" w:type="pct"/>
            <w:gridSpan w:val="7"/>
            <w:tcBorders>
              <w:bottom w:val="single" w:sz="4" w:space="0" w:color="auto"/>
            </w:tcBorders>
            <w:shd w:val="clear" w:color="auto" w:fill="auto"/>
            <w:vAlign w:val="center"/>
          </w:tcPr>
          <w:p w14:paraId="3E79CEA8" w14:textId="77777777" w:rsidR="008603E5" w:rsidRPr="003B082E" w:rsidRDefault="008603E5" w:rsidP="00E84BDF">
            <w:pPr>
              <w:pStyle w:val="TableText"/>
              <w:rPr>
                <w:b/>
              </w:rPr>
            </w:pPr>
            <w:r w:rsidRPr="003B082E">
              <w:rPr>
                <w:b/>
              </w:rPr>
              <w:t>Net financial implications</w:t>
            </w:r>
          </w:p>
        </w:tc>
      </w:tr>
      <w:tr w:rsidR="008603E5" w:rsidRPr="009F4EBD" w14:paraId="4A636847" w14:textId="77777777" w:rsidTr="00040B44">
        <w:tc>
          <w:tcPr>
            <w:tcW w:w="1597" w:type="pct"/>
            <w:tcBorders>
              <w:bottom w:val="nil"/>
            </w:tcBorders>
            <w:shd w:val="clear" w:color="auto" w:fill="auto"/>
            <w:vAlign w:val="center"/>
          </w:tcPr>
          <w:p w14:paraId="4BA09168" w14:textId="77777777" w:rsidR="008603E5" w:rsidRPr="003B082E" w:rsidRDefault="008603E5" w:rsidP="00E84BDF">
            <w:pPr>
              <w:pStyle w:val="TableText"/>
              <w:rPr>
                <w:rFonts w:ascii="Times" w:eastAsia="Times New Roman" w:hAnsi="Times" w:cs="Times New Roman"/>
              </w:rPr>
            </w:pPr>
            <w:r w:rsidRPr="003B082E">
              <w:t>Net cost to MBS</w:t>
            </w:r>
          </w:p>
        </w:tc>
        <w:tc>
          <w:tcPr>
            <w:tcW w:w="794" w:type="pct"/>
            <w:tcBorders>
              <w:bottom w:val="nil"/>
            </w:tcBorders>
            <w:shd w:val="clear" w:color="auto" w:fill="auto"/>
            <w:vAlign w:val="center"/>
          </w:tcPr>
          <w:p w14:paraId="69F70F48" w14:textId="438C00C5"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46122874" w14:textId="6D065D9B"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41A6C82D" w14:textId="2841ED8F"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365A3E9D" w14:textId="04435028" w:rsidR="008603E5" w:rsidRPr="003B082E" w:rsidRDefault="008603E5" w:rsidP="00E84BDF">
            <w:pPr>
              <w:pStyle w:val="TableText"/>
              <w:jc w:val="center"/>
            </w:pPr>
            <w:r w:rsidRPr="003B082E">
              <w:t>$</w:t>
            </w:r>
            <w:r w:rsidR="00040B44">
              <w:t>redacted</w:t>
            </w:r>
          </w:p>
        </w:tc>
        <w:tc>
          <w:tcPr>
            <w:tcW w:w="522" w:type="pct"/>
            <w:tcBorders>
              <w:bottom w:val="nil"/>
            </w:tcBorders>
            <w:shd w:val="clear" w:color="auto" w:fill="auto"/>
            <w:vAlign w:val="center"/>
          </w:tcPr>
          <w:p w14:paraId="3F20E5D3" w14:textId="2566D3C4" w:rsidR="008603E5" w:rsidRPr="003B082E" w:rsidRDefault="008603E5" w:rsidP="00E84BDF">
            <w:pPr>
              <w:pStyle w:val="TableText"/>
              <w:jc w:val="center"/>
            </w:pPr>
            <w:r w:rsidRPr="003B082E">
              <w:t>$</w:t>
            </w:r>
            <w:r w:rsidR="00040B44">
              <w:t>redacted</w:t>
            </w:r>
          </w:p>
        </w:tc>
        <w:tc>
          <w:tcPr>
            <w:tcW w:w="522" w:type="pct"/>
            <w:tcBorders>
              <w:bottom w:val="nil"/>
            </w:tcBorders>
            <w:vAlign w:val="center"/>
          </w:tcPr>
          <w:p w14:paraId="6C1DB2DB" w14:textId="74D6D9BF" w:rsidR="008603E5" w:rsidRPr="003B082E" w:rsidRDefault="008603E5" w:rsidP="00E84BDF">
            <w:pPr>
              <w:pStyle w:val="TableText"/>
              <w:jc w:val="center"/>
            </w:pPr>
            <w:r w:rsidRPr="003B082E">
              <w:t>$</w:t>
            </w:r>
            <w:r w:rsidR="00040B44">
              <w:t>redacted</w:t>
            </w:r>
          </w:p>
        </w:tc>
      </w:tr>
      <w:tr w:rsidR="008603E5" w:rsidRPr="009F4EBD" w14:paraId="57896B8C" w14:textId="77777777" w:rsidTr="00040B44">
        <w:tc>
          <w:tcPr>
            <w:tcW w:w="1597" w:type="pct"/>
            <w:tcBorders>
              <w:top w:val="nil"/>
              <w:bottom w:val="single" w:sz="4" w:space="0" w:color="auto"/>
            </w:tcBorders>
            <w:shd w:val="clear" w:color="auto" w:fill="auto"/>
            <w:vAlign w:val="center"/>
          </w:tcPr>
          <w:p w14:paraId="62A45B36" w14:textId="77777777" w:rsidR="008603E5" w:rsidRPr="003B082E" w:rsidRDefault="008603E5" w:rsidP="00E84BDF">
            <w:pPr>
              <w:pStyle w:val="TableText"/>
            </w:pPr>
            <w:r w:rsidRPr="003B082E">
              <w:t>Revised (85% schedule fee)</w:t>
            </w:r>
            <w:r w:rsidRPr="003B082E">
              <w:rPr>
                <w:vertAlign w:val="superscript"/>
              </w:rPr>
              <w:t>c</w:t>
            </w:r>
          </w:p>
        </w:tc>
        <w:tc>
          <w:tcPr>
            <w:tcW w:w="794" w:type="pct"/>
            <w:tcBorders>
              <w:top w:val="nil"/>
              <w:bottom w:val="single" w:sz="4" w:space="0" w:color="auto"/>
            </w:tcBorders>
            <w:shd w:val="clear" w:color="auto" w:fill="auto"/>
            <w:vAlign w:val="center"/>
          </w:tcPr>
          <w:p w14:paraId="564C0447" w14:textId="716C6287"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3D4CF395" w14:textId="660CD5B1"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4C296229" w14:textId="156EE2DC"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6AA7A039" w14:textId="5A01D98D"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shd w:val="clear" w:color="auto" w:fill="auto"/>
            <w:vAlign w:val="center"/>
          </w:tcPr>
          <w:p w14:paraId="3BBAA909" w14:textId="1403E8F1" w:rsidR="008603E5" w:rsidRPr="003B082E" w:rsidRDefault="008603E5" w:rsidP="00E84BDF">
            <w:pPr>
              <w:pStyle w:val="TableText"/>
              <w:jc w:val="center"/>
            </w:pPr>
            <w:r w:rsidRPr="003B082E">
              <w:t>$</w:t>
            </w:r>
            <w:r w:rsidR="00040B44">
              <w:t>redacted</w:t>
            </w:r>
          </w:p>
        </w:tc>
        <w:tc>
          <w:tcPr>
            <w:tcW w:w="522" w:type="pct"/>
            <w:tcBorders>
              <w:top w:val="nil"/>
              <w:bottom w:val="single" w:sz="4" w:space="0" w:color="auto"/>
            </w:tcBorders>
            <w:vAlign w:val="center"/>
          </w:tcPr>
          <w:p w14:paraId="02F3A18E" w14:textId="750C1C8C" w:rsidR="008603E5" w:rsidRPr="003B082E" w:rsidRDefault="008603E5" w:rsidP="00E84BDF">
            <w:pPr>
              <w:pStyle w:val="TableText"/>
              <w:jc w:val="center"/>
            </w:pPr>
            <w:r w:rsidRPr="003B082E">
              <w:t>$</w:t>
            </w:r>
            <w:r w:rsidR="00040B44">
              <w:t>redacted</w:t>
            </w:r>
          </w:p>
        </w:tc>
      </w:tr>
      <w:tr w:rsidR="008603E5" w:rsidRPr="009F4EBD" w14:paraId="56658A2E" w14:textId="77777777" w:rsidTr="00040B44">
        <w:tc>
          <w:tcPr>
            <w:tcW w:w="1597" w:type="pct"/>
            <w:tcBorders>
              <w:top w:val="single" w:sz="4" w:space="0" w:color="auto"/>
            </w:tcBorders>
            <w:shd w:val="clear" w:color="auto" w:fill="auto"/>
            <w:vAlign w:val="center"/>
          </w:tcPr>
          <w:p w14:paraId="4DEFC515" w14:textId="77777777" w:rsidR="008603E5" w:rsidRPr="003B082E" w:rsidRDefault="008603E5" w:rsidP="00E84BDF">
            <w:pPr>
              <w:pStyle w:val="TableText"/>
            </w:pPr>
            <w:r w:rsidRPr="003B082E">
              <w:t>Copayments</w:t>
            </w:r>
            <w:r w:rsidRPr="003B082E">
              <w:rPr>
                <w:vertAlign w:val="superscript"/>
              </w:rPr>
              <w:t>c</w:t>
            </w:r>
          </w:p>
        </w:tc>
        <w:tc>
          <w:tcPr>
            <w:tcW w:w="794" w:type="pct"/>
            <w:tcBorders>
              <w:top w:val="single" w:sz="4" w:space="0" w:color="auto"/>
            </w:tcBorders>
            <w:shd w:val="clear" w:color="auto" w:fill="auto"/>
            <w:vAlign w:val="center"/>
          </w:tcPr>
          <w:p w14:paraId="0268A4B4" w14:textId="6CB00D22"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03833A5A" w14:textId="38F4CF4F"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5C624193" w14:textId="22C1CA37"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407A7BAF" w14:textId="7F776283" w:rsidR="008603E5" w:rsidRPr="003B082E" w:rsidRDefault="008603E5" w:rsidP="00E84BDF">
            <w:pPr>
              <w:pStyle w:val="TableText"/>
              <w:jc w:val="center"/>
            </w:pPr>
            <w:r w:rsidRPr="003B082E">
              <w:t>$</w:t>
            </w:r>
            <w:r w:rsidR="00040B44">
              <w:t>redacted</w:t>
            </w:r>
          </w:p>
        </w:tc>
        <w:tc>
          <w:tcPr>
            <w:tcW w:w="522" w:type="pct"/>
            <w:tcBorders>
              <w:top w:val="single" w:sz="4" w:space="0" w:color="auto"/>
            </w:tcBorders>
            <w:shd w:val="clear" w:color="auto" w:fill="auto"/>
            <w:vAlign w:val="center"/>
          </w:tcPr>
          <w:p w14:paraId="35E7CA95" w14:textId="220B472F" w:rsidR="008603E5" w:rsidRPr="003B082E" w:rsidRDefault="008603E5" w:rsidP="00E84BDF">
            <w:pPr>
              <w:pStyle w:val="TableText"/>
              <w:jc w:val="center"/>
            </w:pPr>
            <w:r w:rsidRPr="003B082E">
              <w:t>$</w:t>
            </w:r>
            <w:r w:rsidR="00040B44">
              <w:t>redacted</w:t>
            </w:r>
          </w:p>
        </w:tc>
        <w:tc>
          <w:tcPr>
            <w:tcW w:w="522" w:type="pct"/>
            <w:tcBorders>
              <w:top w:val="single" w:sz="4" w:space="0" w:color="auto"/>
            </w:tcBorders>
            <w:vAlign w:val="center"/>
          </w:tcPr>
          <w:p w14:paraId="18538016" w14:textId="25B698D6" w:rsidR="008603E5" w:rsidRPr="003B082E" w:rsidRDefault="008603E5" w:rsidP="00E84BDF">
            <w:pPr>
              <w:pStyle w:val="TableText"/>
              <w:jc w:val="center"/>
            </w:pPr>
            <w:r w:rsidRPr="003B082E">
              <w:t>$</w:t>
            </w:r>
            <w:r w:rsidR="00040B44">
              <w:t>redacted</w:t>
            </w:r>
          </w:p>
        </w:tc>
      </w:tr>
    </w:tbl>
    <w:p w14:paraId="1072FDC6" w14:textId="77777777" w:rsidR="008603E5" w:rsidRDefault="008603E5" w:rsidP="008603E5">
      <w:pPr>
        <w:pStyle w:val="TableFooter"/>
        <w:jc w:val="left"/>
      </w:pPr>
      <w:r>
        <w:rPr>
          <w:vertAlign w:val="superscript"/>
        </w:rPr>
        <w:t>a</w:t>
      </w:r>
      <w:r>
        <w:t xml:space="preserve"> The submission inappropriately included the cost of the MBS test to grandfathered patients in the first year.</w:t>
      </w:r>
    </w:p>
    <w:p w14:paraId="267E6076" w14:textId="77777777" w:rsidR="008603E5" w:rsidRPr="00187CEB" w:rsidRDefault="008603E5" w:rsidP="008603E5">
      <w:pPr>
        <w:pStyle w:val="TableFooter"/>
        <w:jc w:val="left"/>
      </w:pPr>
      <w:r w:rsidRPr="00802CB3">
        <w:rPr>
          <w:vertAlign w:val="superscript"/>
        </w:rPr>
        <w:t>b</w:t>
      </w:r>
      <w:r>
        <w:t xml:space="preserve"> These values could not be verified based on information presented in the submission’s Excel workbook, although they appeared similar to values calculated during the evaluation.</w:t>
      </w:r>
    </w:p>
    <w:p w14:paraId="594745F0" w14:textId="77777777" w:rsidR="008603E5" w:rsidRDefault="008603E5" w:rsidP="008603E5">
      <w:pPr>
        <w:pStyle w:val="TableFooter"/>
        <w:jc w:val="left"/>
      </w:pPr>
      <w:r>
        <w:rPr>
          <w:vertAlign w:val="superscript"/>
        </w:rPr>
        <w:t>c</w:t>
      </w:r>
      <w:r>
        <w:t xml:space="preserve"> Assuming all patients receive the test in an outpatient setting, and therefore pay a 15% co-payment. Submission base case used the 100% schedule fee, which is inappropriate.</w:t>
      </w:r>
    </w:p>
    <w:p w14:paraId="1E52F56F" w14:textId="77777777" w:rsidR="008603E5" w:rsidRDefault="008603E5" w:rsidP="008603E5">
      <w:pPr>
        <w:pStyle w:val="TableFooter"/>
        <w:jc w:val="left"/>
      </w:pPr>
      <w:r w:rsidRPr="009F4EBD">
        <w:t xml:space="preserve">Source: </w:t>
      </w:r>
      <w:r w:rsidRPr="001D2B84">
        <w:t>Table 4.3.2, Table 4.6.3</w:t>
      </w:r>
      <w:r>
        <w:t xml:space="preserve">, Table 4.6.9 of the </w:t>
      </w:r>
      <w:r w:rsidRPr="008D006C">
        <w:t>MSAC_PBAC Combined S</w:t>
      </w:r>
      <w:r>
        <w:t>ubmission</w:t>
      </w:r>
    </w:p>
    <w:p w14:paraId="6F9E76B8" w14:textId="77777777" w:rsidR="008603E5" w:rsidRPr="00C136DC" w:rsidRDefault="008603E5" w:rsidP="008603E5">
      <w:pPr>
        <w:pStyle w:val="MSACESParagraph"/>
        <w:spacing w:after="0"/>
      </w:pPr>
      <w:r w:rsidRPr="00C136DC">
        <w:t>The Commentary stated that it is uncertain whether the estimated cost of listing the PD-L1 test on the MBS is an underestimate or overestimate given that:</w:t>
      </w:r>
    </w:p>
    <w:p w14:paraId="2D3D510E" w14:textId="77777777" w:rsidR="008603E5" w:rsidRDefault="008603E5" w:rsidP="008603E5">
      <w:pPr>
        <w:pStyle w:val="MSACESBulletPoint"/>
        <w:spacing w:before="0" w:after="0"/>
      </w:pPr>
      <w:r>
        <w:t>the number of patients receiving the PD-L1 test to determine eligibility to ATZ+nab-P is uncertain. The number of patients with inoperable locally advanced or metastatic TNBC and an ECOG score of 0-1 is uncertain given that:</w:t>
      </w:r>
    </w:p>
    <w:p w14:paraId="245B4241" w14:textId="77777777" w:rsidR="008603E5" w:rsidRDefault="008603E5" w:rsidP="008603E5">
      <w:pPr>
        <w:pStyle w:val="MSACESBulletPoint"/>
        <w:numPr>
          <w:ilvl w:val="1"/>
          <w:numId w:val="5"/>
        </w:numPr>
        <w:spacing w:before="0" w:after="0"/>
      </w:pPr>
      <w:r>
        <w:t>it is possible the proportion of patients diagnosed with de novo m</w:t>
      </w:r>
      <w:r>
        <w:rPr>
          <w:color w:val="000000"/>
        </w:rPr>
        <w:t xml:space="preserve">etastatic </w:t>
      </w:r>
      <w:r>
        <w:t>TNBC is overestimated by the submission, although there is a paucity of Australian data to inform this parameter; and</w:t>
      </w:r>
    </w:p>
    <w:p w14:paraId="5C098BFB" w14:textId="77777777" w:rsidR="008603E5" w:rsidRDefault="008603E5" w:rsidP="008603E5">
      <w:pPr>
        <w:pStyle w:val="MSACESBulletPoint"/>
        <w:numPr>
          <w:ilvl w:val="1"/>
          <w:numId w:val="5"/>
        </w:numPr>
        <w:spacing w:before="0" w:after="0"/>
      </w:pPr>
      <w:r>
        <w:t>the proportion of patients diagnosed with earlier stages of TNBC that progress to Stage III inoperable or Stage IV is likely to be underestimated by the submission</w:t>
      </w:r>
    </w:p>
    <w:p w14:paraId="013232F0" w14:textId="3D8F697B" w:rsidR="008603E5" w:rsidRPr="000F5DF1" w:rsidRDefault="008603E5" w:rsidP="000F5DF1">
      <w:pPr>
        <w:pStyle w:val="MSACESBulletPoint"/>
        <w:spacing w:before="0" w:after="240"/>
        <w:ind w:left="714" w:hanging="357"/>
      </w:pPr>
      <w:r>
        <w:t xml:space="preserve">the number of patients that are likely to test positive may be different from that estimated in IMpassion130. As noted above, tests other than the evidentiary standard may be used in clinical practice if the MBS item is not restricted to the use of VENTANA SP142. These testing strategies resulted in </w:t>
      </w:r>
      <w:r w:rsidR="00040B44" w:rsidRPr="00040B44">
        <w:rPr>
          <w:b/>
        </w:rPr>
        <w:t>redacted</w:t>
      </w:r>
      <w:r>
        <w:t xml:space="preserve">% of patients being identified as PD-L1 positive, compared to 46% in the </w:t>
      </w:r>
      <w:r w:rsidR="00E81BE4">
        <w:t>BEP</w:t>
      </w:r>
      <w:r>
        <w:t xml:space="preserve"> of the key trial based on the eviden</w:t>
      </w:r>
      <w:r w:rsidR="000F5DF1">
        <w:t>tiary standard (VENTANA SP142).</w:t>
      </w:r>
    </w:p>
    <w:p w14:paraId="7BAFF9AE" w14:textId="290A9215" w:rsidR="000F5DF1" w:rsidRPr="000F5DF1" w:rsidRDefault="008603E5" w:rsidP="000F5DF1">
      <w:pPr>
        <w:pStyle w:val="MSACESBulletPoint"/>
        <w:numPr>
          <w:ilvl w:val="0"/>
          <w:numId w:val="0"/>
        </w:numPr>
        <w:spacing w:after="0"/>
        <w:rPr>
          <w:lang w:val="en-US"/>
        </w:rPr>
      </w:pPr>
      <w:r>
        <w:rPr>
          <w:lang w:val="en-US"/>
        </w:rPr>
        <w:t xml:space="preserve">In </w:t>
      </w:r>
      <w:r w:rsidR="005D3915">
        <w:rPr>
          <w:lang w:val="en-US"/>
        </w:rPr>
        <w:t xml:space="preserve">its </w:t>
      </w:r>
      <w:r>
        <w:rPr>
          <w:lang w:val="en-US"/>
        </w:rPr>
        <w:t>pre-PBAC and pre-MSAC response</w:t>
      </w:r>
      <w:r w:rsidR="005D3915">
        <w:rPr>
          <w:lang w:val="en-US"/>
        </w:rPr>
        <w:t>s</w:t>
      </w:r>
      <w:r>
        <w:rPr>
          <w:lang w:val="en-US"/>
        </w:rPr>
        <w:t xml:space="preserve">, the applicant revised </w:t>
      </w:r>
      <w:r w:rsidR="005D3915">
        <w:rPr>
          <w:lang w:val="en-US"/>
        </w:rPr>
        <w:t>its</w:t>
      </w:r>
      <w:r>
        <w:rPr>
          <w:lang w:val="en-US"/>
        </w:rPr>
        <w:t xml:space="preserve"> base</w:t>
      </w:r>
      <w:r w:rsidR="005D3915">
        <w:rPr>
          <w:lang w:val="en-US"/>
        </w:rPr>
        <w:t xml:space="preserve"> </w:t>
      </w:r>
      <w:r>
        <w:rPr>
          <w:lang w:val="en-US"/>
        </w:rPr>
        <w:t xml:space="preserve">case financial model (Table 15). Related to the MBS impact of PD-L1 testing, the applicant updated the </w:t>
      </w:r>
      <w:r w:rsidRPr="00B46990">
        <w:rPr>
          <w:lang w:val="en-US"/>
        </w:rPr>
        <w:t>PD-L1 testing rate to 95%</w:t>
      </w:r>
      <w:r>
        <w:rPr>
          <w:lang w:val="en-US"/>
        </w:rPr>
        <w:t xml:space="preserve"> (from 82% in original application)</w:t>
      </w:r>
      <w:r w:rsidRPr="00B46990">
        <w:rPr>
          <w:lang w:val="en-US"/>
        </w:rPr>
        <w:t xml:space="preserve"> as recommended by DUSC</w:t>
      </w:r>
      <w:r>
        <w:rPr>
          <w:lang w:val="en-US"/>
        </w:rPr>
        <w:t>, and included a retesting rate of 4%.</w:t>
      </w:r>
      <w:r w:rsidR="002210C2">
        <w:rPr>
          <w:lang w:val="en-US"/>
        </w:rPr>
        <w:t xml:space="preserve"> These results were not independently verified.</w:t>
      </w:r>
      <w:r w:rsidR="000F5DF1">
        <w:rPr>
          <w:shd w:val="clear" w:color="auto" w:fill="FFFFFF"/>
        </w:rPr>
        <w:br w:type="page"/>
      </w:r>
    </w:p>
    <w:p w14:paraId="44B7C4C4" w14:textId="0470EFE6" w:rsidR="008603E5" w:rsidRPr="00B90F39" w:rsidRDefault="008603E5" w:rsidP="00B90F39">
      <w:pPr>
        <w:rPr>
          <w:rFonts w:ascii="Arial Narrow" w:hAnsi="Arial Narrow"/>
          <w:b/>
          <w:sz w:val="20"/>
        </w:rPr>
      </w:pPr>
      <w:r w:rsidRPr="00B90F39">
        <w:rPr>
          <w:rFonts w:ascii="Arial Narrow" w:hAnsi="Arial Narrow"/>
          <w:b/>
          <w:sz w:val="20"/>
        </w:rPr>
        <w:t>Table 15</w:t>
      </w:r>
      <w:r w:rsidR="002210C2" w:rsidRPr="00B90F39">
        <w:rPr>
          <w:rFonts w:ascii="Arial Narrow" w:hAnsi="Arial Narrow"/>
          <w:b/>
          <w:sz w:val="20"/>
        </w:rPr>
        <w:t>:</w:t>
      </w:r>
      <w:r w:rsidRPr="00B90F39">
        <w:rPr>
          <w:rFonts w:ascii="Arial Narrow" w:hAnsi="Arial Narrow"/>
          <w:b/>
          <w:sz w:val="20"/>
        </w:rPr>
        <w:t xml:space="preserve"> Revised financial implications for the Australian Government </w:t>
      </w:r>
    </w:p>
    <w:tbl>
      <w:tblPr>
        <w:tblW w:w="5000" w:type="pct"/>
        <w:tblLayout w:type="fixed"/>
        <w:tblCellMar>
          <w:left w:w="28" w:type="dxa"/>
          <w:right w:w="28" w:type="dxa"/>
        </w:tblCellMar>
        <w:tblLook w:val="0000" w:firstRow="0" w:lastRow="0" w:firstColumn="0" w:lastColumn="0" w:noHBand="0" w:noVBand="0"/>
        <w:tblDescription w:val="Revised financial implications for the Australian Government "/>
      </w:tblPr>
      <w:tblGrid>
        <w:gridCol w:w="2075"/>
        <w:gridCol w:w="1094"/>
        <w:gridCol w:w="1183"/>
        <w:gridCol w:w="1182"/>
        <w:gridCol w:w="1182"/>
        <w:gridCol w:w="1182"/>
        <w:gridCol w:w="1184"/>
      </w:tblGrid>
      <w:tr w:rsidR="008603E5" w:rsidRPr="00E96B5E" w14:paraId="0CFA4EAA" w14:textId="77777777" w:rsidTr="00D754F4">
        <w:trPr>
          <w:trHeight w:val="64"/>
          <w:tblHeader/>
        </w:trPr>
        <w:tc>
          <w:tcPr>
            <w:tcW w:w="1142" w:type="pct"/>
            <w:vMerge w:val="restart"/>
            <w:tcBorders>
              <w:top w:val="single" w:sz="4" w:space="0" w:color="auto"/>
              <w:left w:val="single" w:sz="4" w:space="0" w:color="auto"/>
              <w:right w:val="single" w:sz="4" w:space="0" w:color="auto"/>
            </w:tcBorders>
            <w:vAlign w:val="center"/>
          </w:tcPr>
          <w:p w14:paraId="59045D62" w14:textId="77777777" w:rsidR="008603E5" w:rsidRPr="009A4EBB" w:rsidRDefault="008603E5" w:rsidP="00E84BDF">
            <w:pPr>
              <w:pStyle w:val="TableText"/>
              <w:rPr>
                <w:bCs/>
              </w:rPr>
            </w:pPr>
          </w:p>
        </w:tc>
        <w:tc>
          <w:tcPr>
            <w:tcW w:w="3858" w:type="pct"/>
            <w:gridSpan w:val="6"/>
            <w:tcBorders>
              <w:top w:val="single" w:sz="4" w:space="0" w:color="auto"/>
              <w:left w:val="nil"/>
              <w:right w:val="single" w:sz="4" w:space="0" w:color="auto"/>
            </w:tcBorders>
            <w:vAlign w:val="center"/>
          </w:tcPr>
          <w:p w14:paraId="177F62B4" w14:textId="77777777" w:rsidR="008603E5" w:rsidRPr="009A4EBB" w:rsidRDefault="008603E5" w:rsidP="005D3915">
            <w:pPr>
              <w:pStyle w:val="TableText"/>
              <w:jc w:val="center"/>
              <w:rPr>
                <w:bCs/>
              </w:rPr>
            </w:pPr>
            <w:r w:rsidRPr="009A4EBB">
              <w:rPr>
                <w:b/>
                <w:bCs/>
              </w:rPr>
              <w:t>Year of PBS listing</w:t>
            </w:r>
          </w:p>
        </w:tc>
      </w:tr>
      <w:tr w:rsidR="008603E5" w:rsidRPr="00E96B5E" w14:paraId="768E43EB" w14:textId="77777777" w:rsidTr="00D754F4">
        <w:trPr>
          <w:trHeight w:val="64"/>
          <w:tblHeader/>
        </w:trPr>
        <w:tc>
          <w:tcPr>
            <w:tcW w:w="1142" w:type="pct"/>
            <w:vMerge/>
            <w:tcBorders>
              <w:left w:val="single" w:sz="4" w:space="0" w:color="auto"/>
              <w:bottom w:val="single" w:sz="4" w:space="0" w:color="auto"/>
              <w:right w:val="single" w:sz="4" w:space="0" w:color="auto"/>
            </w:tcBorders>
            <w:vAlign w:val="center"/>
          </w:tcPr>
          <w:p w14:paraId="79A876DE" w14:textId="77777777" w:rsidR="008603E5" w:rsidRPr="009A4EBB" w:rsidRDefault="008603E5" w:rsidP="00E84BDF">
            <w:pPr>
              <w:pStyle w:val="TableText"/>
              <w:rPr>
                <w:bCs/>
              </w:rPr>
            </w:pPr>
          </w:p>
        </w:tc>
        <w:tc>
          <w:tcPr>
            <w:tcW w:w="602" w:type="pct"/>
            <w:tcBorders>
              <w:top w:val="single" w:sz="4" w:space="0" w:color="auto"/>
              <w:left w:val="nil"/>
              <w:bottom w:val="single" w:sz="4" w:space="0" w:color="auto"/>
              <w:right w:val="single" w:sz="4" w:space="0" w:color="auto"/>
            </w:tcBorders>
            <w:vAlign w:val="center"/>
          </w:tcPr>
          <w:p w14:paraId="4EE51BCF" w14:textId="77777777" w:rsidR="008603E5" w:rsidRPr="009A4EBB" w:rsidRDefault="008603E5" w:rsidP="005D3915">
            <w:pPr>
              <w:pStyle w:val="TableText"/>
              <w:jc w:val="center"/>
              <w:rPr>
                <w:bCs/>
              </w:rPr>
            </w:pPr>
            <w:r w:rsidRPr="009A4EBB">
              <w:rPr>
                <w:b/>
                <w:bCs/>
              </w:rPr>
              <w:t>2020</w:t>
            </w:r>
          </w:p>
        </w:tc>
        <w:tc>
          <w:tcPr>
            <w:tcW w:w="651" w:type="pct"/>
            <w:tcBorders>
              <w:top w:val="single" w:sz="4" w:space="0" w:color="auto"/>
              <w:left w:val="nil"/>
              <w:bottom w:val="single" w:sz="4" w:space="0" w:color="auto"/>
              <w:right w:val="single" w:sz="4" w:space="0" w:color="auto"/>
            </w:tcBorders>
            <w:vAlign w:val="center"/>
          </w:tcPr>
          <w:p w14:paraId="4668A319" w14:textId="77777777" w:rsidR="008603E5" w:rsidRPr="009A4EBB" w:rsidRDefault="008603E5" w:rsidP="005D3915">
            <w:pPr>
              <w:pStyle w:val="TableText"/>
              <w:jc w:val="center"/>
              <w:rPr>
                <w:bCs/>
              </w:rPr>
            </w:pPr>
            <w:r w:rsidRPr="009A4EBB">
              <w:rPr>
                <w:b/>
                <w:bCs/>
              </w:rPr>
              <w:t>2021</w:t>
            </w:r>
          </w:p>
        </w:tc>
        <w:tc>
          <w:tcPr>
            <w:tcW w:w="651" w:type="pct"/>
            <w:tcBorders>
              <w:top w:val="single" w:sz="4" w:space="0" w:color="auto"/>
              <w:left w:val="nil"/>
              <w:bottom w:val="single" w:sz="4" w:space="0" w:color="auto"/>
              <w:right w:val="single" w:sz="4" w:space="0" w:color="auto"/>
            </w:tcBorders>
            <w:vAlign w:val="center"/>
          </w:tcPr>
          <w:p w14:paraId="3745DA30" w14:textId="77777777" w:rsidR="008603E5" w:rsidRPr="009A4EBB" w:rsidRDefault="008603E5" w:rsidP="005D3915">
            <w:pPr>
              <w:pStyle w:val="TableText"/>
              <w:jc w:val="center"/>
              <w:rPr>
                <w:bCs/>
              </w:rPr>
            </w:pPr>
            <w:r w:rsidRPr="009A4EBB">
              <w:rPr>
                <w:b/>
                <w:bCs/>
              </w:rPr>
              <w:t>2022</w:t>
            </w:r>
          </w:p>
        </w:tc>
        <w:tc>
          <w:tcPr>
            <w:tcW w:w="651" w:type="pct"/>
            <w:tcBorders>
              <w:top w:val="single" w:sz="4" w:space="0" w:color="auto"/>
              <w:left w:val="nil"/>
              <w:bottom w:val="single" w:sz="4" w:space="0" w:color="auto"/>
              <w:right w:val="single" w:sz="4" w:space="0" w:color="auto"/>
            </w:tcBorders>
            <w:vAlign w:val="center"/>
          </w:tcPr>
          <w:p w14:paraId="0DD030B1" w14:textId="77777777" w:rsidR="008603E5" w:rsidRPr="009A4EBB" w:rsidRDefault="008603E5" w:rsidP="005D3915">
            <w:pPr>
              <w:pStyle w:val="TableText"/>
              <w:jc w:val="center"/>
              <w:rPr>
                <w:bCs/>
              </w:rPr>
            </w:pPr>
            <w:r w:rsidRPr="009A4EBB">
              <w:rPr>
                <w:b/>
                <w:bCs/>
              </w:rPr>
              <w:t>2023</w:t>
            </w:r>
          </w:p>
        </w:tc>
        <w:tc>
          <w:tcPr>
            <w:tcW w:w="651" w:type="pct"/>
            <w:tcBorders>
              <w:top w:val="single" w:sz="4" w:space="0" w:color="auto"/>
              <w:left w:val="nil"/>
              <w:bottom w:val="single" w:sz="4" w:space="0" w:color="auto"/>
              <w:right w:val="single" w:sz="4" w:space="0" w:color="auto"/>
            </w:tcBorders>
            <w:vAlign w:val="center"/>
          </w:tcPr>
          <w:p w14:paraId="06E8B432" w14:textId="77777777" w:rsidR="008603E5" w:rsidRPr="009A4EBB" w:rsidRDefault="008603E5" w:rsidP="005D3915">
            <w:pPr>
              <w:pStyle w:val="TableText"/>
              <w:jc w:val="center"/>
              <w:rPr>
                <w:bCs/>
              </w:rPr>
            </w:pPr>
            <w:r w:rsidRPr="009A4EBB">
              <w:rPr>
                <w:b/>
                <w:bCs/>
              </w:rPr>
              <w:t>2024</w:t>
            </w:r>
          </w:p>
        </w:tc>
        <w:tc>
          <w:tcPr>
            <w:tcW w:w="652" w:type="pct"/>
            <w:tcBorders>
              <w:top w:val="single" w:sz="4" w:space="0" w:color="auto"/>
              <w:left w:val="nil"/>
              <w:bottom w:val="single" w:sz="4" w:space="0" w:color="auto"/>
              <w:right w:val="single" w:sz="4" w:space="0" w:color="auto"/>
            </w:tcBorders>
            <w:vAlign w:val="center"/>
          </w:tcPr>
          <w:p w14:paraId="285596FE" w14:textId="77777777" w:rsidR="008603E5" w:rsidRPr="009A4EBB" w:rsidRDefault="008603E5" w:rsidP="005D3915">
            <w:pPr>
              <w:pStyle w:val="TableText"/>
              <w:jc w:val="center"/>
              <w:rPr>
                <w:bCs/>
              </w:rPr>
            </w:pPr>
            <w:r w:rsidRPr="009A4EBB">
              <w:rPr>
                <w:b/>
                <w:bCs/>
              </w:rPr>
              <w:t>2025</w:t>
            </w:r>
          </w:p>
        </w:tc>
      </w:tr>
      <w:tr w:rsidR="00D754F4" w:rsidRPr="00E96B5E" w14:paraId="5E56E69D" w14:textId="77777777" w:rsidTr="00D754F4">
        <w:trPr>
          <w:trHeight w:val="64"/>
        </w:trPr>
        <w:tc>
          <w:tcPr>
            <w:tcW w:w="1142" w:type="pct"/>
            <w:tcBorders>
              <w:top w:val="single" w:sz="4" w:space="0" w:color="auto"/>
              <w:left w:val="single" w:sz="4" w:space="0" w:color="auto"/>
              <w:bottom w:val="single" w:sz="4" w:space="0" w:color="auto"/>
              <w:right w:val="single" w:sz="4" w:space="0" w:color="auto"/>
            </w:tcBorders>
            <w:shd w:val="clear" w:color="auto" w:fill="FFFFFF" w:themeFill="background1"/>
          </w:tcPr>
          <w:p w14:paraId="4AD090AC" w14:textId="41E41861" w:rsidR="00D754F4" w:rsidRPr="00E96B5E" w:rsidRDefault="00D754F4" w:rsidP="00E84BDF">
            <w:pPr>
              <w:pStyle w:val="TableText"/>
            </w:pPr>
            <w:r>
              <w:rPr>
                <w:rFonts w:cs="Calibri"/>
                <w:color w:val="000000"/>
                <w:shd w:val="clear" w:color="auto" w:fill="FFFFFF"/>
              </w:rPr>
              <w:t>Number of PD-L1 tests</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3E4AEB87" w14:textId="53FDF516" w:rsidR="00D754F4" w:rsidRPr="00E96B5E" w:rsidRDefault="00D754F4" w:rsidP="005D3915">
            <w:pPr>
              <w:pStyle w:val="TableText"/>
              <w:jc w:val="center"/>
              <w:rPr>
                <w:color w:val="000000"/>
              </w:rPr>
            </w:pPr>
            <w:r>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tcPr>
          <w:p w14:paraId="5B3A7A1A" w14:textId="50B02974" w:rsidR="00D754F4" w:rsidRPr="00E96B5E" w:rsidRDefault="00D754F4" w:rsidP="005D3915">
            <w:pPr>
              <w:pStyle w:val="TableText"/>
              <w:jc w:val="center"/>
              <w:rPr>
                <w:color w:val="000000"/>
              </w:rPr>
            </w:pPr>
            <w:r w:rsidRPr="00BD0079">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tcPr>
          <w:p w14:paraId="6D6B0C09" w14:textId="11332687" w:rsidR="00D754F4" w:rsidRPr="00E96B5E" w:rsidRDefault="00D754F4" w:rsidP="005D3915">
            <w:pPr>
              <w:pStyle w:val="TableText"/>
              <w:jc w:val="center"/>
              <w:rPr>
                <w:color w:val="000000"/>
              </w:rPr>
            </w:pPr>
            <w:r w:rsidRPr="00BD0079">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tcPr>
          <w:p w14:paraId="3EB9B83F" w14:textId="7259C548" w:rsidR="00D754F4" w:rsidRPr="00E96B5E" w:rsidRDefault="00D754F4" w:rsidP="005D3915">
            <w:pPr>
              <w:pStyle w:val="TableText"/>
              <w:jc w:val="center"/>
              <w:rPr>
                <w:color w:val="000000"/>
              </w:rPr>
            </w:pPr>
            <w:r w:rsidRPr="00BD0079">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tcPr>
          <w:p w14:paraId="75DE0FD7" w14:textId="78F25CDB" w:rsidR="00D754F4" w:rsidRPr="00E96B5E" w:rsidRDefault="00D754F4" w:rsidP="005D3915">
            <w:pPr>
              <w:pStyle w:val="TableText"/>
              <w:jc w:val="center"/>
              <w:rPr>
                <w:color w:val="000000"/>
              </w:rPr>
            </w:pPr>
            <w:r w:rsidRPr="00BD0079">
              <w:rPr>
                <w:rFonts w:cs="Calibri"/>
                <w:color w:val="000000"/>
                <w:shd w:val="clear" w:color="auto" w:fill="FFFFFF"/>
              </w:rPr>
              <w:t>redacted</w:t>
            </w:r>
          </w:p>
        </w:tc>
        <w:tc>
          <w:tcPr>
            <w:tcW w:w="652" w:type="pct"/>
            <w:tcBorders>
              <w:top w:val="single" w:sz="4" w:space="0" w:color="auto"/>
              <w:left w:val="nil"/>
              <w:bottom w:val="single" w:sz="4" w:space="0" w:color="auto"/>
              <w:right w:val="single" w:sz="4" w:space="0" w:color="auto"/>
            </w:tcBorders>
            <w:shd w:val="clear" w:color="auto" w:fill="FFFFFF" w:themeFill="background1"/>
          </w:tcPr>
          <w:p w14:paraId="6312ABD5" w14:textId="04E12796" w:rsidR="00D754F4" w:rsidRPr="00E96B5E" w:rsidRDefault="00D754F4" w:rsidP="005D3915">
            <w:pPr>
              <w:pStyle w:val="TableText"/>
              <w:jc w:val="center"/>
              <w:rPr>
                <w:color w:val="000000"/>
              </w:rPr>
            </w:pPr>
            <w:r w:rsidRPr="00BD0079">
              <w:rPr>
                <w:rFonts w:cs="Calibri"/>
                <w:color w:val="000000"/>
                <w:shd w:val="clear" w:color="auto" w:fill="FFFFFF"/>
              </w:rPr>
              <w:t>redacted</w:t>
            </w:r>
          </w:p>
        </w:tc>
      </w:tr>
      <w:tr w:rsidR="00D754F4" w:rsidRPr="00E96B5E" w14:paraId="3E54452D" w14:textId="77777777" w:rsidTr="00D754F4">
        <w:trPr>
          <w:trHeight w:val="64"/>
        </w:trPr>
        <w:tc>
          <w:tcPr>
            <w:tcW w:w="1142" w:type="pct"/>
            <w:tcBorders>
              <w:top w:val="single" w:sz="4" w:space="0" w:color="auto"/>
              <w:left w:val="single" w:sz="4" w:space="0" w:color="auto"/>
              <w:bottom w:val="single" w:sz="4" w:space="0" w:color="auto"/>
              <w:right w:val="single" w:sz="4" w:space="0" w:color="auto"/>
            </w:tcBorders>
          </w:tcPr>
          <w:p w14:paraId="46DA05E1" w14:textId="7CC0D7CB" w:rsidR="00D754F4" w:rsidRPr="00E96B5E" w:rsidRDefault="00D754F4" w:rsidP="00063896">
            <w:pPr>
              <w:pStyle w:val="TableText"/>
            </w:pPr>
            <w:r w:rsidRPr="00F74D37">
              <w:rPr>
                <w:rFonts w:cs="Calibri"/>
                <w:color w:val="000000"/>
                <w:shd w:val="clear" w:color="auto" w:fill="FFFFFF"/>
              </w:rPr>
              <w:t xml:space="preserve">Number of patients treated with </w:t>
            </w:r>
            <w:r>
              <w:rPr>
                <w:rFonts w:cs="Calibri"/>
                <w:color w:val="000000"/>
                <w:shd w:val="clear" w:color="auto" w:fill="FFFFFF"/>
              </w:rPr>
              <w:t>a</w:t>
            </w:r>
            <w:r w:rsidRPr="00F74D37">
              <w:rPr>
                <w:rFonts w:cs="Calibri"/>
                <w:color w:val="000000"/>
                <w:shd w:val="clear" w:color="auto" w:fill="FFFFFF"/>
              </w:rPr>
              <w:t>tezo</w:t>
            </w:r>
            <w:r>
              <w:rPr>
                <w:rFonts w:cs="Calibri"/>
                <w:color w:val="000000"/>
                <w:shd w:val="clear" w:color="auto" w:fill="FFFFFF"/>
              </w:rPr>
              <w:t xml:space="preserve">lizumab </w:t>
            </w:r>
            <w:r w:rsidRPr="00F74D37">
              <w:rPr>
                <w:rFonts w:cs="Calibri"/>
                <w:color w:val="000000"/>
                <w:shd w:val="clear" w:color="auto" w:fill="FFFFFF"/>
              </w:rPr>
              <w:t>+ nab</w:t>
            </w:r>
            <w:r w:rsidRPr="00F74D37">
              <w:rPr>
                <w:rFonts w:cs="Calibri"/>
                <w:color w:val="000000"/>
                <w:shd w:val="clear" w:color="auto" w:fill="FFFFFF"/>
              </w:rPr>
              <w:noBreakHyphen/>
              <w:t>P</w:t>
            </w:r>
          </w:p>
        </w:tc>
        <w:tc>
          <w:tcPr>
            <w:tcW w:w="602" w:type="pct"/>
            <w:tcBorders>
              <w:top w:val="single" w:sz="4" w:space="0" w:color="auto"/>
              <w:left w:val="nil"/>
              <w:bottom w:val="single" w:sz="4" w:space="0" w:color="auto"/>
              <w:right w:val="single" w:sz="4" w:space="0" w:color="auto"/>
            </w:tcBorders>
          </w:tcPr>
          <w:p w14:paraId="35205158" w14:textId="4CB859DE" w:rsidR="00D754F4" w:rsidRPr="00AC2A17" w:rsidRDefault="00D754F4" w:rsidP="005D3915">
            <w:pPr>
              <w:pStyle w:val="TableText"/>
              <w:jc w:val="center"/>
              <w:rPr>
                <w:highlight w:val="yellow"/>
              </w:rPr>
            </w:pPr>
            <w:r w:rsidRPr="002962D5">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tcPr>
          <w:p w14:paraId="33DD772F" w14:textId="575C7236" w:rsidR="00D754F4" w:rsidRPr="00AC2A17" w:rsidRDefault="00D754F4" w:rsidP="005D3915">
            <w:pPr>
              <w:pStyle w:val="TableText"/>
              <w:jc w:val="center"/>
              <w:rPr>
                <w:highlight w:val="yellow"/>
              </w:rPr>
            </w:pPr>
            <w:r w:rsidRPr="002962D5">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tcPr>
          <w:p w14:paraId="52321439" w14:textId="10967649" w:rsidR="00D754F4" w:rsidRPr="00AC2A17" w:rsidRDefault="00D754F4" w:rsidP="005D3915">
            <w:pPr>
              <w:pStyle w:val="TableText"/>
              <w:jc w:val="center"/>
              <w:rPr>
                <w:highlight w:val="yellow"/>
              </w:rPr>
            </w:pPr>
            <w:r w:rsidRPr="002962D5">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tcPr>
          <w:p w14:paraId="663EB9DA" w14:textId="77447AE0" w:rsidR="00D754F4" w:rsidRPr="00AC2A17" w:rsidRDefault="00D754F4" w:rsidP="005D3915">
            <w:pPr>
              <w:pStyle w:val="TableText"/>
              <w:jc w:val="center"/>
              <w:rPr>
                <w:highlight w:val="yellow"/>
              </w:rPr>
            </w:pPr>
            <w:r w:rsidRPr="002962D5">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tcPr>
          <w:p w14:paraId="0F6CD6A9" w14:textId="192AD199" w:rsidR="00D754F4" w:rsidRPr="00AC2A17" w:rsidRDefault="00D754F4" w:rsidP="005D3915">
            <w:pPr>
              <w:pStyle w:val="TableText"/>
              <w:jc w:val="center"/>
              <w:rPr>
                <w:highlight w:val="yellow"/>
              </w:rPr>
            </w:pPr>
            <w:r w:rsidRPr="002962D5">
              <w:rPr>
                <w:rFonts w:cs="Calibri"/>
                <w:color w:val="000000"/>
                <w:shd w:val="clear" w:color="auto" w:fill="FFFFFF"/>
              </w:rPr>
              <w:t>redacted</w:t>
            </w:r>
          </w:p>
        </w:tc>
        <w:tc>
          <w:tcPr>
            <w:tcW w:w="652" w:type="pct"/>
            <w:tcBorders>
              <w:top w:val="single" w:sz="4" w:space="0" w:color="auto"/>
              <w:left w:val="nil"/>
              <w:bottom w:val="single" w:sz="4" w:space="0" w:color="auto"/>
              <w:right w:val="single" w:sz="4" w:space="0" w:color="auto"/>
            </w:tcBorders>
          </w:tcPr>
          <w:p w14:paraId="5D73CB8A" w14:textId="0FF11A31" w:rsidR="00D754F4" w:rsidRPr="00AC2A17" w:rsidRDefault="00D754F4" w:rsidP="005D3915">
            <w:pPr>
              <w:pStyle w:val="TableText"/>
              <w:jc w:val="center"/>
              <w:rPr>
                <w:highlight w:val="yellow"/>
              </w:rPr>
            </w:pPr>
            <w:r w:rsidRPr="002962D5">
              <w:rPr>
                <w:rFonts w:cs="Calibri"/>
                <w:color w:val="000000"/>
                <w:shd w:val="clear" w:color="auto" w:fill="FFFFFF"/>
              </w:rPr>
              <w:t>redacted</w:t>
            </w:r>
          </w:p>
        </w:tc>
      </w:tr>
      <w:tr w:rsidR="008603E5" w:rsidRPr="00E96B5E" w14:paraId="49F0DB0B" w14:textId="77777777" w:rsidTr="00D754F4">
        <w:trPr>
          <w:trHeight w:val="64"/>
        </w:trPr>
        <w:tc>
          <w:tcPr>
            <w:tcW w:w="1142" w:type="pct"/>
            <w:tcBorders>
              <w:top w:val="single" w:sz="4" w:space="0" w:color="auto"/>
              <w:left w:val="single" w:sz="4" w:space="0" w:color="auto"/>
              <w:bottom w:val="single" w:sz="4" w:space="0" w:color="auto"/>
              <w:right w:val="single" w:sz="4" w:space="0" w:color="auto"/>
            </w:tcBorders>
          </w:tcPr>
          <w:p w14:paraId="41EE933C" w14:textId="2ACB7C13" w:rsidR="008603E5" w:rsidRPr="00E96B5E" w:rsidRDefault="008603E5" w:rsidP="00063896">
            <w:pPr>
              <w:pStyle w:val="TableText"/>
            </w:pPr>
            <w:r w:rsidRPr="00E96B5E">
              <w:t>Overall net cost to PBS/</w:t>
            </w:r>
            <w:r w:rsidR="00063896">
              <w:t xml:space="preserve"> </w:t>
            </w:r>
            <w:r w:rsidRPr="00E96B5E">
              <w:t>RPBS (</w:t>
            </w:r>
            <w:r w:rsidR="00063896">
              <w:t xml:space="preserve">with </w:t>
            </w:r>
            <w:r w:rsidRPr="00E96B5E">
              <w:t xml:space="preserve">proposed </w:t>
            </w:r>
            <w:r w:rsidR="00063896">
              <w:t>a</w:t>
            </w:r>
            <w:r w:rsidRPr="00E96B5E">
              <w:t>tezo</w:t>
            </w:r>
            <w:r w:rsidR="00063896">
              <w:t>lizumab</w:t>
            </w:r>
            <w:r w:rsidRPr="00E96B5E">
              <w:t xml:space="preserve"> </w:t>
            </w:r>
            <w:r w:rsidR="00063896" w:rsidRPr="00E96B5E">
              <w:t xml:space="preserve">effective price </w:t>
            </w:r>
            <w:r w:rsidR="00063896">
              <w:t xml:space="preserve">and </w:t>
            </w:r>
            <w:r w:rsidRPr="00E96B5E">
              <w:t>expenditure cap)</w:t>
            </w:r>
          </w:p>
        </w:tc>
        <w:tc>
          <w:tcPr>
            <w:tcW w:w="602" w:type="pct"/>
            <w:tcBorders>
              <w:top w:val="single" w:sz="4" w:space="0" w:color="auto"/>
              <w:left w:val="nil"/>
              <w:bottom w:val="single" w:sz="4" w:space="0" w:color="auto"/>
              <w:right w:val="single" w:sz="4" w:space="0" w:color="auto"/>
            </w:tcBorders>
            <w:vAlign w:val="center"/>
          </w:tcPr>
          <w:p w14:paraId="78932E00" w14:textId="2F8686B8" w:rsidR="008603E5" w:rsidRPr="00E96B5E" w:rsidRDefault="008603E5" w:rsidP="00D754F4">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vAlign w:val="center"/>
          </w:tcPr>
          <w:p w14:paraId="4158A199" w14:textId="56EB0E2B"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vAlign w:val="center"/>
          </w:tcPr>
          <w:p w14:paraId="003C3E22" w14:textId="128B72D9"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vAlign w:val="center"/>
          </w:tcPr>
          <w:p w14:paraId="22283FC6" w14:textId="0AC19F8A"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vAlign w:val="center"/>
          </w:tcPr>
          <w:p w14:paraId="7D2342DA" w14:textId="41122728"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2" w:type="pct"/>
            <w:tcBorders>
              <w:top w:val="single" w:sz="4" w:space="0" w:color="auto"/>
              <w:left w:val="nil"/>
              <w:bottom w:val="single" w:sz="4" w:space="0" w:color="auto"/>
              <w:right w:val="single" w:sz="4" w:space="0" w:color="auto"/>
            </w:tcBorders>
            <w:vAlign w:val="center"/>
          </w:tcPr>
          <w:p w14:paraId="4CC8AF10" w14:textId="707501F2"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r>
      <w:tr w:rsidR="008603E5" w:rsidRPr="00E96B5E" w14:paraId="3DF290C1" w14:textId="77777777" w:rsidTr="00D754F4">
        <w:trPr>
          <w:trHeight w:val="64"/>
        </w:trPr>
        <w:tc>
          <w:tcPr>
            <w:tcW w:w="1142" w:type="pct"/>
            <w:tcBorders>
              <w:top w:val="single" w:sz="4" w:space="0" w:color="auto"/>
              <w:left w:val="single" w:sz="4" w:space="0" w:color="auto"/>
              <w:bottom w:val="single" w:sz="4" w:space="0" w:color="auto"/>
              <w:right w:val="single" w:sz="4" w:space="0" w:color="auto"/>
            </w:tcBorders>
            <w:shd w:val="clear" w:color="auto" w:fill="FFFFFF" w:themeFill="background1"/>
          </w:tcPr>
          <w:p w14:paraId="381013DB" w14:textId="22215550" w:rsidR="008603E5" w:rsidRPr="00E96B5E" w:rsidRDefault="00063896" w:rsidP="00E84BDF">
            <w:pPr>
              <w:pStyle w:val="TableText"/>
            </w:pPr>
            <w:r>
              <w:t>Cost to MBS</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5BD690BF" w14:textId="53D887A4"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517BE792" w14:textId="34D8799E"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196FB35E" w14:textId="6FBE7079"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6D40E321" w14:textId="77EDB622"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6D565BDA" w14:textId="75713102"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c>
          <w:tcPr>
            <w:tcW w:w="652" w:type="pct"/>
            <w:tcBorders>
              <w:top w:val="single" w:sz="4" w:space="0" w:color="auto"/>
              <w:left w:val="nil"/>
              <w:bottom w:val="single" w:sz="4" w:space="0" w:color="auto"/>
              <w:right w:val="single" w:sz="4" w:space="0" w:color="auto"/>
            </w:tcBorders>
            <w:shd w:val="clear" w:color="auto" w:fill="FFFFFF" w:themeFill="background1"/>
            <w:vAlign w:val="center"/>
          </w:tcPr>
          <w:p w14:paraId="250EA592" w14:textId="127200E8" w:rsidR="008603E5" w:rsidRPr="00E96B5E" w:rsidRDefault="008603E5" w:rsidP="005D3915">
            <w:pPr>
              <w:pStyle w:val="TableText"/>
              <w:jc w:val="center"/>
              <w:rPr>
                <w:highlight w:val="yellow"/>
              </w:rPr>
            </w:pPr>
            <w:r w:rsidRPr="00F74D37">
              <w:rPr>
                <w:rFonts w:cs="Calibri"/>
                <w:color w:val="000000"/>
                <w:shd w:val="clear" w:color="auto" w:fill="FFFFFF"/>
              </w:rPr>
              <w:t>$</w:t>
            </w:r>
            <w:r w:rsidR="00D754F4">
              <w:rPr>
                <w:rFonts w:cs="Calibri"/>
                <w:color w:val="000000"/>
                <w:shd w:val="clear" w:color="auto" w:fill="FFFFFF"/>
              </w:rPr>
              <w:t>redacted</w:t>
            </w:r>
          </w:p>
        </w:tc>
      </w:tr>
      <w:tr w:rsidR="008603E5" w:rsidRPr="00E96B5E" w14:paraId="318ACDA8" w14:textId="77777777" w:rsidTr="00D754F4">
        <w:trPr>
          <w:trHeight w:val="64"/>
        </w:trPr>
        <w:tc>
          <w:tcPr>
            <w:tcW w:w="1142" w:type="pct"/>
            <w:tcBorders>
              <w:top w:val="single" w:sz="4" w:space="0" w:color="auto"/>
              <w:left w:val="single" w:sz="4" w:space="0" w:color="auto"/>
              <w:bottom w:val="single" w:sz="4" w:space="0" w:color="auto"/>
              <w:right w:val="single" w:sz="4" w:space="0" w:color="auto"/>
            </w:tcBorders>
            <w:shd w:val="clear" w:color="auto" w:fill="FFFFFF" w:themeFill="background1"/>
          </w:tcPr>
          <w:p w14:paraId="1DA8173A" w14:textId="480F93E3" w:rsidR="008603E5" w:rsidRPr="000F5DF1" w:rsidRDefault="008603E5" w:rsidP="00E84BDF">
            <w:pPr>
              <w:pStyle w:val="TableText"/>
            </w:pPr>
            <w:r w:rsidRPr="000F5DF1">
              <w:t>Overall effective net c</w:t>
            </w:r>
            <w:r w:rsidR="00063896" w:rsidRPr="000F5DF1">
              <w:t>ost to government health budgets</w:t>
            </w:r>
          </w:p>
        </w:tc>
        <w:tc>
          <w:tcPr>
            <w:tcW w:w="602" w:type="pct"/>
            <w:tcBorders>
              <w:top w:val="single" w:sz="4" w:space="0" w:color="auto"/>
              <w:left w:val="nil"/>
              <w:bottom w:val="single" w:sz="4" w:space="0" w:color="auto"/>
              <w:right w:val="single" w:sz="4" w:space="0" w:color="auto"/>
            </w:tcBorders>
            <w:shd w:val="clear" w:color="auto" w:fill="FFFFFF" w:themeFill="background1"/>
            <w:vAlign w:val="center"/>
          </w:tcPr>
          <w:p w14:paraId="548FE11D" w14:textId="3A997C67" w:rsidR="008603E5" w:rsidRPr="000F5DF1" w:rsidRDefault="008603E5" w:rsidP="005D3915">
            <w:pPr>
              <w:pStyle w:val="TableText"/>
              <w:jc w:val="center"/>
              <w:rPr>
                <w:b/>
              </w:rPr>
            </w:pPr>
            <w:r w:rsidRPr="000F5DF1">
              <w:rPr>
                <w:rFonts w:cs="Calibri"/>
                <w:color w:val="000000"/>
              </w:rPr>
              <w:t>$</w:t>
            </w:r>
            <w:r w:rsidR="00D754F4" w:rsidRPr="000F5DF1">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2EBBF598" w14:textId="2D465722" w:rsidR="008603E5" w:rsidRPr="000F5DF1" w:rsidRDefault="008603E5" w:rsidP="005D3915">
            <w:pPr>
              <w:pStyle w:val="TableText"/>
              <w:jc w:val="center"/>
              <w:rPr>
                <w:b/>
              </w:rPr>
            </w:pPr>
            <w:r w:rsidRPr="000F5DF1">
              <w:rPr>
                <w:rFonts w:cs="Calibri"/>
                <w:color w:val="000000"/>
              </w:rPr>
              <w:t>$</w:t>
            </w:r>
            <w:r w:rsidR="00D754F4" w:rsidRPr="000F5DF1">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7BC99CCF" w14:textId="7E897369" w:rsidR="008603E5" w:rsidRPr="000F5DF1" w:rsidRDefault="008603E5" w:rsidP="005D3915">
            <w:pPr>
              <w:pStyle w:val="TableText"/>
              <w:jc w:val="center"/>
              <w:rPr>
                <w:b/>
              </w:rPr>
            </w:pPr>
            <w:r w:rsidRPr="000F5DF1">
              <w:rPr>
                <w:rFonts w:cs="Calibri"/>
                <w:color w:val="000000"/>
              </w:rPr>
              <w:t>$</w:t>
            </w:r>
            <w:r w:rsidR="00D754F4" w:rsidRPr="000F5DF1">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0091B42E" w14:textId="7A1D8EF5" w:rsidR="008603E5" w:rsidRPr="000F5DF1" w:rsidRDefault="008603E5" w:rsidP="005D3915">
            <w:pPr>
              <w:pStyle w:val="TableText"/>
              <w:jc w:val="center"/>
              <w:rPr>
                <w:b/>
              </w:rPr>
            </w:pPr>
            <w:r w:rsidRPr="000F5DF1">
              <w:rPr>
                <w:rFonts w:cs="Calibri"/>
                <w:color w:val="000000"/>
              </w:rPr>
              <w:t>$</w:t>
            </w:r>
            <w:r w:rsidR="00D754F4" w:rsidRPr="000F5DF1">
              <w:rPr>
                <w:rFonts w:cs="Calibri"/>
                <w:color w:val="000000"/>
                <w:shd w:val="clear" w:color="auto" w:fill="FFFFFF"/>
              </w:rPr>
              <w:t>redacted</w:t>
            </w:r>
          </w:p>
        </w:tc>
        <w:tc>
          <w:tcPr>
            <w:tcW w:w="651" w:type="pct"/>
            <w:tcBorders>
              <w:top w:val="single" w:sz="4" w:space="0" w:color="auto"/>
              <w:left w:val="nil"/>
              <w:bottom w:val="single" w:sz="4" w:space="0" w:color="auto"/>
              <w:right w:val="single" w:sz="4" w:space="0" w:color="auto"/>
            </w:tcBorders>
            <w:shd w:val="clear" w:color="auto" w:fill="FFFFFF" w:themeFill="background1"/>
            <w:vAlign w:val="center"/>
          </w:tcPr>
          <w:p w14:paraId="70B9E94D" w14:textId="5B024AF5" w:rsidR="008603E5" w:rsidRPr="000F5DF1" w:rsidRDefault="008603E5" w:rsidP="005D3915">
            <w:pPr>
              <w:pStyle w:val="TableText"/>
              <w:jc w:val="center"/>
              <w:rPr>
                <w:b/>
              </w:rPr>
            </w:pPr>
            <w:r w:rsidRPr="000F5DF1">
              <w:rPr>
                <w:rFonts w:cs="Calibri"/>
                <w:color w:val="000000"/>
              </w:rPr>
              <w:t>$</w:t>
            </w:r>
            <w:r w:rsidR="00D754F4" w:rsidRPr="000F5DF1">
              <w:rPr>
                <w:rFonts w:cs="Calibri"/>
                <w:color w:val="000000"/>
                <w:shd w:val="clear" w:color="auto" w:fill="FFFFFF"/>
              </w:rPr>
              <w:t>redacted</w:t>
            </w:r>
          </w:p>
        </w:tc>
        <w:tc>
          <w:tcPr>
            <w:tcW w:w="652" w:type="pct"/>
            <w:tcBorders>
              <w:top w:val="single" w:sz="4" w:space="0" w:color="auto"/>
              <w:left w:val="nil"/>
              <w:bottom w:val="single" w:sz="4" w:space="0" w:color="auto"/>
              <w:right w:val="single" w:sz="4" w:space="0" w:color="auto"/>
            </w:tcBorders>
            <w:shd w:val="clear" w:color="auto" w:fill="FFFFFF" w:themeFill="background1"/>
            <w:vAlign w:val="center"/>
          </w:tcPr>
          <w:p w14:paraId="27382FB4" w14:textId="34F0C3A4" w:rsidR="008603E5" w:rsidRPr="00E96B5E" w:rsidRDefault="008603E5" w:rsidP="005D3915">
            <w:pPr>
              <w:pStyle w:val="TableText"/>
              <w:jc w:val="center"/>
              <w:rPr>
                <w:b/>
                <w:highlight w:val="yellow"/>
              </w:rPr>
            </w:pPr>
            <w:r w:rsidRPr="00F74D37">
              <w:rPr>
                <w:rFonts w:cs="Calibri"/>
                <w:color w:val="000000"/>
              </w:rPr>
              <w:t>$</w:t>
            </w:r>
            <w:r w:rsidR="00D754F4">
              <w:rPr>
                <w:rFonts w:cs="Calibri"/>
                <w:color w:val="000000"/>
                <w:shd w:val="clear" w:color="auto" w:fill="FFFFFF"/>
              </w:rPr>
              <w:t>redacted</w:t>
            </w:r>
          </w:p>
        </w:tc>
      </w:tr>
    </w:tbl>
    <w:p w14:paraId="35006186" w14:textId="77777777" w:rsidR="008603E5" w:rsidRDefault="008603E5" w:rsidP="008603E5">
      <w:pPr>
        <w:pStyle w:val="TableFooter"/>
      </w:pPr>
      <w:r>
        <w:t>Source: Table 2, p6 of the pre-PBAC &amp; pre-MSAC response</w:t>
      </w:r>
    </w:p>
    <w:p w14:paraId="6AAA340F" w14:textId="7225D1C7" w:rsidR="00810EDB" w:rsidRPr="00F715D1" w:rsidRDefault="00810EDB" w:rsidP="00810EDB">
      <w:pPr>
        <w:pStyle w:val="Heading1"/>
      </w:pPr>
      <w:r w:rsidRPr="00F715D1">
        <w:t>Key issues from ESC</w:t>
      </w:r>
      <w:r w:rsidR="00157CA1">
        <w:t>s</w:t>
      </w:r>
      <w:r w:rsidR="003B1055">
        <w:t xml:space="preserve"> of both PBAC and MSAC</w:t>
      </w:r>
      <w:r w:rsidRPr="00F715D1">
        <w:t xml:space="preserve"> for MSAC</w:t>
      </w:r>
    </w:p>
    <w:p w14:paraId="1E9C103F" w14:textId="2F11E883" w:rsidR="008603E5" w:rsidRPr="00B90F39" w:rsidRDefault="008603E5" w:rsidP="00B90F39">
      <w:pPr>
        <w:rPr>
          <w:rFonts w:ascii="Arial Narrow" w:hAnsi="Arial Narrow"/>
          <w:b/>
          <w:sz w:val="20"/>
        </w:rPr>
      </w:pPr>
      <w:r w:rsidRPr="00B90F39">
        <w:rPr>
          <w:rFonts w:ascii="Arial Narrow" w:hAnsi="Arial Narrow"/>
          <w:b/>
          <w:sz w:val="20"/>
        </w:rPr>
        <w:t>Table 16: Summary of key issues from ESC</w:t>
      </w:r>
      <w:r w:rsidR="00CD637D" w:rsidRPr="00B90F39">
        <w:rPr>
          <w:rFonts w:ascii="Arial Narrow" w:hAnsi="Arial Narrow"/>
          <w:b/>
          <w:sz w:val="20"/>
        </w:rPr>
        <w:t>s</w:t>
      </w:r>
      <w:r w:rsidRPr="00B90F39">
        <w:rPr>
          <w:rFonts w:ascii="Arial Narrow" w:hAnsi="Arial Narrow"/>
          <w:b/>
          <w:sz w:val="20"/>
        </w:rPr>
        <w:t xml:space="preserve"> for MSAC</w:t>
      </w:r>
    </w:p>
    <w:tbl>
      <w:tblPr>
        <w:tblStyle w:val="Summarybox1"/>
        <w:tblW w:w="0" w:type="auto"/>
        <w:tblLook w:val="04A0" w:firstRow="1" w:lastRow="0" w:firstColumn="1" w:lastColumn="0" w:noHBand="0" w:noVBand="1"/>
        <w:tblCaption w:val="Table 13: Summary of key issues from ESC for MSAC"/>
        <w:tblDescription w:val="Key issues raised by ESC for aapplication 1570"/>
      </w:tblPr>
      <w:tblGrid>
        <w:gridCol w:w="1413"/>
        <w:gridCol w:w="7603"/>
      </w:tblGrid>
      <w:tr w:rsidR="008603E5" w:rsidRPr="003809C0" w14:paraId="4B844158" w14:textId="77777777" w:rsidTr="000F5DF1">
        <w:trPr>
          <w:cantSplit/>
          <w:tblHeader/>
        </w:trPr>
        <w:tc>
          <w:tcPr>
            <w:tcW w:w="1413" w:type="dxa"/>
          </w:tcPr>
          <w:p w14:paraId="1592EB80" w14:textId="77777777" w:rsidR="000F5DF1" w:rsidRDefault="008603E5" w:rsidP="00E84BDF">
            <w:pPr>
              <w:widowControl w:val="0"/>
              <w:spacing w:before="40" w:after="40"/>
              <w:ind w:left="1134" w:hanging="1134"/>
              <w:rPr>
                <w:rFonts w:ascii="Arial Narrow" w:hAnsi="Arial Narrow" w:cs="Tahoma"/>
                <w:b/>
                <w:noProof/>
                <w:sz w:val="20"/>
              </w:rPr>
            </w:pPr>
            <w:r w:rsidRPr="003809C0">
              <w:rPr>
                <w:rFonts w:ascii="Arial Narrow" w:hAnsi="Arial Narrow" w:cs="Tahoma"/>
                <w:b/>
                <w:noProof/>
                <w:sz w:val="20"/>
              </w:rPr>
              <w:t>ESC</w:t>
            </w:r>
            <w:r>
              <w:rPr>
                <w:rFonts w:ascii="Arial Narrow" w:hAnsi="Arial Narrow" w:cs="Tahoma"/>
                <w:b/>
                <w:noProof/>
                <w:sz w:val="20"/>
              </w:rPr>
              <w:t>s</w:t>
            </w:r>
            <w:r w:rsidRPr="003809C0">
              <w:rPr>
                <w:rFonts w:ascii="Arial Narrow" w:hAnsi="Arial Narrow" w:cs="Tahoma"/>
                <w:b/>
                <w:noProof/>
                <w:sz w:val="20"/>
              </w:rPr>
              <w:t xml:space="preserve"> key </w:t>
            </w:r>
          </w:p>
          <w:p w14:paraId="642810D5" w14:textId="406145FF" w:rsidR="008603E5" w:rsidRPr="003809C0" w:rsidRDefault="008603E5" w:rsidP="00E84BDF">
            <w:pPr>
              <w:widowControl w:val="0"/>
              <w:spacing w:before="40" w:after="40"/>
              <w:ind w:left="1134" w:hanging="1134"/>
              <w:rPr>
                <w:rFonts w:ascii="Arial Narrow" w:hAnsi="Arial Narrow" w:cs="Tahoma"/>
                <w:b/>
                <w:noProof/>
                <w:sz w:val="20"/>
              </w:rPr>
            </w:pPr>
            <w:r w:rsidRPr="003809C0">
              <w:rPr>
                <w:rFonts w:ascii="Arial Narrow" w:hAnsi="Arial Narrow" w:cs="Tahoma"/>
                <w:b/>
                <w:noProof/>
                <w:sz w:val="20"/>
              </w:rPr>
              <w:t>issue</w:t>
            </w:r>
          </w:p>
        </w:tc>
        <w:tc>
          <w:tcPr>
            <w:tcW w:w="7603" w:type="dxa"/>
          </w:tcPr>
          <w:p w14:paraId="701AB450" w14:textId="77777777" w:rsidR="008603E5" w:rsidRPr="003809C0" w:rsidRDefault="008603E5" w:rsidP="00E84BDF">
            <w:pPr>
              <w:widowControl w:val="0"/>
              <w:spacing w:before="40" w:after="40"/>
              <w:ind w:left="1134" w:hanging="1134"/>
              <w:rPr>
                <w:rFonts w:ascii="Arial Narrow" w:hAnsi="Arial Narrow" w:cs="Tahoma"/>
                <w:b/>
                <w:noProof/>
                <w:sz w:val="20"/>
              </w:rPr>
            </w:pPr>
            <w:r w:rsidRPr="003809C0">
              <w:rPr>
                <w:rFonts w:ascii="Arial Narrow" w:hAnsi="Arial Narrow" w:cs="Tahoma"/>
                <w:b/>
                <w:noProof/>
                <w:sz w:val="20"/>
              </w:rPr>
              <w:t>ESC</w:t>
            </w:r>
            <w:r>
              <w:rPr>
                <w:rFonts w:ascii="Arial Narrow" w:hAnsi="Arial Narrow" w:cs="Tahoma"/>
                <w:b/>
                <w:noProof/>
                <w:sz w:val="20"/>
              </w:rPr>
              <w:t>s</w:t>
            </w:r>
            <w:r w:rsidRPr="003809C0">
              <w:rPr>
                <w:rFonts w:ascii="Arial Narrow" w:hAnsi="Arial Narrow" w:cs="Tahoma"/>
                <w:b/>
                <w:noProof/>
                <w:sz w:val="20"/>
              </w:rPr>
              <w:t xml:space="preserve"> advice to MSAC</w:t>
            </w:r>
          </w:p>
        </w:tc>
      </w:tr>
      <w:tr w:rsidR="008603E5" w:rsidRPr="003809C0" w14:paraId="08153572" w14:textId="77777777" w:rsidTr="000F5DF1">
        <w:trPr>
          <w:cantSplit/>
        </w:trPr>
        <w:tc>
          <w:tcPr>
            <w:tcW w:w="1413" w:type="dxa"/>
          </w:tcPr>
          <w:p w14:paraId="2BCBB68B" w14:textId="77777777" w:rsidR="008603E5"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Rationale for codependence</w:t>
            </w:r>
          </w:p>
        </w:tc>
        <w:tc>
          <w:tcPr>
            <w:tcW w:w="7603" w:type="dxa"/>
          </w:tcPr>
          <w:p w14:paraId="4126C9B6" w14:textId="1B8C31C2" w:rsidR="008603E5" w:rsidRPr="003C74CC" w:rsidRDefault="008603E5" w:rsidP="00E84BDF">
            <w:pPr>
              <w:spacing w:before="60" w:after="60"/>
              <w:rPr>
                <w:rFonts w:ascii="Arial Narrow" w:hAnsi="Arial Narrow" w:cs="Times New Roman"/>
                <w:color w:val="000000"/>
                <w:sz w:val="20"/>
              </w:rPr>
            </w:pPr>
            <w:r w:rsidRPr="00AD3206">
              <w:rPr>
                <w:rFonts w:ascii="Arial Narrow" w:hAnsi="Arial Narrow" w:cs="Times New Roman"/>
                <w:color w:val="000000"/>
                <w:sz w:val="20"/>
              </w:rPr>
              <w:t>The rationale for codependency is the expectation of a greater effect from atezolizumab in patients with greater PD-L1 expression, supporting the need for IHC testing for PD-L1 expression to determine eligibility for treatment with atezolizumab.</w:t>
            </w:r>
            <w:r>
              <w:rPr>
                <w:rFonts w:ascii="Arial Narrow" w:hAnsi="Arial Narrow" w:cs="Times New Roman"/>
                <w:color w:val="000000"/>
                <w:sz w:val="20"/>
              </w:rPr>
              <w:t xml:space="preserve"> However, </w:t>
            </w:r>
            <w:r w:rsidRPr="00AD3206">
              <w:rPr>
                <w:rFonts w:ascii="Arial Narrow" w:hAnsi="Arial Narrow" w:cs="Times New Roman"/>
                <w:color w:val="000000"/>
                <w:sz w:val="20"/>
              </w:rPr>
              <w:t xml:space="preserve">other trials of immunotherapy in TNBC, including </w:t>
            </w:r>
            <w:r>
              <w:rPr>
                <w:rFonts w:ascii="Arial Narrow" w:hAnsi="Arial Narrow" w:cs="Times New Roman"/>
                <w:color w:val="000000"/>
                <w:sz w:val="20"/>
              </w:rPr>
              <w:t xml:space="preserve">in </w:t>
            </w:r>
            <w:r w:rsidRPr="00AD3206">
              <w:rPr>
                <w:rFonts w:ascii="Arial Narrow" w:hAnsi="Arial Narrow" w:cs="Times New Roman"/>
                <w:color w:val="000000"/>
                <w:sz w:val="20"/>
              </w:rPr>
              <w:t>PD-L</w:t>
            </w:r>
            <w:r w:rsidR="005D3915">
              <w:rPr>
                <w:rFonts w:ascii="Arial Narrow" w:hAnsi="Arial Narrow" w:cs="Times New Roman"/>
                <w:color w:val="000000"/>
                <w:sz w:val="20"/>
              </w:rPr>
              <w:t>1-</w:t>
            </w:r>
            <w:r w:rsidRPr="00AD3206">
              <w:rPr>
                <w:rFonts w:ascii="Arial Narrow" w:hAnsi="Arial Narrow" w:cs="Times New Roman"/>
                <w:color w:val="000000"/>
                <w:sz w:val="20"/>
              </w:rPr>
              <w:t>positive populations, have failed to show convincing clinical benefit, with or without combination chemotherapy.</w:t>
            </w:r>
          </w:p>
        </w:tc>
      </w:tr>
      <w:tr w:rsidR="008603E5" w:rsidRPr="003809C0" w14:paraId="6B7A973C" w14:textId="77777777" w:rsidTr="000F5DF1">
        <w:trPr>
          <w:cantSplit/>
        </w:trPr>
        <w:tc>
          <w:tcPr>
            <w:tcW w:w="1413" w:type="dxa"/>
          </w:tcPr>
          <w:p w14:paraId="30B0003A" w14:textId="77777777" w:rsidR="008603E5" w:rsidRDefault="008603E5" w:rsidP="00E84BDF">
            <w:pPr>
              <w:widowControl w:val="0"/>
              <w:spacing w:before="60" w:after="60"/>
              <w:rPr>
                <w:rFonts w:ascii="Arial Narrow" w:hAnsi="Arial Narrow" w:cs="Times New Roman"/>
                <w:color w:val="000000"/>
                <w:sz w:val="20"/>
              </w:rPr>
            </w:pPr>
            <w:r w:rsidRPr="003C74CC">
              <w:rPr>
                <w:rFonts w:ascii="Arial Narrow" w:hAnsi="Arial Narrow" w:cs="Times New Roman"/>
                <w:color w:val="000000"/>
                <w:sz w:val="20"/>
              </w:rPr>
              <w:t xml:space="preserve">Clinical </w:t>
            </w:r>
            <w:r>
              <w:rPr>
                <w:rFonts w:ascii="Arial Narrow" w:hAnsi="Arial Narrow" w:cs="Times New Roman"/>
                <w:color w:val="000000"/>
                <w:sz w:val="20"/>
              </w:rPr>
              <w:t>utility</w:t>
            </w:r>
            <w:r w:rsidRPr="003C74CC">
              <w:rPr>
                <w:rFonts w:ascii="Arial Narrow" w:hAnsi="Arial Narrow" w:cs="Times New Roman"/>
                <w:color w:val="000000"/>
                <w:sz w:val="20"/>
              </w:rPr>
              <w:t xml:space="preserve"> of PD-L1 testing (predictive role of test)</w:t>
            </w:r>
          </w:p>
        </w:tc>
        <w:tc>
          <w:tcPr>
            <w:tcW w:w="7603" w:type="dxa"/>
          </w:tcPr>
          <w:p w14:paraId="6B05722E" w14:textId="77777777" w:rsidR="008603E5" w:rsidRPr="00CD38AF" w:rsidRDefault="008603E5" w:rsidP="00E84BDF">
            <w:pPr>
              <w:widowControl w:val="0"/>
              <w:spacing w:before="60" w:after="60"/>
              <w:rPr>
                <w:rFonts w:ascii="Arial Narrow" w:hAnsi="Arial Narrow" w:cs="Times New Roman"/>
                <w:color w:val="000000"/>
                <w:sz w:val="20"/>
              </w:rPr>
            </w:pPr>
            <w:r w:rsidRPr="00CD38AF">
              <w:rPr>
                <w:rFonts w:ascii="Arial Narrow" w:hAnsi="Arial Narrow" w:cs="Times New Roman"/>
                <w:color w:val="000000"/>
                <w:sz w:val="20"/>
              </w:rPr>
              <w:t>The ESCs considered the predictive and prognostic capability of the PD</w:t>
            </w:r>
            <w:r>
              <w:rPr>
                <w:rFonts w:ascii="Arial Narrow" w:hAnsi="Arial Narrow" w:cs="Times New Roman"/>
                <w:color w:val="000000"/>
                <w:sz w:val="20"/>
              </w:rPr>
              <w:t>-</w:t>
            </w:r>
            <w:r w:rsidRPr="00CD38AF">
              <w:rPr>
                <w:rFonts w:ascii="Arial Narrow" w:hAnsi="Arial Narrow" w:cs="Times New Roman"/>
                <w:color w:val="000000"/>
                <w:sz w:val="20"/>
              </w:rPr>
              <w:t>L1 biomarker to be highly uncertain on the basis of the evidence presented f</w:t>
            </w:r>
            <w:r>
              <w:rPr>
                <w:rFonts w:ascii="Arial Narrow" w:hAnsi="Arial Narrow" w:cs="Times New Roman"/>
                <w:color w:val="000000"/>
                <w:sz w:val="20"/>
              </w:rPr>
              <w:t>rom the IMpassion130 trial.</w:t>
            </w:r>
          </w:p>
          <w:p w14:paraId="4AFA48FE" w14:textId="723C555F" w:rsidR="008603E5"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The prespecified analysis plan required the OS treatment effect to be statistically significant in the ITT population before proceeding to assess the OS treatmen</w:t>
            </w:r>
            <w:r w:rsidR="005D3915">
              <w:rPr>
                <w:rFonts w:ascii="Arial Narrow" w:hAnsi="Arial Narrow" w:cs="Times New Roman"/>
                <w:color w:val="000000"/>
                <w:sz w:val="20"/>
              </w:rPr>
              <w:t>t effect for the PD-L1-</w:t>
            </w:r>
            <w:r>
              <w:rPr>
                <w:rFonts w:ascii="Arial Narrow" w:hAnsi="Arial Narrow" w:cs="Times New Roman"/>
                <w:color w:val="000000"/>
                <w:sz w:val="20"/>
              </w:rPr>
              <w:t>positive subgroup. This prerequisite was not met.</w:t>
            </w:r>
          </w:p>
          <w:p w14:paraId="7ECF22E5" w14:textId="398585B5" w:rsidR="008603E5" w:rsidRPr="00AD3206" w:rsidRDefault="008603E5" w:rsidP="00002312">
            <w:pPr>
              <w:spacing w:before="60" w:after="60"/>
              <w:rPr>
                <w:rFonts w:ascii="Arial Narrow" w:hAnsi="Arial Narrow" w:cs="Times New Roman"/>
                <w:color w:val="000000"/>
                <w:sz w:val="20"/>
              </w:rPr>
            </w:pPr>
            <w:r>
              <w:rPr>
                <w:rFonts w:ascii="Arial Narrow" w:hAnsi="Arial Narrow" w:cs="Times New Roman"/>
                <w:color w:val="000000"/>
                <w:sz w:val="20"/>
              </w:rPr>
              <w:t>Exploratory t</w:t>
            </w:r>
            <w:r w:rsidRPr="00CD38AF">
              <w:rPr>
                <w:rFonts w:ascii="Arial Narrow" w:hAnsi="Arial Narrow" w:cs="Times New Roman"/>
                <w:color w:val="000000"/>
                <w:sz w:val="20"/>
              </w:rPr>
              <w:t>ests for a</w:t>
            </w:r>
            <w:r>
              <w:rPr>
                <w:rFonts w:ascii="Arial Narrow" w:hAnsi="Arial Narrow" w:cs="Times New Roman"/>
                <w:color w:val="000000"/>
                <w:sz w:val="20"/>
              </w:rPr>
              <w:t>n OS</w:t>
            </w:r>
            <w:r w:rsidRPr="00CD38AF">
              <w:rPr>
                <w:rFonts w:ascii="Arial Narrow" w:hAnsi="Arial Narrow" w:cs="Times New Roman"/>
                <w:color w:val="000000"/>
                <w:sz w:val="20"/>
              </w:rPr>
              <w:t xml:space="preserve"> treatment </w:t>
            </w:r>
            <w:r>
              <w:rPr>
                <w:rFonts w:ascii="Arial Narrow" w:hAnsi="Arial Narrow" w:cs="Times New Roman"/>
                <w:color w:val="000000"/>
                <w:sz w:val="20"/>
              </w:rPr>
              <w:t xml:space="preserve">effect </w:t>
            </w:r>
            <w:r w:rsidRPr="00CD38AF">
              <w:rPr>
                <w:rFonts w:ascii="Arial Narrow" w:hAnsi="Arial Narrow" w:cs="Times New Roman"/>
                <w:color w:val="000000"/>
                <w:sz w:val="20"/>
              </w:rPr>
              <w:t xml:space="preserve">by PD-L1 </w:t>
            </w:r>
            <w:r>
              <w:rPr>
                <w:rFonts w:ascii="Arial Narrow" w:hAnsi="Arial Narrow" w:cs="Times New Roman"/>
                <w:color w:val="000000"/>
                <w:sz w:val="20"/>
              </w:rPr>
              <w:t xml:space="preserve">status </w:t>
            </w:r>
            <w:r w:rsidRPr="00CD38AF">
              <w:rPr>
                <w:rFonts w:ascii="Arial Narrow" w:hAnsi="Arial Narrow" w:cs="Times New Roman"/>
                <w:color w:val="000000"/>
                <w:sz w:val="20"/>
              </w:rPr>
              <w:t>interaction had p-values of 0.0</w:t>
            </w:r>
            <w:r>
              <w:rPr>
                <w:rFonts w:ascii="Arial Narrow" w:hAnsi="Arial Narrow" w:cs="Times New Roman"/>
                <w:color w:val="000000"/>
                <w:sz w:val="20"/>
              </w:rPr>
              <w:t>2</w:t>
            </w:r>
            <w:r w:rsidRPr="00CD38AF">
              <w:rPr>
                <w:rFonts w:ascii="Arial Narrow" w:hAnsi="Arial Narrow" w:cs="Times New Roman"/>
                <w:color w:val="000000"/>
                <w:sz w:val="20"/>
              </w:rPr>
              <w:t xml:space="preserve"> for </w:t>
            </w:r>
            <w:r>
              <w:rPr>
                <w:rFonts w:ascii="Arial Narrow" w:hAnsi="Arial Narrow" w:cs="Times New Roman"/>
                <w:color w:val="000000"/>
                <w:sz w:val="20"/>
              </w:rPr>
              <w:t xml:space="preserve">the </w:t>
            </w:r>
            <w:r w:rsidRPr="00CD38AF">
              <w:rPr>
                <w:rFonts w:ascii="Arial Narrow" w:hAnsi="Arial Narrow" w:cs="Times New Roman"/>
                <w:color w:val="000000"/>
                <w:sz w:val="20"/>
              </w:rPr>
              <w:t xml:space="preserve">April 2018 data </w:t>
            </w:r>
            <w:r>
              <w:rPr>
                <w:rFonts w:ascii="Arial Narrow" w:hAnsi="Arial Narrow" w:cs="Times New Roman"/>
                <w:color w:val="000000"/>
                <w:sz w:val="20"/>
              </w:rPr>
              <w:t xml:space="preserve">cut-off </w:t>
            </w:r>
            <w:r w:rsidRPr="00CD38AF">
              <w:rPr>
                <w:rFonts w:ascii="Arial Narrow" w:hAnsi="Arial Narrow" w:cs="Times New Roman"/>
                <w:color w:val="000000"/>
                <w:sz w:val="20"/>
              </w:rPr>
              <w:t xml:space="preserve">and 0.06 for </w:t>
            </w:r>
            <w:r>
              <w:rPr>
                <w:rFonts w:ascii="Arial Narrow" w:hAnsi="Arial Narrow" w:cs="Times New Roman"/>
                <w:color w:val="000000"/>
                <w:sz w:val="20"/>
              </w:rPr>
              <w:t xml:space="preserve">the </w:t>
            </w:r>
            <w:r w:rsidRPr="00CD38AF">
              <w:rPr>
                <w:rFonts w:ascii="Arial Narrow" w:hAnsi="Arial Narrow" w:cs="Times New Roman"/>
                <w:color w:val="000000"/>
                <w:sz w:val="20"/>
              </w:rPr>
              <w:t xml:space="preserve">Jan 2019 </w:t>
            </w:r>
            <w:r>
              <w:rPr>
                <w:rFonts w:ascii="Arial Narrow" w:hAnsi="Arial Narrow" w:cs="Times New Roman"/>
                <w:color w:val="000000"/>
                <w:sz w:val="20"/>
              </w:rPr>
              <w:t xml:space="preserve">data cut-off </w:t>
            </w:r>
            <w:r w:rsidRPr="00CD38AF">
              <w:rPr>
                <w:rFonts w:ascii="Arial Narrow" w:hAnsi="Arial Narrow" w:cs="Times New Roman"/>
                <w:color w:val="000000"/>
                <w:sz w:val="20"/>
              </w:rPr>
              <w:t>(</w:t>
            </w:r>
            <w:r>
              <w:rPr>
                <w:rFonts w:ascii="Arial Narrow" w:hAnsi="Arial Narrow" w:cs="Times New Roman"/>
                <w:color w:val="000000"/>
                <w:sz w:val="20"/>
              </w:rPr>
              <w:t>from the</w:t>
            </w:r>
            <w:r w:rsidR="00002312">
              <w:rPr>
                <w:rFonts w:ascii="Arial Narrow" w:hAnsi="Arial Narrow" w:cs="Times New Roman"/>
                <w:color w:val="000000"/>
                <w:sz w:val="20"/>
              </w:rPr>
              <w:t xml:space="preserve"> pre-ESCs response</w:t>
            </w:r>
            <w:r>
              <w:rPr>
                <w:rFonts w:ascii="Arial Narrow" w:hAnsi="Arial Narrow" w:cs="Times New Roman"/>
                <w:color w:val="000000"/>
                <w:sz w:val="20"/>
              </w:rPr>
              <w:t>).</w:t>
            </w:r>
            <w:r w:rsidRPr="00CD38AF">
              <w:rPr>
                <w:rFonts w:ascii="Arial Narrow" w:hAnsi="Arial Narrow" w:cs="Times New Roman"/>
                <w:color w:val="000000"/>
                <w:sz w:val="20"/>
              </w:rPr>
              <w:t xml:space="preserve"> This suggests </w:t>
            </w:r>
            <w:r>
              <w:rPr>
                <w:rFonts w:ascii="Arial Narrow" w:hAnsi="Arial Narrow" w:cs="Times New Roman"/>
                <w:color w:val="000000"/>
                <w:sz w:val="20"/>
              </w:rPr>
              <w:t>there is some evidence that PD-L</w:t>
            </w:r>
            <w:r w:rsidRPr="00CD38AF">
              <w:rPr>
                <w:rFonts w:ascii="Arial Narrow" w:hAnsi="Arial Narrow" w:cs="Times New Roman"/>
                <w:color w:val="000000"/>
                <w:sz w:val="20"/>
              </w:rPr>
              <w:t xml:space="preserve">1 status may predict </w:t>
            </w:r>
            <w:r>
              <w:rPr>
                <w:rFonts w:ascii="Arial Narrow" w:hAnsi="Arial Narrow" w:cs="Times New Roman"/>
                <w:color w:val="000000"/>
                <w:sz w:val="20"/>
              </w:rPr>
              <w:t xml:space="preserve">variation in the </w:t>
            </w:r>
            <w:r w:rsidRPr="00CD38AF">
              <w:rPr>
                <w:rFonts w:ascii="Arial Narrow" w:hAnsi="Arial Narrow" w:cs="Times New Roman"/>
                <w:color w:val="000000"/>
                <w:sz w:val="20"/>
              </w:rPr>
              <w:t>treatment effect</w:t>
            </w:r>
            <w:r>
              <w:rPr>
                <w:rFonts w:ascii="Arial Narrow" w:hAnsi="Arial Narrow" w:cs="Times New Roman"/>
                <w:color w:val="000000"/>
                <w:sz w:val="20"/>
              </w:rPr>
              <w:t xml:space="preserve"> of atezolizumab</w:t>
            </w:r>
            <w:r w:rsidRPr="00CD38AF">
              <w:rPr>
                <w:rFonts w:ascii="Arial Narrow" w:hAnsi="Arial Narrow" w:cs="Times New Roman"/>
                <w:color w:val="000000"/>
                <w:sz w:val="20"/>
              </w:rPr>
              <w:t xml:space="preserve">, but </w:t>
            </w:r>
            <w:r>
              <w:rPr>
                <w:rFonts w:ascii="Arial Narrow" w:hAnsi="Arial Narrow" w:cs="Times New Roman"/>
                <w:color w:val="000000"/>
                <w:sz w:val="20"/>
              </w:rPr>
              <w:t>the evidence for this is uncertain.</w:t>
            </w:r>
          </w:p>
        </w:tc>
      </w:tr>
      <w:tr w:rsidR="008603E5" w:rsidRPr="003809C0" w14:paraId="2B17E9AF" w14:textId="77777777" w:rsidTr="000F5DF1">
        <w:trPr>
          <w:cantSplit/>
        </w:trPr>
        <w:tc>
          <w:tcPr>
            <w:tcW w:w="1413" w:type="dxa"/>
          </w:tcPr>
          <w:p w14:paraId="5908D64D" w14:textId="77777777" w:rsidR="008603E5" w:rsidRPr="003C74CC"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Analytical validity of PD-L1 testing for</w:t>
            </w:r>
            <w:r w:rsidRPr="003C74CC">
              <w:rPr>
                <w:rFonts w:ascii="Arial Narrow" w:hAnsi="Arial Narrow" w:cs="Times New Roman"/>
                <w:color w:val="000000"/>
                <w:sz w:val="20"/>
              </w:rPr>
              <w:t xml:space="preserve"> available assays</w:t>
            </w:r>
          </w:p>
        </w:tc>
        <w:tc>
          <w:tcPr>
            <w:tcW w:w="7603" w:type="dxa"/>
          </w:tcPr>
          <w:p w14:paraId="43122B67" w14:textId="4C4DD38B" w:rsidR="008603E5" w:rsidRPr="003C74CC" w:rsidRDefault="008603E5" w:rsidP="00D754F4">
            <w:pPr>
              <w:widowControl w:val="0"/>
              <w:spacing w:before="60" w:after="60"/>
              <w:rPr>
                <w:rFonts w:ascii="Arial Narrow" w:hAnsi="Arial Narrow" w:cs="Times New Roman"/>
                <w:color w:val="000000"/>
                <w:sz w:val="20"/>
              </w:rPr>
            </w:pPr>
            <w:r w:rsidRPr="004F3BD0">
              <w:rPr>
                <w:rFonts w:ascii="Arial Narrow" w:hAnsi="Arial Narrow" w:cs="Times New Roman"/>
                <w:color w:val="000000"/>
                <w:sz w:val="20"/>
              </w:rPr>
              <w:t xml:space="preserve">There was low concordance in the relevant </w:t>
            </w:r>
            <w:r>
              <w:rPr>
                <w:rFonts w:ascii="Arial Narrow" w:hAnsi="Arial Narrow" w:cs="Times New Roman"/>
                <w:color w:val="000000"/>
                <w:sz w:val="20"/>
              </w:rPr>
              <w:t xml:space="preserve">subgroup from the IMpassion130 trial </w:t>
            </w:r>
            <w:r w:rsidRPr="004F3BD0">
              <w:rPr>
                <w:rFonts w:ascii="Arial Narrow" w:hAnsi="Arial Narrow" w:cs="Times New Roman"/>
                <w:color w:val="000000"/>
                <w:sz w:val="20"/>
              </w:rPr>
              <w:t xml:space="preserve">between the VENTANA PD-L1 SP142 assay </w:t>
            </w:r>
            <w:r>
              <w:rPr>
                <w:rFonts w:ascii="Arial Narrow" w:hAnsi="Arial Narrow" w:cs="Times New Roman"/>
                <w:color w:val="000000"/>
                <w:sz w:val="20"/>
              </w:rPr>
              <w:t xml:space="preserve">with IC assessment </w:t>
            </w:r>
            <w:r w:rsidRPr="004F3BD0">
              <w:rPr>
                <w:rFonts w:ascii="Arial Narrow" w:hAnsi="Arial Narrow" w:cs="Times New Roman"/>
                <w:color w:val="000000"/>
                <w:sz w:val="20"/>
              </w:rPr>
              <w:t>(the evidentiary standard) and the two other commercially available assays that might be used in clinical practice (VENTANA PD-L1 SP263 and Agilent/Dako PD-L1 22C3 pharmDx)</w:t>
            </w:r>
            <w:r>
              <w:rPr>
                <w:rFonts w:ascii="Arial Narrow" w:hAnsi="Arial Narrow" w:cs="Times New Roman"/>
                <w:color w:val="000000"/>
                <w:sz w:val="20"/>
              </w:rPr>
              <w:t xml:space="preserve"> with </w:t>
            </w:r>
            <w:r w:rsidR="00D754F4" w:rsidRPr="00D754F4">
              <w:rPr>
                <w:rFonts w:ascii="Arial Narrow" w:hAnsi="Arial Narrow"/>
                <w:b/>
                <w:color w:val="000000"/>
                <w:sz w:val="20"/>
              </w:rPr>
              <w:t>redacted</w:t>
            </w:r>
            <w:r w:rsidR="00D754F4">
              <w:rPr>
                <w:rFonts w:ascii="Arial Narrow" w:hAnsi="Arial Narrow" w:cs="Times New Roman"/>
                <w:color w:val="000000"/>
                <w:sz w:val="20"/>
              </w:rPr>
              <w:t xml:space="preserve"> </w:t>
            </w:r>
            <w:r>
              <w:rPr>
                <w:rFonts w:ascii="Arial Narrow" w:hAnsi="Arial Narrow" w:cs="Times New Roman"/>
                <w:color w:val="000000"/>
                <w:sz w:val="20"/>
              </w:rPr>
              <w:t xml:space="preserve">or CPS assessment. </w:t>
            </w:r>
            <w:r w:rsidRPr="00BC47FD">
              <w:rPr>
                <w:rFonts w:ascii="Arial Narrow" w:hAnsi="Arial Narrow" w:cs="Times New Roman"/>
                <w:color w:val="000000"/>
                <w:sz w:val="20"/>
              </w:rPr>
              <w:t xml:space="preserve">The lack of concordance was mainly driven </w:t>
            </w:r>
            <w:r w:rsidR="005D3915">
              <w:rPr>
                <w:rFonts w:ascii="Arial Narrow" w:hAnsi="Arial Narrow" w:cs="Times New Roman"/>
                <w:color w:val="000000"/>
                <w:sz w:val="20"/>
              </w:rPr>
              <w:t>by the large number of SP142-IC-</w:t>
            </w:r>
            <w:r w:rsidRPr="00BC47FD">
              <w:rPr>
                <w:rFonts w:ascii="Arial Narrow" w:hAnsi="Arial Narrow" w:cs="Times New Roman"/>
                <w:color w:val="000000"/>
                <w:sz w:val="20"/>
              </w:rPr>
              <w:t xml:space="preserve">negative </w:t>
            </w:r>
            <w:r w:rsidR="005D3915">
              <w:rPr>
                <w:rFonts w:ascii="Arial Narrow" w:hAnsi="Arial Narrow" w:cs="Times New Roman"/>
                <w:color w:val="000000"/>
                <w:sz w:val="20"/>
              </w:rPr>
              <w:t>patients</w:t>
            </w:r>
            <w:r w:rsidRPr="00BC47FD">
              <w:rPr>
                <w:rFonts w:ascii="Arial Narrow" w:hAnsi="Arial Narrow" w:cs="Times New Roman"/>
                <w:color w:val="000000"/>
                <w:sz w:val="20"/>
              </w:rPr>
              <w:t xml:space="preserve"> th</w:t>
            </w:r>
            <w:r w:rsidR="005D3915">
              <w:rPr>
                <w:rFonts w:ascii="Arial Narrow" w:hAnsi="Arial Narrow" w:cs="Times New Roman"/>
                <w:color w:val="000000"/>
                <w:sz w:val="20"/>
              </w:rPr>
              <w:t xml:space="preserve">at were assessed as being PD-L1 </w:t>
            </w:r>
            <w:r w:rsidRPr="00BC47FD">
              <w:rPr>
                <w:rFonts w:ascii="Arial Narrow" w:hAnsi="Arial Narrow" w:cs="Times New Roman"/>
                <w:color w:val="000000"/>
                <w:sz w:val="20"/>
              </w:rPr>
              <w:t xml:space="preserve">positive by the other </w:t>
            </w:r>
            <w:r>
              <w:rPr>
                <w:rFonts w:ascii="Arial Narrow" w:hAnsi="Arial Narrow" w:cs="Times New Roman"/>
                <w:color w:val="000000"/>
                <w:sz w:val="20"/>
              </w:rPr>
              <w:t>test options. These options may be identifying additional patients less likely to benefit from atezolizumab</w:t>
            </w:r>
            <w:r w:rsidRPr="00BC47FD">
              <w:rPr>
                <w:rFonts w:ascii="Arial Narrow" w:hAnsi="Arial Narrow" w:cs="Times New Roman"/>
                <w:color w:val="000000"/>
                <w:sz w:val="20"/>
              </w:rPr>
              <w:t>.</w:t>
            </w:r>
          </w:p>
        </w:tc>
      </w:tr>
      <w:tr w:rsidR="008603E5" w:rsidRPr="003809C0" w14:paraId="08BC6E5D" w14:textId="77777777" w:rsidTr="000F5DF1">
        <w:trPr>
          <w:cantSplit/>
        </w:trPr>
        <w:tc>
          <w:tcPr>
            <w:tcW w:w="1413" w:type="dxa"/>
          </w:tcPr>
          <w:p w14:paraId="4F6C9B31" w14:textId="77777777" w:rsidR="008603E5" w:rsidRDefault="008603E5" w:rsidP="00E84BDF">
            <w:pPr>
              <w:widowControl w:val="0"/>
              <w:spacing w:before="60" w:after="60"/>
              <w:rPr>
                <w:rFonts w:ascii="Arial Narrow" w:hAnsi="Arial Narrow" w:cs="Times New Roman"/>
                <w:color w:val="000000"/>
                <w:sz w:val="20"/>
              </w:rPr>
            </w:pPr>
            <w:r w:rsidRPr="003C74CC">
              <w:rPr>
                <w:rFonts w:ascii="Arial Narrow" w:hAnsi="Arial Narrow" w:cs="Times New Roman"/>
                <w:color w:val="000000"/>
                <w:sz w:val="20"/>
              </w:rPr>
              <w:t>Item descriptor</w:t>
            </w:r>
          </w:p>
        </w:tc>
        <w:tc>
          <w:tcPr>
            <w:tcW w:w="7603" w:type="dxa"/>
          </w:tcPr>
          <w:p w14:paraId="148A7E9F" w14:textId="77777777" w:rsidR="008603E5"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The ESCs suggested that it would be appropriate to specify the VENTANA SP142 Assay and IC assessment approach in the item descriptor to limit testing to the evidentiary standard due to the poor analytical concordance with alternative test options.</w:t>
            </w:r>
          </w:p>
          <w:p w14:paraId="202848BE" w14:textId="77777777" w:rsidR="008603E5"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The ESCs suggested that the item descriptor should specify that the patient has unresectable locally advanced or metastatic cancer.</w:t>
            </w:r>
          </w:p>
          <w:p w14:paraId="447B7697" w14:textId="77777777" w:rsidR="008603E5" w:rsidRPr="00CD38AF" w:rsidRDefault="008603E5" w:rsidP="00E84BDF">
            <w:pPr>
              <w:widowControl w:val="0"/>
              <w:spacing w:before="60" w:after="60"/>
              <w:rPr>
                <w:rFonts w:ascii="Arial Narrow" w:hAnsi="Arial Narrow" w:cs="Times New Roman"/>
                <w:color w:val="000000"/>
                <w:sz w:val="20"/>
              </w:rPr>
            </w:pPr>
            <w:r w:rsidRPr="00CD38AF">
              <w:rPr>
                <w:rFonts w:ascii="Arial Narrow" w:hAnsi="Arial Narrow" w:cs="Times New Roman"/>
                <w:color w:val="000000"/>
                <w:sz w:val="20"/>
              </w:rPr>
              <w:t xml:space="preserve">The ESCs </w:t>
            </w:r>
            <w:r>
              <w:rPr>
                <w:rFonts w:ascii="Arial Narrow" w:hAnsi="Arial Narrow" w:cs="Times New Roman"/>
                <w:color w:val="000000"/>
                <w:sz w:val="20"/>
              </w:rPr>
              <w:t>suggested</w:t>
            </w:r>
            <w:r w:rsidRPr="00CD38AF">
              <w:rPr>
                <w:rFonts w:ascii="Arial Narrow" w:hAnsi="Arial Narrow" w:cs="Times New Roman"/>
                <w:color w:val="000000"/>
                <w:sz w:val="20"/>
              </w:rPr>
              <w:t xml:space="preserve"> that the item descriptor should specify the requester is a specialist or consultant physician.</w:t>
            </w:r>
          </w:p>
          <w:p w14:paraId="4F816954" w14:textId="77777777" w:rsidR="008603E5" w:rsidRPr="00CD38AF" w:rsidRDefault="008603E5" w:rsidP="00E84BDF">
            <w:pPr>
              <w:widowControl w:val="0"/>
              <w:spacing w:before="60" w:after="60"/>
              <w:rPr>
                <w:rFonts w:ascii="Arial Narrow" w:hAnsi="Arial Narrow" w:cs="Times New Roman"/>
                <w:color w:val="000000"/>
                <w:sz w:val="20"/>
              </w:rPr>
            </w:pPr>
            <w:r w:rsidRPr="00CD38AF">
              <w:rPr>
                <w:rFonts w:ascii="Arial Narrow" w:hAnsi="Arial Narrow" w:cs="Times New Roman"/>
                <w:color w:val="000000"/>
                <w:sz w:val="20"/>
              </w:rPr>
              <w:t xml:space="preserve">The ESCs </w:t>
            </w:r>
            <w:r>
              <w:rPr>
                <w:rFonts w:ascii="Arial Narrow" w:hAnsi="Arial Narrow" w:cs="Times New Roman"/>
                <w:color w:val="000000"/>
                <w:sz w:val="20"/>
              </w:rPr>
              <w:t>suggested that</w:t>
            </w:r>
            <w:r w:rsidRPr="00CD38AF">
              <w:rPr>
                <w:rFonts w:ascii="Arial Narrow" w:hAnsi="Arial Narrow" w:cs="Times New Roman"/>
                <w:color w:val="000000"/>
                <w:sz w:val="20"/>
              </w:rPr>
              <w:t>, where available, the most recent tissue sample should be tested in prefere</w:t>
            </w:r>
            <w:r>
              <w:rPr>
                <w:rFonts w:ascii="Arial Narrow" w:hAnsi="Arial Narrow" w:cs="Times New Roman"/>
                <w:color w:val="000000"/>
                <w:sz w:val="20"/>
              </w:rPr>
              <w:t>nce to archival tissue samples.</w:t>
            </w:r>
          </w:p>
          <w:p w14:paraId="32B299A0" w14:textId="77777777" w:rsidR="008603E5" w:rsidRPr="004F3BD0" w:rsidRDefault="008603E5" w:rsidP="00E84BDF">
            <w:pPr>
              <w:widowControl w:val="0"/>
              <w:spacing w:before="60" w:after="60"/>
              <w:rPr>
                <w:rFonts w:ascii="Arial Narrow" w:hAnsi="Arial Narrow" w:cs="Times New Roman"/>
                <w:color w:val="000000"/>
                <w:sz w:val="20"/>
              </w:rPr>
            </w:pPr>
            <w:r w:rsidRPr="00CD38AF">
              <w:rPr>
                <w:rFonts w:ascii="Arial Narrow" w:hAnsi="Arial Narrow" w:cs="Times New Roman"/>
                <w:color w:val="000000"/>
                <w:sz w:val="20"/>
              </w:rPr>
              <w:t xml:space="preserve">The ESCs </w:t>
            </w:r>
            <w:r>
              <w:rPr>
                <w:rFonts w:ascii="Arial Narrow" w:hAnsi="Arial Narrow" w:cs="Times New Roman"/>
                <w:color w:val="000000"/>
                <w:sz w:val="20"/>
              </w:rPr>
              <w:t>suggested</w:t>
            </w:r>
            <w:r w:rsidRPr="00CD38AF">
              <w:rPr>
                <w:rFonts w:ascii="Arial Narrow" w:hAnsi="Arial Narrow" w:cs="Times New Roman"/>
                <w:color w:val="000000"/>
                <w:sz w:val="20"/>
              </w:rPr>
              <w:t xml:space="preserve"> that it may be appropriate to limit testing to once per patient, in order to limit unnecessary repeated re-testing of samples initially considered PD-L1 negative.</w:t>
            </w:r>
          </w:p>
        </w:tc>
      </w:tr>
      <w:tr w:rsidR="008603E5" w:rsidRPr="003809C0" w14:paraId="2FFDF3EB" w14:textId="77777777" w:rsidTr="000F5DF1">
        <w:trPr>
          <w:cantSplit/>
        </w:trPr>
        <w:tc>
          <w:tcPr>
            <w:tcW w:w="1413" w:type="dxa"/>
          </w:tcPr>
          <w:p w14:paraId="3FE29417" w14:textId="77777777" w:rsidR="008603E5" w:rsidRPr="003809C0"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Economic</w:t>
            </w:r>
          </w:p>
        </w:tc>
        <w:tc>
          <w:tcPr>
            <w:tcW w:w="7603" w:type="dxa"/>
          </w:tcPr>
          <w:p w14:paraId="725819EF" w14:textId="77777777" w:rsidR="008603E5" w:rsidRDefault="008603E5" w:rsidP="00E84BDF">
            <w:pPr>
              <w:widowControl w:val="0"/>
              <w:spacing w:before="60" w:after="60"/>
              <w:rPr>
                <w:rFonts w:ascii="Arial Narrow" w:hAnsi="Arial Narrow" w:cs="Times New Roman"/>
                <w:color w:val="000000"/>
                <w:sz w:val="20"/>
              </w:rPr>
            </w:pPr>
            <w:r w:rsidRPr="00317FD1">
              <w:rPr>
                <w:rFonts w:ascii="Arial Narrow" w:hAnsi="Arial Narrow" w:cs="Times New Roman"/>
                <w:color w:val="000000"/>
                <w:sz w:val="20"/>
              </w:rPr>
              <w:t xml:space="preserve">The modelled outcomes were based on VENTANA SP142 (the evidentiary standard), however, other assays are commercially available in Australia. </w:t>
            </w:r>
            <w:r w:rsidRPr="0006031D">
              <w:rPr>
                <w:rFonts w:ascii="Arial Narrow" w:hAnsi="Arial Narrow" w:cs="Times New Roman"/>
                <w:color w:val="000000"/>
                <w:sz w:val="20"/>
              </w:rPr>
              <w:t xml:space="preserve">The ESCs noted that it is likely that the cost-effectiveness of atezolizumab in combination with taxane chemotherapy (ATZ+nab-P) in the Australian population would </w:t>
            </w:r>
            <w:r>
              <w:rPr>
                <w:rFonts w:ascii="Arial Narrow" w:hAnsi="Arial Narrow" w:cs="Times New Roman"/>
                <w:color w:val="000000"/>
                <w:sz w:val="20"/>
              </w:rPr>
              <w:t>likely reduce if other test options were used.</w:t>
            </w:r>
          </w:p>
          <w:p w14:paraId="38E7CF06" w14:textId="77777777" w:rsidR="008603E5" w:rsidRPr="003809C0"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The economic evaluation modelled an implausible OS advantage on the basis of testing only, without a change in treatment. This favoured atezolizumab.</w:t>
            </w:r>
          </w:p>
        </w:tc>
      </w:tr>
      <w:tr w:rsidR="008603E5" w:rsidRPr="003809C0" w14:paraId="5CB1A521" w14:textId="77777777" w:rsidTr="000F5DF1">
        <w:trPr>
          <w:cantSplit/>
        </w:trPr>
        <w:tc>
          <w:tcPr>
            <w:tcW w:w="1413" w:type="dxa"/>
          </w:tcPr>
          <w:p w14:paraId="3C8356F0" w14:textId="77777777" w:rsidR="008603E5" w:rsidRPr="003809C0" w:rsidRDefault="008603E5" w:rsidP="00E84BDF">
            <w:pPr>
              <w:widowControl w:val="0"/>
              <w:spacing w:before="60" w:after="60"/>
              <w:rPr>
                <w:rFonts w:ascii="Arial Narrow" w:hAnsi="Arial Narrow" w:cs="Times New Roman"/>
                <w:color w:val="000000"/>
                <w:sz w:val="20"/>
              </w:rPr>
            </w:pPr>
            <w:r>
              <w:rPr>
                <w:rFonts w:ascii="Arial Narrow" w:hAnsi="Arial Narrow" w:cs="Times New Roman"/>
                <w:color w:val="000000"/>
                <w:sz w:val="20"/>
              </w:rPr>
              <w:t>Financial estimates</w:t>
            </w:r>
          </w:p>
        </w:tc>
        <w:tc>
          <w:tcPr>
            <w:tcW w:w="7603" w:type="dxa"/>
          </w:tcPr>
          <w:p w14:paraId="15AB037E" w14:textId="77777777" w:rsidR="008603E5" w:rsidRPr="003809C0" w:rsidRDefault="008603E5" w:rsidP="00E84BDF">
            <w:pPr>
              <w:tabs>
                <w:tab w:val="left" w:pos="216"/>
              </w:tabs>
              <w:spacing w:before="60" w:after="60"/>
              <w:rPr>
                <w:rFonts w:ascii="Arial Narrow" w:hAnsi="Arial Narrow" w:cs="Times New Roman"/>
                <w:color w:val="000000"/>
                <w:sz w:val="20"/>
              </w:rPr>
            </w:pPr>
            <w:r>
              <w:rPr>
                <w:rFonts w:ascii="Arial Narrow" w:hAnsi="Arial Narrow" w:cs="Times New Roman"/>
                <w:color w:val="000000"/>
                <w:sz w:val="20"/>
              </w:rPr>
              <w:t>The financial estimates were considered by DUSC. The ESCs considered that use of other test options may increase the number of TNBC patients eligible for atezolizumab.</w:t>
            </w:r>
          </w:p>
        </w:tc>
      </w:tr>
    </w:tbl>
    <w:p w14:paraId="3055BD91" w14:textId="091D2DBF" w:rsidR="00157CA1" w:rsidRPr="00BA7428" w:rsidRDefault="008603E5" w:rsidP="000F5DF1">
      <w:pPr>
        <w:keepNext/>
        <w:tabs>
          <w:tab w:val="left" w:pos="2265"/>
          <w:tab w:val="left" w:pos="3420"/>
          <w:tab w:val="left" w:pos="4320"/>
        </w:tabs>
        <w:spacing w:before="240" w:after="240"/>
        <w:rPr>
          <w:b/>
        </w:rPr>
      </w:pPr>
      <w:r w:rsidRPr="00BA7428">
        <w:rPr>
          <w:b/>
        </w:rPr>
        <w:t>ESC</w:t>
      </w:r>
      <w:r>
        <w:rPr>
          <w:b/>
        </w:rPr>
        <w:t>s</w:t>
      </w:r>
      <w:r w:rsidRPr="00BA7428">
        <w:rPr>
          <w:b/>
        </w:rPr>
        <w:t xml:space="preserve"> discussion</w:t>
      </w:r>
    </w:p>
    <w:p w14:paraId="33A5D597" w14:textId="46DE1A50" w:rsidR="008603E5" w:rsidRPr="00BA7428" w:rsidRDefault="008603E5" w:rsidP="008603E5">
      <w:pPr>
        <w:pStyle w:val="MSACESParagraph"/>
      </w:pPr>
      <w:r w:rsidRPr="00BA7428">
        <w:t>The ESCs suggested that the proposed item descriptor should be amended to explicitly state that testing is for patients with unresectable locally advanced or metastatic disease. The ESCs considered that, due to instability in test results for a patient over time, it would not be appropriate for patients with early stage disease to access PD-L1 testing to determine access to atezolizumab in the event that their disease later progresses.</w:t>
      </w:r>
    </w:p>
    <w:p w14:paraId="7BFFC2E4" w14:textId="05CC451E" w:rsidR="008603E5" w:rsidRPr="00BA7428" w:rsidRDefault="008603E5" w:rsidP="008603E5">
      <w:pPr>
        <w:pStyle w:val="MSACESParagraph"/>
        <w:rPr>
          <w:lang w:val="en-GB"/>
        </w:rPr>
      </w:pPr>
      <w:r w:rsidRPr="00BA7428">
        <w:t xml:space="preserve">The ESCs suggested that it would be appropriate for the item descriptor to specify the VENTANA SP142 IHC assay and IC assessment are used for determining PD-L1 status for the purpose of helping determine eligibility for atezolizumab. The ESCs noted that the BEP analysis showed there was relatively poor analytical concordance across the alternative PD-L1 IHC assays (VENTANA SP263 and Agilent/Dako 22C3) and assessment approaches compared with the evidentiary standard (VENTANA SP142 IC) used in the IMpassion130 trial. The ESCs considered that the BEP-based concordance analysis from this trial indicated a substantial number of false positives were detected with the alternative test options, </w:t>
      </w:r>
      <w:r w:rsidRPr="00BA7428">
        <w:rPr>
          <w:lang w:val="en-GB"/>
        </w:rPr>
        <w:t xml:space="preserve">suggesting that these alternatives may identify additional patients who are less likely to benefit from treatment with atezolizumab. The ESCs noted that the </w:t>
      </w:r>
      <w:r w:rsidR="00002312">
        <w:rPr>
          <w:lang w:val="en-GB"/>
        </w:rPr>
        <w:t>p</w:t>
      </w:r>
      <w:r>
        <w:rPr>
          <w:lang w:val="en-GB"/>
        </w:rPr>
        <w:t>re-ESCs</w:t>
      </w:r>
      <w:r w:rsidRPr="00BA7428">
        <w:rPr>
          <w:lang w:val="en-GB"/>
        </w:rPr>
        <w:t xml:space="preserve"> </w:t>
      </w:r>
      <w:r w:rsidR="00002312" w:rsidRPr="00BA7428">
        <w:rPr>
          <w:lang w:val="en-GB"/>
        </w:rPr>
        <w:t>r</w:t>
      </w:r>
      <w:r w:rsidRPr="00BA7428">
        <w:rPr>
          <w:lang w:val="en-GB"/>
        </w:rPr>
        <w:t>esponse (</w:t>
      </w:r>
      <w:r>
        <w:rPr>
          <w:lang w:val="en-GB"/>
        </w:rPr>
        <w:t>p1</w:t>
      </w:r>
      <w:r w:rsidRPr="00BA7428">
        <w:rPr>
          <w:lang w:val="en-GB"/>
        </w:rPr>
        <w:t xml:space="preserve">) indicated the </w:t>
      </w:r>
      <w:r>
        <w:rPr>
          <w:lang w:val="en-GB"/>
        </w:rPr>
        <w:t>applicant</w:t>
      </w:r>
      <w:r w:rsidRPr="00BA7428">
        <w:rPr>
          <w:lang w:val="en-GB"/>
        </w:rPr>
        <w:t xml:space="preserve"> was amenable to limiting testing to the VENTANA SP142 assay and IC assessment approach. The ESCs acknowledged that this may present some practical impositions on pathology laboratories currently using other test platforms.</w:t>
      </w:r>
    </w:p>
    <w:p w14:paraId="1DE49825" w14:textId="4CB9274D" w:rsidR="008603E5" w:rsidRPr="00BA7428" w:rsidRDefault="008603E5" w:rsidP="008603E5">
      <w:pPr>
        <w:pStyle w:val="MSACESParagraph"/>
      </w:pPr>
      <w:r w:rsidRPr="00BA7428">
        <w:rPr>
          <w:lang w:val="en-GB"/>
        </w:rPr>
        <w:t>The ESCs suggested that the item descriptor should specify the requester is a specialist or consultant physician. The ESCs noted that the existing item descriptor for PD-L1 IHC testing in NSCLC does not have this restriction, however most other P7 Genetics MBS items do specify the type of requester. The ESCs considered that PD-L1 testing in NSCLC for access to first-line pembrolizumab monotherapy had different clinical implications compared with PD-L1 testing in TNBC for access to atezolizumab in terms of subsequent access to alternative immunotherapies.</w:t>
      </w:r>
    </w:p>
    <w:p w14:paraId="65AD8BE5" w14:textId="0BCC04C5" w:rsidR="008603E5" w:rsidRPr="00BA7428" w:rsidRDefault="008603E5" w:rsidP="008603E5">
      <w:pPr>
        <w:pStyle w:val="MSACESParagraph"/>
      </w:pPr>
      <w:r w:rsidRPr="00BA7428">
        <w:t xml:space="preserve">The ESCs suggested that the item descriptor should specify that the most recent available tissue sample should be tested. The ESCs noted there is some evidence of up-regulation or down-regulation of PD-L1 expression with chemotherapy or progression to metastatic disease. The ESCs considered that some patients will require re-biopsy to </w:t>
      </w:r>
      <w:r w:rsidR="00A11B81">
        <w:t>confirm metastatic disease</w:t>
      </w:r>
      <w:r w:rsidR="00A11B81" w:rsidRPr="00BA7428">
        <w:t xml:space="preserve"> </w:t>
      </w:r>
      <w:r w:rsidRPr="00BA7428">
        <w:t>and suggested that, where available, the most recent tissue sample should be tested in preference to archival tissue samples.</w:t>
      </w:r>
    </w:p>
    <w:p w14:paraId="4DDCC2D5" w14:textId="77777777" w:rsidR="008603E5" w:rsidRPr="00BA7428" w:rsidRDefault="008603E5" w:rsidP="008603E5">
      <w:pPr>
        <w:pStyle w:val="MSACESParagraph"/>
      </w:pPr>
      <w:r w:rsidRPr="00BA7428">
        <w:t xml:space="preserve">Given the potential for intra- and inter-observer disagreement on the PD-L1 positivity score at the ≥1% IC </w:t>
      </w:r>
      <w:r>
        <w:t>threshold</w:t>
      </w:r>
      <w:r w:rsidRPr="00BA7428">
        <w:t>, the ESCs considered that it may be appropriate to limit testing to once per patient, in order to prevent unnecessary re-testing of samples initially considered PD-L1 negative, and unnecessary procedures to obtain new samples.</w:t>
      </w:r>
    </w:p>
    <w:p w14:paraId="292B3BC6" w14:textId="4129AA6B" w:rsidR="008603E5" w:rsidRPr="00BA7428" w:rsidRDefault="008603E5" w:rsidP="008603E5">
      <w:pPr>
        <w:pStyle w:val="MSACESParagraph"/>
      </w:pPr>
      <w:r w:rsidRPr="00BA7428">
        <w:t>The ESCs noted that the submission claimed that “direct evidence from the I</w:t>
      </w:r>
      <w:r w:rsidR="00211473" w:rsidRPr="00BA7428">
        <w:t>M</w:t>
      </w:r>
      <w:r w:rsidRPr="00BA7428">
        <w:t>passion130 trial showed that patients assessed as being PD-L1 positive obtained clinical benefit from treatment with atezolizumab plus nab-paclitaxel (ATZ+nab-P) whereas those who were PD-L1-negative did not”. The ESCs considered that this claim of clinical utility was not supported by the evidence as whilst statistical significance was demonstrated favouring ATZ+nab-P for greater PFS in both the ITT and PD-L1-positive subgroup, the benefit was small and may not be clinically meaningful. In addition, there was no statistically significant difference in OS in the ITT population and therefore no formal stati</w:t>
      </w:r>
      <w:r w:rsidR="005D3915">
        <w:t>stical test for OS in the PD-L1-</w:t>
      </w:r>
      <w:r w:rsidRPr="00BA7428">
        <w:t>positive patients was possible according to the prespecified analytical protocol.</w:t>
      </w:r>
    </w:p>
    <w:p w14:paraId="7AA0DEF6" w14:textId="299D0C1C" w:rsidR="008603E5" w:rsidRPr="00BA7428" w:rsidRDefault="008603E5" w:rsidP="008603E5">
      <w:pPr>
        <w:pStyle w:val="MSACESParagraph"/>
      </w:pPr>
      <w:r w:rsidRPr="00BA7428">
        <w:t>The ESCs also noted that interaction tests for an OS treatment effect by PD-L1 status had p-values of 0.02 for the April 2018 data cut</w:t>
      </w:r>
      <w:r>
        <w:t>-off</w:t>
      </w:r>
      <w:r w:rsidRPr="00BA7428">
        <w:t xml:space="preserve"> and 0.06 for the January 2019 data cut</w:t>
      </w:r>
      <w:r>
        <w:t>-off</w:t>
      </w:r>
      <w:r w:rsidRPr="00BA7428">
        <w:t xml:space="preserve"> (as provided in the </w:t>
      </w:r>
      <w:r w:rsidR="00E81BE4">
        <w:t>pre-</w:t>
      </w:r>
      <w:r w:rsidR="00002312">
        <w:t>ESCs</w:t>
      </w:r>
      <w:r w:rsidR="00E81BE4">
        <w:t xml:space="preserve"> response</w:t>
      </w:r>
      <w:r w:rsidRPr="00BA7428">
        <w:t xml:space="preserve">). The ESCs considered </w:t>
      </w:r>
      <w:r>
        <w:t xml:space="preserve">that </w:t>
      </w:r>
      <w:r w:rsidRPr="00BA7428">
        <w:t>this suggests there is some evidence that PD-L1 status may predict var</w:t>
      </w:r>
      <w:r>
        <w:t xml:space="preserve">iation </w:t>
      </w:r>
      <w:r w:rsidRPr="00BA7428">
        <w:t>in</w:t>
      </w:r>
      <w:r>
        <w:t xml:space="preserve"> the</w:t>
      </w:r>
      <w:r w:rsidRPr="00BA7428">
        <w:t xml:space="preserve"> treatment effect </w:t>
      </w:r>
      <w:r>
        <w:t xml:space="preserve">of </w:t>
      </w:r>
      <w:r w:rsidRPr="00BA7428">
        <w:t xml:space="preserve">atezolizumab, but the </w:t>
      </w:r>
      <w:r>
        <w:t>evidence for this is uncertain</w:t>
      </w:r>
      <w:r w:rsidRPr="00BA7428">
        <w:t>.</w:t>
      </w:r>
    </w:p>
    <w:p w14:paraId="089680E0" w14:textId="52C653ED" w:rsidR="008603E5" w:rsidRPr="00BA7428" w:rsidRDefault="008603E5" w:rsidP="008603E5">
      <w:pPr>
        <w:pStyle w:val="MSACESParagraph"/>
      </w:pPr>
      <w:r w:rsidRPr="00BA7428">
        <w:t xml:space="preserve">The ESCs noted that the primary evidence for the analytical concordance of the proposed test against other test options was from an exploratory post-hoc analysis of the BEP in the IMpassion130 trial. </w:t>
      </w:r>
      <w:r w:rsidRPr="00BA7428">
        <w:rPr>
          <w:lang w:val="en-GB"/>
        </w:rPr>
        <w:t xml:space="preserve">The ESCs noted that the </w:t>
      </w:r>
      <w:r w:rsidR="00E81BE4">
        <w:rPr>
          <w:lang w:val="en-GB"/>
        </w:rPr>
        <w:t>OPA</w:t>
      </w:r>
      <w:r w:rsidRPr="00BA7428">
        <w:rPr>
          <w:lang w:val="en-GB"/>
        </w:rPr>
        <w:t xml:space="preserve"> for these alternatives compared to the evidentiary standard (SP142-IC assay and IC assessment approach) was between 64% and 69% and this poor concordance was mainly driven </w:t>
      </w:r>
      <w:r w:rsidR="005D3915">
        <w:rPr>
          <w:lang w:val="en-GB"/>
        </w:rPr>
        <w:t>by the large number of SP142-IC-</w:t>
      </w:r>
      <w:r w:rsidRPr="00BA7428">
        <w:rPr>
          <w:lang w:val="en-GB"/>
        </w:rPr>
        <w:t xml:space="preserve">negative </w:t>
      </w:r>
      <w:r w:rsidR="005D3915">
        <w:rPr>
          <w:lang w:val="en-GB"/>
        </w:rPr>
        <w:t>patients</w:t>
      </w:r>
      <w:r w:rsidRPr="00BA7428">
        <w:rPr>
          <w:lang w:val="en-GB"/>
        </w:rPr>
        <w:t xml:space="preserve"> that were </w:t>
      </w:r>
      <w:r w:rsidR="005D3915">
        <w:rPr>
          <w:lang w:val="en-GB"/>
        </w:rPr>
        <w:t xml:space="preserve">assessed as being PD-L1 </w:t>
      </w:r>
      <w:r w:rsidRPr="00BA7428">
        <w:rPr>
          <w:lang w:val="en-GB"/>
        </w:rPr>
        <w:t>positive by the other assays and assessment approaches (IC or CPS). The ESCs also noted that, for the patients who were assessed as SP142-IC negative and positive according to the other options, the OS HRs and the median OS values aligned mor</w:t>
      </w:r>
      <w:r w:rsidR="005D3915">
        <w:rPr>
          <w:lang w:val="en-GB"/>
        </w:rPr>
        <w:t>e closely to the SP142-IC PD-L1-</w:t>
      </w:r>
      <w:r w:rsidRPr="00BA7428">
        <w:rPr>
          <w:lang w:val="en-GB"/>
        </w:rPr>
        <w:t>negati</w:t>
      </w:r>
      <w:r w:rsidR="005D3915">
        <w:rPr>
          <w:lang w:val="en-GB"/>
        </w:rPr>
        <w:t>ve population than the SP142-IC-</w:t>
      </w:r>
      <w:r w:rsidRPr="00BA7428">
        <w:rPr>
          <w:lang w:val="en-GB"/>
        </w:rPr>
        <w:t>positive population. The ESCs considered that this indicated that the alternative options may be identifying additional patients who are less likely to benefit from treatment with atezolizumab.</w:t>
      </w:r>
    </w:p>
    <w:p w14:paraId="10DACE72" w14:textId="069415C1" w:rsidR="008603E5" w:rsidRPr="00BA7428" w:rsidRDefault="008603E5" w:rsidP="008603E5">
      <w:pPr>
        <w:pStyle w:val="MSACESParagraph"/>
      </w:pPr>
      <w:r w:rsidRPr="00BA7428">
        <w:t xml:space="preserve">The ESCs noted that the draft study report of the Australian SPRINT study was provided with the </w:t>
      </w:r>
      <w:r w:rsidR="00CD637D">
        <w:t>pre-ESCs response</w:t>
      </w:r>
      <w:r w:rsidRPr="00BA7428">
        <w:t xml:space="preserve"> as additional supportive evidence for intra- and inter- observer reproducibility of pathologists’ assessments of PD-L1 IC staining using the VENTANA SP142 assay</w:t>
      </w:r>
      <w:r w:rsidRPr="000F5DF1">
        <w:t xml:space="preserve">. The ESCs also noted that the </w:t>
      </w:r>
      <w:r w:rsidR="00D754F4" w:rsidRPr="000F5DF1">
        <w:rPr>
          <w:b/>
        </w:rPr>
        <w:t>redacted</w:t>
      </w:r>
      <w:r w:rsidR="00756666" w:rsidRPr="000F5DF1">
        <w:rPr>
          <w:b/>
        </w:rPr>
        <w:t xml:space="preserve">. </w:t>
      </w:r>
      <w:r w:rsidRPr="000F5DF1">
        <w:t xml:space="preserve">The ESCs also noted that the risk of bias was not assessed for this study, but considered that it appears to be at least as high risk of bias as the BEP (post-hoc) analysis from the IMpassion130 trial, where there was some uncertainty about how the comparisons were conducted, the timing between assessing the samples from different assays and the blinding of results. Further, the ESCs noted the applicant’s acknowledgement that the SPRINT study </w:t>
      </w:r>
      <w:r w:rsidR="00756666" w:rsidRPr="000F5DF1">
        <w:rPr>
          <w:b/>
        </w:rPr>
        <w:t>redacted</w:t>
      </w:r>
      <w:r w:rsidRPr="000F5DF1">
        <w:t>.</w:t>
      </w:r>
    </w:p>
    <w:p w14:paraId="352EA050" w14:textId="77777777" w:rsidR="008603E5" w:rsidRPr="00BA7428" w:rsidRDefault="008603E5" w:rsidP="008603E5">
      <w:pPr>
        <w:pStyle w:val="MSACESParagraph"/>
      </w:pPr>
      <w:r w:rsidRPr="00BA7428">
        <w:t>The ESCs noted that the main economic issue specific to MSAC was that testing with alternative PD-L1 assays available in Australian may result in some patients’ PD-L1 status being determined by an assay/scoring algorithm different than the evidentiary standard (VENTANA SP142-IC). The ESCs noted that it is likely that the cost-effectiveness of atezolizumab in combination with taxane chemotherapy (ATZ+nab-P) in the Australian population would differ depending on the assays used and considered that this could be addressed by limiting testing to the VENTANA SP142-IC.</w:t>
      </w:r>
    </w:p>
    <w:p w14:paraId="58C9000B" w14:textId="77777777" w:rsidR="008603E5" w:rsidRPr="00BA7428" w:rsidRDefault="008603E5" w:rsidP="008603E5">
      <w:pPr>
        <w:pStyle w:val="MSACESParagraph"/>
      </w:pPr>
      <w:r w:rsidRPr="00BA7428">
        <w:t>The ESC</w:t>
      </w:r>
      <w:r>
        <w:t>s</w:t>
      </w:r>
      <w:r w:rsidRPr="00BA7428">
        <w:t xml:space="preserve"> also noted that the use of different parametric functions across the model arms to extrapolate OS for patients in the proposed scenario compared with the current scenario resulted in an OS benefit associated with PD-L1 testing alone (that is, for patients who test negative for PD-L1 and so do not receive a change in treatment). The ESCs considered that this modelled OS benefit in these patients was not plausible, and the consequence is that this resulted in an ICER that favoured atezolizumab.</w:t>
      </w:r>
    </w:p>
    <w:p w14:paraId="32137DD0" w14:textId="77777777" w:rsidR="008603E5" w:rsidRPr="00BA7428" w:rsidRDefault="008603E5" w:rsidP="008603E5">
      <w:pPr>
        <w:pStyle w:val="MSACESParagraph"/>
      </w:pPr>
      <w:r w:rsidRPr="00BA7428">
        <w:t>The ESCs noted that the estimated extent of use and financial implications are discussed in the DUSC advice on this item. The ESCs considered that use of other test options may increase the number of TNBC patients eligible for atezolizumab.</w:t>
      </w:r>
    </w:p>
    <w:p w14:paraId="30CE69E8" w14:textId="77777777" w:rsidR="008603E5" w:rsidRPr="00BA7428" w:rsidRDefault="008603E5" w:rsidP="008603E5">
      <w:pPr>
        <w:spacing w:after="240"/>
      </w:pPr>
      <w:r w:rsidRPr="00BA7428">
        <w:t>The ESCs noted advice from the Royal College of Pathologists of Australasia noting the ambiguity in the current PD-L1 testing program in Australia and the need for high quality training and quality assurance to ensure that testing is consistent. The ESC</w:t>
      </w:r>
      <w:r>
        <w:t>s</w:t>
      </w:r>
      <w:r w:rsidRPr="00BA7428">
        <w:t xml:space="preserve"> noted the </w:t>
      </w:r>
      <w:r>
        <w:t>applicant’s</w:t>
      </w:r>
      <w:r w:rsidRPr="00BA7428">
        <w:t xml:space="preserve"> Pre-ESC</w:t>
      </w:r>
      <w:r>
        <w:t>s</w:t>
      </w:r>
      <w:r w:rsidRPr="00BA7428">
        <w:t xml:space="preserve"> Response (p3) described the pathologist training program on PD-L1 IC assessment using SP142, including online and face to face training</w:t>
      </w:r>
      <w:r>
        <w:t>,</w:t>
      </w:r>
      <w:r w:rsidRPr="00BA7428">
        <w:t xml:space="preserve"> and the improvements made to this training and certification in response to the SPRINT study.</w:t>
      </w:r>
    </w:p>
    <w:p w14:paraId="79C1BED9" w14:textId="77777777" w:rsidR="00810EDB" w:rsidRPr="00F715D1" w:rsidRDefault="00810EDB" w:rsidP="00810EDB">
      <w:pPr>
        <w:pStyle w:val="Heading1"/>
      </w:pPr>
      <w:r w:rsidRPr="00F715D1">
        <w:t>Other significant factors</w:t>
      </w:r>
    </w:p>
    <w:p w14:paraId="18C3754F" w14:textId="22CB0D81" w:rsidR="00810EDB" w:rsidRPr="005A4362" w:rsidRDefault="00810EDB" w:rsidP="008603E5">
      <w:r w:rsidRPr="005A4362">
        <w:t>Nil</w:t>
      </w:r>
      <w:r w:rsidR="00CD637D">
        <w:t>.</w:t>
      </w:r>
    </w:p>
    <w:p w14:paraId="1D780F86" w14:textId="77777777" w:rsidR="00810EDB" w:rsidRPr="00F715D1" w:rsidRDefault="00810EDB" w:rsidP="00810EDB">
      <w:pPr>
        <w:pStyle w:val="Heading1"/>
      </w:pPr>
      <w:r>
        <w:t>Applicant</w:t>
      </w:r>
      <w:r w:rsidRPr="00F715D1">
        <w:t xml:space="preserve"> comments on MSAC’s Public Summary Document</w:t>
      </w:r>
    </w:p>
    <w:p w14:paraId="21F84785" w14:textId="65D46A7B" w:rsidR="00810EDB" w:rsidRPr="0015386A" w:rsidRDefault="00D33C14" w:rsidP="00756666">
      <w:pPr>
        <w:textAlignment w:val="baseline"/>
        <w:rPr>
          <w:szCs w:val="24"/>
        </w:rPr>
      </w:pPr>
      <w:r w:rsidRPr="0015386A">
        <w:rPr>
          <w:szCs w:val="24"/>
        </w:rPr>
        <w:t xml:space="preserve">Roche welcomes MSAC’s inclination to support PD-L1 IHC testing </w:t>
      </w:r>
      <w:r w:rsidR="00F61DC5" w:rsidRPr="0015386A">
        <w:rPr>
          <w:szCs w:val="24"/>
        </w:rPr>
        <w:t xml:space="preserve">in </w:t>
      </w:r>
      <w:r w:rsidRPr="0015386A">
        <w:rPr>
          <w:szCs w:val="24"/>
        </w:rPr>
        <w:t>Australian patients with unresectable locally advanced or metastatic triple-negative breast cancer</w:t>
      </w:r>
      <w:r w:rsidR="00F61DC5" w:rsidRPr="0015386A">
        <w:rPr>
          <w:szCs w:val="24"/>
        </w:rPr>
        <w:t xml:space="preserve">. </w:t>
      </w:r>
      <w:r w:rsidRPr="0015386A">
        <w:rPr>
          <w:szCs w:val="24"/>
        </w:rPr>
        <w:t xml:space="preserve">Roche is committed to working with MSAC and the Department of Health to ensure that </w:t>
      </w:r>
      <w:r w:rsidR="00F61DC5" w:rsidRPr="0015386A">
        <w:rPr>
          <w:szCs w:val="24"/>
        </w:rPr>
        <w:t>eligible patients</w:t>
      </w:r>
      <w:r w:rsidRPr="0015386A">
        <w:rPr>
          <w:szCs w:val="24"/>
        </w:rPr>
        <w:t xml:space="preserve"> who are PD-L1-positive can </w:t>
      </w:r>
      <w:r w:rsidR="00F61DC5" w:rsidRPr="0015386A">
        <w:rPr>
          <w:szCs w:val="24"/>
        </w:rPr>
        <w:t>receive PD-L1 testing.</w:t>
      </w:r>
    </w:p>
    <w:p w14:paraId="4CDC89DD" w14:textId="77777777" w:rsidR="00810EDB" w:rsidRPr="00F715D1" w:rsidRDefault="00810EDB" w:rsidP="00810EDB">
      <w:pPr>
        <w:pStyle w:val="Heading1"/>
      </w:pPr>
      <w:r w:rsidRPr="00F715D1">
        <w:t>Further information on MSAC</w:t>
      </w:r>
    </w:p>
    <w:p w14:paraId="306554D7" w14:textId="3F709B01" w:rsidR="00280050" w:rsidRPr="000F5DF1" w:rsidRDefault="00810EDB" w:rsidP="000F5DF1">
      <w:pPr>
        <w:spacing w:after="240"/>
        <w:rPr>
          <w:szCs w:val="24"/>
        </w:rPr>
      </w:pPr>
      <w:r w:rsidRPr="00F715D1">
        <w:rPr>
          <w:szCs w:val="24"/>
        </w:rPr>
        <w:t xml:space="preserve">MSAC Terms of Reference and other information are available on the MSAC Website: </w:t>
      </w:r>
      <w:r>
        <w:rPr>
          <w:szCs w:val="24"/>
        </w:rPr>
        <w:br/>
      </w:r>
      <w:hyperlink r:id="rId13" w:tooltip="Link to Medical Services Advisory Committee website" w:history="1">
        <w:r w:rsidRPr="00F715D1">
          <w:rPr>
            <w:rStyle w:val="Hyperlink"/>
            <w:szCs w:val="24"/>
          </w:rPr>
          <w:t>visit the MSAC website</w:t>
        </w:r>
      </w:hyperlink>
    </w:p>
    <w:sectPr w:rsidR="00280050" w:rsidRPr="000F5DF1" w:rsidSect="00E84BDF">
      <w:footerReference w:type="default" r:id="rId14"/>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EF99AD" w15:done="0"/>
  <w15:commentEx w15:paraId="1A4C33D4" w15:done="0"/>
  <w15:commentEx w15:paraId="710F85BE" w15:done="0"/>
  <w15:commentEx w15:paraId="30DFC5EB" w15:done="0"/>
  <w15:commentEx w15:paraId="49C396F2" w15:done="0"/>
  <w15:commentEx w15:paraId="083B2DB2" w15:done="0"/>
  <w15:commentEx w15:paraId="56C07A1B" w15:done="0"/>
  <w15:commentEx w15:paraId="139B0AE0" w15:done="0"/>
  <w15:commentEx w15:paraId="0650DF04" w15:done="0"/>
  <w15:commentEx w15:paraId="30DB2D5C" w15:done="0"/>
  <w15:commentEx w15:paraId="4FF16D4B" w15:done="0"/>
  <w15:commentEx w15:paraId="54AA28D8" w15:done="0"/>
  <w15:commentEx w15:paraId="75CE0A90" w15:done="0"/>
  <w15:commentEx w15:paraId="157CE9B7" w15:done="0"/>
  <w15:commentEx w15:paraId="5B91C450" w15:done="0"/>
  <w15:commentEx w15:paraId="757D3081" w15:done="0"/>
  <w15:commentEx w15:paraId="0B308AFB" w15:done="0"/>
  <w15:commentEx w15:paraId="6096C0F4" w15:done="0"/>
  <w15:commentEx w15:paraId="64DFBA73" w15:done="0"/>
  <w15:commentEx w15:paraId="1A01011A" w15:done="0"/>
  <w15:commentEx w15:paraId="0A9EC8C0" w15:done="0"/>
  <w15:commentEx w15:paraId="6070DFE5" w15:done="0"/>
  <w15:commentEx w15:paraId="72676033" w15:done="0"/>
  <w15:commentEx w15:paraId="615F4971" w15:done="0"/>
  <w15:commentEx w15:paraId="7B4FBEAF" w15:done="0"/>
  <w15:commentEx w15:paraId="2691EF87" w15:done="0"/>
  <w15:commentEx w15:paraId="567E5171" w15:done="0"/>
  <w15:commentEx w15:paraId="23B8C0D6" w15:done="0"/>
  <w15:commentEx w15:paraId="246371A6" w15:done="0"/>
  <w15:commentEx w15:paraId="5283902C" w15:done="0"/>
  <w15:commentEx w15:paraId="270ABE84" w15:done="0"/>
  <w15:commentEx w15:paraId="4BB60194" w15:done="0"/>
  <w15:commentEx w15:paraId="67E2C0EF" w15:done="0"/>
  <w15:commentEx w15:paraId="037E4E61" w15:done="0"/>
  <w15:commentEx w15:paraId="479AFFD8" w15:done="0"/>
  <w15:commentEx w15:paraId="15896A0D" w15:done="0"/>
  <w15:commentEx w15:paraId="725FC71B" w15:done="0"/>
  <w15:commentEx w15:paraId="36E0AF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61FE6" w16cid:durableId="225BA3AD"/>
  <w16cid:commentId w16cid:paraId="641979C1" w16cid:durableId="225D11A4"/>
  <w16cid:commentId w16cid:paraId="4686900D" w16cid:durableId="225BA47D"/>
  <w16cid:commentId w16cid:paraId="0EE76D21" w16cid:durableId="225D11A6"/>
  <w16cid:commentId w16cid:paraId="1AC869EC" w16cid:durableId="225BA4FA"/>
  <w16cid:commentId w16cid:paraId="6CEEE2AC" w16cid:durableId="225D11A8"/>
  <w16cid:commentId w16cid:paraId="33B626D3" w16cid:durableId="225BA506"/>
  <w16cid:commentId w16cid:paraId="3416A417" w16cid:durableId="225D11AA"/>
  <w16cid:commentId w16cid:paraId="76E73A01" w16cid:durableId="225D11AB"/>
  <w16cid:commentId w16cid:paraId="310C5051" w16cid:durableId="225D1241"/>
  <w16cid:commentId w16cid:paraId="1CB98F6A" w16cid:durableId="225D1349"/>
  <w16cid:commentId w16cid:paraId="6CA7B467" w16cid:durableId="225BA557"/>
  <w16cid:commentId w16cid:paraId="0FE3A2D9" w16cid:durableId="225D11AD"/>
  <w16cid:commentId w16cid:paraId="22854A14" w16cid:durableId="225D11AE"/>
  <w16cid:commentId w16cid:paraId="64F3918E" w16cid:durableId="225D11AF"/>
  <w16cid:commentId w16cid:paraId="085F2130" w16cid:durableId="225D11B0"/>
  <w16cid:commentId w16cid:paraId="2A28E56E" w16cid:durableId="225D11B1"/>
  <w16cid:commentId w16cid:paraId="1B9635F4" w16cid:durableId="225D11B2"/>
  <w16cid:commentId w16cid:paraId="6210CDA4" w16cid:durableId="225BA37E"/>
  <w16cid:commentId w16cid:paraId="61BDD051" w16cid:durableId="225BA37F"/>
  <w16cid:commentId w16cid:paraId="0212271D" w16cid:durableId="225D11B5"/>
  <w16cid:commentId w16cid:paraId="030B804B" w16cid:durableId="225D11B6"/>
  <w16cid:commentId w16cid:paraId="29474CF5" w16cid:durableId="225D11B7"/>
  <w16cid:commentId w16cid:paraId="65BD577C" w16cid:durableId="225D11B8"/>
  <w16cid:commentId w16cid:paraId="1F7E7CF4" w16cid:durableId="225D11B9"/>
  <w16cid:commentId w16cid:paraId="762E1155" w16cid:durableId="225BA380"/>
  <w16cid:commentId w16cid:paraId="4EFB49E0" w16cid:durableId="225BA382"/>
  <w16cid:commentId w16cid:paraId="309A45E8" w16cid:durableId="225BA383"/>
  <w16cid:commentId w16cid:paraId="08D666DD" w16cid:durableId="225D11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42C9D" w14:textId="77777777" w:rsidR="0015386A" w:rsidRDefault="0015386A">
      <w:r>
        <w:separator/>
      </w:r>
    </w:p>
  </w:endnote>
  <w:endnote w:type="continuationSeparator" w:id="0">
    <w:p w14:paraId="4D46DA9D" w14:textId="77777777" w:rsidR="0015386A" w:rsidRDefault="0015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0"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3762E92" w14:textId="7271FFF3" w:rsidR="0015386A" w:rsidRDefault="0015386A">
        <w:pPr>
          <w:pStyle w:val="Footer"/>
          <w:jc w:val="right"/>
        </w:pPr>
        <w:r>
          <w:fldChar w:fldCharType="begin"/>
        </w:r>
        <w:r>
          <w:instrText xml:space="preserve"> PAGE   \* MERGEFORMAT </w:instrText>
        </w:r>
        <w:r>
          <w:fldChar w:fldCharType="separate"/>
        </w:r>
        <w:r w:rsidR="003275DD">
          <w:rPr>
            <w:noProof/>
          </w:rPr>
          <w:t>5</w:t>
        </w:r>
        <w:r>
          <w:rPr>
            <w:noProof/>
          </w:rPr>
          <w:fldChar w:fldCharType="end"/>
        </w:r>
      </w:p>
    </w:sdtContent>
  </w:sdt>
  <w:p w14:paraId="17E591C6" w14:textId="77777777" w:rsidR="0015386A" w:rsidRDefault="00153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9D803" w14:textId="77777777" w:rsidR="0015386A" w:rsidRDefault="0015386A">
      <w:r>
        <w:separator/>
      </w:r>
    </w:p>
  </w:footnote>
  <w:footnote w:type="continuationSeparator" w:id="0">
    <w:p w14:paraId="1C6FBC70" w14:textId="77777777" w:rsidR="0015386A" w:rsidRDefault="0015386A">
      <w:r>
        <w:continuationSeparator/>
      </w:r>
    </w:p>
  </w:footnote>
  <w:footnote w:id="1">
    <w:p w14:paraId="076B0997" w14:textId="77777777" w:rsidR="0015386A" w:rsidRDefault="0015386A" w:rsidP="005C0E29">
      <w:pPr>
        <w:pStyle w:val="FootnoteText"/>
      </w:pPr>
      <w:r>
        <w:rPr>
          <w:rStyle w:val="FootnoteReference"/>
        </w:rPr>
        <w:footnoteRef/>
      </w:r>
      <w:r>
        <w:t xml:space="preserve"> </w:t>
      </w:r>
      <w:r w:rsidRPr="004E7389">
        <w:t>http://www.iqnpath.org/</w:t>
      </w:r>
    </w:p>
  </w:footnote>
  <w:footnote w:id="2">
    <w:p w14:paraId="5BEA0A33" w14:textId="36C435D5" w:rsidR="0015386A" w:rsidRDefault="0015386A" w:rsidP="006E1118">
      <w:pPr>
        <w:pStyle w:val="FootnoteText"/>
      </w:pPr>
      <w:r>
        <w:rPr>
          <w:rStyle w:val="FootnoteReference"/>
        </w:rPr>
        <w:footnoteRef/>
      </w:r>
      <w:r>
        <w:t xml:space="preserve"> </w:t>
      </w:r>
      <w:r w:rsidRPr="003557C2">
        <w:t xml:space="preserve">Breast Cancer Network Australia: Triple negative breast cancer. Available from URL: </w:t>
      </w:r>
      <w:hyperlink r:id="rId1" w:tooltip="Link to BCNA website page for triple negative breast cancer" w:history="1">
        <w:r w:rsidRPr="00F7517D">
          <w:rPr>
            <w:rStyle w:val="Hyperlink"/>
          </w:rPr>
          <w:t>https://www.bcna.org.au/understanding-breast-cancer/what-is-breast-cancer/triple-negative-breast-cancer/</w:t>
        </w:r>
      </w:hyperlink>
      <w:r>
        <w:t xml:space="preserve"> </w:t>
      </w:r>
      <w:r w:rsidRPr="003557C2">
        <w:t>[accessed 24 October 2019].</w:t>
      </w:r>
    </w:p>
  </w:footnote>
  <w:footnote w:id="3">
    <w:p w14:paraId="3C962E87" w14:textId="77777777" w:rsidR="0015386A" w:rsidRDefault="0015386A" w:rsidP="006E1118">
      <w:pPr>
        <w:pStyle w:val="FootnoteText"/>
      </w:pPr>
      <w:r>
        <w:rPr>
          <w:rStyle w:val="FootnoteReference"/>
        </w:rPr>
        <w:footnoteRef/>
      </w:r>
      <w:r>
        <w:t xml:space="preserve"> </w:t>
      </w:r>
      <w:r w:rsidRPr="006973A7">
        <w:t>Mehanna, J, Haddad, FG, Eid, R, Lambertini, M &amp; Kourie, HR 2019, 'Triple-negative breast cancer: current perspective on the evolving therapeutic landscape', Int J Womens Health, vol. 11, pp. 431-437.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0255A7"/>
    <w:multiLevelType w:val="multilevel"/>
    <w:tmpl w:val="66F65AF0"/>
    <w:lvl w:ilvl="0">
      <w:start w:val="1"/>
      <w:numFmt w:val="bullet"/>
      <w:lvlText w:val=""/>
      <w:lvlJc w:val="left"/>
      <w:pPr>
        <w:ind w:left="717" w:hanging="360"/>
      </w:pPr>
      <w:rPr>
        <w:rFonts w:ascii="Symbol" w:hAnsi="Symbol" w:hint="default"/>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DB"/>
    <w:rsid w:val="00002312"/>
    <w:rsid w:val="00040B44"/>
    <w:rsid w:val="00050D12"/>
    <w:rsid w:val="00050F8E"/>
    <w:rsid w:val="00063896"/>
    <w:rsid w:val="0007531D"/>
    <w:rsid w:val="000A0292"/>
    <w:rsid w:val="000B5BDC"/>
    <w:rsid w:val="000B6FB4"/>
    <w:rsid w:val="000C6C38"/>
    <w:rsid w:val="000F5DF1"/>
    <w:rsid w:val="0012025A"/>
    <w:rsid w:val="0012408B"/>
    <w:rsid w:val="0012532E"/>
    <w:rsid w:val="001264F3"/>
    <w:rsid w:val="001526E4"/>
    <w:rsid w:val="0015386A"/>
    <w:rsid w:val="001548F6"/>
    <w:rsid w:val="00157CA1"/>
    <w:rsid w:val="001605A3"/>
    <w:rsid w:val="00164F97"/>
    <w:rsid w:val="00185E98"/>
    <w:rsid w:val="00193F47"/>
    <w:rsid w:val="001C18DB"/>
    <w:rsid w:val="001C19C0"/>
    <w:rsid w:val="00211473"/>
    <w:rsid w:val="00212D8A"/>
    <w:rsid w:val="002210C2"/>
    <w:rsid w:val="0023226B"/>
    <w:rsid w:val="00252889"/>
    <w:rsid w:val="00256918"/>
    <w:rsid w:val="00280050"/>
    <w:rsid w:val="00291E62"/>
    <w:rsid w:val="002D0AAA"/>
    <w:rsid w:val="002F0C03"/>
    <w:rsid w:val="00314B99"/>
    <w:rsid w:val="0031508E"/>
    <w:rsid w:val="0031578B"/>
    <w:rsid w:val="00324507"/>
    <w:rsid w:val="003275DD"/>
    <w:rsid w:val="003514DE"/>
    <w:rsid w:val="003B0F0E"/>
    <w:rsid w:val="003B1055"/>
    <w:rsid w:val="003C6BA2"/>
    <w:rsid w:val="003F4221"/>
    <w:rsid w:val="00452E95"/>
    <w:rsid w:val="004533AA"/>
    <w:rsid w:val="0047026F"/>
    <w:rsid w:val="0047788C"/>
    <w:rsid w:val="00481AE5"/>
    <w:rsid w:val="004A374C"/>
    <w:rsid w:val="004F1B2D"/>
    <w:rsid w:val="00502A74"/>
    <w:rsid w:val="005369FB"/>
    <w:rsid w:val="005473E2"/>
    <w:rsid w:val="0055141D"/>
    <w:rsid w:val="00582A98"/>
    <w:rsid w:val="005A0DAA"/>
    <w:rsid w:val="005B3A69"/>
    <w:rsid w:val="005C0E29"/>
    <w:rsid w:val="005D3915"/>
    <w:rsid w:val="005E0817"/>
    <w:rsid w:val="005F5982"/>
    <w:rsid w:val="00664679"/>
    <w:rsid w:val="00674AA2"/>
    <w:rsid w:val="00681ED5"/>
    <w:rsid w:val="0068712D"/>
    <w:rsid w:val="00687E5C"/>
    <w:rsid w:val="00694581"/>
    <w:rsid w:val="006965B8"/>
    <w:rsid w:val="006B110C"/>
    <w:rsid w:val="006E1118"/>
    <w:rsid w:val="006E3F01"/>
    <w:rsid w:val="007044B0"/>
    <w:rsid w:val="00715AC7"/>
    <w:rsid w:val="00732A99"/>
    <w:rsid w:val="0074623D"/>
    <w:rsid w:val="007511DB"/>
    <w:rsid w:val="00756666"/>
    <w:rsid w:val="007B37DD"/>
    <w:rsid w:val="007B5B05"/>
    <w:rsid w:val="007B7111"/>
    <w:rsid w:val="007B76A3"/>
    <w:rsid w:val="007D78EF"/>
    <w:rsid w:val="007F1846"/>
    <w:rsid w:val="008015E7"/>
    <w:rsid w:val="00810EDB"/>
    <w:rsid w:val="00812590"/>
    <w:rsid w:val="008603E5"/>
    <w:rsid w:val="0089223A"/>
    <w:rsid w:val="008A640A"/>
    <w:rsid w:val="008C7991"/>
    <w:rsid w:val="009200E2"/>
    <w:rsid w:val="00945505"/>
    <w:rsid w:val="00963516"/>
    <w:rsid w:val="00976DAD"/>
    <w:rsid w:val="009A3B0F"/>
    <w:rsid w:val="009C0D9A"/>
    <w:rsid w:val="009F127A"/>
    <w:rsid w:val="00A0279D"/>
    <w:rsid w:val="00A039EC"/>
    <w:rsid w:val="00A11B81"/>
    <w:rsid w:val="00A12B0E"/>
    <w:rsid w:val="00AA2ADC"/>
    <w:rsid w:val="00AB1AD9"/>
    <w:rsid w:val="00AC2A17"/>
    <w:rsid w:val="00AF7C9A"/>
    <w:rsid w:val="00B008C6"/>
    <w:rsid w:val="00B137CA"/>
    <w:rsid w:val="00B3578A"/>
    <w:rsid w:val="00B3669E"/>
    <w:rsid w:val="00B77910"/>
    <w:rsid w:val="00B90F39"/>
    <w:rsid w:val="00B964C8"/>
    <w:rsid w:val="00BC2558"/>
    <w:rsid w:val="00BE1B11"/>
    <w:rsid w:val="00BE1F87"/>
    <w:rsid w:val="00BE4369"/>
    <w:rsid w:val="00C53C71"/>
    <w:rsid w:val="00C87817"/>
    <w:rsid w:val="00CD637D"/>
    <w:rsid w:val="00CE474B"/>
    <w:rsid w:val="00D3312F"/>
    <w:rsid w:val="00D33C14"/>
    <w:rsid w:val="00D434FF"/>
    <w:rsid w:val="00D63DEE"/>
    <w:rsid w:val="00D67A48"/>
    <w:rsid w:val="00D754F4"/>
    <w:rsid w:val="00D86EF5"/>
    <w:rsid w:val="00DB38C1"/>
    <w:rsid w:val="00DC5E0A"/>
    <w:rsid w:val="00DC5F30"/>
    <w:rsid w:val="00DD3116"/>
    <w:rsid w:val="00E07763"/>
    <w:rsid w:val="00E4362C"/>
    <w:rsid w:val="00E54B79"/>
    <w:rsid w:val="00E66106"/>
    <w:rsid w:val="00E81BE4"/>
    <w:rsid w:val="00E83D27"/>
    <w:rsid w:val="00E84BDF"/>
    <w:rsid w:val="00EE46CD"/>
    <w:rsid w:val="00F0130D"/>
    <w:rsid w:val="00F14D14"/>
    <w:rsid w:val="00F14D6C"/>
    <w:rsid w:val="00F43B34"/>
    <w:rsid w:val="00F53151"/>
    <w:rsid w:val="00F61DC5"/>
    <w:rsid w:val="00F9264D"/>
    <w:rsid w:val="00FB7568"/>
    <w:rsid w:val="00FE1F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34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DB"/>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810EDB"/>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semiHidden/>
    <w:unhideWhenUsed/>
    <w:qFormat/>
    <w:rsid w:val="008015E7"/>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0EDB"/>
    <w:rPr>
      <w:rFonts w:ascii="Arial" w:eastAsia="Times New Roman" w:hAnsi="Arial"/>
      <w:b/>
      <w:bCs/>
      <w:szCs w:val="28"/>
      <w:lang w:eastAsia="en-AU"/>
    </w:rPr>
  </w:style>
  <w:style w:type="character" w:styleId="Hyperlink">
    <w:name w:val="Hyperlink"/>
    <w:basedOn w:val="DefaultParagraphFont"/>
    <w:uiPriority w:val="99"/>
    <w:rsid w:val="00810EDB"/>
    <w:rPr>
      <w:rFonts w:cs="Times New Roman"/>
      <w:color w:val="0000FF"/>
      <w:u w:val="single"/>
    </w:rPr>
  </w:style>
  <w:style w:type="paragraph" w:styleId="ListParagraph">
    <w:name w:val="List Paragraph"/>
    <w:basedOn w:val="Normal"/>
    <w:uiPriority w:val="99"/>
    <w:qFormat/>
    <w:rsid w:val="00810EDB"/>
    <w:pPr>
      <w:ind w:left="720"/>
      <w:contextualSpacing/>
    </w:pPr>
  </w:style>
  <w:style w:type="paragraph" w:styleId="Footer">
    <w:name w:val="footer"/>
    <w:basedOn w:val="Normal"/>
    <w:link w:val="FooterChar"/>
    <w:uiPriority w:val="99"/>
    <w:rsid w:val="00810EDB"/>
    <w:pPr>
      <w:tabs>
        <w:tab w:val="center" w:pos="4513"/>
        <w:tab w:val="right" w:pos="9026"/>
      </w:tabs>
    </w:pPr>
  </w:style>
  <w:style w:type="character" w:customStyle="1" w:styleId="FooterChar">
    <w:name w:val="Footer Char"/>
    <w:basedOn w:val="DefaultParagraphFont"/>
    <w:link w:val="Footer"/>
    <w:uiPriority w:val="99"/>
    <w:rsid w:val="00810EDB"/>
    <w:rPr>
      <w:rFonts w:eastAsia="Times New Roman"/>
      <w:szCs w:val="20"/>
      <w:lang w:eastAsia="en-AU"/>
    </w:rPr>
  </w:style>
  <w:style w:type="paragraph" w:customStyle="1" w:styleId="Default">
    <w:name w:val="Default"/>
    <w:rsid w:val="00810EDB"/>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810EDB"/>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810EDB"/>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810EDB"/>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810EDB"/>
    <w:rPr>
      <w:rFonts w:ascii="Arial" w:eastAsia="Times New Roman" w:hAnsi="Arial" w:cs="Arial"/>
      <w:b/>
      <w:bCs/>
      <w:i/>
      <w:color w:val="000080"/>
      <w:sz w:val="28"/>
      <w:szCs w:val="28"/>
      <w:lang w:eastAsia="en-AU"/>
    </w:rPr>
  </w:style>
  <w:style w:type="table" w:styleId="TableGrid">
    <w:name w:val="Table Grid"/>
    <w:aliases w:val="Summary box,Table Gridbeth,CMA Table Template,ASD Table"/>
    <w:basedOn w:val="TableNormal"/>
    <w:uiPriority w:val="39"/>
    <w:rsid w:val="00810EDB"/>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ACESParagraphChar">
    <w:name w:val="MSAC ES Paragraph Char"/>
    <w:basedOn w:val="DefaultParagraphFont"/>
    <w:link w:val="MSACESParagraph"/>
    <w:uiPriority w:val="1"/>
    <w:locked/>
    <w:rsid w:val="008015E7"/>
  </w:style>
  <w:style w:type="paragraph" w:customStyle="1" w:styleId="MSACESParagraph">
    <w:name w:val="MSAC ES Paragraph"/>
    <w:link w:val="MSACESParagraphChar"/>
    <w:uiPriority w:val="1"/>
    <w:qFormat/>
    <w:rsid w:val="008015E7"/>
    <w:pPr>
      <w:spacing w:after="240" w:line="240" w:lineRule="auto"/>
    </w:pPr>
  </w:style>
  <w:style w:type="character" w:customStyle="1" w:styleId="MSACESBulletPointChar">
    <w:name w:val="MSAC ES Bullet Point Char"/>
    <w:basedOn w:val="MSACESParagraphChar"/>
    <w:link w:val="MSACESBulletPoint"/>
    <w:uiPriority w:val="1"/>
    <w:locked/>
    <w:rsid w:val="008015E7"/>
  </w:style>
  <w:style w:type="paragraph" w:customStyle="1" w:styleId="MSACESBulletPoint">
    <w:name w:val="MSAC ES Bullet Point"/>
    <w:basedOn w:val="MSACESParagraph"/>
    <w:link w:val="MSACESBulletPointChar"/>
    <w:uiPriority w:val="1"/>
    <w:qFormat/>
    <w:rsid w:val="008015E7"/>
    <w:pPr>
      <w:numPr>
        <w:numId w:val="4"/>
      </w:numPr>
      <w:spacing w:before="120" w:after="120"/>
    </w:pPr>
  </w:style>
  <w:style w:type="paragraph" w:customStyle="1" w:styleId="InstructionalText">
    <w:name w:val="Instructional Text"/>
    <w:basedOn w:val="Normal"/>
    <w:link w:val="InstructionalTextChar"/>
    <w:uiPriority w:val="3"/>
    <w:qFormat/>
    <w:rsid w:val="008015E7"/>
    <w:pPr>
      <w:spacing w:before="120" w:after="160"/>
      <w:jc w:val="both"/>
    </w:pPr>
    <w:rPr>
      <w:rFonts w:asciiTheme="minorHAnsi" w:eastAsiaTheme="minorHAnsi" w:hAnsiTheme="minorHAnsi" w:cstheme="minorBidi"/>
      <w:color w:val="0070C0"/>
      <w:szCs w:val="22"/>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next w:val="Normal"/>
    <w:link w:val="CaptionChar"/>
    <w:uiPriority w:val="1"/>
    <w:qFormat/>
    <w:rsid w:val="008015E7"/>
    <w:pPr>
      <w:keepNext/>
      <w:tabs>
        <w:tab w:val="left" w:pos="1276"/>
      </w:tabs>
      <w:spacing w:before="40" w:after="0"/>
      <w:ind w:left="851" w:hanging="851"/>
      <w:contextualSpacing/>
      <w:jc w:val="both"/>
      <w:outlineLvl w:val="4"/>
    </w:pPr>
    <w:rPr>
      <w:rFonts w:ascii="Arial Narrow" w:hAnsi="Arial Narrow" w:cstheme="minorBidi"/>
      <w:b/>
      <w:iCs/>
      <w:sz w:val="20"/>
      <w:szCs w:val="18"/>
    </w:rPr>
  </w:style>
  <w:style w:type="character" w:customStyle="1" w:styleId="InstructionalTextChar">
    <w:name w:val="Instructional Text Char"/>
    <w:basedOn w:val="DefaultParagraphFont"/>
    <w:link w:val="InstructionalText"/>
    <w:uiPriority w:val="3"/>
    <w:rsid w:val="008015E7"/>
    <w:rPr>
      <w:rFonts w:asciiTheme="minorHAnsi" w:hAnsiTheme="minorHAnsi" w:cstheme="minorBidi"/>
      <w:color w:val="0070C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35"/>
    <w:rsid w:val="008015E7"/>
    <w:rPr>
      <w:rFonts w:ascii="Arial Narrow" w:hAnsi="Arial Narrow" w:cstheme="minorBidi"/>
      <w:b/>
      <w:iCs/>
      <w:sz w:val="20"/>
      <w:szCs w:val="18"/>
    </w:rPr>
  </w:style>
  <w:style w:type="paragraph" w:customStyle="1" w:styleId="TableFooter">
    <w:name w:val="Table Footer"/>
    <w:basedOn w:val="Normal"/>
    <w:link w:val="TableFooterChar"/>
    <w:qFormat/>
    <w:rsid w:val="008015E7"/>
    <w:pPr>
      <w:widowControl w:val="0"/>
      <w:spacing w:after="240"/>
      <w:contextualSpacing/>
      <w:jc w:val="both"/>
    </w:pPr>
    <w:rPr>
      <w:rFonts w:ascii="Arial Narrow" w:hAnsi="Arial Narrow" w:cs="Arial"/>
      <w:snapToGrid w:val="0"/>
      <w:color w:val="000000" w:themeColor="text1"/>
      <w:sz w:val="18"/>
      <w:lang w:eastAsia="en-US"/>
    </w:rPr>
  </w:style>
  <w:style w:type="character" w:customStyle="1" w:styleId="TableFooterChar">
    <w:name w:val="Table Footer Char"/>
    <w:link w:val="TableFooter"/>
    <w:rsid w:val="008015E7"/>
    <w:rPr>
      <w:rFonts w:ascii="Arial Narrow" w:eastAsia="Times New Roman" w:hAnsi="Arial Narrow" w:cs="Arial"/>
      <w:snapToGrid w:val="0"/>
      <w:color w:val="000000" w:themeColor="text1"/>
      <w:sz w:val="18"/>
      <w:szCs w:val="20"/>
    </w:rPr>
  </w:style>
  <w:style w:type="paragraph" w:customStyle="1" w:styleId="TableText">
    <w:name w:val="Table Text"/>
    <w:basedOn w:val="Normal"/>
    <w:link w:val="TableTextChar"/>
    <w:qFormat/>
    <w:rsid w:val="008015E7"/>
    <w:pPr>
      <w:widowControl w:val="0"/>
      <w:spacing w:before="40" w:after="40" w:line="256" w:lineRule="auto"/>
    </w:pPr>
    <w:rPr>
      <w:rFonts w:ascii="Arial Narrow" w:eastAsiaTheme="minorHAnsi" w:hAnsi="Arial Narrow" w:cstheme="minorBidi"/>
      <w:color w:val="000000" w:themeColor="text1"/>
      <w:sz w:val="20"/>
      <w:szCs w:val="22"/>
      <w:lang w:eastAsia="en-US"/>
    </w:rPr>
  </w:style>
  <w:style w:type="character" w:customStyle="1" w:styleId="TableTextChar">
    <w:name w:val="Table Text Char"/>
    <w:link w:val="TableText"/>
    <w:rsid w:val="008015E7"/>
    <w:rPr>
      <w:rFonts w:ascii="Arial Narrow" w:hAnsi="Arial Narrow" w:cstheme="minorBidi"/>
      <w:color w:val="000000" w:themeColor="text1"/>
      <w:sz w:val="20"/>
      <w:szCs w:val="22"/>
    </w:rPr>
  </w:style>
  <w:style w:type="character" w:customStyle="1" w:styleId="Heading2Char">
    <w:name w:val="Heading 2 Char"/>
    <w:basedOn w:val="DefaultParagraphFont"/>
    <w:link w:val="Heading2"/>
    <w:uiPriority w:val="9"/>
    <w:semiHidden/>
    <w:rsid w:val="008015E7"/>
    <w:rPr>
      <w:rFonts w:eastAsiaTheme="majorEastAsia" w:cstheme="majorBidi"/>
      <w:i/>
      <w:szCs w:val="26"/>
      <w:lang w:eastAsia="en-AU"/>
    </w:rPr>
  </w:style>
  <w:style w:type="paragraph" w:styleId="FootnoteText">
    <w:name w:val="footnote text"/>
    <w:basedOn w:val="Normal"/>
    <w:link w:val="FootnoteTextChar"/>
    <w:uiPriority w:val="99"/>
    <w:semiHidden/>
    <w:rsid w:val="008015E7"/>
    <w:rPr>
      <w:sz w:val="20"/>
    </w:rPr>
  </w:style>
  <w:style w:type="character" w:customStyle="1" w:styleId="FootnoteTextChar">
    <w:name w:val="Footnote Text Char"/>
    <w:basedOn w:val="DefaultParagraphFont"/>
    <w:link w:val="FootnoteText"/>
    <w:uiPriority w:val="99"/>
    <w:semiHidden/>
    <w:rsid w:val="008015E7"/>
    <w:rPr>
      <w:rFonts w:eastAsia="Times New Roman"/>
      <w:sz w:val="20"/>
      <w:szCs w:val="20"/>
      <w:lang w:eastAsia="en-AU"/>
    </w:rPr>
  </w:style>
  <w:style w:type="character" w:styleId="FootnoteReference">
    <w:name w:val="footnote reference"/>
    <w:basedOn w:val="DefaultParagraphFont"/>
    <w:uiPriority w:val="99"/>
    <w:semiHidden/>
    <w:rsid w:val="008015E7"/>
    <w:rPr>
      <w:rFonts w:cs="Times New Roman"/>
      <w:vertAlign w:val="superscript"/>
    </w:rPr>
  </w:style>
  <w:style w:type="paragraph" w:customStyle="1" w:styleId="TableText0">
    <w:name w:val="TableText"/>
    <w:basedOn w:val="Normal"/>
    <w:link w:val="TableTextChar0"/>
    <w:uiPriority w:val="3"/>
    <w:qFormat/>
    <w:rsid w:val="008603E5"/>
    <w:pPr>
      <w:spacing w:before="40" w:after="40"/>
    </w:pPr>
    <w:rPr>
      <w:rFonts w:ascii="Calibri" w:hAnsi="Calibri" w:cstheme="minorHAnsi"/>
      <w:bCs/>
      <w:color w:val="000000" w:themeColor="text1"/>
      <w:sz w:val="20"/>
      <w:lang w:eastAsia="en-US"/>
    </w:rPr>
  </w:style>
  <w:style w:type="character" w:customStyle="1" w:styleId="TableTextChar0">
    <w:name w:val="TableText Char"/>
    <w:basedOn w:val="DefaultParagraphFont"/>
    <w:link w:val="TableText0"/>
    <w:uiPriority w:val="3"/>
    <w:rsid w:val="008603E5"/>
    <w:rPr>
      <w:rFonts w:ascii="Calibri" w:eastAsia="Times New Roman" w:hAnsi="Calibri" w:cstheme="minorHAnsi"/>
      <w:bCs/>
      <w:color w:val="000000" w:themeColor="text1"/>
      <w:sz w:val="20"/>
      <w:szCs w:val="20"/>
    </w:rPr>
  </w:style>
  <w:style w:type="paragraph" w:customStyle="1" w:styleId="TableHeadingRow">
    <w:name w:val="TableHeadingRow"/>
    <w:basedOn w:val="Normal"/>
    <w:uiPriority w:val="3"/>
    <w:qFormat/>
    <w:rsid w:val="008603E5"/>
    <w:pPr>
      <w:keepNext/>
      <w:spacing w:before="20" w:after="20"/>
    </w:pPr>
    <w:rPr>
      <w:rFonts w:ascii="Calibri" w:hAnsi="Calibri" w:cstheme="minorHAnsi"/>
      <w:b/>
      <w:sz w:val="20"/>
      <w:lang w:eastAsia="en-US"/>
    </w:rPr>
  </w:style>
  <w:style w:type="character" w:styleId="CommentReference">
    <w:name w:val="annotation reference"/>
    <w:basedOn w:val="DefaultParagraphFont"/>
    <w:uiPriority w:val="99"/>
    <w:semiHidden/>
    <w:rsid w:val="008603E5"/>
    <w:rPr>
      <w:rFonts w:cs="Times New Roman"/>
      <w:sz w:val="16"/>
      <w:szCs w:val="16"/>
    </w:rPr>
  </w:style>
  <w:style w:type="paragraph" w:styleId="CommentText">
    <w:name w:val="annotation text"/>
    <w:basedOn w:val="Normal"/>
    <w:link w:val="CommentTextChar"/>
    <w:uiPriority w:val="99"/>
    <w:semiHidden/>
    <w:rsid w:val="008603E5"/>
    <w:rPr>
      <w:sz w:val="20"/>
    </w:rPr>
  </w:style>
  <w:style w:type="character" w:customStyle="1" w:styleId="CommentTextChar">
    <w:name w:val="Comment Text Char"/>
    <w:basedOn w:val="DefaultParagraphFont"/>
    <w:link w:val="CommentText"/>
    <w:uiPriority w:val="99"/>
    <w:semiHidden/>
    <w:rsid w:val="008603E5"/>
    <w:rPr>
      <w:rFonts w:eastAsia="Times New Roman"/>
      <w:sz w:val="20"/>
      <w:szCs w:val="20"/>
      <w:lang w:eastAsia="en-AU"/>
    </w:rPr>
  </w:style>
  <w:style w:type="table" w:customStyle="1" w:styleId="TableGrid2">
    <w:name w:val="Table Grid2"/>
    <w:basedOn w:val="TableNormal"/>
    <w:next w:val="TableGrid"/>
    <w:uiPriority w:val="39"/>
    <w:rsid w:val="008603E5"/>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E5"/>
    <w:rPr>
      <w:rFonts w:ascii="Segoe UI" w:eastAsia="Times New Roman" w:hAnsi="Segoe UI" w:cs="Segoe UI"/>
      <w:sz w:val="18"/>
      <w:szCs w:val="18"/>
      <w:lang w:eastAsia="en-AU"/>
    </w:rPr>
  </w:style>
  <w:style w:type="table" w:customStyle="1" w:styleId="PBACTableStyle">
    <w:name w:val="PBAC Table Style"/>
    <w:basedOn w:val="TableGrid1"/>
    <w:uiPriority w:val="99"/>
    <w:rsid w:val="008603E5"/>
    <w:pPr>
      <w:widowControl w:val="0"/>
      <w:spacing w:before="120"/>
      <w:contextualSpacing/>
      <w:jc w:val="center"/>
    </w:pPr>
    <w:rPr>
      <w:rFonts w:ascii="Arial Narrow" w:hAnsi="Arial Narrow" w:cstheme="minorBidi"/>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uiPriority w:val="99"/>
    <w:semiHidden/>
    <w:unhideWhenUsed/>
    <w:rsid w:val="008603E5"/>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8603E5"/>
    <w:pPr>
      <w:tabs>
        <w:tab w:val="decimal" w:pos="396"/>
      </w:tabs>
      <w:jc w:val="center"/>
    </w:pPr>
  </w:style>
  <w:style w:type="character" w:customStyle="1" w:styleId="TableNumberChar">
    <w:name w:val="Table Number Char"/>
    <w:basedOn w:val="TableTextChar"/>
    <w:link w:val="TableNumber"/>
    <w:rsid w:val="008603E5"/>
    <w:rPr>
      <w:rFonts w:ascii="Arial Narrow" w:hAnsi="Arial Narrow" w:cstheme="minorBidi"/>
      <w:color w:val="000000" w:themeColor="text1"/>
      <w:sz w:val="20"/>
      <w:szCs w:val="22"/>
    </w:rPr>
  </w:style>
  <w:style w:type="table" w:customStyle="1" w:styleId="Summarybox1">
    <w:name w:val="Summary box1"/>
    <w:basedOn w:val="TableNormal"/>
    <w:next w:val="TableGrid"/>
    <w:uiPriority w:val="59"/>
    <w:rsid w:val="008603E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B0F0E"/>
    <w:rPr>
      <w:b/>
      <w:bCs/>
    </w:rPr>
  </w:style>
  <w:style w:type="character" w:customStyle="1" w:styleId="CommentSubjectChar">
    <w:name w:val="Comment Subject Char"/>
    <w:basedOn w:val="CommentTextChar"/>
    <w:link w:val="CommentSubject"/>
    <w:uiPriority w:val="99"/>
    <w:semiHidden/>
    <w:rsid w:val="003B0F0E"/>
    <w:rPr>
      <w:rFonts w:eastAsia="Times New Roman"/>
      <w:b/>
      <w:bCs/>
      <w:sz w:val="20"/>
      <w:szCs w:val="20"/>
      <w:lang w:eastAsia="en-AU"/>
    </w:rPr>
  </w:style>
  <w:style w:type="paragraph" w:customStyle="1" w:styleId="BulletBeforeDash">
    <w:name w:val="BulletBeforeDash"/>
    <w:basedOn w:val="Normal"/>
    <w:rsid w:val="005F5982"/>
    <w:pPr>
      <w:numPr>
        <w:numId w:val="6"/>
      </w:numPr>
      <w:ind w:left="720"/>
    </w:pPr>
    <w:rPr>
      <w:color w:val="000000"/>
    </w:rPr>
  </w:style>
  <w:style w:type="paragraph" w:customStyle="1" w:styleId="Bullet">
    <w:name w:val="Bullet"/>
    <w:basedOn w:val="BulletBeforeDash"/>
    <w:qFormat/>
    <w:rsid w:val="005F5982"/>
    <w:pPr>
      <w:spacing w:after="120"/>
    </w:pPr>
  </w:style>
  <w:style w:type="paragraph" w:customStyle="1" w:styleId="BulletLast">
    <w:name w:val="BulletLast"/>
    <w:basedOn w:val="Bullet"/>
    <w:qFormat/>
    <w:rsid w:val="005F5982"/>
    <w:pPr>
      <w:spacing w:after="240"/>
    </w:pPr>
  </w:style>
  <w:style w:type="paragraph" w:customStyle="1" w:styleId="NormalBeforeBullet">
    <w:name w:val="NormalBeforeBullet"/>
    <w:basedOn w:val="Normal"/>
    <w:qFormat/>
    <w:rsid w:val="005F5982"/>
    <w:pPr>
      <w:keepNext/>
      <w:spacing w:after="120"/>
    </w:pPr>
    <w:rPr>
      <w:color w:val="000000"/>
    </w:rPr>
  </w:style>
  <w:style w:type="paragraph" w:styleId="Header">
    <w:name w:val="header"/>
    <w:basedOn w:val="Normal"/>
    <w:link w:val="HeaderChar"/>
    <w:uiPriority w:val="99"/>
    <w:unhideWhenUsed/>
    <w:rsid w:val="0012408B"/>
    <w:pPr>
      <w:tabs>
        <w:tab w:val="center" w:pos="4513"/>
        <w:tab w:val="right" w:pos="9026"/>
      </w:tabs>
    </w:pPr>
  </w:style>
  <w:style w:type="character" w:customStyle="1" w:styleId="HeaderChar">
    <w:name w:val="Header Char"/>
    <w:basedOn w:val="DefaultParagraphFont"/>
    <w:link w:val="Header"/>
    <w:uiPriority w:val="99"/>
    <w:rsid w:val="0012408B"/>
    <w:rPr>
      <w:rFonts w:eastAsia="Times New Roman"/>
      <w:szCs w:val="20"/>
      <w:lang w:eastAsia="en-AU"/>
    </w:rPr>
  </w:style>
  <w:style w:type="paragraph" w:styleId="Revision">
    <w:name w:val="Revision"/>
    <w:hidden/>
    <w:uiPriority w:val="99"/>
    <w:semiHidden/>
    <w:rsid w:val="000B6FB4"/>
    <w:pPr>
      <w:spacing w:after="0" w:line="240" w:lineRule="auto"/>
    </w:pPr>
    <w:rPr>
      <w:rFonts w:eastAsia="Times New Roman"/>
      <w:szCs w:val="20"/>
      <w:lang w:eastAsia="en-AU"/>
    </w:rPr>
  </w:style>
  <w:style w:type="character" w:styleId="FollowedHyperlink">
    <w:name w:val="FollowedHyperlink"/>
    <w:basedOn w:val="DefaultParagraphFont"/>
    <w:uiPriority w:val="99"/>
    <w:semiHidden/>
    <w:unhideWhenUsed/>
    <w:rsid w:val="00B90F3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EDB"/>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810EDB"/>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semiHidden/>
    <w:unhideWhenUsed/>
    <w:qFormat/>
    <w:rsid w:val="008015E7"/>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0EDB"/>
    <w:rPr>
      <w:rFonts w:ascii="Arial" w:eastAsia="Times New Roman" w:hAnsi="Arial"/>
      <w:b/>
      <w:bCs/>
      <w:szCs w:val="28"/>
      <w:lang w:eastAsia="en-AU"/>
    </w:rPr>
  </w:style>
  <w:style w:type="character" w:styleId="Hyperlink">
    <w:name w:val="Hyperlink"/>
    <w:basedOn w:val="DefaultParagraphFont"/>
    <w:uiPriority w:val="99"/>
    <w:rsid w:val="00810EDB"/>
    <w:rPr>
      <w:rFonts w:cs="Times New Roman"/>
      <w:color w:val="0000FF"/>
      <w:u w:val="single"/>
    </w:rPr>
  </w:style>
  <w:style w:type="paragraph" w:styleId="ListParagraph">
    <w:name w:val="List Paragraph"/>
    <w:basedOn w:val="Normal"/>
    <w:uiPriority w:val="99"/>
    <w:qFormat/>
    <w:rsid w:val="00810EDB"/>
    <w:pPr>
      <w:ind w:left="720"/>
      <w:contextualSpacing/>
    </w:pPr>
  </w:style>
  <w:style w:type="paragraph" w:styleId="Footer">
    <w:name w:val="footer"/>
    <w:basedOn w:val="Normal"/>
    <w:link w:val="FooterChar"/>
    <w:uiPriority w:val="99"/>
    <w:rsid w:val="00810EDB"/>
    <w:pPr>
      <w:tabs>
        <w:tab w:val="center" w:pos="4513"/>
        <w:tab w:val="right" w:pos="9026"/>
      </w:tabs>
    </w:pPr>
  </w:style>
  <w:style w:type="character" w:customStyle="1" w:styleId="FooterChar">
    <w:name w:val="Footer Char"/>
    <w:basedOn w:val="DefaultParagraphFont"/>
    <w:link w:val="Footer"/>
    <w:uiPriority w:val="99"/>
    <w:rsid w:val="00810EDB"/>
    <w:rPr>
      <w:rFonts w:eastAsia="Times New Roman"/>
      <w:szCs w:val="20"/>
      <w:lang w:eastAsia="en-AU"/>
    </w:rPr>
  </w:style>
  <w:style w:type="paragraph" w:customStyle="1" w:styleId="Default">
    <w:name w:val="Default"/>
    <w:rsid w:val="00810EDB"/>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810EDB"/>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810EDB"/>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810EDB"/>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810EDB"/>
    <w:rPr>
      <w:rFonts w:ascii="Arial" w:eastAsia="Times New Roman" w:hAnsi="Arial" w:cs="Arial"/>
      <w:b/>
      <w:bCs/>
      <w:i/>
      <w:color w:val="000080"/>
      <w:sz w:val="28"/>
      <w:szCs w:val="28"/>
      <w:lang w:eastAsia="en-AU"/>
    </w:rPr>
  </w:style>
  <w:style w:type="table" w:styleId="TableGrid">
    <w:name w:val="Table Grid"/>
    <w:aliases w:val="Summary box,Table Gridbeth,CMA Table Template,ASD Table"/>
    <w:basedOn w:val="TableNormal"/>
    <w:uiPriority w:val="39"/>
    <w:rsid w:val="00810EDB"/>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ACESParagraphChar">
    <w:name w:val="MSAC ES Paragraph Char"/>
    <w:basedOn w:val="DefaultParagraphFont"/>
    <w:link w:val="MSACESParagraph"/>
    <w:uiPriority w:val="1"/>
    <w:locked/>
    <w:rsid w:val="008015E7"/>
  </w:style>
  <w:style w:type="paragraph" w:customStyle="1" w:styleId="MSACESParagraph">
    <w:name w:val="MSAC ES Paragraph"/>
    <w:link w:val="MSACESParagraphChar"/>
    <w:uiPriority w:val="1"/>
    <w:qFormat/>
    <w:rsid w:val="008015E7"/>
    <w:pPr>
      <w:spacing w:after="240" w:line="240" w:lineRule="auto"/>
    </w:pPr>
  </w:style>
  <w:style w:type="character" w:customStyle="1" w:styleId="MSACESBulletPointChar">
    <w:name w:val="MSAC ES Bullet Point Char"/>
    <w:basedOn w:val="MSACESParagraphChar"/>
    <w:link w:val="MSACESBulletPoint"/>
    <w:uiPriority w:val="1"/>
    <w:locked/>
    <w:rsid w:val="008015E7"/>
  </w:style>
  <w:style w:type="paragraph" w:customStyle="1" w:styleId="MSACESBulletPoint">
    <w:name w:val="MSAC ES Bullet Point"/>
    <w:basedOn w:val="MSACESParagraph"/>
    <w:link w:val="MSACESBulletPointChar"/>
    <w:uiPriority w:val="1"/>
    <w:qFormat/>
    <w:rsid w:val="008015E7"/>
    <w:pPr>
      <w:numPr>
        <w:numId w:val="4"/>
      </w:numPr>
      <w:spacing w:before="120" w:after="120"/>
    </w:pPr>
  </w:style>
  <w:style w:type="paragraph" w:customStyle="1" w:styleId="InstructionalText">
    <w:name w:val="Instructional Text"/>
    <w:basedOn w:val="Normal"/>
    <w:link w:val="InstructionalTextChar"/>
    <w:uiPriority w:val="3"/>
    <w:qFormat/>
    <w:rsid w:val="008015E7"/>
    <w:pPr>
      <w:spacing w:before="120" w:after="160"/>
      <w:jc w:val="both"/>
    </w:pPr>
    <w:rPr>
      <w:rFonts w:asciiTheme="minorHAnsi" w:eastAsiaTheme="minorHAnsi" w:hAnsiTheme="minorHAnsi" w:cstheme="minorBidi"/>
      <w:color w:val="0070C0"/>
      <w:szCs w:val="22"/>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next w:val="Normal"/>
    <w:link w:val="CaptionChar"/>
    <w:uiPriority w:val="1"/>
    <w:qFormat/>
    <w:rsid w:val="008015E7"/>
    <w:pPr>
      <w:keepNext/>
      <w:tabs>
        <w:tab w:val="left" w:pos="1276"/>
      </w:tabs>
      <w:spacing w:before="40" w:after="0"/>
      <w:ind w:left="851" w:hanging="851"/>
      <w:contextualSpacing/>
      <w:jc w:val="both"/>
      <w:outlineLvl w:val="4"/>
    </w:pPr>
    <w:rPr>
      <w:rFonts w:ascii="Arial Narrow" w:hAnsi="Arial Narrow" w:cstheme="minorBidi"/>
      <w:b/>
      <w:iCs/>
      <w:sz w:val="20"/>
      <w:szCs w:val="18"/>
    </w:rPr>
  </w:style>
  <w:style w:type="character" w:customStyle="1" w:styleId="InstructionalTextChar">
    <w:name w:val="Instructional Text Char"/>
    <w:basedOn w:val="DefaultParagraphFont"/>
    <w:link w:val="InstructionalText"/>
    <w:uiPriority w:val="3"/>
    <w:rsid w:val="008015E7"/>
    <w:rPr>
      <w:rFonts w:asciiTheme="minorHAnsi" w:hAnsiTheme="minorHAnsi" w:cstheme="minorBidi"/>
      <w:color w:val="0070C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35"/>
    <w:rsid w:val="008015E7"/>
    <w:rPr>
      <w:rFonts w:ascii="Arial Narrow" w:hAnsi="Arial Narrow" w:cstheme="minorBidi"/>
      <w:b/>
      <w:iCs/>
      <w:sz w:val="20"/>
      <w:szCs w:val="18"/>
    </w:rPr>
  </w:style>
  <w:style w:type="paragraph" w:customStyle="1" w:styleId="TableFooter">
    <w:name w:val="Table Footer"/>
    <w:basedOn w:val="Normal"/>
    <w:link w:val="TableFooterChar"/>
    <w:qFormat/>
    <w:rsid w:val="008015E7"/>
    <w:pPr>
      <w:widowControl w:val="0"/>
      <w:spacing w:after="240"/>
      <w:contextualSpacing/>
      <w:jc w:val="both"/>
    </w:pPr>
    <w:rPr>
      <w:rFonts w:ascii="Arial Narrow" w:hAnsi="Arial Narrow" w:cs="Arial"/>
      <w:snapToGrid w:val="0"/>
      <w:color w:val="000000" w:themeColor="text1"/>
      <w:sz w:val="18"/>
      <w:lang w:eastAsia="en-US"/>
    </w:rPr>
  </w:style>
  <w:style w:type="character" w:customStyle="1" w:styleId="TableFooterChar">
    <w:name w:val="Table Footer Char"/>
    <w:link w:val="TableFooter"/>
    <w:rsid w:val="008015E7"/>
    <w:rPr>
      <w:rFonts w:ascii="Arial Narrow" w:eastAsia="Times New Roman" w:hAnsi="Arial Narrow" w:cs="Arial"/>
      <w:snapToGrid w:val="0"/>
      <w:color w:val="000000" w:themeColor="text1"/>
      <w:sz w:val="18"/>
      <w:szCs w:val="20"/>
    </w:rPr>
  </w:style>
  <w:style w:type="paragraph" w:customStyle="1" w:styleId="TableText">
    <w:name w:val="Table Text"/>
    <w:basedOn w:val="Normal"/>
    <w:link w:val="TableTextChar"/>
    <w:qFormat/>
    <w:rsid w:val="008015E7"/>
    <w:pPr>
      <w:widowControl w:val="0"/>
      <w:spacing w:before="40" w:after="40" w:line="256" w:lineRule="auto"/>
    </w:pPr>
    <w:rPr>
      <w:rFonts w:ascii="Arial Narrow" w:eastAsiaTheme="minorHAnsi" w:hAnsi="Arial Narrow" w:cstheme="minorBidi"/>
      <w:color w:val="000000" w:themeColor="text1"/>
      <w:sz w:val="20"/>
      <w:szCs w:val="22"/>
      <w:lang w:eastAsia="en-US"/>
    </w:rPr>
  </w:style>
  <w:style w:type="character" w:customStyle="1" w:styleId="TableTextChar">
    <w:name w:val="Table Text Char"/>
    <w:link w:val="TableText"/>
    <w:rsid w:val="008015E7"/>
    <w:rPr>
      <w:rFonts w:ascii="Arial Narrow" w:hAnsi="Arial Narrow" w:cstheme="minorBidi"/>
      <w:color w:val="000000" w:themeColor="text1"/>
      <w:sz w:val="20"/>
      <w:szCs w:val="22"/>
    </w:rPr>
  </w:style>
  <w:style w:type="character" w:customStyle="1" w:styleId="Heading2Char">
    <w:name w:val="Heading 2 Char"/>
    <w:basedOn w:val="DefaultParagraphFont"/>
    <w:link w:val="Heading2"/>
    <w:uiPriority w:val="9"/>
    <w:semiHidden/>
    <w:rsid w:val="008015E7"/>
    <w:rPr>
      <w:rFonts w:eastAsiaTheme="majorEastAsia" w:cstheme="majorBidi"/>
      <w:i/>
      <w:szCs w:val="26"/>
      <w:lang w:eastAsia="en-AU"/>
    </w:rPr>
  </w:style>
  <w:style w:type="paragraph" w:styleId="FootnoteText">
    <w:name w:val="footnote text"/>
    <w:basedOn w:val="Normal"/>
    <w:link w:val="FootnoteTextChar"/>
    <w:uiPriority w:val="99"/>
    <w:semiHidden/>
    <w:rsid w:val="008015E7"/>
    <w:rPr>
      <w:sz w:val="20"/>
    </w:rPr>
  </w:style>
  <w:style w:type="character" w:customStyle="1" w:styleId="FootnoteTextChar">
    <w:name w:val="Footnote Text Char"/>
    <w:basedOn w:val="DefaultParagraphFont"/>
    <w:link w:val="FootnoteText"/>
    <w:uiPriority w:val="99"/>
    <w:semiHidden/>
    <w:rsid w:val="008015E7"/>
    <w:rPr>
      <w:rFonts w:eastAsia="Times New Roman"/>
      <w:sz w:val="20"/>
      <w:szCs w:val="20"/>
      <w:lang w:eastAsia="en-AU"/>
    </w:rPr>
  </w:style>
  <w:style w:type="character" w:styleId="FootnoteReference">
    <w:name w:val="footnote reference"/>
    <w:basedOn w:val="DefaultParagraphFont"/>
    <w:uiPriority w:val="99"/>
    <w:semiHidden/>
    <w:rsid w:val="008015E7"/>
    <w:rPr>
      <w:rFonts w:cs="Times New Roman"/>
      <w:vertAlign w:val="superscript"/>
    </w:rPr>
  </w:style>
  <w:style w:type="paragraph" w:customStyle="1" w:styleId="TableText0">
    <w:name w:val="TableText"/>
    <w:basedOn w:val="Normal"/>
    <w:link w:val="TableTextChar0"/>
    <w:uiPriority w:val="3"/>
    <w:qFormat/>
    <w:rsid w:val="008603E5"/>
    <w:pPr>
      <w:spacing w:before="40" w:after="40"/>
    </w:pPr>
    <w:rPr>
      <w:rFonts w:ascii="Calibri" w:hAnsi="Calibri" w:cstheme="minorHAnsi"/>
      <w:bCs/>
      <w:color w:val="000000" w:themeColor="text1"/>
      <w:sz w:val="20"/>
      <w:lang w:eastAsia="en-US"/>
    </w:rPr>
  </w:style>
  <w:style w:type="character" w:customStyle="1" w:styleId="TableTextChar0">
    <w:name w:val="TableText Char"/>
    <w:basedOn w:val="DefaultParagraphFont"/>
    <w:link w:val="TableText0"/>
    <w:uiPriority w:val="3"/>
    <w:rsid w:val="008603E5"/>
    <w:rPr>
      <w:rFonts w:ascii="Calibri" w:eastAsia="Times New Roman" w:hAnsi="Calibri" w:cstheme="minorHAnsi"/>
      <w:bCs/>
      <w:color w:val="000000" w:themeColor="text1"/>
      <w:sz w:val="20"/>
      <w:szCs w:val="20"/>
    </w:rPr>
  </w:style>
  <w:style w:type="paragraph" w:customStyle="1" w:styleId="TableHeadingRow">
    <w:name w:val="TableHeadingRow"/>
    <w:basedOn w:val="Normal"/>
    <w:uiPriority w:val="3"/>
    <w:qFormat/>
    <w:rsid w:val="008603E5"/>
    <w:pPr>
      <w:keepNext/>
      <w:spacing w:before="20" w:after="20"/>
    </w:pPr>
    <w:rPr>
      <w:rFonts w:ascii="Calibri" w:hAnsi="Calibri" w:cstheme="minorHAnsi"/>
      <w:b/>
      <w:sz w:val="20"/>
      <w:lang w:eastAsia="en-US"/>
    </w:rPr>
  </w:style>
  <w:style w:type="character" w:styleId="CommentReference">
    <w:name w:val="annotation reference"/>
    <w:basedOn w:val="DefaultParagraphFont"/>
    <w:uiPriority w:val="99"/>
    <w:semiHidden/>
    <w:rsid w:val="008603E5"/>
    <w:rPr>
      <w:rFonts w:cs="Times New Roman"/>
      <w:sz w:val="16"/>
      <w:szCs w:val="16"/>
    </w:rPr>
  </w:style>
  <w:style w:type="paragraph" w:styleId="CommentText">
    <w:name w:val="annotation text"/>
    <w:basedOn w:val="Normal"/>
    <w:link w:val="CommentTextChar"/>
    <w:uiPriority w:val="99"/>
    <w:semiHidden/>
    <w:rsid w:val="008603E5"/>
    <w:rPr>
      <w:sz w:val="20"/>
    </w:rPr>
  </w:style>
  <w:style w:type="character" w:customStyle="1" w:styleId="CommentTextChar">
    <w:name w:val="Comment Text Char"/>
    <w:basedOn w:val="DefaultParagraphFont"/>
    <w:link w:val="CommentText"/>
    <w:uiPriority w:val="99"/>
    <w:semiHidden/>
    <w:rsid w:val="008603E5"/>
    <w:rPr>
      <w:rFonts w:eastAsia="Times New Roman"/>
      <w:sz w:val="20"/>
      <w:szCs w:val="20"/>
      <w:lang w:eastAsia="en-AU"/>
    </w:rPr>
  </w:style>
  <w:style w:type="table" w:customStyle="1" w:styleId="TableGrid2">
    <w:name w:val="Table Grid2"/>
    <w:basedOn w:val="TableNormal"/>
    <w:next w:val="TableGrid"/>
    <w:uiPriority w:val="39"/>
    <w:rsid w:val="008603E5"/>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E5"/>
    <w:rPr>
      <w:rFonts w:ascii="Segoe UI" w:eastAsia="Times New Roman" w:hAnsi="Segoe UI" w:cs="Segoe UI"/>
      <w:sz w:val="18"/>
      <w:szCs w:val="18"/>
      <w:lang w:eastAsia="en-AU"/>
    </w:rPr>
  </w:style>
  <w:style w:type="table" w:customStyle="1" w:styleId="PBACTableStyle">
    <w:name w:val="PBAC Table Style"/>
    <w:basedOn w:val="TableGrid1"/>
    <w:uiPriority w:val="99"/>
    <w:rsid w:val="008603E5"/>
    <w:pPr>
      <w:widowControl w:val="0"/>
      <w:spacing w:before="120"/>
      <w:contextualSpacing/>
      <w:jc w:val="center"/>
    </w:pPr>
    <w:rPr>
      <w:rFonts w:ascii="Arial Narrow" w:hAnsi="Arial Narrow" w:cstheme="minorBidi"/>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uiPriority w:val="99"/>
    <w:semiHidden/>
    <w:unhideWhenUsed/>
    <w:rsid w:val="008603E5"/>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8603E5"/>
    <w:pPr>
      <w:tabs>
        <w:tab w:val="decimal" w:pos="396"/>
      </w:tabs>
      <w:jc w:val="center"/>
    </w:pPr>
  </w:style>
  <w:style w:type="character" w:customStyle="1" w:styleId="TableNumberChar">
    <w:name w:val="Table Number Char"/>
    <w:basedOn w:val="TableTextChar"/>
    <w:link w:val="TableNumber"/>
    <w:rsid w:val="008603E5"/>
    <w:rPr>
      <w:rFonts w:ascii="Arial Narrow" w:hAnsi="Arial Narrow" w:cstheme="minorBidi"/>
      <w:color w:val="000000" w:themeColor="text1"/>
      <w:sz w:val="20"/>
      <w:szCs w:val="22"/>
    </w:rPr>
  </w:style>
  <w:style w:type="table" w:customStyle="1" w:styleId="Summarybox1">
    <w:name w:val="Summary box1"/>
    <w:basedOn w:val="TableNormal"/>
    <w:next w:val="TableGrid"/>
    <w:uiPriority w:val="59"/>
    <w:rsid w:val="008603E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B0F0E"/>
    <w:rPr>
      <w:b/>
      <w:bCs/>
    </w:rPr>
  </w:style>
  <w:style w:type="character" w:customStyle="1" w:styleId="CommentSubjectChar">
    <w:name w:val="Comment Subject Char"/>
    <w:basedOn w:val="CommentTextChar"/>
    <w:link w:val="CommentSubject"/>
    <w:uiPriority w:val="99"/>
    <w:semiHidden/>
    <w:rsid w:val="003B0F0E"/>
    <w:rPr>
      <w:rFonts w:eastAsia="Times New Roman"/>
      <w:b/>
      <w:bCs/>
      <w:sz w:val="20"/>
      <w:szCs w:val="20"/>
      <w:lang w:eastAsia="en-AU"/>
    </w:rPr>
  </w:style>
  <w:style w:type="paragraph" w:customStyle="1" w:styleId="BulletBeforeDash">
    <w:name w:val="BulletBeforeDash"/>
    <w:basedOn w:val="Normal"/>
    <w:rsid w:val="005F5982"/>
    <w:pPr>
      <w:numPr>
        <w:numId w:val="6"/>
      </w:numPr>
      <w:ind w:left="720"/>
    </w:pPr>
    <w:rPr>
      <w:color w:val="000000"/>
    </w:rPr>
  </w:style>
  <w:style w:type="paragraph" w:customStyle="1" w:styleId="Bullet">
    <w:name w:val="Bullet"/>
    <w:basedOn w:val="BulletBeforeDash"/>
    <w:qFormat/>
    <w:rsid w:val="005F5982"/>
    <w:pPr>
      <w:spacing w:after="120"/>
    </w:pPr>
  </w:style>
  <w:style w:type="paragraph" w:customStyle="1" w:styleId="BulletLast">
    <w:name w:val="BulletLast"/>
    <w:basedOn w:val="Bullet"/>
    <w:qFormat/>
    <w:rsid w:val="005F5982"/>
    <w:pPr>
      <w:spacing w:after="240"/>
    </w:pPr>
  </w:style>
  <w:style w:type="paragraph" w:customStyle="1" w:styleId="NormalBeforeBullet">
    <w:name w:val="NormalBeforeBullet"/>
    <w:basedOn w:val="Normal"/>
    <w:qFormat/>
    <w:rsid w:val="005F5982"/>
    <w:pPr>
      <w:keepNext/>
      <w:spacing w:after="120"/>
    </w:pPr>
    <w:rPr>
      <w:color w:val="000000"/>
    </w:rPr>
  </w:style>
  <w:style w:type="paragraph" w:styleId="Header">
    <w:name w:val="header"/>
    <w:basedOn w:val="Normal"/>
    <w:link w:val="HeaderChar"/>
    <w:uiPriority w:val="99"/>
    <w:unhideWhenUsed/>
    <w:rsid w:val="0012408B"/>
    <w:pPr>
      <w:tabs>
        <w:tab w:val="center" w:pos="4513"/>
        <w:tab w:val="right" w:pos="9026"/>
      </w:tabs>
    </w:pPr>
  </w:style>
  <w:style w:type="character" w:customStyle="1" w:styleId="HeaderChar">
    <w:name w:val="Header Char"/>
    <w:basedOn w:val="DefaultParagraphFont"/>
    <w:link w:val="Header"/>
    <w:uiPriority w:val="99"/>
    <w:rsid w:val="0012408B"/>
    <w:rPr>
      <w:rFonts w:eastAsia="Times New Roman"/>
      <w:szCs w:val="20"/>
      <w:lang w:eastAsia="en-AU"/>
    </w:rPr>
  </w:style>
  <w:style w:type="paragraph" w:styleId="Revision">
    <w:name w:val="Revision"/>
    <w:hidden/>
    <w:uiPriority w:val="99"/>
    <w:semiHidden/>
    <w:rsid w:val="000B6FB4"/>
    <w:pPr>
      <w:spacing w:after="0" w:line="240" w:lineRule="auto"/>
    </w:pPr>
    <w:rPr>
      <w:rFonts w:eastAsia="Times New Roman"/>
      <w:szCs w:val="20"/>
      <w:lang w:eastAsia="en-AU"/>
    </w:rPr>
  </w:style>
  <w:style w:type="character" w:styleId="FollowedHyperlink">
    <w:name w:val="FollowedHyperlink"/>
    <w:basedOn w:val="DefaultParagraphFont"/>
    <w:uiPriority w:val="99"/>
    <w:semiHidden/>
    <w:unhideWhenUsed/>
    <w:rsid w:val="00B90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4839">
      <w:bodyDiv w:val="1"/>
      <w:marLeft w:val="0"/>
      <w:marRight w:val="0"/>
      <w:marTop w:val="0"/>
      <w:marBottom w:val="0"/>
      <w:divBdr>
        <w:top w:val="none" w:sz="0" w:space="0" w:color="auto"/>
        <w:left w:val="none" w:sz="0" w:space="0" w:color="auto"/>
        <w:bottom w:val="none" w:sz="0" w:space="0" w:color="auto"/>
        <w:right w:val="none" w:sz="0" w:space="0" w:color="auto"/>
      </w:divBdr>
      <w:divsChild>
        <w:div w:id="86390512">
          <w:marLeft w:val="0"/>
          <w:marRight w:val="0"/>
          <w:marTop w:val="0"/>
          <w:marBottom w:val="0"/>
          <w:divBdr>
            <w:top w:val="none" w:sz="0" w:space="0" w:color="auto"/>
            <w:left w:val="none" w:sz="0" w:space="0" w:color="auto"/>
            <w:bottom w:val="none" w:sz="0" w:space="0" w:color="auto"/>
            <w:right w:val="none" w:sz="0" w:space="0" w:color="auto"/>
          </w:divBdr>
          <w:divsChild>
            <w:div w:id="696976815">
              <w:marLeft w:val="300"/>
              <w:marRight w:val="0"/>
              <w:marTop w:val="0"/>
              <w:marBottom w:val="0"/>
              <w:divBdr>
                <w:top w:val="none" w:sz="0" w:space="0" w:color="auto"/>
                <w:left w:val="none" w:sz="0" w:space="0" w:color="auto"/>
                <w:bottom w:val="none" w:sz="0" w:space="0" w:color="auto"/>
                <w:right w:val="none" w:sz="0" w:space="0" w:color="auto"/>
              </w:divBdr>
              <w:divsChild>
                <w:div w:id="1058940445">
                  <w:marLeft w:val="0"/>
                  <w:marRight w:val="0"/>
                  <w:marTop w:val="0"/>
                  <w:marBottom w:val="0"/>
                  <w:divBdr>
                    <w:top w:val="none" w:sz="0" w:space="0" w:color="auto"/>
                    <w:left w:val="none" w:sz="0" w:space="0" w:color="auto"/>
                    <w:bottom w:val="none" w:sz="0" w:space="0" w:color="auto"/>
                    <w:right w:val="none" w:sz="0" w:space="0" w:color="auto"/>
                  </w:divBdr>
                  <w:divsChild>
                    <w:div w:id="2145543437">
                      <w:marLeft w:val="0"/>
                      <w:marRight w:val="0"/>
                      <w:marTop w:val="0"/>
                      <w:marBottom w:val="0"/>
                      <w:divBdr>
                        <w:top w:val="none" w:sz="0" w:space="0" w:color="auto"/>
                        <w:left w:val="none" w:sz="0" w:space="0" w:color="auto"/>
                        <w:bottom w:val="none" w:sz="0" w:space="0" w:color="auto"/>
                        <w:right w:val="none" w:sz="0" w:space="0" w:color="auto"/>
                      </w:divBdr>
                      <w:divsChild>
                        <w:div w:id="361982143">
                          <w:marLeft w:val="0"/>
                          <w:marRight w:val="0"/>
                          <w:marTop w:val="0"/>
                          <w:marBottom w:val="0"/>
                          <w:divBdr>
                            <w:top w:val="none" w:sz="0" w:space="0" w:color="auto"/>
                            <w:left w:val="none" w:sz="0" w:space="0" w:color="auto"/>
                            <w:bottom w:val="none" w:sz="0" w:space="0" w:color="auto"/>
                            <w:right w:val="none" w:sz="0" w:space="0" w:color="auto"/>
                          </w:divBdr>
                          <w:divsChild>
                            <w:div w:id="1679581648">
                              <w:marLeft w:val="-120"/>
                              <w:marRight w:val="30"/>
                              <w:marTop w:val="0"/>
                              <w:marBottom w:val="0"/>
                              <w:divBdr>
                                <w:top w:val="none" w:sz="0" w:space="0" w:color="auto"/>
                                <w:left w:val="none" w:sz="0" w:space="0" w:color="auto"/>
                                <w:bottom w:val="none" w:sz="0" w:space="0" w:color="auto"/>
                                <w:right w:val="none" w:sz="0" w:space="0" w:color="auto"/>
                              </w:divBdr>
                              <w:divsChild>
                                <w:div w:id="958298817">
                                  <w:marLeft w:val="0"/>
                                  <w:marRight w:val="0"/>
                                  <w:marTop w:val="0"/>
                                  <w:marBottom w:val="0"/>
                                  <w:divBdr>
                                    <w:top w:val="none" w:sz="0" w:space="0" w:color="auto"/>
                                    <w:left w:val="none" w:sz="0" w:space="0" w:color="auto"/>
                                    <w:bottom w:val="none" w:sz="0" w:space="0" w:color="auto"/>
                                    <w:right w:val="none" w:sz="0" w:space="0" w:color="auto"/>
                                  </w:divBdr>
                                  <w:divsChild>
                                    <w:div w:id="2097701616">
                                      <w:marLeft w:val="0"/>
                                      <w:marRight w:val="0"/>
                                      <w:marTop w:val="0"/>
                                      <w:marBottom w:val="0"/>
                                      <w:divBdr>
                                        <w:top w:val="none" w:sz="0" w:space="0" w:color="auto"/>
                                        <w:left w:val="none" w:sz="0" w:space="0" w:color="auto"/>
                                        <w:bottom w:val="none" w:sz="0" w:space="0" w:color="auto"/>
                                        <w:right w:val="none" w:sz="0" w:space="0" w:color="auto"/>
                                      </w:divBdr>
                                      <w:divsChild>
                                        <w:div w:id="831062486">
                                          <w:marLeft w:val="60"/>
                                          <w:marRight w:val="0"/>
                                          <w:marTop w:val="0"/>
                                          <w:marBottom w:val="0"/>
                                          <w:divBdr>
                                            <w:top w:val="none" w:sz="0" w:space="0" w:color="auto"/>
                                            <w:left w:val="none" w:sz="0" w:space="0" w:color="auto"/>
                                            <w:bottom w:val="none" w:sz="0" w:space="0" w:color="auto"/>
                                            <w:right w:val="none" w:sz="0" w:space="0" w:color="auto"/>
                                          </w:divBdr>
                                          <w:divsChild>
                                            <w:div w:id="602494056">
                                              <w:marLeft w:val="0"/>
                                              <w:marRight w:val="0"/>
                                              <w:marTop w:val="0"/>
                                              <w:marBottom w:val="0"/>
                                              <w:divBdr>
                                                <w:top w:val="none" w:sz="0" w:space="0" w:color="auto"/>
                                                <w:left w:val="none" w:sz="0" w:space="0" w:color="auto"/>
                                                <w:bottom w:val="none" w:sz="0" w:space="0" w:color="auto"/>
                                                <w:right w:val="none" w:sz="0" w:space="0" w:color="auto"/>
                                              </w:divBdr>
                                              <w:divsChild>
                                                <w:div w:id="2280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cna.org.au/understanding-breast-cancer/what-is-breast-cancer/triple-negative-breast-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791C-8E07-4085-B4EB-07E49704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10720</Words>
  <Characters>59502</Characters>
  <Application>Microsoft Office Word</Application>
  <DocSecurity>0</DocSecurity>
  <Lines>1565</Lines>
  <Paragraphs>936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1570 Final PSD_Apr2020_redacted</dc:title>
  <dc:creator/>
  <cp:lastModifiedBy/>
  <cp:revision>1</cp:revision>
  <dcterms:created xsi:type="dcterms:W3CDTF">2020-06-15T05:38:00Z</dcterms:created>
  <dcterms:modified xsi:type="dcterms:W3CDTF">2020-06-15T07:24:00Z</dcterms:modified>
</cp:coreProperties>
</file>