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D156A" w14:textId="77777777" w:rsidR="00E44B80" w:rsidRPr="00F637B3" w:rsidRDefault="00E44B80" w:rsidP="00B7045D">
      <w:pPr>
        <w:jc w:val="center"/>
        <w:rPr>
          <w:b/>
          <w:szCs w:val="20"/>
        </w:rPr>
      </w:pPr>
      <w:bookmarkStart w:id="0" w:name="_GoBack"/>
      <w:bookmarkEnd w:id="0"/>
      <w:r w:rsidRPr="00F637B3">
        <w:rPr>
          <w:b/>
          <w:noProof/>
          <w:szCs w:val="20"/>
          <w:lang w:eastAsia="en-AU"/>
        </w:rPr>
        <w:drawing>
          <wp:inline distT="0" distB="0" distL="0" distR="0" wp14:anchorId="41A45AE9" wp14:editId="5940616D">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1D8B5508" w14:textId="77777777" w:rsidR="008B2610" w:rsidRPr="006F20CF" w:rsidRDefault="008B2610" w:rsidP="00B7045D">
      <w:pPr>
        <w:pStyle w:val="Title"/>
        <w:spacing w:before="2600"/>
      </w:pPr>
      <w:r w:rsidRPr="001906CD">
        <w:t>Application Form</w:t>
      </w:r>
    </w:p>
    <w:p w14:paraId="0549DF5D" w14:textId="77777777" w:rsidR="00E44B80" w:rsidRPr="00D73646" w:rsidRDefault="00E44B80" w:rsidP="00B7045D">
      <w:pPr>
        <w:pStyle w:val="Title"/>
        <w:spacing w:before="240"/>
        <w:rPr>
          <w:sz w:val="28"/>
          <w:szCs w:val="28"/>
        </w:rPr>
      </w:pPr>
      <w:r w:rsidRPr="00D73646">
        <w:rPr>
          <w:sz w:val="28"/>
          <w:szCs w:val="28"/>
        </w:rPr>
        <w:t>(</w:t>
      </w:r>
      <w:r w:rsidR="001906CD" w:rsidRPr="00D73646">
        <w:rPr>
          <w:sz w:val="28"/>
          <w:szCs w:val="28"/>
        </w:rPr>
        <w:t>New and Amended</w:t>
      </w:r>
      <w:r w:rsidR="00EB0182">
        <w:rPr>
          <w:sz w:val="28"/>
          <w:szCs w:val="28"/>
        </w:rPr>
        <w:t xml:space="preserve"> </w:t>
      </w:r>
      <w:r w:rsidR="003433D1" w:rsidRPr="00D73646">
        <w:rPr>
          <w:sz w:val="28"/>
          <w:szCs w:val="28"/>
        </w:rPr>
        <w:t>Requests for Public Funding</w:t>
      </w:r>
      <w:r w:rsidR="008B2610" w:rsidRPr="00D73646">
        <w:rPr>
          <w:sz w:val="28"/>
          <w:szCs w:val="28"/>
        </w:rPr>
        <w:t>)</w:t>
      </w:r>
    </w:p>
    <w:p w14:paraId="7E0AA2E3" w14:textId="77777777" w:rsidR="00EB0182" w:rsidRDefault="003013A9" w:rsidP="00B7045D">
      <w:pPr>
        <w:jc w:val="center"/>
        <w:rPr>
          <w:rFonts w:ascii="Arial" w:hAnsi="Arial" w:cs="Arial"/>
          <w:b/>
          <w:sz w:val="52"/>
          <w:szCs w:val="52"/>
        </w:rPr>
      </w:pPr>
      <w:r w:rsidRPr="00D73646">
        <w:rPr>
          <w:sz w:val="28"/>
          <w:szCs w:val="28"/>
        </w:rPr>
        <w:t xml:space="preserve">(Version </w:t>
      </w:r>
      <w:r w:rsidR="0005089D">
        <w:rPr>
          <w:sz w:val="28"/>
          <w:szCs w:val="28"/>
        </w:rPr>
        <w:t>2.</w:t>
      </w:r>
      <w:r w:rsidR="00FF1A00">
        <w:rPr>
          <w:sz w:val="28"/>
          <w:szCs w:val="28"/>
        </w:rPr>
        <w:t>5</w:t>
      </w:r>
      <w:r w:rsidR="00EB0182">
        <w:rPr>
          <w:sz w:val="28"/>
          <w:szCs w:val="28"/>
        </w:rPr>
        <w:t>)</w:t>
      </w:r>
    </w:p>
    <w:p w14:paraId="7917CFD4" w14:textId="77777777" w:rsidR="00EB0182" w:rsidRDefault="00EB0182" w:rsidP="00767E24">
      <w:pPr>
        <w:jc w:val="both"/>
        <w:rPr>
          <w:rFonts w:ascii="Arial" w:hAnsi="Arial" w:cs="Arial"/>
          <w:b/>
          <w:sz w:val="52"/>
          <w:szCs w:val="52"/>
        </w:rPr>
      </w:pPr>
    </w:p>
    <w:p w14:paraId="218CF17A" w14:textId="77777777" w:rsidR="00EB0182" w:rsidRDefault="00EB0182" w:rsidP="00767E24">
      <w:pPr>
        <w:jc w:val="both"/>
        <w:rPr>
          <w:rFonts w:ascii="Arial" w:hAnsi="Arial" w:cs="Arial"/>
          <w:b/>
          <w:sz w:val="52"/>
          <w:szCs w:val="52"/>
        </w:rPr>
      </w:pPr>
    </w:p>
    <w:p w14:paraId="371899BB" w14:textId="77777777" w:rsidR="00E44B80" w:rsidRPr="00154B00" w:rsidRDefault="00300EEB" w:rsidP="00767E24">
      <w:pPr>
        <w:jc w:val="both"/>
      </w:pPr>
      <w:r>
        <w:t>T</w:t>
      </w:r>
      <w:r w:rsidR="008B2610" w:rsidRPr="00154B00">
        <w:t xml:space="preserve">his application form is to </w:t>
      </w:r>
      <w:proofErr w:type="gramStart"/>
      <w:r w:rsidR="008B2610" w:rsidRPr="00154B00">
        <w:t>be completed</w:t>
      </w:r>
      <w:proofErr w:type="gramEnd"/>
      <w:r w:rsidR="008B2610" w:rsidRPr="00154B00">
        <w:t xml:space="preserve">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45CE6E8E" w14:textId="77777777" w:rsidR="008B2610" w:rsidRDefault="008B2610" w:rsidP="00767E24">
      <w:pPr>
        <w:jc w:val="both"/>
      </w:pPr>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t>
      </w:r>
      <w:proofErr w:type="gramStart"/>
      <w:r w:rsidR="009F5758" w:rsidRPr="00154B00">
        <w:t>will not be accepted</w:t>
      </w:r>
      <w:proofErr w:type="gramEnd"/>
      <w:r w:rsidR="009F5758" w:rsidRPr="00154B00">
        <w:t>.</w:t>
      </w:r>
    </w:p>
    <w:p w14:paraId="1B740C57" w14:textId="77777777" w:rsidR="00EB0182" w:rsidRDefault="00EB0182" w:rsidP="00767E24">
      <w:pPr>
        <w:jc w:val="both"/>
        <w:rPr>
          <w:szCs w:val="20"/>
        </w:rPr>
      </w:pPr>
      <w:r>
        <w:rPr>
          <w:szCs w:val="20"/>
        </w:rPr>
        <w:t xml:space="preserve">The application form will be disseminated to professional bodies / organisations and consumer organisations that have </w:t>
      </w:r>
      <w:r w:rsidR="004A68EF">
        <w:rPr>
          <w:szCs w:val="20"/>
        </w:rPr>
        <w:t xml:space="preserve">will </w:t>
      </w:r>
      <w:r>
        <w:rPr>
          <w:szCs w:val="20"/>
        </w:rPr>
        <w:t xml:space="preserve">be identified in Part </w:t>
      </w:r>
      <w:proofErr w:type="gramStart"/>
      <w:r>
        <w:rPr>
          <w:szCs w:val="20"/>
        </w:rPr>
        <w:t>5</w:t>
      </w:r>
      <w:proofErr w:type="gramEnd"/>
      <w:r>
        <w:rPr>
          <w:szCs w:val="20"/>
        </w:rPr>
        <w:t xml:space="preserve">, and any additional groups that the Department </w:t>
      </w:r>
      <w:r w:rsidR="004A68EF">
        <w:rPr>
          <w:szCs w:val="20"/>
        </w:rPr>
        <w:t>deem</w:t>
      </w:r>
      <w:r>
        <w:rPr>
          <w:szCs w:val="20"/>
        </w:rPr>
        <w:t xml:space="preserve"> should be consulted with.</w:t>
      </w:r>
      <w:r w:rsidR="004A68EF">
        <w:rPr>
          <w:szCs w:val="20"/>
        </w:rPr>
        <w:t xml:space="preserve">  </w:t>
      </w:r>
      <w:r>
        <w:rPr>
          <w:szCs w:val="20"/>
        </w:rPr>
        <w:t xml:space="preserve">The application form, with relevant material </w:t>
      </w:r>
      <w:proofErr w:type="gramStart"/>
      <w:r>
        <w:rPr>
          <w:szCs w:val="20"/>
        </w:rPr>
        <w:t>can be redacted</w:t>
      </w:r>
      <w:proofErr w:type="gramEnd"/>
      <w:r>
        <w:rPr>
          <w:szCs w:val="20"/>
        </w:rPr>
        <w:t xml:space="preserve"> if requested by the Applicant.</w:t>
      </w:r>
    </w:p>
    <w:p w14:paraId="4E0A1569" w14:textId="77777777" w:rsidR="008B2610" w:rsidRPr="00154B00" w:rsidRDefault="009F5758" w:rsidP="00767E24">
      <w:pPr>
        <w:jc w:val="both"/>
      </w:pPr>
      <w:r w:rsidRPr="00154B00">
        <w:t>Should you require any further assistance, d</w:t>
      </w:r>
      <w:r w:rsidR="008B2610" w:rsidRPr="00154B00">
        <w:t>epartmental staff are available through the contact numbers and email below to discuss</w:t>
      </w:r>
      <w:r w:rsidRPr="00154B00">
        <w:t xml:space="preserve"> the application form, or any other component of the Medical Services Advisory Committee process.</w:t>
      </w:r>
    </w:p>
    <w:p w14:paraId="73E432A3" w14:textId="77777777" w:rsidR="008B2610" w:rsidRPr="00C27F3E" w:rsidRDefault="009F5758" w:rsidP="00767E24">
      <w:pPr>
        <w:spacing w:before="0" w:after="0"/>
        <w:jc w:val="both"/>
        <w:rPr>
          <w:lang w:val="fr-FR"/>
        </w:rPr>
      </w:pPr>
      <w:r w:rsidRPr="00C27F3E">
        <w:rPr>
          <w:lang w:val="fr-FR"/>
        </w:rPr>
        <w:t>Phone:  +61 2 6289 7550</w:t>
      </w:r>
    </w:p>
    <w:p w14:paraId="14777AB9" w14:textId="77777777" w:rsidR="009F5758" w:rsidRPr="00C27F3E" w:rsidRDefault="009F5758" w:rsidP="00767E24">
      <w:pPr>
        <w:spacing w:before="0" w:after="0"/>
        <w:jc w:val="both"/>
        <w:rPr>
          <w:lang w:val="fr-FR"/>
        </w:rPr>
      </w:pPr>
      <w:r w:rsidRPr="00C27F3E">
        <w:rPr>
          <w:lang w:val="fr-FR"/>
        </w:rPr>
        <w:t>Fax:  +61 2 6289 5540</w:t>
      </w:r>
    </w:p>
    <w:p w14:paraId="46ABC713" w14:textId="63213593" w:rsidR="009F5758" w:rsidRPr="00C27F3E" w:rsidRDefault="009F5758" w:rsidP="00767E24">
      <w:pPr>
        <w:spacing w:before="0" w:after="0"/>
        <w:jc w:val="both"/>
        <w:rPr>
          <w:lang w:val="fr-FR"/>
        </w:rPr>
      </w:pPr>
      <w:r w:rsidRPr="00C27F3E">
        <w:rPr>
          <w:lang w:val="fr-FR"/>
        </w:rPr>
        <w:t xml:space="preserve">Email:  </w:t>
      </w:r>
      <w:hyperlink r:id="rId9" w:tooltip="click here to email the Department of Health HTA Team" w:history="1">
        <w:r w:rsidRPr="00C27F3E">
          <w:rPr>
            <w:rStyle w:val="Hyperlink"/>
            <w:szCs w:val="20"/>
            <w:lang w:val="fr-FR"/>
          </w:rPr>
          <w:t>hta@health.gov.au</w:t>
        </w:r>
      </w:hyperlink>
    </w:p>
    <w:p w14:paraId="470102C3" w14:textId="0C112B76" w:rsidR="009F5758" w:rsidRPr="00154B00" w:rsidRDefault="009F5758" w:rsidP="00767E24">
      <w:pPr>
        <w:spacing w:before="0" w:after="0"/>
        <w:jc w:val="both"/>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0CD3CB09" w14:textId="77777777" w:rsidR="001D77ED" w:rsidRPr="003F7CB9" w:rsidRDefault="00D73646" w:rsidP="00767E24">
      <w:pPr>
        <w:jc w:val="both"/>
      </w:pPr>
      <w:bookmarkStart w:id="1" w:name="_Toc443555803"/>
      <w:r>
        <w:rPr>
          <w:rStyle w:val="IntenseReference"/>
        </w:rPr>
        <w:br w:type="page"/>
      </w:r>
      <w:bookmarkEnd w:id="1"/>
    </w:p>
    <w:p w14:paraId="3420C3BB" w14:textId="77777777" w:rsidR="00E04FB3" w:rsidRPr="00C776B1" w:rsidRDefault="00494011" w:rsidP="00767E24">
      <w:pPr>
        <w:pStyle w:val="Heading1"/>
        <w:jc w:val="both"/>
      </w:pPr>
      <w:r>
        <w:lastRenderedPageBreak/>
        <w:t>PART 1</w:t>
      </w:r>
      <w:r w:rsidR="00F93784">
        <w:t xml:space="preserve"> – </w:t>
      </w:r>
      <w:r w:rsidR="00E04FB3" w:rsidRPr="00C776B1">
        <w:t>APPLICANT DETAILS</w:t>
      </w:r>
    </w:p>
    <w:p w14:paraId="68019DE5" w14:textId="77777777" w:rsidR="00392F00" w:rsidRDefault="00D57F88" w:rsidP="00767E24">
      <w:pPr>
        <w:pStyle w:val="Heading2"/>
        <w:jc w:val="both"/>
      </w:pPr>
      <w:r w:rsidRPr="00A8732C">
        <w:t>Applicant d</w:t>
      </w:r>
      <w:r w:rsidR="00392F00" w:rsidRPr="00A8732C">
        <w:t>etails</w:t>
      </w:r>
      <w:r w:rsidR="000D066E" w:rsidRPr="00A8732C">
        <w:t xml:space="preserve"> (primary and alternative contacts)</w:t>
      </w:r>
    </w:p>
    <w:p w14:paraId="2113468A" w14:textId="77777777" w:rsidR="00C171FB" w:rsidRDefault="00C171FB" w:rsidP="00767E24">
      <w:pPr>
        <w:pBdr>
          <w:top w:val="single" w:sz="4" w:space="1" w:color="auto"/>
          <w:left w:val="single" w:sz="4" w:space="4" w:color="auto"/>
          <w:bottom w:val="single" w:sz="4" w:space="1" w:color="auto"/>
          <w:right w:val="single" w:sz="4" w:space="4" w:color="auto"/>
        </w:pBdr>
        <w:jc w:val="both"/>
      </w:pPr>
      <w:r>
        <w:t xml:space="preserve">Corporation / partnership details (where relevant): </w:t>
      </w:r>
      <w:r w:rsidR="00CC4B8F">
        <w:t>N/A</w:t>
      </w:r>
    </w:p>
    <w:p w14:paraId="7B85E8A2" w14:textId="358C64C2" w:rsidR="00C171FB" w:rsidRDefault="00C171FB" w:rsidP="00767E24">
      <w:pPr>
        <w:pBdr>
          <w:top w:val="single" w:sz="4" w:space="1" w:color="auto"/>
          <w:left w:val="single" w:sz="4" w:space="4" w:color="auto"/>
          <w:bottom w:val="single" w:sz="4" w:space="1" w:color="auto"/>
          <w:right w:val="single" w:sz="4" w:space="4" w:color="auto"/>
        </w:pBdr>
        <w:jc w:val="both"/>
      </w:pPr>
      <w:r>
        <w:t xml:space="preserve">Corporation name: </w:t>
      </w:r>
      <w:r w:rsidR="00C27F3E">
        <w:t>Roche Products</w:t>
      </w:r>
      <w:r w:rsidR="00052A6A">
        <w:t xml:space="preserve"> Pty Limited</w:t>
      </w:r>
    </w:p>
    <w:p w14:paraId="5B3A7A26" w14:textId="28386087" w:rsidR="00C171FB" w:rsidRDefault="00C171FB" w:rsidP="00767E24">
      <w:pPr>
        <w:pBdr>
          <w:top w:val="single" w:sz="4" w:space="1" w:color="auto"/>
          <w:left w:val="single" w:sz="4" w:space="4" w:color="auto"/>
          <w:bottom w:val="single" w:sz="4" w:space="1" w:color="auto"/>
          <w:right w:val="single" w:sz="4" w:space="4" w:color="auto"/>
        </w:pBdr>
        <w:jc w:val="both"/>
      </w:pPr>
      <w:r>
        <w:t xml:space="preserve">ABN: </w:t>
      </w:r>
      <w:r w:rsidR="00C27F3E">
        <w:t>70 000 132 865</w:t>
      </w:r>
    </w:p>
    <w:p w14:paraId="6D6CE1D6" w14:textId="2979644D" w:rsidR="00C171FB" w:rsidRDefault="00C171FB" w:rsidP="00767E24">
      <w:pPr>
        <w:pBdr>
          <w:top w:val="single" w:sz="4" w:space="1" w:color="auto"/>
          <w:left w:val="single" w:sz="4" w:space="4" w:color="auto"/>
          <w:bottom w:val="single" w:sz="4" w:space="1" w:color="auto"/>
          <w:right w:val="single" w:sz="4" w:space="4" w:color="auto"/>
        </w:pBdr>
        <w:jc w:val="both"/>
      </w:pPr>
      <w:r>
        <w:t>Business trading name</w:t>
      </w:r>
      <w:r w:rsidR="00052A6A">
        <w:t>:</w:t>
      </w:r>
      <w:r w:rsidR="00052A6A" w:rsidRPr="00052A6A">
        <w:rPr>
          <w:b/>
        </w:rPr>
        <w:t xml:space="preserve"> </w:t>
      </w:r>
      <w:r w:rsidR="00C27F3E">
        <w:t>Roche Products</w:t>
      </w:r>
    </w:p>
    <w:p w14:paraId="0520CD60" w14:textId="77777777" w:rsidR="00C171FB" w:rsidRPr="00C171FB" w:rsidRDefault="00C171FB" w:rsidP="00767E24">
      <w:pPr>
        <w:jc w:val="both"/>
      </w:pPr>
    </w:p>
    <w:p w14:paraId="56738E73" w14:textId="3F3E729B" w:rsidR="00C171FB" w:rsidRPr="00C171FB" w:rsidRDefault="00C171FB" w:rsidP="00767E24">
      <w:pPr>
        <w:jc w:val="both"/>
        <w:rPr>
          <w:b/>
        </w:rPr>
      </w:pPr>
      <w:r>
        <w:rPr>
          <w:b/>
        </w:rPr>
        <w:t xml:space="preserve">Primary contact name: </w:t>
      </w:r>
      <w:r w:rsidR="006C64A8">
        <w:t>Redacted</w:t>
      </w:r>
    </w:p>
    <w:p w14:paraId="2A2CC2EC" w14:textId="77777777" w:rsidR="00C171FB" w:rsidRDefault="00C171FB" w:rsidP="00767E24">
      <w:pPr>
        <w:pBdr>
          <w:top w:val="single" w:sz="4" w:space="1" w:color="auto"/>
          <w:left w:val="single" w:sz="4" w:space="4" w:color="auto"/>
          <w:bottom w:val="single" w:sz="4" w:space="1" w:color="auto"/>
          <w:right w:val="single" w:sz="4" w:space="4" w:color="auto"/>
        </w:pBdr>
        <w:jc w:val="both"/>
      </w:pPr>
      <w:r>
        <w:t>Primary contact numbers</w:t>
      </w:r>
    </w:p>
    <w:p w14:paraId="123E95DA" w14:textId="1428DE12" w:rsidR="00C171FB" w:rsidRDefault="00C171FB" w:rsidP="00767E24">
      <w:pPr>
        <w:pBdr>
          <w:top w:val="single" w:sz="4" w:space="1" w:color="auto"/>
          <w:left w:val="single" w:sz="4" w:space="4" w:color="auto"/>
          <w:bottom w:val="single" w:sz="4" w:space="1" w:color="auto"/>
          <w:right w:val="single" w:sz="4" w:space="4" w:color="auto"/>
        </w:pBdr>
        <w:jc w:val="both"/>
      </w:pPr>
      <w:r>
        <w:t xml:space="preserve">Business: </w:t>
      </w:r>
      <w:r w:rsidR="006C64A8">
        <w:t>Redacted</w:t>
      </w:r>
    </w:p>
    <w:p w14:paraId="2ECA8DC5" w14:textId="2EA145A1" w:rsidR="00052A6A" w:rsidRDefault="00C171FB" w:rsidP="00767E24">
      <w:pPr>
        <w:pBdr>
          <w:top w:val="single" w:sz="4" w:space="1" w:color="auto"/>
          <w:left w:val="single" w:sz="4" w:space="4" w:color="auto"/>
          <w:bottom w:val="single" w:sz="4" w:space="1" w:color="auto"/>
          <w:right w:val="single" w:sz="4" w:space="4" w:color="auto"/>
        </w:pBdr>
        <w:jc w:val="both"/>
      </w:pPr>
      <w:r>
        <w:t>Mobile:</w:t>
      </w:r>
      <w:r>
        <w:tab/>
      </w:r>
      <w:r w:rsidR="006C64A8">
        <w:t>Redacted</w:t>
      </w:r>
    </w:p>
    <w:p w14:paraId="6C0F74BE" w14:textId="2225D769" w:rsidR="00C171FB" w:rsidRDefault="00C171FB" w:rsidP="00767E24">
      <w:pPr>
        <w:pBdr>
          <w:top w:val="single" w:sz="4" w:space="1" w:color="auto"/>
          <w:left w:val="single" w:sz="4" w:space="4" w:color="auto"/>
          <w:bottom w:val="single" w:sz="4" w:space="1" w:color="auto"/>
          <w:right w:val="single" w:sz="4" w:space="4" w:color="auto"/>
        </w:pBdr>
        <w:jc w:val="both"/>
      </w:pPr>
      <w:r>
        <w:t xml:space="preserve">Email: </w:t>
      </w:r>
      <w:r w:rsidR="006C64A8">
        <w:t>Redacted</w:t>
      </w:r>
    </w:p>
    <w:p w14:paraId="27FEA073" w14:textId="77777777" w:rsidR="00C171FB" w:rsidRDefault="00C171FB" w:rsidP="00767E24">
      <w:pPr>
        <w:jc w:val="both"/>
        <w:rPr>
          <w:b/>
        </w:rPr>
      </w:pPr>
    </w:p>
    <w:p w14:paraId="6E5E2654" w14:textId="746CDDD3" w:rsidR="00C171FB" w:rsidRPr="00C171FB" w:rsidRDefault="00C171FB" w:rsidP="00767E24">
      <w:pPr>
        <w:jc w:val="both"/>
        <w:rPr>
          <w:b/>
        </w:rPr>
      </w:pPr>
      <w:r>
        <w:rPr>
          <w:b/>
        </w:rPr>
        <w:t xml:space="preserve">Alternative contact name: </w:t>
      </w:r>
      <w:r w:rsidR="006C64A8">
        <w:t>Redacted</w:t>
      </w:r>
    </w:p>
    <w:p w14:paraId="2CF15A74" w14:textId="77777777" w:rsidR="00C171FB" w:rsidRDefault="00C171FB" w:rsidP="00767E24">
      <w:pPr>
        <w:pBdr>
          <w:top w:val="single" w:sz="4" w:space="1" w:color="auto"/>
          <w:left w:val="single" w:sz="4" w:space="4" w:color="auto"/>
          <w:bottom w:val="single" w:sz="4" w:space="1" w:color="auto"/>
          <w:right w:val="single" w:sz="4" w:space="4" w:color="auto"/>
        </w:pBdr>
        <w:jc w:val="both"/>
      </w:pPr>
      <w:r>
        <w:t>Alternative contact numbers</w:t>
      </w:r>
      <w:r>
        <w:tab/>
      </w:r>
    </w:p>
    <w:p w14:paraId="4227EA62" w14:textId="0CE27D4C" w:rsidR="00C171FB" w:rsidRDefault="00C171FB" w:rsidP="00767E24">
      <w:pPr>
        <w:pBdr>
          <w:top w:val="single" w:sz="4" w:space="1" w:color="auto"/>
          <w:left w:val="single" w:sz="4" w:space="4" w:color="auto"/>
          <w:bottom w:val="single" w:sz="4" w:space="1" w:color="auto"/>
          <w:right w:val="single" w:sz="4" w:space="4" w:color="auto"/>
        </w:pBdr>
        <w:jc w:val="both"/>
      </w:pPr>
      <w:r>
        <w:t xml:space="preserve">Business: </w:t>
      </w:r>
      <w:r w:rsidR="006C64A8">
        <w:t>Redacted</w:t>
      </w:r>
    </w:p>
    <w:p w14:paraId="10578E11" w14:textId="0354E79A" w:rsidR="00C171FB" w:rsidRPr="007C1EA5" w:rsidRDefault="00C171FB" w:rsidP="00767E24">
      <w:pPr>
        <w:pBdr>
          <w:top w:val="single" w:sz="4" w:space="1" w:color="auto"/>
          <w:left w:val="single" w:sz="4" w:space="4" w:color="auto"/>
          <w:bottom w:val="single" w:sz="4" w:space="1" w:color="auto"/>
          <w:right w:val="single" w:sz="4" w:space="4" w:color="auto"/>
        </w:pBdr>
        <w:jc w:val="both"/>
      </w:pPr>
      <w:r w:rsidRPr="007C1EA5">
        <w:t xml:space="preserve">Mobile: </w:t>
      </w:r>
      <w:r w:rsidR="006C64A8" w:rsidRPr="007C1EA5">
        <w:t>Redacted</w:t>
      </w:r>
    </w:p>
    <w:p w14:paraId="09F1DB33" w14:textId="1DE9C27D" w:rsidR="00C171FB" w:rsidRPr="007C1EA5" w:rsidRDefault="00C171FB" w:rsidP="00767E24">
      <w:pPr>
        <w:pBdr>
          <w:top w:val="single" w:sz="4" w:space="1" w:color="auto"/>
          <w:left w:val="single" w:sz="4" w:space="4" w:color="auto"/>
          <w:bottom w:val="single" w:sz="4" w:space="1" w:color="auto"/>
          <w:right w:val="single" w:sz="4" w:space="4" w:color="auto"/>
        </w:pBdr>
        <w:jc w:val="both"/>
      </w:pPr>
      <w:r w:rsidRPr="007C1EA5">
        <w:t xml:space="preserve">Email: </w:t>
      </w:r>
      <w:r w:rsidR="006C64A8" w:rsidRPr="007C1EA5">
        <w:t>Redacted</w:t>
      </w:r>
    </w:p>
    <w:p w14:paraId="1E72EFC6" w14:textId="77777777" w:rsidR="00C171FB" w:rsidRPr="007C1EA5" w:rsidRDefault="00C171FB" w:rsidP="00767E24">
      <w:pPr>
        <w:jc w:val="both"/>
      </w:pPr>
    </w:p>
    <w:p w14:paraId="3A6533E8" w14:textId="77777777" w:rsidR="00F34AEC" w:rsidRPr="00154B00" w:rsidRDefault="00F34AEC" w:rsidP="00767E24">
      <w:pPr>
        <w:pStyle w:val="Heading2"/>
        <w:jc w:val="both"/>
      </w:pPr>
      <w:r>
        <w:t>(a) Are you a consultant acting on behalf of an Applicant?</w:t>
      </w:r>
    </w:p>
    <w:p w14:paraId="57850EDE" w14:textId="77777777" w:rsidR="00F34AEC" w:rsidRDefault="00F34AEC" w:rsidP="00767E24">
      <w:pPr>
        <w:spacing w:before="0" w:after="0"/>
        <w:ind w:left="426"/>
        <w:jc w:val="both"/>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E30EA2">
        <w:rPr>
          <w:szCs w:val="20"/>
        </w:rPr>
      </w:r>
      <w:r w:rsidR="00E30EA2">
        <w:rPr>
          <w:szCs w:val="20"/>
        </w:rPr>
        <w:fldChar w:fldCharType="separate"/>
      </w:r>
      <w:r w:rsidRPr="00753C44">
        <w:rPr>
          <w:szCs w:val="20"/>
        </w:rPr>
        <w:fldChar w:fldCharType="end"/>
      </w:r>
      <w:r>
        <w:rPr>
          <w:szCs w:val="20"/>
        </w:rPr>
        <w:t xml:space="preserve"> Yes</w:t>
      </w:r>
    </w:p>
    <w:p w14:paraId="26982E58" w14:textId="77777777" w:rsidR="00F34AEC" w:rsidRPr="00753C44" w:rsidRDefault="005D4F56" w:rsidP="00767E24">
      <w:pPr>
        <w:spacing w:before="0" w:after="0"/>
        <w:ind w:left="426"/>
        <w:jc w:val="both"/>
        <w:rPr>
          <w:szCs w:val="20"/>
        </w:rPr>
      </w:pPr>
      <w:r>
        <w:rPr>
          <w:szCs w:val="20"/>
        </w:rPr>
        <w:fldChar w:fldCharType="begin">
          <w:ffData>
            <w:name w:val="Check2"/>
            <w:enabled/>
            <w:calcOnExit w:val="0"/>
            <w:checkBox>
              <w:sizeAuto/>
              <w:default w:val="1"/>
            </w:checkBox>
          </w:ffData>
        </w:fldChar>
      </w:r>
      <w:bookmarkStart w:id="2" w:name="Check2"/>
      <w:r>
        <w:rPr>
          <w:szCs w:val="20"/>
        </w:rPr>
        <w:instrText xml:space="preserve"> FORMCHECKBOX </w:instrText>
      </w:r>
      <w:r w:rsidR="00E30EA2">
        <w:rPr>
          <w:szCs w:val="20"/>
        </w:rPr>
      </w:r>
      <w:r w:rsidR="00E30EA2">
        <w:rPr>
          <w:szCs w:val="20"/>
        </w:rPr>
        <w:fldChar w:fldCharType="separate"/>
      </w:r>
      <w:r>
        <w:rPr>
          <w:szCs w:val="20"/>
        </w:rPr>
        <w:fldChar w:fldCharType="end"/>
      </w:r>
      <w:bookmarkEnd w:id="2"/>
      <w:r w:rsidR="00F34AEC">
        <w:rPr>
          <w:szCs w:val="20"/>
        </w:rPr>
        <w:t xml:space="preserve"> No</w:t>
      </w:r>
      <w:r w:rsidR="00352047">
        <w:rPr>
          <w:szCs w:val="20"/>
        </w:rPr>
        <w:t xml:space="preserve"> </w:t>
      </w:r>
    </w:p>
    <w:p w14:paraId="49CB20FC" w14:textId="77777777" w:rsidR="00F34AEC" w:rsidRPr="002F55EF" w:rsidRDefault="00F34AEC" w:rsidP="00767E24">
      <w:pPr>
        <w:ind w:firstLine="360"/>
        <w:jc w:val="both"/>
        <w:rPr>
          <w:b/>
        </w:rPr>
      </w:pPr>
      <w:r w:rsidRPr="002F55EF">
        <w:rPr>
          <w:b/>
        </w:rPr>
        <w:t xml:space="preserve">(b) If yes, what is the Applicant(s) name that you are acting </w:t>
      </w:r>
      <w:proofErr w:type="gramStart"/>
      <w:r w:rsidRPr="002F55EF">
        <w:rPr>
          <w:b/>
        </w:rPr>
        <w:t>on behalf of</w:t>
      </w:r>
      <w:proofErr w:type="gramEnd"/>
      <w:r w:rsidRPr="002F55EF">
        <w:rPr>
          <w:b/>
        </w:rPr>
        <w:t>?</w:t>
      </w:r>
    </w:p>
    <w:p w14:paraId="10BD396B" w14:textId="77777777" w:rsidR="00F34AEC" w:rsidRPr="00CB12EC" w:rsidRDefault="00F34AEC" w:rsidP="00767E24">
      <w:pPr>
        <w:ind w:left="284"/>
        <w:jc w:val="both"/>
        <w:rPr>
          <w:noProof/>
        </w:rPr>
      </w:pPr>
      <w:r>
        <w:rPr>
          <w:noProof/>
        </w:rPr>
        <w:t>Insert relevant Applicant(s) name here.</w:t>
      </w:r>
    </w:p>
    <w:p w14:paraId="4650777E" w14:textId="77777777" w:rsidR="00F34AEC" w:rsidRPr="00C171FB" w:rsidRDefault="00F34AEC" w:rsidP="00767E24">
      <w:pPr>
        <w:jc w:val="both"/>
      </w:pPr>
    </w:p>
    <w:p w14:paraId="1804EA67" w14:textId="77777777" w:rsidR="00534C5F" w:rsidRPr="00154B00" w:rsidRDefault="00494011" w:rsidP="00767E24">
      <w:pPr>
        <w:pStyle w:val="Heading2"/>
        <w:jc w:val="both"/>
      </w:pPr>
      <w:r>
        <w:t xml:space="preserve">(a) </w:t>
      </w:r>
      <w:r w:rsidR="00534C5F">
        <w:t>Are you a lobbyist acting on behalf of an Applicant?</w:t>
      </w:r>
    </w:p>
    <w:p w14:paraId="0FA12BCA" w14:textId="77777777" w:rsidR="00A6491A" w:rsidRDefault="00A6491A" w:rsidP="00767E24">
      <w:pPr>
        <w:spacing w:before="0" w:after="0"/>
        <w:ind w:left="426"/>
        <w:jc w:val="both"/>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E30EA2">
        <w:rPr>
          <w:szCs w:val="20"/>
        </w:rPr>
      </w:r>
      <w:r w:rsidR="00E30EA2">
        <w:rPr>
          <w:szCs w:val="20"/>
        </w:rPr>
        <w:fldChar w:fldCharType="separate"/>
      </w:r>
      <w:r w:rsidRPr="00753C44">
        <w:rPr>
          <w:szCs w:val="20"/>
        </w:rPr>
        <w:fldChar w:fldCharType="end"/>
      </w:r>
      <w:r>
        <w:rPr>
          <w:szCs w:val="20"/>
        </w:rPr>
        <w:t xml:space="preserve"> Yes</w:t>
      </w:r>
    </w:p>
    <w:p w14:paraId="3519AAF7" w14:textId="77777777" w:rsidR="00A6491A" w:rsidRPr="00753C44" w:rsidRDefault="005D4F56" w:rsidP="00767E24">
      <w:pPr>
        <w:spacing w:before="0" w:after="0"/>
        <w:ind w:left="426"/>
        <w:jc w:val="both"/>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30EA2">
        <w:rPr>
          <w:szCs w:val="20"/>
        </w:rPr>
      </w:r>
      <w:r w:rsidR="00E30EA2">
        <w:rPr>
          <w:szCs w:val="20"/>
        </w:rPr>
        <w:fldChar w:fldCharType="separate"/>
      </w:r>
      <w:r>
        <w:rPr>
          <w:szCs w:val="20"/>
        </w:rPr>
        <w:fldChar w:fldCharType="end"/>
      </w:r>
      <w:r w:rsidR="00A6491A">
        <w:rPr>
          <w:szCs w:val="20"/>
        </w:rPr>
        <w:t xml:space="preserve"> No</w:t>
      </w:r>
      <w:r w:rsidR="00A6491A" w:rsidRPr="00753C44">
        <w:rPr>
          <w:szCs w:val="20"/>
        </w:rPr>
        <w:t xml:space="preserve">  </w:t>
      </w:r>
    </w:p>
    <w:p w14:paraId="34C0A39E" w14:textId="77777777" w:rsidR="00534C5F" w:rsidRPr="00154B00" w:rsidRDefault="00534C5F" w:rsidP="00767E24">
      <w:pPr>
        <w:pStyle w:val="Heading2"/>
        <w:numPr>
          <w:ilvl w:val="0"/>
          <w:numId w:val="2"/>
        </w:numPr>
        <w:jc w:val="both"/>
      </w:pPr>
      <w:r w:rsidRPr="00154B00">
        <w:t xml:space="preserve">If yes, </w:t>
      </w:r>
      <w:proofErr w:type="gramStart"/>
      <w:r>
        <w:t xml:space="preserve">are </w:t>
      </w:r>
      <w:r w:rsidRPr="00FE33A6">
        <w:t>you</w:t>
      </w:r>
      <w:r>
        <w:t xml:space="preserve"> listed</w:t>
      </w:r>
      <w:proofErr w:type="gramEnd"/>
      <w:r>
        <w:t xml:space="preserve"> on the Register of Lobbyists?</w:t>
      </w:r>
    </w:p>
    <w:p w14:paraId="5D51AEBA" w14:textId="77777777" w:rsidR="00A6491A" w:rsidRDefault="00A6491A" w:rsidP="00767E24">
      <w:pPr>
        <w:spacing w:before="0" w:after="0"/>
        <w:ind w:left="426"/>
        <w:jc w:val="both"/>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E30EA2">
        <w:rPr>
          <w:szCs w:val="20"/>
        </w:rPr>
      </w:r>
      <w:r w:rsidR="00E30EA2">
        <w:rPr>
          <w:szCs w:val="20"/>
        </w:rPr>
        <w:fldChar w:fldCharType="separate"/>
      </w:r>
      <w:r w:rsidRPr="00753C44">
        <w:rPr>
          <w:szCs w:val="20"/>
        </w:rPr>
        <w:fldChar w:fldCharType="end"/>
      </w:r>
      <w:r>
        <w:rPr>
          <w:szCs w:val="20"/>
        </w:rPr>
        <w:t xml:space="preserve"> Yes</w:t>
      </w:r>
    </w:p>
    <w:p w14:paraId="21A8F69B" w14:textId="77777777" w:rsidR="00A6491A" w:rsidRPr="00753C44" w:rsidRDefault="00A6491A" w:rsidP="00767E24">
      <w:pPr>
        <w:spacing w:before="0" w:after="0"/>
        <w:ind w:left="426"/>
        <w:jc w:val="both"/>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E30EA2">
        <w:rPr>
          <w:szCs w:val="20"/>
        </w:rPr>
      </w:r>
      <w:r w:rsidR="00E30EA2">
        <w:rPr>
          <w:szCs w:val="20"/>
        </w:rPr>
        <w:fldChar w:fldCharType="separate"/>
      </w:r>
      <w:r w:rsidRPr="00753C44">
        <w:rPr>
          <w:szCs w:val="20"/>
        </w:rPr>
        <w:fldChar w:fldCharType="end"/>
      </w:r>
      <w:r>
        <w:rPr>
          <w:szCs w:val="20"/>
        </w:rPr>
        <w:t xml:space="preserve"> No</w:t>
      </w:r>
      <w:r w:rsidRPr="00753C44">
        <w:rPr>
          <w:szCs w:val="20"/>
        </w:rPr>
        <w:t xml:space="preserve">  </w:t>
      </w:r>
    </w:p>
    <w:p w14:paraId="6A095466" w14:textId="77777777" w:rsidR="00E04FB3" w:rsidRDefault="00E04FB3" w:rsidP="00767E24">
      <w:pPr>
        <w:spacing w:before="0" w:after="0"/>
        <w:ind w:left="426"/>
        <w:jc w:val="both"/>
        <w:rPr>
          <w:b/>
          <w:szCs w:val="20"/>
        </w:rPr>
      </w:pPr>
      <w:r w:rsidRPr="00154B00">
        <w:rPr>
          <w:b/>
          <w:szCs w:val="20"/>
        </w:rPr>
        <w:br w:type="page"/>
      </w:r>
    </w:p>
    <w:p w14:paraId="02F7C0D3" w14:textId="77777777" w:rsidR="00D57F88" w:rsidRPr="00C776B1" w:rsidRDefault="00730C04" w:rsidP="00767E24">
      <w:pPr>
        <w:pStyle w:val="Heading1"/>
        <w:jc w:val="both"/>
      </w:pPr>
      <w:r>
        <w:lastRenderedPageBreak/>
        <w:t>PART 2</w:t>
      </w:r>
      <w:r w:rsidR="00F93784">
        <w:t xml:space="preserve"> – </w:t>
      </w:r>
      <w:r w:rsidR="00E04FB3" w:rsidRPr="00C776B1">
        <w:t>INFORMATION ABOUT THE PROPOSED MEDICAL SERVICE</w:t>
      </w:r>
    </w:p>
    <w:p w14:paraId="75AD041D" w14:textId="77777777" w:rsidR="000B3CD0" w:rsidRDefault="000B3CD0" w:rsidP="00767E24">
      <w:pPr>
        <w:pStyle w:val="Heading2"/>
        <w:jc w:val="both"/>
      </w:pPr>
      <w:r w:rsidRPr="00154B00">
        <w:t>Application title</w:t>
      </w:r>
      <w:r w:rsidR="00A8732C">
        <w:t xml:space="preserve"> </w:t>
      </w:r>
    </w:p>
    <w:p w14:paraId="0983C5DA" w14:textId="22706B68" w:rsidR="005D4F56" w:rsidRPr="00457E5E" w:rsidRDefault="001D69C5" w:rsidP="00767E24">
      <w:pPr>
        <w:spacing w:before="0" w:after="0"/>
        <w:ind w:left="360"/>
        <w:jc w:val="both"/>
      </w:pPr>
      <w:r>
        <w:rPr>
          <w:bCs/>
          <w:iCs/>
        </w:rPr>
        <w:t xml:space="preserve">PD-L1 (Programmed Death </w:t>
      </w:r>
      <w:r w:rsidR="00C27F3E">
        <w:rPr>
          <w:bCs/>
          <w:iCs/>
        </w:rPr>
        <w:t>Ligand</w:t>
      </w:r>
      <w:r w:rsidR="00751A2D">
        <w:rPr>
          <w:bCs/>
          <w:iCs/>
        </w:rPr>
        <w:t xml:space="preserve"> 1) immunohistochemistry</w:t>
      </w:r>
      <w:r w:rsidR="00D738BB">
        <w:rPr>
          <w:bCs/>
          <w:iCs/>
        </w:rPr>
        <w:t xml:space="preserve"> (IHC)</w:t>
      </w:r>
      <w:r w:rsidR="00751A2D">
        <w:rPr>
          <w:bCs/>
          <w:iCs/>
        </w:rPr>
        <w:t xml:space="preserve"> testing for access to atezolizumab as first</w:t>
      </w:r>
      <w:r w:rsidR="000F7A4E">
        <w:rPr>
          <w:bCs/>
          <w:iCs/>
        </w:rPr>
        <w:noBreakHyphen/>
      </w:r>
      <w:r w:rsidR="00751A2D">
        <w:rPr>
          <w:bCs/>
          <w:iCs/>
        </w:rPr>
        <w:t>line therapy for patients with locally advanced or metastatic triple-negative breast cancer (TNBC)</w:t>
      </w:r>
      <w:r w:rsidR="00624644">
        <w:rPr>
          <w:bCs/>
          <w:iCs/>
        </w:rPr>
        <w:t>.</w:t>
      </w:r>
    </w:p>
    <w:p w14:paraId="1F49E33C" w14:textId="77777777" w:rsidR="009056C5" w:rsidRPr="009056C5" w:rsidRDefault="009056C5" w:rsidP="00767E24">
      <w:pPr>
        <w:jc w:val="both"/>
      </w:pPr>
    </w:p>
    <w:p w14:paraId="709F409F" w14:textId="77777777" w:rsidR="009B4E1E" w:rsidRDefault="009B4E1E" w:rsidP="00767E24">
      <w:pPr>
        <w:pStyle w:val="Heading2"/>
        <w:jc w:val="both"/>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287F0D13" w14:textId="22A294E9" w:rsidR="00250A78" w:rsidRDefault="00751A2D" w:rsidP="00767E24">
      <w:pPr>
        <w:ind w:left="360"/>
        <w:jc w:val="both"/>
        <w:rPr>
          <w:bCs/>
          <w:iCs/>
        </w:rPr>
      </w:pPr>
      <w:r w:rsidRPr="00751A2D">
        <w:rPr>
          <w:bCs/>
          <w:iCs/>
        </w:rPr>
        <w:t>Breast can</w:t>
      </w:r>
      <w:r>
        <w:rPr>
          <w:bCs/>
          <w:iCs/>
        </w:rPr>
        <w:t>c</w:t>
      </w:r>
      <w:r w:rsidRPr="00751A2D">
        <w:rPr>
          <w:bCs/>
          <w:iCs/>
        </w:rPr>
        <w:t>er</w:t>
      </w:r>
      <w:r w:rsidR="008C70C8">
        <w:rPr>
          <w:bCs/>
          <w:iCs/>
        </w:rPr>
        <w:t xml:space="preserve"> </w:t>
      </w:r>
      <w:r>
        <w:rPr>
          <w:bCs/>
          <w:iCs/>
        </w:rPr>
        <w:t>is the most frequently diagnosed cancer among women and</w:t>
      </w:r>
      <w:r w:rsidR="003A5DD5">
        <w:rPr>
          <w:bCs/>
          <w:iCs/>
        </w:rPr>
        <w:t xml:space="preserve"> is</w:t>
      </w:r>
      <w:r>
        <w:rPr>
          <w:bCs/>
          <w:iCs/>
        </w:rPr>
        <w:t xml:space="preserve"> the leading cause of cancer</w:t>
      </w:r>
      <w:r>
        <w:rPr>
          <w:bCs/>
          <w:iCs/>
        </w:rPr>
        <w:noBreakHyphen/>
        <w:t>related deaths in women word</w:t>
      </w:r>
      <w:r w:rsidR="000F7A4E">
        <w:rPr>
          <w:bCs/>
          <w:iCs/>
        </w:rPr>
        <w:t>-</w:t>
      </w:r>
      <w:r>
        <w:rPr>
          <w:bCs/>
          <w:iCs/>
        </w:rPr>
        <w:t>wide</w:t>
      </w:r>
      <w:r w:rsidR="00DF20AC">
        <w:rPr>
          <w:bCs/>
          <w:iCs/>
        </w:rPr>
        <w:t xml:space="preserve"> </w:t>
      </w:r>
      <w:r w:rsidR="00DF20AC">
        <w:rPr>
          <w:bCs/>
          <w:iCs/>
        </w:rPr>
        <w:fldChar w:fldCharType="begin"/>
      </w:r>
      <w:r w:rsidR="00DF20AC">
        <w:rPr>
          <w:bCs/>
          <w:iCs/>
        </w:rPr>
        <w:instrText xml:space="preserve"> ADDIN EN.CITE &lt;EndNote&gt;&lt;Cite&gt;&lt;Author&gt;Ferlay&lt;/Author&gt;&lt;Year&gt;2015&lt;/Year&gt;&lt;RecNum&gt;5&lt;/RecNum&gt;&lt;DisplayText&gt;(1, 2)&lt;/DisplayText&gt;&lt;record&gt;&lt;rec-number&gt;5&lt;/rec-number&gt;&lt;foreign-keys&gt;&lt;key app="EN" db-id="e052e5x9tdfxzhe2zrlvfszipszset9005xv" timestamp="1539143449"&gt;5&lt;/key&gt;&lt;/foreign-keys&gt;&lt;ref-type name="Journal Article"&gt;17&lt;/ref-type&gt;&lt;contributors&gt;&lt;authors&gt;&lt;author&gt;Ferlay, J&lt;/author&gt;&lt;author&gt;Soerjomataram, I&lt;/author&gt;&lt;author&gt;Dikshit, R&lt;/author&gt;&lt;author&gt;et al.,&lt;/author&gt;&lt;/authors&gt;&lt;/contributors&gt;&lt;titles&gt;&lt;title&gt;Cancer incidence and mortality worldwide: sources, methods and major patterns in GLOBOCAN 2012&lt;/title&gt;&lt;secondary-title&gt;International Journal of Cancer&lt;/secondary-title&gt;&lt;/titles&gt;&lt;periodical&gt;&lt;full-title&gt;International Journal of Cancer&lt;/full-title&gt;&lt;/periodical&gt;&lt;volume&gt;136&lt;/volume&gt;&lt;number&gt;E359-E386&lt;/number&gt;&lt;dates&gt;&lt;year&gt;2015&lt;/year&gt;&lt;/dates&gt;&lt;urls&gt;&lt;/urls&gt;&lt;/record&gt;&lt;/Cite&gt;&lt;Cite&gt;&lt;Author&gt;DeSantis&lt;/Author&gt;&lt;Year&gt;2015&lt;/Year&gt;&lt;RecNum&gt;3&lt;/RecNum&gt;&lt;record&gt;&lt;rec-number&gt;3&lt;/rec-number&gt;&lt;foreign-keys&gt;&lt;key app="EN" db-id="e052e5x9tdfxzhe2zrlvfszipszset9005xv" timestamp="1539142928"&gt;3&lt;/key&gt;&lt;/foreign-keys&gt;&lt;ref-type name="Journal Article"&gt;17&lt;/ref-type&gt;&lt;contributors&gt;&lt;authors&gt;&lt;author&gt;DeSantis, C&lt;/author&gt;&lt;author&gt;Bray, F&lt;/author&gt;&lt;author&gt;Ferla, J&lt;/author&gt;&lt;author&gt;et al.,&lt;/author&gt;&lt;/authors&gt;&lt;/contributors&gt;&lt;titles&gt;&lt;title&gt;International variation in female breast cancer incidence and mortality rates&lt;/title&gt;&lt;secondary-title&gt;American Association for Cancer Research&lt;/secondary-title&gt;&lt;/titles&gt;&lt;periodical&gt;&lt;full-title&gt;American Association for Cancer Research&lt;/full-title&gt;&lt;/periodical&gt;&lt;volume&gt;24&lt;/volume&gt;&lt;number&gt;10&lt;/number&gt;&lt;dates&gt;&lt;year&gt;2015&lt;/year&gt;&lt;/dates&gt;&lt;urls&gt;&lt;/urls&gt;&lt;/record&gt;&lt;/Cite&gt;&lt;/EndNote&gt;</w:instrText>
      </w:r>
      <w:r w:rsidR="00DF20AC">
        <w:rPr>
          <w:bCs/>
          <w:iCs/>
        </w:rPr>
        <w:fldChar w:fldCharType="separate"/>
      </w:r>
      <w:r w:rsidR="00DF20AC">
        <w:rPr>
          <w:bCs/>
          <w:iCs/>
          <w:noProof/>
        </w:rPr>
        <w:t>(1, 2)</w:t>
      </w:r>
      <w:r w:rsidR="00DF20AC">
        <w:rPr>
          <w:bCs/>
          <w:iCs/>
        </w:rPr>
        <w:fldChar w:fldCharType="end"/>
      </w:r>
      <w:r>
        <w:rPr>
          <w:bCs/>
          <w:iCs/>
        </w:rPr>
        <w:t>. Triple</w:t>
      </w:r>
      <w:r>
        <w:rPr>
          <w:bCs/>
          <w:iCs/>
        </w:rPr>
        <w:noBreakHyphen/>
        <w:t xml:space="preserve">negative breast cancer, a distinct subtype of breast cancer with the worst prognosis, is characterised immunohistologically by the lack of expression of hormonal </w:t>
      </w:r>
      <w:r w:rsidR="00F509B4">
        <w:rPr>
          <w:bCs/>
          <w:iCs/>
        </w:rPr>
        <w:t xml:space="preserve">estrogen </w:t>
      </w:r>
      <w:r>
        <w:rPr>
          <w:bCs/>
          <w:iCs/>
        </w:rPr>
        <w:t xml:space="preserve">receptor </w:t>
      </w:r>
      <w:r w:rsidR="00F509B4">
        <w:rPr>
          <w:bCs/>
          <w:iCs/>
        </w:rPr>
        <w:t>(</w:t>
      </w:r>
      <w:r>
        <w:rPr>
          <w:bCs/>
          <w:iCs/>
        </w:rPr>
        <w:t>ER</w:t>
      </w:r>
      <w:r w:rsidR="00F509B4">
        <w:rPr>
          <w:bCs/>
          <w:iCs/>
        </w:rPr>
        <w:t>)</w:t>
      </w:r>
      <w:r>
        <w:rPr>
          <w:bCs/>
          <w:iCs/>
        </w:rPr>
        <w:t xml:space="preserve"> and</w:t>
      </w:r>
      <w:r w:rsidR="00F509B4">
        <w:rPr>
          <w:bCs/>
          <w:iCs/>
        </w:rPr>
        <w:t xml:space="preserve"> progesterone receptor</w:t>
      </w:r>
      <w:r>
        <w:rPr>
          <w:bCs/>
          <w:iCs/>
        </w:rPr>
        <w:t xml:space="preserve"> </w:t>
      </w:r>
      <w:r w:rsidR="00F509B4">
        <w:rPr>
          <w:bCs/>
          <w:iCs/>
        </w:rPr>
        <w:t>(</w:t>
      </w:r>
      <w:r>
        <w:rPr>
          <w:bCs/>
          <w:iCs/>
        </w:rPr>
        <w:t>PgR</w:t>
      </w:r>
      <w:r w:rsidR="00F509B4">
        <w:rPr>
          <w:bCs/>
          <w:iCs/>
        </w:rPr>
        <w:t>)</w:t>
      </w:r>
      <w:r>
        <w:rPr>
          <w:bCs/>
          <w:iCs/>
        </w:rPr>
        <w:t xml:space="preserve"> and lack of overexpression and/or amplification of the human epidermal growth factor 2 (HER2)</w:t>
      </w:r>
      <w:r w:rsidR="008C70C8">
        <w:rPr>
          <w:bCs/>
          <w:iCs/>
        </w:rPr>
        <w:t>/</w:t>
      </w:r>
      <w:r>
        <w:rPr>
          <w:bCs/>
          <w:iCs/>
        </w:rPr>
        <w:t>NEU gene</w:t>
      </w:r>
      <w:r w:rsidR="00DF20AC">
        <w:rPr>
          <w:bCs/>
          <w:iCs/>
        </w:rPr>
        <w:t xml:space="preserve"> </w:t>
      </w:r>
      <w:r w:rsidR="00DF20AC">
        <w:rPr>
          <w:bCs/>
          <w:iCs/>
        </w:rPr>
        <w:fldChar w:fldCharType="begin"/>
      </w:r>
      <w:r w:rsidR="00DF20AC">
        <w:rPr>
          <w:bCs/>
          <w:iCs/>
        </w:rPr>
        <w:instrText xml:space="preserve"> ADDIN EN.CITE &lt;EndNote&gt;&lt;Cite&gt;&lt;Author&gt;Dent&lt;/Author&gt;&lt;Year&gt;2007&lt;/Year&gt;&lt;RecNum&gt;4&lt;/RecNum&gt;&lt;DisplayText&gt;(3)&lt;/DisplayText&gt;&lt;record&gt;&lt;rec-number&gt;4&lt;/rec-number&gt;&lt;foreign-keys&gt;&lt;key app="EN" db-id="e052e5x9tdfxzhe2zrlvfszipszset9005xv" timestamp="1539143278"&gt;4&lt;/key&gt;&lt;/foreign-keys&gt;&lt;ref-type name="Journal Article"&gt;17&lt;/ref-type&gt;&lt;contributors&gt;&lt;authors&gt;&lt;author&gt;Dent, R&lt;/author&gt;&lt;author&gt;Trudeau, M&lt;/author&gt;&lt;author&gt;Pritchard, K&lt;/author&gt;&lt;author&gt;et al.,&lt;/author&gt;&lt;/authors&gt;&lt;/contributors&gt;&lt;titles&gt;&lt;title&gt;Triple-negative breast cancer: clinical features and patterns of recurrence&lt;/title&gt;&lt;secondary-title&gt;Clinical Cancer Research&lt;/secondary-title&gt;&lt;/titles&gt;&lt;periodical&gt;&lt;full-title&gt;Clinical Cancer Research&lt;/full-title&gt;&lt;/periodical&gt;&lt;volume&gt;13&lt;/volume&gt;&lt;number&gt;15&lt;/number&gt;&lt;dates&gt;&lt;year&gt;2007&lt;/year&gt;&lt;/dates&gt;&lt;urls&gt;&lt;/urls&gt;&lt;/record&gt;&lt;/Cite&gt;&lt;/EndNote&gt;</w:instrText>
      </w:r>
      <w:r w:rsidR="00DF20AC">
        <w:rPr>
          <w:bCs/>
          <w:iCs/>
        </w:rPr>
        <w:fldChar w:fldCharType="separate"/>
      </w:r>
      <w:r w:rsidR="00DF20AC">
        <w:rPr>
          <w:bCs/>
          <w:iCs/>
          <w:noProof/>
        </w:rPr>
        <w:t>(3)</w:t>
      </w:r>
      <w:r w:rsidR="00DF20AC">
        <w:rPr>
          <w:bCs/>
          <w:iCs/>
        </w:rPr>
        <w:fldChar w:fldCharType="end"/>
      </w:r>
      <w:r w:rsidR="008C70C8">
        <w:rPr>
          <w:bCs/>
          <w:iCs/>
        </w:rPr>
        <w:t>.</w:t>
      </w:r>
    </w:p>
    <w:p w14:paraId="3414E860" w14:textId="5EB66522" w:rsidR="008C70C8" w:rsidRDefault="008C70C8" w:rsidP="00767E24">
      <w:pPr>
        <w:ind w:left="360"/>
        <w:jc w:val="both"/>
        <w:rPr>
          <w:bCs/>
          <w:iCs/>
        </w:rPr>
      </w:pPr>
      <w:r>
        <w:rPr>
          <w:bCs/>
          <w:iCs/>
        </w:rPr>
        <w:t>Triple</w:t>
      </w:r>
      <w:r>
        <w:rPr>
          <w:bCs/>
          <w:iCs/>
        </w:rPr>
        <w:noBreakHyphen/>
        <w:t xml:space="preserve">negative breast cancer accounts for between 12-20% of newly diagnosed </w:t>
      </w:r>
      <w:r w:rsidR="00001C18">
        <w:rPr>
          <w:bCs/>
          <w:iCs/>
        </w:rPr>
        <w:t>breast cancer</w:t>
      </w:r>
      <w:r>
        <w:rPr>
          <w:bCs/>
          <w:iCs/>
        </w:rPr>
        <w:t xml:space="preserve"> cases</w:t>
      </w:r>
      <w:r w:rsidR="00332CB9">
        <w:rPr>
          <w:bCs/>
          <w:iCs/>
        </w:rPr>
        <w:t xml:space="preserve"> and approximately</w:t>
      </w:r>
      <w:r>
        <w:rPr>
          <w:bCs/>
          <w:iCs/>
        </w:rPr>
        <w:t xml:space="preserve"> </w:t>
      </w:r>
      <w:r w:rsidR="00DA35E6">
        <w:rPr>
          <w:bCs/>
          <w:iCs/>
        </w:rPr>
        <w:t>15</w:t>
      </w:r>
      <w:r>
        <w:rPr>
          <w:bCs/>
          <w:iCs/>
        </w:rPr>
        <w:t xml:space="preserve">-20% of </w:t>
      </w:r>
      <w:r w:rsidR="00D63E87">
        <w:rPr>
          <w:bCs/>
          <w:iCs/>
        </w:rPr>
        <w:t>breast cancer</w:t>
      </w:r>
      <w:r w:rsidR="00332CB9">
        <w:rPr>
          <w:bCs/>
          <w:iCs/>
        </w:rPr>
        <w:t xml:space="preserve"> cases overall</w:t>
      </w:r>
      <w:r w:rsidR="00DF20AC">
        <w:rPr>
          <w:bCs/>
          <w:iCs/>
        </w:rPr>
        <w:t xml:space="preserve"> </w:t>
      </w:r>
      <w:r w:rsidR="00DF20AC">
        <w:rPr>
          <w:bCs/>
          <w:iCs/>
        </w:rPr>
        <w:fldChar w:fldCharType="begin"/>
      </w:r>
      <w:r w:rsidR="00DF20AC">
        <w:rPr>
          <w:bCs/>
          <w:iCs/>
        </w:rPr>
        <w:instrText xml:space="preserve"> ADDIN EN.CITE &lt;EndNote&gt;&lt;Cite&gt;&lt;Author&gt;Chacon&lt;/Author&gt;&lt;Year&gt;2010&lt;/Year&gt;&lt;RecNum&gt;2&lt;/RecNum&gt;&lt;DisplayText&gt;(4, 5)&lt;/DisplayText&gt;&lt;record&gt;&lt;rec-number&gt;2&lt;/rec-number&gt;&lt;foreign-keys&gt;&lt;key app="EN" db-id="e052e5x9tdfxzhe2zrlvfszipszset9005xv" timestamp="1539142781"&gt;2&lt;/key&gt;&lt;/foreign-keys&gt;&lt;ref-type name="Journal Article"&gt;17&lt;/ref-type&gt;&lt;contributors&gt;&lt;authors&gt;&lt;author&gt;Chacon, RD&lt;/author&gt;&lt;author&gt;Costanzo, M,&lt;/author&gt;&lt;/authors&gt;&lt;/contributors&gt;&lt;titles&gt;&lt;title&gt;Triple-negative breast cancer&lt;/title&gt;&lt;secondary-title&gt;Breast Cancer Research&lt;/secondary-title&gt;&lt;/titles&gt;&lt;periodical&gt;&lt;full-title&gt;Breast Cancer Research&lt;/full-title&gt;&lt;/periodical&gt;&lt;volume&gt;12&lt;/volume&gt;&lt;number&gt;Suppl. 2&lt;/number&gt;&lt;dates&gt;&lt;year&gt;2010&lt;/year&gt;&lt;/dates&gt;&lt;urls&gt;&lt;/urls&gt;&lt;/record&gt;&lt;/Cite&gt;&lt;Cite&gt;&lt;Author&gt;Foulkes&lt;/Author&gt;&lt;Year&gt;2010&lt;/Year&gt;&lt;RecNum&gt;6&lt;/RecNum&gt;&lt;record&gt;&lt;rec-number&gt;6&lt;/rec-number&gt;&lt;foreign-keys&gt;&lt;key app="EN" db-id="e052e5x9tdfxzhe2zrlvfszipszset9005xv" timestamp="1539143533"&gt;6&lt;/key&gt;&lt;/foreign-keys&gt;&lt;ref-type name="Journal Article"&gt;17&lt;/ref-type&gt;&lt;contributors&gt;&lt;authors&gt;&lt;author&gt;Foulkes, W&lt;/author&gt;&lt;author&gt;Smith, I&lt;/author&gt;&lt;author&gt;Reis-Filho, J&lt;/author&gt;&lt;/authors&gt;&lt;/contributors&gt;&lt;titles&gt;&lt;title&gt;Triple-negative breast cancer&lt;/title&gt;&lt;secondary-title&gt;The New England Journal of Medicine&lt;/secondary-title&gt;&lt;/titles&gt;&lt;periodical&gt;&lt;full-title&gt;The New England Journal of Medicine&lt;/full-title&gt;&lt;/periodical&gt;&lt;volume&gt;363&lt;/volume&gt;&lt;dates&gt;&lt;year&gt;2010&lt;/year&gt;&lt;/dates&gt;&lt;urls&gt;&lt;/urls&gt;&lt;/record&gt;&lt;/Cite&gt;&lt;/EndNote&gt;</w:instrText>
      </w:r>
      <w:r w:rsidR="00DF20AC">
        <w:rPr>
          <w:bCs/>
          <w:iCs/>
        </w:rPr>
        <w:fldChar w:fldCharType="separate"/>
      </w:r>
      <w:r w:rsidR="00DF20AC">
        <w:rPr>
          <w:bCs/>
          <w:iCs/>
          <w:noProof/>
        </w:rPr>
        <w:t>(4, 5)</w:t>
      </w:r>
      <w:r w:rsidR="00DF20AC">
        <w:rPr>
          <w:bCs/>
          <w:iCs/>
        </w:rPr>
        <w:fldChar w:fldCharType="end"/>
      </w:r>
      <w:r>
        <w:rPr>
          <w:bCs/>
          <w:iCs/>
        </w:rPr>
        <w:t xml:space="preserve">. Compared to other </w:t>
      </w:r>
      <w:r w:rsidR="00001C18">
        <w:rPr>
          <w:bCs/>
          <w:iCs/>
        </w:rPr>
        <w:t>breast cancer</w:t>
      </w:r>
      <w:r>
        <w:rPr>
          <w:bCs/>
          <w:iCs/>
        </w:rPr>
        <w:t xml:space="preserve"> subtypes, TNBC tumours are generally </w:t>
      </w:r>
      <w:proofErr w:type="gramStart"/>
      <w:r>
        <w:rPr>
          <w:bCs/>
          <w:iCs/>
        </w:rPr>
        <w:t>larger in size</w:t>
      </w:r>
      <w:proofErr w:type="gramEnd"/>
      <w:r>
        <w:rPr>
          <w:bCs/>
          <w:iCs/>
        </w:rPr>
        <w:t>, more poorly differentiated, have more extensive lymph-node involvement at diagnosis, and exhibit an invasive phenotype. Patients with TNBC have a higher risk of both local and distant recurrence</w:t>
      </w:r>
      <w:r w:rsidR="003A5DD5">
        <w:rPr>
          <w:bCs/>
          <w:iCs/>
        </w:rPr>
        <w:t>,</w:t>
      </w:r>
      <w:r>
        <w:rPr>
          <w:bCs/>
          <w:iCs/>
        </w:rPr>
        <w:t xml:space="preserve"> and metastases are more likely to occur in visceral organs and the brain rather than bone compared to patients with other breast cancer</w:t>
      </w:r>
      <w:r w:rsidR="00DA35E6">
        <w:rPr>
          <w:bCs/>
          <w:iCs/>
        </w:rPr>
        <w:t>s</w:t>
      </w:r>
      <w:r w:rsidR="00DF20AC">
        <w:rPr>
          <w:bCs/>
          <w:iCs/>
        </w:rPr>
        <w:t xml:space="preserve"> </w:t>
      </w:r>
      <w:r w:rsidR="00DF20AC">
        <w:rPr>
          <w:bCs/>
          <w:iCs/>
        </w:rPr>
        <w:fldChar w:fldCharType="begin"/>
      </w:r>
      <w:r w:rsidR="00DF20AC">
        <w:rPr>
          <w:bCs/>
          <w:iCs/>
        </w:rPr>
        <w:instrText xml:space="preserve"> ADDIN EN.CITE &lt;EndNote&gt;&lt;Cite&gt;&lt;Author&gt;Carey&lt;/Author&gt;&lt;Year&gt;2006&lt;/Year&gt;&lt;RecNum&gt;1&lt;/RecNum&gt;&lt;DisplayText&gt;(6)&lt;/DisplayText&gt;&lt;record&gt;&lt;rec-number&gt;1&lt;/rec-number&gt;&lt;foreign-keys&gt;&lt;key app="EN" db-id="e052e5x9tdfxzhe2zrlvfszipszset9005xv" timestamp="1539141994"&gt;1&lt;/key&gt;&lt;/foreign-keys&gt;&lt;ref-type name="Journal Article"&gt;17&lt;/ref-type&gt;&lt;contributors&gt;&lt;authors&gt;&lt;author&gt;Carey, LA&lt;/author&gt;&lt;author&gt;Perou, CM&lt;/author&gt;&lt;author&gt;Livasy, CA&lt;/author&gt;&lt;author&gt;et al.,&lt;/author&gt;&lt;/authors&gt;&lt;/contributors&gt;&lt;titles&gt;&lt;title&gt;Race, breast cancer subtypes, and survival in the Carolina Breast Cancer Study&lt;/title&gt;&lt;secondary-title&gt;JAMA&lt;/secondary-title&gt;&lt;/titles&gt;&lt;periodical&gt;&lt;full-title&gt;JAMA&lt;/full-title&gt;&lt;/periodical&gt;&lt;volume&gt;295&lt;/volume&gt;&lt;number&gt;21&lt;/number&gt;&lt;dates&gt;&lt;year&gt;2006&lt;/year&gt;&lt;/dates&gt;&lt;urls&gt;&lt;/urls&gt;&lt;/record&gt;&lt;/Cite&gt;&lt;/EndNote&gt;</w:instrText>
      </w:r>
      <w:r w:rsidR="00DF20AC">
        <w:rPr>
          <w:bCs/>
          <w:iCs/>
        </w:rPr>
        <w:fldChar w:fldCharType="separate"/>
      </w:r>
      <w:r w:rsidR="00DF20AC">
        <w:rPr>
          <w:bCs/>
          <w:iCs/>
          <w:noProof/>
        </w:rPr>
        <w:t>(6)</w:t>
      </w:r>
      <w:r w:rsidR="00DF20AC">
        <w:rPr>
          <w:bCs/>
          <w:iCs/>
        </w:rPr>
        <w:fldChar w:fldCharType="end"/>
      </w:r>
      <w:r>
        <w:rPr>
          <w:bCs/>
          <w:iCs/>
        </w:rPr>
        <w:t>.</w:t>
      </w:r>
    </w:p>
    <w:p w14:paraId="1652B6C0" w14:textId="77777777" w:rsidR="00B7045D" w:rsidRPr="00751A2D" w:rsidRDefault="00B7045D" w:rsidP="00767E24">
      <w:pPr>
        <w:ind w:left="360"/>
        <w:jc w:val="both"/>
        <w:rPr>
          <w:bCs/>
          <w:iCs/>
        </w:rPr>
      </w:pPr>
    </w:p>
    <w:p w14:paraId="2D254860" w14:textId="77777777" w:rsidR="000955E7" w:rsidRDefault="000955E7" w:rsidP="00767E24">
      <w:pPr>
        <w:pStyle w:val="Heading2"/>
        <w:jc w:val="both"/>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6F78A50B" w14:textId="1E52B77C" w:rsidR="00CB12EC" w:rsidRDefault="003A5DD5" w:rsidP="00767E24">
      <w:pPr>
        <w:ind w:left="360"/>
        <w:jc w:val="both"/>
        <w:rPr>
          <w:lang w:val="en-GB"/>
        </w:rPr>
      </w:pPr>
      <w:r>
        <w:rPr>
          <w:lang w:val="en-GB"/>
        </w:rPr>
        <w:t>The proposed medical service is an IHC</w:t>
      </w:r>
      <w:r w:rsidR="00D738BB">
        <w:rPr>
          <w:lang w:val="en-GB"/>
        </w:rPr>
        <w:t xml:space="preserve"> tes</w:t>
      </w:r>
      <w:r w:rsidR="00DA35E6">
        <w:rPr>
          <w:lang w:val="en-GB"/>
        </w:rPr>
        <w:t>t</w:t>
      </w:r>
      <w:r w:rsidR="00D738BB">
        <w:rPr>
          <w:lang w:val="en-GB"/>
        </w:rPr>
        <w:t xml:space="preserve"> for evaluation of PD-L1 expression to determine eligibility for treatment with atezolizumab</w:t>
      </w:r>
      <w:r>
        <w:rPr>
          <w:lang w:val="en-GB"/>
        </w:rPr>
        <w:t xml:space="preserve"> </w:t>
      </w:r>
      <w:r w:rsidR="00D738BB">
        <w:rPr>
          <w:lang w:val="en-GB"/>
        </w:rPr>
        <w:t>in patients with locally advanced or metastatic TNBC</w:t>
      </w:r>
      <w:r w:rsidR="0070717F">
        <w:rPr>
          <w:lang w:val="en-GB"/>
        </w:rPr>
        <w:t xml:space="preserve"> who are previously untreated in the advanced setting</w:t>
      </w:r>
      <w:r w:rsidR="00D738BB">
        <w:rPr>
          <w:lang w:val="en-GB"/>
        </w:rPr>
        <w:t>. The biopsy sample taken as part of a standard diagnostic process will be used for immunohistochemical testing with PD-L1. The testing would be done by a pathologist alongside other immunohistochemical tests which are done routinely.</w:t>
      </w:r>
    </w:p>
    <w:p w14:paraId="2DBF86A7" w14:textId="77777777" w:rsidR="00B7045D" w:rsidRPr="00CB12EC" w:rsidRDefault="00B7045D" w:rsidP="00767E24">
      <w:pPr>
        <w:ind w:left="360"/>
        <w:jc w:val="both"/>
      </w:pPr>
    </w:p>
    <w:p w14:paraId="02609208" w14:textId="77777777" w:rsidR="00D11EB1" w:rsidRPr="0011036E" w:rsidRDefault="00730C04" w:rsidP="00767E24">
      <w:pPr>
        <w:pStyle w:val="Heading2"/>
        <w:jc w:val="both"/>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4DCEFA46" w14:textId="77777777" w:rsidR="00753C44" w:rsidRDefault="0093159A" w:rsidP="00767E24">
      <w:pPr>
        <w:spacing w:before="0" w:after="0"/>
        <w:ind w:left="284"/>
        <w:jc w:val="both"/>
        <w:rPr>
          <w:szCs w:val="20"/>
        </w:rPr>
      </w:pPr>
      <w:r>
        <w:rPr>
          <w:szCs w:val="20"/>
        </w:rPr>
        <w:fldChar w:fldCharType="begin">
          <w:ffData>
            <w:name w:val="Check1"/>
            <w:enabled/>
            <w:calcOnExit w:val="0"/>
            <w:checkBox>
              <w:sizeAuto/>
              <w:default w:val="1"/>
            </w:checkBox>
          </w:ffData>
        </w:fldChar>
      </w:r>
      <w:bookmarkStart w:id="3" w:name="Check1"/>
      <w:r>
        <w:rPr>
          <w:szCs w:val="20"/>
        </w:rPr>
        <w:instrText xml:space="preserve"> FORMCHECKBOX </w:instrText>
      </w:r>
      <w:r w:rsidR="00E30EA2">
        <w:rPr>
          <w:szCs w:val="20"/>
        </w:rPr>
      </w:r>
      <w:r w:rsidR="00E30EA2">
        <w:rPr>
          <w:szCs w:val="20"/>
        </w:rPr>
        <w:fldChar w:fldCharType="separate"/>
      </w:r>
      <w:r>
        <w:rPr>
          <w:szCs w:val="20"/>
        </w:rPr>
        <w:fldChar w:fldCharType="end"/>
      </w:r>
      <w:bookmarkEnd w:id="3"/>
      <w:r w:rsidR="006B6390">
        <w:rPr>
          <w:szCs w:val="20"/>
        </w:rPr>
        <w:t xml:space="preserve"> Yes</w:t>
      </w:r>
    </w:p>
    <w:p w14:paraId="18642035" w14:textId="77777777" w:rsidR="00753C44" w:rsidRPr="00753C44" w:rsidRDefault="006B6390" w:rsidP="00767E24">
      <w:pPr>
        <w:spacing w:before="0" w:after="0"/>
        <w:ind w:left="284"/>
        <w:jc w:val="both"/>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E30EA2">
        <w:rPr>
          <w:szCs w:val="20"/>
        </w:rPr>
      </w:r>
      <w:r w:rsidR="00E30EA2">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54345464" w14:textId="77777777" w:rsidR="000B3CD0" w:rsidRPr="0011036E" w:rsidRDefault="000B3CD0" w:rsidP="00767E24">
      <w:pPr>
        <w:pStyle w:val="Heading2"/>
        <w:numPr>
          <w:ilvl w:val="0"/>
          <w:numId w:val="3"/>
        </w:numPr>
        <w:jc w:val="both"/>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w:t>
      </w:r>
      <w:proofErr w:type="gramStart"/>
      <w:r w:rsidR="00D11EB1" w:rsidRPr="0011036E">
        <w:rPr>
          <w:rStyle w:val="Strong"/>
          <w:rFonts w:asciiTheme="minorHAnsi" w:eastAsiaTheme="minorHAnsi" w:hAnsiTheme="minorHAnsi" w:cstheme="minorBidi"/>
          <w:b/>
        </w:rPr>
        <w:t xml:space="preserve">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covered</w:t>
      </w:r>
      <w:proofErr w:type="gramEnd"/>
      <w:r w:rsidRPr="0011036E">
        <w:rPr>
          <w:rStyle w:val="Strong"/>
          <w:rFonts w:asciiTheme="minorHAnsi" w:eastAsiaTheme="minorHAnsi" w:hAnsiTheme="minorHAnsi" w:cstheme="minorBidi"/>
          <w:b/>
        </w:rPr>
        <w:t xml:space="preserve">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76965093" w14:textId="3A784DF0" w:rsidR="00753C44" w:rsidRDefault="00DA35E6" w:rsidP="00767E24">
      <w:pPr>
        <w:spacing w:before="0" w:after="0"/>
        <w:ind w:left="284"/>
        <w:jc w:val="both"/>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E30EA2">
        <w:rPr>
          <w:szCs w:val="20"/>
        </w:rPr>
      </w:r>
      <w:r w:rsidR="00E30EA2">
        <w:rPr>
          <w:szCs w:val="20"/>
        </w:rPr>
        <w:fldChar w:fldCharType="separate"/>
      </w:r>
      <w:r w:rsidRPr="00753C44">
        <w:rPr>
          <w:szCs w:val="20"/>
        </w:rPr>
        <w:fldChar w:fldCharType="end"/>
      </w:r>
      <w:r w:rsidR="006B6390">
        <w:rPr>
          <w:szCs w:val="20"/>
        </w:rPr>
        <w:t xml:space="preserve"> </w:t>
      </w:r>
      <w:r w:rsidR="00753C44" w:rsidRPr="00154B00">
        <w:rPr>
          <w:szCs w:val="20"/>
        </w:rPr>
        <w:t>Amendment to existing MBS item</w:t>
      </w:r>
      <w:r w:rsidR="00753C44">
        <w:rPr>
          <w:szCs w:val="20"/>
        </w:rPr>
        <w:t>(s)</w:t>
      </w:r>
    </w:p>
    <w:p w14:paraId="7F9E05D8" w14:textId="77777777" w:rsidR="00753C44" w:rsidRDefault="0093159A" w:rsidP="00767E24">
      <w:pPr>
        <w:spacing w:before="0" w:after="0"/>
        <w:ind w:left="284"/>
        <w:jc w:val="both"/>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30EA2">
        <w:rPr>
          <w:szCs w:val="20"/>
        </w:rPr>
      </w:r>
      <w:r w:rsidR="00E30EA2">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5E5F3D4C" w14:textId="4CD3329B" w:rsidR="0057697E" w:rsidRDefault="000B3CD0" w:rsidP="00767E24">
      <w:pPr>
        <w:pStyle w:val="Heading2"/>
        <w:numPr>
          <w:ilvl w:val="0"/>
          <w:numId w:val="3"/>
        </w:numPr>
        <w:jc w:val="both"/>
        <w:rPr>
          <w:rStyle w:val="Strong"/>
          <w:rFonts w:asciiTheme="minorHAnsi" w:eastAsiaTheme="minorHAnsi" w:hAnsiTheme="minorHAnsi" w:cstheme="minorBidi"/>
          <w:b/>
        </w:rPr>
      </w:pPr>
      <w:r w:rsidRPr="005B5FF1">
        <w:rPr>
          <w:rStyle w:val="Strong"/>
          <w:rFonts w:asciiTheme="minorHAnsi" w:eastAsiaTheme="minorHAnsi" w:hAnsiTheme="minorHAnsi" w:cstheme="minorBidi"/>
          <w:b/>
        </w:rPr>
        <w:t xml:space="preserve">If </w:t>
      </w:r>
      <w:r w:rsidR="00126B33" w:rsidRPr="005B5FF1">
        <w:rPr>
          <w:rStyle w:val="Strong"/>
          <w:rFonts w:asciiTheme="minorHAnsi" w:eastAsiaTheme="minorHAnsi" w:hAnsiTheme="minorHAnsi" w:cstheme="minorBidi"/>
          <w:b/>
        </w:rPr>
        <w:t xml:space="preserve">an amendment </w:t>
      </w:r>
      <w:r w:rsidR="003020B5" w:rsidRPr="005B5FF1">
        <w:rPr>
          <w:rStyle w:val="Strong"/>
          <w:rFonts w:asciiTheme="minorHAnsi" w:eastAsiaTheme="minorHAnsi" w:hAnsiTheme="minorHAnsi" w:cstheme="minorBidi"/>
          <w:b/>
        </w:rPr>
        <w:t xml:space="preserve">to </w:t>
      </w:r>
      <w:r w:rsidR="00126B33" w:rsidRPr="005B5FF1">
        <w:rPr>
          <w:rStyle w:val="Strong"/>
          <w:rFonts w:asciiTheme="minorHAnsi" w:eastAsiaTheme="minorHAnsi" w:hAnsiTheme="minorHAnsi" w:cstheme="minorBidi"/>
          <w:b/>
        </w:rPr>
        <w:t xml:space="preserve">an </w:t>
      </w:r>
      <w:r w:rsidR="003020B5" w:rsidRPr="005B5FF1">
        <w:rPr>
          <w:rStyle w:val="Strong"/>
          <w:rFonts w:asciiTheme="minorHAnsi" w:eastAsiaTheme="minorHAnsi" w:hAnsiTheme="minorHAnsi" w:cstheme="minorBidi"/>
          <w:b/>
        </w:rPr>
        <w:t>existing item</w:t>
      </w:r>
      <w:r w:rsidR="005D0677" w:rsidRPr="005B5FF1">
        <w:rPr>
          <w:rStyle w:val="Strong"/>
          <w:rFonts w:asciiTheme="minorHAnsi" w:eastAsiaTheme="minorHAnsi" w:hAnsiTheme="minorHAnsi" w:cstheme="minorBidi"/>
          <w:b/>
        </w:rPr>
        <w:t>(s)</w:t>
      </w:r>
      <w:r w:rsidR="00126B33" w:rsidRPr="005B5FF1">
        <w:rPr>
          <w:rStyle w:val="Strong"/>
          <w:rFonts w:asciiTheme="minorHAnsi" w:eastAsiaTheme="minorHAnsi" w:hAnsiTheme="minorHAnsi" w:cstheme="minorBidi"/>
          <w:b/>
        </w:rPr>
        <w:t xml:space="preserve"> </w:t>
      </w:r>
      <w:proofErr w:type="gramStart"/>
      <w:r w:rsidR="00126B33" w:rsidRPr="005B5FF1">
        <w:rPr>
          <w:rStyle w:val="Strong"/>
          <w:rFonts w:asciiTheme="minorHAnsi" w:eastAsiaTheme="minorHAnsi" w:hAnsiTheme="minorHAnsi" w:cstheme="minorBidi"/>
          <w:b/>
        </w:rPr>
        <w:t>is being sought</w:t>
      </w:r>
      <w:proofErr w:type="gramEnd"/>
      <w:r w:rsidR="003020B5" w:rsidRPr="005B5FF1">
        <w:rPr>
          <w:rStyle w:val="Strong"/>
          <w:rFonts w:asciiTheme="minorHAnsi" w:eastAsiaTheme="minorHAnsi" w:hAnsiTheme="minorHAnsi" w:cstheme="minorBidi"/>
          <w:b/>
        </w:rPr>
        <w:t>,</w:t>
      </w:r>
      <w:r w:rsidRPr="005B5FF1">
        <w:rPr>
          <w:rStyle w:val="Strong"/>
          <w:rFonts w:asciiTheme="minorHAnsi" w:eastAsiaTheme="minorHAnsi" w:hAnsiTheme="minorHAnsi" w:cstheme="minorBidi"/>
          <w:b/>
        </w:rPr>
        <w:t xml:space="preserve"> please </w:t>
      </w:r>
      <w:r w:rsidR="00126B33" w:rsidRPr="005B5FF1">
        <w:rPr>
          <w:rStyle w:val="Strong"/>
          <w:rFonts w:asciiTheme="minorHAnsi" w:eastAsiaTheme="minorHAnsi" w:hAnsiTheme="minorHAnsi" w:cstheme="minorBidi"/>
          <w:b/>
        </w:rPr>
        <w:t xml:space="preserve">list </w:t>
      </w:r>
      <w:r w:rsidRPr="005B5FF1">
        <w:rPr>
          <w:rStyle w:val="Strong"/>
          <w:rFonts w:asciiTheme="minorHAnsi" w:eastAsiaTheme="minorHAnsi" w:hAnsiTheme="minorHAnsi" w:cstheme="minorBidi"/>
          <w:b/>
        </w:rPr>
        <w:t xml:space="preserve">the relevant MBS item number(s) </w:t>
      </w:r>
      <w:r w:rsidR="009C03FB" w:rsidRPr="005B5FF1">
        <w:rPr>
          <w:rStyle w:val="Strong"/>
          <w:rFonts w:asciiTheme="minorHAnsi" w:eastAsiaTheme="minorHAnsi" w:hAnsiTheme="minorHAnsi" w:cstheme="minorBidi"/>
          <w:b/>
        </w:rPr>
        <w:t xml:space="preserve">that </w:t>
      </w:r>
      <w:r w:rsidR="00126B33" w:rsidRPr="005B5FF1">
        <w:rPr>
          <w:rStyle w:val="Strong"/>
          <w:rFonts w:asciiTheme="minorHAnsi" w:eastAsiaTheme="minorHAnsi" w:hAnsiTheme="minorHAnsi" w:cstheme="minorBidi"/>
          <w:b/>
        </w:rPr>
        <w:t xml:space="preserve">are </w:t>
      </w:r>
      <w:r w:rsidR="005A6AB9" w:rsidRPr="005B5FF1">
        <w:rPr>
          <w:rStyle w:val="Strong"/>
          <w:rFonts w:asciiTheme="minorHAnsi" w:eastAsiaTheme="minorHAnsi" w:hAnsiTheme="minorHAnsi" w:cstheme="minorBidi"/>
          <w:b/>
        </w:rPr>
        <w:t xml:space="preserve">to be </w:t>
      </w:r>
      <w:r w:rsidR="00126B33" w:rsidRPr="005B5FF1">
        <w:rPr>
          <w:rStyle w:val="Strong"/>
          <w:rFonts w:asciiTheme="minorHAnsi" w:eastAsiaTheme="minorHAnsi" w:hAnsiTheme="minorHAnsi" w:cstheme="minorBidi"/>
          <w:b/>
        </w:rPr>
        <w:t xml:space="preserve">amended </w:t>
      </w:r>
      <w:r w:rsidR="005A6AB9" w:rsidRPr="005B5FF1">
        <w:rPr>
          <w:rStyle w:val="Strong"/>
          <w:rFonts w:asciiTheme="minorHAnsi" w:eastAsiaTheme="minorHAnsi" w:hAnsiTheme="minorHAnsi" w:cstheme="minorBidi"/>
          <w:b/>
        </w:rPr>
        <w:t xml:space="preserve">to </w:t>
      </w:r>
      <w:r w:rsidR="00A93F58" w:rsidRPr="005B5FF1">
        <w:rPr>
          <w:rStyle w:val="Strong"/>
          <w:rFonts w:asciiTheme="minorHAnsi" w:eastAsiaTheme="minorHAnsi" w:hAnsiTheme="minorHAnsi" w:cstheme="minorBidi"/>
          <w:b/>
        </w:rPr>
        <w:t xml:space="preserve">include </w:t>
      </w:r>
      <w:r w:rsidR="005A6AB9" w:rsidRPr="005B5FF1">
        <w:rPr>
          <w:rStyle w:val="Strong"/>
          <w:rFonts w:asciiTheme="minorHAnsi" w:eastAsiaTheme="minorHAnsi" w:hAnsiTheme="minorHAnsi" w:cstheme="minorBidi"/>
          <w:b/>
        </w:rPr>
        <w:t>the proposed medical service</w:t>
      </w:r>
      <w:r w:rsidR="00802553" w:rsidRPr="005B5FF1">
        <w:rPr>
          <w:rStyle w:val="Strong"/>
          <w:rFonts w:asciiTheme="minorHAnsi" w:eastAsiaTheme="minorHAnsi" w:hAnsiTheme="minorHAnsi" w:cstheme="minorBidi"/>
          <w:b/>
        </w:rPr>
        <w:t>:</w:t>
      </w:r>
    </w:p>
    <w:p w14:paraId="7A901B81" w14:textId="15E11C29" w:rsidR="00932AA4" w:rsidRPr="007977DB" w:rsidRDefault="00932AA4" w:rsidP="00767E24">
      <w:pPr>
        <w:pStyle w:val="Heading2"/>
        <w:numPr>
          <w:ilvl w:val="0"/>
          <w:numId w:val="0"/>
        </w:numPr>
        <w:ind w:left="360" w:firstLine="360"/>
        <w:jc w:val="both"/>
        <w:rPr>
          <w:szCs w:val="22"/>
        </w:rPr>
      </w:pPr>
    </w:p>
    <w:p w14:paraId="057C0F2A" w14:textId="77777777" w:rsidR="006C0843" w:rsidRPr="0011036E" w:rsidRDefault="006C0843" w:rsidP="00767E24">
      <w:pPr>
        <w:pStyle w:val="Heading2"/>
        <w:numPr>
          <w:ilvl w:val="0"/>
          <w:numId w:val="3"/>
        </w:numPr>
        <w:jc w:val="both"/>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proofErr w:type="gramStart"/>
      <w:r w:rsidRPr="0011036E">
        <w:rPr>
          <w:rStyle w:val="Strong"/>
          <w:rFonts w:asciiTheme="minorHAnsi" w:eastAsiaTheme="minorHAnsi" w:hAnsiTheme="minorHAnsi" w:cstheme="minorBidi"/>
          <w:b/>
        </w:rPr>
        <w:t>is being sought</w:t>
      </w:r>
      <w:proofErr w:type="gramEnd"/>
      <w:r w:rsidRPr="0011036E">
        <w:rPr>
          <w:rStyle w:val="Strong"/>
          <w:rFonts w:asciiTheme="minorHAnsi" w:eastAsiaTheme="minorHAnsi" w:hAnsiTheme="minorHAnsi" w:cstheme="minorBidi"/>
          <w:b/>
        </w:rPr>
        <w: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035E75EF" w14:textId="77777777" w:rsidR="002A270B" w:rsidRPr="004A263B" w:rsidRDefault="002A270B" w:rsidP="00767E24">
      <w:pPr>
        <w:pStyle w:val="ListParagraph"/>
        <w:numPr>
          <w:ilvl w:val="0"/>
          <w:numId w:val="13"/>
        </w:numPr>
        <w:spacing w:before="0" w:after="0"/>
        <w:ind w:left="851" w:hanging="425"/>
        <w:jc w:val="both"/>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E30EA2">
        <w:rPr>
          <w:b/>
          <w:szCs w:val="20"/>
        </w:rPr>
      </w:r>
      <w:r w:rsidR="00E30EA2">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59DF03BA" w14:textId="5BC7F6BA" w:rsidR="002A270B" w:rsidRPr="004A263B" w:rsidRDefault="00DA35E6" w:rsidP="00767E24">
      <w:pPr>
        <w:pStyle w:val="ListParagraph"/>
        <w:numPr>
          <w:ilvl w:val="0"/>
          <w:numId w:val="13"/>
        </w:numPr>
        <w:spacing w:before="0" w:after="0"/>
        <w:ind w:left="851" w:hanging="425"/>
        <w:jc w:val="both"/>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E30EA2">
        <w:rPr>
          <w:b/>
          <w:szCs w:val="20"/>
        </w:rPr>
      </w:r>
      <w:r w:rsidR="00E30EA2">
        <w:rPr>
          <w:b/>
          <w:szCs w:val="20"/>
        </w:rPr>
        <w:fldChar w:fldCharType="separate"/>
      </w:r>
      <w:r w:rsidRPr="004A263B">
        <w:rPr>
          <w:b/>
          <w:szCs w:val="20"/>
        </w:rPr>
        <w:fldChar w:fldCharType="end"/>
      </w:r>
      <w:r w:rsidR="002A270B" w:rsidRPr="004A263B">
        <w:rPr>
          <w:rStyle w:val="Strong"/>
          <w:b w:val="0"/>
        </w:rPr>
        <w:t>An amendment to the patient population under the existing item(s)</w:t>
      </w:r>
    </w:p>
    <w:p w14:paraId="5B9ECF5C" w14:textId="77777777" w:rsidR="002A270B" w:rsidRPr="004A263B" w:rsidRDefault="002A270B" w:rsidP="00767E24">
      <w:pPr>
        <w:pStyle w:val="ListParagraph"/>
        <w:numPr>
          <w:ilvl w:val="0"/>
          <w:numId w:val="13"/>
        </w:numPr>
        <w:spacing w:before="0" w:after="0"/>
        <w:ind w:left="851" w:hanging="425"/>
        <w:jc w:val="both"/>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E30EA2">
        <w:rPr>
          <w:b/>
          <w:szCs w:val="20"/>
        </w:rPr>
      </w:r>
      <w:r w:rsidR="00E30EA2">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7685DFA0" w14:textId="77777777" w:rsidR="002A270B" w:rsidRPr="004A263B" w:rsidRDefault="002A270B" w:rsidP="00767E24">
      <w:pPr>
        <w:pStyle w:val="ListParagraph"/>
        <w:numPr>
          <w:ilvl w:val="0"/>
          <w:numId w:val="13"/>
        </w:numPr>
        <w:spacing w:before="0" w:after="0"/>
        <w:ind w:left="851" w:hanging="425"/>
        <w:jc w:val="both"/>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E30EA2">
        <w:rPr>
          <w:b/>
          <w:szCs w:val="20"/>
        </w:rPr>
      </w:r>
      <w:r w:rsidR="00E30EA2">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08E0E9DA" w14:textId="77777777" w:rsidR="002A270B" w:rsidRPr="004A263B" w:rsidRDefault="002A270B" w:rsidP="00767E24">
      <w:pPr>
        <w:pStyle w:val="ListParagraph"/>
        <w:numPr>
          <w:ilvl w:val="0"/>
          <w:numId w:val="13"/>
        </w:numPr>
        <w:spacing w:before="0" w:after="0"/>
        <w:ind w:left="851" w:hanging="425"/>
        <w:jc w:val="both"/>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E30EA2">
        <w:rPr>
          <w:b/>
          <w:szCs w:val="20"/>
        </w:rPr>
      </w:r>
      <w:r w:rsidR="00E30EA2">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3777F2E3" w14:textId="77777777" w:rsidR="002A270B" w:rsidRPr="004A263B" w:rsidRDefault="002A270B" w:rsidP="00767E24">
      <w:pPr>
        <w:pStyle w:val="ListParagraph"/>
        <w:numPr>
          <w:ilvl w:val="0"/>
          <w:numId w:val="13"/>
        </w:numPr>
        <w:spacing w:before="0" w:after="0"/>
        <w:ind w:left="851" w:hanging="425"/>
        <w:jc w:val="both"/>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E30EA2">
        <w:rPr>
          <w:b/>
          <w:szCs w:val="20"/>
        </w:rPr>
      </w:r>
      <w:r w:rsidR="00E30EA2">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0FADCC21" w14:textId="77777777" w:rsidR="002A270B" w:rsidRPr="004A263B" w:rsidRDefault="002A270B" w:rsidP="00767E24">
      <w:pPr>
        <w:pStyle w:val="ListParagraph"/>
        <w:numPr>
          <w:ilvl w:val="0"/>
          <w:numId w:val="13"/>
        </w:numPr>
        <w:spacing w:before="0" w:after="0"/>
        <w:ind w:left="851" w:hanging="425"/>
        <w:jc w:val="both"/>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E30EA2">
        <w:rPr>
          <w:b/>
          <w:szCs w:val="20"/>
        </w:rPr>
      </w:r>
      <w:r w:rsidR="00E30EA2">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197CC36A" w14:textId="77777777" w:rsidR="002A270B" w:rsidRPr="004A263B" w:rsidRDefault="002A270B" w:rsidP="00767E24">
      <w:pPr>
        <w:pStyle w:val="ListParagraph"/>
        <w:numPr>
          <w:ilvl w:val="0"/>
          <w:numId w:val="13"/>
        </w:numPr>
        <w:spacing w:before="0" w:after="0"/>
        <w:ind w:left="851" w:hanging="425"/>
        <w:jc w:val="both"/>
        <w:rPr>
          <w:rStyle w:val="Strong"/>
          <w:b w:val="0"/>
        </w:rPr>
      </w:pPr>
      <w:r w:rsidRPr="004A263B">
        <w:rPr>
          <w:b/>
          <w:szCs w:val="20"/>
        </w:rPr>
        <w:lastRenderedPageBreak/>
        <w:fldChar w:fldCharType="begin">
          <w:ffData>
            <w:name w:val="Check2"/>
            <w:enabled/>
            <w:calcOnExit w:val="0"/>
            <w:checkBox>
              <w:sizeAuto/>
              <w:default w:val="0"/>
            </w:checkBox>
          </w:ffData>
        </w:fldChar>
      </w:r>
      <w:r w:rsidRPr="004A263B">
        <w:rPr>
          <w:b/>
          <w:szCs w:val="20"/>
        </w:rPr>
        <w:instrText xml:space="preserve"> FORMCHECKBOX </w:instrText>
      </w:r>
      <w:r w:rsidR="00E30EA2">
        <w:rPr>
          <w:b/>
          <w:szCs w:val="20"/>
        </w:rPr>
      </w:r>
      <w:r w:rsidR="00E30EA2">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6261808A" w14:textId="77777777" w:rsidR="002A270B" w:rsidRPr="00012290" w:rsidRDefault="004A263B" w:rsidP="00767E24">
      <w:pPr>
        <w:pStyle w:val="ListParagraph"/>
        <w:numPr>
          <w:ilvl w:val="0"/>
          <w:numId w:val="13"/>
        </w:numPr>
        <w:ind w:left="851" w:hanging="425"/>
        <w:jc w:val="both"/>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E30EA2">
        <w:rPr>
          <w:b/>
          <w:szCs w:val="20"/>
        </w:rPr>
      </w:r>
      <w:r w:rsidR="00E30EA2">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5FBB0171" w14:textId="77777777" w:rsidR="00534C5F" w:rsidRPr="007E39E4" w:rsidRDefault="000770BA" w:rsidP="00767E24">
      <w:pPr>
        <w:pStyle w:val="Heading2"/>
        <w:numPr>
          <w:ilvl w:val="0"/>
          <w:numId w:val="3"/>
        </w:numPr>
        <w:jc w:val="both"/>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w:t>
      </w:r>
      <w:proofErr w:type="gramStart"/>
      <w:r w:rsidR="003433D1" w:rsidRPr="007E39E4">
        <w:rPr>
          <w:rStyle w:val="Strong"/>
          <w:rFonts w:asciiTheme="minorHAnsi" w:eastAsiaTheme="minorHAnsi" w:hAnsiTheme="minorHAnsi" w:cstheme="minorBidi"/>
          <w:b/>
        </w:rPr>
        <w:t>is being requested</w:t>
      </w:r>
      <w:proofErr w:type="gramEnd"/>
      <w:r w:rsidRPr="007E39E4">
        <w:rPr>
          <w:rStyle w:val="Strong"/>
          <w:rFonts w:asciiTheme="minorHAnsi" w:eastAsiaTheme="minorHAnsi" w:hAnsiTheme="minorHAnsi" w:cstheme="minorBidi"/>
          <w:b/>
        </w:rPr>
        <w:t>, what is the nature of the change to the MBS being sought?</w:t>
      </w:r>
    </w:p>
    <w:p w14:paraId="24333FBE" w14:textId="77777777" w:rsidR="006B6390" w:rsidRPr="00AA2CFE" w:rsidRDefault="006B6390" w:rsidP="00767E24">
      <w:pPr>
        <w:pStyle w:val="ListParagraph"/>
        <w:numPr>
          <w:ilvl w:val="0"/>
          <w:numId w:val="14"/>
        </w:numPr>
        <w:spacing w:before="0" w:after="0"/>
        <w:ind w:left="851" w:hanging="425"/>
        <w:jc w:val="both"/>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E30EA2">
        <w:rPr>
          <w:b/>
          <w:szCs w:val="20"/>
        </w:rPr>
      </w:r>
      <w:r w:rsidR="00E30EA2">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5D2120E2" w14:textId="77777777" w:rsidR="006B6390" w:rsidRPr="00AA2CFE" w:rsidRDefault="0093159A" w:rsidP="00767E24">
      <w:pPr>
        <w:pStyle w:val="ListParagraph"/>
        <w:numPr>
          <w:ilvl w:val="0"/>
          <w:numId w:val="14"/>
        </w:numPr>
        <w:spacing w:before="0" w:after="0"/>
        <w:ind w:left="851" w:hanging="425"/>
        <w:jc w:val="both"/>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E30EA2">
        <w:rPr>
          <w:b/>
          <w:szCs w:val="20"/>
        </w:rPr>
      </w:r>
      <w:r w:rsidR="00E30EA2">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5AF7552B" w14:textId="77777777" w:rsidR="006B6390" w:rsidRPr="00AA2CFE" w:rsidRDefault="006B6390" w:rsidP="00767E24">
      <w:pPr>
        <w:pStyle w:val="ListParagraph"/>
        <w:numPr>
          <w:ilvl w:val="0"/>
          <w:numId w:val="14"/>
        </w:numPr>
        <w:spacing w:before="0" w:after="0"/>
        <w:ind w:left="851" w:hanging="425"/>
        <w:jc w:val="both"/>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E30EA2">
        <w:rPr>
          <w:b/>
          <w:szCs w:val="20"/>
        </w:rPr>
      </w:r>
      <w:r w:rsidR="00E30EA2">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5D8B2F02" w14:textId="77777777" w:rsidR="006B6390" w:rsidRPr="00AA2CFE" w:rsidRDefault="006B6390" w:rsidP="00767E24">
      <w:pPr>
        <w:pStyle w:val="ListParagraph"/>
        <w:numPr>
          <w:ilvl w:val="0"/>
          <w:numId w:val="14"/>
        </w:numPr>
        <w:spacing w:before="0" w:after="0"/>
        <w:ind w:left="851" w:hanging="425"/>
        <w:jc w:val="both"/>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E30EA2">
        <w:rPr>
          <w:b/>
          <w:szCs w:val="20"/>
        </w:rPr>
      </w:r>
      <w:r w:rsidR="00E30EA2">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3F973824" w14:textId="77777777" w:rsidR="003027BB" w:rsidRPr="007E39E4" w:rsidRDefault="00F30C22" w:rsidP="00767E24">
      <w:pPr>
        <w:pStyle w:val="Heading2"/>
        <w:numPr>
          <w:ilvl w:val="0"/>
          <w:numId w:val="3"/>
        </w:numPr>
        <w:jc w:val="both"/>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2751A3CF" w14:textId="77777777" w:rsidR="000A5B32" w:rsidRDefault="000A5B32" w:rsidP="00767E24">
      <w:pPr>
        <w:spacing w:before="0" w:after="0"/>
        <w:ind w:left="284"/>
        <w:jc w:val="both"/>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30EA2">
        <w:rPr>
          <w:szCs w:val="20"/>
        </w:rPr>
      </w:r>
      <w:r w:rsidR="00E30EA2">
        <w:rPr>
          <w:szCs w:val="20"/>
        </w:rPr>
        <w:fldChar w:fldCharType="separate"/>
      </w:r>
      <w:r w:rsidRPr="000A5B32">
        <w:rPr>
          <w:szCs w:val="20"/>
        </w:rPr>
        <w:fldChar w:fldCharType="end"/>
      </w:r>
      <w:r w:rsidRPr="000A5B32">
        <w:rPr>
          <w:szCs w:val="20"/>
        </w:rPr>
        <w:t xml:space="preserve"> Yes</w:t>
      </w:r>
    </w:p>
    <w:p w14:paraId="0205F0CE" w14:textId="77777777" w:rsidR="00626365" w:rsidRDefault="0093159A" w:rsidP="00767E24">
      <w:pPr>
        <w:spacing w:before="0" w:after="0"/>
        <w:ind w:left="284"/>
        <w:jc w:val="both"/>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30EA2">
        <w:rPr>
          <w:szCs w:val="20"/>
        </w:rPr>
      </w:r>
      <w:r w:rsidR="00E30EA2">
        <w:rPr>
          <w:szCs w:val="20"/>
        </w:rPr>
        <w:fldChar w:fldCharType="separate"/>
      </w:r>
      <w:r>
        <w:rPr>
          <w:szCs w:val="20"/>
        </w:rPr>
        <w:fldChar w:fldCharType="end"/>
      </w:r>
      <w:r w:rsidR="000A5B32" w:rsidRPr="000A5B32">
        <w:rPr>
          <w:szCs w:val="20"/>
        </w:rPr>
        <w:t xml:space="preserve"> No</w:t>
      </w:r>
    </w:p>
    <w:p w14:paraId="38F3AF95" w14:textId="77777777" w:rsidR="0093159A" w:rsidRDefault="0093159A" w:rsidP="00767E24">
      <w:pPr>
        <w:spacing w:before="0" w:after="0"/>
        <w:ind w:left="284"/>
        <w:jc w:val="both"/>
        <w:rPr>
          <w:szCs w:val="20"/>
        </w:rPr>
      </w:pPr>
    </w:p>
    <w:p w14:paraId="159AACEC" w14:textId="18D3AAD9" w:rsidR="00626365" w:rsidRDefault="0093159A" w:rsidP="00767E24">
      <w:pPr>
        <w:spacing w:before="0" w:after="0"/>
        <w:ind w:left="360"/>
        <w:jc w:val="both"/>
        <w:rPr>
          <w:szCs w:val="20"/>
        </w:rPr>
      </w:pPr>
      <w:r>
        <w:rPr>
          <w:rStyle w:val="Strong"/>
          <w:rFonts w:asciiTheme="minorHAnsi" w:eastAsiaTheme="minorHAnsi" w:hAnsiTheme="minorHAnsi" w:cstheme="minorBidi"/>
          <w:b w:val="0"/>
          <w:szCs w:val="20"/>
        </w:rPr>
        <w:t xml:space="preserve">No other source of funding for </w:t>
      </w:r>
      <w:r w:rsidR="006259A2">
        <w:rPr>
          <w:rStyle w:val="Strong"/>
          <w:rFonts w:asciiTheme="minorHAnsi" w:eastAsiaTheme="minorHAnsi" w:hAnsiTheme="minorHAnsi" w:cstheme="minorBidi"/>
          <w:b w:val="0"/>
          <w:szCs w:val="20"/>
        </w:rPr>
        <w:t>PD-L1</w:t>
      </w:r>
      <w:r>
        <w:rPr>
          <w:rStyle w:val="Strong"/>
          <w:rFonts w:asciiTheme="minorHAnsi" w:eastAsiaTheme="minorHAnsi" w:hAnsiTheme="minorHAnsi" w:cstheme="minorBidi"/>
          <w:b w:val="0"/>
          <w:szCs w:val="20"/>
        </w:rPr>
        <w:t xml:space="preserve"> testing other than the MBS </w:t>
      </w:r>
      <w:proofErr w:type="gramStart"/>
      <w:r>
        <w:rPr>
          <w:rStyle w:val="Strong"/>
          <w:rFonts w:asciiTheme="minorHAnsi" w:eastAsiaTheme="minorHAnsi" w:hAnsiTheme="minorHAnsi" w:cstheme="minorBidi"/>
          <w:b w:val="0"/>
          <w:szCs w:val="20"/>
        </w:rPr>
        <w:t>is sought</w:t>
      </w:r>
      <w:proofErr w:type="gramEnd"/>
      <w:r>
        <w:rPr>
          <w:rStyle w:val="Strong"/>
          <w:rFonts w:asciiTheme="minorHAnsi" w:eastAsiaTheme="minorHAnsi" w:hAnsiTheme="minorHAnsi" w:cstheme="minorBidi"/>
          <w:b w:val="0"/>
          <w:szCs w:val="20"/>
        </w:rPr>
        <w:t>, however in this co-dependent submission public funding for PBS</w:t>
      </w:r>
      <w:r w:rsidR="003E6254">
        <w:rPr>
          <w:rStyle w:val="Strong"/>
          <w:rFonts w:asciiTheme="minorHAnsi" w:eastAsiaTheme="minorHAnsi" w:hAnsiTheme="minorHAnsi" w:cstheme="minorBidi"/>
          <w:b w:val="0"/>
          <w:szCs w:val="20"/>
        </w:rPr>
        <w:t>-</w:t>
      </w:r>
      <w:r>
        <w:rPr>
          <w:rStyle w:val="Strong"/>
          <w:rFonts w:asciiTheme="minorHAnsi" w:eastAsiaTheme="minorHAnsi" w:hAnsiTheme="minorHAnsi" w:cstheme="minorBidi"/>
          <w:b w:val="0"/>
          <w:szCs w:val="20"/>
        </w:rPr>
        <w:t xml:space="preserve">access to </w:t>
      </w:r>
      <w:r w:rsidR="006259A2">
        <w:rPr>
          <w:rStyle w:val="Strong"/>
          <w:rFonts w:asciiTheme="minorHAnsi" w:eastAsiaTheme="minorHAnsi" w:hAnsiTheme="minorHAnsi" w:cstheme="minorBidi"/>
          <w:b w:val="0"/>
          <w:szCs w:val="20"/>
        </w:rPr>
        <w:t>atezolizumab</w:t>
      </w:r>
      <w:r>
        <w:rPr>
          <w:rStyle w:val="Strong"/>
          <w:rFonts w:asciiTheme="minorHAnsi" w:eastAsiaTheme="minorHAnsi" w:hAnsiTheme="minorHAnsi" w:cstheme="minorBidi"/>
          <w:b w:val="0"/>
          <w:szCs w:val="20"/>
        </w:rPr>
        <w:t xml:space="preserve"> is </w:t>
      </w:r>
      <w:r w:rsidR="00495216">
        <w:rPr>
          <w:rStyle w:val="Strong"/>
          <w:rFonts w:asciiTheme="minorHAnsi" w:eastAsiaTheme="minorHAnsi" w:hAnsiTheme="minorHAnsi" w:cstheme="minorBidi"/>
          <w:b w:val="0"/>
          <w:szCs w:val="20"/>
        </w:rPr>
        <w:t xml:space="preserve">also </w:t>
      </w:r>
      <w:r>
        <w:rPr>
          <w:rStyle w:val="Strong"/>
          <w:rFonts w:asciiTheme="minorHAnsi" w:eastAsiaTheme="minorHAnsi" w:hAnsiTheme="minorHAnsi" w:cstheme="minorBidi"/>
          <w:b w:val="0"/>
          <w:szCs w:val="20"/>
        </w:rPr>
        <w:t>being sought.</w:t>
      </w:r>
    </w:p>
    <w:p w14:paraId="194D447E" w14:textId="77777777" w:rsidR="003027BB" w:rsidRPr="007E39E4" w:rsidRDefault="003027BB" w:rsidP="00767E24">
      <w:pPr>
        <w:pStyle w:val="Heading2"/>
        <w:numPr>
          <w:ilvl w:val="0"/>
          <w:numId w:val="3"/>
        </w:numPr>
        <w:jc w:val="both"/>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r w:rsidR="00FD5091">
        <w:rPr>
          <w:rStyle w:val="Strong"/>
          <w:rFonts w:asciiTheme="minorHAnsi" w:eastAsiaTheme="minorHAnsi" w:hAnsiTheme="minorHAnsi" w:cstheme="minorBidi"/>
          <w:b/>
        </w:rPr>
        <w:t xml:space="preserve"> </w:t>
      </w:r>
      <w:r w:rsidR="00FD5091" w:rsidRPr="00FD5091">
        <w:rPr>
          <w:rStyle w:val="Strong"/>
          <w:rFonts w:asciiTheme="minorHAnsi" w:eastAsiaTheme="minorHAnsi" w:hAnsiTheme="minorHAnsi" w:cstheme="minorBidi"/>
        </w:rPr>
        <w:t>Not applicable</w:t>
      </w:r>
    </w:p>
    <w:p w14:paraId="44494222" w14:textId="550860DD" w:rsidR="000A5B32" w:rsidRPr="00855944" w:rsidRDefault="000A5B32" w:rsidP="00767E24">
      <w:pPr>
        <w:ind w:left="284"/>
        <w:jc w:val="both"/>
        <w:rPr>
          <w:rStyle w:val="Strong"/>
        </w:rPr>
      </w:pPr>
    </w:p>
    <w:p w14:paraId="497ADA35" w14:textId="77777777" w:rsidR="000B3CD0" w:rsidRDefault="000B3CD0" w:rsidP="00767E24">
      <w:pPr>
        <w:pStyle w:val="Heading2"/>
        <w:jc w:val="both"/>
      </w:pPr>
      <w:r w:rsidRPr="00154B00">
        <w:t xml:space="preserve">What is the type of </w:t>
      </w:r>
      <w:proofErr w:type="gramStart"/>
      <w:r w:rsidRPr="00154B00">
        <w:t>service:</w:t>
      </w:r>
      <w:proofErr w:type="gramEnd"/>
    </w:p>
    <w:p w14:paraId="09120484" w14:textId="77777777" w:rsidR="00A6594E" w:rsidRDefault="00A6594E" w:rsidP="00767E24">
      <w:pPr>
        <w:spacing w:before="0" w:after="0"/>
        <w:ind w:left="284"/>
        <w:jc w:val="both"/>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E30EA2">
        <w:rPr>
          <w:b/>
          <w:szCs w:val="20"/>
        </w:rPr>
      </w:r>
      <w:r w:rsidR="00E30EA2">
        <w:rPr>
          <w:b/>
          <w:szCs w:val="20"/>
        </w:rPr>
        <w:fldChar w:fldCharType="separate"/>
      </w:r>
      <w:r w:rsidRPr="0027105F">
        <w:rPr>
          <w:b/>
          <w:szCs w:val="20"/>
        </w:rPr>
        <w:fldChar w:fldCharType="end"/>
      </w:r>
      <w:r w:rsidRPr="0027105F">
        <w:rPr>
          <w:b/>
          <w:szCs w:val="20"/>
        </w:rPr>
        <w:t xml:space="preserve"> </w:t>
      </w:r>
      <w:r>
        <w:t>Therapeutic medical service</w:t>
      </w:r>
    </w:p>
    <w:p w14:paraId="1343E697" w14:textId="77777777" w:rsidR="00A6594E" w:rsidRDefault="00A6594E" w:rsidP="00767E24">
      <w:pPr>
        <w:spacing w:before="0" w:after="0"/>
        <w:ind w:left="284"/>
        <w:jc w:val="both"/>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E30EA2">
        <w:rPr>
          <w:b/>
          <w:szCs w:val="20"/>
        </w:rPr>
      </w:r>
      <w:r w:rsidR="00E30EA2">
        <w:rPr>
          <w:b/>
          <w:szCs w:val="20"/>
        </w:rPr>
        <w:fldChar w:fldCharType="separate"/>
      </w:r>
      <w:r w:rsidRPr="0027105F">
        <w:rPr>
          <w:b/>
          <w:szCs w:val="20"/>
        </w:rPr>
        <w:fldChar w:fldCharType="end"/>
      </w:r>
      <w:r w:rsidRPr="0027105F">
        <w:rPr>
          <w:b/>
          <w:szCs w:val="20"/>
        </w:rPr>
        <w:t xml:space="preserve"> </w:t>
      </w:r>
      <w:r>
        <w:t>Investigative medical service</w:t>
      </w:r>
    </w:p>
    <w:p w14:paraId="2EF1EFE5" w14:textId="77777777" w:rsidR="00A6594E" w:rsidRDefault="00A6594E" w:rsidP="00767E24">
      <w:pPr>
        <w:spacing w:before="0" w:after="0"/>
        <w:ind w:left="284"/>
        <w:jc w:val="both"/>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E30EA2">
        <w:rPr>
          <w:b/>
          <w:szCs w:val="20"/>
        </w:rPr>
      </w:r>
      <w:r w:rsidR="00E30EA2">
        <w:rPr>
          <w:b/>
          <w:szCs w:val="20"/>
        </w:rPr>
        <w:fldChar w:fldCharType="separate"/>
      </w:r>
      <w:r w:rsidRPr="0027105F">
        <w:rPr>
          <w:b/>
          <w:szCs w:val="20"/>
        </w:rPr>
        <w:fldChar w:fldCharType="end"/>
      </w:r>
      <w:r w:rsidRPr="0027105F">
        <w:rPr>
          <w:b/>
          <w:szCs w:val="20"/>
        </w:rPr>
        <w:t xml:space="preserve"> </w:t>
      </w:r>
      <w:r>
        <w:t>Single consultation medical service</w:t>
      </w:r>
    </w:p>
    <w:p w14:paraId="128CF125" w14:textId="77777777" w:rsidR="00A6594E" w:rsidRDefault="00A6594E" w:rsidP="00767E24">
      <w:pPr>
        <w:spacing w:before="0" w:after="0"/>
        <w:ind w:left="284"/>
        <w:jc w:val="both"/>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E30EA2">
        <w:rPr>
          <w:b/>
          <w:szCs w:val="20"/>
        </w:rPr>
      </w:r>
      <w:r w:rsidR="00E30EA2">
        <w:rPr>
          <w:b/>
          <w:szCs w:val="20"/>
        </w:rPr>
        <w:fldChar w:fldCharType="separate"/>
      </w:r>
      <w:r w:rsidRPr="0027105F">
        <w:rPr>
          <w:b/>
          <w:szCs w:val="20"/>
        </w:rPr>
        <w:fldChar w:fldCharType="end"/>
      </w:r>
      <w:r w:rsidRPr="0027105F">
        <w:rPr>
          <w:b/>
          <w:szCs w:val="20"/>
        </w:rPr>
        <w:t xml:space="preserve"> </w:t>
      </w:r>
      <w:r>
        <w:t>Global consultation medical service</w:t>
      </w:r>
    </w:p>
    <w:p w14:paraId="440BE0D2" w14:textId="77777777" w:rsidR="00A6594E" w:rsidRDefault="00A6594E" w:rsidP="00767E24">
      <w:pPr>
        <w:spacing w:before="0" w:after="0"/>
        <w:ind w:left="284"/>
        <w:jc w:val="both"/>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E30EA2">
        <w:rPr>
          <w:b/>
          <w:szCs w:val="20"/>
        </w:rPr>
      </w:r>
      <w:r w:rsidR="00E30EA2">
        <w:rPr>
          <w:b/>
          <w:szCs w:val="20"/>
        </w:rPr>
        <w:fldChar w:fldCharType="separate"/>
      </w:r>
      <w:r w:rsidRPr="0027105F">
        <w:rPr>
          <w:b/>
          <w:szCs w:val="20"/>
        </w:rPr>
        <w:fldChar w:fldCharType="end"/>
      </w:r>
      <w:r w:rsidRPr="0027105F">
        <w:rPr>
          <w:b/>
          <w:szCs w:val="20"/>
        </w:rPr>
        <w:t xml:space="preserve"> </w:t>
      </w:r>
      <w:r>
        <w:t>Allied health service</w:t>
      </w:r>
    </w:p>
    <w:p w14:paraId="16BCC3F7" w14:textId="77777777" w:rsidR="00A6594E" w:rsidRDefault="0093159A" w:rsidP="00767E24">
      <w:pPr>
        <w:spacing w:before="0" w:after="0"/>
        <w:ind w:left="284"/>
        <w:jc w:val="both"/>
      </w:pPr>
      <w:r>
        <w:rPr>
          <w:b/>
          <w:szCs w:val="20"/>
        </w:rPr>
        <w:fldChar w:fldCharType="begin">
          <w:ffData>
            <w:name w:val=""/>
            <w:enabled/>
            <w:calcOnExit w:val="0"/>
            <w:checkBox>
              <w:sizeAuto/>
              <w:default w:val="1"/>
            </w:checkBox>
          </w:ffData>
        </w:fldChar>
      </w:r>
      <w:r>
        <w:rPr>
          <w:b/>
          <w:szCs w:val="20"/>
        </w:rPr>
        <w:instrText xml:space="preserve"> FORMCHECKBOX </w:instrText>
      </w:r>
      <w:r w:rsidR="00E30EA2">
        <w:rPr>
          <w:b/>
          <w:szCs w:val="20"/>
        </w:rPr>
      </w:r>
      <w:r w:rsidR="00E30EA2">
        <w:rPr>
          <w:b/>
          <w:szCs w:val="20"/>
        </w:rPr>
        <w:fldChar w:fldCharType="separate"/>
      </w:r>
      <w:r>
        <w:rPr>
          <w:b/>
          <w:szCs w:val="20"/>
        </w:rPr>
        <w:fldChar w:fldCharType="end"/>
      </w:r>
      <w:r w:rsidR="00A6594E" w:rsidRPr="0027105F">
        <w:rPr>
          <w:b/>
          <w:szCs w:val="20"/>
        </w:rPr>
        <w:t xml:space="preserve"> </w:t>
      </w:r>
      <w:r w:rsidR="00A6594E">
        <w:t>Co-dependent technology</w:t>
      </w:r>
    </w:p>
    <w:p w14:paraId="62B68EE1" w14:textId="77777777" w:rsidR="00A6594E" w:rsidRDefault="00A6594E" w:rsidP="00767E24">
      <w:pPr>
        <w:spacing w:before="0" w:after="0"/>
        <w:ind w:left="284"/>
        <w:jc w:val="both"/>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E30EA2">
        <w:rPr>
          <w:b/>
          <w:szCs w:val="20"/>
        </w:rPr>
      </w:r>
      <w:r w:rsidR="00E30EA2">
        <w:rPr>
          <w:b/>
          <w:szCs w:val="20"/>
        </w:rPr>
        <w:fldChar w:fldCharType="separate"/>
      </w:r>
      <w:r w:rsidRPr="0027105F">
        <w:rPr>
          <w:b/>
          <w:szCs w:val="20"/>
        </w:rPr>
        <w:fldChar w:fldCharType="end"/>
      </w:r>
      <w:r w:rsidRPr="0027105F">
        <w:rPr>
          <w:b/>
          <w:szCs w:val="20"/>
        </w:rPr>
        <w:t xml:space="preserve"> </w:t>
      </w:r>
      <w:r>
        <w:t>Hybrid health technology</w:t>
      </w:r>
    </w:p>
    <w:p w14:paraId="109437C4" w14:textId="77777777" w:rsidR="00124B00" w:rsidRPr="00A6594E" w:rsidRDefault="00124B00" w:rsidP="00767E24">
      <w:pPr>
        <w:spacing w:before="0" w:after="0"/>
        <w:ind w:left="284"/>
        <w:jc w:val="both"/>
      </w:pPr>
    </w:p>
    <w:p w14:paraId="212C0E81" w14:textId="77777777" w:rsidR="0054594B" w:rsidRDefault="0054594B" w:rsidP="00767E24">
      <w:pPr>
        <w:pStyle w:val="Heading2"/>
        <w:jc w:val="both"/>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32353C76" w14:textId="77777777" w:rsidR="00A6594E" w:rsidRDefault="00A6594E" w:rsidP="00767E24">
      <w:pPr>
        <w:pStyle w:val="ListParagraph"/>
        <w:numPr>
          <w:ilvl w:val="0"/>
          <w:numId w:val="15"/>
        </w:numPr>
        <w:spacing w:before="0" w:after="0"/>
        <w:ind w:left="851" w:hanging="425"/>
        <w:jc w:val="both"/>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E30EA2">
        <w:rPr>
          <w:b/>
          <w:szCs w:val="20"/>
        </w:rPr>
      </w:r>
      <w:r w:rsidR="00E30EA2">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3F5D4D4A" w14:textId="77777777" w:rsidR="00A6594E" w:rsidRDefault="00A6594E" w:rsidP="00767E24">
      <w:pPr>
        <w:pStyle w:val="ListParagraph"/>
        <w:numPr>
          <w:ilvl w:val="0"/>
          <w:numId w:val="15"/>
        </w:numPr>
        <w:spacing w:before="0" w:after="0"/>
        <w:ind w:left="851" w:hanging="425"/>
        <w:jc w:val="both"/>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E30EA2">
        <w:rPr>
          <w:b/>
          <w:szCs w:val="20"/>
        </w:rPr>
      </w:r>
      <w:r w:rsidR="00E30EA2">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796AE23A" w14:textId="77777777" w:rsidR="00A6594E" w:rsidRDefault="00A6594E" w:rsidP="00767E24">
      <w:pPr>
        <w:pStyle w:val="ListParagraph"/>
        <w:numPr>
          <w:ilvl w:val="0"/>
          <w:numId w:val="15"/>
        </w:numPr>
        <w:spacing w:before="0" w:after="0"/>
        <w:ind w:left="851" w:hanging="425"/>
        <w:jc w:val="both"/>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E30EA2">
        <w:rPr>
          <w:b/>
          <w:szCs w:val="20"/>
        </w:rPr>
      </w:r>
      <w:r w:rsidR="00E30EA2">
        <w:rPr>
          <w:b/>
          <w:szCs w:val="20"/>
        </w:rPr>
        <w:fldChar w:fldCharType="separate"/>
      </w:r>
      <w:r w:rsidRPr="00AF4466">
        <w:rPr>
          <w:b/>
          <w:szCs w:val="20"/>
        </w:rPr>
        <w:fldChar w:fldCharType="end"/>
      </w:r>
      <w:r w:rsidRPr="00AF4466">
        <w:rPr>
          <w:b/>
          <w:szCs w:val="20"/>
        </w:rPr>
        <w:t xml:space="preserve"> </w:t>
      </w:r>
      <w:r>
        <w:t>Provides information about prognosis</w:t>
      </w:r>
    </w:p>
    <w:p w14:paraId="1475BCD1" w14:textId="77777777" w:rsidR="00A6594E" w:rsidRDefault="0094346E" w:rsidP="00767E24">
      <w:pPr>
        <w:pStyle w:val="ListParagraph"/>
        <w:numPr>
          <w:ilvl w:val="0"/>
          <w:numId w:val="15"/>
        </w:numPr>
        <w:spacing w:before="0" w:after="0"/>
        <w:ind w:left="851" w:hanging="425"/>
        <w:jc w:val="both"/>
      </w:pPr>
      <w:r>
        <w:rPr>
          <w:b/>
          <w:szCs w:val="20"/>
        </w:rPr>
        <w:fldChar w:fldCharType="begin">
          <w:ffData>
            <w:name w:val=""/>
            <w:enabled/>
            <w:calcOnExit w:val="0"/>
            <w:checkBox>
              <w:sizeAuto/>
              <w:default w:val="1"/>
            </w:checkBox>
          </w:ffData>
        </w:fldChar>
      </w:r>
      <w:r>
        <w:rPr>
          <w:b/>
          <w:szCs w:val="20"/>
        </w:rPr>
        <w:instrText xml:space="preserve"> FORMCHECKBOX </w:instrText>
      </w:r>
      <w:r w:rsidR="00E30EA2">
        <w:rPr>
          <w:b/>
          <w:szCs w:val="20"/>
        </w:rPr>
      </w:r>
      <w:r w:rsidR="00E30EA2">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14:paraId="03D94737" w14:textId="77777777" w:rsidR="00F63A62" w:rsidRDefault="00A6594E" w:rsidP="00767E24">
      <w:pPr>
        <w:pStyle w:val="ListParagraph"/>
        <w:numPr>
          <w:ilvl w:val="0"/>
          <w:numId w:val="15"/>
        </w:numPr>
        <w:spacing w:before="0" w:after="0"/>
        <w:ind w:left="851" w:hanging="425"/>
        <w:jc w:val="both"/>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E30EA2">
        <w:rPr>
          <w:b/>
          <w:szCs w:val="20"/>
        </w:rPr>
      </w:r>
      <w:r w:rsidR="00E30EA2">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418DBFAE" w14:textId="1E1DC850" w:rsidR="002A40AE" w:rsidRDefault="00F63A62" w:rsidP="00767E24">
      <w:pPr>
        <w:pStyle w:val="ListParagraph"/>
        <w:numPr>
          <w:ilvl w:val="0"/>
          <w:numId w:val="15"/>
        </w:numPr>
        <w:spacing w:before="0" w:after="0"/>
        <w:ind w:left="851" w:hanging="425"/>
        <w:jc w:val="both"/>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E30EA2">
        <w:rPr>
          <w:b/>
          <w:szCs w:val="20"/>
        </w:rPr>
      </w:r>
      <w:r w:rsidR="00E30EA2">
        <w:rPr>
          <w:b/>
          <w:szCs w:val="20"/>
        </w:rPr>
        <w:fldChar w:fldCharType="separate"/>
      </w:r>
      <w:r w:rsidRPr="00AF4466">
        <w:rPr>
          <w:b/>
          <w:szCs w:val="20"/>
        </w:rPr>
        <w:fldChar w:fldCharType="end"/>
      </w:r>
      <w:r w:rsidRPr="00AF4466">
        <w:rPr>
          <w:b/>
          <w:szCs w:val="20"/>
        </w:rPr>
        <w:t xml:space="preserve"> </w:t>
      </w:r>
      <w:r>
        <w:t xml:space="preserve">Is for genetic testing </w:t>
      </w:r>
      <w:r w:rsidR="0050517E">
        <w:t>for</w:t>
      </w:r>
      <w:r>
        <w:t xml:space="preserve"> heritable mutations </w:t>
      </w:r>
      <w:r w:rsidR="0050517E">
        <w:t>in</w:t>
      </w:r>
      <w:r>
        <w:t xml:space="preserve"> clinically affected individuals and</w:t>
      </w:r>
      <w:r w:rsidR="0050517E">
        <w:t>,</w:t>
      </w:r>
      <w:r>
        <w:t xml:space="preserve"> </w:t>
      </w:r>
      <w:r w:rsidR="0050517E">
        <w:t>when also appropriate,</w:t>
      </w:r>
      <w:r>
        <w:t xml:space="preserve"> </w:t>
      </w:r>
      <w:r w:rsidR="0050517E">
        <w:t xml:space="preserve">in </w:t>
      </w:r>
      <w:r>
        <w:t xml:space="preserve">family members of those individuals who test positive for one or more </w:t>
      </w:r>
      <w:r w:rsidR="0050517E">
        <w:t xml:space="preserve">relevant </w:t>
      </w:r>
      <w:r>
        <w:t>mutations (and thus for which the Clinical Utility Card proforma might apply)</w:t>
      </w:r>
    </w:p>
    <w:p w14:paraId="779A6473" w14:textId="77777777" w:rsidR="00DA35E6" w:rsidRDefault="00DA35E6" w:rsidP="00767E24">
      <w:pPr>
        <w:pStyle w:val="ListParagraph"/>
        <w:spacing w:before="0" w:after="0"/>
        <w:ind w:left="851"/>
        <w:jc w:val="both"/>
      </w:pPr>
    </w:p>
    <w:p w14:paraId="75FF409D" w14:textId="77777777" w:rsidR="000B3CD0" w:rsidRDefault="000B3CD0" w:rsidP="00767E24">
      <w:pPr>
        <w:pStyle w:val="Heading2"/>
        <w:jc w:val="both"/>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5C5EAF09" w14:textId="77777777" w:rsidR="00FE16C1" w:rsidRDefault="0094346E" w:rsidP="00767E24">
      <w:pPr>
        <w:spacing w:before="0" w:after="0"/>
        <w:ind w:left="284"/>
        <w:jc w:val="both"/>
      </w:pPr>
      <w:r>
        <w:rPr>
          <w:b/>
          <w:szCs w:val="20"/>
        </w:rPr>
        <w:fldChar w:fldCharType="begin">
          <w:ffData>
            <w:name w:val=""/>
            <w:enabled/>
            <w:calcOnExit w:val="0"/>
            <w:checkBox>
              <w:sizeAuto/>
              <w:default w:val="1"/>
            </w:checkBox>
          </w:ffData>
        </w:fldChar>
      </w:r>
      <w:r>
        <w:rPr>
          <w:b/>
          <w:szCs w:val="20"/>
        </w:rPr>
        <w:instrText xml:space="preserve"> FORMCHECKBOX </w:instrText>
      </w:r>
      <w:r w:rsidR="00E30EA2">
        <w:rPr>
          <w:b/>
          <w:szCs w:val="20"/>
        </w:rPr>
      </w:r>
      <w:r w:rsidR="00E30EA2">
        <w:rPr>
          <w:b/>
          <w:szCs w:val="20"/>
        </w:rPr>
        <w:fldChar w:fldCharType="separate"/>
      </w:r>
      <w:r>
        <w:rPr>
          <w:b/>
          <w:szCs w:val="20"/>
        </w:rPr>
        <w:fldChar w:fldCharType="end"/>
      </w:r>
      <w:r w:rsidR="00FE16C1" w:rsidRPr="0027105F">
        <w:rPr>
          <w:b/>
          <w:szCs w:val="20"/>
        </w:rPr>
        <w:t xml:space="preserve"> </w:t>
      </w:r>
      <w:r w:rsidR="00FE16C1">
        <w:t>Pharmaceutical / Biological</w:t>
      </w:r>
    </w:p>
    <w:p w14:paraId="376DCA9B" w14:textId="77777777" w:rsidR="00FE16C1" w:rsidRDefault="00FE16C1" w:rsidP="00767E24">
      <w:pPr>
        <w:spacing w:before="0" w:after="0"/>
        <w:ind w:left="284"/>
        <w:jc w:val="both"/>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E30EA2">
        <w:rPr>
          <w:b/>
          <w:szCs w:val="20"/>
        </w:rPr>
      </w:r>
      <w:r w:rsidR="00E30EA2">
        <w:rPr>
          <w:b/>
          <w:szCs w:val="20"/>
        </w:rPr>
        <w:fldChar w:fldCharType="separate"/>
      </w:r>
      <w:r w:rsidRPr="0027105F">
        <w:rPr>
          <w:b/>
          <w:szCs w:val="20"/>
        </w:rPr>
        <w:fldChar w:fldCharType="end"/>
      </w:r>
      <w:r w:rsidRPr="0027105F">
        <w:rPr>
          <w:b/>
          <w:szCs w:val="20"/>
        </w:rPr>
        <w:t xml:space="preserve"> </w:t>
      </w:r>
      <w:r>
        <w:t>Prosthesis or device</w:t>
      </w:r>
    </w:p>
    <w:p w14:paraId="0A026A16" w14:textId="15BD0AA3" w:rsidR="00FE16C1" w:rsidRDefault="00FE16C1" w:rsidP="00767E24">
      <w:pPr>
        <w:spacing w:before="0" w:after="0"/>
        <w:ind w:left="284"/>
        <w:jc w:val="both"/>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E30EA2">
        <w:rPr>
          <w:b/>
          <w:szCs w:val="20"/>
        </w:rPr>
      </w:r>
      <w:r w:rsidR="00E30EA2">
        <w:rPr>
          <w:b/>
          <w:szCs w:val="20"/>
        </w:rPr>
        <w:fldChar w:fldCharType="separate"/>
      </w:r>
      <w:r w:rsidRPr="0027105F">
        <w:rPr>
          <w:b/>
          <w:szCs w:val="20"/>
        </w:rPr>
        <w:fldChar w:fldCharType="end"/>
      </w:r>
      <w:r w:rsidRPr="0027105F">
        <w:rPr>
          <w:b/>
          <w:szCs w:val="20"/>
        </w:rPr>
        <w:t xml:space="preserve"> </w:t>
      </w:r>
      <w:r>
        <w:t>No</w:t>
      </w:r>
    </w:p>
    <w:p w14:paraId="104DC16C" w14:textId="77777777" w:rsidR="00DA35E6" w:rsidRPr="00FE16C1" w:rsidRDefault="00DA35E6" w:rsidP="00767E24">
      <w:pPr>
        <w:spacing w:before="0" w:after="0"/>
        <w:jc w:val="both"/>
      </w:pPr>
    </w:p>
    <w:p w14:paraId="19AC964D" w14:textId="77777777" w:rsidR="000E5439" w:rsidRPr="001E6958" w:rsidRDefault="00530204" w:rsidP="00767E24">
      <w:pPr>
        <w:pStyle w:val="Heading2"/>
        <w:jc w:val="both"/>
      </w:pPr>
      <w:r>
        <w:t xml:space="preserve">(a)  </w:t>
      </w:r>
      <w:r w:rsidR="000E5439" w:rsidRPr="001E6958">
        <w:t xml:space="preserve">If the proposed service has a pharmaceutical component to it, </w:t>
      </w:r>
      <w:proofErr w:type="gramStart"/>
      <w:r w:rsidR="000E5439" w:rsidRPr="001E6958">
        <w:t>is it already covered</w:t>
      </w:r>
      <w:proofErr w:type="gramEnd"/>
      <w:r w:rsidR="000E5439" w:rsidRPr="001E6958">
        <w:t xml:space="preserve"> under an existing Pharmaceutical Benefits Scheme (PBS) listing?</w:t>
      </w:r>
    </w:p>
    <w:p w14:paraId="0D0EC651" w14:textId="2F6DA97A" w:rsidR="00FE16C1" w:rsidRDefault="00100000" w:rsidP="00767E24">
      <w:pPr>
        <w:spacing w:before="0" w:after="0"/>
        <w:ind w:left="284"/>
        <w:jc w:val="both"/>
        <w:rPr>
          <w:szCs w:val="20"/>
        </w:rPr>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E30EA2">
        <w:rPr>
          <w:b/>
          <w:szCs w:val="20"/>
        </w:rPr>
      </w:r>
      <w:r w:rsidR="00E30EA2">
        <w:rPr>
          <w:b/>
          <w:szCs w:val="20"/>
        </w:rPr>
        <w:fldChar w:fldCharType="separate"/>
      </w:r>
      <w:r w:rsidRPr="0027105F">
        <w:rPr>
          <w:b/>
          <w:szCs w:val="20"/>
        </w:rPr>
        <w:fldChar w:fldCharType="end"/>
      </w:r>
      <w:r w:rsidR="00FE16C1" w:rsidRPr="000A5B32">
        <w:rPr>
          <w:szCs w:val="20"/>
        </w:rPr>
        <w:t>Yes</w:t>
      </w:r>
    </w:p>
    <w:p w14:paraId="0ADAC9B3" w14:textId="6944D67C" w:rsidR="00FE16C1" w:rsidRPr="00FE16C1" w:rsidRDefault="0046210C" w:rsidP="00767E24">
      <w:pPr>
        <w:spacing w:before="0" w:after="0"/>
        <w:ind w:left="284"/>
        <w:jc w:val="both"/>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30EA2">
        <w:rPr>
          <w:szCs w:val="20"/>
        </w:rPr>
      </w:r>
      <w:r w:rsidR="00E30EA2">
        <w:rPr>
          <w:szCs w:val="20"/>
        </w:rPr>
        <w:fldChar w:fldCharType="separate"/>
      </w:r>
      <w:r>
        <w:rPr>
          <w:szCs w:val="20"/>
        </w:rPr>
        <w:fldChar w:fldCharType="end"/>
      </w:r>
      <w:r w:rsidR="00FE16C1">
        <w:rPr>
          <w:szCs w:val="20"/>
        </w:rPr>
        <w:t xml:space="preserve"> No  </w:t>
      </w:r>
    </w:p>
    <w:p w14:paraId="06789B51" w14:textId="6CCD32E6" w:rsidR="00EC127A" w:rsidRDefault="000E5439" w:rsidP="00767E24">
      <w:pPr>
        <w:pStyle w:val="Heading2"/>
        <w:numPr>
          <w:ilvl w:val="0"/>
          <w:numId w:val="4"/>
        </w:numPr>
        <w:jc w:val="both"/>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17269339" w14:textId="1C666DB7" w:rsidR="00C21091" w:rsidRPr="00C21091" w:rsidRDefault="00E94A03" w:rsidP="005E5996">
      <w:pPr>
        <w:ind w:left="357"/>
        <w:jc w:val="both"/>
      </w:pPr>
      <w:r w:rsidRPr="00D35764">
        <w:rPr>
          <w:lang w:val="en-GB"/>
        </w:rPr>
        <w:t>An application seeking PBS listing of atezolizumab</w:t>
      </w:r>
      <w:r w:rsidR="00100000">
        <w:rPr>
          <w:lang w:val="en-GB"/>
        </w:rPr>
        <w:t xml:space="preserve"> for the treatment of locally advanced or metastatic TNBC</w:t>
      </w:r>
      <w:r w:rsidRPr="00D35764">
        <w:rPr>
          <w:lang w:val="en-GB"/>
        </w:rPr>
        <w:t xml:space="preserve"> </w:t>
      </w:r>
      <w:r w:rsidR="002B6417" w:rsidRPr="00D35764">
        <w:rPr>
          <w:lang w:val="en-GB"/>
        </w:rPr>
        <w:t>is planned to be lodged for consideration by the PBAC</w:t>
      </w:r>
      <w:r w:rsidR="00F15391" w:rsidRPr="00D35764">
        <w:rPr>
          <w:lang w:val="en-GB"/>
        </w:rPr>
        <w:t xml:space="preserve"> </w:t>
      </w:r>
      <w:r w:rsidR="002B6417" w:rsidRPr="00D35764">
        <w:rPr>
          <w:lang w:val="en-GB"/>
        </w:rPr>
        <w:t>as part of this co-dependent submission.</w:t>
      </w:r>
    </w:p>
    <w:p w14:paraId="67C09916" w14:textId="77777777" w:rsidR="00411735" w:rsidRPr="001E6958" w:rsidRDefault="00411735" w:rsidP="00767E24">
      <w:pPr>
        <w:pStyle w:val="Heading2"/>
        <w:numPr>
          <w:ilvl w:val="0"/>
          <w:numId w:val="4"/>
        </w:numPr>
        <w:jc w:val="both"/>
      </w:pPr>
      <w:r w:rsidRPr="001E6958">
        <w:lastRenderedPageBreak/>
        <w:t xml:space="preserve">If no, is an application </w:t>
      </w:r>
      <w:r w:rsidR="001E23EA" w:rsidRPr="001E6958">
        <w:t xml:space="preserve">(submission) </w:t>
      </w:r>
      <w:r w:rsidRPr="001E6958">
        <w:t xml:space="preserve">in the process of </w:t>
      </w:r>
      <w:proofErr w:type="gramStart"/>
      <w:r w:rsidRPr="001E6958">
        <w:t>being considered</w:t>
      </w:r>
      <w:proofErr w:type="gramEnd"/>
      <w:r w:rsidRPr="001E6958">
        <w:t xml:space="preserve"> by the </w:t>
      </w:r>
      <w:r w:rsidR="00802553" w:rsidRPr="001E6958">
        <w:t>Pharmaceutical Benefits Advisory Committee (</w:t>
      </w:r>
      <w:r w:rsidRPr="001E6958">
        <w:t>PBAC</w:t>
      </w:r>
      <w:r w:rsidR="00802553" w:rsidRPr="001E6958">
        <w:t>)</w:t>
      </w:r>
      <w:r w:rsidRPr="001E6958">
        <w:t>?</w:t>
      </w:r>
    </w:p>
    <w:p w14:paraId="62BDD7E7" w14:textId="77777777" w:rsidR="007E39E4" w:rsidRDefault="007E39E4" w:rsidP="00767E24">
      <w:pPr>
        <w:spacing w:before="0" w:after="0"/>
        <w:ind w:left="284"/>
        <w:jc w:val="both"/>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30EA2">
        <w:rPr>
          <w:szCs w:val="20"/>
        </w:rPr>
      </w:r>
      <w:r w:rsidR="00E30EA2">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28109CE0" w14:textId="77777777" w:rsidR="001E6919" w:rsidRDefault="0094346E" w:rsidP="00767E24">
      <w:pPr>
        <w:spacing w:before="0"/>
        <w:ind w:left="284"/>
        <w:jc w:val="both"/>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30EA2">
        <w:rPr>
          <w:szCs w:val="20"/>
        </w:rPr>
      </w:r>
      <w:r w:rsidR="00E30EA2">
        <w:rPr>
          <w:szCs w:val="20"/>
        </w:rPr>
        <w:fldChar w:fldCharType="separate"/>
      </w:r>
      <w:r>
        <w:rPr>
          <w:szCs w:val="20"/>
        </w:rPr>
        <w:fldChar w:fldCharType="end"/>
      </w:r>
      <w:r w:rsidR="001E6919">
        <w:rPr>
          <w:szCs w:val="20"/>
        </w:rPr>
        <w:t xml:space="preserve"> No</w:t>
      </w:r>
    </w:p>
    <w:p w14:paraId="205EFCB1" w14:textId="0E5FD26E" w:rsidR="00EE0817" w:rsidRDefault="00EE0817" w:rsidP="00767E24">
      <w:pPr>
        <w:spacing w:before="0"/>
        <w:ind w:left="360"/>
        <w:jc w:val="both"/>
        <w:rPr>
          <w:szCs w:val="20"/>
        </w:rPr>
      </w:pPr>
      <w:r>
        <w:t xml:space="preserve">An integrated co-dependent submission to MSAC/PBAC </w:t>
      </w:r>
      <w:proofErr w:type="gramStart"/>
      <w:r>
        <w:t>is proposed</w:t>
      </w:r>
      <w:proofErr w:type="gramEnd"/>
      <w:r>
        <w:t xml:space="preserve"> for </w:t>
      </w:r>
      <w:r w:rsidR="0046210C">
        <w:t>PD-L1</w:t>
      </w:r>
      <w:r>
        <w:t xml:space="preserve"> testing to determine PBS access to </w:t>
      </w:r>
      <w:r w:rsidR="0046210C">
        <w:t>atezoliz</w:t>
      </w:r>
      <w:r w:rsidR="00E84BB6">
        <w:t>u</w:t>
      </w:r>
      <w:r w:rsidR="0046210C">
        <w:t>mab</w:t>
      </w:r>
      <w:r>
        <w:t>.</w:t>
      </w:r>
    </w:p>
    <w:p w14:paraId="7710D86E" w14:textId="77777777" w:rsidR="000E5439" w:rsidRDefault="000E5439" w:rsidP="00767E24">
      <w:pPr>
        <w:pStyle w:val="Heading2"/>
        <w:numPr>
          <w:ilvl w:val="0"/>
          <w:numId w:val="4"/>
        </w:numPr>
        <w:jc w:val="both"/>
      </w:pPr>
      <w:r w:rsidRPr="007E39E4">
        <w:t>If you are seeking both MBS and PBS listing</w:t>
      </w:r>
      <w:r w:rsidR="00B75965" w:rsidRPr="007E39E4">
        <w:t>, what is the trade name and generic name of the pharmaceutical?</w:t>
      </w:r>
    </w:p>
    <w:p w14:paraId="5C4BF4C3" w14:textId="54D1500C" w:rsidR="001E6958" w:rsidRDefault="001E6958" w:rsidP="00767E24">
      <w:pPr>
        <w:spacing w:before="0" w:after="0"/>
        <w:ind w:left="360"/>
        <w:jc w:val="both"/>
      </w:pPr>
      <w:r>
        <w:t xml:space="preserve">Trade name: </w:t>
      </w:r>
      <w:r w:rsidR="00E84BB6">
        <w:t>TECENTRIQ</w:t>
      </w:r>
      <w:r w:rsidR="00EE0817">
        <w:t>®</w:t>
      </w:r>
    </w:p>
    <w:p w14:paraId="68F9BFF8" w14:textId="22FA31AE" w:rsidR="001E6958" w:rsidRDefault="001E6958" w:rsidP="00767E24">
      <w:pPr>
        <w:spacing w:before="0" w:after="0"/>
        <w:ind w:left="360"/>
        <w:jc w:val="both"/>
      </w:pPr>
      <w:r>
        <w:t xml:space="preserve">Generic name: </w:t>
      </w:r>
      <w:r w:rsidR="00E84BB6">
        <w:t>atezolizumab</w:t>
      </w:r>
    </w:p>
    <w:p w14:paraId="7350AEA8" w14:textId="77777777" w:rsidR="00DA35E6" w:rsidRPr="001E6958" w:rsidRDefault="00DA35E6" w:rsidP="00767E24">
      <w:pPr>
        <w:spacing w:before="0" w:after="0"/>
        <w:ind w:left="360"/>
        <w:jc w:val="both"/>
      </w:pPr>
    </w:p>
    <w:p w14:paraId="504672D8" w14:textId="77777777" w:rsidR="00B75965" w:rsidRDefault="00530204" w:rsidP="00767E24">
      <w:pPr>
        <w:pStyle w:val="Heading2"/>
        <w:jc w:val="both"/>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r w:rsidR="00EE0817">
        <w:t xml:space="preserve"> </w:t>
      </w:r>
      <w:r w:rsidR="00EE0817" w:rsidRPr="00685B66">
        <w:rPr>
          <w:b w:val="0"/>
        </w:rPr>
        <w:t>Not applicable</w:t>
      </w:r>
    </w:p>
    <w:p w14:paraId="39B0BBEF" w14:textId="77777777" w:rsidR="001E6958" w:rsidRDefault="001E6958" w:rsidP="00767E24">
      <w:pPr>
        <w:spacing w:before="0" w:after="0"/>
        <w:ind w:left="284"/>
        <w:jc w:val="both"/>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30EA2">
        <w:rPr>
          <w:szCs w:val="20"/>
        </w:rPr>
      </w:r>
      <w:r w:rsidR="00E30EA2">
        <w:rPr>
          <w:szCs w:val="20"/>
        </w:rPr>
        <w:fldChar w:fldCharType="separate"/>
      </w:r>
      <w:r w:rsidRPr="000A5B32">
        <w:rPr>
          <w:szCs w:val="20"/>
        </w:rPr>
        <w:fldChar w:fldCharType="end"/>
      </w:r>
      <w:r w:rsidRPr="000A5B32">
        <w:rPr>
          <w:szCs w:val="20"/>
        </w:rPr>
        <w:t xml:space="preserve"> Yes</w:t>
      </w:r>
    </w:p>
    <w:p w14:paraId="7F5AC681" w14:textId="1E451CFC" w:rsidR="001E6919" w:rsidRPr="001E6958" w:rsidRDefault="00EE0817" w:rsidP="00767E24">
      <w:pPr>
        <w:spacing w:before="0" w:after="0"/>
        <w:ind w:left="284"/>
        <w:jc w:val="both"/>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E30EA2">
        <w:rPr>
          <w:szCs w:val="20"/>
        </w:rPr>
      </w:r>
      <w:r w:rsidR="00E30EA2">
        <w:rPr>
          <w:szCs w:val="20"/>
        </w:rPr>
        <w:fldChar w:fldCharType="separate"/>
      </w:r>
      <w:r>
        <w:rPr>
          <w:szCs w:val="20"/>
        </w:rPr>
        <w:fldChar w:fldCharType="end"/>
      </w:r>
      <w:r w:rsidR="001E6958">
        <w:rPr>
          <w:szCs w:val="20"/>
        </w:rPr>
        <w:t xml:space="preserve"> No  </w:t>
      </w:r>
    </w:p>
    <w:p w14:paraId="587E447D" w14:textId="77777777" w:rsidR="00B75965" w:rsidRDefault="00B75965" w:rsidP="00767E24">
      <w:pPr>
        <w:pStyle w:val="Heading2"/>
        <w:numPr>
          <w:ilvl w:val="0"/>
          <w:numId w:val="5"/>
        </w:numPr>
        <w:jc w:val="both"/>
      </w:pPr>
      <w:r w:rsidRPr="001E6958">
        <w:t xml:space="preserve">If yes, </w:t>
      </w:r>
      <w:r w:rsidR="00C73B62" w:rsidRPr="001E6958">
        <w:t xml:space="preserve">please provide the following information (where relevant): </w:t>
      </w:r>
      <w:r w:rsidR="0056740B" w:rsidRPr="0056740B">
        <w:rPr>
          <w:b w:val="0"/>
        </w:rPr>
        <w:t>Not applicable</w:t>
      </w:r>
    </w:p>
    <w:p w14:paraId="7F165289" w14:textId="355EE252" w:rsidR="001E6958" w:rsidRDefault="001E6958" w:rsidP="00767E24">
      <w:pPr>
        <w:spacing w:before="0" w:after="0"/>
        <w:ind w:left="284"/>
        <w:jc w:val="both"/>
      </w:pPr>
      <w:r>
        <w:t xml:space="preserve">Billing code(s): </w:t>
      </w:r>
      <w:r w:rsidR="009939DC">
        <w:fldChar w:fldCharType="begin">
          <w:ffData>
            <w:name w:val=""/>
            <w:enabled/>
            <w:calcOnExit w:val="0"/>
            <w:textInput>
              <w:default w:val="Insert billing code(s) here"/>
            </w:textInput>
          </w:ffData>
        </w:fldChar>
      </w:r>
      <w:r w:rsidR="009939DC">
        <w:instrText xml:space="preserve"> FORMTEXT </w:instrText>
      </w:r>
      <w:r w:rsidR="009939DC">
        <w:fldChar w:fldCharType="separate"/>
      </w:r>
      <w:r w:rsidR="000F7A4E">
        <w:rPr>
          <w:noProof/>
        </w:rPr>
        <w:t>Insert billing code(s) here</w:t>
      </w:r>
      <w:r w:rsidR="009939DC">
        <w:fldChar w:fldCharType="end"/>
      </w:r>
    </w:p>
    <w:p w14:paraId="16695DE3" w14:textId="3DBB9EBA" w:rsidR="001E6958" w:rsidRDefault="001E6958" w:rsidP="00767E24">
      <w:pPr>
        <w:spacing w:before="0" w:after="0"/>
        <w:ind w:left="284"/>
        <w:jc w:val="both"/>
      </w:pPr>
      <w:r>
        <w:t xml:space="preserve">Trade name of prostheses: </w:t>
      </w:r>
      <w:r w:rsidR="009939DC">
        <w:fldChar w:fldCharType="begin">
          <w:ffData>
            <w:name w:val=""/>
            <w:enabled/>
            <w:calcOnExit w:val="0"/>
            <w:textInput>
              <w:default w:val="Insert trade name here"/>
            </w:textInput>
          </w:ffData>
        </w:fldChar>
      </w:r>
      <w:r w:rsidR="009939DC">
        <w:instrText xml:space="preserve"> FORMTEXT </w:instrText>
      </w:r>
      <w:r w:rsidR="009939DC">
        <w:fldChar w:fldCharType="separate"/>
      </w:r>
      <w:r w:rsidR="000F7A4E">
        <w:rPr>
          <w:noProof/>
        </w:rPr>
        <w:t>Insert trade name here</w:t>
      </w:r>
      <w:r w:rsidR="009939DC">
        <w:fldChar w:fldCharType="end"/>
      </w:r>
    </w:p>
    <w:p w14:paraId="63439AB7" w14:textId="5F9E0FFB" w:rsidR="001E6958" w:rsidRDefault="001E6958" w:rsidP="00767E24">
      <w:pPr>
        <w:spacing w:before="0" w:after="0"/>
        <w:ind w:left="284"/>
        <w:jc w:val="both"/>
      </w:pPr>
      <w:r>
        <w:t xml:space="preserve">Clinical name of prostheses: </w:t>
      </w:r>
      <w:r w:rsidR="009939DC">
        <w:fldChar w:fldCharType="begin">
          <w:ffData>
            <w:name w:val=""/>
            <w:enabled/>
            <w:calcOnExit w:val="0"/>
            <w:textInput>
              <w:default w:val="Insert clinical name here"/>
            </w:textInput>
          </w:ffData>
        </w:fldChar>
      </w:r>
      <w:r w:rsidR="009939DC">
        <w:instrText xml:space="preserve"> FORMTEXT </w:instrText>
      </w:r>
      <w:r w:rsidR="009939DC">
        <w:fldChar w:fldCharType="separate"/>
      </w:r>
      <w:r w:rsidR="000F7A4E">
        <w:rPr>
          <w:noProof/>
        </w:rPr>
        <w:t>Insert clinical name here</w:t>
      </w:r>
      <w:r w:rsidR="009939DC">
        <w:fldChar w:fldCharType="end"/>
      </w:r>
    </w:p>
    <w:p w14:paraId="339342BC" w14:textId="74445FC8" w:rsidR="001E6958" w:rsidRPr="001E6958" w:rsidRDefault="001E6958" w:rsidP="00767E24">
      <w:pPr>
        <w:spacing w:before="0" w:after="0"/>
        <w:ind w:left="284"/>
        <w:jc w:val="both"/>
      </w:pPr>
      <w:r>
        <w:t xml:space="preserve">Other device components delivered as part of the service: </w:t>
      </w:r>
      <w:r w:rsidR="009939DC">
        <w:fldChar w:fldCharType="begin">
          <w:ffData>
            <w:name w:val=""/>
            <w:enabled/>
            <w:calcOnExit w:val="0"/>
            <w:textInput>
              <w:default w:val="Insert description of device components here"/>
            </w:textInput>
          </w:ffData>
        </w:fldChar>
      </w:r>
      <w:r w:rsidR="009939DC">
        <w:instrText xml:space="preserve"> FORMTEXT </w:instrText>
      </w:r>
      <w:r w:rsidR="009939DC">
        <w:fldChar w:fldCharType="separate"/>
      </w:r>
      <w:r w:rsidR="000F7A4E">
        <w:rPr>
          <w:noProof/>
        </w:rPr>
        <w:t>Insert description of device components here</w:t>
      </w:r>
      <w:r w:rsidR="009939DC">
        <w:fldChar w:fldCharType="end"/>
      </w:r>
    </w:p>
    <w:p w14:paraId="3374017C" w14:textId="77777777" w:rsidR="009939DC" w:rsidRDefault="009939DC" w:rsidP="00767E24">
      <w:pPr>
        <w:jc w:val="both"/>
      </w:pPr>
    </w:p>
    <w:p w14:paraId="0469CE10" w14:textId="77777777" w:rsidR="00411735" w:rsidRDefault="00411735" w:rsidP="00767E24">
      <w:pPr>
        <w:pStyle w:val="Heading2"/>
        <w:numPr>
          <w:ilvl w:val="0"/>
          <w:numId w:val="5"/>
        </w:numPr>
        <w:jc w:val="both"/>
      </w:pPr>
      <w:r w:rsidRPr="001E6958">
        <w:t xml:space="preserve">If no, is an application in the process of </w:t>
      </w:r>
      <w:proofErr w:type="gramStart"/>
      <w:r w:rsidRPr="001E6958">
        <w:t>being considered</w:t>
      </w:r>
      <w:proofErr w:type="gramEnd"/>
      <w:r w:rsidRPr="001E6958">
        <w:t xml:space="preserve">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r w:rsidR="00685B66">
        <w:t xml:space="preserve"> </w:t>
      </w:r>
      <w:r w:rsidR="00685B66" w:rsidRPr="00685B66">
        <w:rPr>
          <w:b w:val="0"/>
        </w:rPr>
        <w:t>Not applicable</w:t>
      </w:r>
    </w:p>
    <w:p w14:paraId="6A12F162" w14:textId="77777777" w:rsidR="009939DC" w:rsidRDefault="009939DC" w:rsidP="00767E24">
      <w:pPr>
        <w:spacing w:before="0" w:after="0"/>
        <w:ind w:left="284"/>
        <w:jc w:val="both"/>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30EA2">
        <w:rPr>
          <w:szCs w:val="20"/>
        </w:rPr>
      </w:r>
      <w:r w:rsidR="00E30EA2">
        <w:rPr>
          <w:szCs w:val="20"/>
        </w:rPr>
        <w:fldChar w:fldCharType="separate"/>
      </w:r>
      <w:r w:rsidRPr="000A5B32">
        <w:rPr>
          <w:szCs w:val="20"/>
        </w:rPr>
        <w:fldChar w:fldCharType="end"/>
      </w:r>
      <w:r w:rsidRPr="000A5B32">
        <w:rPr>
          <w:szCs w:val="20"/>
        </w:rPr>
        <w:t xml:space="preserve"> Yes</w:t>
      </w:r>
    </w:p>
    <w:p w14:paraId="73C337EE" w14:textId="77777777" w:rsidR="001E6958" w:rsidRPr="009939DC" w:rsidRDefault="009939DC" w:rsidP="00767E24">
      <w:pPr>
        <w:spacing w:before="0" w:after="0"/>
        <w:ind w:left="284"/>
        <w:jc w:val="both"/>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E30EA2">
        <w:rPr>
          <w:szCs w:val="20"/>
        </w:rPr>
      </w:r>
      <w:r w:rsidR="00E30EA2">
        <w:rPr>
          <w:szCs w:val="20"/>
        </w:rPr>
        <w:fldChar w:fldCharType="separate"/>
      </w:r>
      <w:r w:rsidRPr="000A5B32">
        <w:rPr>
          <w:szCs w:val="20"/>
        </w:rPr>
        <w:fldChar w:fldCharType="end"/>
      </w:r>
      <w:r>
        <w:rPr>
          <w:szCs w:val="20"/>
        </w:rPr>
        <w:t xml:space="preserve"> No  </w:t>
      </w:r>
    </w:p>
    <w:p w14:paraId="2345A4EB" w14:textId="77777777" w:rsidR="00016B6E" w:rsidRPr="00006698" w:rsidRDefault="00016B6E" w:rsidP="00767E24">
      <w:pPr>
        <w:pStyle w:val="Heading2"/>
        <w:numPr>
          <w:ilvl w:val="0"/>
          <w:numId w:val="5"/>
        </w:numPr>
        <w:jc w:val="both"/>
      </w:pPr>
      <w:r w:rsidRPr="00006698">
        <w:t>Are there any other sponsor(s) and / or manufacturer(</w:t>
      </w:r>
      <w:r w:rsidR="008B729C" w:rsidRPr="00006698">
        <w:t>s) that have a similar prosthesi</w:t>
      </w:r>
      <w:r w:rsidRPr="00006698">
        <w:t xml:space="preserve">s or device component in the Australian market </w:t>
      </w:r>
      <w:proofErr w:type="gramStart"/>
      <w:r w:rsidRPr="00006698">
        <w:t>place which</w:t>
      </w:r>
      <w:proofErr w:type="gramEnd"/>
      <w:r w:rsidRPr="00006698">
        <w:t xml:space="preserve"> this application is relevant to?</w:t>
      </w:r>
      <w:r w:rsidR="006742C3" w:rsidRPr="00006698">
        <w:t xml:space="preserve"> </w:t>
      </w:r>
      <w:r w:rsidR="006742C3" w:rsidRPr="00554257">
        <w:rPr>
          <w:b w:val="0"/>
        </w:rPr>
        <w:t>Not applicable</w:t>
      </w:r>
    </w:p>
    <w:p w14:paraId="41D47DCC" w14:textId="77777777" w:rsidR="009939DC" w:rsidRDefault="00727DBF" w:rsidP="00767E24">
      <w:pPr>
        <w:spacing w:before="0" w:after="0"/>
        <w:ind w:left="284"/>
        <w:jc w:val="both"/>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E30EA2">
        <w:rPr>
          <w:szCs w:val="20"/>
        </w:rPr>
      </w:r>
      <w:r w:rsidR="00E30EA2">
        <w:rPr>
          <w:szCs w:val="20"/>
        </w:rPr>
        <w:fldChar w:fldCharType="separate"/>
      </w:r>
      <w:r>
        <w:rPr>
          <w:szCs w:val="20"/>
        </w:rPr>
        <w:fldChar w:fldCharType="end"/>
      </w:r>
      <w:r w:rsidR="009939DC" w:rsidRPr="000A5B32">
        <w:rPr>
          <w:szCs w:val="20"/>
        </w:rPr>
        <w:t xml:space="preserve"> Yes</w:t>
      </w:r>
    </w:p>
    <w:p w14:paraId="0FEADE51" w14:textId="1320BD21" w:rsidR="009939DC" w:rsidRDefault="009939DC" w:rsidP="00767E24">
      <w:pPr>
        <w:spacing w:before="0" w:after="0"/>
        <w:ind w:left="284"/>
        <w:jc w:val="both"/>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E30EA2">
        <w:rPr>
          <w:szCs w:val="20"/>
        </w:rPr>
      </w:r>
      <w:r w:rsidR="00E30EA2">
        <w:rPr>
          <w:szCs w:val="20"/>
        </w:rPr>
        <w:fldChar w:fldCharType="separate"/>
      </w:r>
      <w:r w:rsidRPr="000A5B32">
        <w:rPr>
          <w:szCs w:val="20"/>
        </w:rPr>
        <w:fldChar w:fldCharType="end"/>
      </w:r>
      <w:r>
        <w:rPr>
          <w:szCs w:val="20"/>
        </w:rPr>
        <w:t xml:space="preserve"> No</w:t>
      </w:r>
    </w:p>
    <w:p w14:paraId="405F8FC9" w14:textId="77777777" w:rsidR="0055531C" w:rsidRDefault="0055531C" w:rsidP="00767E24">
      <w:pPr>
        <w:spacing w:before="0" w:after="0"/>
        <w:ind w:left="284"/>
        <w:jc w:val="both"/>
        <w:rPr>
          <w:szCs w:val="20"/>
        </w:rPr>
      </w:pPr>
    </w:p>
    <w:p w14:paraId="2D1BDB00" w14:textId="77777777" w:rsidR="009939DC" w:rsidRDefault="00016B6E" w:rsidP="00767E24">
      <w:pPr>
        <w:pStyle w:val="Heading2"/>
        <w:numPr>
          <w:ilvl w:val="0"/>
          <w:numId w:val="5"/>
        </w:numPr>
        <w:jc w:val="both"/>
      </w:pPr>
      <w:r w:rsidRPr="009939DC">
        <w:t>If yes, please provide the name(s) of the spon</w:t>
      </w:r>
      <w:r w:rsidR="009939DC">
        <w:t>sor(s) and / or manufacturer(s):</w:t>
      </w:r>
      <w:r w:rsidR="0056740B">
        <w:t xml:space="preserve"> </w:t>
      </w:r>
      <w:r w:rsidR="0056740B" w:rsidRPr="0056740B">
        <w:rPr>
          <w:b w:val="0"/>
        </w:rPr>
        <w:t>Not applicable</w:t>
      </w:r>
    </w:p>
    <w:p w14:paraId="20AD65B2" w14:textId="6106673D" w:rsidR="00016B6E" w:rsidRPr="009939DC" w:rsidRDefault="00016B6E" w:rsidP="00767E24">
      <w:pPr>
        <w:ind w:left="284"/>
        <w:jc w:val="both"/>
      </w:pPr>
    </w:p>
    <w:p w14:paraId="37231736" w14:textId="77777777" w:rsidR="0084657B" w:rsidRPr="00554257" w:rsidRDefault="00A9062D" w:rsidP="00767E24">
      <w:pPr>
        <w:pStyle w:val="Heading2"/>
        <w:jc w:val="both"/>
        <w:rPr>
          <w:b w:val="0"/>
        </w:rPr>
      </w:pPr>
      <w:proofErr w:type="gramStart"/>
      <w:r w:rsidRPr="00554257">
        <w:t>P</w:t>
      </w:r>
      <w:r w:rsidR="0084657B" w:rsidRPr="00554257">
        <w:t xml:space="preserve">lease identify </w:t>
      </w:r>
      <w:r w:rsidR="00E8649B" w:rsidRPr="00554257">
        <w:t xml:space="preserve">any single </w:t>
      </w:r>
      <w:r w:rsidR="00016B6E" w:rsidRPr="00554257">
        <w:t>and / or multi-</w:t>
      </w:r>
      <w:r w:rsidR="00E8649B" w:rsidRPr="00554257">
        <w:t>use consumables</w:t>
      </w:r>
      <w:r w:rsidR="0084657B" w:rsidRPr="00554257">
        <w:t xml:space="preserve"> </w:t>
      </w:r>
      <w:r w:rsidR="00E8649B" w:rsidRPr="00554257">
        <w:t>delivered as part of the service?</w:t>
      </w:r>
      <w:proofErr w:type="gramEnd"/>
      <w:r w:rsidR="00006698" w:rsidRPr="00554257">
        <w:t xml:space="preserve"> </w:t>
      </w:r>
    </w:p>
    <w:p w14:paraId="7C4B3F4D" w14:textId="77777777" w:rsidR="00D35764" w:rsidRDefault="00D35764" w:rsidP="00D35764">
      <w:pPr>
        <w:spacing w:before="0" w:after="0"/>
        <w:ind w:left="360"/>
        <w:jc w:val="both"/>
      </w:pPr>
      <w:r>
        <w:t xml:space="preserve">Single use consumables: PD-L1 </w:t>
      </w:r>
      <w:proofErr w:type="gramStart"/>
      <w:r>
        <w:t>is evaluated</w:t>
      </w:r>
      <w:proofErr w:type="gramEnd"/>
      <w:r>
        <w:t xml:space="preserve"> using the PD-L1 OptiView Amplification Kit that is used in conjunction with the OptiView Detection Kit on a VENTANA BenchMark ULTRA instrument. PD-L1 may also be evaluated using alternate kits and instrumentation platforms (e.g. PD-L1 IHC 28-8 pharmDx kit and Dako Autostainer Link 48 platform).</w:t>
      </w:r>
    </w:p>
    <w:p w14:paraId="66281748" w14:textId="6DC85EC9" w:rsidR="00F301F1" w:rsidRPr="00855944" w:rsidRDefault="00D35764" w:rsidP="00D35764">
      <w:pPr>
        <w:spacing w:before="0" w:after="0"/>
        <w:ind w:left="360"/>
        <w:jc w:val="both"/>
      </w:pPr>
      <w:r>
        <w:t>Multi-use consumables:</w:t>
      </w:r>
      <w:r w:rsidRPr="009939DC">
        <w:t xml:space="preserve"> </w:t>
      </w:r>
      <w:r>
        <w:t>Not applicable</w:t>
      </w:r>
      <w:r w:rsidR="00F301F1" w:rsidRPr="00855944">
        <w:br w:type="page"/>
      </w:r>
    </w:p>
    <w:p w14:paraId="2B1211BB" w14:textId="77777777" w:rsidR="00226777" w:rsidRPr="00C776B1" w:rsidRDefault="00530204" w:rsidP="00767E24">
      <w:pPr>
        <w:pStyle w:val="Heading1"/>
        <w:jc w:val="both"/>
      </w:pPr>
      <w:r>
        <w:lastRenderedPageBreak/>
        <w:t>PART 3</w:t>
      </w:r>
      <w:r w:rsidR="00F93784">
        <w:t xml:space="preserve"> – </w:t>
      </w:r>
      <w:r w:rsidR="00226777" w:rsidRPr="00C776B1">
        <w:t>INFORMATION ABOUT REGULATORY REQUIREMENTS</w:t>
      </w:r>
    </w:p>
    <w:p w14:paraId="6F3EEDF9" w14:textId="77777777" w:rsidR="00392AFE" w:rsidRPr="00806C75" w:rsidRDefault="0011369B" w:rsidP="00767E24">
      <w:pPr>
        <w:pStyle w:val="Heading2"/>
        <w:jc w:val="both"/>
      </w:pPr>
      <w:r>
        <w:t xml:space="preserve">(a) </w:t>
      </w:r>
      <w:r w:rsidR="0054594B" w:rsidRPr="00806C75">
        <w:t>If</w:t>
      </w:r>
      <w:r w:rsidR="00226777" w:rsidRPr="00806C75">
        <w:t xml:space="preserve"> the </w:t>
      </w:r>
      <w:r w:rsidR="001A1ADF" w:rsidRPr="00806C75">
        <w:t>p</w:t>
      </w:r>
      <w:r w:rsidR="00226777" w:rsidRPr="00806C75">
        <w:t>roposed medical service involve</w:t>
      </w:r>
      <w:r w:rsidR="009C03FB" w:rsidRPr="00806C75">
        <w:t>s</w:t>
      </w:r>
      <w:r w:rsidR="001A1ADF" w:rsidRPr="00806C75">
        <w:t xml:space="preserve"> the use of a medical device, in-vitro diagnostic test, </w:t>
      </w:r>
      <w:r w:rsidR="00226777" w:rsidRPr="00806C75">
        <w:t xml:space="preserve">pharmaceutical product, </w:t>
      </w:r>
      <w:r w:rsidR="001A1ADF" w:rsidRPr="00806C75">
        <w:t>radioactive tracer or any other type of therape</w:t>
      </w:r>
      <w:r w:rsidR="008127C0" w:rsidRPr="00806C75">
        <w:t xml:space="preserve">utic good, please </w:t>
      </w:r>
      <w:r w:rsidR="001A1ADF" w:rsidRPr="00806C75">
        <w:t xml:space="preserve">provide </w:t>
      </w:r>
      <w:r w:rsidR="008127C0" w:rsidRPr="00806C75">
        <w:t>the following details</w:t>
      </w:r>
      <w:r w:rsidR="001A1ADF" w:rsidRPr="00806C75">
        <w:t>:</w:t>
      </w:r>
      <w:r w:rsidR="00392AFE" w:rsidRPr="00806C75">
        <w:t xml:space="preserve"> </w:t>
      </w:r>
    </w:p>
    <w:p w14:paraId="4DEFEECD" w14:textId="77777777" w:rsidR="00D35764" w:rsidRPr="00A26343" w:rsidRDefault="00D35764" w:rsidP="00D35764">
      <w:pPr>
        <w:spacing w:before="0" w:after="0"/>
        <w:ind w:left="360"/>
        <w:rPr>
          <w:szCs w:val="20"/>
        </w:rPr>
      </w:pPr>
      <w:r w:rsidRPr="00A26343">
        <w:rPr>
          <w:szCs w:val="20"/>
        </w:rPr>
        <w:t>Type of therapeutic good</w:t>
      </w:r>
      <w:r>
        <w:rPr>
          <w:szCs w:val="20"/>
        </w:rPr>
        <w:t xml:space="preserve">: PD-L1 inhibitor, atezolizumab, Tecentriq® </w:t>
      </w:r>
    </w:p>
    <w:p w14:paraId="0D69435B" w14:textId="77777777" w:rsidR="00F02A87" w:rsidRPr="00A26343" w:rsidRDefault="00F02A87" w:rsidP="00F02A87">
      <w:pPr>
        <w:spacing w:before="0" w:after="0"/>
        <w:ind w:left="360"/>
        <w:rPr>
          <w:szCs w:val="20"/>
        </w:rPr>
      </w:pPr>
      <w:r w:rsidRPr="00A26343">
        <w:rPr>
          <w:szCs w:val="20"/>
        </w:rPr>
        <w:t>Manufacturer’s name</w:t>
      </w:r>
      <w:r>
        <w:rPr>
          <w:szCs w:val="20"/>
        </w:rPr>
        <w:t>: Roche Products Pty Ltd</w:t>
      </w:r>
    </w:p>
    <w:p w14:paraId="1A49B10F" w14:textId="77777777" w:rsidR="00F02A87" w:rsidRDefault="00F02A87" w:rsidP="00F02A87">
      <w:pPr>
        <w:spacing w:before="0" w:after="0"/>
        <w:ind w:left="360"/>
        <w:jc w:val="both"/>
      </w:pPr>
      <w:r w:rsidRPr="00A26343">
        <w:rPr>
          <w:szCs w:val="20"/>
        </w:rPr>
        <w:t>Sponsor’s name</w:t>
      </w:r>
      <w:r>
        <w:rPr>
          <w:szCs w:val="20"/>
        </w:rPr>
        <w:t>: Roche Products Pty Ltd</w:t>
      </w:r>
    </w:p>
    <w:p w14:paraId="181A4C5E" w14:textId="77777777" w:rsidR="00F02A87" w:rsidRDefault="00F02A87" w:rsidP="00F02A87">
      <w:pPr>
        <w:spacing w:before="0" w:after="0"/>
        <w:ind w:left="360"/>
        <w:rPr>
          <w:szCs w:val="20"/>
        </w:rPr>
      </w:pPr>
    </w:p>
    <w:p w14:paraId="43F0634D" w14:textId="77777777" w:rsidR="00F02A87" w:rsidRPr="00A26343" w:rsidRDefault="00F02A87" w:rsidP="00F02A87">
      <w:pPr>
        <w:spacing w:before="0" w:after="0"/>
        <w:ind w:left="360"/>
        <w:rPr>
          <w:szCs w:val="20"/>
        </w:rPr>
      </w:pPr>
      <w:r w:rsidRPr="00A26343">
        <w:rPr>
          <w:szCs w:val="20"/>
        </w:rPr>
        <w:t>Type of therapeutic good</w:t>
      </w:r>
      <w:r>
        <w:rPr>
          <w:szCs w:val="20"/>
        </w:rPr>
        <w:t xml:space="preserve">: PD-L1 in vitro diagnostic test </w:t>
      </w:r>
      <w:r>
        <w:t>VENTANA PD-L1 (SP142) Assay</w:t>
      </w:r>
    </w:p>
    <w:p w14:paraId="781E60CE" w14:textId="77777777" w:rsidR="00F02A87" w:rsidRPr="00A26343" w:rsidRDefault="00F02A87" w:rsidP="00F02A87">
      <w:pPr>
        <w:spacing w:before="0" w:after="0"/>
        <w:ind w:left="360"/>
        <w:rPr>
          <w:szCs w:val="20"/>
        </w:rPr>
      </w:pPr>
      <w:r w:rsidRPr="00A26343">
        <w:rPr>
          <w:szCs w:val="20"/>
        </w:rPr>
        <w:t>Manufacturer’s name</w:t>
      </w:r>
      <w:r>
        <w:rPr>
          <w:szCs w:val="20"/>
        </w:rPr>
        <w:t>: Roche Diagnostics Pty Ltd</w:t>
      </w:r>
    </w:p>
    <w:p w14:paraId="4074A4E3" w14:textId="03334D40" w:rsidR="00F02A87" w:rsidRDefault="00F02A87" w:rsidP="00F02A87">
      <w:pPr>
        <w:spacing w:before="0" w:after="0"/>
        <w:ind w:left="360"/>
        <w:rPr>
          <w:szCs w:val="20"/>
        </w:rPr>
      </w:pPr>
      <w:r w:rsidRPr="00A26343">
        <w:rPr>
          <w:szCs w:val="20"/>
        </w:rPr>
        <w:t>Sponsor’s name</w:t>
      </w:r>
      <w:r>
        <w:rPr>
          <w:szCs w:val="20"/>
        </w:rPr>
        <w:t>: Roche Diagnostics Pty Ltd</w:t>
      </w:r>
    </w:p>
    <w:p w14:paraId="62274A51" w14:textId="245A2B8E" w:rsidR="009E1C96" w:rsidRDefault="009E1C96" w:rsidP="00F02A87">
      <w:pPr>
        <w:spacing w:before="0" w:after="0"/>
        <w:ind w:left="360"/>
        <w:rPr>
          <w:szCs w:val="20"/>
        </w:rPr>
      </w:pPr>
    </w:p>
    <w:p w14:paraId="3245B257" w14:textId="14AEE2EA" w:rsidR="009E1C96" w:rsidRDefault="009E1C96" w:rsidP="00F02A87">
      <w:pPr>
        <w:spacing w:before="0" w:after="0"/>
        <w:ind w:left="360"/>
      </w:pPr>
      <w:r>
        <w:rPr>
          <w:szCs w:val="20"/>
        </w:rPr>
        <w:t xml:space="preserve">A comparison to alternative commercial PD-L1 test kits for TNBC </w:t>
      </w:r>
      <w:proofErr w:type="gramStart"/>
      <w:r>
        <w:rPr>
          <w:szCs w:val="20"/>
        </w:rPr>
        <w:t xml:space="preserve">will be </w:t>
      </w:r>
      <w:r w:rsidR="00BD53E6">
        <w:t>presented</w:t>
      </w:r>
      <w:proofErr w:type="gramEnd"/>
      <w:r w:rsidR="00BD53E6">
        <w:t xml:space="preserve"> for MSAC consideration in the co-dependent technology submission.</w:t>
      </w:r>
    </w:p>
    <w:p w14:paraId="603EAE31" w14:textId="53F759CA" w:rsidR="00570FB1" w:rsidRPr="008D37A9" w:rsidRDefault="005E2CE3" w:rsidP="00767E24">
      <w:pPr>
        <w:pStyle w:val="Heading2"/>
        <w:numPr>
          <w:ilvl w:val="0"/>
          <w:numId w:val="6"/>
        </w:numPr>
        <w:jc w:val="both"/>
      </w:pPr>
      <w:proofErr w:type="gramStart"/>
      <w:r w:rsidRPr="008D37A9">
        <w:t>Is the medical device classified</w:t>
      </w:r>
      <w:proofErr w:type="gramEnd"/>
      <w:r w:rsidRPr="008D37A9">
        <w:t xml:space="preserve"> by the TGA as either a Class III or Active Implantable Medical Device (AIMD) against the TGA regulatory scheme for devices?</w:t>
      </w:r>
    </w:p>
    <w:p w14:paraId="1F1C7A53" w14:textId="77777777" w:rsidR="00615F42" w:rsidRPr="00615F42" w:rsidRDefault="00570FB1" w:rsidP="00767E24">
      <w:pPr>
        <w:spacing w:before="0" w:after="0"/>
        <w:ind w:left="360"/>
        <w:jc w:val="both"/>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30EA2">
        <w:rPr>
          <w:szCs w:val="20"/>
        </w:rPr>
      </w:r>
      <w:r w:rsidR="00E30EA2">
        <w:rPr>
          <w:szCs w:val="20"/>
        </w:rPr>
        <w:fldChar w:fldCharType="separate"/>
      </w:r>
      <w:r>
        <w:rPr>
          <w:szCs w:val="20"/>
        </w:rPr>
        <w:fldChar w:fldCharType="end"/>
      </w:r>
      <w:r w:rsidR="00615F42" w:rsidRPr="000A5B32">
        <w:rPr>
          <w:szCs w:val="20"/>
        </w:rPr>
        <w:t xml:space="preserve"> </w:t>
      </w:r>
      <w:r w:rsidR="00615F42" w:rsidRPr="00615F42">
        <w:rPr>
          <w:szCs w:val="20"/>
        </w:rPr>
        <w:t>Class III</w:t>
      </w:r>
    </w:p>
    <w:p w14:paraId="228D7D0C" w14:textId="77777777" w:rsidR="00615F42" w:rsidRPr="00615F42" w:rsidRDefault="00615F42" w:rsidP="00767E24">
      <w:pPr>
        <w:spacing w:before="0" w:after="0"/>
        <w:ind w:left="360"/>
        <w:jc w:val="both"/>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30EA2">
        <w:rPr>
          <w:szCs w:val="20"/>
        </w:rPr>
      </w:r>
      <w:r w:rsidR="00E30EA2">
        <w:rPr>
          <w:szCs w:val="20"/>
        </w:rPr>
        <w:fldChar w:fldCharType="separate"/>
      </w:r>
      <w:r w:rsidRPr="000A5B32">
        <w:rPr>
          <w:szCs w:val="20"/>
        </w:rPr>
        <w:fldChar w:fldCharType="end"/>
      </w:r>
      <w:r w:rsidRPr="000A5B32">
        <w:rPr>
          <w:szCs w:val="20"/>
        </w:rPr>
        <w:t xml:space="preserve"> </w:t>
      </w:r>
      <w:r w:rsidRPr="00615F42">
        <w:rPr>
          <w:szCs w:val="20"/>
        </w:rPr>
        <w:t>AIMD</w:t>
      </w:r>
    </w:p>
    <w:p w14:paraId="2903065C" w14:textId="1A2D1879" w:rsidR="005E2CE3" w:rsidRDefault="00615F42" w:rsidP="00767E24">
      <w:pPr>
        <w:spacing w:before="0" w:after="0"/>
        <w:ind w:left="360"/>
        <w:jc w:val="both"/>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30EA2">
        <w:rPr>
          <w:szCs w:val="20"/>
        </w:rPr>
      </w:r>
      <w:r w:rsidR="00E30EA2">
        <w:rPr>
          <w:szCs w:val="20"/>
        </w:rPr>
        <w:fldChar w:fldCharType="separate"/>
      </w:r>
      <w:r w:rsidRPr="000A5B32">
        <w:rPr>
          <w:szCs w:val="20"/>
        </w:rPr>
        <w:fldChar w:fldCharType="end"/>
      </w:r>
      <w:r w:rsidRPr="000A5B32">
        <w:rPr>
          <w:szCs w:val="20"/>
        </w:rPr>
        <w:t xml:space="preserve"> </w:t>
      </w:r>
      <w:r w:rsidRPr="00615F42">
        <w:rPr>
          <w:szCs w:val="20"/>
        </w:rPr>
        <w:t>N/A</w:t>
      </w:r>
    </w:p>
    <w:p w14:paraId="4F109380" w14:textId="77777777" w:rsidR="009927F5" w:rsidRPr="00154B00" w:rsidRDefault="009927F5" w:rsidP="00767E24">
      <w:pPr>
        <w:spacing w:before="0" w:after="0"/>
        <w:ind w:left="360"/>
        <w:jc w:val="both"/>
        <w:rPr>
          <w:szCs w:val="20"/>
        </w:rPr>
      </w:pPr>
    </w:p>
    <w:p w14:paraId="7417B875" w14:textId="5D931DF6" w:rsidR="003421AE" w:rsidRPr="005553EA" w:rsidRDefault="0011369B" w:rsidP="00767E24">
      <w:pPr>
        <w:pStyle w:val="Heading2"/>
        <w:jc w:val="both"/>
      </w:pPr>
      <w:r>
        <w:t xml:space="preserve">(a) </w:t>
      </w:r>
      <w:r w:rsidR="003421AE" w:rsidRPr="005553EA">
        <w:t xml:space="preserve">Is the therapeutic good to </w:t>
      </w:r>
      <w:proofErr w:type="gramStart"/>
      <w:r w:rsidR="003421AE" w:rsidRPr="005553EA">
        <w:t>be used</w:t>
      </w:r>
      <w:proofErr w:type="gramEnd"/>
      <w:r w:rsidR="003421AE" w:rsidRPr="005553EA">
        <w:t xml:space="preserve"> in the service exempt from the regulatory requirements of the </w:t>
      </w:r>
      <w:r w:rsidR="003421AE" w:rsidRPr="005553EA">
        <w:rPr>
          <w:i/>
        </w:rPr>
        <w:t>Therapeutic Goods Act 1989</w:t>
      </w:r>
      <w:r w:rsidR="003421AE" w:rsidRPr="005553EA">
        <w:t>?</w:t>
      </w:r>
      <w:r w:rsidR="008D37A9" w:rsidRPr="005553EA">
        <w:t xml:space="preserve">  </w:t>
      </w:r>
    </w:p>
    <w:p w14:paraId="4D0C53D1" w14:textId="77777777" w:rsidR="00615F42" w:rsidRDefault="00615F42" w:rsidP="00767E24">
      <w:pPr>
        <w:spacing w:before="0" w:after="0"/>
        <w:ind w:left="284"/>
        <w:jc w:val="both"/>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30EA2">
        <w:rPr>
          <w:szCs w:val="20"/>
        </w:rPr>
      </w:r>
      <w:r w:rsidR="00E30EA2">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6CF867BE" w14:textId="5ECCEAA6" w:rsidR="003421AE" w:rsidRPr="00615F42" w:rsidRDefault="00A740B8" w:rsidP="00767E24">
      <w:pPr>
        <w:spacing w:before="0" w:after="0"/>
        <w:ind w:left="284"/>
        <w:jc w:val="both"/>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30EA2">
        <w:rPr>
          <w:szCs w:val="20"/>
        </w:rPr>
      </w:r>
      <w:r w:rsidR="00E30EA2">
        <w:rPr>
          <w:szCs w:val="20"/>
        </w:rPr>
        <w:fldChar w:fldCharType="separate"/>
      </w:r>
      <w:r>
        <w:rPr>
          <w:szCs w:val="20"/>
        </w:rPr>
        <w:fldChar w:fldCharType="end"/>
      </w:r>
      <w:r>
        <w:rPr>
          <w:szCs w:val="20"/>
        </w:rPr>
        <w:t xml:space="preserve"> </w:t>
      </w:r>
      <w:r w:rsidR="00615F42">
        <w:rPr>
          <w:szCs w:val="20"/>
        </w:rPr>
        <w:t>No</w:t>
      </w:r>
    </w:p>
    <w:p w14:paraId="10B0D6AB" w14:textId="3F61EDA9" w:rsidR="00D85676" w:rsidRDefault="00D85676" w:rsidP="00767E24">
      <w:pPr>
        <w:pStyle w:val="Heading2"/>
        <w:numPr>
          <w:ilvl w:val="0"/>
          <w:numId w:val="7"/>
        </w:numPr>
        <w:jc w:val="both"/>
      </w:pPr>
      <w:r w:rsidRPr="008D37A9">
        <w:t xml:space="preserve">If no, has it been </w:t>
      </w:r>
      <w:proofErr w:type="gramStart"/>
      <w:r w:rsidRPr="008D37A9">
        <w:t>listed or registered</w:t>
      </w:r>
      <w:proofErr w:type="gramEnd"/>
      <w:r w:rsidRPr="008D37A9">
        <w:t xml:space="preserve"> or included in the Australian Register of Therapeutic Goods (ARTG) by the Therapeutic Goods Administration (TGA</w:t>
      </w:r>
      <w:r w:rsidRPr="005553EA">
        <w:t>)</w:t>
      </w:r>
      <w:r w:rsidR="00403333" w:rsidRPr="005553EA">
        <w:t>?</w:t>
      </w:r>
      <w:r w:rsidR="00A011DD" w:rsidRPr="005553EA">
        <w:t xml:space="preserve"> </w:t>
      </w:r>
    </w:p>
    <w:p w14:paraId="2AE73E98" w14:textId="129CBFCA" w:rsidR="004A4B19" w:rsidRPr="004A4B19" w:rsidRDefault="004A4B19" w:rsidP="004A4B19">
      <w:pPr>
        <w:ind w:left="284"/>
        <w:rPr>
          <w:u w:val="single"/>
        </w:rPr>
      </w:pPr>
      <w:r w:rsidRPr="004A4B19">
        <w:rPr>
          <w:u w:val="single"/>
        </w:rPr>
        <w:t>Tecentriq</w:t>
      </w:r>
    </w:p>
    <w:p w14:paraId="6B280E4C" w14:textId="1FAFF44F" w:rsidR="0043654D" w:rsidRDefault="00A740B8" w:rsidP="00767E24">
      <w:pPr>
        <w:spacing w:before="0" w:after="0"/>
        <w:ind w:left="284"/>
        <w:jc w:val="both"/>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30EA2">
        <w:rPr>
          <w:szCs w:val="20"/>
        </w:rPr>
      </w:r>
      <w:r w:rsidR="00E30EA2">
        <w:rPr>
          <w:szCs w:val="20"/>
        </w:rPr>
        <w:fldChar w:fldCharType="separate"/>
      </w:r>
      <w:r>
        <w:rPr>
          <w:szCs w:val="20"/>
        </w:rPr>
        <w:fldChar w:fldCharType="end"/>
      </w:r>
      <w:r>
        <w:rPr>
          <w:szCs w:val="20"/>
        </w:rPr>
        <w:t xml:space="preserve"> </w:t>
      </w:r>
      <w:r w:rsidR="0043654D">
        <w:rPr>
          <w:szCs w:val="20"/>
        </w:rPr>
        <w:t xml:space="preserve"> Yes</w:t>
      </w:r>
      <w:r w:rsidR="0053271F">
        <w:rPr>
          <w:szCs w:val="20"/>
        </w:rPr>
        <w:t xml:space="preserve"> </w:t>
      </w:r>
      <w:r w:rsidR="0043654D">
        <w:rPr>
          <w:szCs w:val="20"/>
        </w:rPr>
        <w:t>(if yes, please provide details below)</w:t>
      </w:r>
    </w:p>
    <w:p w14:paraId="7AB971F1" w14:textId="63452B7C" w:rsidR="0043654D" w:rsidRDefault="004A4B19" w:rsidP="00767E24">
      <w:pPr>
        <w:spacing w:before="0" w:after="0"/>
        <w:ind w:left="284"/>
        <w:jc w:val="both"/>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30EA2">
        <w:rPr>
          <w:szCs w:val="20"/>
        </w:rPr>
      </w:r>
      <w:r w:rsidR="00E30EA2">
        <w:rPr>
          <w:szCs w:val="20"/>
        </w:rPr>
        <w:fldChar w:fldCharType="separate"/>
      </w:r>
      <w:r w:rsidRPr="000A5B32">
        <w:rPr>
          <w:szCs w:val="20"/>
        </w:rPr>
        <w:fldChar w:fldCharType="end"/>
      </w:r>
      <w:r w:rsidR="0043654D">
        <w:rPr>
          <w:szCs w:val="20"/>
        </w:rPr>
        <w:t xml:space="preserve"> No</w:t>
      </w:r>
      <w:r w:rsidR="0053271F">
        <w:rPr>
          <w:szCs w:val="20"/>
        </w:rPr>
        <w:t xml:space="preserve"> </w:t>
      </w:r>
    </w:p>
    <w:p w14:paraId="37551FF7" w14:textId="77777777" w:rsidR="0043654D" w:rsidRDefault="0043654D" w:rsidP="00767E24">
      <w:pPr>
        <w:spacing w:before="0" w:after="0"/>
        <w:ind w:left="284"/>
        <w:jc w:val="both"/>
        <w:rPr>
          <w:b/>
          <w:szCs w:val="20"/>
        </w:rPr>
      </w:pPr>
    </w:p>
    <w:p w14:paraId="57B8127B" w14:textId="639F789D" w:rsidR="0043654D" w:rsidRDefault="0043654D" w:rsidP="00767E24">
      <w:pPr>
        <w:spacing w:before="0" w:after="0"/>
        <w:ind w:left="284"/>
        <w:jc w:val="both"/>
        <w:rPr>
          <w:szCs w:val="20"/>
        </w:rPr>
      </w:pPr>
      <w:r w:rsidRPr="0043654D">
        <w:rPr>
          <w:szCs w:val="20"/>
        </w:rPr>
        <w:t>ARTG listing, registration or inclusion number:</w:t>
      </w:r>
      <w:r>
        <w:rPr>
          <w:szCs w:val="20"/>
        </w:rPr>
        <w:t xml:space="preserve">  </w:t>
      </w:r>
      <w:r w:rsidR="00A740B8">
        <w:rPr>
          <w:szCs w:val="20"/>
        </w:rPr>
        <w:t>AUST R 277120</w:t>
      </w:r>
    </w:p>
    <w:p w14:paraId="4D82D827" w14:textId="77777777" w:rsidR="009927F5" w:rsidRPr="0043654D" w:rsidRDefault="009927F5" w:rsidP="00767E24">
      <w:pPr>
        <w:spacing w:before="0" w:after="0"/>
        <w:ind w:left="284"/>
        <w:jc w:val="both"/>
        <w:rPr>
          <w:szCs w:val="20"/>
        </w:rPr>
      </w:pPr>
    </w:p>
    <w:p w14:paraId="36C41D23" w14:textId="77777777" w:rsidR="00A740B8" w:rsidRDefault="0043654D" w:rsidP="00767E24">
      <w:pPr>
        <w:spacing w:before="0" w:after="0"/>
        <w:ind w:left="284"/>
        <w:jc w:val="both"/>
        <w:rPr>
          <w:szCs w:val="20"/>
        </w:rPr>
      </w:pPr>
      <w:r w:rsidRPr="0043654D">
        <w:rPr>
          <w:szCs w:val="20"/>
        </w:rPr>
        <w:t>TGA approved indication(s), if applicable:</w:t>
      </w:r>
    </w:p>
    <w:p w14:paraId="10AD6D0B" w14:textId="77777777" w:rsidR="00A740B8" w:rsidRPr="00525A7C" w:rsidRDefault="00A740B8" w:rsidP="00767E24">
      <w:pPr>
        <w:spacing w:before="0" w:after="0"/>
        <w:ind w:left="284"/>
        <w:jc w:val="both"/>
        <w:rPr>
          <w:szCs w:val="20"/>
        </w:rPr>
      </w:pPr>
      <w:r w:rsidRPr="00525A7C">
        <w:rPr>
          <w:b/>
          <w:bCs/>
          <w:szCs w:val="20"/>
        </w:rPr>
        <w:t xml:space="preserve">Non-small cell lung cancer </w:t>
      </w:r>
    </w:p>
    <w:p w14:paraId="4BA9EB06" w14:textId="04880AC9" w:rsidR="0043654D" w:rsidRDefault="00A740B8" w:rsidP="00767E24">
      <w:pPr>
        <w:spacing w:before="0" w:after="0"/>
        <w:ind w:left="284"/>
        <w:jc w:val="both"/>
        <w:rPr>
          <w:szCs w:val="20"/>
        </w:rPr>
      </w:pPr>
      <w:r w:rsidRPr="00525A7C">
        <w:rPr>
          <w:szCs w:val="20"/>
        </w:rPr>
        <w:t xml:space="preserve">Tecentriq </w:t>
      </w:r>
      <w:proofErr w:type="gramStart"/>
      <w:r w:rsidRPr="00525A7C">
        <w:rPr>
          <w:szCs w:val="20"/>
        </w:rPr>
        <w:t>is indicated</w:t>
      </w:r>
      <w:proofErr w:type="gramEnd"/>
      <w:r w:rsidRPr="00525A7C">
        <w:rPr>
          <w:szCs w:val="20"/>
        </w:rPr>
        <w:t xml:space="preserve"> for the treatment of patients with locally advanced or metastatic non-small cell lung cancer (NSCLC) with progression on or after prior chemotherapy. In patients with tumour EGFR or ALK genomic aberrations, Tecentriq </w:t>
      </w:r>
      <w:proofErr w:type="gramStart"/>
      <w:r w:rsidRPr="00525A7C">
        <w:rPr>
          <w:szCs w:val="20"/>
        </w:rPr>
        <w:t>should be used</w:t>
      </w:r>
      <w:proofErr w:type="gramEnd"/>
      <w:r w:rsidRPr="00525A7C">
        <w:rPr>
          <w:szCs w:val="20"/>
        </w:rPr>
        <w:t xml:space="preserve"> after progression on or after targeted therapy</w:t>
      </w:r>
      <w:r w:rsidR="004A4B19">
        <w:rPr>
          <w:szCs w:val="20"/>
        </w:rPr>
        <w:t>.</w:t>
      </w:r>
      <w:r w:rsidRPr="0043654D">
        <w:rPr>
          <w:szCs w:val="20"/>
        </w:rPr>
        <w:t xml:space="preserve"> </w:t>
      </w:r>
    </w:p>
    <w:p w14:paraId="64331A3D" w14:textId="51AFA4DB" w:rsidR="008A46F1" w:rsidRDefault="008A46F1" w:rsidP="00767E24">
      <w:pPr>
        <w:spacing w:before="0" w:after="0"/>
        <w:ind w:left="284"/>
        <w:jc w:val="both"/>
        <w:rPr>
          <w:szCs w:val="20"/>
        </w:rPr>
      </w:pPr>
    </w:p>
    <w:p w14:paraId="5A543ECC" w14:textId="63A6BDF1" w:rsidR="008A46F1" w:rsidRPr="0043654D" w:rsidRDefault="008A46F1" w:rsidP="00767E24">
      <w:pPr>
        <w:spacing w:before="0" w:after="0"/>
        <w:ind w:left="284"/>
        <w:jc w:val="both"/>
        <w:rPr>
          <w:szCs w:val="20"/>
        </w:rPr>
      </w:pPr>
      <w:r>
        <w:rPr>
          <w:szCs w:val="20"/>
        </w:rPr>
        <w:t>Tecentriq is not currently TGA-approved for patients with TNBC</w:t>
      </w:r>
      <w:r w:rsidR="002B3295">
        <w:rPr>
          <w:szCs w:val="20"/>
        </w:rPr>
        <w:t xml:space="preserve">; however, is in the process of </w:t>
      </w:r>
      <w:proofErr w:type="gramStart"/>
      <w:r w:rsidR="002B3295">
        <w:rPr>
          <w:szCs w:val="20"/>
        </w:rPr>
        <w:t>being considered</w:t>
      </w:r>
      <w:proofErr w:type="gramEnd"/>
      <w:r w:rsidR="002B3295">
        <w:rPr>
          <w:szCs w:val="20"/>
        </w:rPr>
        <w:t xml:space="preserve"> by the TGA (see Q16 below)</w:t>
      </w:r>
      <w:r>
        <w:rPr>
          <w:szCs w:val="20"/>
        </w:rPr>
        <w:t>.</w:t>
      </w:r>
    </w:p>
    <w:p w14:paraId="7C335C5F" w14:textId="4EE238AB" w:rsidR="009927F5" w:rsidRDefault="009927F5" w:rsidP="00767E24">
      <w:pPr>
        <w:spacing w:before="0" w:after="0"/>
        <w:ind w:left="284"/>
        <w:jc w:val="both"/>
        <w:rPr>
          <w:szCs w:val="20"/>
        </w:rPr>
      </w:pPr>
    </w:p>
    <w:p w14:paraId="44573B02" w14:textId="0B410B1A" w:rsidR="008A46F1" w:rsidRDefault="008A46F1" w:rsidP="004A4B19">
      <w:pPr>
        <w:spacing w:before="0"/>
        <w:ind w:left="284"/>
        <w:jc w:val="both"/>
        <w:rPr>
          <w:szCs w:val="20"/>
          <w:u w:val="single"/>
        </w:rPr>
      </w:pPr>
      <w:r w:rsidRPr="008A46F1">
        <w:rPr>
          <w:szCs w:val="20"/>
          <w:u w:val="single"/>
        </w:rPr>
        <w:t xml:space="preserve">SP142 </w:t>
      </w:r>
      <w:r w:rsidR="004A4B19">
        <w:rPr>
          <w:szCs w:val="20"/>
          <w:u w:val="single"/>
        </w:rPr>
        <w:t>A</w:t>
      </w:r>
      <w:r w:rsidRPr="008A46F1">
        <w:rPr>
          <w:szCs w:val="20"/>
          <w:u w:val="single"/>
        </w:rPr>
        <w:t>ssay</w:t>
      </w:r>
    </w:p>
    <w:p w14:paraId="1357607C" w14:textId="78B4CDA9" w:rsidR="004A4B19" w:rsidRDefault="004A4B19" w:rsidP="004A4B19">
      <w:pPr>
        <w:spacing w:before="0" w:after="0"/>
        <w:ind w:left="284"/>
        <w:jc w:val="both"/>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30EA2">
        <w:rPr>
          <w:szCs w:val="20"/>
        </w:rPr>
      </w:r>
      <w:r w:rsidR="00E30EA2">
        <w:rPr>
          <w:szCs w:val="20"/>
        </w:rPr>
        <w:fldChar w:fldCharType="separate"/>
      </w:r>
      <w:r w:rsidRPr="000A5B32">
        <w:rPr>
          <w:szCs w:val="20"/>
        </w:rPr>
        <w:fldChar w:fldCharType="end"/>
      </w:r>
      <w:r>
        <w:rPr>
          <w:szCs w:val="20"/>
        </w:rPr>
        <w:t xml:space="preserve"> Yes (if yes, please provide details below)</w:t>
      </w:r>
    </w:p>
    <w:p w14:paraId="1A1D3A35" w14:textId="718D3A81" w:rsidR="004A4B19" w:rsidRDefault="004A4B19" w:rsidP="004A4B19">
      <w:pPr>
        <w:spacing w:before="0" w:after="0"/>
        <w:ind w:left="284"/>
        <w:jc w:val="both"/>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30EA2">
        <w:rPr>
          <w:szCs w:val="20"/>
        </w:rPr>
      </w:r>
      <w:r w:rsidR="00E30EA2">
        <w:rPr>
          <w:szCs w:val="20"/>
        </w:rPr>
        <w:fldChar w:fldCharType="separate"/>
      </w:r>
      <w:r>
        <w:rPr>
          <w:szCs w:val="20"/>
        </w:rPr>
        <w:fldChar w:fldCharType="end"/>
      </w:r>
      <w:r>
        <w:rPr>
          <w:szCs w:val="20"/>
        </w:rPr>
        <w:t xml:space="preserve">No </w:t>
      </w:r>
    </w:p>
    <w:p w14:paraId="59539F0A" w14:textId="77777777" w:rsidR="004A4B19" w:rsidRPr="008A46F1" w:rsidRDefault="004A4B19" w:rsidP="00767E24">
      <w:pPr>
        <w:spacing w:before="0" w:after="0"/>
        <w:ind w:left="284"/>
        <w:jc w:val="both"/>
        <w:rPr>
          <w:szCs w:val="20"/>
          <w:u w:val="single"/>
        </w:rPr>
      </w:pPr>
    </w:p>
    <w:p w14:paraId="4E18E96F" w14:textId="5F546944" w:rsidR="00C34CD5" w:rsidRDefault="0043654D" w:rsidP="00767E24">
      <w:pPr>
        <w:spacing w:before="0" w:after="0"/>
        <w:ind w:left="284"/>
        <w:jc w:val="both"/>
        <w:rPr>
          <w:szCs w:val="20"/>
        </w:rPr>
      </w:pPr>
      <w:r w:rsidRPr="0043654D">
        <w:rPr>
          <w:szCs w:val="20"/>
        </w:rPr>
        <w:t>TGA approved purpose(s), if applicable:</w:t>
      </w:r>
      <w:r>
        <w:rPr>
          <w:szCs w:val="20"/>
        </w:rPr>
        <w:t xml:space="preserve"> </w:t>
      </w:r>
      <w:r w:rsidR="00C34CD5">
        <w:rPr>
          <w:szCs w:val="20"/>
        </w:rPr>
        <w:t>The diagnostic test has yet to be included on the ARTG as a class III IVD with companion diagnostic claims.</w:t>
      </w:r>
    </w:p>
    <w:p w14:paraId="72283407" w14:textId="77777777" w:rsidR="00C34CD5" w:rsidRDefault="00C34CD5" w:rsidP="00767E24">
      <w:pPr>
        <w:spacing w:before="0" w:after="0"/>
        <w:ind w:left="284"/>
        <w:jc w:val="both"/>
        <w:rPr>
          <w:szCs w:val="20"/>
        </w:rPr>
      </w:pPr>
    </w:p>
    <w:p w14:paraId="7FE37A85" w14:textId="4F97A0E9" w:rsidR="00C0796F" w:rsidRPr="0043654D" w:rsidRDefault="00C0796F" w:rsidP="00767E24">
      <w:pPr>
        <w:pStyle w:val="Heading2"/>
        <w:jc w:val="both"/>
      </w:pPr>
      <w:r w:rsidRPr="0043654D">
        <w:lastRenderedPageBreak/>
        <w:t xml:space="preserve">If the therapeutic good </w:t>
      </w:r>
      <w:proofErr w:type="gramStart"/>
      <w:r w:rsidRPr="0043654D">
        <w:t>has not been listed</w:t>
      </w:r>
      <w:proofErr w:type="gramEnd"/>
      <w:r w:rsidRPr="0043654D">
        <w:t>, registered or included in the ARTG, is the therapeutic good in the process of being considered for inclusion by the TGA?</w:t>
      </w:r>
    </w:p>
    <w:p w14:paraId="7452FC15" w14:textId="77777777" w:rsidR="004A4B19" w:rsidRPr="008A46F1" w:rsidRDefault="004A4B19" w:rsidP="004A4B19">
      <w:pPr>
        <w:spacing w:before="0"/>
        <w:ind w:left="284"/>
        <w:jc w:val="both"/>
        <w:rPr>
          <w:szCs w:val="20"/>
          <w:u w:val="single"/>
        </w:rPr>
      </w:pPr>
      <w:r w:rsidRPr="008A46F1">
        <w:rPr>
          <w:szCs w:val="20"/>
          <w:u w:val="single"/>
        </w:rPr>
        <w:t>Tecentriq</w:t>
      </w:r>
    </w:p>
    <w:p w14:paraId="54E031C2" w14:textId="3116CD87" w:rsidR="0047581D" w:rsidRDefault="00C80EBE" w:rsidP="004A4B19">
      <w:pPr>
        <w:spacing w:before="0" w:after="0"/>
        <w:ind w:left="284"/>
        <w:jc w:val="both"/>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30EA2">
        <w:rPr>
          <w:szCs w:val="20"/>
        </w:rPr>
      </w:r>
      <w:r w:rsidR="00E30EA2">
        <w:rPr>
          <w:szCs w:val="20"/>
        </w:rPr>
        <w:fldChar w:fldCharType="separate"/>
      </w:r>
      <w:r>
        <w:rPr>
          <w:szCs w:val="20"/>
        </w:rPr>
        <w:fldChar w:fldCharType="end"/>
      </w:r>
      <w:r w:rsidR="0047581D">
        <w:rPr>
          <w:szCs w:val="20"/>
        </w:rPr>
        <w:t xml:space="preserve"> Yes (please provide details below)</w:t>
      </w:r>
    </w:p>
    <w:p w14:paraId="37E1B99E" w14:textId="2E6649E9" w:rsidR="0047581D" w:rsidRDefault="009E1C96" w:rsidP="00767E24">
      <w:pPr>
        <w:spacing w:before="0" w:after="0"/>
        <w:ind w:left="284"/>
        <w:jc w:val="both"/>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30EA2">
        <w:rPr>
          <w:szCs w:val="20"/>
        </w:rPr>
      </w:r>
      <w:r w:rsidR="00E30EA2">
        <w:rPr>
          <w:szCs w:val="20"/>
        </w:rPr>
        <w:fldChar w:fldCharType="separate"/>
      </w:r>
      <w:r w:rsidRPr="000A5B32">
        <w:rPr>
          <w:szCs w:val="20"/>
        </w:rPr>
        <w:fldChar w:fldCharType="end"/>
      </w:r>
      <w:r w:rsidR="0047581D">
        <w:rPr>
          <w:szCs w:val="20"/>
        </w:rPr>
        <w:t xml:space="preserve"> No</w:t>
      </w:r>
    </w:p>
    <w:p w14:paraId="252E469F" w14:textId="48DD9462" w:rsidR="00C34CD5" w:rsidRDefault="00C34CD5" w:rsidP="00767E24">
      <w:pPr>
        <w:spacing w:before="0" w:after="0"/>
        <w:ind w:left="284"/>
        <w:jc w:val="both"/>
        <w:rPr>
          <w:szCs w:val="20"/>
        </w:rPr>
      </w:pPr>
    </w:p>
    <w:p w14:paraId="6D688208" w14:textId="7AFFD985" w:rsidR="0047581D" w:rsidRPr="003857DC" w:rsidRDefault="0047581D" w:rsidP="00767E24">
      <w:pPr>
        <w:spacing w:before="0" w:after="0"/>
        <w:ind w:left="284"/>
        <w:jc w:val="both"/>
        <w:rPr>
          <w:szCs w:val="20"/>
        </w:rPr>
      </w:pPr>
      <w:r w:rsidRPr="0047581D">
        <w:rPr>
          <w:szCs w:val="20"/>
        </w:rPr>
        <w:t>Date of submission to TGA</w:t>
      </w:r>
      <w:r w:rsidR="00C34CD5">
        <w:rPr>
          <w:szCs w:val="20"/>
        </w:rPr>
        <w:t xml:space="preserve"> for mTNBC</w:t>
      </w:r>
      <w:r w:rsidRPr="0047581D">
        <w:rPr>
          <w:szCs w:val="20"/>
        </w:rPr>
        <w:t xml:space="preserve">:  </w:t>
      </w:r>
      <w:r w:rsidR="003857DC">
        <w:rPr>
          <w:szCs w:val="20"/>
        </w:rPr>
        <w:t>Redacted</w:t>
      </w:r>
    </w:p>
    <w:p w14:paraId="5D5162FE" w14:textId="15E2A736" w:rsidR="0047581D" w:rsidRPr="003857DC" w:rsidRDefault="0047581D" w:rsidP="00767E24">
      <w:pPr>
        <w:spacing w:before="0" w:after="0"/>
        <w:ind w:left="284"/>
        <w:jc w:val="both"/>
        <w:rPr>
          <w:szCs w:val="20"/>
        </w:rPr>
      </w:pPr>
      <w:r w:rsidRPr="0047581D">
        <w:rPr>
          <w:szCs w:val="20"/>
        </w:rPr>
        <w:t>Estimated date by which TGA approval can be expected</w:t>
      </w:r>
      <w:r>
        <w:rPr>
          <w:szCs w:val="20"/>
        </w:rPr>
        <w:t xml:space="preserve">:  </w:t>
      </w:r>
      <w:r w:rsidR="003857DC">
        <w:rPr>
          <w:szCs w:val="20"/>
        </w:rPr>
        <w:t>Redacted</w:t>
      </w:r>
    </w:p>
    <w:p w14:paraId="164F8E4E" w14:textId="579E9686" w:rsidR="0047581D" w:rsidRPr="0047581D" w:rsidRDefault="0047581D" w:rsidP="00767E24">
      <w:pPr>
        <w:spacing w:before="0" w:after="0"/>
        <w:ind w:left="284"/>
        <w:jc w:val="both"/>
        <w:rPr>
          <w:szCs w:val="20"/>
        </w:rPr>
      </w:pPr>
      <w:r w:rsidRPr="0047581D">
        <w:rPr>
          <w:szCs w:val="20"/>
        </w:rPr>
        <w:t>TGA Application ID</w:t>
      </w:r>
      <w:r>
        <w:rPr>
          <w:szCs w:val="20"/>
        </w:rPr>
        <w:t xml:space="preserve">:  </w:t>
      </w:r>
      <w:r w:rsidR="009E1C96" w:rsidRPr="009E1C96">
        <w:rPr>
          <w:szCs w:val="20"/>
        </w:rPr>
        <w:t>PM-2018-04446-1-4</w:t>
      </w:r>
    </w:p>
    <w:p w14:paraId="72AA4D9A" w14:textId="589C6AE8" w:rsidR="00A740B8" w:rsidRDefault="0047581D" w:rsidP="00767E24">
      <w:pPr>
        <w:spacing w:before="0" w:after="0"/>
        <w:ind w:left="284"/>
        <w:jc w:val="both"/>
        <w:rPr>
          <w:szCs w:val="20"/>
        </w:rPr>
      </w:pPr>
      <w:r w:rsidRPr="0047581D">
        <w:rPr>
          <w:szCs w:val="20"/>
        </w:rPr>
        <w:t>TGA approved indication(s), if applicable</w:t>
      </w:r>
      <w:r>
        <w:rPr>
          <w:szCs w:val="20"/>
        </w:rPr>
        <w:t>:</w:t>
      </w:r>
      <w:r w:rsidR="007F51B5">
        <w:rPr>
          <w:szCs w:val="20"/>
        </w:rPr>
        <w:t xml:space="preserve"> First-line, locally advanced or metastatic TNBC</w:t>
      </w:r>
    </w:p>
    <w:p w14:paraId="46D7F1C6" w14:textId="3BB75AB0" w:rsidR="003433D1" w:rsidRDefault="0047581D" w:rsidP="00767E24">
      <w:pPr>
        <w:spacing w:before="0" w:after="0"/>
        <w:ind w:left="284"/>
        <w:jc w:val="both"/>
      </w:pPr>
      <w:r w:rsidRPr="0047581D">
        <w:rPr>
          <w:szCs w:val="20"/>
        </w:rPr>
        <w:t>TGA approved purpose(s), if applicable</w:t>
      </w:r>
      <w:r>
        <w:rPr>
          <w:szCs w:val="20"/>
        </w:rPr>
        <w:t xml:space="preserve">:  </w:t>
      </w:r>
      <w:r w:rsidR="004F56CE">
        <w:t>N/A</w:t>
      </w:r>
    </w:p>
    <w:p w14:paraId="041EF1B3" w14:textId="27952A88" w:rsidR="004A4B19" w:rsidRDefault="004A4B19" w:rsidP="00767E24">
      <w:pPr>
        <w:spacing w:before="0" w:after="0"/>
        <w:ind w:left="284"/>
        <w:jc w:val="both"/>
      </w:pPr>
    </w:p>
    <w:p w14:paraId="7E3D0C82" w14:textId="1A13F826" w:rsidR="004A4B19" w:rsidRDefault="004A4B19" w:rsidP="004A4B19">
      <w:pPr>
        <w:spacing w:before="0"/>
        <w:ind w:left="284"/>
        <w:jc w:val="both"/>
      </w:pPr>
      <w:r w:rsidRPr="004A4B19">
        <w:rPr>
          <w:szCs w:val="20"/>
          <w:u w:val="single"/>
        </w:rPr>
        <w:t>SP142 Assay</w:t>
      </w:r>
    </w:p>
    <w:p w14:paraId="56838F4A" w14:textId="77777777" w:rsidR="004A4B19" w:rsidRDefault="004A4B19" w:rsidP="004A4B19">
      <w:pPr>
        <w:spacing w:before="0" w:after="0"/>
        <w:ind w:left="284"/>
        <w:jc w:val="both"/>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30EA2">
        <w:rPr>
          <w:szCs w:val="20"/>
        </w:rPr>
      </w:r>
      <w:r w:rsidR="00E30EA2">
        <w:rPr>
          <w:szCs w:val="20"/>
        </w:rPr>
        <w:fldChar w:fldCharType="separate"/>
      </w:r>
      <w:r w:rsidRPr="000A5B32">
        <w:rPr>
          <w:szCs w:val="20"/>
        </w:rPr>
        <w:fldChar w:fldCharType="end"/>
      </w:r>
      <w:r>
        <w:rPr>
          <w:szCs w:val="20"/>
        </w:rPr>
        <w:t xml:space="preserve"> Yes (if yes, please provide details below)</w:t>
      </w:r>
    </w:p>
    <w:p w14:paraId="101CF69B" w14:textId="77777777" w:rsidR="004A4B19" w:rsidRDefault="004A4B19" w:rsidP="004A4B19">
      <w:pPr>
        <w:spacing w:before="0" w:after="0"/>
        <w:ind w:left="284"/>
        <w:jc w:val="both"/>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30EA2">
        <w:rPr>
          <w:szCs w:val="20"/>
        </w:rPr>
      </w:r>
      <w:r w:rsidR="00E30EA2">
        <w:rPr>
          <w:szCs w:val="20"/>
        </w:rPr>
        <w:fldChar w:fldCharType="separate"/>
      </w:r>
      <w:r>
        <w:rPr>
          <w:szCs w:val="20"/>
        </w:rPr>
        <w:fldChar w:fldCharType="end"/>
      </w:r>
      <w:r>
        <w:rPr>
          <w:szCs w:val="20"/>
        </w:rPr>
        <w:t xml:space="preserve">No </w:t>
      </w:r>
    </w:p>
    <w:p w14:paraId="2EBEC3D9" w14:textId="77777777" w:rsidR="00B7045D" w:rsidRPr="0047581D" w:rsidRDefault="00B7045D" w:rsidP="00767E24">
      <w:pPr>
        <w:spacing w:before="0" w:after="0"/>
        <w:ind w:left="284"/>
        <w:jc w:val="both"/>
        <w:rPr>
          <w:szCs w:val="20"/>
        </w:rPr>
      </w:pPr>
    </w:p>
    <w:p w14:paraId="656313BE" w14:textId="1C2ED4F3" w:rsidR="00C0796F" w:rsidRPr="000A110D" w:rsidRDefault="000A110D" w:rsidP="00767E24">
      <w:pPr>
        <w:pStyle w:val="Heading2"/>
        <w:jc w:val="both"/>
      </w:pPr>
      <w:r>
        <w:t>I</w:t>
      </w:r>
      <w:r w:rsidR="00C0796F" w:rsidRPr="000A110D">
        <w:t xml:space="preserve">f the therapeutic good </w:t>
      </w:r>
      <w:r w:rsidR="00F83A9D" w:rsidRPr="000A110D">
        <w:t xml:space="preserve">is not in the process of </w:t>
      </w:r>
      <w:proofErr w:type="gramStart"/>
      <w:r w:rsidR="00F83A9D" w:rsidRPr="000A110D">
        <w:t>being considered</w:t>
      </w:r>
      <w:proofErr w:type="gramEnd"/>
      <w:r w:rsidR="00F83A9D" w:rsidRPr="000A110D">
        <w:t xml:space="preserve">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r w:rsidR="00DC0191">
        <w:t xml:space="preserve"> </w:t>
      </w:r>
    </w:p>
    <w:p w14:paraId="71F80621" w14:textId="05FCA37F" w:rsidR="004A4B19" w:rsidRDefault="004A4B19" w:rsidP="004A4B19">
      <w:pPr>
        <w:spacing w:before="0"/>
        <w:ind w:left="284"/>
        <w:jc w:val="both"/>
        <w:rPr>
          <w:szCs w:val="20"/>
        </w:rPr>
      </w:pPr>
      <w:r w:rsidRPr="004A4B19">
        <w:rPr>
          <w:szCs w:val="20"/>
          <w:u w:val="single"/>
        </w:rPr>
        <w:t>SP142 Assay</w:t>
      </w:r>
    </w:p>
    <w:p w14:paraId="24F93F8F" w14:textId="44AB12AB" w:rsidR="000A110D" w:rsidRDefault="002B3295" w:rsidP="00767E24">
      <w:pPr>
        <w:spacing w:before="0" w:after="0"/>
        <w:ind w:left="284"/>
        <w:jc w:val="both"/>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30EA2">
        <w:rPr>
          <w:szCs w:val="20"/>
        </w:rPr>
      </w:r>
      <w:r w:rsidR="00E30EA2">
        <w:rPr>
          <w:szCs w:val="20"/>
        </w:rPr>
        <w:fldChar w:fldCharType="separate"/>
      </w:r>
      <w:r>
        <w:rPr>
          <w:szCs w:val="20"/>
        </w:rPr>
        <w:fldChar w:fldCharType="end"/>
      </w:r>
      <w:r>
        <w:rPr>
          <w:szCs w:val="20"/>
        </w:rPr>
        <w:t xml:space="preserve"> </w:t>
      </w:r>
      <w:r w:rsidR="000A110D">
        <w:rPr>
          <w:szCs w:val="20"/>
        </w:rPr>
        <w:t xml:space="preserve"> Yes (please provide details below)</w:t>
      </w:r>
    </w:p>
    <w:p w14:paraId="09081B22" w14:textId="4C829B8B" w:rsidR="000A110D" w:rsidRDefault="002B3295" w:rsidP="00767E24">
      <w:pPr>
        <w:spacing w:before="0" w:after="0"/>
        <w:ind w:left="284"/>
        <w:jc w:val="both"/>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30EA2">
        <w:rPr>
          <w:szCs w:val="20"/>
        </w:rPr>
      </w:r>
      <w:r w:rsidR="00E30EA2">
        <w:rPr>
          <w:szCs w:val="20"/>
        </w:rPr>
        <w:fldChar w:fldCharType="separate"/>
      </w:r>
      <w:r w:rsidRPr="000A5B32">
        <w:rPr>
          <w:szCs w:val="20"/>
        </w:rPr>
        <w:fldChar w:fldCharType="end"/>
      </w:r>
      <w:r w:rsidR="000A110D">
        <w:rPr>
          <w:szCs w:val="20"/>
        </w:rPr>
        <w:t xml:space="preserve"> No</w:t>
      </w:r>
    </w:p>
    <w:p w14:paraId="17059416" w14:textId="23E5D858" w:rsidR="000A110D" w:rsidRDefault="000A110D" w:rsidP="00767E24">
      <w:pPr>
        <w:spacing w:before="0" w:after="0"/>
        <w:jc w:val="both"/>
        <w:rPr>
          <w:szCs w:val="20"/>
        </w:rPr>
      </w:pPr>
    </w:p>
    <w:p w14:paraId="4C0ED454" w14:textId="6559D6CD" w:rsidR="00971EDB" w:rsidRPr="003857DC" w:rsidRDefault="00971EDB" w:rsidP="00767E24">
      <w:pPr>
        <w:spacing w:before="0" w:after="0"/>
        <w:ind w:left="284"/>
        <w:jc w:val="both"/>
        <w:rPr>
          <w:szCs w:val="20"/>
        </w:rPr>
      </w:pPr>
      <w:r w:rsidRPr="00971EDB">
        <w:rPr>
          <w:szCs w:val="20"/>
        </w:rPr>
        <w:t>Estimated date of submission to TGA</w:t>
      </w:r>
      <w:r>
        <w:rPr>
          <w:szCs w:val="20"/>
        </w:rPr>
        <w:t xml:space="preserve">:  </w:t>
      </w:r>
      <w:r w:rsidR="003857DC">
        <w:rPr>
          <w:szCs w:val="20"/>
        </w:rPr>
        <w:t>Redacted</w:t>
      </w:r>
    </w:p>
    <w:p w14:paraId="6FF4672A" w14:textId="03C4461A" w:rsidR="00971EDB" w:rsidRPr="00971EDB" w:rsidRDefault="00971EDB" w:rsidP="00767E24">
      <w:pPr>
        <w:spacing w:before="0" w:after="0"/>
        <w:ind w:left="284"/>
        <w:jc w:val="both"/>
        <w:rPr>
          <w:szCs w:val="20"/>
        </w:rPr>
      </w:pPr>
      <w:r w:rsidRPr="00971EDB">
        <w:rPr>
          <w:szCs w:val="20"/>
        </w:rPr>
        <w:t>Proposed indication(s), if applicable</w:t>
      </w:r>
      <w:r>
        <w:rPr>
          <w:szCs w:val="20"/>
        </w:rPr>
        <w:t xml:space="preserve">:  </w:t>
      </w:r>
      <w:r w:rsidR="004F56CE">
        <w:t>Locally advanced or metastatic TNBC</w:t>
      </w:r>
    </w:p>
    <w:p w14:paraId="0E26AF7F" w14:textId="7B2640FF" w:rsidR="00971EDB" w:rsidRPr="00971EDB" w:rsidRDefault="00971EDB" w:rsidP="00767E24">
      <w:pPr>
        <w:spacing w:before="0" w:after="0"/>
        <w:ind w:left="284"/>
        <w:jc w:val="both"/>
        <w:rPr>
          <w:szCs w:val="20"/>
        </w:rPr>
      </w:pPr>
      <w:r w:rsidRPr="00971EDB">
        <w:rPr>
          <w:szCs w:val="20"/>
        </w:rPr>
        <w:t>Proposed purpose(s), if applicable</w:t>
      </w:r>
      <w:r>
        <w:rPr>
          <w:szCs w:val="20"/>
        </w:rPr>
        <w:t xml:space="preserve">:  </w:t>
      </w:r>
      <w:r w:rsidR="004F56CE">
        <w:t>PD-L1 testing to determine PBS-access to atezolizumab</w:t>
      </w:r>
    </w:p>
    <w:p w14:paraId="7D274AB6" w14:textId="77777777" w:rsidR="00F83A9D" w:rsidRPr="00154B00" w:rsidRDefault="00F83A9D" w:rsidP="00767E24">
      <w:pPr>
        <w:jc w:val="both"/>
        <w:rPr>
          <w:szCs w:val="20"/>
        </w:rPr>
      </w:pPr>
    </w:p>
    <w:p w14:paraId="676A356E" w14:textId="77777777" w:rsidR="00DD308E" w:rsidRDefault="00DD308E" w:rsidP="00767E24">
      <w:pPr>
        <w:jc w:val="both"/>
        <w:rPr>
          <w:b/>
          <w:sz w:val="32"/>
          <w:szCs w:val="32"/>
        </w:rPr>
        <w:sectPr w:rsidR="00DD308E" w:rsidSect="00991EE4">
          <w:footerReference w:type="default" r:id="rId11"/>
          <w:pgSz w:w="11906" w:h="16838"/>
          <w:pgMar w:top="1440" w:right="1440" w:bottom="1440" w:left="1440" w:header="708" w:footer="708" w:gutter="0"/>
          <w:pgNumType w:start="0"/>
          <w:cols w:space="708"/>
          <w:titlePg/>
          <w:docGrid w:linePitch="360"/>
        </w:sectPr>
      </w:pPr>
    </w:p>
    <w:p w14:paraId="7090ACFA" w14:textId="148B05D1" w:rsidR="00DD308E" w:rsidRPr="00C776B1" w:rsidRDefault="00B17CBE" w:rsidP="00767E24">
      <w:pPr>
        <w:pStyle w:val="Heading1"/>
        <w:jc w:val="both"/>
      </w:pPr>
      <w:r>
        <w:lastRenderedPageBreak/>
        <w:t>PART 4</w:t>
      </w:r>
      <w:r w:rsidR="00DD308E">
        <w:t xml:space="preserve"> – SUMMARY</w:t>
      </w:r>
      <w:r w:rsidR="00DD308E" w:rsidRPr="00C776B1">
        <w:t xml:space="preserve"> OF EVIDENCE</w:t>
      </w:r>
    </w:p>
    <w:p w14:paraId="7948E1DC" w14:textId="77777777" w:rsidR="00DD308E" w:rsidRPr="00832B31" w:rsidRDefault="00DD308E" w:rsidP="00767E24">
      <w:pPr>
        <w:pStyle w:val="Heading2"/>
        <w:jc w:val="both"/>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 xml:space="preserve">Please do not attach full text </w:t>
      </w:r>
      <w:proofErr w:type="gramStart"/>
      <w:r w:rsidRPr="00832B31">
        <w:rPr>
          <w:i/>
        </w:rPr>
        <w:t>articles,</w:t>
      </w:r>
      <w:proofErr w:type="gramEnd"/>
      <w:r w:rsidRPr="00832B31">
        <w:rPr>
          <w:i/>
        </w:rPr>
        <w:t xml:space="preserve">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561"/>
        <w:gridCol w:w="1135"/>
        <w:gridCol w:w="1939"/>
        <w:gridCol w:w="4868"/>
        <w:gridCol w:w="3180"/>
        <w:gridCol w:w="2265"/>
      </w:tblGrid>
      <w:tr w:rsidR="00BF695B" w14:paraId="6918C1F6" w14:textId="77777777" w:rsidTr="001C5807">
        <w:trPr>
          <w:cantSplit/>
          <w:tblHeader/>
        </w:trPr>
        <w:tc>
          <w:tcPr>
            <w:tcW w:w="201" w:type="pct"/>
          </w:tcPr>
          <w:p w14:paraId="7C0DBC9D" w14:textId="77777777" w:rsidR="00DD308E" w:rsidRDefault="00DD308E" w:rsidP="00767E24">
            <w:pPr>
              <w:pStyle w:val="TableHEADER"/>
              <w:jc w:val="both"/>
            </w:pPr>
          </w:p>
        </w:tc>
        <w:tc>
          <w:tcPr>
            <w:tcW w:w="407" w:type="pct"/>
          </w:tcPr>
          <w:p w14:paraId="3609D171" w14:textId="77777777" w:rsidR="00DD308E" w:rsidRDefault="00DD308E" w:rsidP="00D7068D">
            <w:pPr>
              <w:pStyle w:val="TableHEADER"/>
            </w:pPr>
            <w:r>
              <w:t>Type of study design*</w:t>
            </w:r>
          </w:p>
        </w:tc>
        <w:tc>
          <w:tcPr>
            <w:tcW w:w="695" w:type="pct"/>
          </w:tcPr>
          <w:p w14:paraId="31B4A003" w14:textId="77777777" w:rsidR="00DD308E" w:rsidRDefault="00DD308E" w:rsidP="00D7068D">
            <w:pPr>
              <w:pStyle w:val="TableHEADER"/>
            </w:pPr>
            <w:r w:rsidRPr="004D31AB">
              <w:t>Title of journal article  or research project (including any trial identifier or study lead if relevant)</w:t>
            </w:r>
          </w:p>
        </w:tc>
        <w:tc>
          <w:tcPr>
            <w:tcW w:w="1745" w:type="pct"/>
          </w:tcPr>
          <w:p w14:paraId="796B6343" w14:textId="77777777" w:rsidR="00DD308E" w:rsidRDefault="00DD308E" w:rsidP="00D7068D">
            <w:pPr>
              <w:pStyle w:val="TableHEADER"/>
            </w:pPr>
            <w:r>
              <w:t>Short description of research  (max 50 words)**</w:t>
            </w:r>
          </w:p>
        </w:tc>
        <w:tc>
          <w:tcPr>
            <w:tcW w:w="1140" w:type="pct"/>
          </w:tcPr>
          <w:p w14:paraId="27CBE8D1" w14:textId="77777777" w:rsidR="00DD308E" w:rsidRDefault="00DD308E" w:rsidP="00D7068D">
            <w:pPr>
              <w:pStyle w:val="TableHEADER"/>
            </w:pPr>
            <w:r w:rsidRPr="00E82F54">
              <w:t xml:space="preserve">Website link to </w:t>
            </w:r>
            <w:r>
              <w:t>journal article or research (if available)</w:t>
            </w:r>
          </w:p>
        </w:tc>
        <w:tc>
          <w:tcPr>
            <w:tcW w:w="812" w:type="pct"/>
          </w:tcPr>
          <w:p w14:paraId="54AF6DEB" w14:textId="77777777" w:rsidR="00DD308E" w:rsidRDefault="00DD308E" w:rsidP="00D7068D">
            <w:pPr>
              <w:pStyle w:val="TableHEADER"/>
            </w:pPr>
            <w:r w:rsidRPr="00E82F54">
              <w:t>Date</w:t>
            </w:r>
            <w:r>
              <w:t xml:space="preserve"> of publication</w:t>
            </w:r>
            <w:r w:rsidRPr="00E82F54">
              <w:t>*</w:t>
            </w:r>
            <w:r>
              <w:t>**</w:t>
            </w:r>
          </w:p>
        </w:tc>
      </w:tr>
      <w:tr w:rsidR="00FB1C01" w14:paraId="7E02125F" w14:textId="77777777" w:rsidTr="001C5807">
        <w:trPr>
          <w:cantSplit/>
        </w:trPr>
        <w:tc>
          <w:tcPr>
            <w:tcW w:w="201" w:type="pct"/>
          </w:tcPr>
          <w:p w14:paraId="4A7FB04C" w14:textId="7765D8AD" w:rsidR="00DD308E" w:rsidRPr="00245B37" w:rsidRDefault="001A2BB3" w:rsidP="00767E24">
            <w:pPr>
              <w:jc w:val="both"/>
              <w:rPr>
                <w:sz w:val="18"/>
                <w:szCs w:val="18"/>
              </w:rPr>
            </w:pPr>
            <w:r>
              <w:rPr>
                <w:sz w:val="18"/>
                <w:szCs w:val="18"/>
              </w:rPr>
              <w:t>1</w:t>
            </w:r>
          </w:p>
        </w:tc>
        <w:tc>
          <w:tcPr>
            <w:tcW w:w="407" w:type="pct"/>
          </w:tcPr>
          <w:p w14:paraId="1F9B2236" w14:textId="597CD3B8" w:rsidR="00DD308E" w:rsidRPr="00A17A92" w:rsidRDefault="00A17A92" w:rsidP="00185B43">
            <w:pPr>
              <w:rPr>
                <w:sz w:val="18"/>
                <w:szCs w:val="18"/>
              </w:rPr>
            </w:pPr>
            <w:r>
              <w:rPr>
                <w:sz w:val="18"/>
                <w:szCs w:val="18"/>
              </w:rPr>
              <w:t xml:space="preserve">Open-label </w:t>
            </w:r>
            <w:r w:rsidR="001E2F33">
              <w:rPr>
                <w:sz w:val="18"/>
                <w:szCs w:val="18"/>
              </w:rPr>
              <w:t>Phase 1</w:t>
            </w:r>
            <w:r>
              <w:rPr>
                <w:sz w:val="18"/>
                <w:szCs w:val="18"/>
              </w:rPr>
              <w:t xml:space="preserve"> trial</w:t>
            </w:r>
          </w:p>
        </w:tc>
        <w:tc>
          <w:tcPr>
            <w:tcW w:w="695" w:type="pct"/>
          </w:tcPr>
          <w:p w14:paraId="41C41791" w14:textId="4E3B1F4A" w:rsidR="00DD308E" w:rsidRPr="00CF515F" w:rsidRDefault="00CF515F" w:rsidP="00185B43">
            <w:pPr>
              <w:rPr>
                <w:sz w:val="18"/>
                <w:szCs w:val="18"/>
              </w:rPr>
            </w:pPr>
            <w:r>
              <w:rPr>
                <w:sz w:val="18"/>
                <w:szCs w:val="18"/>
              </w:rPr>
              <w:t>L</w:t>
            </w:r>
            <w:r w:rsidRPr="00CF515F">
              <w:rPr>
                <w:sz w:val="18"/>
                <w:szCs w:val="18"/>
              </w:rPr>
              <w:t>ong-term clinical out</w:t>
            </w:r>
            <w:r>
              <w:rPr>
                <w:sz w:val="18"/>
                <w:szCs w:val="18"/>
              </w:rPr>
              <w:t>comes and biomarker analyses of atezolizumab therapy for patients with metastatic triple-negative breast cancer</w:t>
            </w:r>
          </w:p>
        </w:tc>
        <w:tc>
          <w:tcPr>
            <w:tcW w:w="1745" w:type="pct"/>
          </w:tcPr>
          <w:p w14:paraId="1AC8F86F" w14:textId="55233A6E" w:rsidR="00DD308E" w:rsidRPr="00CF515F" w:rsidRDefault="00CF515F" w:rsidP="001C5807">
            <w:pPr>
              <w:rPr>
                <w:color w:val="333333"/>
                <w:spacing w:val="2"/>
                <w:sz w:val="18"/>
                <w:szCs w:val="18"/>
              </w:rPr>
            </w:pPr>
            <w:r>
              <w:rPr>
                <w:color w:val="333333"/>
                <w:spacing w:val="2"/>
                <w:sz w:val="18"/>
                <w:szCs w:val="18"/>
              </w:rPr>
              <w:t>Women with m</w:t>
            </w:r>
            <w:r w:rsidR="00001C18">
              <w:rPr>
                <w:color w:val="333333"/>
                <w:spacing w:val="2"/>
                <w:sz w:val="18"/>
                <w:szCs w:val="18"/>
              </w:rPr>
              <w:t xml:space="preserve">etastatic </w:t>
            </w:r>
            <w:r>
              <w:rPr>
                <w:color w:val="333333"/>
                <w:spacing w:val="2"/>
                <w:sz w:val="18"/>
                <w:szCs w:val="18"/>
              </w:rPr>
              <w:t xml:space="preserve">TNBC </w:t>
            </w:r>
            <w:proofErr w:type="gramStart"/>
            <w:r>
              <w:rPr>
                <w:color w:val="333333"/>
                <w:spacing w:val="2"/>
                <w:sz w:val="18"/>
                <w:szCs w:val="18"/>
              </w:rPr>
              <w:t>were enrolled</w:t>
            </w:r>
            <w:proofErr w:type="gramEnd"/>
            <w:r>
              <w:rPr>
                <w:color w:val="333333"/>
                <w:spacing w:val="2"/>
                <w:sz w:val="18"/>
                <w:szCs w:val="18"/>
              </w:rPr>
              <w:t xml:space="preserve"> in a mu</w:t>
            </w:r>
            <w:r w:rsidR="001C5807">
              <w:rPr>
                <w:color w:val="333333"/>
                <w:spacing w:val="2"/>
                <w:sz w:val="18"/>
                <w:szCs w:val="18"/>
              </w:rPr>
              <w:t>l</w:t>
            </w:r>
            <w:r>
              <w:rPr>
                <w:color w:val="333333"/>
                <w:spacing w:val="2"/>
                <w:sz w:val="18"/>
                <w:szCs w:val="18"/>
              </w:rPr>
              <w:t>ti</w:t>
            </w:r>
            <w:r w:rsidR="001C5807">
              <w:rPr>
                <w:color w:val="333333"/>
                <w:spacing w:val="2"/>
                <w:sz w:val="18"/>
                <w:szCs w:val="18"/>
              </w:rPr>
              <w:t>-</w:t>
            </w:r>
            <w:r>
              <w:rPr>
                <w:color w:val="333333"/>
                <w:spacing w:val="2"/>
                <w:sz w:val="18"/>
                <w:szCs w:val="18"/>
              </w:rPr>
              <w:t>cohort open-label, phase 1 study at US and European academic medical centr</w:t>
            </w:r>
            <w:r w:rsidR="00185B43">
              <w:rPr>
                <w:color w:val="333333"/>
                <w:spacing w:val="2"/>
                <w:sz w:val="18"/>
                <w:szCs w:val="18"/>
              </w:rPr>
              <w:t>e</w:t>
            </w:r>
            <w:r>
              <w:rPr>
                <w:color w:val="333333"/>
                <w:spacing w:val="2"/>
                <w:sz w:val="18"/>
                <w:szCs w:val="18"/>
              </w:rPr>
              <w:t>s</w:t>
            </w:r>
            <w:r w:rsidR="001E2F33">
              <w:rPr>
                <w:color w:val="333333"/>
                <w:spacing w:val="2"/>
                <w:sz w:val="18"/>
                <w:szCs w:val="18"/>
              </w:rPr>
              <w:t>. Eligible patients regardless of line of therapy had measurable disease by RECIST, version 1.1; ECOG PS of 0-1; and a representative tumour sample for assessment of immune cell (IC) PD-L1 expression</w:t>
            </w:r>
          </w:p>
        </w:tc>
        <w:tc>
          <w:tcPr>
            <w:tcW w:w="1140" w:type="pct"/>
          </w:tcPr>
          <w:p w14:paraId="40A44881" w14:textId="2CBD2789" w:rsidR="00434781" w:rsidRPr="009063CD" w:rsidRDefault="00A17A92" w:rsidP="00185B43">
            <w:pPr>
              <w:rPr>
                <w:sz w:val="18"/>
                <w:szCs w:val="18"/>
              </w:rPr>
            </w:pPr>
            <w:r w:rsidRPr="00A17A92">
              <w:rPr>
                <w:sz w:val="18"/>
                <w:szCs w:val="18"/>
              </w:rPr>
              <w:t>https://jamanetwork.com/journals/jamaoncology/fullarticle/2701722</w:t>
            </w:r>
          </w:p>
        </w:tc>
        <w:tc>
          <w:tcPr>
            <w:tcW w:w="812" w:type="pct"/>
          </w:tcPr>
          <w:p w14:paraId="797E514E" w14:textId="148B6DEB" w:rsidR="00DD308E" w:rsidRPr="00CF515F" w:rsidRDefault="00CF515F" w:rsidP="00185B43">
            <w:pPr>
              <w:rPr>
                <w:sz w:val="18"/>
                <w:szCs w:val="18"/>
              </w:rPr>
            </w:pPr>
            <w:r w:rsidRPr="00CF515F">
              <w:rPr>
                <w:sz w:val="18"/>
                <w:szCs w:val="18"/>
              </w:rPr>
              <w:t>13 September 2018</w:t>
            </w:r>
          </w:p>
        </w:tc>
      </w:tr>
      <w:tr w:rsidR="00001C18" w14:paraId="6E8AB8F8" w14:textId="77777777" w:rsidTr="001C5807">
        <w:trPr>
          <w:cantSplit/>
        </w:trPr>
        <w:tc>
          <w:tcPr>
            <w:tcW w:w="201" w:type="pct"/>
          </w:tcPr>
          <w:p w14:paraId="6C9B361C" w14:textId="5376AB89" w:rsidR="00001C18" w:rsidRDefault="00001C18" w:rsidP="00767E24">
            <w:pPr>
              <w:jc w:val="both"/>
              <w:rPr>
                <w:sz w:val="18"/>
                <w:szCs w:val="18"/>
              </w:rPr>
            </w:pPr>
            <w:r>
              <w:rPr>
                <w:sz w:val="18"/>
                <w:szCs w:val="18"/>
              </w:rPr>
              <w:t>2</w:t>
            </w:r>
          </w:p>
        </w:tc>
        <w:tc>
          <w:tcPr>
            <w:tcW w:w="407" w:type="pct"/>
          </w:tcPr>
          <w:p w14:paraId="1977B6AD" w14:textId="5A9375AB" w:rsidR="00001C18" w:rsidRPr="00D7068D" w:rsidRDefault="00001C18" w:rsidP="00185B43">
            <w:pPr>
              <w:rPr>
                <w:sz w:val="18"/>
                <w:szCs w:val="18"/>
              </w:rPr>
            </w:pPr>
            <w:r w:rsidRPr="00D7068D">
              <w:rPr>
                <w:sz w:val="18"/>
                <w:szCs w:val="18"/>
              </w:rPr>
              <w:t>Randomise</w:t>
            </w:r>
            <w:r w:rsidR="00D7068D" w:rsidRPr="00D7068D">
              <w:rPr>
                <w:sz w:val="18"/>
                <w:szCs w:val="18"/>
              </w:rPr>
              <w:t>d</w:t>
            </w:r>
            <w:r w:rsidRPr="00D7068D">
              <w:rPr>
                <w:sz w:val="18"/>
                <w:szCs w:val="18"/>
              </w:rPr>
              <w:t xml:space="preserve"> Phase 3 trial</w:t>
            </w:r>
          </w:p>
        </w:tc>
        <w:tc>
          <w:tcPr>
            <w:tcW w:w="695" w:type="pct"/>
          </w:tcPr>
          <w:p w14:paraId="20A7D0E8" w14:textId="1DAC53B0" w:rsidR="00001C18" w:rsidRDefault="00001C18" w:rsidP="00D7068D">
            <w:pPr>
              <w:spacing w:before="0"/>
              <w:rPr>
                <w:sz w:val="18"/>
                <w:szCs w:val="18"/>
              </w:rPr>
            </w:pPr>
            <w:r w:rsidRPr="00E270DF">
              <w:rPr>
                <w:sz w:val="18"/>
                <w:szCs w:val="18"/>
              </w:rPr>
              <w:t>A Phase 3, multicentre, randomised, placebo-controlled study of atezolizumab in combination with nab-paclitaxel compared with placebo with nab-paclitaxel for participants with previously untreated metastatic triple-negative breast cancer (IMpassion130)</w:t>
            </w:r>
          </w:p>
        </w:tc>
        <w:tc>
          <w:tcPr>
            <w:tcW w:w="1745" w:type="pct"/>
          </w:tcPr>
          <w:p w14:paraId="77135A1B" w14:textId="6388593F" w:rsidR="00001C18" w:rsidRPr="00E270DF" w:rsidRDefault="00001C18" w:rsidP="00185B43">
            <w:pPr>
              <w:spacing w:after="0"/>
              <w:rPr>
                <w:sz w:val="18"/>
                <w:szCs w:val="18"/>
              </w:rPr>
            </w:pPr>
            <w:r w:rsidRPr="00E270DF">
              <w:rPr>
                <w:sz w:val="18"/>
                <w:szCs w:val="18"/>
              </w:rPr>
              <w:t>I</w:t>
            </w:r>
            <w:r w:rsidR="00185B43">
              <w:rPr>
                <w:sz w:val="18"/>
                <w:szCs w:val="18"/>
              </w:rPr>
              <w:t>M</w:t>
            </w:r>
            <w:r w:rsidRPr="00E270DF">
              <w:rPr>
                <w:sz w:val="18"/>
                <w:szCs w:val="18"/>
              </w:rPr>
              <w:t>passion130 is a multicentre, randomised, double-blind study evaluating the efficacy, safety and pharmacokinetics of atezolizumab administered with nab-paclitaxel compared with placebo in combination with nab-paclitaxel in participants with locally advanced or metastatic TNBC who have not received prior systemic therapy for metastatic breast cancer.</w:t>
            </w:r>
          </w:p>
          <w:p w14:paraId="3C74AF7A" w14:textId="77777777" w:rsidR="00001C18" w:rsidRPr="00B46E7F" w:rsidRDefault="00001C18" w:rsidP="00D7068D">
            <w:pPr>
              <w:spacing w:before="0" w:after="0"/>
              <w:rPr>
                <w:sz w:val="18"/>
                <w:szCs w:val="18"/>
              </w:rPr>
            </w:pPr>
            <w:r w:rsidRPr="00E270DF">
              <w:rPr>
                <w:sz w:val="18"/>
                <w:szCs w:val="18"/>
              </w:rPr>
              <w:t>This study is currently active, but not recruiting.</w:t>
            </w:r>
          </w:p>
          <w:p w14:paraId="637CA3ED" w14:textId="77777777" w:rsidR="00001C18" w:rsidRPr="00E270DF" w:rsidRDefault="00001C18" w:rsidP="00D7068D">
            <w:pPr>
              <w:spacing w:before="0" w:after="0"/>
              <w:rPr>
                <w:sz w:val="18"/>
                <w:szCs w:val="18"/>
              </w:rPr>
            </w:pPr>
            <w:r w:rsidRPr="00E270DF">
              <w:rPr>
                <w:sz w:val="18"/>
                <w:szCs w:val="18"/>
              </w:rPr>
              <w:t>Primary Outcome Measures:</w:t>
            </w:r>
          </w:p>
          <w:p w14:paraId="3FA99550" w14:textId="77777777" w:rsidR="00001C18" w:rsidRPr="00E270DF" w:rsidRDefault="00001C18" w:rsidP="00D7068D">
            <w:pPr>
              <w:numPr>
                <w:ilvl w:val="0"/>
                <w:numId w:val="18"/>
              </w:numPr>
              <w:shd w:val="clear" w:color="auto" w:fill="FFFFFF"/>
              <w:spacing w:before="0" w:after="0"/>
              <w:ind w:left="0"/>
              <w:rPr>
                <w:sz w:val="18"/>
                <w:szCs w:val="18"/>
              </w:rPr>
            </w:pPr>
            <w:r w:rsidRPr="00E270DF">
              <w:rPr>
                <w:sz w:val="18"/>
                <w:szCs w:val="18"/>
              </w:rPr>
              <w:t>Progression free survival (PFS) in ITT population</w:t>
            </w:r>
          </w:p>
          <w:p w14:paraId="67D1EC36" w14:textId="77777777" w:rsidR="00001C18" w:rsidRPr="00E270DF" w:rsidRDefault="00001C18" w:rsidP="00D7068D">
            <w:pPr>
              <w:numPr>
                <w:ilvl w:val="0"/>
                <w:numId w:val="18"/>
              </w:numPr>
              <w:shd w:val="clear" w:color="auto" w:fill="FFFFFF"/>
              <w:spacing w:before="0" w:after="0"/>
              <w:ind w:left="0"/>
              <w:rPr>
                <w:sz w:val="18"/>
                <w:szCs w:val="18"/>
              </w:rPr>
            </w:pPr>
            <w:r w:rsidRPr="00E270DF">
              <w:rPr>
                <w:sz w:val="18"/>
                <w:szCs w:val="18"/>
              </w:rPr>
              <w:t>PFS in PD-L1 expressers</w:t>
            </w:r>
          </w:p>
          <w:p w14:paraId="7B5FBEC3" w14:textId="77777777" w:rsidR="00001C18" w:rsidRPr="00E270DF" w:rsidRDefault="00001C18" w:rsidP="00D7068D">
            <w:pPr>
              <w:numPr>
                <w:ilvl w:val="0"/>
                <w:numId w:val="18"/>
              </w:numPr>
              <w:shd w:val="clear" w:color="auto" w:fill="FFFFFF"/>
              <w:spacing w:before="0" w:after="0"/>
              <w:ind w:left="0"/>
              <w:rPr>
                <w:sz w:val="18"/>
                <w:szCs w:val="18"/>
              </w:rPr>
            </w:pPr>
            <w:r w:rsidRPr="00E270DF">
              <w:rPr>
                <w:sz w:val="18"/>
                <w:szCs w:val="18"/>
              </w:rPr>
              <w:t>Overall survival (OS) in ITT population</w:t>
            </w:r>
          </w:p>
          <w:p w14:paraId="610627C0" w14:textId="2326354E" w:rsidR="00001C18" w:rsidRPr="00E270DF" w:rsidRDefault="00001C18" w:rsidP="00D7068D">
            <w:pPr>
              <w:spacing w:before="0"/>
              <w:rPr>
                <w:sz w:val="18"/>
                <w:szCs w:val="18"/>
              </w:rPr>
            </w:pPr>
            <w:r w:rsidRPr="00E270DF">
              <w:rPr>
                <w:sz w:val="18"/>
                <w:szCs w:val="18"/>
              </w:rPr>
              <w:t>OS in PD-L1 expressers</w:t>
            </w:r>
          </w:p>
        </w:tc>
        <w:tc>
          <w:tcPr>
            <w:tcW w:w="1140" w:type="pct"/>
          </w:tcPr>
          <w:p w14:paraId="442FD7ED" w14:textId="194875E2" w:rsidR="00001C18" w:rsidRPr="00A17A92" w:rsidRDefault="00001C18" w:rsidP="00185B43">
            <w:pPr>
              <w:rPr>
                <w:sz w:val="18"/>
                <w:szCs w:val="18"/>
              </w:rPr>
            </w:pPr>
            <w:r w:rsidRPr="00E270DF">
              <w:rPr>
                <w:sz w:val="18"/>
                <w:szCs w:val="18"/>
              </w:rPr>
              <w:t>https://www.nejm.org/doi/pdf/10.1056/NEJMoa1809615</w:t>
            </w:r>
          </w:p>
        </w:tc>
        <w:tc>
          <w:tcPr>
            <w:tcW w:w="812" w:type="pct"/>
          </w:tcPr>
          <w:p w14:paraId="7A7B7D81" w14:textId="63E630C5" w:rsidR="00001C18" w:rsidRPr="00CF515F" w:rsidRDefault="00001C18" w:rsidP="00185B43">
            <w:pPr>
              <w:rPr>
                <w:sz w:val="18"/>
                <w:szCs w:val="18"/>
              </w:rPr>
            </w:pPr>
            <w:r>
              <w:rPr>
                <w:sz w:val="18"/>
                <w:szCs w:val="18"/>
              </w:rPr>
              <w:t>20 October 2018</w:t>
            </w:r>
          </w:p>
        </w:tc>
      </w:tr>
    </w:tbl>
    <w:p w14:paraId="0962325A" w14:textId="77777777" w:rsidR="00DD308E" w:rsidRDefault="00DD308E" w:rsidP="00767E24">
      <w:pPr>
        <w:spacing w:before="0" w:after="0"/>
        <w:ind w:left="426"/>
        <w:jc w:val="both"/>
        <w:rPr>
          <w:i/>
          <w:szCs w:val="20"/>
        </w:rPr>
      </w:pPr>
      <w:r>
        <w:rPr>
          <w:i/>
          <w:szCs w:val="20"/>
        </w:rPr>
        <w:t xml:space="preserve">* Categorise study design, for example meta-analysis, randomised trials, non-randomised trial or observational study, study of diagnostic accuracy, etc. </w:t>
      </w:r>
    </w:p>
    <w:p w14:paraId="17325AA0" w14:textId="77777777" w:rsidR="00DD308E" w:rsidRDefault="00DD308E" w:rsidP="00767E24">
      <w:pPr>
        <w:spacing w:before="0" w:after="0"/>
        <w:ind w:left="426"/>
        <w:jc w:val="both"/>
        <w:rPr>
          <w:i/>
          <w:szCs w:val="20"/>
        </w:rPr>
      </w:pPr>
      <w:r>
        <w:rPr>
          <w:i/>
          <w:szCs w:val="20"/>
        </w:rPr>
        <w:t xml:space="preserve">**Provide </w:t>
      </w:r>
      <w:proofErr w:type="gramStart"/>
      <w:r>
        <w:rPr>
          <w:i/>
          <w:szCs w:val="20"/>
        </w:rPr>
        <w:t>high level</w:t>
      </w:r>
      <w:proofErr w:type="gramEnd"/>
      <w:r>
        <w:rPr>
          <w:i/>
          <w:szCs w:val="20"/>
        </w:rPr>
        <w:t xml:space="preserve"> information including population numbers and whether patients are being recruited or in post-recruitment, including providing the trial registration number to allow for tracking purposes.</w:t>
      </w:r>
    </w:p>
    <w:p w14:paraId="01CB6663" w14:textId="77777777" w:rsidR="00DD308E" w:rsidRDefault="00DD308E" w:rsidP="00767E24">
      <w:pPr>
        <w:spacing w:before="0" w:after="0"/>
        <w:ind w:left="426"/>
        <w:jc w:val="both"/>
        <w:rPr>
          <w:i/>
          <w:szCs w:val="20"/>
        </w:rPr>
      </w:pPr>
      <w:r w:rsidRPr="00E82F54">
        <w:rPr>
          <w:i/>
          <w:szCs w:val="20"/>
        </w:rPr>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p>
    <w:p w14:paraId="73238CE9" w14:textId="77777777" w:rsidR="00573396" w:rsidRDefault="00573396" w:rsidP="00767E24">
      <w:pPr>
        <w:jc w:val="both"/>
      </w:pPr>
    </w:p>
    <w:p w14:paraId="303EDB13" w14:textId="77777777" w:rsidR="004C49EF" w:rsidRDefault="004C49EF" w:rsidP="00767E24">
      <w:pPr>
        <w:pStyle w:val="Heading2"/>
        <w:jc w:val="both"/>
      </w:pPr>
      <w:r w:rsidRPr="00E82F54">
        <w:t xml:space="preserve">Identify yet to be published research that may have results available in the near </w:t>
      </w:r>
      <w:proofErr w:type="gramStart"/>
      <w:r w:rsidRPr="00E82F54">
        <w:t>future</w:t>
      </w:r>
      <w:proofErr w:type="gramEnd"/>
      <w:r w:rsidRPr="00E82F54">
        <w:t xml:space="preserv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w:t>
      </w:r>
      <w:proofErr w:type="gramStart"/>
      <w:r w:rsidRPr="001130B0">
        <w:rPr>
          <w:i/>
        </w:rPr>
        <w:t>articles,</w:t>
      </w:r>
      <w:proofErr w:type="gramEnd"/>
      <w:r w:rsidRPr="001130B0">
        <w:rPr>
          <w:i/>
        </w:rPr>
        <w:t xml:space="preserve"> this is just intended to be a summary.</w:t>
      </w:r>
    </w:p>
    <w:tbl>
      <w:tblPr>
        <w:tblStyle w:val="TableGrid"/>
        <w:tblW w:w="5000" w:type="pct"/>
        <w:tblLook w:val="04A0" w:firstRow="1" w:lastRow="0" w:firstColumn="1" w:lastColumn="0" w:noHBand="0" w:noVBand="1"/>
        <w:tblCaption w:val="Summary of Evidence - Yet to be Published"/>
      </w:tblPr>
      <w:tblGrid>
        <w:gridCol w:w="499"/>
        <w:gridCol w:w="2089"/>
        <w:gridCol w:w="2418"/>
        <w:gridCol w:w="3421"/>
        <w:gridCol w:w="4453"/>
        <w:gridCol w:w="1068"/>
      </w:tblGrid>
      <w:tr w:rsidR="004C49EF" w14:paraId="183A7026" w14:textId="77777777" w:rsidTr="00001C18">
        <w:trPr>
          <w:cantSplit/>
          <w:tblHeader/>
        </w:trPr>
        <w:tc>
          <w:tcPr>
            <w:tcW w:w="180" w:type="pct"/>
          </w:tcPr>
          <w:p w14:paraId="76673C6B" w14:textId="77777777" w:rsidR="004C49EF" w:rsidRPr="00441472" w:rsidRDefault="004C49EF" w:rsidP="00D7068D">
            <w:pPr>
              <w:pStyle w:val="TableHEADER"/>
              <w:rPr>
                <w:sz w:val="18"/>
                <w:szCs w:val="18"/>
              </w:rPr>
            </w:pPr>
          </w:p>
        </w:tc>
        <w:tc>
          <w:tcPr>
            <w:tcW w:w="750" w:type="pct"/>
          </w:tcPr>
          <w:p w14:paraId="7185D0E0" w14:textId="77777777" w:rsidR="004C49EF" w:rsidRDefault="004C49EF" w:rsidP="00D7068D">
            <w:pPr>
              <w:pStyle w:val="TableHEADER"/>
            </w:pPr>
            <w:r>
              <w:t>Type of study design*</w:t>
            </w:r>
          </w:p>
        </w:tc>
        <w:tc>
          <w:tcPr>
            <w:tcW w:w="868" w:type="pct"/>
          </w:tcPr>
          <w:p w14:paraId="35AB12E4" w14:textId="77777777" w:rsidR="004C49EF" w:rsidRDefault="004C49EF" w:rsidP="00D7068D">
            <w:pPr>
              <w:pStyle w:val="TableHEADER"/>
            </w:pPr>
            <w:r>
              <w:t>Title of research (including any trial identifier if relevant)</w:t>
            </w:r>
          </w:p>
        </w:tc>
        <w:tc>
          <w:tcPr>
            <w:tcW w:w="1227" w:type="pct"/>
          </w:tcPr>
          <w:p w14:paraId="7F0095DB" w14:textId="77777777" w:rsidR="004C49EF" w:rsidRDefault="00367C1B" w:rsidP="00D7068D">
            <w:pPr>
              <w:pStyle w:val="TableHEADER"/>
            </w:pPr>
            <w:r>
              <w:t xml:space="preserve">Short description of research </w:t>
            </w:r>
            <w:r w:rsidR="004C49EF">
              <w:t>(max 50 words)**</w:t>
            </w:r>
          </w:p>
        </w:tc>
        <w:tc>
          <w:tcPr>
            <w:tcW w:w="1597" w:type="pct"/>
          </w:tcPr>
          <w:p w14:paraId="5481FB60" w14:textId="77777777" w:rsidR="004C49EF" w:rsidRDefault="004C49EF" w:rsidP="00D7068D">
            <w:pPr>
              <w:pStyle w:val="TableHEADER"/>
            </w:pPr>
            <w:r w:rsidRPr="00E82F54">
              <w:t xml:space="preserve">Website link to </w:t>
            </w:r>
            <w:r>
              <w:t>research (if available)</w:t>
            </w:r>
          </w:p>
        </w:tc>
        <w:tc>
          <w:tcPr>
            <w:tcW w:w="379" w:type="pct"/>
          </w:tcPr>
          <w:p w14:paraId="199585CB" w14:textId="77777777" w:rsidR="004C49EF" w:rsidRDefault="004C49EF" w:rsidP="00D7068D">
            <w:pPr>
              <w:pStyle w:val="TableHEADER"/>
            </w:pPr>
            <w:r w:rsidRPr="00E82F54">
              <w:t>Date*</w:t>
            </w:r>
            <w:r>
              <w:t>**</w:t>
            </w:r>
          </w:p>
        </w:tc>
      </w:tr>
      <w:tr w:rsidR="00944207" w:rsidRPr="00B46E7F" w14:paraId="42676330" w14:textId="77777777" w:rsidTr="00001C18">
        <w:trPr>
          <w:cantSplit/>
        </w:trPr>
        <w:tc>
          <w:tcPr>
            <w:tcW w:w="180" w:type="pct"/>
          </w:tcPr>
          <w:p w14:paraId="1F706283" w14:textId="4AFB7359" w:rsidR="00944207" w:rsidRPr="00E270DF" w:rsidRDefault="00001C18" w:rsidP="00D7068D">
            <w:pPr>
              <w:rPr>
                <w:color w:val="333333"/>
                <w:spacing w:val="2"/>
                <w:sz w:val="18"/>
                <w:szCs w:val="18"/>
              </w:rPr>
            </w:pPr>
            <w:r w:rsidRPr="00E270DF">
              <w:rPr>
                <w:color w:val="333333"/>
                <w:spacing w:val="2"/>
                <w:sz w:val="18"/>
                <w:szCs w:val="18"/>
              </w:rPr>
              <w:t>1</w:t>
            </w:r>
          </w:p>
        </w:tc>
        <w:tc>
          <w:tcPr>
            <w:tcW w:w="750" w:type="pct"/>
          </w:tcPr>
          <w:p w14:paraId="357FFEBA" w14:textId="6ED2DB9A" w:rsidR="00944207" w:rsidRPr="00AE0793" w:rsidRDefault="00944207" w:rsidP="00D7068D">
            <w:pPr>
              <w:rPr>
                <w:color w:val="333333"/>
                <w:spacing w:val="2"/>
                <w:sz w:val="18"/>
                <w:szCs w:val="18"/>
              </w:rPr>
            </w:pPr>
            <w:r w:rsidRPr="00AE0793">
              <w:rPr>
                <w:color w:val="333333"/>
                <w:spacing w:val="2"/>
                <w:sz w:val="18"/>
                <w:szCs w:val="18"/>
              </w:rPr>
              <w:t>Randomised</w:t>
            </w:r>
            <w:r w:rsidR="001E2F33" w:rsidRPr="00AE0793">
              <w:rPr>
                <w:color w:val="333333"/>
                <w:spacing w:val="2"/>
                <w:sz w:val="18"/>
                <w:szCs w:val="18"/>
              </w:rPr>
              <w:t xml:space="preserve"> Phase 3</w:t>
            </w:r>
            <w:r w:rsidRPr="00AE0793">
              <w:rPr>
                <w:color w:val="333333"/>
                <w:spacing w:val="2"/>
                <w:sz w:val="18"/>
                <w:szCs w:val="18"/>
              </w:rPr>
              <w:t xml:space="preserve"> trial</w:t>
            </w:r>
          </w:p>
        </w:tc>
        <w:tc>
          <w:tcPr>
            <w:tcW w:w="868" w:type="pct"/>
            <w:shd w:val="clear" w:color="auto" w:fill="auto"/>
          </w:tcPr>
          <w:p w14:paraId="0A5BF5D2" w14:textId="3E6FA86F" w:rsidR="00944207" w:rsidRPr="00E270DF" w:rsidRDefault="00944207" w:rsidP="00D7068D">
            <w:pPr>
              <w:pBdr>
                <w:bottom w:val="single" w:sz="6" w:space="9" w:color="DADADA"/>
              </w:pBdr>
              <w:rPr>
                <w:color w:val="333333"/>
                <w:spacing w:val="2"/>
                <w:sz w:val="18"/>
                <w:szCs w:val="18"/>
              </w:rPr>
            </w:pPr>
            <w:r w:rsidRPr="00E270DF">
              <w:rPr>
                <w:color w:val="333333"/>
                <w:spacing w:val="2"/>
                <w:sz w:val="18"/>
                <w:szCs w:val="18"/>
              </w:rPr>
              <w:t>A</w:t>
            </w:r>
            <w:r w:rsidR="001E2F33" w:rsidRPr="00E270DF">
              <w:rPr>
                <w:color w:val="333333"/>
                <w:spacing w:val="2"/>
                <w:sz w:val="18"/>
                <w:szCs w:val="18"/>
              </w:rPr>
              <w:t xml:space="preserve"> Phase 3, multicentre, randomised, double-blind, placebo-controlled</w:t>
            </w:r>
            <w:r w:rsidRPr="00E270DF">
              <w:rPr>
                <w:color w:val="333333"/>
                <w:spacing w:val="2"/>
                <w:sz w:val="18"/>
                <w:szCs w:val="18"/>
              </w:rPr>
              <w:t xml:space="preserve"> study of atezolizumab and paclitaxel versus placebo and paclitaxel in </w:t>
            </w:r>
            <w:r w:rsidR="00E270DF" w:rsidRPr="00E270DF">
              <w:rPr>
                <w:color w:val="333333"/>
                <w:spacing w:val="2"/>
                <w:sz w:val="18"/>
                <w:szCs w:val="18"/>
              </w:rPr>
              <w:t>participants</w:t>
            </w:r>
            <w:r w:rsidRPr="00E270DF">
              <w:rPr>
                <w:color w:val="333333"/>
                <w:spacing w:val="2"/>
                <w:sz w:val="18"/>
                <w:szCs w:val="18"/>
              </w:rPr>
              <w:t xml:space="preserve"> with previously untreated locally advanced or metastatic triple-negative breast cancer (IMpassion131)</w:t>
            </w:r>
          </w:p>
        </w:tc>
        <w:tc>
          <w:tcPr>
            <w:tcW w:w="1227" w:type="pct"/>
          </w:tcPr>
          <w:p w14:paraId="79A2C93F" w14:textId="5B7240A5" w:rsidR="00944207" w:rsidRPr="00E270DF" w:rsidRDefault="00944207" w:rsidP="00185B43">
            <w:pPr>
              <w:spacing w:after="0"/>
              <w:rPr>
                <w:color w:val="333333"/>
                <w:spacing w:val="2"/>
                <w:sz w:val="18"/>
                <w:szCs w:val="18"/>
              </w:rPr>
            </w:pPr>
            <w:r w:rsidRPr="00E270DF">
              <w:rPr>
                <w:color w:val="333333"/>
                <w:spacing w:val="2"/>
                <w:sz w:val="18"/>
                <w:szCs w:val="18"/>
              </w:rPr>
              <w:t>IMpassion131 is a multicentre, randomised, double-blind, placebo-controlled study evaluating the efficacy and safety of atezolizumab administered in combination with paclitaxel in participants with previously untreated, inoperable locally advanced or metastatic, centrally confirmed TNBC.</w:t>
            </w:r>
          </w:p>
          <w:p w14:paraId="4926EEC1" w14:textId="2170A941" w:rsidR="001E2F33" w:rsidRPr="00E270DF" w:rsidRDefault="001E2F33" w:rsidP="00D7068D">
            <w:pPr>
              <w:spacing w:before="0" w:after="0"/>
              <w:rPr>
                <w:color w:val="333333"/>
                <w:spacing w:val="2"/>
                <w:sz w:val="18"/>
                <w:szCs w:val="18"/>
              </w:rPr>
            </w:pPr>
            <w:r w:rsidRPr="00E270DF">
              <w:rPr>
                <w:color w:val="333333"/>
                <w:spacing w:val="2"/>
                <w:sz w:val="18"/>
                <w:szCs w:val="18"/>
              </w:rPr>
              <w:t>This study is currently recruiting.</w:t>
            </w:r>
          </w:p>
          <w:p w14:paraId="0FAFD538" w14:textId="145BFCB7" w:rsidR="00944207" w:rsidRPr="00E270DF" w:rsidRDefault="00185B43" w:rsidP="00D7068D">
            <w:pPr>
              <w:spacing w:before="0" w:after="0"/>
              <w:rPr>
                <w:color w:val="333333"/>
                <w:spacing w:val="2"/>
                <w:sz w:val="18"/>
                <w:szCs w:val="18"/>
              </w:rPr>
            </w:pPr>
            <w:r>
              <w:rPr>
                <w:color w:val="333333"/>
                <w:spacing w:val="2"/>
                <w:sz w:val="18"/>
                <w:szCs w:val="18"/>
              </w:rPr>
              <w:t>Primary Outcome Measure</w:t>
            </w:r>
            <w:r w:rsidR="00944207" w:rsidRPr="00E270DF">
              <w:rPr>
                <w:color w:val="333333"/>
                <w:spacing w:val="2"/>
                <w:sz w:val="18"/>
                <w:szCs w:val="18"/>
              </w:rPr>
              <w:t>:</w:t>
            </w:r>
          </w:p>
          <w:p w14:paraId="04F24160" w14:textId="1CA313BE" w:rsidR="00944207" w:rsidRPr="00E270DF" w:rsidRDefault="00944207" w:rsidP="00185B43">
            <w:pPr>
              <w:numPr>
                <w:ilvl w:val="0"/>
                <w:numId w:val="18"/>
              </w:numPr>
              <w:shd w:val="clear" w:color="auto" w:fill="FFFFFF"/>
              <w:spacing w:before="0"/>
              <w:ind w:left="0"/>
              <w:rPr>
                <w:color w:val="333333"/>
                <w:spacing w:val="2"/>
              </w:rPr>
            </w:pPr>
            <w:r w:rsidRPr="00E270DF">
              <w:rPr>
                <w:color w:val="333333"/>
                <w:spacing w:val="2"/>
                <w:sz w:val="18"/>
                <w:szCs w:val="18"/>
              </w:rPr>
              <w:t>Progression free survival (PFS) in ITT population</w:t>
            </w:r>
          </w:p>
        </w:tc>
        <w:tc>
          <w:tcPr>
            <w:tcW w:w="1597" w:type="pct"/>
          </w:tcPr>
          <w:p w14:paraId="700A6A2F" w14:textId="77777777" w:rsidR="00944207" w:rsidRPr="00E270DF" w:rsidRDefault="00944207" w:rsidP="00185B43">
            <w:pPr>
              <w:shd w:val="clear" w:color="auto" w:fill="FFFFFF"/>
              <w:spacing w:after="0"/>
              <w:rPr>
                <w:color w:val="333333"/>
                <w:spacing w:val="2"/>
                <w:sz w:val="18"/>
                <w:szCs w:val="18"/>
              </w:rPr>
            </w:pPr>
            <w:r w:rsidRPr="00E270DF">
              <w:rPr>
                <w:color w:val="333333"/>
                <w:spacing w:val="2"/>
                <w:sz w:val="18"/>
                <w:szCs w:val="18"/>
              </w:rPr>
              <w:t>ClinicalTrials.gov Identifier:</w:t>
            </w:r>
          </w:p>
          <w:p w14:paraId="5CC2A94F" w14:textId="373E4351" w:rsidR="00944207" w:rsidRPr="00E270DF" w:rsidRDefault="00944207" w:rsidP="00D7068D">
            <w:pPr>
              <w:shd w:val="clear" w:color="auto" w:fill="FFFFFF"/>
              <w:spacing w:before="0" w:after="0"/>
              <w:rPr>
                <w:color w:val="333333"/>
                <w:spacing w:val="2"/>
                <w:sz w:val="18"/>
                <w:szCs w:val="18"/>
              </w:rPr>
            </w:pPr>
            <w:r w:rsidRPr="00E270DF">
              <w:rPr>
                <w:color w:val="333333"/>
                <w:spacing w:val="2"/>
                <w:sz w:val="18"/>
                <w:szCs w:val="18"/>
              </w:rPr>
              <w:t>NCT03125902</w:t>
            </w:r>
          </w:p>
        </w:tc>
        <w:tc>
          <w:tcPr>
            <w:tcW w:w="379" w:type="pct"/>
          </w:tcPr>
          <w:p w14:paraId="32E626B3" w14:textId="49A59009" w:rsidR="00944207" w:rsidRPr="00E270DF" w:rsidRDefault="00B707EA" w:rsidP="00D7068D">
            <w:pPr>
              <w:rPr>
                <w:color w:val="333333"/>
                <w:spacing w:val="2"/>
                <w:sz w:val="18"/>
                <w:szCs w:val="18"/>
              </w:rPr>
            </w:pPr>
            <w:r>
              <w:rPr>
                <w:color w:val="333333"/>
                <w:spacing w:val="2"/>
                <w:sz w:val="18"/>
                <w:szCs w:val="18"/>
              </w:rPr>
              <w:t>February 2019 (Estimated primary completion date)</w:t>
            </w:r>
          </w:p>
        </w:tc>
      </w:tr>
      <w:tr w:rsidR="00944207" w:rsidRPr="00B46E7F" w14:paraId="7F1A1FB5" w14:textId="77777777" w:rsidTr="00001C18">
        <w:trPr>
          <w:cantSplit/>
        </w:trPr>
        <w:tc>
          <w:tcPr>
            <w:tcW w:w="180" w:type="pct"/>
          </w:tcPr>
          <w:p w14:paraId="71253013" w14:textId="26149B42" w:rsidR="00944207" w:rsidRPr="00E270DF" w:rsidRDefault="00001C18" w:rsidP="00D7068D">
            <w:pPr>
              <w:rPr>
                <w:color w:val="333333"/>
                <w:spacing w:val="2"/>
                <w:sz w:val="18"/>
                <w:szCs w:val="18"/>
              </w:rPr>
            </w:pPr>
            <w:r w:rsidRPr="00E270DF">
              <w:rPr>
                <w:color w:val="333333"/>
                <w:spacing w:val="2"/>
                <w:sz w:val="18"/>
                <w:szCs w:val="18"/>
              </w:rPr>
              <w:t>2</w:t>
            </w:r>
          </w:p>
        </w:tc>
        <w:tc>
          <w:tcPr>
            <w:tcW w:w="750" w:type="pct"/>
          </w:tcPr>
          <w:p w14:paraId="3AB24B6E" w14:textId="22BF3666" w:rsidR="00944207" w:rsidRPr="00AE0793" w:rsidRDefault="00306E64" w:rsidP="00D7068D">
            <w:pPr>
              <w:rPr>
                <w:color w:val="333333"/>
                <w:spacing w:val="2"/>
                <w:sz w:val="18"/>
                <w:szCs w:val="18"/>
              </w:rPr>
            </w:pPr>
            <w:r w:rsidRPr="00AE0793">
              <w:rPr>
                <w:color w:val="333333"/>
                <w:spacing w:val="2"/>
                <w:sz w:val="18"/>
                <w:szCs w:val="18"/>
              </w:rPr>
              <w:t>Randomised</w:t>
            </w:r>
            <w:r w:rsidR="001E2F33" w:rsidRPr="00AE0793">
              <w:rPr>
                <w:color w:val="333333"/>
                <w:spacing w:val="2"/>
                <w:sz w:val="18"/>
                <w:szCs w:val="18"/>
              </w:rPr>
              <w:t xml:space="preserve"> Phase 3</w:t>
            </w:r>
            <w:r w:rsidRPr="00AE0793">
              <w:rPr>
                <w:color w:val="333333"/>
                <w:spacing w:val="2"/>
                <w:sz w:val="18"/>
                <w:szCs w:val="18"/>
              </w:rPr>
              <w:t xml:space="preserve"> trial</w:t>
            </w:r>
          </w:p>
        </w:tc>
        <w:tc>
          <w:tcPr>
            <w:tcW w:w="868" w:type="pct"/>
            <w:shd w:val="clear" w:color="auto" w:fill="auto"/>
          </w:tcPr>
          <w:p w14:paraId="65047E9F" w14:textId="51026C48" w:rsidR="00944207" w:rsidRPr="00E270DF" w:rsidRDefault="00306E64" w:rsidP="00D7068D">
            <w:pPr>
              <w:pBdr>
                <w:bottom w:val="single" w:sz="6" w:space="9" w:color="DADADA"/>
              </w:pBdr>
              <w:rPr>
                <w:color w:val="333333"/>
                <w:spacing w:val="2"/>
                <w:sz w:val="18"/>
                <w:szCs w:val="18"/>
              </w:rPr>
            </w:pPr>
            <w:r w:rsidRPr="00E270DF">
              <w:rPr>
                <w:color w:val="333333"/>
                <w:spacing w:val="2"/>
                <w:sz w:val="18"/>
                <w:szCs w:val="18"/>
              </w:rPr>
              <w:t>A</w:t>
            </w:r>
            <w:r w:rsidR="001E2F33" w:rsidRPr="00E270DF">
              <w:rPr>
                <w:color w:val="333333"/>
                <w:spacing w:val="2"/>
                <w:sz w:val="18"/>
                <w:szCs w:val="18"/>
              </w:rPr>
              <w:t xml:space="preserve"> Phase 3, randomised, double-blind, placebo-controlled, multicentre study</w:t>
            </w:r>
            <w:r w:rsidRPr="00E270DF">
              <w:rPr>
                <w:color w:val="333333"/>
                <w:spacing w:val="2"/>
                <w:sz w:val="18"/>
                <w:szCs w:val="18"/>
              </w:rPr>
              <w:t xml:space="preserve"> of the efficacy and safety of atezolizumab plus chemotherapy for patients with early relapsing recurrent triple-negative breast cancer (IMpassion132)</w:t>
            </w:r>
          </w:p>
        </w:tc>
        <w:tc>
          <w:tcPr>
            <w:tcW w:w="1227" w:type="pct"/>
          </w:tcPr>
          <w:p w14:paraId="7767FDB0" w14:textId="5BB44C1A" w:rsidR="00944207" w:rsidRPr="00E270DF" w:rsidRDefault="00306E64" w:rsidP="00185B43">
            <w:pPr>
              <w:spacing w:after="0"/>
              <w:rPr>
                <w:color w:val="333333"/>
                <w:spacing w:val="2"/>
                <w:sz w:val="18"/>
                <w:szCs w:val="18"/>
              </w:rPr>
            </w:pPr>
            <w:r w:rsidRPr="00E270DF">
              <w:rPr>
                <w:color w:val="333333"/>
                <w:spacing w:val="2"/>
                <w:sz w:val="18"/>
                <w:szCs w:val="18"/>
              </w:rPr>
              <w:t>IMpassion132 is a study designed to evaluate the efficacy and safety of atezolizumab plus chemotherapy compared with placebo plus chemotherapy in patients with inoperable recurrent triple-negative breast cancer.</w:t>
            </w:r>
          </w:p>
          <w:p w14:paraId="7513565F" w14:textId="77777777" w:rsidR="001E2F33" w:rsidRPr="00E270DF" w:rsidRDefault="001E2F33" w:rsidP="00D7068D">
            <w:pPr>
              <w:spacing w:before="0" w:after="0"/>
              <w:rPr>
                <w:color w:val="333333"/>
                <w:spacing w:val="2"/>
                <w:sz w:val="18"/>
                <w:szCs w:val="18"/>
              </w:rPr>
            </w:pPr>
            <w:r w:rsidRPr="00E270DF">
              <w:rPr>
                <w:color w:val="333333"/>
                <w:spacing w:val="2"/>
                <w:sz w:val="18"/>
                <w:szCs w:val="18"/>
              </w:rPr>
              <w:t>This study is currently recruiting.</w:t>
            </w:r>
          </w:p>
          <w:p w14:paraId="53852B85" w14:textId="53EBB5F2" w:rsidR="00306E64" w:rsidRPr="00E270DF" w:rsidRDefault="00306E64" w:rsidP="00D7068D">
            <w:pPr>
              <w:spacing w:before="0" w:after="0"/>
              <w:rPr>
                <w:color w:val="333333"/>
                <w:spacing w:val="2"/>
                <w:sz w:val="18"/>
                <w:szCs w:val="18"/>
              </w:rPr>
            </w:pPr>
            <w:r w:rsidRPr="00E270DF">
              <w:rPr>
                <w:color w:val="333333"/>
                <w:spacing w:val="2"/>
                <w:sz w:val="18"/>
                <w:szCs w:val="18"/>
              </w:rPr>
              <w:t>Primary Outcome Measure:</w:t>
            </w:r>
          </w:p>
          <w:p w14:paraId="787A746C" w14:textId="4A1761D8" w:rsidR="00306E64" w:rsidRPr="00E270DF" w:rsidRDefault="00306E64" w:rsidP="00D7068D">
            <w:pPr>
              <w:spacing w:before="0" w:after="0"/>
              <w:rPr>
                <w:color w:val="333333"/>
                <w:spacing w:val="2"/>
                <w:sz w:val="18"/>
                <w:szCs w:val="18"/>
              </w:rPr>
            </w:pPr>
            <w:r w:rsidRPr="00E270DF">
              <w:rPr>
                <w:color w:val="333333"/>
                <w:spacing w:val="2"/>
                <w:sz w:val="18"/>
                <w:szCs w:val="18"/>
              </w:rPr>
              <w:t>Overall survival (OS) in ITT population</w:t>
            </w:r>
          </w:p>
        </w:tc>
        <w:tc>
          <w:tcPr>
            <w:tcW w:w="1597" w:type="pct"/>
          </w:tcPr>
          <w:p w14:paraId="59A89B08" w14:textId="77777777" w:rsidR="00306E64" w:rsidRPr="00E270DF" w:rsidRDefault="00306E64" w:rsidP="00185B43">
            <w:pPr>
              <w:shd w:val="clear" w:color="auto" w:fill="FFFFFF"/>
              <w:spacing w:after="0"/>
              <w:rPr>
                <w:color w:val="333333"/>
                <w:spacing w:val="2"/>
                <w:sz w:val="18"/>
                <w:szCs w:val="18"/>
              </w:rPr>
            </w:pPr>
            <w:r w:rsidRPr="00E270DF">
              <w:rPr>
                <w:color w:val="333333"/>
                <w:spacing w:val="2"/>
                <w:sz w:val="18"/>
                <w:szCs w:val="18"/>
              </w:rPr>
              <w:t>ClinicalTrials.gov Identifier:</w:t>
            </w:r>
          </w:p>
          <w:p w14:paraId="0CD14B33" w14:textId="28D5A9FF" w:rsidR="00944207" w:rsidRPr="00E270DF" w:rsidRDefault="00306E64" w:rsidP="00D7068D">
            <w:pPr>
              <w:shd w:val="clear" w:color="auto" w:fill="FFFFFF"/>
              <w:spacing w:before="0" w:after="0"/>
              <w:rPr>
                <w:color w:val="333333"/>
                <w:spacing w:val="2"/>
                <w:sz w:val="18"/>
                <w:szCs w:val="18"/>
              </w:rPr>
            </w:pPr>
            <w:r w:rsidRPr="00E270DF">
              <w:rPr>
                <w:color w:val="333333"/>
                <w:spacing w:val="2"/>
                <w:sz w:val="18"/>
                <w:szCs w:val="18"/>
              </w:rPr>
              <w:t>NCT03371017</w:t>
            </w:r>
          </w:p>
        </w:tc>
        <w:tc>
          <w:tcPr>
            <w:tcW w:w="379" w:type="pct"/>
          </w:tcPr>
          <w:p w14:paraId="543E8FA9" w14:textId="054D8BED" w:rsidR="00944207" w:rsidRPr="00E270DF" w:rsidRDefault="0041335B" w:rsidP="00D7068D">
            <w:pPr>
              <w:rPr>
                <w:color w:val="333333"/>
                <w:spacing w:val="2"/>
                <w:sz w:val="18"/>
                <w:szCs w:val="18"/>
              </w:rPr>
            </w:pPr>
            <w:r>
              <w:rPr>
                <w:color w:val="333333"/>
                <w:spacing w:val="2"/>
                <w:sz w:val="18"/>
                <w:szCs w:val="18"/>
              </w:rPr>
              <w:t>July 2019 (Estimated primary completion date)</w:t>
            </w:r>
          </w:p>
        </w:tc>
      </w:tr>
    </w:tbl>
    <w:p w14:paraId="1FE459FE" w14:textId="77777777" w:rsidR="004C49EF" w:rsidRDefault="004C49EF" w:rsidP="00767E24">
      <w:pPr>
        <w:spacing w:before="0" w:after="0"/>
        <w:ind w:left="426"/>
        <w:jc w:val="both"/>
        <w:rPr>
          <w:i/>
          <w:szCs w:val="20"/>
        </w:rPr>
      </w:pPr>
      <w:r>
        <w:rPr>
          <w:i/>
          <w:szCs w:val="20"/>
        </w:rPr>
        <w:t xml:space="preserve">* Categorise study design, for example meta-analysis, randomised trials, non-randomised trial or observational study, study of diagnostic accuracy, etc. </w:t>
      </w:r>
    </w:p>
    <w:p w14:paraId="165D3BAB" w14:textId="77777777" w:rsidR="004C49EF" w:rsidRDefault="004C49EF" w:rsidP="00767E24">
      <w:pPr>
        <w:spacing w:before="0" w:after="0"/>
        <w:ind w:left="426"/>
        <w:jc w:val="both"/>
        <w:rPr>
          <w:i/>
          <w:szCs w:val="20"/>
        </w:rPr>
      </w:pPr>
      <w:r>
        <w:rPr>
          <w:i/>
          <w:szCs w:val="20"/>
        </w:rPr>
        <w:t xml:space="preserve">**Provide </w:t>
      </w:r>
      <w:proofErr w:type="gramStart"/>
      <w:r>
        <w:rPr>
          <w:i/>
          <w:szCs w:val="20"/>
        </w:rPr>
        <w:t>high level</w:t>
      </w:r>
      <w:proofErr w:type="gramEnd"/>
      <w:r>
        <w:rPr>
          <w:i/>
          <w:szCs w:val="20"/>
        </w:rPr>
        <w:t xml:space="preserve"> information including population numbers and whether patients are being recruited or in post-recruitment.</w:t>
      </w:r>
    </w:p>
    <w:p w14:paraId="139F7CAD" w14:textId="30D382A4" w:rsidR="00DD308E" w:rsidRDefault="004C49EF" w:rsidP="00767E24">
      <w:pPr>
        <w:spacing w:before="0" w:after="0"/>
        <w:ind w:left="426"/>
        <w:jc w:val="both"/>
        <w:rPr>
          <w:b/>
          <w:sz w:val="32"/>
          <w:szCs w:val="32"/>
        </w:rPr>
        <w:sectPr w:rsidR="00DD308E" w:rsidSect="00DD308E">
          <w:pgSz w:w="16838" w:h="11906" w:orient="landscape"/>
          <w:pgMar w:top="1440" w:right="1440" w:bottom="1440" w:left="1440" w:header="708" w:footer="708" w:gutter="0"/>
          <w:cols w:space="708"/>
          <w:docGrid w:linePitch="360"/>
        </w:sectPr>
      </w:pPr>
      <w:r w:rsidRPr="00E82F54">
        <w:rPr>
          <w:i/>
          <w:szCs w:val="20"/>
        </w:rPr>
        <w:t>*</w:t>
      </w:r>
      <w:r>
        <w:rPr>
          <w:szCs w:val="20"/>
        </w:rPr>
        <w:t>**</w:t>
      </w:r>
      <w:r w:rsidRPr="00E82F54">
        <w:rPr>
          <w:i/>
          <w:szCs w:val="20"/>
        </w:rPr>
        <w:t xml:space="preserve">Date of when results </w:t>
      </w:r>
      <w:proofErr w:type="gramStart"/>
      <w:r>
        <w:rPr>
          <w:i/>
          <w:szCs w:val="20"/>
        </w:rPr>
        <w:t>will be</w:t>
      </w:r>
      <w:r w:rsidRPr="00E82F54">
        <w:rPr>
          <w:i/>
          <w:szCs w:val="20"/>
        </w:rPr>
        <w:t xml:space="preserve"> made</w:t>
      </w:r>
      <w:proofErr w:type="gramEnd"/>
      <w:r w:rsidRPr="00E82F54">
        <w:rPr>
          <w:i/>
          <w:szCs w:val="20"/>
        </w:rPr>
        <w:t xml:space="preserve"> available</w:t>
      </w:r>
      <w:r>
        <w:rPr>
          <w:i/>
          <w:szCs w:val="20"/>
        </w:rPr>
        <w:t xml:space="preserve"> (to the best of your knowledge)</w:t>
      </w:r>
      <w:r w:rsidRPr="00E82F54">
        <w:rPr>
          <w:i/>
          <w:szCs w:val="20"/>
        </w:rPr>
        <w:t>.</w:t>
      </w:r>
      <w:r w:rsidR="00F301F1">
        <w:rPr>
          <w:b/>
          <w:sz w:val="32"/>
          <w:szCs w:val="32"/>
        </w:rPr>
        <w:br w:type="page"/>
      </w:r>
    </w:p>
    <w:p w14:paraId="687EB5D6" w14:textId="77777777" w:rsidR="00E82F54" w:rsidRPr="00C776B1" w:rsidRDefault="005C3AE7" w:rsidP="00767E24">
      <w:pPr>
        <w:pStyle w:val="Heading1"/>
        <w:jc w:val="both"/>
      </w:pPr>
      <w:r>
        <w:lastRenderedPageBreak/>
        <w:t>PART 5</w:t>
      </w:r>
      <w:r w:rsidR="00F93784">
        <w:t xml:space="preserve"> – </w:t>
      </w:r>
      <w:r w:rsidR="00E82F54" w:rsidRPr="00C776B1">
        <w:t>CLINICAL ENDORSEMENT AND CONSUMER INFORMATION</w:t>
      </w:r>
    </w:p>
    <w:p w14:paraId="6012CD66" w14:textId="77777777" w:rsidR="00E82F54" w:rsidRDefault="00E82F54" w:rsidP="00767E24">
      <w:pPr>
        <w:pStyle w:val="Heading2"/>
        <w:jc w:val="both"/>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4C5EA928" w14:textId="433A0ABE" w:rsidR="0055531C" w:rsidRDefault="0055531C" w:rsidP="00767E24">
      <w:pPr>
        <w:ind w:left="426"/>
        <w:jc w:val="both"/>
      </w:pPr>
      <w:r>
        <w:t>The Royal College of Pathologist</w:t>
      </w:r>
      <w:r w:rsidR="00A37E44">
        <w:t>s</w:t>
      </w:r>
      <w:r>
        <w:t xml:space="preserve"> of Australasia</w:t>
      </w:r>
      <w:r w:rsidR="00A37E44">
        <w:t xml:space="preserve"> (RCPA)</w:t>
      </w:r>
      <w:r w:rsidR="00552C71">
        <w:t xml:space="preserve">. Roche have approached RCPA and have yet to receive a response. Roche recommends that </w:t>
      </w:r>
      <w:r w:rsidR="00156235">
        <w:t>the Department</w:t>
      </w:r>
      <w:r w:rsidR="00552C71">
        <w:t xml:space="preserve"> approach them directly.</w:t>
      </w:r>
    </w:p>
    <w:p w14:paraId="2CBF3B53" w14:textId="699F4816" w:rsidR="00A727B6" w:rsidRPr="00A727B6" w:rsidRDefault="00A37E44" w:rsidP="00767E24">
      <w:pPr>
        <w:ind w:left="426"/>
        <w:jc w:val="both"/>
      </w:pPr>
      <w:r>
        <w:t>Medical Oncology Group of Australia (MOGA)</w:t>
      </w:r>
      <w:r w:rsidR="00552C71">
        <w:t xml:space="preserve">. A letter of clinical relevance </w:t>
      </w:r>
      <w:proofErr w:type="gramStart"/>
      <w:r w:rsidR="00552C71">
        <w:t>has been sent</w:t>
      </w:r>
      <w:proofErr w:type="gramEnd"/>
      <w:r w:rsidR="00552C71">
        <w:t xml:space="preserve"> to the Department independent of this application.</w:t>
      </w:r>
    </w:p>
    <w:p w14:paraId="3F53A2F6" w14:textId="1E633DB1" w:rsidR="00EA173C" w:rsidRPr="00154B00" w:rsidRDefault="00EA173C" w:rsidP="00767E24">
      <w:pPr>
        <w:pStyle w:val="Heading2"/>
        <w:jc w:val="both"/>
      </w:pPr>
      <w:r w:rsidRPr="00154B00">
        <w:t xml:space="preserve">List </w:t>
      </w:r>
      <w:r>
        <w:t xml:space="preserve">any </w:t>
      </w:r>
      <w:r w:rsidRPr="00A727B6">
        <w:t>professional</w:t>
      </w:r>
      <w:r>
        <w:t xml:space="preserve"> bodies / organisations that </w:t>
      </w:r>
      <w:proofErr w:type="gramStart"/>
      <w:r>
        <w:t>may be impacted</w:t>
      </w:r>
      <w:proofErr w:type="gramEnd"/>
      <w:r>
        <w:t xml:space="preserve"> by this medical service</w:t>
      </w:r>
      <w:r w:rsidR="00F93784">
        <w:t xml:space="preserve"> (i.e. those who provide the comparator service)</w:t>
      </w:r>
      <w:r w:rsidR="00197D29">
        <w:t>:</w:t>
      </w:r>
      <w:r w:rsidR="0055531C">
        <w:t xml:space="preserve"> </w:t>
      </w:r>
    </w:p>
    <w:p w14:paraId="069F9FF9" w14:textId="5D9D302E" w:rsidR="00EA173C" w:rsidRDefault="00135BF5" w:rsidP="00767E24">
      <w:pPr>
        <w:ind w:left="426"/>
        <w:jc w:val="both"/>
      </w:pPr>
      <w:r>
        <w:t>MOGA and RCPA</w:t>
      </w:r>
      <w:r w:rsidR="00163F94">
        <w:t>.</w:t>
      </w:r>
    </w:p>
    <w:p w14:paraId="34C8B673" w14:textId="77777777" w:rsidR="00E82F54" w:rsidRDefault="00E82F54" w:rsidP="00767E24">
      <w:pPr>
        <w:pStyle w:val="Heading2"/>
        <w:jc w:val="both"/>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130C2CF3" w14:textId="77777777" w:rsidR="0055531C" w:rsidRDefault="0055531C" w:rsidP="00767E24">
      <w:pPr>
        <w:ind w:left="360"/>
        <w:jc w:val="both"/>
      </w:pPr>
      <w:r>
        <w:t xml:space="preserve">The Breast Cancer Network of Australia </w:t>
      </w:r>
      <w:r w:rsidR="00AD657B">
        <w:t xml:space="preserve">(BCNA). </w:t>
      </w:r>
    </w:p>
    <w:p w14:paraId="55253194" w14:textId="77777777" w:rsidR="00AD657B" w:rsidRPr="00AD657B" w:rsidRDefault="00AD657B" w:rsidP="00767E24">
      <w:pPr>
        <w:ind w:left="357"/>
        <w:jc w:val="both"/>
      </w:pPr>
      <w:r w:rsidRPr="00AD657B">
        <w:t>BCNA is the peak national organisation for Australians affected by breast cancer, and consists of a network of more than 120,000 members and 288 Member Grou</w:t>
      </w:r>
      <w:r>
        <w:t>ps. More than 90 per cent of</w:t>
      </w:r>
      <w:r w:rsidRPr="00AD657B">
        <w:t xml:space="preserve"> members have had a diagnosis of breast cancer.</w:t>
      </w:r>
      <w:r>
        <w:t xml:space="preserve">  </w:t>
      </w:r>
      <w:r w:rsidRPr="00AD657B">
        <w:t>BCNA works to ensure that Australians affected by breast cancer receive the very best support, information, treatment and care appropriate to their individual needs</w:t>
      </w:r>
      <w:r>
        <w:t>.</w:t>
      </w:r>
    </w:p>
    <w:p w14:paraId="0EEBE9AA" w14:textId="5D4393FC" w:rsidR="00AD657B" w:rsidRPr="0055531C" w:rsidRDefault="00AD657B" w:rsidP="00767E24">
      <w:pPr>
        <w:ind w:left="360"/>
        <w:jc w:val="both"/>
      </w:pPr>
      <w:r w:rsidRPr="00DB3583">
        <w:t xml:space="preserve">A letter of support from BCNA </w:t>
      </w:r>
      <w:proofErr w:type="gramStart"/>
      <w:r w:rsidRPr="00DB3583">
        <w:t>is attached</w:t>
      </w:r>
      <w:proofErr w:type="gramEnd"/>
      <w:r w:rsidRPr="00DB3583">
        <w:t xml:space="preserve"> to this application</w:t>
      </w:r>
      <w:r w:rsidR="002111FD" w:rsidRPr="00DB3583">
        <w:t>.</w:t>
      </w:r>
    </w:p>
    <w:p w14:paraId="5AE424D9" w14:textId="54C5278D" w:rsidR="003433D1" w:rsidRDefault="003433D1" w:rsidP="00767E24">
      <w:pPr>
        <w:pStyle w:val="Heading2"/>
        <w:jc w:val="both"/>
      </w:pPr>
      <w:r>
        <w:t xml:space="preserve">List the relevant </w:t>
      </w:r>
      <w:r w:rsidRPr="00EE6450">
        <w:t>sponsor</w:t>
      </w:r>
      <w:r>
        <w:t xml:space="preserve">(s) and / or manufacturer(s) who produce similar products relevant </w:t>
      </w:r>
      <w:r w:rsidR="00197D29">
        <w:t>to the proposed medical service:</w:t>
      </w:r>
    </w:p>
    <w:p w14:paraId="603629D3" w14:textId="7FBA3A1E" w:rsidR="00E818A2" w:rsidRPr="00E818A2" w:rsidRDefault="002111FD" w:rsidP="00767E24">
      <w:pPr>
        <w:ind w:left="426"/>
        <w:jc w:val="both"/>
      </w:pPr>
      <w:r>
        <w:t>T</w:t>
      </w:r>
      <w:r w:rsidR="008F5D89" w:rsidRPr="00E818A2">
        <w:t>here are</w:t>
      </w:r>
      <w:r>
        <w:t xml:space="preserve"> currently</w:t>
      </w:r>
      <w:r w:rsidR="008F5D89" w:rsidRPr="00E818A2">
        <w:t xml:space="preserve"> no PD-L1 tests listed on the MBS</w:t>
      </w:r>
      <w:r>
        <w:t xml:space="preserve"> for patients with TNBC</w:t>
      </w:r>
      <w:r w:rsidR="008F5D89" w:rsidRPr="00E818A2">
        <w:t>. However, MSAC/PBAC recently recommended a new MBS item for the ICH testing of PD</w:t>
      </w:r>
      <w:r w:rsidR="008F5D89" w:rsidRPr="00E818A2">
        <w:noBreakHyphen/>
        <w:t>L1 expression to help determine eligibility for PBS</w:t>
      </w:r>
      <w:r w:rsidR="00156235">
        <w:noBreakHyphen/>
      </w:r>
      <w:r w:rsidR="008F5D89" w:rsidRPr="00E818A2">
        <w:t>subsidised pembrolizumab in patients with locally advanced or metastatic NSCLC.</w:t>
      </w:r>
      <w:r>
        <w:t xml:space="preserve"> Both therapeutic goods </w:t>
      </w:r>
      <w:proofErr w:type="gramStart"/>
      <w:r>
        <w:t>were listed</w:t>
      </w:r>
      <w:proofErr w:type="gramEnd"/>
      <w:r>
        <w:t xml:space="preserve"> on respective schemes on 1 November 2018.</w:t>
      </w:r>
    </w:p>
    <w:p w14:paraId="3410C194" w14:textId="3F1BE938" w:rsidR="008F5D89" w:rsidRPr="00E818A2" w:rsidRDefault="00E818A2" w:rsidP="00767E24">
      <w:pPr>
        <w:ind w:left="426"/>
        <w:jc w:val="both"/>
      </w:pPr>
      <w:r w:rsidRPr="00E818A2">
        <w:t xml:space="preserve">In addition to the </w:t>
      </w:r>
      <w:r w:rsidR="006A3D40">
        <w:t xml:space="preserve">Roche/Ventana </w:t>
      </w:r>
      <w:r w:rsidRPr="00E818A2">
        <w:t xml:space="preserve">SP142 PD-L1 assay, there are a number of tests commercially available in Australia. The main assays are: </w:t>
      </w:r>
    </w:p>
    <w:p w14:paraId="02BF8CC8" w14:textId="2638856C" w:rsidR="00DD44D0" w:rsidRPr="008F5D89" w:rsidRDefault="006A3D40" w:rsidP="00767E24">
      <w:pPr>
        <w:ind w:left="426"/>
        <w:jc w:val="both"/>
      </w:pPr>
      <w:r>
        <w:t>MSD/</w:t>
      </w:r>
      <w:r w:rsidR="008F5D89" w:rsidRPr="008F5D89">
        <w:t xml:space="preserve">Dako </w:t>
      </w:r>
      <w:r w:rsidR="00DD44D0" w:rsidRPr="008F5D89">
        <w:t xml:space="preserve">PD-L1 22C3 pharmDx </w:t>
      </w:r>
      <w:r w:rsidR="0079205A">
        <w:t>assay</w:t>
      </w:r>
      <w:r w:rsidR="002111FD">
        <w:t>;</w:t>
      </w:r>
    </w:p>
    <w:p w14:paraId="6AF08D70" w14:textId="6798EBAD" w:rsidR="008F5D89" w:rsidRDefault="008F5D89" w:rsidP="00767E24">
      <w:pPr>
        <w:ind w:left="426"/>
        <w:jc w:val="both"/>
        <w:rPr>
          <w:lang w:val="it-IT"/>
        </w:rPr>
      </w:pPr>
      <w:r w:rsidRPr="008F5D89">
        <w:rPr>
          <w:lang w:val="it-IT"/>
        </w:rPr>
        <w:t>Roche/Ventana SP263 PD-L1 IHC assay</w:t>
      </w:r>
      <w:r w:rsidR="0091668E">
        <w:rPr>
          <w:lang w:val="it-IT"/>
        </w:rPr>
        <w:t>.</w:t>
      </w:r>
      <w:r w:rsidRPr="008F5D89">
        <w:rPr>
          <w:lang w:val="it-IT"/>
        </w:rPr>
        <w:t xml:space="preserve"> </w:t>
      </w:r>
    </w:p>
    <w:p w14:paraId="27AC49C1" w14:textId="244BB51F" w:rsidR="008F5D89" w:rsidRPr="008F5D89" w:rsidRDefault="008F5D89" w:rsidP="00767E24">
      <w:pPr>
        <w:ind w:left="426"/>
        <w:jc w:val="both"/>
        <w:rPr>
          <w:lang w:val="it-IT"/>
        </w:rPr>
      </w:pPr>
    </w:p>
    <w:p w14:paraId="4FE6A6C9" w14:textId="325A99E5" w:rsidR="00A96329" w:rsidRDefault="00E82F54" w:rsidP="00767E24">
      <w:pPr>
        <w:pStyle w:val="Heading2"/>
        <w:jc w:val="both"/>
      </w:pPr>
      <w:r w:rsidRPr="00154B00">
        <w:t xml:space="preserve">Nominate two experts who </w:t>
      </w:r>
      <w:proofErr w:type="gramStart"/>
      <w:r w:rsidRPr="00154B00">
        <w:t>could be approached</w:t>
      </w:r>
      <w:proofErr w:type="gramEnd"/>
      <w:r w:rsidRPr="00154B00">
        <w:t xml:space="preserve"> about the proposed medical service and the current clinical management of the service(s):</w:t>
      </w:r>
      <w:r w:rsidR="0055531C">
        <w:t xml:space="preserve"> </w:t>
      </w:r>
    </w:p>
    <w:p w14:paraId="5E994283" w14:textId="5F1EF9CE" w:rsidR="00987ABE" w:rsidRPr="00987ABE" w:rsidRDefault="00987ABE" w:rsidP="00767E24">
      <w:pPr>
        <w:ind w:left="426"/>
        <w:jc w:val="both"/>
        <w:rPr>
          <w:szCs w:val="20"/>
        </w:rPr>
      </w:pPr>
      <w:r>
        <w:rPr>
          <w:szCs w:val="20"/>
        </w:rPr>
        <w:t xml:space="preserve">Name of expert 1: </w:t>
      </w:r>
      <w:r w:rsidR="006C64A8">
        <w:rPr>
          <w:szCs w:val="20"/>
        </w:rPr>
        <w:t>Redacted</w:t>
      </w:r>
    </w:p>
    <w:p w14:paraId="38997F18" w14:textId="56C863CE" w:rsidR="00987ABE" w:rsidRPr="00987ABE" w:rsidRDefault="006C64A8" w:rsidP="00767E24">
      <w:pPr>
        <w:ind w:left="426"/>
        <w:jc w:val="both"/>
        <w:rPr>
          <w:szCs w:val="20"/>
        </w:rPr>
      </w:pPr>
      <w:r>
        <w:rPr>
          <w:szCs w:val="20"/>
        </w:rPr>
        <w:t>Telephone number(s): Redacted</w:t>
      </w:r>
    </w:p>
    <w:p w14:paraId="73AD9DF2" w14:textId="796C6B94" w:rsidR="00987ABE" w:rsidRPr="00987ABE" w:rsidRDefault="00987ABE" w:rsidP="00767E24">
      <w:pPr>
        <w:ind w:left="426"/>
        <w:jc w:val="both"/>
        <w:rPr>
          <w:szCs w:val="20"/>
        </w:rPr>
      </w:pPr>
      <w:r>
        <w:rPr>
          <w:szCs w:val="20"/>
        </w:rPr>
        <w:t xml:space="preserve">Email address: </w:t>
      </w:r>
      <w:r w:rsidR="006C64A8">
        <w:t>Redacted</w:t>
      </w:r>
    </w:p>
    <w:p w14:paraId="66915222" w14:textId="5A66A5B9" w:rsidR="00987ABE" w:rsidRPr="00987ABE" w:rsidRDefault="00987ABE" w:rsidP="00767E24">
      <w:pPr>
        <w:ind w:left="426"/>
        <w:jc w:val="both"/>
        <w:rPr>
          <w:szCs w:val="20"/>
        </w:rPr>
      </w:pPr>
      <w:r>
        <w:rPr>
          <w:szCs w:val="20"/>
        </w:rPr>
        <w:t xml:space="preserve">Justification of expertise: </w:t>
      </w:r>
      <w:r w:rsidR="0073293F" w:rsidRPr="0073293F">
        <w:rPr>
          <w:szCs w:val="20"/>
        </w:rPr>
        <w:t>Internationally recognised Professor in the field of molecular pa</w:t>
      </w:r>
      <w:r w:rsidR="006C64A8">
        <w:rPr>
          <w:szCs w:val="20"/>
        </w:rPr>
        <w:t>thology in cancer. Redacted</w:t>
      </w:r>
      <w:r w:rsidR="0073293F" w:rsidRPr="0073293F">
        <w:rPr>
          <w:szCs w:val="20"/>
        </w:rPr>
        <w:t xml:space="preserve"> sits on many pharmaceutical advisory boards for breast, lung and some gastroi</w:t>
      </w:r>
      <w:r w:rsidR="006C64A8">
        <w:rPr>
          <w:szCs w:val="20"/>
        </w:rPr>
        <w:t>ntestinal tumours. Redacted</w:t>
      </w:r>
      <w:r w:rsidR="0073293F" w:rsidRPr="0073293F">
        <w:rPr>
          <w:szCs w:val="20"/>
        </w:rPr>
        <w:t xml:space="preserve"> has research collaborations both nationally and internationally on novel markers and pathways implicated in particular areas of tumour development.</w:t>
      </w:r>
    </w:p>
    <w:p w14:paraId="7008E10D" w14:textId="77777777" w:rsidR="00987ABE" w:rsidRPr="00987ABE" w:rsidRDefault="00987ABE" w:rsidP="00767E24">
      <w:pPr>
        <w:ind w:left="426"/>
        <w:jc w:val="both"/>
        <w:rPr>
          <w:szCs w:val="20"/>
        </w:rPr>
      </w:pPr>
    </w:p>
    <w:p w14:paraId="1FAEB5D9" w14:textId="78F9AFA1" w:rsidR="00987ABE" w:rsidRPr="00987ABE" w:rsidRDefault="00987ABE" w:rsidP="00767E24">
      <w:pPr>
        <w:ind w:left="426"/>
        <w:jc w:val="both"/>
        <w:rPr>
          <w:szCs w:val="20"/>
        </w:rPr>
      </w:pPr>
      <w:r>
        <w:rPr>
          <w:szCs w:val="20"/>
        </w:rPr>
        <w:t xml:space="preserve">Name of expert 2: </w:t>
      </w:r>
      <w:r w:rsidR="006C64A8">
        <w:t>Redacted</w:t>
      </w:r>
    </w:p>
    <w:p w14:paraId="0C82FEB5" w14:textId="00223B5D" w:rsidR="00987ABE" w:rsidRPr="00987ABE" w:rsidRDefault="00987ABE" w:rsidP="00767E24">
      <w:pPr>
        <w:ind w:left="426"/>
        <w:jc w:val="both"/>
        <w:rPr>
          <w:szCs w:val="20"/>
        </w:rPr>
      </w:pPr>
      <w:r>
        <w:rPr>
          <w:szCs w:val="20"/>
        </w:rPr>
        <w:t xml:space="preserve">Telephone number(s): </w:t>
      </w:r>
      <w:r w:rsidR="006C64A8">
        <w:rPr>
          <w:szCs w:val="20"/>
        </w:rPr>
        <w:t>Redacted</w:t>
      </w:r>
    </w:p>
    <w:p w14:paraId="18721410" w14:textId="69CF5D29" w:rsidR="00987ABE" w:rsidRPr="00987ABE" w:rsidRDefault="00987ABE" w:rsidP="00767E24">
      <w:pPr>
        <w:ind w:left="426"/>
        <w:jc w:val="both"/>
        <w:rPr>
          <w:szCs w:val="20"/>
        </w:rPr>
      </w:pPr>
      <w:r>
        <w:rPr>
          <w:szCs w:val="20"/>
        </w:rPr>
        <w:lastRenderedPageBreak/>
        <w:t xml:space="preserve">Email address: </w:t>
      </w:r>
      <w:r w:rsidR="006C64A8">
        <w:t>Redacted</w:t>
      </w:r>
    </w:p>
    <w:p w14:paraId="6B786707" w14:textId="09AB5D04" w:rsidR="00E82F54" w:rsidRPr="00154B00" w:rsidRDefault="00987ABE" w:rsidP="00767E24">
      <w:pPr>
        <w:ind w:left="426"/>
        <w:jc w:val="both"/>
        <w:rPr>
          <w:szCs w:val="20"/>
        </w:rPr>
      </w:pPr>
      <w:r>
        <w:rPr>
          <w:szCs w:val="20"/>
        </w:rPr>
        <w:t>Justification of expertise:</w:t>
      </w:r>
      <w:r w:rsidR="003857DC">
        <w:rPr>
          <w:szCs w:val="20"/>
        </w:rPr>
        <w:t xml:space="preserve"> Redacted</w:t>
      </w:r>
      <w:r w:rsidR="0073293F" w:rsidRPr="0073293F">
        <w:rPr>
          <w:szCs w:val="20"/>
        </w:rPr>
        <w:t xml:space="preserve"> internationally recognised breast </w:t>
      </w:r>
      <w:r w:rsidR="006C64A8">
        <w:rPr>
          <w:szCs w:val="20"/>
        </w:rPr>
        <w:t>cancer specialist. Redacted</w:t>
      </w:r>
      <w:r w:rsidR="0073293F" w:rsidRPr="0073293F">
        <w:rPr>
          <w:szCs w:val="20"/>
        </w:rPr>
        <w:t xml:space="preserve"> was on the global independent steering committee </w:t>
      </w:r>
      <w:r w:rsidR="003857DC">
        <w:rPr>
          <w:szCs w:val="20"/>
        </w:rPr>
        <w:t>redacted</w:t>
      </w:r>
      <w:r w:rsidR="0073293F" w:rsidRPr="002B0408">
        <w:rPr>
          <w:szCs w:val="20"/>
        </w:rPr>
        <w:t xml:space="preserve"> on the IM</w:t>
      </w:r>
      <w:r w:rsidR="002B0408">
        <w:rPr>
          <w:szCs w:val="20"/>
        </w:rPr>
        <w:t>p</w:t>
      </w:r>
      <w:r w:rsidR="0073293F" w:rsidRPr="002B0408">
        <w:rPr>
          <w:szCs w:val="20"/>
        </w:rPr>
        <w:t>assion130 clinical trial.</w:t>
      </w:r>
      <w:r w:rsidR="0073293F" w:rsidRPr="0073293F">
        <w:rPr>
          <w:szCs w:val="20"/>
        </w:rPr>
        <w:t> </w:t>
      </w:r>
    </w:p>
    <w:p w14:paraId="051560BF" w14:textId="77777777" w:rsidR="00987ABE" w:rsidRDefault="00987ABE" w:rsidP="00767E24">
      <w:pPr>
        <w:ind w:left="426"/>
        <w:jc w:val="both"/>
        <w:rPr>
          <w:i/>
          <w:szCs w:val="20"/>
        </w:rPr>
      </w:pPr>
    </w:p>
    <w:p w14:paraId="202D33C4" w14:textId="77777777" w:rsidR="00E82F54" w:rsidRPr="00154B00" w:rsidRDefault="00E82F54" w:rsidP="00767E24">
      <w:pPr>
        <w:ind w:left="426"/>
        <w:jc w:val="both"/>
        <w:rPr>
          <w:i/>
          <w:szCs w:val="20"/>
        </w:rPr>
      </w:pPr>
      <w:r w:rsidRPr="00154B00">
        <w:rPr>
          <w:i/>
          <w:szCs w:val="20"/>
        </w:rPr>
        <w:t>Please note that the Department may also consult with other referrers, proceduralists and disease specialists to obtain their insight.</w:t>
      </w:r>
    </w:p>
    <w:p w14:paraId="01279869" w14:textId="4C8A6337" w:rsidR="003433D1" w:rsidRDefault="003433D1" w:rsidP="00767E24">
      <w:pPr>
        <w:jc w:val="both"/>
        <w:rPr>
          <w:b/>
          <w:sz w:val="32"/>
          <w:szCs w:val="32"/>
        </w:rPr>
      </w:pPr>
    </w:p>
    <w:p w14:paraId="73AF0E85" w14:textId="77777777" w:rsidR="004357D6" w:rsidRDefault="004357D6">
      <w:pPr>
        <w:spacing w:before="0" w:after="200" w:line="276" w:lineRule="auto"/>
        <w:rPr>
          <w:bCs/>
          <w:color w:val="4F81BD" w:themeColor="accent1"/>
          <w:sz w:val="40"/>
          <w:szCs w:val="32"/>
        </w:rPr>
      </w:pPr>
      <w:r>
        <w:br w:type="page"/>
      </w:r>
    </w:p>
    <w:p w14:paraId="670E9C14" w14:textId="6899E9E6" w:rsidR="00E82F54" w:rsidRPr="00EA173C" w:rsidRDefault="00F93784" w:rsidP="00767E24">
      <w:pPr>
        <w:pStyle w:val="Heading1"/>
        <w:jc w:val="both"/>
      </w:pPr>
      <w:r>
        <w:lastRenderedPageBreak/>
        <w:t>PAR</w:t>
      </w:r>
      <w:r w:rsidR="005C3AE7">
        <w:t>T 6</w:t>
      </w:r>
      <w:r>
        <w:t xml:space="preserve"> – POPULATION</w:t>
      </w:r>
      <w:r w:rsidR="000525BC">
        <w:t xml:space="preserve"> (AND PRIOR TESTS)</w:t>
      </w:r>
      <w:r>
        <w:t>, INDICATION, COMPARATOR, OUTCOME (PICO)</w:t>
      </w:r>
    </w:p>
    <w:p w14:paraId="3686A45A" w14:textId="77777777" w:rsidR="0021185D" w:rsidRPr="005C3AE7" w:rsidRDefault="005C3AE7" w:rsidP="00767E24">
      <w:pPr>
        <w:pStyle w:val="Subtitle"/>
        <w:jc w:val="both"/>
      </w:pPr>
      <w:r w:rsidRPr="005C3AE7">
        <w:t xml:space="preserve">PART 6a – </w:t>
      </w:r>
      <w:r w:rsidR="0021185D" w:rsidRPr="005C3AE7">
        <w:t>INFORMATION ABOUT THE PROPOSED POPULATION</w:t>
      </w:r>
    </w:p>
    <w:p w14:paraId="665BE403" w14:textId="77777777" w:rsidR="0021185D" w:rsidRPr="00A96329" w:rsidRDefault="0021185D" w:rsidP="00767E24">
      <w:pPr>
        <w:pStyle w:val="Heading2"/>
        <w:jc w:val="both"/>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50663337" w14:textId="20F9452C" w:rsidR="0019084A" w:rsidRDefault="004C3F77" w:rsidP="00767E24">
      <w:pPr>
        <w:ind w:left="360"/>
        <w:jc w:val="both"/>
        <w:rPr>
          <w:rFonts w:eastAsia="Times New Roman" w:cs="Arial"/>
          <w:szCs w:val="18"/>
        </w:rPr>
      </w:pPr>
      <w:r>
        <w:rPr>
          <w:rFonts w:eastAsia="Times New Roman" w:cs="Arial"/>
          <w:szCs w:val="18"/>
        </w:rPr>
        <w:t>Breast cancer is the most frequently diagnosed cancer among women and</w:t>
      </w:r>
      <w:r w:rsidR="00001C18">
        <w:rPr>
          <w:rFonts w:eastAsia="Times New Roman" w:cs="Arial"/>
          <w:szCs w:val="18"/>
        </w:rPr>
        <w:t xml:space="preserve"> is</w:t>
      </w:r>
      <w:r>
        <w:rPr>
          <w:rFonts w:eastAsia="Times New Roman" w:cs="Arial"/>
          <w:szCs w:val="18"/>
        </w:rPr>
        <w:t xml:space="preserve"> the leading cause of cancer</w:t>
      </w:r>
      <w:r>
        <w:rPr>
          <w:rFonts w:eastAsia="Times New Roman" w:cs="Arial"/>
          <w:szCs w:val="18"/>
        </w:rPr>
        <w:noBreakHyphen/>
        <w:t xml:space="preserve">related deaths in women worldwide. In 2012, almost 1.7 million new breast cancer cases were diagnosed (25% of all cancers in women) and 521,900 deaths were estimated to have occurred </w:t>
      </w:r>
      <w:r>
        <w:rPr>
          <w:rFonts w:eastAsia="Times New Roman" w:cs="Arial"/>
          <w:szCs w:val="18"/>
        </w:rPr>
        <w:fldChar w:fldCharType="begin"/>
      </w:r>
      <w:r>
        <w:rPr>
          <w:rFonts w:eastAsia="Times New Roman" w:cs="Arial"/>
          <w:szCs w:val="18"/>
        </w:rPr>
        <w:instrText xml:space="preserve"> ADDIN EN.CITE &lt;EndNote&gt;&lt;Cite&gt;&lt;Author&gt;DeSantis&lt;/Author&gt;&lt;Year&gt;2015&lt;/Year&gt;&lt;RecNum&gt;3&lt;/RecNum&gt;&lt;DisplayText&gt;(1, 2)&lt;/DisplayText&gt;&lt;record&gt;&lt;rec-number&gt;3&lt;/rec-number&gt;&lt;foreign-keys&gt;&lt;key app="EN" db-id="e052e5x9tdfxzhe2zrlvfszipszset9005xv" timestamp="1539142928"&gt;3&lt;/key&gt;&lt;/foreign-keys&gt;&lt;ref-type name="Journal Article"&gt;17&lt;/ref-type&gt;&lt;contributors&gt;&lt;authors&gt;&lt;author&gt;DeSantis, C&lt;/author&gt;&lt;author&gt;Bray, F&lt;/author&gt;&lt;author&gt;Ferla, J&lt;/author&gt;&lt;author&gt;et al.,&lt;/author&gt;&lt;/authors&gt;&lt;/contributors&gt;&lt;titles&gt;&lt;title&gt;International variation in female breast cancer incidence and mortality rates&lt;/title&gt;&lt;secondary-title&gt;American Association for Cancer Research&lt;/secondary-title&gt;&lt;/titles&gt;&lt;periodical&gt;&lt;full-title&gt;American Association for Cancer Research&lt;/full-title&gt;&lt;/periodical&gt;&lt;volume&gt;24&lt;/volume&gt;&lt;number&gt;10&lt;/number&gt;&lt;dates&gt;&lt;year&gt;2015&lt;/year&gt;&lt;/dates&gt;&lt;urls&gt;&lt;/urls&gt;&lt;/record&gt;&lt;/Cite&gt;&lt;Cite&gt;&lt;Author&gt;Ferlay&lt;/Author&gt;&lt;Year&gt;2015&lt;/Year&gt;&lt;RecNum&gt;5&lt;/RecNum&gt;&lt;record&gt;&lt;rec-number&gt;5&lt;/rec-number&gt;&lt;foreign-keys&gt;&lt;key app="EN" db-id="e052e5x9tdfxzhe2zrlvfszipszset9005xv" timestamp="1539143449"&gt;5&lt;/key&gt;&lt;/foreign-keys&gt;&lt;ref-type name="Journal Article"&gt;17&lt;/ref-type&gt;&lt;contributors&gt;&lt;authors&gt;&lt;author&gt;Ferlay, J&lt;/author&gt;&lt;author&gt;Soerjomataram, I&lt;/author&gt;&lt;author&gt;Dikshit, R&lt;/author&gt;&lt;author&gt;et al.,&lt;/author&gt;&lt;/authors&gt;&lt;/contributors&gt;&lt;titles&gt;&lt;title&gt;Cancer incidence and mortality worldwide: sources, methods and major patterns in GLOBOCAN 2012&lt;/title&gt;&lt;secondary-title&gt;International Journal of Cancer&lt;/secondary-title&gt;&lt;/titles&gt;&lt;periodical&gt;&lt;full-title&gt;International Journal of Cancer&lt;/full-title&gt;&lt;/periodical&gt;&lt;volume&gt;136&lt;/volume&gt;&lt;number&gt;E359-E386&lt;/number&gt;&lt;dates&gt;&lt;year&gt;2015&lt;/year&gt;&lt;/dates&gt;&lt;urls&gt;&lt;/urls&gt;&lt;/record&gt;&lt;/Cite&gt;&lt;/EndNote&gt;</w:instrText>
      </w:r>
      <w:r>
        <w:rPr>
          <w:rFonts w:eastAsia="Times New Roman" w:cs="Arial"/>
          <w:szCs w:val="18"/>
        </w:rPr>
        <w:fldChar w:fldCharType="separate"/>
      </w:r>
      <w:r>
        <w:rPr>
          <w:rFonts w:eastAsia="Times New Roman" w:cs="Arial"/>
          <w:noProof/>
          <w:szCs w:val="18"/>
        </w:rPr>
        <w:t>(1, 2)</w:t>
      </w:r>
      <w:r>
        <w:rPr>
          <w:rFonts w:eastAsia="Times New Roman" w:cs="Arial"/>
          <w:szCs w:val="18"/>
        </w:rPr>
        <w:fldChar w:fldCharType="end"/>
      </w:r>
      <w:r>
        <w:rPr>
          <w:rFonts w:eastAsia="Times New Roman" w:cs="Arial"/>
          <w:szCs w:val="18"/>
        </w:rPr>
        <w:t xml:space="preserve">. </w:t>
      </w:r>
    </w:p>
    <w:p w14:paraId="685B023E" w14:textId="42E76C20" w:rsidR="0019084A" w:rsidRDefault="004C3F77" w:rsidP="00767E24">
      <w:pPr>
        <w:ind w:left="360"/>
        <w:jc w:val="both"/>
        <w:rPr>
          <w:rFonts w:eastAsia="Times New Roman" w:cs="Arial"/>
          <w:szCs w:val="18"/>
        </w:rPr>
      </w:pPr>
      <w:r>
        <w:rPr>
          <w:rFonts w:eastAsia="Times New Roman" w:cs="Arial"/>
          <w:szCs w:val="18"/>
        </w:rPr>
        <w:t>Triple</w:t>
      </w:r>
      <w:r>
        <w:rPr>
          <w:rFonts w:eastAsia="Times New Roman" w:cs="Arial"/>
          <w:szCs w:val="18"/>
        </w:rPr>
        <w:noBreakHyphen/>
        <w:t xml:space="preserve">negative breast cancer, a distinct phenotype of breast cancer with the worst prognosis, is characterised immunohistologically by the lack of expression of hormonal receptors ER and PgR and lack of overexpression and/or amplification of the human epidermal growth factor receptor 2 (HER2)/NEU gene </w:t>
      </w:r>
      <w:r>
        <w:rPr>
          <w:rFonts w:eastAsia="Times New Roman" w:cs="Arial"/>
          <w:szCs w:val="18"/>
        </w:rPr>
        <w:fldChar w:fldCharType="begin"/>
      </w:r>
      <w:r>
        <w:rPr>
          <w:rFonts w:eastAsia="Times New Roman" w:cs="Arial"/>
          <w:szCs w:val="18"/>
        </w:rPr>
        <w:instrText xml:space="preserve"> ADDIN EN.CITE &lt;EndNote&gt;&lt;Cite&gt;&lt;Author&gt;Dent&lt;/Author&gt;&lt;Year&gt;2007&lt;/Year&gt;&lt;RecNum&gt;4&lt;/RecNum&gt;&lt;DisplayText&gt;(3)&lt;/DisplayText&gt;&lt;record&gt;&lt;rec-number&gt;4&lt;/rec-number&gt;&lt;foreign-keys&gt;&lt;key app="EN" db-id="e052e5x9tdfxzhe2zrlvfszipszset9005xv" timestamp="1539143278"&gt;4&lt;/key&gt;&lt;/foreign-keys&gt;&lt;ref-type name="Journal Article"&gt;17&lt;/ref-type&gt;&lt;contributors&gt;&lt;authors&gt;&lt;author&gt;Dent, R&lt;/author&gt;&lt;author&gt;Trudeau, M&lt;/author&gt;&lt;author&gt;Pritchard, K&lt;/author&gt;&lt;author&gt;et al.,&lt;/author&gt;&lt;/authors&gt;&lt;/contributors&gt;&lt;titles&gt;&lt;title&gt;Triple-negative breast cancer: clinical features and patterns of recurrence&lt;/title&gt;&lt;secondary-title&gt;Clinical Cancer Research&lt;/secondary-title&gt;&lt;/titles&gt;&lt;periodical&gt;&lt;full-title&gt;Clinical Cancer Research&lt;/full-title&gt;&lt;/periodical&gt;&lt;volume&gt;13&lt;/volume&gt;&lt;number&gt;15&lt;/number&gt;&lt;dates&gt;&lt;year&gt;2007&lt;/year&gt;&lt;/dates&gt;&lt;urls&gt;&lt;/urls&gt;&lt;/record&gt;&lt;/Cite&gt;&lt;/EndNote&gt;</w:instrText>
      </w:r>
      <w:r>
        <w:rPr>
          <w:rFonts w:eastAsia="Times New Roman" w:cs="Arial"/>
          <w:szCs w:val="18"/>
        </w:rPr>
        <w:fldChar w:fldCharType="separate"/>
      </w:r>
      <w:r>
        <w:rPr>
          <w:rFonts w:eastAsia="Times New Roman" w:cs="Arial"/>
          <w:noProof/>
          <w:szCs w:val="18"/>
        </w:rPr>
        <w:t>(3)</w:t>
      </w:r>
      <w:r>
        <w:rPr>
          <w:rFonts w:eastAsia="Times New Roman" w:cs="Arial"/>
          <w:szCs w:val="18"/>
        </w:rPr>
        <w:fldChar w:fldCharType="end"/>
      </w:r>
      <w:r>
        <w:rPr>
          <w:rFonts w:eastAsia="Times New Roman" w:cs="Arial"/>
          <w:szCs w:val="18"/>
        </w:rPr>
        <w:t>.</w:t>
      </w:r>
      <w:r w:rsidR="0019084A">
        <w:rPr>
          <w:rFonts w:eastAsia="Times New Roman" w:cs="Arial"/>
          <w:szCs w:val="18"/>
        </w:rPr>
        <w:t xml:space="preserve"> </w:t>
      </w:r>
      <w:r>
        <w:rPr>
          <w:rFonts w:eastAsia="Times New Roman" w:cs="Arial"/>
          <w:szCs w:val="18"/>
        </w:rPr>
        <w:t>Triple</w:t>
      </w:r>
      <w:r>
        <w:rPr>
          <w:rFonts w:eastAsia="Times New Roman" w:cs="Arial"/>
          <w:szCs w:val="18"/>
        </w:rPr>
        <w:noBreakHyphen/>
        <w:t xml:space="preserve">negative breast cancer accounts for between 12-20% of newly diagnosed breast cancer cases </w:t>
      </w:r>
      <w:r>
        <w:rPr>
          <w:rFonts w:eastAsia="Times New Roman" w:cs="Arial"/>
          <w:szCs w:val="18"/>
        </w:rPr>
        <w:fldChar w:fldCharType="begin"/>
      </w:r>
      <w:r w:rsidR="00C16522">
        <w:rPr>
          <w:rFonts w:eastAsia="Times New Roman" w:cs="Arial"/>
          <w:szCs w:val="18"/>
        </w:rPr>
        <w:instrText xml:space="preserve"> ADDIN EN.CITE &lt;EndNote&gt;&lt;Cite&gt;&lt;Author&gt;Chacon&lt;/Author&gt;&lt;Year&gt;2010&lt;/Year&gt;&lt;RecNum&gt;2&lt;/RecNum&gt;&lt;DisplayText&gt;(4, 5)&lt;/DisplayText&gt;&lt;record&gt;&lt;rec-number&gt;2&lt;/rec-number&gt;&lt;foreign-keys&gt;&lt;key app="EN" db-id="e052e5x9tdfxzhe2zrlvfszipszset9005xv" timestamp="1539142781"&gt;2&lt;/key&gt;&lt;/foreign-keys&gt;&lt;ref-type name="Journal Article"&gt;17&lt;/ref-type&gt;&lt;contributors&gt;&lt;authors&gt;&lt;author&gt;Chacon, RD&lt;/author&gt;&lt;author&gt;Costanzo, M,&lt;/author&gt;&lt;/authors&gt;&lt;/contributors&gt;&lt;titles&gt;&lt;title&gt;Triple-negative breast cancer&lt;/title&gt;&lt;secondary-title&gt;Breast Cancer Research&lt;/secondary-title&gt;&lt;/titles&gt;&lt;periodical&gt;&lt;full-title&gt;Breast Cancer Research&lt;/full-title&gt;&lt;/periodical&gt;&lt;volume&gt;12&lt;/volume&gt;&lt;number&gt;Suppl. 2&lt;/number&gt;&lt;dates&gt;&lt;year&gt;2010&lt;/year&gt;&lt;/dates&gt;&lt;urls&gt;&lt;/urls&gt;&lt;/record&gt;&lt;/Cite&gt;&lt;Cite&gt;&lt;Author&gt;Foulkes&lt;/Author&gt;&lt;Year&gt;2010&lt;/Year&gt;&lt;RecNum&gt;6&lt;/RecNum&gt;&lt;record&gt;&lt;rec-number&gt;6&lt;/rec-number&gt;&lt;foreign-keys&gt;&lt;key app="EN" db-id="e052e5x9tdfxzhe2zrlvfszipszset9005xv" timestamp="1539143533"&gt;6&lt;/key&gt;&lt;/foreign-keys&gt;&lt;ref-type name="Journal Article"&gt;17&lt;/ref-type&gt;&lt;contributors&gt;&lt;authors&gt;&lt;author&gt;Foulkes, W&lt;/author&gt;&lt;author&gt;Smith, I&lt;/author&gt;&lt;author&gt;Reis-Filho, J&lt;/author&gt;&lt;/authors&gt;&lt;/contributors&gt;&lt;titles&gt;&lt;title&gt;Triple-negative breast cancer&lt;/title&gt;&lt;secondary-title&gt;The New England Journal of Medicine&lt;/secondary-title&gt;&lt;/titles&gt;&lt;periodical&gt;&lt;full-title&gt;The New England Journal of Medicine&lt;/full-title&gt;&lt;/periodical&gt;&lt;volume&gt;363&lt;/volume&gt;&lt;dates&gt;&lt;year&gt;2010&lt;/year&gt;&lt;/dates&gt;&lt;urls&gt;&lt;/urls&gt;&lt;/record&gt;&lt;/Cite&gt;&lt;/EndNote&gt;</w:instrText>
      </w:r>
      <w:r>
        <w:rPr>
          <w:rFonts w:eastAsia="Times New Roman" w:cs="Arial"/>
          <w:szCs w:val="18"/>
        </w:rPr>
        <w:fldChar w:fldCharType="separate"/>
      </w:r>
      <w:r w:rsidR="00C16522">
        <w:rPr>
          <w:rFonts w:eastAsia="Times New Roman" w:cs="Arial"/>
          <w:noProof/>
          <w:szCs w:val="18"/>
        </w:rPr>
        <w:t>(4, 5)</w:t>
      </w:r>
      <w:r>
        <w:rPr>
          <w:rFonts w:eastAsia="Times New Roman" w:cs="Arial"/>
          <w:szCs w:val="18"/>
        </w:rPr>
        <w:fldChar w:fldCharType="end"/>
      </w:r>
      <w:r w:rsidR="00C16522">
        <w:rPr>
          <w:rFonts w:eastAsia="Times New Roman" w:cs="Arial"/>
          <w:szCs w:val="18"/>
        </w:rPr>
        <w:t xml:space="preserve">. </w:t>
      </w:r>
      <w:r w:rsidR="0019084A">
        <w:rPr>
          <w:rFonts w:eastAsia="Times New Roman" w:cs="Arial"/>
          <w:szCs w:val="18"/>
        </w:rPr>
        <w:t xml:space="preserve">Patients with metastatic TNBC typically have relatively poorer outcomes (higher frequency of progression, shorter duration of PFS and worse OS) compared with other breast cancer subtypes </w:t>
      </w:r>
      <w:r w:rsidR="0019084A">
        <w:rPr>
          <w:rFonts w:eastAsia="Times New Roman" w:cs="Arial"/>
          <w:szCs w:val="18"/>
        </w:rPr>
        <w:fldChar w:fldCharType="begin"/>
      </w:r>
      <w:r w:rsidR="00F02A87">
        <w:rPr>
          <w:rFonts w:eastAsia="Times New Roman" w:cs="Arial"/>
          <w:szCs w:val="18"/>
        </w:rPr>
        <w:instrText xml:space="preserve"> ADDIN EN.CITE &lt;EndNote&gt;&lt;Cite&gt;&lt;Author&gt;Urru&lt;/Author&gt;&lt;Year&gt;2018&lt;/Year&gt;&lt;RecNum&gt;11&lt;/RecNum&gt;&lt;DisplayText&gt;(7, 8)&lt;/DisplayText&gt;&lt;record&gt;&lt;rec-number&gt;11&lt;/rec-number&gt;&lt;foreign-keys&gt;&lt;key app="EN" db-id="e052e5x9tdfxzhe2zrlvfszipszset9005xv" timestamp="1539582866"&gt;11&lt;/key&gt;&lt;/foreign-keys&gt;&lt;ref-type name="Journal Article"&gt;17&lt;/ref-type&gt;&lt;contributors&gt;&lt;authors&gt;&lt;author&gt;Urru, S&lt;/author&gt;&lt;author&gt;Gallus, S&lt;/author&gt;&lt;author&gt;Bosetti, C&lt;/author&gt;&lt;author&gt;et al.,&lt;/author&gt;&lt;/authors&gt;&lt;/contributors&gt;&lt;titles&gt;&lt;title&gt;Clinical and pathological factors influencing survival in a large cohort of triple-negative breast cancer patients&lt;/title&gt;&lt;secondary-title&gt;BMC Cancer&lt;/secondary-title&gt;&lt;/titles&gt;&lt;periodical&gt;&lt;full-title&gt;BMC Cancer&lt;/full-title&gt;&lt;/periodical&gt;&lt;volume&gt;18&lt;/volume&gt;&lt;number&gt;56&lt;/number&gt;&lt;dates&gt;&lt;year&gt;2018&lt;/year&gt;&lt;/dates&gt;&lt;urls&gt;&lt;/urls&gt;&lt;/record&gt;&lt;/Cite&gt;&lt;Cite&gt;&lt;Author&gt;Press&lt;/Author&gt;&lt;Year&gt;2017&lt;/Year&gt;&lt;RecNum&gt;10&lt;/RecNum&gt;&lt;record&gt;&lt;rec-number&gt;10&lt;/rec-number&gt;&lt;foreign-keys&gt;&lt;key app="EN" db-id="e052e5x9tdfxzhe2zrlvfszipszset9005xv" timestamp="1539582726"&gt;10&lt;/key&gt;&lt;/foreign-keys&gt;&lt;ref-type name="Journal Article"&gt;17&lt;/ref-type&gt;&lt;contributors&gt;&lt;authors&gt;&lt;author&gt;Press, DJ&lt;/author&gt;&lt;author&gt;Miller, ME&lt;/author&gt;&lt;author&gt;Liederbach, E&lt;/author&gt;&lt;author&gt;et al.,&lt;/author&gt;&lt;/authors&gt;&lt;/contributors&gt;&lt;titles&gt;&lt;title&gt;De novo metastasis in breast cancer: occurrence and overall survival stratified by molecular subtype&lt;/title&gt;&lt;secondary-title&gt;Clinical &amp;amp; Experimental Metastasis&lt;/secondary-title&gt;&lt;/titles&gt;&lt;periodical&gt;&lt;full-title&gt;Clinical &amp;amp; Experimental Metastasis&lt;/full-title&gt;&lt;/periodical&gt;&lt;pages&gt;457-165&lt;/pages&gt;&lt;volume&gt;34&lt;/volume&gt;&lt;dates&gt;&lt;year&gt;2017&lt;/year&gt;&lt;/dates&gt;&lt;urls&gt;&lt;/urls&gt;&lt;/record&gt;&lt;/Cite&gt;&lt;/EndNote&gt;</w:instrText>
      </w:r>
      <w:r w:rsidR="0019084A">
        <w:rPr>
          <w:rFonts w:eastAsia="Times New Roman" w:cs="Arial"/>
          <w:szCs w:val="18"/>
        </w:rPr>
        <w:fldChar w:fldCharType="separate"/>
      </w:r>
      <w:r w:rsidR="00F02A87">
        <w:rPr>
          <w:rFonts w:eastAsia="Times New Roman" w:cs="Arial"/>
          <w:noProof/>
          <w:szCs w:val="18"/>
        </w:rPr>
        <w:t>(7, 8)</w:t>
      </w:r>
      <w:r w:rsidR="0019084A">
        <w:rPr>
          <w:rFonts w:eastAsia="Times New Roman" w:cs="Arial"/>
          <w:szCs w:val="18"/>
        </w:rPr>
        <w:fldChar w:fldCharType="end"/>
      </w:r>
      <w:r w:rsidR="0019084A">
        <w:rPr>
          <w:rFonts w:eastAsia="Times New Roman" w:cs="Arial"/>
          <w:szCs w:val="18"/>
        </w:rPr>
        <w:t>.</w:t>
      </w:r>
    </w:p>
    <w:p w14:paraId="66F28376" w14:textId="0B5DE4FE" w:rsidR="0019084A" w:rsidRDefault="0019084A" w:rsidP="00767E24">
      <w:pPr>
        <w:ind w:left="360"/>
        <w:jc w:val="both"/>
        <w:rPr>
          <w:rFonts w:eastAsia="Times New Roman" w:cs="Arial"/>
          <w:szCs w:val="18"/>
        </w:rPr>
      </w:pPr>
      <w:r>
        <w:rPr>
          <w:rFonts w:eastAsia="Times New Roman" w:cs="Arial"/>
          <w:szCs w:val="18"/>
        </w:rPr>
        <w:t xml:space="preserve">Despite optimal use of the best currently available systemic therapy, virtually all women with advanced TNBC will ultimately die from their disease </w:t>
      </w:r>
      <w:r>
        <w:rPr>
          <w:rFonts w:eastAsia="Times New Roman" w:cs="Arial"/>
          <w:szCs w:val="18"/>
        </w:rPr>
        <w:fldChar w:fldCharType="begin"/>
      </w:r>
      <w:r w:rsidR="00F02A87">
        <w:rPr>
          <w:rFonts w:eastAsia="Times New Roman" w:cs="Arial"/>
          <w:szCs w:val="18"/>
        </w:rPr>
        <w:instrText xml:space="preserve"> ADDIN EN.CITE &lt;EndNote&gt;&lt;Cite&gt;&lt;Author&gt;Bonotto&lt;/Author&gt;&lt;Year&gt;2014&lt;/Year&gt;&lt;RecNum&gt;13&lt;/RecNum&gt;&lt;DisplayText&gt;(9)&lt;/DisplayText&gt;&lt;record&gt;&lt;rec-number&gt;13&lt;/rec-number&gt;&lt;foreign-keys&gt;&lt;key app="EN" db-id="e052e5x9tdfxzhe2zrlvfszipszset9005xv" timestamp="1539646238"&gt;13&lt;/key&gt;&lt;/foreign-keys&gt;&lt;ref-type name="Journal Article"&gt;17&lt;/ref-type&gt;&lt;contributors&gt;&lt;authors&gt;&lt;author&gt;Bonotto, M&lt;/author&gt;&lt;author&gt;Gerratana, L&lt;/author&gt;&lt;author&gt;Poletto, E&lt;/author&gt;&lt;author&gt;et al.,&lt;/author&gt;&lt;/authors&gt;&lt;/contributors&gt;&lt;titles&gt;&lt;title&gt;Measures of outcome in metastatic breast cancer: insights from a real-world scenario&lt;/title&gt;&lt;secondary-title&gt;The Oncologist&lt;/secondary-title&gt;&lt;/titles&gt;&lt;periodical&gt;&lt;full-title&gt;The Oncologist&lt;/full-title&gt;&lt;/periodical&gt;&lt;pages&gt;608-615&lt;/pages&gt;&lt;volume&gt;19&lt;/volume&gt;&lt;dates&gt;&lt;year&gt;2014&lt;/year&gt;&lt;/dates&gt;&lt;urls&gt;&lt;/urls&gt;&lt;/record&gt;&lt;/Cite&gt;&lt;/EndNote&gt;</w:instrText>
      </w:r>
      <w:r>
        <w:rPr>
          <w:rFonts w:eastAsia="Times New Roman" w:cs="Arial"/>
          <w:szCs w:val="18"/>
        </w:rPr>
        <w:fldChar w:fldCharType="separate"/>
      </w:r>
      <w:r w:rsidR="00F02A87">
        <w:rPr>
          <w:rFonts w:eastAsia="Times New Roman" w:cs="Arial"/>
          <w:noProof/>
          <w:szCs w:val="18"/>
        </w:rPr>
        <w:t>(9)</w:t>
      </w:r>
      <w:r>
        <w:rPr>
          <w:rFonts w:eastAsia="Times New Roman" w:cs="Arial"/>
          <w:szCs w:val="18"/>
        </w:rPr>
        <w:fldChar w:fldCharType="end"/>
      </w:r>
      <w:r>
        <w:rPr>
          <w:rFonts w:eastAsia="Times New Roman" w:cs="Arial"/>
          <w:szCs w:val="18"/>
        </w:rPr>
        <w:t>. As of</w:t>
      </w:r>
      <w:r w:rsidR="00001C18">
        <w:rPr>
          <w:rFonts w:eastAsia="Times New Roman" w:cs="Arial"/>
          <w:szCs w:val="18"/>
        </w:rPr>
        <w:t xml:space="preserve"> 2014, the 5-year survival for advanced </w:t>
      </w:r>
      <w:r>
        <w:rPr>
          <w:rFonts w:eastAsia="Times New Roman" w:cs="Arial"/>
          <w:szCs w:val="18"/>
        </w:rPr>
        <w:t xml:space="preserve">TNBC is estimated at 9% (based on the most recent estimates from the Surveillance, Epidemiology, and End Results </w:t>
      </w:r>
      <w:r>
        <w:rPr>
          <w:rFonts w:eastAsia="Times New Roman" w:cs="Arial"/>
          <w:szCs w:val="18"/>
        </w:rPr>
        <w:fldChar w:fldCharType="begin"/>
      </w:r>
      <w:r w:rsidR="00F02A87">
        <w:rPr>
          <w:rFonts w:eastAsia="Times New Roman" w:cs="Arial"/>
          <w:szCs w:val="18"/>
        </w:rPr>
        <w:instrText xml:space="preserve"> ADDIN EN.CITE &lt;EndNote&gt;&lt;Cite&gt;&lt;Author&gt;Seigal&lt;/Author&gt;&lt;Year&gt;2018&lt;/Year&gt;&lt;RecNum&gt;14&lt;/RecNum&gt;&lt;DisplayText&gt;(10)&lt;/DisplayText&gt;&lt;record&gt;&lt;rec-number&gt;14&lt;/rec-number&gt;&lt;foreign-keys&gt;&lt;key app="EN" db-id="e052e5x9tdfxzhe2zrlvfszipszset9005xv" timestamp="1539646578"&gt;14&lt;/key&gt;&lt;/foreign-keys&gt;&lt;ref-type name="Journal Article"&gt;17&lt;/ref-type&gt;&lt;contributors&gt;&lt;authors&gt;&lt;author&gt;Seigal, RL&lt;/author&gt;&lt;author&gt;Miller, KD&lt;/author&gt;&lt;author&gt;Jemal, A&lt;/author&gt;&lt;/authors&gt;&lt;/contributors&gt;&lt;titles&gt;&lt;title&gt;Cancer statistics Surveillance, Epidemiology, and End Results (SEER) Program (www.seer.cancer.gov) SEER*Stat Database: Incidence - SEER 9 Regs Research Data, Nov 2017 Sub (1973-2015) &amp;lt;Katrina/Rita Population Adjustment&amp;gt; - Linked To County Attributes. Total U.S., 1969-2016 Counties, National Cancer Institute, DCCPS, Surveillance Research Program, released April 2018, based on the November 2017 submission&lt;/title&gt;&lt;/titles&gt;&lt;dates&gt;&lt;year&gt;2018&lt;/year&gt;&lt;/dates&gt;&lt;urls&gt;&lt;/urls&gt;&lt;/record&gt;&lt;/Cite&gt;&lt;/EndNote&gt;</w:instrText>
      </w:r>
      <w:r>
        <w:rPr>
          <w:rFonts w:eastAsia="Times New Roman" w:cs="Arial"/>
          <w:szCs w:val="18"/>
        </w:rPr>
        <w:fldChar w:fldCharType="separate"/>
      </w:r>
      <w:r w:rsidR="00F02A87">
        <w:rPr>
          <w:rFonts w:eastAsia="Times New Roman" w:cs="Arial"/>
          <w:noProof/>
          <w:szCs w:val="18"/>
        </w:rPr>
        <w:t>(10)</w:t>
      </w:r>
      <w:r>
        <w:rPr>
          <w:rFonts w:eastAsia="Times New Roman" w:cs="Arial"/>
          <w:szCs w:val="18"/>
        </w:rPr>
        <w:fldChar w:fldCharType="end"/>
      </w:r>
      <w:r>
        <w:rPr>
          <w:rFonts w:eastAsia="Times New Roman" w:cs="Arial"/>
          <w:szCs w:val="18"/>
        </w:rPr>
        <w:t>. Cytotoxic chemotherapy remains the mainstay of treatment for both early-stage and advanced TNBC.</w:t>
      </w:r>
    </w:p>
    <w:p w14:paraId="70F20239" w14:textId="77777777" w:rsidR="00DE5D93" w:rsidRDefault="00DE5D93" w:rsidP="00767E24">
      <w:pPr>
        <w:ind w:left="360"/>
        <w:jc w:val="both"/>
        <w:rPr>
          <w:rFonts w:eastAsia="Times New Roman" w:cs="Arial"/>
          <w:szCs w:val="18"/>
        </w:rPr>
      </w:pPr>
    </w:p>
    <w:p w14:paraId="412F96C9" w14:textId="77777777" w:rsidR="00AA5FDA" w:rsidRPr="00441472" w:rsidRDefault="00AA5FDA" w:rsidP="00767E24">
      <w:pPr>
        <w:pStyle w:val="Heading2"/>
        <w:jc w:val="both"/>
      </w:pPr>
      <w:r w:rsidRPr="00441472">
        <w:t>Specify any characteristics of patients with the medical condition</w:t>
      </w:r>
      <w:r w:rsidR="00707D4D" w:rsidRPr="00441472">
        <w:t>, or suspected of,</w:t>
      </w:r>
      <w:r w:rsidRPr="00441472">
        <w:t xml:space="preserve"> who are proposed to be eligible for the proposed medical service</w:t>
      </w:r>
      <w:r w:rsidR="00102686" w:rsidRPr="00441472">
        <w:t>, including any details of how a patient w</w:t>
      </w:r>
      <w:r w:rsidR="0054594B" w:rsidRPr="00441472">
        <w:t>ould be</w:t>
      </w:r>
      <w:r w:rsidR="00102686" w:rsidRPr="00441472">
        <w:t xml:space="preserve"> </w:t>
      </w:r>
      <w:r w:rsidR="0018630F" w:rsidRPr="00441472">
        <w:t>investigated</w:t>
      </w:r>
      <w:r w:rsidR="0054594B" w:rsidRPr="00441472">
        <w:t>,</w:t>
      </w:r>
      <w:r w:rsidR="0018630F" w:rsidRPr="00441472">
        <w:t xml:space="preserve"> managed </w:t>
      </w:r>
      <w:r w:rsidR="0054594B" w:rsidRPr="00441472">
        <w:t xml:space="preserve">and referred </w:t>
      </w:r>
      <w:r w:rsidR="007D2358" w:rsidRPr="00441472">
        <w:t xml:space="preserve">within the Australian health care system </w:t>
      </w:r>
      <w:r w:rsidR="0018630F" w:rsidRPr="00441472">
        <w:t xml:space="preserve">in the lead up to being considered </w:t>
      </w:r>
      <w:r w:rsidR="00DF6D37" w:rsidRPr="00441472">
        <w:t xml:space="preserve">eligible </w:t>
      </w:r>
      <w:r w:rsidR="0018630F" w:rsidRPr="00441472">
        <w:t>for the service</w:t>
      </w:r>
      <w:r w:rsidR="00197D29" w:rsidRPr="00441472">
        <w:t>:</w:t>
      </w:r>
    </w:p>
    <w:p w14:paraId="5D489C12" w14:textId="195E901A" w:rsidR="001F45D6" w:rsidRDefault="00B20AEB" w:rsidP="00767E24">
      <w:pPr>
        <w:ind w:left="357"/>
        <w:jc w:val="both"/>
        <w:rPr>
          <w:rFonts w:cs="Arial"/>
          <w:color w:val="000000"/>
          <w:szCs w:val="18"/>
        </w:rPr>
      </w:pPr>
      <w:r>
        <w:rPr>
          <w:rFonts w:eastAsia="Times New Roman" w:cs="Arial"/>
          <w:color w:val="000000"/>
          <w:szCs w:val="18"/>
        </w:rPr>
        <w:t>Determination of</w:t>
      </w:r>
      <w:r w:rsidR="006319C7">
        <w:rPr>
          <w:rFonts w:eastAsia="Times New Roman" w:cs="Arial"/>
          <w:color w:val="000000"/>
          <w:szCs w:val="18"/>
        </w:rPr>
        <w:t xml:space="preserve"> breast cancer</w:t>
      </w:r>
      <w:r>
        <w:rPr>
          <w:rFonts w:eastAsia="Times New Roman" w:cs="Arial"/>
          <w:color w:val="000000"/>
          <w:szCs w:val="18"/>
        </w:rPr>
        <w:t xml:space="preserve"> molecular subtype provides valuable prognostic information and determines which treatment path a patient</w:t>
      </w:r>
      <w:r w:rsidR="006319C7">
        <w:rPr>
          <w:rFonts w:eastAsia="Times New Roman" w:cs="Arial"/>
          <w:color w:val="000000"/>
          <w:szCs w:val="18"/>
        </w:rPr>
        <w:t xml:space="preserve"> </w:t>
      </w:r>
      <w:r>
        <w:rPr>
          <w:rFonts w:eastAsia="Times New Roman" w:cs="Arial"/>
          <w:color w:val="000000"/>
          <w:szCs w:val="18"/>
        </w:rPr>
        <w:t>will follow. Given this, it is a standard part of the workup of breast cancer diagnosis. In general</w:t>
      </w:r>
      <w:r w:rsidR="006319C7">
        <w:rPr>
          <w:rFonts w:eastAsia="Times New Roman" w:cs="Arial"/>
          <w:color w:val="000000"/>
          <w:szCs w:val="18"/>
        </w:rPr>
        <w:t>,</w:t>
      </w:r>
      <w:r>
        <w:rPr>
          <w:rFonts w:eastAsia="Times New Roman" w:cs="Arial"/>
          <w:color w:val="000000"/>
          <w:szCs w:val="18"/>
        </w:rPr>
        <w:t xml:space="preserve"> the</w:t>
      </w:r>
      <w:r w:rsidR="001F45D6" w:rsidRPr="001F45D6">
        <w:rPr>
          <w:rFonts w:eastAsia="Times New Roman" w:cs="Arial"/>
          <w:color w:val="000000"/>
          <w:szCs w:val="18"/>
          <w:lang w:val="en-GB"/>
        </w:rPr>
        <w:t xml:space="preserve"> expression of three receptors on the tumour are routinely determined in clinical practice:</w:t>
      </w:r>
      <w:r w:rsidR="00260368">
        <w:rPr>
          <w:rFonts w:eastAsia="Times New Roman" w:cs="Arial"/>
          <w:color w:val="000000"/>
          <w:szCs w:val="18"/>
          <w:lang w:val="en-GB"/>
        </w:rPr>
        <w:t xml:space="preserve"> </w:t>
      </w:r>
      <w:r w:rsidR="001F45D6">
        <w:rPr>
          <w:rFonts w:cs="Arial"/>
          <w:color w:val="000000"/>
          <w:szCs w:val="18"/>
        </w:rPr>
        <w:t>ER</w:t>
      </w:r>
      <w:r w:rsidR="00260368">
        <w:rPr>
          <w:rFonts w:cs="Arial"/>
          <w:color w:val="000000"/>
          <w:szCs w:val="18"/>
        </w:rPr>
        <w:t xml:space="preserve">, </w:t>
      </w:r>
      <w:r w:rsidR="001F45D6">
        <w:rPr>
          <w:rFonts w:cs="Arial"/>
          <w:color w:val="000000"/>
          <w:szCs w:val="18"/>
        </w:rPr>
        <w:t>P</w:t>
      </w:r>
      <w:r w:rsidR="00F509B4">
        <w:rPr>
          <w:rFonts w:cs="Arial"/>
          <w:color w:val="000000"/>
          <w:szCs w:val="18"/>
        </w:rPr>
        <w:t>g</w:t>
      </w:r>
      <w:r w:rsidR="001F45D6">
        <w:rPr>
          <w:rFonts w:cs="Arial"/>
          <w:color w:val="000000"/>
          <w:szCs w:val="18"/>
        </w:rPr>
        <w:t>R</w:t>
      </w:r>
      <w:r w:rsidR="00260368">
        <w:rPr>
          <w:rFonts w:cs="Arial"/>
          <w:color w:val="000000"/>
          <w:szCs w:val="18"/>
        </w:rPr>
        <w:t xml:space="preserve">, </w:t>
      </w:r>
      <w:proofErr w:type="gramStart"/>
      <w:r w:rsidR="001F45D6">
        <w:rPr>
          <w:rFonts w:cs="Arial"/>
          <w:color w:val="000000"/>
          <w:szCs w:val="18"/>
        </w:rPr>
        <w:t>HER2</w:t>
      </w:r>
      <w:proofErr w:type="gramEnd"/>
      <w:r w:rsidR="00260368">
        <w:rPr>
          <w:rFonts w:cs="Arial"/>
          <w:color w:val="000000"/>
          <w:szCs w:val="18"/>
        </w:rPr>
        <w:t>.</w:t>
      </w:r>
    </w:p>
    <w:p w14:paraId="2CF93B88" w14:textId="71991734" w:rsidR="00BC1119" w:rsidRDefault="006B12C0" w:rsidP="00767E24">
      <w:pPr>
        <w:ind w:left="357"/>
        <w:jc w:val="both"/>
        <w:rPr>
          <w:rFonts w:eastAsia="Times New Roman" w:cs="Arial"/>
          <w:color w:val="000000"/>
          <w:szCs w:val="18"/>
        </w:rPr>
      </w:pPr>
      <w:r>
        <w:rPr>
          <w:rFonts w:eastAsia="Times New Roman" w:cs="Arial"/>
          <w:color w:val="000000"/>
          <w:szCs w:val="18"/>
        </w:rPr>
        <w:t>It is proposed that t</w:t>
      </w:r>
      <w:r w:rsidR="000A38DC">
        <w:rPr>
          <w:rFonts w:eastAsia="Times New Roman" w:cs="Arial"/>
          <w:color w:val="000000"/>
          <w:szCs w:val="18"/>
        </w:rPr>
        <w:t xml:space="preserve">he </w:t>
      </w:r>
      <w:proofErr w:type="gramStart"/>
      <w:r w:rsidR="000A38DC">
        <w:rPr>
          <w:rFonts w:eastAsia="Times New Roman" w:cs="Arial"/>
          <w:color w:val="000000"/>
          <w:szCs w:val="18"/>
        </w:rPr>
        <w:t>test for PD-L1 expression in patients with locally advanced or metastatic TNBC would be ordered by the treating physician</w:t>
      </w:r>
      <w:proofErr w:type="gramEnd"/>
      <w:r w:rsidR="000A38DC">
        <w:rPr>
          <w:rFonts w:eastAsia="Times New Roman" w:cs="Arial"/>
          <w:color w:val="000000"/>
          <w:szCs w:val="18"/>
        </w:rPr>
        <w:t xml:space="preserve"> when treatment with atezolizumab is being considered.</w:t>
      </w:r>
      <w:r w:rsidR="00921B76">
        <w:rPr>
          <w:rFonts w:eastAsia="Times New Roman" w:cs="Arial"/>
          <w:color w:val="000000"/>
          <w:szCs w:val="18"/>
        </w:rPr>
        <w:t xml:space="preserve"> In patients diagnosed with de novo</w:t>
      </w:r>
      <w:r w:rsidR="001915FA">
        <w:rPr>
          <w:rFonts w:eastAsia="Times New Roman" w:cs="Arial"/>
          <w:color w:val="000000"/>
          <w:szCs w:val="18"/>
        </w:rPr>
        <w:t xml:space="preserve"> locally advanced or metastatic</w:t>
      </w:r>
      <w:r w:rsidR="003B28AD">
        <w:rPr>
          <w:rFonts w:eastAsia="Times New Roman" w:cs="Arial"/>
          <w:color w:val="000000"/>
          <w:szCs w:val="18"/>
        </w:rPr>
        <w:t xml:space="preserve"> </w:t>
      </w:r>
      <w:r w:rsidR="00921B76">
        <w:rPr>
          <w:rFonts w:eastAsia="Times New Roman" w:cs="Arial"/>
          <w:color w:val="000000"/>
          <w:szCs w:val="18"/>
        </w:rPr>
        <w:t xml:space="preserve">TNBC, this </w:t>
      </w:r>
      <w:proofErr w:type="gramStart"/>
      <w:r w:rsidR="00921B76">
        <w:rPr>
          <w:rFonts w:eastAsia="Times New Roman" w:cs="Arial"/>
          <w:color w:val="000000"/>
          <w:szCs w:val="18"/>
        </w:rPr>
        <w:t>would be carried</w:t>
      </w:r>
      <w:proofErr w:type="gramEnd"/>
      <w:r w:rsidR="00921B76">
        <w:rPr>
          <w:rFonts w:eastAsia="Times New Roman" w:cs="Arial"/>
          <w:color w:val="000000"/>
          <w:szCs w:val="18"/>
        </w:rPr>
        <w:t xml:space="preserve"> out using the tissue samples taken as part of the standard diagnostic work-up</w:t>
      </w:r>
      <w:r w:rsidR="00BC1119">
        <w:rPr>
          <w:rFonts w:eastAsia="Times New Roman" w:cs="Arial"/>
          <w:color w:val="000000"/>
          <w:szCs w:val="18"/>
        </w:rPr>
        <w:t xml:space="preserve"> (see above)</w:t>
      </w:r>
      <w:r w:rsidR="00921B76">
        <w:rPr>
          <w:rFonts w:eastAsia="Times New Roman" w:cs="Arial"/>
          <w:color w:val="000000"/>
          <w:szCs w:val="18"/>
        </w:rPr>
        <w:t xml:space="preserve">. The tissue removed as part of the biopsy and used for the </w:t>
      </w:r>
      <w:r w:rsidR="001915FA">
        <w:rPr>
          <w:rFonts w:eastAsia="Times New Roman" w:cs="Arial"/>
          <w:color w:val="000000"/>
          <w:szCs w:val="18"/>
        </w:rPr>
        <w:t>advanced</w:t>
      </w:r>
      <w:r w:rsidR="00921B76">
        <w:rPr>
          <w:rFonts w:eastAsia="Times New Roman" w:cs="Arial"/>
          <w:color w:val="000000"/>
          <w:szCs w:val="18"/>
        </w:rPr>
        <w:t xml:space="preserve"> </w:t>
      </w:r>
      <w:proofErr w:type="gramStart"/>
      <w:r w:rsidR="00921B76">
        <w:rPr>
          <w:rFonts w:eastAsia="Times New Roman" w:cs="Arial"/>
          <w:color w:val="000000"/>
          <w:szCs w:val="18"/>
        </w:rPr>
        <w:t>breast cancer diagnosis confirmation</w:t>
      </w:r>
      <w:proofErr w:type="gramEnd"/>
      <w:r w:rsidR="00921B76">
        <w:rPr>
          <w:rFonts w:eastAsia="Times New Roman" w:cs="Arial"/>
          <w:color w:val="000000"/>
          <w:szCs w:val="18"/>
        </w:rPr>
        <w:t xml:space="preserve"> would </w:t>
      </w:r>
      <w:r w:rsidR="00D7068D">
        <w:rPr>
          <w:rFonts w:eastAsia="Times New Roman" w:cs="Arial"/>
          <w:color w:val="000000"/>
          <w:szCs w:val="18"/>
        </w:rPr>
        <w:t>t</w:t>
      </w:r>
      <w:r w:rsidR="00921B76">
        <w:rPr>
          <w:rFonts w:eastAsia="Times New Roman" w:cs="Arial"/>
          <w:color w:val="000000"/>
          <w:szCs w:val="18"/>
        </w:rPr>
        <w:t>hen also</w:t>
      </w:r>
      <w:r w:rsidR="001915FA">
        <w:rPr>
          <w:rFonts w:eastAsia="Times New Roman" w:cs="Arial"/>
          <w:color w:val="000000"/>
          <w:szCs w:val="18"/>
        </w:rPr>
        <w:t xml:space="preserve"> be</w:t>
      </w:r>
      <w:r w:rsidR="00921B76">
        <w:rPr>
          <w:rFonts w:eastAsia="Times New Roman" w:cs="Arial"/>
          <w:color w:val="000000"/>
          <w:szCs w:val="18"/>
        </w:rPr>
        <w:t xml:space="preserve"> used for </w:t>
      </w:r>
      <w:r w:rsidR="00040A55">
        <w:rPr>
          <w:rFonts w:eastAsia="Times New Roman" w:cs="Arial"/>
          <w:color w:val="000000"/>
          <w:szCs w:val="18"/>
        </w:rPr>
        <w:t xml:space="preserve">IHC </w:t>
      </w:r>
      <w:r w:rsidR="00921B76">
        <w:rPr>
          <w:rFonts w:eastAsia="Times New Roman" w:cs="Arial"/>
          <w:color w:val="000000"/>
          <w:szCs w:val="18"/>
        </w:rPr>
        <w:t xml:space="preserve">testing </w:t>
      </w:r>
      <w:r w:rsidR="00D7068D">
        <w:rPr>
          <w:rFonts w:eastAsia="Times New Roman" w:cs="Arial"/>
          <w:color w:val="000000"/>
          <w:szCs w:val="18"/>
        </w:rPr>
        <w:t>for</w:t>
      </w:r>
      <w:r w:rsidR="00921B76">
        <w:rPr>
          <w:rFonts w:eastAsia="Times New Roman" w:cs="Arial"/>
          <w:color w:val="000000"/>
          <w:szCs w:val="18"/>
        </w:rPr>
        <w:t xml:space="preserve"> PD-L1</w:t>
      </w:r>
      <w:r w:rsidR="00D7068D">
        <w:rPr>
          <w:rFonts w:eastAsia="Times New Roman" w:cs="Arial"/>
          <w:color w:val="000000"/>
          <w:szCs w:val="18"/>
        </w:rPr>
        <w:t xml:space="preserve"> expression</w:t>
      </w:r>
      <w:r w:rsidR="00921B76">
        <w:rPr>
          <w:rFonts w:eastAsia="Times New Roman" w:cs="Arial"/>
          <w:color w:val="000000"/>
          <w:szCs w:val="18"/>
        </w:rPr>
        <w:t xml:space="preserve">. The testing would be done by a pathologist alongside other </w:t>
      </w:r>
      <w:r w:rsidR="00E477FD">
        <w:rPr>
          <w:rFonts w:eastAsia="Times New Roman" w:cs="Arial"/>
          <w:color w:val="000000"/>
          <w:szCs w:val="18"/>
        </w:rPr>
        <w:t xml:space="preserve">IHC </w:t>
      </w:r>
      <w:proofErr w:type="gramStart"/>
      <w:r w:rsidR="00921B76">
        <w:rPr>
          <w:rFonts w:eastAsia="Times New Roman" w:cs="Arial"/>
          <w:color w:val="000000"/>
          <w:szCs w:val="18"/>
        </w:rPr>
        <w:t xml:space="preserve">tests which are </w:t>
      </w:r>
      <w:r w:rsidR="00D7068D">
        <w:rPr>
          <w:rFonts w:eastAsia="Times New Roman" w:cs="Arial"/>
          <w:color w:val="000000"/>
          <w:szCs w:val="18"/>
        </w:rPr>
        <w:t>performed</w:t>
      </w:r>
      <w:r w:rsidR="00921B76">
        <w:rPr>
          <w:rFonts w:eastAsia="Times New Roman" w:cs="Arial"/>
          <w:color w:val="000000"/>
          <w:szCs w:val="18"/>
        </w:rPr>
        <w:t xml:space="preserve"> routinely</w:t>
      </w:r>
      <w:proofErr w:type="gramEnd"/>
      <w:r w:rsidR="00921B76">
        <w:rPr>
          <w:rFonts w:eastAsia="Times New Roman" w:cs="Arial"/>
          <w:color w:val="000000"/>
          <w:szCs w:val="18"/>
        </w:rPr>
        <w:t xml:space="preserve"> and the pathologist would be responsible for conducting the test and interpreting results.</w:t>
      </w:r>
      <w:r w:rsidR="00BC1119">
        <w:rPr>
          <w:rFonts w:eastAsia="Times New Roman" w:cs="Arial"/>
          <w:color w:val="000000"/>
          <w:szCs w:val="18"/>
        </w:rPr>
        <w:t xml:space="preserve"> </w:t>
      </w:r>
      <w:r w:rsidR="00921B76">
        <w:rPr>
          <w:rFonts w:eastAsia="Times New Roman" w:cs="Arial"/>
          <w:color w:val="000000"/>
          <w:szCs w:val="18"/>
        </w:rPr>
        <w:t>In patients diagnosed with early stage TNBC and who subsequently develop metastases, a re-biopsy may be necessary.</w:t>
      </w:r>
    </w:p>
    <w:p w14:paraId="22636CCD" w14:textId="74398CD5" w:rsidR="005D25F3" w:rsidRDefault="00921B76" w:rsidP="00767E24">
      <w:pPr>
        <w:ind w:left="357"/>
        <w:jc w:val="both"/>
        <w:rPr>
          <w:rFonts w:eastAsia="Times New Roman" w:cs="Arial"/>
          <w:color w:val="000000"/>
          <w:szCs w:val="18"/>
        </w:rPr>
      </w:pPr>
      <w:r>
        <w:rPr>
          <w:rFonts w:eastAsia="Times New Roman" w:cs="Arial"/>
          <w:color w:val="000000"/>
          <w:szCs w:val="18"/>
        </w:rPr>
        <w:t xml:space="preserve">The </w:t>
      </w:r>
      <w:r w:rsidR="00BC1119">
        <w:rPr>
          <w:rFonts w:eastAsia="Times New Roman" w:cs="Arial"/>
          <w:color w:val="000000"/>
          <w:szCs w:val="18"/>
        </w:rPr>
        <w:t>proposed</w:t>
      </w:r>
      <w:r>
        <w:rPr>
          <w:rFonts w:eastAsia="Times New Roman" w:cs="Arial"/>
          <w:color w:val="000000"/>
          <w:szCs w:val="18"/>
        </w:rPr>
        <w:t xml:space="preserve"> </w:t>
      </w:r>
      <w:r w:rsidR="00BC1119">
        <w:rPr>
          <w:rFonts w:eastAsia="Times New Roman" w:cs="Arial"/>
          <w:color w:val="000000"/>
          <w:szCs w:val="18"/>
        </w:rPr>
        <w:t>PBS-restriction for atezolizumab</w:t>
      </w:r>
      <w:r>
        <w:rPr>
          <w:rFonts w:eastAsia="Times New Roman" w:cs="Arial"/>
          <w:color w:val="000000"/>
          <w:szCs w:val="18"/>
        </w:rPr>
        <w:t xml:space="preserve"> will be for first-line treatment of </w:t>
      </w:r>
      <w:r w:rsidR="001915FA">
        <w:rPr>
          <w:rFonts w:eastAsia="Times New Roman" w:cs="Arial"/>
          <w:color w:val="000000"/>
          <w:szCs w:val="18"/>
        </w:rPr>
        <w:t>locally advanced</w:t>
      </w:r>
      <w:r w:rsidR="00BC1119">
        <w:rPr>
          <w:rFonts w:eastAsia="Times New Roman" w:cs="Arial"/>
          <w:color w:val="000000"/>
          <w:szCs w:val="18"/>
        </w:rPr>
        <w:t xml:space="preserve"> or metastatic TNBC</w:t>
      </w:r>
      <w:r>
        <w:rPr>
          <w:rFonts w:eastAsia="Times New Roman" w:cs="Arial"/>
          <w:color w:val="000000"/>
          <w:szCs w:val="18"/>
        </w:rPr>
        <w:t>.</w:t>
      </w:r>
      <w:r w:rsidR="00D7068D">
        <w:rPr>
          <w:rFonts w:eastAsia="Times New Roman" w:cs="Arial"/>
          <w:color w:val="000000"/>
          <w:szCs w:val="18"/>
        </w:rPr>
        <w:t xml:space="preserve"> </w:t>
      </w:r>
      <w:r w:rsidR="00D7068D">
        <w:t>The application to PBAC for PBS listing of atezolizumab will include clinical data in all</w:t>
      </w:r>
      <w:r w:rsidR="00AE0793">
        <w:noBreakHyphen/>
      </w:r>
      <w:r w:rsidR="00D7068D">
        <w:t xml:space="preserve">comer patients and in patients expressing PD-L1. This </w:t>
      </w:r>
      <w:r w:rsidR="00D7068D" w:rsidRPr="007F0C41">
        <w:t xml:space="preserve">application </w:t>
      </w:r>
      <w:r w:rsidR="00D7068D">
        <w:t xml:space="preserve">to MSAC </w:t>
      </w:r>
      <w:r w:rsidR="00D7068D" w:rsidRPr="007F0C41">
        <w:t>requests consideration of PD</w:t>
      </w:r>
      <w:r w:rsidR="00AE0793">
        <w:noBreakHyphen/>
      </w:r>
      <w:r w:rsidR="00D7068D" w:rsidRPr="007F0C41">
        <w:t xml:space="preserve">L1 testing in order to access atezolizumab as a contingency for </w:t>
      </w:r>
      <w:r w:rsidR="00D7068D">
        <w:t>the</w:t>
      </w:r>
      <w:r w:rsidR="00D7068D" w:rsidRPr="007F0C41">
        <w:t xml:space="preserve"> scenario </w:t>
      </w:r>
      <w:r w:rsidR="00D7068D">
        <w:t>in which</w:t>
      </w:r>
      <w:r w:rsidR="00D7068D" w:rsidRPr="007F0C41">
        <w:t xml:space="preserve"> the PBAC recommends PBS listing of atezolizumab in PD-L1 positive patients</w:t>
      </w:r>
      <w:r w:rsidR="00D7068D">
        <w:t xml:space="preserve"> only</w:t>
      </w:r>
      <w:r w:rsidR="00D7068D" w:rsidRPr="007F0C41">
        <w:t>.</w:t>
      </w:r>
      <w:r>
        <w:rPr>
          <w:rFonts w:eastAsia="Times New Roman" w:cs="Arial"/>
          <w:color w:val="000000"/>
          <w:szCs w:val="18"/>
        </w:rPr>
        <w:t xml:space="preserve"> The testing would enable identification of those patients most likely to benefit from treatment with atezolizumab.</w:t>
      </w:r>
      <w:r w:rsidR="005D25F3">
        <w:rPr>
          <w:rFonts w:eastAsia="Times New Roman" w:cs="Arial"/>
          <w:color w:val="000000"/>
          <w:szCs w:val="18"/>
        </w:rPr>
        <w:t xml:space="preserve"> </w:t>
      </w:r>
    </w:p>
    <w:p w14:paraId="6FFA81ED" w14:textId="633E397E" w:rsidR="00EE3375" w:rsidRPr="00B45834" w:rsidRDefault="00EE3375" w:rsidP="00767E24">
      <w:pPr>
        <w:ind w:left="330"/>
        <w:jc w:val="both"/>
        <w:rPr>
          <w:iCs/>
          <w:szCs w:val="24"/>
        </w:rPr>
      </w:pPr>
    </w:p>
    <w:p w14:paraId="7857536F" w14:textId="77777777" w:rsidR="00FD2985" w:rsidRPr="00C63CB6" w:rsidRDefault="0018630F" w:rsidP="00767E24">
      <w:pPr>
        <w:pStyle w:val="Heading2"/>
        <w:jc w:val="both"/>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63144AF6" w14:textId="74A2587E" w:rsidR="00155CEC" w:rsidRDefault="00953495" w:rsidP="00767E24">
      <w:pPr>
        <w:ind w:left="360"/>
        <w:jc w:val="both"/>
      </w:pPr>
      <w:r>
        <w:rPr>
          <w:rStyle w:val="Strong"/>
          <w:b w:val="0"/>
        </w:rPr>
        <w:lastRenderedPageBreak/>
        <w:t>T</w:t>
      </w:r>
      <w:r w:rsidR="00C11AED">
        <w:rPr>
          <w:rStyle w:val="Strong"/>
          <w:b w:val="0"/>
        </w:rPr>
        <w:t xml:space="preserve">riple </w:t>
      </w:r>
      <w:r w:rsidR="005E0656">
        <w:rPr>
          <w:rStyle w:val="Strong"/>
          <w:b w:val="0"/>
        </w:rPr>
        <w:t>negative breast cancer</w:t>
      </w:r>
      <w:r w:rsidR="00C11AED">
        <w:rPr>
          <w:rStyle w:val="Strong"/>
          <w:b w:val="0"/>
        </w:rPr>
        <w:t xml:space="preserve"> patients rema</w:t>
      </w:r>
      <w:r>
        <w:rPr>
          <w:rStyle w:val="Strong"/>
          <w:b w:val="0"/>
        </w:rPr>
        <w:t>in</w:t>
      </w:r>
      <w:r w:rsidR="00C11AED">
        <w:rPr>
          <w:rStyle w:val="Strong"/>
          <w:b w:val="0"/>
        </w:rPr>
        <w:t xml:space="preserve"> the </w:t>
      </w:r>
      <w:r w:rsidR="002D007A">
        <w:rPr>
          <w:rStyle w:val="Strong"/>
          <w:b w:val="0"/>
        </w:rPr>
        <w:t xml:space="preserve">patient </w:t>
      </w:r>
      <w:r w:rsidR="001F4091">
        <w:rPr>
          <w:rStyle w:val="Strong"/>
          <w:b w:val="0"/>
        </w:rPr>
        <w:t xml:space="preserve">group with the </w:t>
      </w:r>
      <w:r w:rsidR="00C11AED">
        <w:rPr>
          <w:rStyle w:val="Strong"/>
          <w:b w:val="0"/>
        </w:rPr>
        <w:t xml:space="preserve">largest unmet need within advanced </w:t>
      </w:r>
      <w:r w:rsidR="00342005">
        <w:rPr>
          <w:rStyle w:val="Strong"/>
          <w:b w:val="0"/>
        </w:rPr>
        <w:t xml:space="preserve">metastatic </w:t>
      </w:r>
      <w:r w:rsidR="00C11AED">
        <w:rPr>
          <w:rStyle w:val="Strong"/>
          <w:b w:val="0"/>
        </w:rPr>
        <w:t>breast cancer. Anthracyclines and</w:t>
      </w:r>
      <w:r w:rsidR="00686917">
        <w:rPr>
          <w:rStyle w:val="Strong"/>
          <w:b w:val="0"/>
        </w:rPr>
        <w:t>/or</w:t>
      </w:r>
      <w:r w:rsidR="00C11AED">
        <w:rPr>
          <w:rStyle w:val="Strong"/>
          <w:b w:val="0"/>
        </w:rPr>
        <w:t xml:space="preserve"> taxane</w:t>
      </w:r>
      <w:r w:rsidR="00686917">
        <w:rPr>
          <w:rStyle w:val="Strong"/>
          <w:b w:val="0"/>
        </w:rPr>
        <w:t xml:space="preserve"> and/or platinum</w:t>
      </w:r>
      <w:r w:rsidR="00686917">
        <w:rPr>
          <w:rStyle w:val="Strong"/>
          <w:b w:val="0"/>
        </w:rPr>
        <w:noBreakHyphen/>
        <w:t>based</w:t>
      </w:r>
      <w:r w:rsidR="00C11AED">
        <w:rPr>
          <w:rStyle w:val="Strong"/>
          <w:b w:val="0"/>
        </w:rPr>
        <w:t xml:space="preserve"> chemotherapy </w:t>
      </w:r>
      <w:proofErr w:type="gramStart"/>
      <w:r w:rsidR="00C11AED">
        <w:rPr>
          <w:rStyle w:val="Strong"/>
          <w:b w:val="0"/>
        </w:rPr>
        <w:t>is recommended</w:t>
      </w:r>
      <w:proofErr w:type="gramEnd"/>
      <w:r w:rsidR="00C11AED">
        <w:rPr>
          <w:rStyle w:val="Strong"/>
          <w:b w:val="0"/>
        </w:rPr>
        <w:t xml:space="preserve"> as</w:t>
      </w:r>
      <w:r w:rsidR="006D203C">
        <w:rPr>
          <w:rStyle w:val="Strong"/>
          <w:b w:val="0"/>
        </w:rPr>
        <w:t xml:space="preserve"> initial treatment.</w:t>
      </w:r>
      <w:r w:rsidR="00767E24">
        <w:rPr>
          <w:rStyle w:val="Strong"/>
          <w:b w:val="0"/>
        </w:rPr>
        <w:t xml:space="preserve"> </w:t>
      </w:r>
      <w:r w:rsidR="00767E24">
        <w:t>The choice of regimen depends on patient characteristics, previous treatment in the early breast cancer setting and clinician choice.</w:t>
      </w:r>
    </w:p>
    <w:p w14:paraId="39AA000D" w14:textId="2FFF9DE8" w:rsidR="00163F94" w:rsidRDefault="00163F94" w:rsidP="00767E24">
      <w:pPr>
        <w:ind w:left="360"/>
        <w:jc w:val="both"/>
        <w:rPr>
          <w:rFonts w:ascii="Calibri" w:eastAsia="Calibri" w:hAnsi="Calibri" w:cs="Times New Roman"/>
        </w:rPr>
      </w:pPr>
      <w:r>
        <w:rPr>
          <w:rFonts w:ascii="Calibri" w:eastAsia="Calibri" w:hAnsi="Calibri" w:cs="Times New Roman"/>
        </w:rPr>
        <w:t xml:space="preserve">The current and proposed clinical treatment algorithms </w:t>
      </w:r>
      <w:proofErr w:type="gramStart"/>
      <w:r>
        <w:rPr>
          <w:rFonts w:ascii="Calibri" w:eastAsia="Calibri" w:hAnsi="Calibri" w:cs="Times New Roman"/>
        </w:rPr>
        <w:t>are provided</w:t>
      </w:r>
      <w:proofErr w:type="gramEnd"/>
      <w:r>
        <w:rPr>
          <w:rFonts w:ascii="Calibri" w:eastAsia="Calibri" w:hAnsi="Calibri" w:cs="Times New Roman"/>
        </w:rPr>
        <w:t xml:space="preserve"> as an attachment to this application form. </w:t>
      </w:r>
    </w:p>
    <w:p w14:paraId="7A042EB4" w14:textId="77777777" w:rsidR="00163F94" w:rsidRPr="00342005" w:rsidRDefault="00163F94" w:rsidP="00767E24">
      <w:pPr>
        <w:ind w:left="360"/>
        <w:jc w:val="both"/>
        <w:rPr>
          <w:rFonts w:ascii="Calibri" w:eastAsia="Calibri" w:hAnsi="Calibri" w:cs="Times New Roman"/>
        </w:rPr>
      </w:pPr>
    </w:p>
    <w:p w14:paraId="1BB564AB" w14:textId="77777777" w:rsidR="002A50FD" w:rsidRPr="00881F93" w:rsidRDefault="005C3AE7" w:rsidP="00767E24">
      <w:pPr>
        <w:pStyle w:val="Subtitle"/>
        <w:jc w:val="both"/>
      </w:pPr>
      <w:r>
        <w:t xml:space="preserve">PART 6b – </w:t>
      </w:r>
      <w:r w:rsidR="002A50FD" w:rsidRPr="00881F93">
        <w:t>INFORMATION ABOUT THE INTERVENTION</w:t>
      </w:r>
    </w:p>
    <w:p w14:paraId="18E3B2B0" w14:textId="77777777" w:rsidR="002A50FD" w:rsidRDefault="002A6753" w:rsidP="00767E24">
      <w:pPr>
        <w:pStyle w:val="Heading2"/>
        <w:ind w:left="357" w:hanging="357"/>
        <w:jc w:val="both"/>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07513CCC" w14:textId="2A4A970C" w:rsidR="003B4073" w:rsidRDefault="009F55AF" w:rsidP="00163F94">
      <w:pPr>
        <w:ind w:left="360"/>
        <w:jc w:val="both"/>
      </w:pPr>
      <w:r>
        <w:t xml:space="preserve">Atezolizumab is a highly selective humanised monoclonal antibody that targets the PD-L1 receptor to potentiate an immune response. PD-L1 expression in TNBC tumour biopsies </w:t>
      </w:r>
      <w:proofErr w:type="gramStart"/>
      <w:r>
        <w:t>can be assessed</w:t>
      </w:r>
      <w:proofErr w:type="gramEnd"/>
      <w:r>
        <w:t xml:space="preserve"> using IHC testing with antibodies that specifically bind to the PD-L1 protein.</w:t>
      </w:r>
    </w:p>
    <w:p w14:paraId="46253328" w14:textId="70D9CAE6" w:rsidR="009F55AF" w:rsidRDefault="009F55AF" w:rsidP="00163F94">
      <w:pPr>
        <w:ind w:left="360"/>
        <w:jc w:val="both"/>
      </w:pPr>
      <w:r>
        <w:t xml:space="preserve">The </w:t>
      </w:r>
      <w:r w:rsidR="00F24417">
        <w:t xml:space="preserve">VENTANA </w:t>
      </w:r>
      <w:r w:rsidR="00695BDD">
        <w:t xml:space="preserve">SP142 IHC </w:t>
      </w:r>
      <w:r>
        <w:t>assay</w:t>
      </w:r>
      <w:r w:rsidR="00695BDD">
        <w:t xml:space="preserve"> </w:t>
      </w:r>
      <w:proofErr w:type="gramStart"/>
      <w:r w:rsidR="00695BDD">
        <w:t>was used</w:t>
      </w:r>
      <w:proofErr w:type="gramEnd"/>
      <w:r w:rsidR="00695BDD">
        <w:t xml:space="preserve"> to assess PD-L1 expression in the IMpassion130 clinical trial. Patients </w:t>
      </w:r>
      <w:proofErr w:type="gramStart"/>
      <w:r w:rsidR="00695BDD">
        <w:t>were enrolled</w:t>
      </w:r>
      <w:proofErr w:type="gramEnd"/>
      <w:r w:rsidR="00695BDD">
        <w:t xml:space="preserve"> in the IMpassion130 trial, irrespective of </w:t>
      </w:r>
      <w:r w:rsidR="00372DAF">
        <w:t xml:space="preserve">PD-L1 tumour status, i.e. all comers. The </w:t>
      </w:r>
      <w:r w:rsidR="0064735B">
        <w:t>relationship between tumour PD-L1 expression and response to treatment with atezolizumab</w:t>
      </w:r>
      <w:r w:rsidR="0036648A">
        <w:t xml:space="preserve"> </w:t>
      </w:r>
      <w:proofErr w:type="gramStart"/>
      <w:r w:rsidR="0036648A">
        <w:t>was also explored</w:t>
      </w:r>
      <w:proofErr w:type="gramEnd"/>
      <w:r w:rsidR="0064735B">
        <w:t>.</w:t>
      </w:r>
    </w:p>
    <w:p w14:paraId="3086AD40" w14:textId="1A805793" w:rsidR="0064735B" w:rsidRDefault="0064735B" w:rsidP="00767E24">
      <w:pPr>
        <w:pStyle w:val="ListParagraph"/>
        <w:spacing w:before="0" w:after="0"/>
        <w:ind w:left="357"/>
        <w:contextualSpacing w:val="0"/>
        <w:jc w:val="both"/>
      </w:pPr>
      <w:r>
        <w:t xml:space="preserve">Detailed information on the SP142 </w:t>
      </w:r>
      <w:r w:rsidR="00F24417">
        <w:t xml:space="preserve">IHC assay kit components as well as its performance studies </w:t>
      </w:r>
      <w:proofErr w:type="gramStart"/>
      <w:r w:rsidR="00F24417">
        <w:t>will be presented</w:t>
      </w:r>
      <w:proofErr w:type="gramEnd"/>
      <w:r w:rsidR="00F24417">
        <w:t xml:space="preserve"> for MSAC consideration in the co-dependent technology submission.</w:t>
      </w:r>
    </w:p>
    <w:p w14:paraId="69D9D204" w14:textId="2C22B1E6" w:rsidR="0064735B" w:rsidRDefault="0064735B" w:rsidP="00767E24">
      <w:pPr>
        <w:pStyle w:val="ListParagraph"/>
        <w:spacing w:before="0" w:after="0"/>
        <w:ind w:left="357"/>
        <w:contextualSpacing w:val="0"/>
        <w:jc w:val="both"/>
      </w:pPr>
    </w:p>
    <w:p w14:paraId="2B566828" w14:textId="357CD5C1" w:rsidR="000A7C1D" w:rsidRDefault="002A6753" w:rsidP="00767E24">
      <w:pPr>
        <w:pStyle w:val="Heading2"/>
        <w:ind w:left="357" w:hanging="357"/>
        <w:jc w:val="both"/>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r w:rsidR="000A7C1D">
        <w:t xml:space="preserve"> </w:t>
      </w:r>
    </w:p>
    <w:p w14:paraId="02A26D5D" w14:textId="43902121" w:rsidR="001C5807" w:rsidRDefault="001C5807" w:rsidP="00767E24">
      <w:pPr>
        <w:pStyle w:val="ListParagraph"/>
        <w:spacing w:before="0" w:after="0"/>
        <w:ind w:left="357"/>
        <w:contextualSpacing w:val="0"/>
        <w:jc w:val="both"/>
        <w:rPr>
          <w:highlight w:val="yellow"/>
        </w:rPr>
      </w:pPr>
      <w:r w:rsidRPr="001C5807">
        <w:t xml:space="preserve">On the 1 November 2018, a new MBS item </w:t>
      </w:r>
      <w:proofErr w:type="gramStart"/>
      <w:r w:rsidR="009F22EA">
        <w:t>was listed</w:t>
      </w:r>
      <w:proofErr w:type="gramEnd"/>
      <w:r w:rsidR="009F22EA">
        <w:t xml:space="preserve"> </w:t>
      </w:r>
      <w:r w:rsidRPr="001C5807">
        <w:t>for the IHC testing</w:t>
      </w:r>
      <w:r w:rsidRPr="0091668E">
        <w:t xml:space="preserve"> of PD</w:t>
      </w:r>
      <w:r w:rsidRPr="0091668E">
        <w:noBreakHyphen/>
        <w:t>L1 expression to help determine eligibility for PBS-subsidised pembrolizumab in patients</w:t>
      </w:r>
      <w:r>
        <w:t xml:space="preserve"> diagnosed</w:t>
      </w:r>
      <w:r w:rsidRPr="0091668E">
        <w:t xml:space="preserve"> with NSCLC.</w:t>
      </w:r>
      <w:r>
        <w:t xml:space="preserve"> </w:t>
      </w:r>
      <w:r w:rsidR="009F22EA">
        <w:t>T</w:t>
      </w:r>
      <w:r>
        <w:t xml:space="preserve">he MBS item descriptor </w:t>
      </w:r>
      <w:r w:rsidR="009F22EA">
        <w:t>does not</w:t>
      </w:r>
      <w:r>
        <w:t xml:space="preserve"> nominate the use of a specific trademarked assay. Similarly, it </w:t>
      </w:r>
      <w:proofErr w:type="gramStart"/>
      <w:r>
        <w:t>is not anticipated</w:t>
      </w:r>
      <w:proofErr w:type="gramEnd"/>
      <w:r>
        <w:t xml:space="preserve"> that a specific trademarked assay would be required to perform PD-L1 IHC testing in TNBC patients.</w:t>
      </w:r>
    </w:p>
    <w:p w14:paraId="398C1665" w14:textId="77777777" w:rsidR="001C5807" w:rsidRDefault="001C5807" w:rsidP="00767E24">
      <w:pPr>
        <w:pStyle w:val="ListParagraph"/>
        <w:spacing w:before="0" w:after="0"/>
        <w:ind w:left="357"/>
        <w:contextualSpacing w:val="0"/>
        <w:jc w:val="both"/>
        <w:rPr>
          <w:highlight w:val="yellow"/>
        </w:rPr>
      </w:pPr>
    </w:p>
    <w:p w14:paraId="627844BF" w14:textId="77777777" w:rsidR="00C22AD8" w:rsidRPr="00154B00" w:rsidRDefault="00C22AD8" w:rsidP="00767E24">
      <w:pPr>
        <w:pStyle w:val="Heading2"/>
        <w:jc w:val="both"/>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3AF24C66" w14:textId="25F52103" w:rsidR="00B76F00" w:rsidRDefault="00F67296" w:rsidP="00767E24">
      <w:pPr>
        <w:ind w:left="357"/>
        <w:jc w:val="both"/>
      </w:pPr>
      <w:r>
        <w:t>N/A</w:t>
      </w:r>
    </w:p>
    <w:p w14:paraId="48003925" w14:textId="77777777" w:rsidR="00767E24" w:rsidRDefault="00767E24" w:rsidP="00767E24">
      <w:pPr>
        <w:ind w:left="357"/>
        <w:jc w:val="both"/>
      </w:pPr>
    </w:p>
    <w:p w14:paraId="7C0FF3ED" w14:textId="77777777" w:rsidR="006B1B49" w:rsidRPr="00E357B9" w:rsidRDefault="006B1B49" w:rsidP="00767E24">
      <w:pPr>
        <w:pStyle w:val="Heading2"/>
        <w:jc w:val="both"/>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54A86E8A" w14:textId="5C77666E" w:rsidR="00A630D7" w:rsidRDefault="004C59D4" w:rsidP="00767E24">
      <w:pPr>
        <w:ind w:left="330"/>
        <w:jc w:val="both"/>
        <w:rPr>
          <w:u w:val="single"/>
        </w:rPr>
      </w:pPr>
      <w:r w:rsidRPr="004C59D4">
        <w:rPr>
          <w:u w:val="single"/>
        </w:rPr>
        <w:t>Accessibility</w:t>
      </w:r>
      <w:r w:rsidR="000A7C1D" w:rsidRPr="004C59D4">
        <w:rPr>
          <w:u w:val="single"/>
        </w:rPr>
        <w:t xml:space="preserve"> </w:t>
      </w:r>
    </w:p>
    <w:p w14:paraId="6BA160E0" w14:textId="30110DB9" w:rsidR="004C59D4" w:rsidRDefault="004C59D4" w:rsidP="00767E24">
      <w:pPr>
        <w:ind w:left="330"/>
        <w:jc w:val="both"/>
      </w:pPr>
      <w:r w:rsidRPr="004C59D4">
        <w:t>All patients</w:t>
      </w:r>
      <w:r>
        <w:t xml:space="preserve"> with </w:t>
      </w:r>
      <w:r w:rsidR="00A1664C">
        <w:t>locally advanced</w:t>
      </w:r>
      <w:r>
        <w:t xml:space="preserve"> or metastatic TNBC will have a biopsy taken as part of</w:t>
      </w:r>
      <w:r w:rsidR="006E34BB">
        <w:t xml:space="preserve"> a</w:t>
      </w:r>
      <w:r>
        <w:t xml:space="preserve"> standard </w:t>
      </w:r>
      <w:r w:rsidR="006E34BB">
        <w:t>diagnostic work-up</w:t>
      </w:r>
      <w:r>
        <w:t xml:space="preserve">. It </w:t>
      </w:r>
      <w:proofErr w:type="gramStart"/>
      <w:r>
        <w:t>is proposed</w:t>
      </w:r>
      <w:proofErr w:type="gramEnd"/>
      <w:r>
        <w:t xml:space="preserve"> that PD-L1 expression testing be carried out on the tissue sample when </w:t>
      </w:r>
      <w:r w:rsidR="0036648A">
        <w:t>treatment with atezolizumab is being considered</w:t>
      </w:r>
      <w:r>
        <w:t>.</w:t>
      </w:r>
      <w:r w:rsidR="006E34BB">
        <w:t xml:space="preserve"> </w:t>
      </w:r>
    </w:p>
    <w:p w14:paraId="267295AB" w14:textId="3D2DE866" w:rsidR="00EC6EB8" w:rsidRDefault="00EC6EB8" w:rsidP="00767E24">
      <w:pPr>
        <w:ind w:left="330"/>
        <w:jc w:val="both"/>
        <w:rPr>
          <w:u w:val="single"/>
        </w:rPr>
      </w:pPr>
      <w:r>
        <w:rPr>
          <w:u w:val="single"/>
        </w:rPr>
        <w:t>Frequency</w:t>
      </w:r>
    </w:p>
    <w:p w14:paraId="2A30847B" w14:textId="1A8E0C61" w:rsidR="0041196C" w:rsidRDefault="0041196C" w:rsidP="00767E24">
      <w:pPr>
        <w:ind w:left="330"/>
        <w:jc w:val="both"/>
      </w:pPr>
      <w:r w:rsidRPr="0041196C">
        <w:t>As per</w:t>
      </w:r>
      <w:r>
        <w:t xml:space="preserve"> the IMpassion130 study protocol, only one PD-L1 test was required throughout the course</w:t>
      </w:r>
      <w:r w:rsidR="00E830FF">
        <w:t xml:space="preserve"> of a patient’s disease</w:t>
      </w:r>
      <w:r w:rsidR="006837B2">
        <w:t xml:space="preserve"> to determine eligibility for treatment</w:t>
      </w:r>
      <w:r w:rsidR="00E830FF">
        <w:t xml:space="preserve">. The test </w:t>
      </w:r>
      <w:proofErr w:type="gramStart"/>
      <w:r w:rsidR="00E830FF">
        <w:t>would be undertaken</w:t>
      </w:r>
      <w:proofErr w:type="gramEnd"/>
      <w:r w:rsidR="00E830FF">
        <w:t xml:space="preserve"> prior to commencement of atezolizumab to enable identification of patients most likely to benefit from treatment.</w:t>
      </w:r>
      <w:r w:rsidR="00D42231">
        <w:t xml:space="preserve"> There is no known role of the PD-L1 test in monitoring a patient’s response to treatment.</w:t>
      </w:r>
    </w:p>
    <w:p w14:paraId="467EB03F" w14:textId="09D69F88" w:rsidR="00E830FF" w:rsidRDefault="00E830FF" w:rsidP="00767E24">
      <w:pPr>
        <w:ind w:left="330"/>
        <w:jc w:val="both"/>
        <w:rPr>
          <w:u w:val="single"/>
        </w:rPr>
      </w:pPr>
      <w:r>
        <w:rPr>
          <w:u w:val="single"/>
        </w:rPr>
        <w:t>Sample consideration</w:t>
      </w:r>
    </w:p>
    <w:p w14:paraId="4D425561" w14:textId="72ED4598" w:rsidR="00EC6EB8" w:rsidRPr="004C59D4" w:rsidRDefault="00AF5855" w:rsidP="00767E24">
      <w:pPr>
        <w:ind w:left="330"/>
        <w:jc w:val="both"/>
      </w:pPr>
      <w:r>
        <w:t>T</w:t>
      </w:r>
      <w:r w:rsidR="00D42231">
        <w:t>he IMpassion130 trial utilised PD-L1 testing on both archival and newly obtained biopsy samples.</w:t>
      </w:r>
      <w:r>
        <w:t xml:space="preserve"> This information </w:t>
      </w:r>
      <w:proofErr w:type="gramStart"/>
      <w:r>
        <w:t>will be used</w:t>
      </w:r>
      <w:proofErr w:type="gramEnd"/>
      <w:r>
        <w:t xml:space="preserve"> to help inform the type of sample required for PD-L1 testing. </w:t>
      </w:r>
      <w:r w:rsidR="00D42231">
        <w:t>Roche will present this information for MSAC’s consideration as part of a co-dependent technology submission.</w:t>
      </w:r>
      <w:r>
        <w:t xml:space="preserve"> Further relevant sample considerations such as biopsy location </w:t>
      </w:r>
      <w:proofErr w:type="gramStart"/>
      <w:r>
        <w:t>will also be presented</w:t>
      </w:r>
      <w:proofErr w:type="gramEnd"/>
      <w:r>
        <w:t>.</w:t>
      </w:r>
    </w:p>
    <w:p w14:paraId="2B7C6D7D" w14:textId="77777777" w:rsidR="004C59D4" w:rsidRPr="004C59D4" w:rsidRDefault="004C59D4" w:rsidP="00767E24">
      <w:pPr>
        <w:ind w:left="330"/>
        <w:jc w:val="both"/>
        <w:rPr>
          <w:color w:val="0000FF" w:themeColor="hyperlink"/>
          <w:highlight w:val="yellow"/>
          <w:u w:val="single"/>
        </w:rPr>
      </w:pPr>
    </w:p>
    <w:p w14:paraId="7BA8AC12" w14:textId="77777777" w:rsidR="009D5354" w:rsidRDefault="00791C8D" w:rsidP="00767E24">
      <w:pPr>
        <w:pStyle w:val="Heading2"/>
        <w:jc w:val="both"/>
      </w:pPr>
      <w:r w:rsidRPr="00154B00">
        <w:lastRenderedPageBreak/>
        <w:t xml:space="preserve">If </w:t>
      </w:r>
      <w:r w:rsidRPr="0073597B">
        <w:t>applicable</w:t>
      </w:r>
      <w:r w:rsidRPr="00154B00">
        <w:t xml:space="preserve">, identify any healthcare resources </w:t>
      </w:r>
      <w:r w:rsidR="007522E3">
        <w:t xml:space="preserve">or other medical services </w:t>
      </w:r>
      <w:r w:rsidRPr="00154B00">
        <w:t xml:space="preserve">that would need to </w:t>
      </w:r>
      <w:proofErr w:type="gramStart"/>
      <w:r w:rsidRPr="00154B00">
        <w:t>be delivered</w:t>
      </w:r>
      <w:proofErr w:type="gramEnd"/>
      <w:r w:rsidRPr="00154B00">
        <w:t xml:space="preserve"> </w:t>
      </w:r>
      <w:r w:rsidRPr="007C2260">
        <w:rPr>
          <w:u w:val="single"/>
        </w:rPr>
        <w:t>at the same time</w:t>
      </w:r>
      <w:r w:rsidRPr="00154B00">
        <w:t xml:space="preserve"> </w:t>
      </w:r>
      <w:r w:rsidR="00197D29">
        <w:t>as the proposed medical service:</w:t>
      </w:r>
    </w:p>
    <w:p w14:paraId="10DE22D5" w14:textId="58B4F57C" w:rsidR="009D5354" w:rsidRDefault="00356E56" w:rsidP="00767E24">
      <w:pPr>
        <w:ind w:left="360"/>
        <w:jc w:val="both"/>
      </w:pPr>
      <w:r>
        <w:t>Immunohistochemistry testing is a well-established technique in all major pathology laboratories</w:t>
      </w:r>
      <w:r w:rsidR="00D963FF" w:rsidRPr="00EC1E81">
        <w:t>.</w:t>
      </w:r>
      <w:r>
        <w:t xml:space="preserve"> Laboratories already have the platform infrastructure and reagents to perform PD-L1 IHC testing. The PD</w:t>
      </w:r>
      <w:r>
        <w:noBreakHyphen/>
        <w:t>L1 antibody is the only additional resource required.</w:t>
      </w:r>
    </w:p>
    <w:p w14:paraId="0B19EEB3" w14:textId="77777777" w:rsidR="00356E56" w:rsidRPr="009D5354" w:rsidRDefault="00356E56" w:rsidP="00767E24">
      <w:pPr>
        <w:ind w:left="360"/>
        <w:jc w:val="both"/>
      </w:pPr>
    </w:p>
    <w:p w14:paraId="34CFC170" w14:textId="77777777" w:rsidR="00B17E26" w:rsidRPr="00154B00" w:rsidRDefault="00B17E26" w:rsidP="00767E24">
      <w:pPr>
        <w:pStyle w:val="Heading2"/>
        <w:jc w:val="both"/>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33612625" w14:textId="5B4C9E5A" w:rsidR="00A95163" w:rsidRDefault="00356E56" w:rsidP="00767E24">
      <w:pPr>
        <w:ind w:left="425"/>
        <w:jc w:val="both"/>
      </w:pPr>
      <w:r>
        <w:t xml:space="preserve">A certified pathologist would be responsible </w:t>
      </w:r>
      <w:r w:rsidR="0021501A">
        <w:t>for conducting the testing and reporting of results</w:t>
      </w:r>
      <w:r w:rsidR="00A95163">
        <w:t>.</w:t>
      </w:r>
    </w:p>
    <w:p w14:paraId="2563BFC2" w14:textId="6EF8B0D8" w:rsidR="0021501A" w:rsidRDefault="0021501A" w:rsidP="00767E24">
      <w:pPr>
        <w:ind w:left="426"/>
        <w:jc w:val="both"/>
      </w:pPr>
      <w:r>
        <w:t xml:space="preserve">As discussed, IHC is a well-established technique and a common procedure. It </w:t>
      </w:r>
      <w:proofErr w:type="gramStart"/>
      <w:r>
        <w:t>is proposed</w:t>
      </w:r>
      <w:proofErr w:type="gramEnd"/>
      <w:r>
        <w:t xml:space="preserve"> that PD-L1 testing be eligible to be carried out in any pathology laboratory holding the appropriate accreditation to claim pathology services through the MBS.</w:t>
      </w:r>
    </w:p>
    <w:p w14:paraId="307C83C2" w14:textId="77777777" w:rsidR="00356E56" w:rsidRDefault="00356E56" w:rsidP="00767E24">
      <w:pPr>
        <w:ind w:left="426"/>
        <w:jc w:val="both"/>
      </w:pPr>
    </w:p>
    <w:p w14:paraId="2191C010" w14:textId="24A6A5FE" w:rsidR="00B17E26" w:rsidRDefault="00B17E26" w:rsidP="00767E24">
      <w:pPr>
        <w:pStyle w:val="Heading2"/>
        <w:jc w:val="both"/>
      </w:pPr>
      <w:r w:rsidRPr="00154B00">
        <w:t xml:space="preserve">If applicable, advise whether the proposed medical service </w:t>
      </w:r>
      <w:proofErr w:type="gramStart"/>
      <w:r w:rsidRPr="00154B00">
        <w:t xml:space="preserve">could be delegated or referred to another professional </w:t>
      </w:r>
      <w:r w:rsidRPr="0073597B">
        <w:t>for</w:t>
      </w:r>
      <w:r w:rsidRPr="00154B00">
        <w:t xml:space="preserve"> delive</w:t>
      </w:r>
      <w:r w:rsidR="00AE1188">
        <w:t>ry</w:t>
      </w:r>
      <w:proofErr w:type="gramEnd"/>
      <w:r w:rsidR="00AE1188">
        <w:t>:</w:t>
      </w:r>
      <w:r w:rsidR="0002013F">
        <w:t xml:space="preserve"> </w:t>
      </w:r>
    </w:p>
    <w:p w14:paraId="283AC071" w14:textId="534B81C4" w:rsidR="0021501A" w:rsidRPr="0021501A" w:rsidRDefault="0021501A" w:rsidP="00767E24">
      <w:pPr>
        <w:ind w:left="425"/>
        <w:jc w:val="both"/>
      </w:pPr>
      <w:r>
        <w:t xml:space="preserve">It </w:t>
      </w:r>
      <w:proofErr w:type="gramStart"/>
      <w:r>
        <w:t>is not anticipated</w:t>
      </w:r>
      <w:proofErr w:type="gramEnd"/>
      <w:r>
        <w:t xml:space="preserve"> that any other professional, other than a certified pathologist would be able to conduct IHC testing for PD-L1 expression.</w:t>
      </w:r>
    </w:p>
    <w:p w14:paraId="4D920223" w14:textId="77777777" w:rsidR="00A34959" w:rsidRPr="00A34959" w:rsidRDefault="00A34959" w:rsidP="00767E24">
      <w:pPr>
        <w:jc w:val="both"/>
      </w:pPr>
    </w:p>
    <w:p w14:paraId="070E70E8" w14:textId="5FF6E5EE" w:rsidR="00A34959" w:rsidRDefault="00EA0E25" w:rsidP="00767E24">
      <w:pPr>
        <w:pStyle w:val="Heading2"/>
        <w:jc w:val="both"/>
        <w:rPr>
          <w:b w:val="0"/>
        </w:rPr>
      </w:pPr>
      <w:r w:rsidRPr="00576C6F">
        <w:t xml:space="preserve">If applicable, specify any proposed limitations on who might deliver the proposed medical service, or who </w:t>
      </w:r>
      <w:r w:rsidR="00AE1188" w:rsidRPr="00576C6F">
        <w:t>might provide a referral for it:</w:t>
      </w:r>
      <w:r w:rsidR="00576C6F" w:rsidRPr="00576C6F">
        <w:t xml:space="preserve"> </w:t>
      </w:r>
    </w:p>
    <w:p w14:paraId="1DDFD2D3" w14:textId="76B35A5E" w:rsidR="0021501A" w:rsidRPr="0021501A" w:rsidRDefault="0021501A" w:rsidP="00767E24">
      <w:pPr>
        <w:ind w:left="425"/>
        <w:jc w:val="both"/>
      </w:pPr>
      <w:r>
        <w:t>A certified pathologist would be responsible for conducting the test and reporting the results. Specialists involved in the diagnosis and care of patients with TNBC, including oncologists may provide a referral for PD-L1 IHC testing.</w:t>
      </w:r>
    </w:p>
    <w:p w14:paraId="5516A81F" w14:textId="77777777" w:rsidR="00A34959" w:rsidRPr="00A34959" w:rsidRDefault="00A34959" w:rsidP="00767E24">
      <w:pPr>
        <w:jc w:val="both"/>
      </w:pPr>
    </w:p>
    <w:p w14:paraId="10A28D85" w14:textId="77777777" w:rsidR="00E914C3" w:rsidRPr="00E914C3" w:rsidRDefault="00EA0E25" w:rsidP="00767E24">
      <w:pPr>
        <w:pStyle w:val="Heading2"/>
        <w:jc w:val="both"/>
      </w:pPr>
      <w:r w:rsidRPr="00154B00">
        <w:t xml:space="preserve">If applicable, </w:t>
      </w:r>
      <w:proofErr w:type="gramStart"/>
      <w:r w:rsidRPr="00154B00">
        <w:t>advise</w:t>
      </w:r>
      <w:proofErr w:type="gramEnd"/>
      <w:r w:rsidRPr="00154B00">
        <w:t xml:space="preserv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471BDC84" w14:textId="2825D2FC" w:rsidR="00A95163" w:rsidRDefault="0021501A" w:rsidP="00767E24">
      <w:pPr>
        <w:ind w:left="360"/>
        <w:jc w:val="both"/>
      </w:pPr>
      <w:r>
        <w:t xml:space="preserve">It </w:t>
      </w:r>
      <w:proofErr w:type="gramStart"/>
      <w:r>
        <w:t>is expected</w:t>
      </w:r>
      <w:proofErr w:type="gramEnd"/>
      <w:r>
        <w:t xml:space="preserve"> that, </w:t>
      </w:r>
      <w:r w:rsidR="006D61AD">
        <w:t>consistent</w:t>
      </w:r>
      <w:r>
        <w:t xml:space="preserve"> with the introduction of other IHC diagnostic tests for other targeted therapies, that pathologist training and </w:t>
      </w:r>
      <w:r w:rsidR="006D61AD">
        <w:t xml:space="preserve">a </w:t>
      </w:r>
      <w:r>
        <w:t>quality assurance program</w:t>
      </w:r>
      <w:r w:rsidR="006D61AD">
        <w:t xml:space="preserve"> would be developed</w:t>
      </w:r>
      <w:r w:rsidR="0016631E">
        <w:t xml:space="preserve">. This would address interpretation of the test results for PD-L1 positivity specific to the SP142 assay and for other assays/antibodies that are likely to be available. </w:t>
      </w:r>
      <w:r w:rsidR="006D61AD">
        <w:t>There is currently a pathologist training and quality assurance program underway for PD-L1 testing for NSCLC.</w:t>
      </w:r>
    </w:p>
    <w:p w14:paraId="4E1BD0AF" w14:textId="77777777" w:rsidR="0016631E" w:rsidRPr="00144869" w:rsidRDefault="0016631E" w:rsidP="00767E24">
      <w:pPr>
        <w:ind w:left="360"/>
        <w:jc w:val="both"/>
        <w:rPr>
          <w:b/>
        </w:rPr>
      </w:pPr>
    </w:p>
    <w:p w14:paraId="12E78C72" w14:textId="77777777" w:rsidR="005F3F07" w:rsidRDefault="005F033A" w:rsidP="00767E24">
      <w:pPr>
        <w:pStyle w:val="Heading2"/>
        <w:jc w:val="both"/>
      </w:pPr>
      <w:r>
        <w:t xml:space="preserve"> </w:t>
      </w:r>
      <w:r w:rsidR="005C3AE7">
        <w:t>(</w:t>
      </w:r>
      <w:proofErr w:type="gramStart"/>
      <w:r w:rsidR="005C3AE7">
        <w:t>a</w:t>
      </w:r>
      <w:proofErr w:type="gramEnd"/>
      <w:r w:rsidR="005C3AE7">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5803B8BF" w14:textId="77777777" w:rsidR="000A478F" w:rsidRDefault="000A478F" w:rsidP="00767E24">
      <w:pPr>
        <w:spacing w:before="0" w:after="0"/>
        <w:ind w:left="426"/>
        <w:jc w:val="both"/>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30EA2">
        <w:rPr>
          <w:szCs w:val="20"/>
        </w:rPr>
      </w:r>
      <w:r w:rsidR="00E30EA2">
        <w:rPr>
          <w:szCs w:val="20"/>
        </w:rPr>
        <w:fldChar w:fldCharType="separate"/>
      </w:r>
      <w:r w:rsidRPr="000A5B32">
        <w:rPr>
          <w:szCs w:val="20"/>
        </w:rPr>
        <w:fldChar w:fldCharType="end"/>
      </w:r>
      <w:r>
        <w:rPr>
          <w:szCs w:val="20"/>
        </w:rPr>
        <w:t xml:space="preserve"> </w:t>
      </w:r>
      <w:r>
        <w:t>Inpatient private hospital</w:t>
      </w:r>
    </w:p>
    <w:p w14:paraId="21D34E3B" w14:textId="77777777" w:rsidR="000A478F" w:rsidRDefault="000A478F" w:rsidP="00767E24">
      <w:pPr>
        <w:spacing w:before="0" w:after="0"/>
        <w:ind w:left="426"/>
        <w:jc w:val="both"/>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30EA2">
        <w:rPr>
          <w:szCs w:val="20"/>
        </w:rPr>
      </w:r>
      <w:r w:rsidR="00E30EA2">
        <w:rPr>
          <w:szCs w:val="20"/>
        </w:rPr>
        <w:fldChar w:fldCharType="separate"/>
      </w:r>
      <w:r w:rsidRPr="000A5B32">
        <w:rPr>
          <w:szCs w:val="20"/>
        </w:rPr>
        <w:fldChar w:fldCharType="end"/>
      </w:r>
      <w:r>
        <w:rPr>
          <w:szCs w:val="20"/>
        </w:rPr>
        <w:t xml:space="preserve"> </w:t>
      </w:r>
      <w:r>
        <w:t>Inpatient public hospital</w:t>
      </w:r>
    </w:p>
    <w:p w14:paraId="426CF4EA" w14:textId="77777777" w:rsidR="000A478F" w:rsidRDefault="000A478F" w:rsidP="00767E24">
      <w:pPr>
        <w:spacing w:before="0" w:after="0"/>
        <w:ind w:left="426"/>
        <w:jc w:val="both"/>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30EA2">
        <w:rPr>
          <w:szCs w:val="20"/>
        </w:rPr>
      </w:r>
      <w:r w:rsidR="00E30EA2">
        <w:rPr>
          <w:szCs w:val="20"/>
        </w:rPr>
        <w:fldChar w:fldCharType="separate"/>
      </w:r>
      <w:r w:rsidRPr="000A5B32">
        <w:rPr>
          <w:szCs w:val="20"/>
        </w:rPr>
        <w:fldChar w:fldCharType="end"/>
      </w:r>
      <w:r>
        <w:rPr>
          <w:szCs w:val="20"/>
        </w:rPr>
        <w:t xml:space="preserve"> </w:t>
      </w:r>
      <w:r>
        <w:t>Outpatient clinic</w:t>
      </w:r>
    </w:p>
    <w:p w14:paraId="68FC99C9" w14:textId="77777777" w:rsidR="000A478F" w:rsidRDefault="000A478F" w:rsidP="00767E24">
      <w:pPr>
        <w:spacing w:before="0" w:after="0"/>
        <w:ind w:left="426"/>
        <w:jc w:val="both"/>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30EA2">
        <w:rPr>
          <w:szCs w:val="20"/>
        </w:rPr>
      </w:r>
      <w:r w:rsidR="00E30EA2">
        <w:rPr>
          <w:szCs w:val="20"/>
        </w:rPr>
        <w:fldChar w:fldCharType="separate"/>
      </w:r>
      <w:r w:rsidRPr="000A5B32">
        <w:rPr>
          <w:szCs w:val="20"/>
        </w:rPr>
        <w:fldChar w:fldCharType="end"/>
      </w:r>
      <w:r>
        <w:rPr>
          <w:szCs w:val="20"/>
        </w:rPr>
        <w:t xml:space="preserve"> </w:t>
      </w:r>
      <w:r>
        <w:t>Emergency Department</w:t>
      </w:r>
    </w:p>
    <w:p w14:paraId="3DA4999F" w14:textId="77777777" w:rsidR="000A478F" w:rsidRDefault="000A478F" w:rsidP="00767E24">
      <w:pPr>
        <w:spacing w:before="0" w:after="0"/>
        <w:ind w:left="426"/>
        <w:jc w:val="both"/>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30EA2">
        <w:rPr>
          <w:szCs w:val="20"/>
        </w:rPr>
      </w:r>
      <w:r w:rsidR="00E30EA2">
        <w:rPr>
          <w:szCs w:val="20"/>
        </w:rPr>
        <w:fldChar w:fldCharType="separate"/>
      </w:r>
      <w:r w:rsidRPr="000A5B32">
        <w:rPr>
          <w:szCs w:val="20"/>
        </w:rPr>
        <w:fldChar w:fldCharType="end"/>
      </w:r>
      <w:r>
        <w:rPr>
          <w:szCs w:val="20"/>
        </w:rPr>
        <w:t xml:space="preserve"> </w:t>
      </w:r>
      <w:r>
        <w:t>Consulting rooms</w:t>
      </w:r>
    </w:p>
    <w:p w14:paraId="6EA64E49" w14:textId="77777777" w:rsidR="000A478F" w:rsidRDefault="000A478F" w:rsidP="00767E24">
      <w:pPr>
        <w:spacing w:before="0" w:after="0"/>
        <w:ind w:left="426"/>
        <w:jc w:val="both"/>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30EA2">
        <w:rPr>
          <w:szCs w:val="20"/>
        </w:rPr>
      </w:r>
      <w:r w:rsidR="00E30EA2">
        <w:rPr>
          <w:szCs w:val="20"/>
        </w:rPr>
        <w:fldChar w:fldCharType="separate"/>
      </w:r>
      <w:r w:rsidRPr="000A5B32">
        <w:rPr>
          <w:szCs w:val="20"/>
        </w:rPr>
        <w:fldChar w:fldCharType="end"/>
      </w:r>
      <w:r>
        <w:rPr>
          <w:szCs w:val="20"/>
        </w:rPr>
        <w:t xml:space="preserve"> </w:t>
      </w:r>
      <w:r>
        <w:t>Day surgery centre</w:t>
      </w:r>
    </w:p>
    <w:p w14:paraId="7D164B70" w14:textId="77777777" w:rsidR="000A478F" w:rsidRDefault="000A478F" w:rsidP="00767E24">
      <w:pPr>
        <w:spacing w:before="0" w:after="0"/>
        <w:ind w:left="426"/>
        <w:jc w:val="both"/>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30EA2">
        <w:rPr>
          <w:szCs w:val="20"/>
        </w:rPr>
      </w:r>
      <w:r w:rsidR="00E30EA2">
        <w:rPr>
          <w:szCs w:val="20"/>
        </w:rPr>
        <w:fldChar w:fldCharType="separate"/>
      </w:r>
      <w:r w:rsidRPr="000A5B32">
        <w:rPr>
          <w:szCs w:val="20"/>
        </w:rPr>
        <w:fldChar w:fldCharType="end"/>
      </w:r>
      <w:r>
        <w:rPr>
          <w:szCs w:val="20"/>
        </w:rPr>
        <w:t xml:space="preserve"> </w:t>
      </w:r>
      <w:r>
        <w:t>Residential aged care facility</w:t>
      </w:r>
    </w:p>
    <w:p w14:paraId="5B5910E1" w14:textId="77777777" w:rsidR="000A478F" w:rsidRDefault="000A478F" w:rsidP="00767E24">
      <w:pPr>
        <w:spacing w:before="0" w:after="0"/>
        <w:ind w:left="426"/>
        <w:jc w:val="both"/>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30EA2">
        <w:rPr>
          <w:szCs w:val="20"/>
        </w:rPr>
      </w:r>
      <w:r w:rsidR="00E30EA2">
        <w:rPr>
          <w:szCs w:val="20"/>
        </w:rPr>
        <w:fldChar w:fldCharType="separate"/>
      </w:r>
      <w:r w:rsidRPr="000A5B32">
        <w:rPr>
          <w:szCs w:val="20"/>
        </w:rPr>
        <w:fldChar w:fldCharType="end"/>
      </w:r>
      <w:r>
        <w:rPr>
          <w:szCs w:val="20"/>
        </w:rPr>
        <w:t xml:space="preserve"> </w:t>
      </w:r>
      <w:r>
        <w:t>Patient’s home</w:t>
      </w:r>
    </w:p>
    <w:p w14:paraId="02E9780F" w14:textId="77777777" w:rsidR="000A478F" w:rsidRDefault="003B4073" w:rsidP="00767E24">
      <w:pPr>
        <w:spacing w:before="0" w:after="0"/>
        <w:ind w:left="426"/>
        <w:jc w:val="both"/>
      </w:pPr>
      <w:r>
        <w:rPr>
          <w:szCs w:val="20"/>
        </w:rPr>
        <w:fldChar w:fldCharType="begin">
          <w:ffData>
            <w:name w:val=""/>
            <w:enabled/>
            <w:calcOnExit w:val="0"/>
            <w:checkBox>
              <w:sizeAuto/>
              <w:default w:val="1"/>
            </w:checkBox>
          </w:ffData>
        </w:fldChar>
      </w:r>
      <w:r>
        <w:rPr>
          <w:szCs w:val="20"/>
        </w:rPr>
        <w:instrText xml:space="preserve"> FORMCHECKBOX </w:instrText>
      </w:r>
      <w:r w:rsidR="00E30EA2">
        <w:rPr>
          <w:szCs w:val="20"/>
        </w:rPr>
      </w:r>
      <w:r w:rsidR="00E30EA2">
        <w:rPr>
          <w:szCs w:val="20"/>
        </w:rPr>
        <w:fldChar w:fldCharType="separate"/>
      </w:r>
      <w:r>
        <w:rPr>
          <w:szCs w:val="20"/>
        </w:rPr>
        <w:fldChar w:fldCharType="end"/>
      </w:r>
      <w:r w:rsidR="000A478F">
        <w:rPr>
          <w:szCs w:val="20"/>
        </w:rPr>
        <w:t xml:space="preserve"> </w:t>
      </w:r>
      <w:r w:rsidR="000A478F">
        <w:t>Laboratory</w:t>
      </w:r>
    </w:p>
    <w:p w14:paraId="51AF95A4" w14:textId="77777777" w:rsidR="000A478F" w:rsidRPr="000A478F" w:rsidRDefault="000A478F" w:rsidP="00767E24">
      <w:pPr>
        <w:spacing w:before="0" w:after="0"/>
        <w:ind w:left="426"/>
        <w:jc w:val="both"/>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30EA2">
        <w:rPr>
          <w:szCs w:val="20"/>
        </w:rPr>
      </w:r>
      <w:r w:rsidR="00E30EA2">
        <w:rPr>
          <w:szCs w:val="20"/>
        </w:rPr>
        <w:fldChar w:fldCharType="separate"/>
      </w:r>
      <w:r w:rsidRPr="000A5B32">
        <w:rPr>
          <w:szCs w:val="20"/>
        </w:rPr>
        <w:fldChar w:fldCharType="end"/>
      </w:r>
      <w:r>
        <w:rPr>
          <w:szCs w:val="20"/>
        </w:rPr>
        <w:t xml:space="preserve"> </w:t>
      </w:r>
      <w:r>
        <w:t>Other – please specify below</w:t>
      </w:r>
    </w:p>
    <w:p w14:paraId="7361D752" w14:textId="77AE9CD2" w:rsidR="003B4073" w:rsidRPr="00576C6F" w:rsidRDefault="001B29A1" w:rsidP="00767E24">
      <w:pPr>
        <w:ind w:left="426"/>
        <w:jc w:val="both"/>
      </w:pPr>
      <w:r>
        <w:fldChar w:fldCharType="begin">
          <w:ffData>
            <w:name w:val=""/>
            <w:enabled/>
            <w:calcOnExit w:val="0"/>
            <w:textInput>
              <w:default w:val="Specify further details here"/>
            </w:textInput>
          </w:ffData>
        </w:fldChar>
      </w:r>
      <w:r>
        <w:instrText xml:space="preserve"> FORMTEXT </w:instrText>
      </w:r>
      <w:r>
        <w:fldChar w:fldCharType="separate"/>
      </w:r>
      <w:r w:rsidR="000F7A4E">
        <w:rPr>
          <w:noProof/>
        </w:rPr>
        <w:t>Specify further details here</w:t>
      </w:r>
      <w:r>
        <w:fldChar w:fldCharType="end"/>
      </w:r>
    </w:p>
    <w:p w14:paraId="0B8E5F86" w14:textId="77777777" w:rsidR="00A95163" w:rsidRPr="00B46E7F" w:rsidRDefault="00E048ED" w:rsidP="00767E24">
      <w:pPr>
        <w:pStyle w:val="ListParagraph"/>
        <w:numPr>
          <w:ilvl w:val="0"/>
          <w:numId w:val="8"/>
        </w:numPr>
        <w:jc w:val="both"/>
        <w:rPr>
          <w:b/>
          <w:szCs w:val="20"/>
        </w:rPr>
      </w:pPr>
      <w:r w:rsidRPr="005C3AE7">
        <w:rPr>
          <w:b/>
          <w:szCs w:val="20"/>
        </w:rPr>
        <w:t>Where the proposed medical service is provided in more than one setting, please describ</w:t>
      </w:r>
      <w:r w:rsidR="00AE1188" w:rsidRPr="005C3AE7">
        <w:rPr>
          <w:b/>
          <w:szCs w:val="20"/>
        </w:rPr>
        <w:t>e the rationale related to each:</w:t>
      </w:r>
      <w:r w:rsidR="005F033A">
        <w:rPr>
          <w:b/>
          <w:szCs w:val="20"/>
        </w:rPr>
        <w:t xml:space="preserve"> </w:t>
      </w:r>
      <w:r w:rsidR="003B4073">
        <w:t>Not applicable</w:t>
      </w:r>
    </w:p>
    <w:p w14:paraId="2B391FA2" w14:textId="77777777" w:rsidR="0016631E" w:rsidRDefault="0016631E" w:rsidP="00767E24">
      <w:pPr>
        <w:pStyle w:val="Heading2"/>
        <w:numPr>
          <w:ilvl w:val="0"/>
          <w:numId w:val="0"/>
        </w:numPr>
        <w:ind w:left="360"/>
        <w:jc w:val="both"/>
      </w:pPr>
    </w:p>
    <w:p w14:paraId="6FF35F89" w14:textId="748847D8" w:rsidR="003E30FB" w:rsidRDefault="003E30FB" w:rsidP="00767E24">
      <w:pPr>
        <w:pStyle w:val="Heading2"/>
        <w:jc w:val="both"/>
      </w:pPr>
      <w:proofErr w:type="gramStart"/>
      <w:r>
        <w:lastRenderedPageBreak/>
        <w:t xml:space="preserve">Is the </w:t>
      </w:r>
      <w:r w:rsidRPr="001B29A1">
        <w:t>proposed</w:t>
      </w:r>
      <w:r>
        <w:t xml:space="preserve"> medical service intended to be entirely rendered</w:t>
      </w:r>
      <w:proofErr w:type="gramEnd"/>
      <w:r>
        <w:t xml:space="preserve"> in Australia?</w:t>
      </w:r>
    </w:p>
    <w:p w14:paraId="66A4EC06" w14:textId="77777777" w:rsidR="000A478F" w:rsidRDefault="003B4073" w:rsidP="00767E24">
      <w:pPr>
        <w:spacing w:before="0" w:after="0"/>
        <w:ind w:left="426"/>
        <w:jc w:val="both"/>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30EA2">
        <w:rPr>
          <w:szCs w:val="20"/>
        </w:rPr>
      </w:r>
      <w:r w:rsidR="00E30EA2">
        <w:rPr>
          <w:szCs w:val="20"/>
        </w:rPr>
        <w:fldChar w:fldCharType="separate"/>
      </w:r>
      <w:r>
        <w:rPr>
          <w:szCs w:val="20"/>
        </w:rPr>
        <w:fldChar w:fldCharType="end"/>
      </w:r>
      <w:r w:rsidR="000A478F">
        <w:rPr>
          <w:szCs w:val="20"/>
        </w:rPr>
        <w:t xml:space="preserve"> Yes</w:t>
      </w:r>
    </w:p>
    <w:p w14:paraId="5FFF99B0" w14:textId="77777777" w:rsidR="000A478F" w:rsidRPr="00753C44" w:rsidRDefault="000A478F" w:rsidP="00767E24">
      <w:pPr>
        <w:spacing w:before="0" w:after="0"/>
        <w:ind w:left="426"/>
        <w:jc w:val="both"/>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E30EA2">
        <w:rPr>
          <w:szCs w:val="20"/>
        </w:rPr>
      </w:r>
      <w:r w:rsidR="00E30EA2">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5D39A011" w14:textId="77777777" w:rsidR="00306077" w:rsidRDefault="00306077" w:rsidP="00767E24">
      <w:pPr>
        <w:jc w:val="both"/>
        <w:rPr>
          <w:b/>
          <w:i/>
          <w:szCs w:val="20"/>
          <w:u w:val="single"/>
        </w:rPr>
      </w:pPr>
    </w:p>
    <w:p w14:paraId="06BE97C7" w14:textId="77777777" w:rsidR="00E60529" w:rsidRPr="00881F93" w:rsidRDefault="005C3AE7" w:rsidP="00767E24">
      <w:pPr>
        <w:pStyle w:val="Subtitle"/>
        <w:jc w:val="both"/>
      </w:pPr>
      <w:r>
        <w:t xml:space="preserve">PART 6c – </w:t>
      </w:r>
      <w:r w:rsidR="00E60529" w:rsidRPr="00881F93">
        <w:t>INFORMATION ABOUT THE COMPARATOR</w:t>
      </w:r>
      <w:r w:rsidR="00A83EC6" w:rsidRPr="00881F93">
        <w:t>(S)</w:t>
      </w:r>
    </w:p>
    <w:p w14:paraId="58D15A79" w14:textId="77777777" w:rsidR="00E60529" w:rsidRPr="00154B00" w:rsidRDefault="00A83EC6" w:rsidP="00767E24">
      <w:pPr>
        <w:pStyle w:val="Heading2"/>
        <w:jc w:val="both"/>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038B39BD" w14:textId="4F005606" w:rsidR="00E60529" w:rsidRDefault="002904FC" w:rsidP="00767E24">
      <w:pPr>
        <w:ind w:left="360"/>
        <w:jc w:val="both"/>
      </w:pPr>
      <w:r>
        <w:t>The comparator is no PD-L1 testing and current standard of care</w:t>
      </w:r>
      <w:r w:rsidR="00576C6F">
        <w:t>.</w:t>
      </w:r>
      <w:r>
        <w:t xml:space="preserve"> As described previously, patients with </w:t>
      </w:r>
      <w:r w:rsidR="0016631E">
        <w:t xml:space="preserve">locally advanced or metastatic </w:t>
      </w:r>
      <w:r>
        <w:t xml:space="preserve">TNBC </w:t>
      </w:r>
      <w:proofErr w:type="gramStart"/>
      <w:r>
        <w:t>are treated</w:t>
      </w:r>
      <w:proofErr w:type="gramEnd"/>
      <w:r>
        <w:t xml:space="preserve"> with</w:t>
      </w:r>
      <w:r w:rsidR="00012B14" w:rsidRPr="00A630D7">
        <w:t xml:space="preserve"> anthracycline and</w:t>
      </w:r>
      <w:r w:rsidR="00D81CDC">
        <w:t>/or</w:t>
      </w:r>
      <w:r w:rsidR="00012B14" w:rsidRPr="00A630D7">
        <w:t xml:space="preserve"> taxane</w:t>
      </w:r>
      <w:r w:rsidR="00163F94">
        <w:t xml:space="preserve"> and/or platinum-based</w:t>
      </w:r>
      <w:r w:rsidR="00012B14" w:rsidRPr="00A630D7">
        <w:t xml:space="preserve"> therapy</w:t>
      </w:r>
      <w:r>
        <w:t xml:space="preserve"> in the first-line setting</w:t>
      </w:r>
      <w:r w:rsidR="00012B14" w:rsidRPr="00A630D7">
        <w:t xml:space="preserve">. </w:t>
      </w:r>
      <w:r w:rsidR="005B07A3">
        <w:t>There is no recommendation for one specific chemotherapy. The choice of regimen depends on patient characteristics, previous treatment in the early</w:t>
      </w:r>
      <w:r w:rsidR="00140E3E">
        <w:t xml:space="preserve"> breast cancer</w:t>
      </w:r>
      <w:r w:rsidR="005B07A3">
        <w:t xml:space="preserve"> setting and clinician choice.</w:t>
      </w:r>
    </w:p>
    <w:p w14:paraId="00B98134" w14:textId="77777777" w:rsidR="0016631E" w:rsidRPr="005F033A" w:rsidRDefault="0016631E" w:rsidP="00767E24">
      <w:pPr>
        <w:ind w:left="360"/>
        <w:jc w:val="both"/>
      </w:pPr>
    </w:p>
    <w:p w14:paraId="0F32B67E" w14:textId="465F850E" w:rsidR="00757232" w:rsidRDefault="00AF5D1E" w:rsidP="00767E24">
      <w:pPr>
        <w:pStyle w:val="Heading2"/>
        <w:jc w:val="both"/>
      </w:pPr>
      <w:r w:rsidRPr="00154B00">
        <w:t xml:space="preserve">Does the </w:t>
      </w:r>
      <w:r w:rsidRPr="001B29A1">
        <w:t>medical</w:t>
      </w:r>
      <w:r w:rsidRPr="00154B00">
        <w:t xml:space="preserve"> service that </w:t>
      </w:r>
      <w:proofErr w:type="gramStart"/>
      <w:r w:rsidRPr="00154B00">
        <w:t>has been nominated</w:t>
      </w:r>
      <w:proofErr w:type="gramEnd"/>
      <w:r w:rsidRPr="00154B00">
        <w:t xml:space="preserve"> as the comparator</w:t>
      </w:r>
      <w:r w:rsidR="000159B9" w:rsidRPr="00154B00">
        <w:t xml:space="preserve"> </w:t>
      </w:r>
      <w:r w:rsidRPr="00154B00">
        <w:t>have an existing MBS item number</w:t>
      </w:r>
      <w:r w:rsidR="00D30BDC">
        <w:t>(s)</w:t>
      </w:r>
      <w:r w:rsidR="00757232">
        <w:t>?</w:t>
      </w:r>
      <w:r w:rsidR="006B1D79">
        <w:t xml:space="preserve"> </w:t>
      </w:r>
    </w:p>
    <w:p w14:paraId="278FC768" w14:textId="1C2526B2" w:rsidR="006A1038" w:rsidRDefault="00C21091" w:rsidP="00767E24">
      <w:pPr>
        <w:spacing w:before="0" w:after="0"/>
        <w:ind w:left="426"/>
        <w:jc w:val="both"/>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E30EA2">
        <w:rPr>
          <w:szCs w:val="20"/>
        </w:rPr>
      </w:r>
      <w:r w:rsidR="00E30EA2">
        <w:rPr>
          <w:szCs w:val="20"/>
        </w:rPr>
        <w:fldChar w:fldCharType="separate"/>
      </w:r>
      <w:r>
        <w:rPr>
          <w:szCs w:val="20"/>
        </w:rPr>
        <w:fldChar w:fldCharType="end"/>
      </w:r>
      <w:r w:rsidR="006A1038">
        <w:rPr>
          <w:szCs w:val="20"/>
        </w:rPr>
        <w:t xml:space="preserve"> Yes (please provide all relevant MBS item numbers below)</w:t>
      </w:r>
    </w:p>
    <w:p w14:paraId="51E1AD22" w14:textId="57711B18" w:rsidR="000159B9" w:rsidRDefault="00C21091" w:rsidP="00767E24">
      <w:pPr>
        <w:spacing w:before="0" w:after="0"/>
        <w:ind w:left="426"/>
        <w:jc w:val="both"/>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30EA2">
        <w:rPr>
          <w:szCs w:val="20"/>
        </w:rPr>
      </w:r>
      <w:r w:rsidR="00E30EA2">
        <w:rPr>
          <w:szCs w:val="20"/>
        </w:rPr>
        <w:fldChar w:fldCharType="separate"/>
      </w:r>
      <w:r>
        <w:rPr>
          <w:szCs w:val="20"/>
        </w:rPr>
        <w:fldChar w:fldCharType="end"/>
      </w:r>
      <w:r w:rsidR="006A1038">
        <w:rPr>
          <w:szCs w:val="20"/>
        </w:rPr>
        <w:t xml:space="preserve"> No</w:t>
      </w:r>
    </w:p>
    <w:p w14:paraId="48D39ADB" w14:textId="77777777" w:rsidR="0016631E" w:rsidRDefault="0016631E" w:rsidP="00767E24">
      <w:pPr>
        <w:spacing w:before="0" w:after="0"/>
        <w:ind w:left="426"/>
        <w:jc w:val="both"/>
        <w:rPr>
          <w:szCs w:val="20"/>
        </w:rPr>
      </w:pPr>
    </w:p>
    <w:p w14:paraId="14F60266" w14:textId="77777777" w:rsidR="00AF5D1E" w:rsidRDefault="00AF5D1E" w:rsidP="00767E24">
      <w:pPr>
        <w:pStyle w:val="Heading2"/>
        <w:jc w:val="both"/>
      </w:pPr>
      <w:proofErr w:type="gramStart"/>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w:t>
      </w:r>
      <w:r w:rsidR="00F33F1A" w:rsidRPr="00830001">
        <w:t>nominated as the comparator</w:t>
      </w:r>
      <w:r w:rsidR="00F33F1A" w:rsidRPr="00154B00">
        <w:t xml:space="preserve">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roofErr w:type="gramEnd"/>
    </w:p>
    <w:p w14:paraId="3985F74A" w14:textId="51D13A76" w:rsidR="00A630D7" w:rsidRDefault="005C2950" w:rsidP="00767E24">
      <w:pPr>
        <w:ind w:left="360"/>
        <w:jc w:val="both"/>
      </w:pPr>
      <w:r>
        <w:t>The n</w:t>
      </w:r>
      <w:r w:rsidR="00576C6F">
        <w:t>ominated comparator is ‘no test’ and</w:t>
      </w:r>
      <w:r w:rsidR="0016631E">
        <w:t xml:space="preserve"> to</w:t>
      </w:r>
      <w:r>
        <w:t xml:space="preserve"> treat with standard </w:t>
      </w:r>
      <w:r w:rsidR="00576C6F">
        <w:t xml:space="preserve">of </w:t>
      </w:r>
      <w:r>
        <w:t xml:space="preserve">care. </w:t>
      </w:r>
      <w:r w:rsidR="00F8792A" w:rsidRPr="00A630D7">
        <w:t xml:space="preserve">As discussed </w:t>
      </w:r>
      <w:r w:rsidR="005B07A3">
        <w:t>previously</w:t>
      </w:r>
      <w:r w:rsidR="00F8792A" w:rsidRPr="00A630D7">
        <w:t xml:space="preserve">, patients with </w:t>
      </w:r>
      <w:r w:rsidR="0016631E">
        <w:t xml:space="preserve">locally advanced or metastatic </w:t>
      </w:r>
      <w:r w:rsidR="005B07A3">
        <w:t>TNBC</w:t>
      </w:r>
      <w:r w:rsidR="00F8792A" w:rsidRPr="00A630D7">
        <w:t xml:space="preserve"> </w:t>
      </w:r>
      <w:proofErr w:type="gramStart"/>
      <w:r w:rsidR="00F8792A" w:rsidRPr="00A630D7">
        <w:t>are treated</w:t>
      </w:r>
      <w:proofErr w:type="gramEnd"/>
      <w:r w:rsidR="00F8792A" w:rsidRPr="00A630D7">
        <w:t xml:space="preserve"> with anthracycline and</w:t>
      </w:r>
      <w:r w:rsidR="00F8792A">
        <w:t>/or</w:t>
      </w:r>
      <w:r w:rsidR="00F8792A" w:rsidRPr="00A630D7">
        <w:t xml:space="preserve"> taxane</w:t>
      </w:r>
      <w:r w:rsidR="00163F94">
        <w:t xml:space="preserve"> and/or platinum</w:t>
      </w:r>
      <w:r w:rsidR="00163F94">
        <w:noBreakHyphen/>
        <w:t>based</w:t>
      </w:r>
      <w:r w:rsidR="00F8792A" w:rsidRPr="00A630D7">
        <w:t xml:space="preserve"> therapy</w:t>
      </w:r>
      <w:r w:rsidR="0016631E">
        <w:t xml:space="preserve"> in the first-line setting</w:t>
      </w:r>
      <w:r w:rsidR="00F8792A" w:rsidRPr="00A630D7">
        <w:t>.</w:t>
      </w:r>
      <w:r w:rsidR="00767E24">
        <w:t xml:space="preserve"> The choice of regimen depends on patient characteristics, previous treatment in the early breast cancer setting and clinician choice.</w:t>
      </w:r>
    </w:p>
    <w:p w14:paraId="106AB8F6" w14:textId="77777777" w:rsidR="0016631E" w:rsidRDefault="0016631E" w:rsidP="00767E24">
      <w:pPr>
        <w:ind w:left="360"/>
        <w:jc w:val="both"/>
      </w:pPr>
    </w:p>
    <w:p w14:paraId="636CB6CF" w14:textId="77777777" w:rsidR="00A83EC6" w:rsidRPr="00154B00" w:rsidRDefault="005F033A" w:rsidP="00767E24">
      <w:pPr>
        <w:pStyle w:val="Heading2"/>
        <w:jc w:val="both"/>
      </w:pPr>
      <w:r>
        <w:t xml:space="preserve"> </w:t>
      </w:r>
      <w:proofErr w:type="gramStart"/>
      <w:r w:rsidR="005C3AE7">
        <w:t xml:space="preserve">(a) </w:t>
      </w:r>
      <w:r w:rsidR="00CD7A7D" w:rsidRPr="00154B00">
        <w:t xml:space="preserve">Will </w:t>
      </w:r>
      <w:r w:rsidR="00A83EC6" w:rsidRPr="00154B00">
        <w:t>the proposed medical service be used</w:t>
      </w:r>
      <w:proofErr w:type="gramEnd"/>
      <w:r w:rsidR="00A83EC6" w:rsidRPr="00154B00">
        <w:t xml:space="preserve"> in addition to, or instead of, the nominated </w:t>
      </w:r>
      <w:r w:rsidR="00A83EC6" w:rsidRPr="001B29A1">
        <w:t>comparator</w:t>
      </w:r>
      <w:r w:rsidR="00A83EC6" w:rsidRPr="00154B00">
        <w:t>(s)</w:t>
      </w:r>
      <w:r w:rsidR="00D30BDC">
        <w:t>?</w:t>
      </w:r>
    </w:p>
    <w:p w14:paraId="5CAE16BD" w14:textId="77777777" w:rsidR="001B29A1" w:rsidRDefault="00B23193" w:rsidP="00767E24">
      <w:pPr>
        <w:spacing w:before="0" w:after="0"/>
        <w:ind w:left="426"/>
        <w:jc w:val="both"/>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30EA2">
        <w:rPr>
          <w:szCs w:val="20"/>
        </w:rPr>
      </w:r>
      <w:r w:rsidR="00E30EA2">
        <w:rPr>
          <w:szCs w:val="20"/>
        </w:rPr>
        <w:fldChar w:fldCharType="separate"/>
      </w:r>
      <w:r>
        <w:rPr>
          <w:szCs w:val="20"/>
        </w:rPr>
        <w:fldChar w:fldCharType="end"/>
      </w:r>
      <w:r w:rsidR="001B29A1">
        <w:rPr>
          <w:szCs w:val="20"/>
        </w:rPr>
        <w:t xml:space="preserve"> Yes </w:t>
      </w:r>
    </w:p>
    <w:p w14:paraId="1DAB2DF3" w14:textId="04FA86B3" w:rsidR="001B29A1" w:rsidRDefault="001B29A1" w:rsidP="00767E24">
      <w:pPr>
        <w:spacing w:before="0" w:after="0"/>
        <w:ind w:left="426"/>
        <w:jc w:val="both"/>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E30EA2">
        <w:rPr>
          <w:szCs w:val="20"/>
        </w:rPr>
      </w:r>
      <w:r w:rsidR="00E30EA2">
        <w:rPr>
          <w:szCs w:val="20"/>
        </w:rPr>
        <w:fldChar w:fldCharType="separate"/>
      </w:r>
      <w:r w:rsidRPr="00753C44">
        <w:rPr>
          <w:szCs w:val="20"/>
        </w:rPr>
        <w:fldChar w:fldCharType="end"/>
      </w:r>
      <w:r>
        <w:rPr>
          <w:szCs w:val="20"/>
        </w:rPr>
        <w:t xml:space="preserve"> No</w:t>
      </w:r>
    </w:p>
    <w:p w14:paraId="4B0E7C39" w14:textId="77777777" w:rsidR="008B3D48" w:rsidRDefault="008B3D48" w:rsidP="00767E24">
      <w:pPr>
        <w:spacing w:before="0" w:after="0"/>
        <w:ind w:left="426"/>
        <w:jc w:val="both"/>
        <w:rPr>
          <w:szCs w:val="20"/>
        </w:rPr>
      </w:pPr>
    </w:p>
    <w:p w14:paraId="05C07259" w14:textId="50E22A76" w:rsidR="00A95163" w:rsidRDefault="00A95163" w:rsidP="00767E24">
      <w:pPr>
        <w:spacing w:before="0" w:after="0"/>
        <w:ind w:left="426"/>
        <w:jc w:val="both"/>
        <w:rPr>
          <w:szCs w:val="20"/>
        </w:rPr>
      </w:pPr>
      <w:r w:rsidRPr="008B3D48">
        <w:rPr>
          <w:szCs w:val="20"/>
        </w:rPr>
        <w:t xml:space="preserve">The proposed medical service </w:t>
      </w:r>
      <w:r w:rsidR="00BA6329" w:rsidRPr="008B3D48">
        <w:rPr>
          <w:szCs w:val="20"/>
        </w:rPr>
        <w:t>(</w:t>
      </w:r>
      <w:r w:rsidR="00FB6AE7">
        <w:rPr>
          <w:szCs w:val="20"/>
        </w:rPr>
        <w:t>PD-L1</w:t>
      </w:r>
      <w:r w:rsidR="00BA6329" w:rsidRPr="008B3D48">
        <w:rPr>
          <w:szCs w:val="20"/>
        </w:rPr>
        <w:t xml:space="preserve"> testing) </w:t>
      </w:r>
      <w:proofErr w:type="gramStart"/>
      <w:r w:rsidR="00BA6329" w:rsidRPr="008B3D48">
        <w:rPr>
          <w:szCs w:val="20"/>
        </w:rPr>
        <w:t>will be used</w:t>
      </w:r>
      <w:proofErr w:type="gramEnd"/>
      <w:r w:rsidR="00BA6329" w:rsidRPr="008B3D48">
        <w:rPr>
          <w:szCs w:val="20"/>
        </w:rPr>
        <w:t xml:space="preserve"> instead of the comparator (no </w:t>
      </w:r>
      <w:r w:rsidR="00FB6AE7">
        <w:rPr>
          <w:szCs w:val="20"/>
        </w:rPr>
        <w:t>PD-L1</w:t>
      </w:r>
      <w:r w:rsidR="00BA6329" w:rsidRPr="008B3D48">
        <w:rPr>
          <w:szCs w:val="20"/>
        </w:rPr>
        <w:t xml:space="preserve"> testing). </w:t>
      </w:r>
    </w:p>
    <w:p w14:paraId="42EF796D" w14:textId="77777777" w:rsidR="00E70D86" w:rsidRPr="00154B00" w:rsidRDefault="00E70D86" w:rsidP="00767E24">
      <w:pPr>
        <w:pStyle w:val="Heading2"/>
        <w:numPr>
          <w:ilvl w:val="0"/>
          <w:numId w:val="9"/>
        </w:numPr>
        <w:jc w:val="both"/>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w:t>
      </w:r>
      <w:proofErr w:type="gramStart"/>
      <w:r w:rsidR="00F33F1A" w:rsidRPr="00154B00">
        <w:t xml:space="preserve">is expected to be </w:t>
      </w:r>
      <w:r w:rsidR="00AE1188">
        <w:t>substituted</w:t>
      </w:r>
      <w:proofErr w:type="gramEnd"/>
      <w:r w:rsidR="00AE1188">
        <w:t>:</w:t>
      </w:r>
    </w:p>
    <w:p w14:paraId="7812342B" w14:textId="1F773FEA" w:rsidR="00B23193" w:rsidRDefault="00140E3E" w:rsidP="00767E24">
      <w:pPr>
        <w:ind w:left="360"/>
        <w:jc w:val="both"/>
      </w:pPr>
      <w:r w:rsidRPr="000B2F6D">
        <w:t>There are currently no</w:t>
      </w:r>
      <w:r w:rsidR="00E05029" w:rsidRPr="000B2F6D">
        <w:t xml:space="preserve"> publically funded</w:t>
      </w:r>
      <w:r w:rsidRPr="000B2F6D">
        <w:t xml:space="preserve"> PD-L1 tests available in Australia</w:t>
      </w:r>
      <w:r w:rsidR="000B2F6D" w:rsidRPr="000B2F6D">
        <w:t xml:space="preserve"> for</w:t>
      </w:r>
      <w:r w:rsidR="000B2F6D">
        <w:t xml:space="preserve"> patients with TNBC</w:t>
      </w:r>
      <w:r w:rsidR="00DE56A0" w:rsidRPr="00DE56A0">
        <w:t>.</w:t>
      </w:r>
      <w:r>
        <w:t xml:space="preserve"> Therefore, all patients with</w:t>
      </w:r>
      <w:r w:rsidR="00E05029">
        <w:t xml:space="preserve"> locally advanced or metastatic</w:t>
      </w:r>
      <w:r>
        <w:t xml:space="preserve"> TNBC would require the PD-L1 test to </w:t>
      </w:r>
      <w:proofErr w:type="gramStart"/>
      <w:r>
        <w:t>be performed</w:t>
      </w:r>
      <w:proofErr w:type="gramEnd"/>
      <w:r>
        <w:t xml:space="preserve"> prior to accessing atezolizumab.</w:t>
      </w:r>
    </w:p>
    <w:p w14:paraId="363B684A" w14:textId="77777777" w:rsidR="0016631E" w:rsidRDefault="0016631E" w:rsidP="00767E24">
      <w:pPr>
        <w:ind w:left="360"/>
        <w:jc w:val="both"/>
      </w:pPr>
    </w:p>
    <w:p w14:paraId="564CB5D9" w14:textId="77777777" w:rsidR="0054594B" w:rsidRPr="00830001" w:rsidRDefault="009C03FB" w:rsidP="00767E24">
      <w:pPr>
        <w:pStyle w:val="Heading2"/>
        <w:jc w:val="both"/>
      </w:pPr>
      <w:r w:rsidRPr="00830001">
        <w:t>Define and summarise how</w:t>
      </w:r>
      <w:r w:rsidR="00F33F1A" w:rsidRPr="00830001">
        <w:t xml:space="preserve"> curr</w:t>
      </w:r>
      <w:r w:rsidRPr="00830001">
        <w:t>ent clinical management pathways (from the point of service delivery onwards) are</w:t>
      </w:r>
      <w:r w:rsidR="00F33F1A" w:rsidRPr="00830001">
        <w:t xml:space="preserve"> expected to change </w:t>
      </w:r>
      <w:proofErr w:type="gramStart"/>
      <w:r w:rsidR="00F33F1A" w:rsidRPr="00830001">
        <w:t>as a consequence</w:t>
      </w:r>
      <w:proofErr w:type="gramEnd"/>
      <w:r w:rsidR="00F33F1A" w:rsidRPr="00830001">
        <w:t xml:space="preserve"> of introducing the proposed medical service </w:t>
      </w:r>
      <w:r w:rsidR="007D2358" w:rsidRPr="00830001">
        <w:t xml:space="preserve">including variation in health care resources </w:t>
      </w:r>
      <w:r w:rsidRPr="00830001">
        <w:t>(</w:t>
      </w:r>
      <w:r w:rsidR="002053F2" w:rsidRPr="00830001">
        <w:t xml:space="preserve">Refer to </w:t>
      </w:r>
      <w:r w:rsidR="00F33F1A" w:rsidRPr="00830001">
        <w:t xml:space="preserve">Question </w:t>
      </w:r>
      <w:r w:rsidR="00197D29" w:rsidRPr="00830001">
        <w:t>39</w:t>
      </w:r>
      <w:r w:rsidR="00F33F1A" w:rsidRPr="00830001">
        <w:t xml:space="preserve"> as baseline)</w:t>
      </w:r>
      <w:r w:rsidR="00AE1188" w:rsidRPr="00830001">
        <w:t>:</w:t>
      </w:r>
    </w:p>
    <w:p w14:paraId="37C3CEEF" w14:textId="6FDB6692" w:rsidR="002053F2" w:rsidRDefault="00191F9D" w:rsidP="00767E24">
      <w:pPr>
        <w:pStyle w:val="ListParagraph"/>
        <w:ind w:left="360"/>
        <w:jc w:val="both"/>
      </w:pPr>
      <w:r>
        <w:t xml:space="preserve">In current practice, </w:t>
      </w:r>
      <w:r w:rsidR="00140E3E">
        <w:t>PD-L1 testing</w:t>
      </w:r>
      <w:r>
        <w:t xml:space="preserve"> is not required to access treatment for </w:t>
      </w:r>
      <w:r w:rsidR="00E05029">
        <w:t>patients with TNBC</w:t>
      </w:r>
      <w:r w:rsidR="00140E3E">
        <w:t xml:space="preserve">. Patients with locally advanced or metastatic TNBC </w:t>
      </w:r>
      <w:proofErr w:type="gramStart"/>
      <w:r w:rsidR="00140E3E">
        <w:t>are currently treated</w:t>
      </w:r>
      <w:proofErr w:type="gramEnd"/>
      <w:r w:rsidR="00140E3E">
        <w:t xml:space="preserve"> with anthracycline and/or taxane</w:t>
      </w:r>
      <w:r w:rsidR="00163F94">
        <w:t xml:space="preserve"> and/or platinum</w:t>
      </w:r>
      <w:r w:rsidR="00163F94">
        <w:noBreakHyphen/>
        <w:t>based</w:t>
      </w:r>
      <w:r w:rsidR="00140E3E">
        <w:t xml:space="preserve"> therapy, depending on patient factors, previous treatment in the early breast cancer setting and clinician choice.</w:t>
      </w:r>
    </w:p>
    <w:p w14:paraId="3CFC012E" w14:textId="032D7A9D" w:rsidR="00140E3E" w:rsidRDefault="00140E3E" w:rsidP="00767E24">
      <w:pPr>
        <w:pStyle w:val="ListParagraph"/>
        <w:ind w:left="360"/>
        <w:jc w:val="both"/>
      </w:pPr>
    </w:p>
    <w:p w14:paraId="02C594C2" w14:textId="02A8E7D8" w:rsidR="00140E3E" w:rsidRDefault="00140E3E" w:rsidP="00767E24">
      <w:pPr>
        <w:pStyle w:val="ListParagraph"/>
        <w:ind w:left="360"/>
        <w:jc w:val="both"/>
      </w:pPr>
      <w:r>
        <w:t xml:space="preserve">Through the introduction of the proposed PD-L1 test, patients who are deemed </w:t>
      </w:r>
      <w:proofErr w:type="gramStart"/>
      <w:r>
        <w:t>to be PD</w:t>
      </w:r>
      <w:proofErr w:type="gramEnd"/>
      <w:r>
        <w:t>-L1 positive will be able to access atezolizumab.</w:t>
      </w:r>
    </w:p>
    <w:p w14:paraId="3DEF3BF1" w14:textId="77777777" w:rsidR="00140E3E" w:rsidRPr="00304828" w:rsidRDefault="00140E3E" w:rsidP="00767E24">
      <w:pPr>
        <w:pStyle w:val="ListParagraph"/>
        <w:ind w:left="360"/>
        <w:jc w:val="both"/>
      </w:pPr>
    </w:p>
    <w:p w14:paraId="3C33CA57" w14:textId="77777777" w:rsidR="00DF0D47" w:rsidRPr="00881F93" w:rsidRDefault="005C3AE7" w:rsidP="00767E24">
      <w:pPr>
        <w:pStyle w:val="Subtitle"/>
        <w:jc w:val="both"/>
      </w:pPr>
      <w:r>
        <w:t xml:space="preserve">PART 6d – </w:t>
      </w:r>
      <w:r w:rsidR="00DF0D47" w:rsidRPr="00881F93">
        <w:t xml:space="preserve">INFORMATION ABOUT THE </w:t>
      </w:r>
      <w:r w:rsidR="00CF5AD8" w:rsidRPr="00881F93">
        <w:t xml:space="preserve">CLINICAL </w:t>
      </w:r>
      <w:r w:rsidR="00DF0D47" w:rsidRPr="00881F93">
        <w:t>OUTCOME</w:t>
      </w:r>
    </w:p>
    <w:p w14:paraId="29E6388F" w14:textId="77777777" w:rsidR="004E3CC7" w:rsidRDefault="004E3CC7" w:rsidP="00767E24">
      <w:pPr>
        <w:pStyle w:val="Heading2"/>
        <w:jc w:val="both"/>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351D6F57" w14:textId="2039E45A" w:rsidR="007A25D2" w:rsidRDefault="007A25D2" w:rsidP="00767E24">
      <w:pPr>
        <w:ind w:left="426"/>
        <w:jc w:val="both"/>
      </w:pPr>
      <w:r>
        <w:t xml:space="preserve">It </w:t>
      </w:r>
      <w:proofErr w:type="gramStart"/>
      <w:r>
        <w:t>is proposed</w:t>
      </w:r>
      <w:proofErr w:type="gramEnd"/>
      <w:r>
        <w:t xml:space="preserve"> that PD-L1 testing followed by atezolizumab</w:t>
      </w:r>
      <w:r w:rsidR="00FB4B27">
        <w:t>-based treatment</w:t>
      </w:r>
      <w:r>
        <w:t xml:space="preserve"> is superior to no testing and current standard of care for patients with locally advanced or metastatic TNBC who are PD-L1 positive. The clinical claim </w:t>
      </w:r>
      <w:proofErr w:type="gramStart"/>
      <w:r>
        <w:t>is justified</w:t>
      </w:r>
      <w:proofErr w:type="gramEnd"/>
      <w:r>
        <w:t xml:space="preserve"> by:</w:t>
      </w:r>
    </w:p>
    <w:p w14:paraId="6B9DC3F3" w14:textId="76E3D870" w:rsidR="004E3CC7" w:rsidRDefault="007A25D2" w:rsidP="00767E24">
      <w:pPr>
        <w:pStyle w:val="ListParagraph"/>
        <w:numPr>
          <w:ilvl w:val="0"/>
          <w:numId w:val="24"/>
        </w:numPr>
        <w:jc w:val="both"/>
        <w:rPr>
          <w:szCs w:val="20"/>
        </w:rPr>
      </w:pPr>
      <w:r>
        <w:rPr>
          <w:szCs w:val="20"/>
        </w:rPr>
        <w:t>Acceptable safety and analytical performance of the PD-L1 test (as assessed by MSAC)</w:t>
      </w:r>
    </w:p>
    <w:p w14:paraId="1DF329F7" w14:textId="0A55BFCA" w:rsidR="007A25D2" w:rsidRDefault="007A25D2" w:rsidP="00767E24">
      <w:pPr>
        <w:pStyle w:val="ListParagraph"/>
        <w:numPr>
          <w:ilvl w:val="0"/>
          <w:numId w:val="24"/>
        </w:numPr>
        <w:jc w:val="both"/>
        <w:rPr>
          <w:szCs w:val="20"/>
        </w:rPr>
      </w:pPr>
      <w:r>
        <w:rPr>
          <w:szCs w:val="20"/>
        </w:rPr>
        <w:t>Superior efficacy with acceptable safety of atezolizumab</w:t>
      </w:r>
      <w:r w:rsidR="00FB4B27">
        <w:rPr>
          <w:szCs w:val="20"/>
        </w:rPr>
        <w:t>-based treatment</w:t>
      </w:r>
      <w:r>
        <w:rPr>
          <w:szCs w:val="20"/>
        </w:rPr>
        <w:t xml:space="preserve"> in PD-L1 positive patients relative to standard of care (without </w:t>
      </w:r>
      <w:r w:rsidR="00191F9D">
        <w:rPr>
          <w:szCs w:val="20"/>
        </w:rPr>
        <w:t>PD-L1</w:t>
      </w:r>
      <w:r>
        <w:rPr>
          <w:szCs w:val="20"/>
        </w:rPr>
        <w:t xml:space="preserve"> testing) (as assessed by PBAC)</w:t>
      </w:r>
    </w:p>
    <w:p w14:paraId="4FDCA044" w14:textId="016A7A69" w:rsidR="007A25D2" w:rsidRPr="007A25D2" w:rsidRDefault="007A25D2" w:rsidP="00767E24">
      <w:pPr>
        <w:pStyle w:val="ListParagraph"/>
        <w:numPr>
          <w:ilvl w:val="0"/>
          <w:numId w:val="24"/>
        </w:numPr>
        <w:jc w:val="both"/>
        <w:rPr>
          <w:szCs w:val="20"/>
        </w:rPr>
      </w:pPr>
      <w:r>
        <w:rPr>
          <w:szCs w:val="20"/>
        </w:rPr>
        <w:t xml:space="preserve">Clinical utility of the test </w:t>
      </w:r>
      <w:r w:rsidR="00191F9D">
        <w:rPr>
          <w:szCs w:val="20"/>
        </w:rPr>
        <w:t>plus</w:t>
      </w:r>
      <w:r>
        <w:rPr>
          <w:szCs w:val="20"/>
        </w:rPr>
        <w:t xml:space="preserve"> drug combination (as assessed be MSAC/PBAC)</w:t>
      </w:r>
    </w:p>
    <w:p w14:paraId="1E7338F1" w14:textId="77777777" w:rsidR="004E3CC7" w:rsidRPr="00154B00" w:rsidRDefault="004E3CC7" w:rsidP="00767E24">
      <w:pPr>
        <w:pStyle w:val="Heading2"/>
        <w:jc w:val="both"/>
      </w:pPr>
      <w:r w:rsidRPr="00154B00">
        <w:t xml:space="preserve">Please advise if the </w:t>
      </w:r>
      <w:r w:rsidR="00CF5AD8" w:rsidRPr="00092580">
        <w:t>overall</w:t>
      </w:r>
      <w:r w:rsidR="00CF5AD8">
        <w:t xml:space="preserve"> </w:t>
      </w:r>
      <w:r w:rsidRPr="00154B00">
        <w:t xml:space="preserve">clinical claim is </w:t>
      </w:r>
      <w:proofErr w:type="gramStart"/>
      <w:r w:rsidRPr="00154B00">
        <w:t>for</w:t>
      </w:r>
      <w:proofErr w:type="gramEnd"/>
      <w:r w:rsidRPr="00154B00">
        <w:t>:</w:t>
      </w:r>
      <w:r w:rsidR="00422BE0" w:rsidRPr="00422BE0">
        <w:rPr>
          <w:b w:val="0"/>
          <w:noProof/>
          <w:szCs w:val="22"/>
          <w:lang w:eastAsia="en-AU"/>
        </w:rPr>
        <w:t xml:space="preserve"> </w:t>
      </w:r>
    </w:p>
    <w:p w14:paraId="455C2C2C" w14:textId="77777777" w:rsidR="001B29A1" w:rsidRPr="001B29A1" w:rsidRDefault="00467E0B" w:rsidP="00767E24">
      <w:pPr>
        <w:spacing w:before="0" w:after="0"/>
        <w:ind w:left="426"/>
        <w:jc w:val="both"/>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30EA2">
        <w:rPr>
          <w:szCs w:val="20"/>
        </w:rPr>
      </w:r>
      <w:r w:rsidR="00E30EA2">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7C177DC8" w14:textId="77777777" w:rsidR="004E3CC7" w:rsidRPr="001B29A1" w:rsidRDefault="001B29A1" w:rsidP="00767E24">
      <w:pPr>
        <w:spacing w:before="0" w:after="0"/>
        <w:ind w:left="426"/>
        <w:jc w:val="both"/>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E30EA2">
        <w:rPr>
          <w:szCs w:val="20"/>
        </w:rPr>
      </w:r>
      <w:r w:rsidR="00E30EA2">
        <w:rPr>
          <w:szCs w:val="20"/>
        </w:rPr>
        <w:fldChar w:fldCharType="separate"/>
      </w:r>
      <w:r w:rsidRPr="001B29A1">
        <w:rPr>
          <w:szCs w:val="20"/>
        </w:rPr>
        <w:fldChar w:fldCharType="end"/>
      </w:r>
      <w:r w:rsidRPr="001B29A1">
        <w:rPr>
          <w:szCs w:val="20"/>
        </w:rPr>
        <w:t xml:space="preserve"> Non-inferiority</w:t>
      </w:r>
      <w:r w:rsidRPr="001B29A1">
        <w:rPr>
          <w:szCs w:val="20"/>
        </w:rPr>
        <w:tab/>
      </w:r>
    </w:p>
    <w:p w14:paraId="2C414DC8" w14:textId="77777777" w:rsidR="00B25D20" w:rsidRPr="00154B00" w:rsidRDefault="001B29A1" w:rsidP="00767E24">
      <w:pPr>
        <w:pStyle w:val="Heading2"/>
        <w:jc w:val="both"/>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w:t>
      </w:r>
      <w:proofErr w:type="gramStart"/>
      <w:r w:rsidR="00AD37D4">
        <w:t>be specifically measured</w:t>
      </w:r>
      <w:proofErr w:type="gramEnd"/>
      <w:r w:rsidR="00AD37D4">
        <w:t xml:space="preserve"> </w:t>
      </w:r>
      <w:r w:rsidR="00B25D20" w:rsidRPr="00B25CFD">
        <w:t>in assessing the clinical claim of the proposed medica</w:t>
      </w:r>
      <w:r>
        <w:t>l service versus the comparator</w:t>
      </w:r>
      <w:r w:rsidR="00AD37D4">
        <w:t>:</w:t>
      </w:r>
    </w:p>
    <w:p w14:paraId="6051A954" w14:textId="77777777" w:rsidR="00790FA3" w:rsidRDefault="001B29A1" w:rsidP="00767E24">
      <w:pPr>
        <w:pBdr>
          <w:top w:val="single" w:sz="4" w:space="1" w:color="auto"/>
          <w:left w:val="single" w:sz="4" w:space="0" w:color="auto"/>
          <w:bottom w:val="single" w:sz="4" w:space="1" w:color="auto"/>
          <w:right w:val="single" w:sz="4" w:space="4" w:color="auto"/>
        </w:pBdr>
        <w:jc w:val="both"/>
        <w:rPr>
          <w:b/>
          <w:szCs w:val="20"/>
        </w:rPr>
      </w:pPr>
      <w:r w:rsidRPr="001B29A1">
        <w:rPr>
          <w:b/>
          <w:szCs w:val="20"/>
        </w:rPr>
        <w:t>Safety Outcomes</w:t>
      </w:r>
      <w:r>
        <w:rPr>
          <w:b/>
          <w:szCs w:val="20"/>
        </w:rPr>
        <w:t xml:space="preserve">: </w:t>
      </w:r>
    </w:p>
    <w:p w14:paraId="37D9D3C8" w14:textId="29D304FF" w:rsidR="00613767" w:rsidRPr="00613767" w:rsidRDefault="007A25D2" w:rsidP="00767E24">
      <w:pPr>
        <w:pBdr>
          <w:top w:val="single" w:sz="4" w:space="1" w:color="auto"/>
          <w:left w:val="single" w:sz="4" w:space="0" w:color="auto"/>
          <w:bottom w:val="single" w:sz="4" w:space="1" w:color="auto"/>
          <w:right w:val="single" w:sz="4" w:space="4" w:color="auto"/>
        </w:pBdr>
        <w:jc w:val="both"/>
        <w:rPr>
          <w:szCs w:val="20"/>
        </w:rPr>
      </w:pPr>
      <w:r>
        <w:rPr>
          <w:szCs w:val="20"/>
        </w:rPr>
        <w:t>Psychological and physical harms from testing. Any adverse events related to a change in treatment including tolerability or toxicity, particularly from immune-related adverse events</w:t>
      </w:r>
      <w:r w:rsidR="00613767" w:rsidRPr="00613767">
        <w:rPr>
          <w:szCs w:val="20"/>
        </w:rPr>
        <w:t>.</w:t>
      </w:r>
    </w:p>
    <w:p w14:paraId="6C7F909E" w14:textId="77777777" w:rsidR="00F40887" w:rsidRDefault="001B29A1" w:rsidP="00767E24">
      <w:pPr>
        <w:pBdr>
          <w:top w:val="single" w:sz="4" w:space="1" w:color="auto"/>
          <w:left w:val="single" w:sz="4" w:space="0" w:color="auto"/>
          <w:bottom w:val="single" w:sz="4" w:space="1" w:color="auto"/>
          <w:right w:val="single" w:sz="4" w:space="4" w:color="auto"/>
        </w:pBdr>
        <w:jc w:val="both"/>
        <w:rPr>
          <w:b/>
          <w:szCs w:val="20"/>
        </w:rPr>
      </w:pPr>
      <w:r w:rsidRPr="001B29A1">
        <w:rPr>
          <w:b/>
          <w:szCs w:val="20"/>
        </w:rPr>
        <w:t>Clinical Effectiveness Outcomes</w:t>
      </w:r>
      <w:r>
        <w:rPr>
          <w:b/>
          <w:szCs w:val="20"/>
        </w:rPr>
        <w:t xml:space="preserve">: </w:t>
      </w:r>
    </w:p>
    <w:p w14:paraId="33B17051" w14:textId="77777777" w:rsidR="00613767" w:rsidRDefault="00613767" w:rsidP="00767E24">
      <w:pPr>
        <w:pBdr>
          <w:top w:val="single" w:sz="4" w:space="1" w:color="auto"/>
          <w:left w:val="single" w:sz="4" w:space="0" w:color="auto"/>
          <w:bottom w:val="single" w:sz="4" w:space="1" w:color="auto"/>
          <w:right w:val="single" w:sz="4" w:space="4" w:color="auto"/>
        </w:pBdr>
        <w:jc w:val="both"/>
        <w:rPr>
          <w:i/>
        </w:rPr>
      </w:pPr>
      <w:r w:rsidRPr="00613767">
        <w:rPr>
          <w:i/>
        </w:rPr>
        <w:t>Test Outcomes:</w:t>
      </w:r>
    </w:p>
    <w:p w14:paraId="392EB129" w14:textId="406AF050" w:rsidR="00E45BEA" w:rsidRPr="005B0B97" w:rsidRDefault="00E45BEA" w:rsidP="00767E24">
      <w:pPr>
        <w:pBdr>
          <w:top w:val="single" w:sz="4" w:space="1" w:color="auto"/>
          <w:left w:val="single" w:sz="4" w:space="0" w:color="auto"/>
          <w:bottom w:val="single" w:sz="4" w:space="1" w:color="auto"/>
          <w:right w:val="single" w:sz="4" w:space="4" w:color="auto"/>
        </w:pBdr>
        <w:jc w:val="both"/>
        <w:rPr>
          <w:i/>
          <w:szCs w:val="20"/>
        </w:rPr>
      </w:pPr>
      <w:r w:rsidRPr="005B0B97">
        <w:rPr>
          <w:i/>
          <w:szCs w:val="20"/>
        </w:rPr>
        <w:t xml:space="preserve">Trial based </w:t>
      </w:r>
      <w:r>
        <w:rPr>
          <w:i/>
          <w:szCs w:val="20"/>
        </w:rPr>
        <w:t xml:space="preserve">(evidentiary standard) </w:t>
      </w:r>
      <w:r w:rsidR="00663745">
        <w:rPr>
          <w:i/>
          <w:szCs w:val="20"/>
        </w:rPr>
        <w:t>PD-L1</w:t>
      </w:r>
      <w:r>
        <w:rPr>
          <w:i/>
          <w:szCs w:val="20"/>
        </w:rPr>
        <w:t xml:space="preserve"> </w:t>
      </w:r>
      <w:r w:rsidRPr="005B0B97">
        <w:rPr>
          <w:i/>
          <w:szCs w:val="20"/>
        </w:rPr>
        <w:t>assay analytical performance:</w:t>
      </w:r>
    </w:p>
    <w:p w14:paraId="4F4F54A6" w14:textId="77777777" w:rsidR="00E45BEA" w:rsidRDefault="00E45BEA" w:rsidP="00767E24">
      <w:pPr>
        <w:pBdr>
          <w:top w:val="single" w:sz="4" w:space="1" w:color="auto"/>
          <w:left w:val="single" w:sz="4" w:space="0" w:color="auto"/>
          <w:bottom w:val="single" w:sz="4" w:space="1" w:color="auto"/>
          <w:right w:val="single" w:sz="4" w:space="4" w:color="auto"/>
        </w:pBdr>
        <w:jc w:val="both"/>
        <w:rPr>
          <w:szCs w:val="20"/>
        </w:rPr>
      </w:pPr>
      <w:r>
        <w:rPr>
          <w:szCs w:val="20"/>
        </w:rPr>
        <w:t>Sensitivity</w:t>
      </w:r>
    </w:p>
    <w:p w14:paraId="316F4D95" w14:textId="77777777" w:rsidR="00E45BEA" w:rsidRDefault="00E45BEA" w:rsidP="00767E24">
      <w:pPr>
        <w:pBdr>
          <w:top w:val="single" w:sz="4" w:space="1" w:color="auto"/>
          <w:left w:val="single" w:sz="4" w:space="0" w:color="auto"/>
          <w:bottom w:val="single" w:sz="4" w:space="1" w:color="auto"/>
          <w:right w:val="single" w:sz="4" w:space="4" w:color="auto"/>
        </w:pBdr>
        <w:jc w:val="both"/>
        <w:rPr>
          <w:szCs w:val="20"/>
        </w:rPr>
      </w:pPr>
      <w:r>
        <w:rPr>
          <w:szCs w:val="20"/>
        </w:rPr>
        <w:t>Specificity</w:t>
      </w:r>
    </w:p>
    <w:p w14:paraId="1600087A" w14:textId="77777777" w:rsidR="00E45BEA" w:rsidRDefault="00E45BEA" w:rsidP="00767E24">
      <w:pPr>
        <w:pBdr>
          <w:top w:val="single" w:sz="4" w:space="1" w:color="auto"/>
          <w:left w:val="single" w:sz="4" w:space="0" w:color="auto"/>
          <w:bottom w:val="single" w:sz="4" w:space="1" w:color="auto"/>
          <w:right w:val="single" w:sz="4" w:space="4" w:color="auto"/>
        </w:pBdr>
        <w:jc w:val="both"/>
        <w:rPr>
          <w:szCs w:val="20"/>
        </w:rPr>
      </w:pPr>
      <w:r>
        <w:rPr>
          <w:szCs w:val="20"/>
        </w:rPr>
        <w:t>Positive predictive value</w:t>
      </w:r>
    </w:p>
    <w:p w14:paraId="1A51DE67" w14:textId="77777777" w:rsidR="00E45BEA" w:rsidRDefault="00E45BEA" w:rsidP="00767E24">
      <w:pPr>
        <w:pBdr>
          <w:top w:val="single" w:sz="4" w:space="1" w:color="auto"/>
          <w:left w:val="single" w:sz="4" w:space="0" w:color="auto"/>
          <w:bottom w:val="single" w:sz="4" w:space="1" w:color="auto"/>
          <w:right w:val="single" w:sz="4" w:space="4" w:color="auto"/>
        </w:pBdr>
        <w:jc w:val="both"/>
        <w:rPr>
          <w:szCs w:val="20"/>
        </w:rPr>
      </w:pPr>
      <w:r>
        <w:rPr>
          <w:szCs w:val="20"/>
        </w:rPr>
        <w:t>Negative predictive value</w:t>
      </w:r>
    </w:p>
    <w:p w14:paraId="51CDE418" w14:textId="4E9F4DC0" w:rsidR="00E45BEA" w:rsidRPr="005B0B97" w:rsidRDefault="00E45BEA" w:rsidP="00767E24">
      <w:pPr>
        <w:pBdr>
          <w:top w:val="single" w:sz="4" w:space="1" w:color="auto"/>
          <w:left w:val="single" w:sz="4" w:space="0" w:color="auto"/>
          <w:bottom w:val="single" w:sz="4" w:space="1" w:color="auto"/>
          <w:right w:val="single" w:sz="4" w:space="4" w:color="auto"/>
        </w:pBdr>
        <w:jc w:val="both"/>
        <w:rPr>
          <w:i/>
          <w:szCs w:val="20"/>
        </w:rPr>
      </w:pPr>
      <w:r>
        <w:rPr>
          <w:i/>
          <w:szCs w:val="20"/>
        </w:rPr>
        <w:t xml:space="preserve">Comparative performance of </w:t>
      </w:r>
      <w:r w:rsidR="00663745">
        <w:rPr>
          <w:i/>
          <w:szCs w:val="20"/>
        </w:rPr>
        <w:t>PD-L1</w:t>
      </w:r>
      <w:r w:rsidRPr="005B0B97">
        <w:rPr>
          <w:i/>
          <w:szCs w:val="20"/>
        </w:rPr>
        <w:t xml:space="preserve"> testing methods:</w:t>
      </w:r>
    </w:p>
    <w:p w14:paraId="376B7FFC" w14:textId="2739B62D" w:rsidR="00E45BEA" w:rsidRDefault="00E45BEA" w:rsidP="00767E24">
      <w:pPr>
        <w:pBdr>
          <w:top w:val="single" w:sz="4" w:space="1" w:color="auto"/>
          <w:left w:val="single" w:sz="4" w:space="0" w:color="auto"/>
          <w:bottom w:val="single" w:sz="4" w:space="1" w:color="auto"/>
          <w:right w:val="single" w:sz="4" w:space="4" w:color="auto"/>
        </w:pBdr>
        <w:jc w:val="both"/>
        <w:rPr>
          <w:szCs w:val="20"/>
        </w:rPr>
      </w:pPr>
      <w:r>
        <w:rPr>
          <w:szCs w:val="20"/>
        </w:rPr>
        <w:t xml:space="preserve">Concordance with other commercially available </w:t>
      </w:r>
      <w:r w:rsidR="00663745">
        <w:rPr>
          <w:szCs w:val="20"/>
        </w:rPr>
        <w:t>PD-L1</w:t>
      </w:r>
      <w:r>
        <w:rPr>
          <w:szCs w:val="20"/>
        </w:rPr>
        <w:t xml:space="preserve"> assays</w:t>
      </w:r>
    </w:p>
    <w:p w14:paraId="3219C9AE" w14:textId="77777777" w:rsidR="001523BF" w:rsidRPr="00115EEC" w:rsidRDefault="00115EEC" w:rsidP="00767E24">
      <w:pPr>
        <w:pBdr>
          <w:top w:val="single" w:sz="4" w:space="1" w:color="auto"/>
          <w:left w:val="single" w:sz="4" w:space="0" w:color="auto"/>
          <w:bottom w:val="single" w:sz="4" w:space="1" w:color="auto"/>
          <w:right w:val="single" w:sz="4" w:space="4" w:color="auto"/>
        </w:pBdr>
        <w:jc w:val="both"/>
        <w:rPr>
          <w:szCs w:val="20"/>
        </w:rPr>
      </w:pPr>
      <w:r>
        <w:rPr>
          <w:szCs w:val="20"/>
        </w:rPr>
        <w:t>Re-testing rates</w:t>
      </w:r>
    </w:p>
    <w:p w14:paraId="225AD79A" w14:textId="77777777" w:rsidR="00613767" w:rsidRDefault="00613767" w:rsidP="00767E24">
      <w:pPr>
        <w:pBdr>
          <w:top w:val="single" w:sz="4" w:space="1" w:color="auto"/>
          <w:left w:val="single" w:sz="4" w:space="0" w:color="auto"/>
          <w:bottom w:val="single" w:sz="4" w:space="1" w:color="auto"/>
          <w:right w:val="single" w:sz="4" w:space="4" w:color="auto"/>
        </w:pBdr>
        <w:jc w:val="both"/>
        <w:rPr>
          <w:i/>
        </w:rPr>
      </w:pPr>
      <w:r>
        <w:rPr>
          <w:i/>
        </w:rPr>
        <w:t>Drug Outcomes:</w:t>
      </w:r>
    </w:p>
    <w:p w14:paraId="120DFC0D" w14:textId="1B178372" w:rsidR="00613767" w:rsidRDefault="00613767" w:rsidP="00767E24">
      <w:pPr>
        <w:pBdr>
          <w:top w:val="single" w:sz="4" w:space="1" w:color="auto"/>
          <w:left w:val="single" w:sz="4" w:space="0" w:color="auto"/>
          <w:bottom w:val="single" w:sz="4" w:space="1" w:color="auto"/>
          <w:right w:val="single" w:sz="4" w:space="4" w:color="auto"/>
        </w:pBdr>
        <w:jc w:val="both"/>
      </w:pPr>
      <w:r>
        <w:t xml:space="preserve">Progression free survival </w:t>
      </w:r>
      <w:r w:rsidR="00467E0B">
        <w:t xml:space="preserve">(PFS) </w:t>
      </w:r>
      <w:r>
        <w:t>(according to RECIST)</w:t>
      </w:r>
    </w:p>
    <w:p w14:paraId="701A5CE4" w14:textId="1C1E3707" w:rsidR="00663745" w:rsidRDefault="00663745" w:rsidP="00767E24">
      <w:pPr>
        <w:pBdr>
          <w:top w:val="single" w:sz="4" w:space="1" w:color="auto"/>
          <w:left w:val="single" w:sz="4" w:space="0" w:color="auto"/>
          <w:bottom w:val="single" w:sz="4" w:space="1" w:color="auto"/>
          <w:right w:val="single" w:sz="4" w:space="4" w:color="auto"/>
        </w:pBdr>
        <w:jc w:val="both"/>
      </w:pPr>
      <w:r>
        <w:t>Response rate and duration of response</w:t>
      </w:r>
    </w:p>
    <w:p w14:paraId="3D8B2EAD" w14:textId="12BB7E4B" w:rsidR="00613767" w:rsidRDefault="001523BF" w:rsidP="00767E24">
      <w:pPr>
        <w:pBdr>
          <w:top w:val="single" w:sz="4" w:space="1" w:color="auto"/>
          <w:left w:val="single" w:sz="4" w:space="0" w:color="auto"/>
          <w:bottom w:val="single" w:sz="4" w:space="1" w:color="auto"/>
          <w:right w:val="single" w:sz="4" w:space="4" w:color="auto"/>
        </w:pBdr>
        <w:jc w:val="both"/>
      </w:pPr>
      <w:r>
        <w:t>Overall Survival</w:t>
      </w:r>
      <w:r w:rsidR="00467E0B">
        <w:t xml:space="preserve"> (OS)</w:t>
      </w:r>
    </w:p>
    <w:p w14:paraId="72235510" w14:textId="40D317A4" w:rsidR="001B29A1" w:rsidRPr="00154B00" w:rsidRDefault="00663745" w:rsidP="00767E24">
      <w:pPr>
        <w:pBdr>
          <w:top w:val="single" w:sz="4" w:space="1" w:color="auto"/>
          <w:left w:val="single" w:sz="4" w:space="0" w:color="auto"/>
          <w:bottom w:val="single" w:sz="4" w:space="1" w:color="auto"/>
          <w:right w:val="single" w:sz="4" w:space="4" w:color="auto"/>
        </w:pBdr>
        <w:jc w:val="both"/>
        <w:rPr>
          <w:b/>
          <w:szCs w:val="20"/>
        </w:rPr>
      </w:pPr>
      <w:r>
        <w:t>Health-related quality of life</w:t>
      </w:r>
    </w:p>
    <w:p w14:paraId="508344FE" w14:textId="77777777" w:rsidR="00C776B1" w:rsidRPr="00C776B1" w:rsidRDefault="003433D1" w:rsidP="00767E24">
      <w:pPr>
        <w:pStyle w:val="Heading1"/>
        <w:jc w:val="both"/>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56FA999E" w14:textId="77777777" w:rsidR="006C74B1" w:rsidRPr="00092580" w:rsidRDefault="00BE0FDE" w:rsidP="00767E24">
      <w:pPr>
        <w:pStyle w:val="Heading2"/>
        <w:jc w:val="both"/>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r w:rsidR="005665BE">
        <w:t xml:space="preserve">  </w:t>
      </w:r>
    </w:p>
    <w:p w14:paraId="468810E9" w14:textId="5A6A24C7" w:rsidR="008A29AC" w:rsidRPr="005A012F" w:rsidRDefault="008A29AC" w:rsidP="00767E24">
      <w:pPr>
        <w:ind w:left="360"/>
        <w:jc w:val="both"/>
      </w:pPr>
      <w:r w:rsidRPr="005A012F">
        <w:t xml:space="preserve">It </w:t>
      </w:r>
      <w:proofErr w:type="gramStart"/>
      <w:r w:rsidRPr="005A012F">
        <w:t>is proposed</w:t>
      </w:r>
      <w:proofErr w:type="gramEnd"/>
      <w:r w:rsidRPr="005A012F">
        <w:t xml:space="preserve"> that patients would be tested for </w:t>
      </w:r>
      <w:r w:rsidR="00663745">
        <w:t>PD-L1 expression</w:t>
      </w:r>
      <w:r w:rsidRPr="005A012F">
        <w:t xml:space="preserve"> when th</w:t>
      </w:r>
      <w:r w:rsidR="00F561C6">
        <w:t xml:space="preserve">e clinician has determined the </w:t>
      </w:r>
      <w:r w:rsidRPr="005A012F">
        <w:t xml:space="preserve">patient may benefit from treatment with </w:t>
      </w:r>
      <w:r w:rsidR="00663745">
        <w:t>atezolizumab</w:t>
      </w:r>
      <w:r w:rsidRPr="005A012F">
        <w:t xml:space="preserve"> and have</w:t>
      </w:r>
      <w:r w:rsidR="001C3EF0" w:rsidRPr="005A012F">
        <w:t xml:space="preserve"> therefore met the PBS criteria</w:t>
      </w:r>
      <w:r w:rsidRPr="005A012F">
        <w:t xml:space="preserve"> to access treatm</w:t>
      </w:r>
      <w:r w:rsidR="00FB06BB" w:rsidRPr="005A012F">
        <w:t xml:space="preserve">ent. The proposed PBS criteria </w:t>
      </w:r>
      <w:r w:rsidRPr="005A012F">
        <w:t xml:space="preserve">for </w:t>
      </w:r>
      <w:r w:rsidR="00663745">
        <w:t>atezolizumab</w:t>
      </w:r>
      <w:r w:rsidRPr="005A012F">
        <w:t xml:space="preserve"> is for patients with </w:t>
      </w:r>
      <w:r w:rsidR="009D4ABD" w:rsidRPr="005A012F">
        <w:t xml:space="preserve">locally </w:t>
      </w:r>
      <w:r w:rsidRPr="005A012F">
        <w:t>advanced</w:t>
      </w:r>
      <w:r w:rsidR="00663745">
        <w:t xml:space="preserve"> or</w:t>
      </w:r>
      <w:r w:rsidRPr="005A012F">
        <w:t xml:space="preserve"> metastatic </w:t>
      </w:r>
      <w:r w:rsidR="00663745">
        <w:t>TNBC</w:t>
      </w:r>
      <w:r w:rsidR="00830001">
        <w:t xml:space="preserve"> </w:t>
      </w:r>
      <w:r w:rsidR="00663745">
        <w:t xml:space="preserve">who have not received prior chemotherapy for </w:t>
      </w:r>
      <w:r w:rsidR="00FB4B27">
        <w:t>their advanced</w:t>
      </w:r>
      <w:r w:rsidR="00663745">
        <w:t xml:space="preserve"> disease</w:t>
      </w:r>
      <w:r w:rsidR="009D4ABD" w:rsidRPr="005A012F">
        <w:t>.</w:t>
      </w:r>
    </w:p>
    <w:p w14:paraId="4A5C4399" w14:textId="1DFB6778" w:rsidR="00AC0D1C" w:rsidRDefault="00E30E01" w:rsidP="00767E24">
      <w:pPr>
        <w:ind w:left="360"/>
        <w:jc w:val="both"/>
      </w:pPr>
      <w:r w:rsidRPr="005A012F">
        <w:t>Based on current information to date, the best estimate of the population to be tes</w:t>
      </w:r>
      <w:r w:rsidR="0000053B">
        <w:t xml:space="preserve">ted </w:t>
      </w:r>
      <w:proofErr w:type="gramStart"/>
      <w:r w:rsidR="0000053B">
        <w:t>is based</w:t>
      </w:r>
      <w:proofErr w:type="gramEnd"/>
      <w:r w:rsidR="0000053B">
        <w:t xml:space="preserve"> on </w:t>
      </w:r>
      <w:r w:rsidRPr="005A012F">
        <w:t>assumptions</w:t>
      </w:r>
      <w:r w:rsidR="005A012F" w:rsidRPr="005A012F">
        <w:t xml:space="preserve"> presented in </w:t>
      </w:r>
      <w:r w:rsidR="005A012F" w:rsidRPr="00191F9D">
        <w:fldChar w:fldCharType="begin"/>
      </w:r>
      <w:r w:rsidR="005A012F" w:rsidRPr="00191F9D">
        <w:instrText xml:space="preserve"> REF _Ref486930360 \h  \* MERGEFORMAT </w:instrText>
      </w:r>
      <w:r w:rsidR="005A012F" w:rsidRPr="00191F9D">
        <w:fldChar w:fldCharType="separate"/>
      </w:r>
      <w:r w:rsidR="000F7A4E" w:rsidRPr="000F7A4E">
        <w:t>Table 1</w:t>
      </w:r>
      <w:r w:rsidR="005A012F" w:rsidRPr="00191F9D">
        <w:fldChar w:fldCharType="end"/>
      </w:r>
      <w:r w:rsidR="005A012F" w:rsidRPr="005A012F">
        <w:t xml:space="preserve"> below</w:t>
      </w:r>
      <w:r w:rsidRPr="005A012F">
        <w:t xml:space="preserve">. </w:t>
      </w:r>
      <w:r w:rsidR="00AC0D1C">
        <w:t>The</w:t>
      </w:r>
      <w:r w:rsidR="00B042E5">
        <w:t xml:space="preserve"> estimated incidence </w:t>
      </w:r>
      <w:proofErr w:type="gramStart"/>
      <w:r w:rsidR="00AC0D1C">
        <w:t>is based</w:t>
      </w:r>
      <w:proofErr w:type="gramEnd"/>
      <w:r w:rsidR="00AC0D1C">
        <w:t xml:space="preserve"> on the Australia Institute of Health and Welfare</w:t>
      </w:r>
      <w:r w:rsidR="002A6052">
        <w:t xml:space="preserve"> (AIHW) </w:t>
      </w:r>
      <w:r w:rsidR="00F81678">
        <w:t>pr</w:t>
      </w:r>
      <w:r w:rsidR="00B042E5">
        <w:t xml:space="preserve">ojected </w:t>
      </w:r>
      <w:r w:rsidR="00AC0D1C">
        <w:t>figures for 20</w:t>
      </w:r>
      <w:r w:rsidR="00641D87">
        <w:t>1</w:t>
      </w:r>
      <w:r w:rsidR="00F81678">
        <w:t>8</w:t>
      </w:r>
      <w:r w:rsidR="00AC0D1C">
        <w:t>.</w:t>
      </w:r>
    </w:p>
    <w:p w14:paraId="1B768212" w14:textId="6BF42C5B" w:rsidR="00AC0D1C" w:rsidRPr="005A012F" w:rsidRDefault="00E30E01" w:rsidP="00767E24">
      <w:pPr>
        <w:ind w:left="360"/>
        <w:jc w:val="both"/>
      </w:pPr>
      <w:r w:rsidRPr="005A012F">
        <w:t>Please note that the co-dependent MSAC/PBAC submission will incl</w:t>
      </w:r>
      <w:r w:rsidR="005A012F" w:rsidRPr="005A012F">
        <w:t xml:space="preserve">ude further </w:t>
      </w:r>
      <w:r w:rsidRPr="005A012F">
        <w:t>detailed informati</w:t>
      </w:r>
      <w:r w:rsidR="00FB06BB" w:rsidRPr="005A012F">
        <w:t xml:space="preserve">on to </w:t>
      </w:r>
      <w:r w:rsidR="00307421">
        <w:t xml:space="preserve">supplement </w:t>
      </w:r>
      <w:r w:rsidR="005A012F" w:rsidRPr="005A012F">
        <w:t>these estimates.</w:t>
      </w:r>
    </w:p>
    <w:p w14:paraId="299FEB89" w14:textId="7D71D725" w:rsidR="00312F2E" w:rsidRPr="00163F94" w:rsidRDefault="00F41B45" w:rsidP="00767E24">
      <w:pPr>
        <w:pStyle w:val="Caption"/>
        <w:ind w:left="360"/>
        <w:rPr>
          <w:rFonts w:asciiTheme="minorHAnsi" w:hAnsiTheme="minorHAnsi"/>
          <w:sz w:val="20"/>
          <w:szCs w:val="20"/>
        </w:rPr>
      </w:pPr>
      <w:bookmarkStart w:id="4" w:name="_Ref486930360"/>
      <w:r w:rsidRPr="00163F94">
        <w:rPr>
          <w:rFonts w:asciiTheme="minorHAnsi" w:hAnsiTheme="minorHAnsi"/>
          <w:sz w:val="20"/>
          <w:szCs w:val="20"/>
        </w:rPr>
        <w:t xml:space="preserve">Table </w:t>
      </w:r>
      <w:r w:rsidRPr="00163F94">
        <w:rPr>
          <w:rFonts w:asciiTheme="minorHAnsi" w:hAnsiTheme="minorHAnsi"/>
          <w:sz w:val="20"/>
          <w:szCs w:val="20"/>
        </w:rPr>
        <w:fldChar w:fldCharType="begin"/>
      </w:r>
      <w:r w:rsidRPr="00163F94">
        <w:rPr>
          <w:rFonts w:asciiTheme="minorHAnsi" w:hAnsiTheme="minorHAnsi"/>
          <w:sz w:val="20"/>
          <w:szCs w:val="20"/>
        </w:rPr>
        <w:instrText xml:space="preserve"> SEQ Table \* ARABIC </w:instrText>
      </w:r>
      <w:r w:rsidRPr="00163F94">
        <w:rPr>
          <w:rFonts w:asciiTheme="minorHAnsi" w:hAnsiTheme="minorHAnsi"/>
          <w:sz w:val="20"/>
          <w:szCs w:val="20"/>
        </w:rPr>
        <w:fldChar w:fldCharType="separate"/>
      </w:r>
      <w:r w:rsidR="000F7A4E" w:rsidRPr="00163F94">
        <w:rPr>
          <w:rFonts w:asciiTheme="minorHAnsi" w:hAnsiTheme="minorHAnsi"/>
          <w:noProof/>
          <w:sz w:val="20"/>
          <w:szCs w:val="20"/>
        </w:rPr>
        <w:t>1</w:t>
      </w:r>
      <w:r w:rsidRPr="00163F94">
        <w:rPr>
          <w:rFonts w:asciiTheme="minorHAnsi" w:hAnsiTheme="minorHAnsi"/>
          <w:sz w:val="20"/>
          <w:szCs w:val="20"/>
        </w:rPr>
        <w:fldChar w:fldCharType="end"/>
      </w:r>
      <w:bookmarkEnd w:id="4"/>
      <w:r w:rsidRPr="00163F94">
        <w:rPr>
          <w:rFonts w:asciiTheme="minorHAnsi" w:hAnsiTheme="minorHAnsi"/>
          <w:sz w:val="20"/>
          <w:szCs w:val="20"/>
        </w:rPr>
        <w:t xml:space="preserve"> </w:t>
      </w:r>
      <w:r w:rsidR="005A012F" w:rsidRPr="00163F94">
        <w:rPr>
          <w:rFonts w:asciiTheme="minorHAnsi" w:hAnsiTheme="minorHAnsi"/>
          <w:sz w:val="20"/>
          <w:szCs w:val="20"/>
        </w:rPr>
        <w:t xml:space="preserve">Estimated eligible population </w:t>
      </w:r>
      <w:r w:rsidR="00F81678" w:rsidRPr="00163F94">
        <w:rPr>
          <w:rFonts w:asciiTheme="minorHAnsi" w:hAnsiTheme="minorHAnsi"/>
          <w:sz w:val="20"/>
          <w:szCs w:val="20"/>
        </w:rPr>
        <w:t>in 2018</w:t>
      </w:r>
    </w:p>
    <w:tbl>
      <w:tblPr>
        <w:tblStyle w:val="TableGrid"/>
        <w:tblW w:w="0" w:type="auto"/>
        <w:tblInd w:w="360" w:type="dxa"/>
        <w:tblLook w:val="04A0" w:firstRow="1" w:lastRow="0" w:firstColumn="1" w:lastColumn="0" w:noHBand="0" w:noVBand="1"/>
        <w:tblCaption w:val="Table showing Estimated eligible population in 2019"/>
      </w:tblPr>
      <w:tblGrid>
        <w:gridCol w:w="5589"/>
        <w:gridCol w:w="3067"/>
      </w:tblGrid>
      <w:tr w:rsidR="005660A3" w:rsidRPr="005A012F" w14:paraId="2D3E7AF6" w14:textId="77777777" w:rsidTr="00191F9D">
        <w:trPr>
          <w:tblHeader/>
        </w:trPr>
        <w:tc>
          <w:tcPr>
            <w:tcW w:w="5589" w:type="dxa"/>
            <w:tcBorders>
              <w:top w:val="single" w:sz="4" w:space="0" w:color="auto"/>
            </w:tcBorders>
          </w:tcPr>
          <w:p w14:paraId="60E5A58A" w14:textId="4C7254A8" w:rsidR="005660A3" w:rsidRPr="005A012F" w:rsidRDefault="00F41B45" w:rsidP="00F02A87">
            <w:pPr>
              <w:spacing w:before="0" w:after="0"/>
              <w:jc w:val="both"/>
              <w:rPr>
                <w:szCs w:val="20"/>
              </w:rPr>
            </w:pPr>
            <w:r w:rsidRPr="005A012F">
              <w:rPr>
                <w:szCs w:val="20"/>
              </w:rPr>
              <w:t>Projected new cases</w:t>
            </w:r>
            <w:r w:rsidR="001F57A8" w:rsidRPr="005A012F">
              <w:rPr>
                <w:szCs w:val="20"/>
              </w:rPr>
              <w:t xml:space="preserve"> of breast cancer</w:t>
            </w:r>
            <w:r w:rsidRPr="005A012F">
              <w:rPr>
                <w:szCs w:val="20"/>
              </w:rPr>
              <w:t xml:space="preserve"> (201</w:t>
            </w:r>
            <w:r w:rsidR="00DF0F31">
              <w:rPr>
                <w:szCs w:val="20"/>
              </w:rPr>
              <w:t>8</w:t>
            </w:r>
            <w:r w:rsidRPr="005A012F">
              <w:rPr>
                <w:szCs w:val="20"/>
              </w:rPr>
              <w:t>)</w:t>
            </w:r>
            <w:r w:rsidR="00DB4492">
              <w:rPr>
                <w:szCs w:val="20"/>
              </w:rPr>
              <w:t xml:space="preserve"> </w:t>
            </w:r>
            <w:r w:rsidR="00DF0F31">
              <w:rPr>
                <w:szCs w:val="20"/>
              </w:rPr>
              <w:fldChar w:fldCharType="begin"/>
            </w:r>
            <w:r w:rsidR="00F02A87">
              <w:rPr>
                <w:szCs w:val="20"/>
              </w:rPr>
              <w:instrText xml:space="preserve"> ADDIN EN.CITE &lt;EndNote&gt;&lt;Cite&gt;&lt;Author&gt;Australian Institute of Health and Welfare&lt;/Author&gt;&lt;Year&gt;2017&lt;/Year&gt;&lt;RecNum&gt;16&lt;/RecNum&gt;&lt;DisplayText&gt;(11)&lt;/DisplayText&gt;&lt;record&gt;&lt;rec-number&gt;16&lt;/rec-number&gt;&lt;foreign-keys&gt;&lt;key app="EN" db-id="e052e5x9tdfxzhe2zrlvfszipszset9005xv" timestamp="1540177063"&gt;16&lt;/key&gt;&lt;/foreign-keys&gt;&lt;ref-type name="Journal Article"&gt;17&lt;/ref-type&gt;&lt;contributors&gt;&lt;authors&gt;&lt;author&gt;Australian Institute of Health and Welfare,&lt;/author&gt;&lt;/authors&gt;&lt;/contributors&gt;&lt;titles&gt;&lt;title&gt;Cancer in Australia 2017&lt;/title&gt;&lt;secondary-title&gt;Cancer Series no. 101 Cat. No. CAN 100.&lt;/secondary-title&gt;&lt;/titles&gt;&lt;periodical&gt;&lt;full-title&gt;Cancer Series no. 101 Cat. No. CAN 100.&lt;/full-title&gt;&lt;/periodical&gt;&lt;dates&gt;&lt;year&gt;2017&lt;/year&gt;&lt;/dates&gt;&lt;urls&gt;&lt;/urls&gt;&lt;/record&gt;&lt;/Cite&gt;&lt;/EndNote&gt;</w:instrText>
            </w:r>
            <w:r w:rsidR="00DF0F31">
              <w:rPr>
                <w:szCs w:val="20"/>
              </w:rPr>
              <w:fldChar w:fldCharType="separate"/>
            </w:r>
            <w:r w:rsidR="00F02A87">
              <w:rPr>
                <w:noProof/>
                <w:szCs w:val="20"/>
              </w:rPr>
              <w:t>(11)</w:t>
            </w:r>
            <w:r w:rsidR="00DF0F31">
              <w:rPr>
                <w:szCs w:val="20"/>
              </w:rPr>
              <w:fldChar w:fldCharType="end"/>
            </w:r>
          </w:p>
        </w:tc>
        <w:tc>
          <w:tcPr>
            <w:tcW w:w="3067" w:type="dxa"/>
            <w:tcBorders>
              <w:top w:val="single" w:sz="4" w:space="0" w:color="auto"/>
            </w:tcBorders>
          </w:tcPr>
          <w:p w14:paraId="650C8B07" w14:textId="62E7ADFF" w:rsidR="005660A3" w:rsidRPr="001075FB" w:rsidRDefault="00DF0F31" w:rsidP="00767E24">
            <w:pPr>
              <w:spacing w:before="0" w:after="0"/>
              <w:jc w:val="both"/>
              <w:rPr>
                <w:rFonts w:ascii="Calibri" w:hAnsi="Calibri"/>
                <w:color w:val="000000"/>
                <w:sz w:val="22"/>
              </w:rPr>
            </w:pPr>
            <w:r>
              <w:rPr>
                <w:szCs w:val="20"/>
              </w:rPr>
              <w:t>18235</w:t>
            </w:r>
          </w:p>
        </w:tc>
      </w:tr>
      <w:tr w:rsidR="00641D87" w:rsidRPr="005A012F" w14:paraId="4A0E0BC8" w14:textId="77777777" w:rsidTr="001F14C5">
        <w:trPr>
          <w:tblHeader/>
        </w:trPr>
        <w:tc>
          <w:tcPr>
            <w:tcW w:w="5589" w:type="dxa"/>
          </w:tcPr>
          <w:p w14:paraId="51E4ED7D" w14:textId="0D118B01" w:rsidR="00641D87" w:rsidRPr="005A012F" w:rsidRDefault="00641D87" w:rsidP="00F02A87">
            <w:pPr>
              <w:spacing w:before="0" w:after="0"/>
              <w:jc w:val="both"/>
              <w:rPr>
                <w:szCs w:val="20"/>
              </w:rPr>
            </w:pPr>
            <w:r>
              <w:rPr>
                <w:szCs w:val="20"/>
              </w:rPr>
              <w:t xml:space="preserve">Proportion </w:t>
            </w:r>
            <w:r w:rsidR="002337E3">
              <w:rPr>
                <w:szCs w:val="20"/>
              </w:rPr>
              <w:t xml:space="preserve">metastatic </w:t>
            </w:r>
            <w:r w:rsidR="002337E3">
              <w:rPr>
                <w:szCs w:val="20"/>
              </w:rPr>
              <w:fldChar w:fldCharType="begin"/>
            </w:r>
            <w:r w:rsidR="00F02A87">
              <w:rPr>
                <w:szCs w:val="20"/>
              </w:rPr>
              <w:instrText xml:space="preserve"> ADDIN EN.CITE &lt;EndNote&gt;&lt;Cite&gt;&lt;Author&gt;Thientosapol&lt;/Author&gt;&lt;Year&gt;2013&lt;/Year&gt;&lt;RecNum&gt;17&lt;/RecNum&gt;&lt;DisplayText&gt;(12)&lt;/DisplayText&gt;&lt;record&gt;&lt;rec-number&gt;17&lt;/rec-number&gt;&lt;foreign-keys&gt;&lt;key app="EN" db-id="e052e5x9tdfxzhe2zrlvfszipszset9005xv" timestamp="1540178461"&gt;17&lt;/key&gt;&lt;/foreign-keys&gt;&lt;ref-type name="Journal Article"&gt;17&lt;/ref-type&gt;&lt;contributors&gt;&lt;authors&gt;&lt;author&gt;Thientosapol, ES&lt;/author&gt;&lt;author&gt;Tran, TT&lt;/author&gt;&lt;author&gt;Della-Fiorentina, SA&lt;/author&gt;&lt;author&gt;et al.,&lt;/author&gt;&lt;/authors&gt;&lt;/contributors&gt;&lt;titles&gt;&lt;title&gt;Survival times of women with metastatic breast cancer starting first-line chemotherapy in routine clinical practice versus contemporary randomised trials&lt;/title&gt;&lt;secondary-title&gt;Internal Medicine Journal&lt;/secondary-title&gt;&lt;/titles&gt;&lt;periodical&gt;&lt;full-title&gt;Internal Medicine Journal&lt;/full-title&gt;&lt;/periodical&gt;&lt;pages&gt;883-888&lt;/pages&gt;&lt;dates&gt;&lt;year&gt;2013&lt;/year&gt;&lt;/dates&gt;&lt;urls&gt;&lt;/urls&gt;&lt;/record&gt;&lt;/Cite&gt;&lt;/EndNote&gt;</w:instrText>
            </w:r>
            <w:r w:rsidR="002337E3">
              <w:rPr>
                <w:szCs w:val="20"/>
              </w:rPr>
              <w:fldChar w:fldCharType="separate"/>
            </w:r>
            <w:r w:rsidR="00F02A87">
              <w:rPr>
                <w:noProof/>
                <w:szCs w:val="20"/>
              </w:rPr>
              <w:t>(12)</w:t>
            </w:r>
            <w:r w:rsidR="002337E3">
              <w:rPr>
                <w:szCs w:val="20"/>
              </w:rPr>
              <w:fldChar w:fldCharType="end"/>
            </w:r>
            <w:r w:rsidR="002337E3" w:rsidRPr="005A012F">
              <w:rPr>
                <w:szCs w:val="20"/>
              </w:rPr>
              <w:t xml:space="preserve"> </w:t>
            </w:r>
          </w:p>
        </w:tc>
        <w:tc>
          <w:tcPr>
            <w:tcW w:w="3067" w:type="dxa"/>
          </w:tcPr>
          <w:p w14:paraId="5677B956" w14:textId="61FECAFF" w:rsidR="00641D87" w:rsidRDefault="00641D87" w:rsidP="00767E24">
            <w:pPr>
              <w:spacing w:before="0" w:after="0"/>
              <w:jc w:val="both"/>
              <w:rPr>
                <w:szCs w:val="20"/>
              </w:rPr>
            </w:pPr>
            <w:r>
              <w:rPr>
                <w:szCs w:val="20"/>
              </w:rPr>
              <w:t>1</w:t>
            </w:r>
            <w:r w:rsidR="00DF0F31">
              <w:rPr>
                <w:szCs w:val="20"/>
              </w:rPr>
              <w:t>5</w:t>
            </w:r>
            <w:r>
              <w:rPr>
                <w:szCs w:val="20"/>
              </w:rPr>
              <w:t>%</w:t>
            </w:r>
          </w:p>
        </w:tc>
      </w:tr>
      <w:tr w:rsidR="005660A3" w:rsidRPr="005A012F" w14:paraId="048CBB4E" w14:textId="77777777" w:rsidTr="00D813B7">
        <w:tc>
          <w:tcPr>
            <w:tcW w:w="5589" w:type="dxa"/>
          </w:tcPr>
          <w:p w14:paraId="2D41CBFA" w14:textId="0DB58668" w:rsidR="005660A3" w:rsidRPr="002337E3" w:rsidRDefault="001F57A8" w:rsidP="00F02A87">
            <w:pPr>
              <w:spacing w:before="0" w:after="0"/>
              <w:jc w:val="both"/>
              <w:rPr>
                <w:szCs w:val="20"/>
              </w:rPr>
            </w:pPr>
            <w:r w:rsidRPr="002337E3">
              <w:rPr>
                <w:szCs w:val="20"/>
              </w:rPr>
              <w:t xml:space="preserve">Proportion </w:t>
            </w:r>
            <w:r w:rsidR="00641D87" w:rsidRPr="002337E3">
              <w:rPr>
                <w:szCs w:val="20"/>
              </w:rPr>
              <w:t>m</w:t>
            </w:r>
            <w:r w:rsidRPr="002337E3">
              <w:rPr>
                <w:szCs w:val="20"/>
              </w:rPr>
              <w:t>TNBC</w:t>
            </w:r>
            <w:r w:rsidR="002337E3" w:rsidRPr="002337E3">
              <w:rPr>
                <w:szCs w:val="20"/>
              </w:rPr>
              <w:t xml:space="preserve"> </w:t>
            </w:r>
            <w:r w:rsidR="002337E3" w:rsidRPr="002337E3">
              <w:rPr>
                <w:szCs w:val="20"/>
              </w:rPr>
              <w:fldChar w:fldCharType="begin"/>
            </w:r>
            <w:r w:rsidR="00F02A87">
              <w:rPr>
                <w:szCs w:val="20"/>
              </w:rPr>
              <w:instrText xml:space="preserve"> ADDIN EN.CITE &lt;EndNote&gt;&lt;Cite&gt;&lt;Author&gt;Thientosapol&lt;/Author&gt;&lt;Year&gt;2013&lt;/Year&gt;&lt;RecNum&gt;17&lt;/RecNum&gt;&lt;DisplayText&gt;(12)&lt;/DisplayText&gt;&lt;record&gt;&lt;rec-number&gt;17&lt;/rec-number&gt;&lt;foreign-keys&gt;&lt;key app="EN" db-id="e052e5x9tdfxzhe2zrlvfszipszset9005xv" timestamp="1540178461"&gt;17&lt;/key&gt;&lt;/foreign-keys&gt;&lt;ref-type name="Journal Article"&gt;17&lt;/ref-type&gt;&lt;contributors&gt;&lt;authors&gt;&lt;author&gt;Thientosapol, ES&lt;/author&gt;&lt;author&gt;Tran, TT&lt;/author&gt;&lt;author&gt;Della-Fiorentina, SA&lt;/author&gt;&lt;author&gt;et al.,&lt;/author&gt;&lt;/authors&gt;&lt;/contributors&gt;&lt;titles&gt;&lt;title&gt;Survival times of women with metastatic breast cancer starting first-line chemotherapy in routine clinical practice versus contemporary randomised trials&lt;/title&gt;&lt;secondary-title&gt;Internal Medicine Journal&lt;/secondary-title&gt;&lt;/titles&gt;&lt;periodical&gt;&lt;full-title&gt;Internal Medicine Journal&lt;/full-title&gt;&lt;/periodical&gt;&lt;pages&gt;883-888&lt;/pages&gt;&lt;dates&gt;&lt;year&gt;2013&lt;/year&gt;&lt;/dates&gt;&lt;urls&gt;&lt;/urls&gt;&lt;/record&gt;&lt;/Cite&gt;&lt;/EndNote&gt;</w:instrText>
            </w:r>
            <w:r w:rsidR="002337E3" w:rsidRPr="002337E3">
              <w:rPr>
                <w:szCs w:val="20"/>
              </w:rPr>
              <w:fldChar w:fldCharType="separate"/>
            </w:r>
            <w:r w:rsidR="00F02A87">
              <w:rPr>
                <w:noProof/>
                <w:szCs w:val="20"/>
              </w:rPr>
              <w:t>(12)</w:t>
            </w:r>
            <w:r w:rsidR="002337E3" w:rsidRPr="002337E3">
              <w:rPr>
                <w:szCs w:val="20"/>
              </w:rPr>
              <w:fldChar w:fldCharType="end"/>
            </w:r>
          </w:p>
        </w:tc>
        <w:tc>
          <w:tcPr>
            <w:tcW w:w="3067" w:type="dxa"/>
          </w:tcPr>
          <w:p w14:paraId="503B0DC9" w14:textId="45D0DA5E" w:rsidR="005660A3" w:rsidRPr="002337E3" w:rsidRDefault="002337E3" w:rsidP="00767E24">
            <w:pPr>
              <w:spacing w:before="0" w:after="0"/>
              <w:jc w:val="both"/>
              <w:rPr>
                <w:szCs w:val="20"/>
              </w:rPr>
            </w:pPr>
            <w:r w:rsidRPr="002337E3">
              <w:rPr>
                <w:szCs w:val="20"/>
              </w:rPr>
              <w:t>17</w:t>
            </w:r>
            <w:r w:rsidR="00D813B7" w:rsidRPr="002337E3">
              <w:rPr>
                <w:szCs w:val="20"/>
              </w:rPr>
              <w:t>%</w:t>
            </w:r>
          </w:p>
        </w:tc>
      </w:tr>
      <w:tr w:rsidR="005660A3" w:rsidRPr="005A012F" w14:paraId="1C0E7100" w14:textId="77777777" w:rsidTr="00D813B7">
        <w:tc>
          <w:tcPr>
            <w:tcW w:w="5589" w:type="dxa"/>
          </w:tcPr>
          <w:p w14:paraId="4014C4C4" w14:textId="2F2D0A34" w:rsidR="005660A3" w:rsidRPr="005A012F" w:rsidRDefault="00886DCD" w:rsidP="00767E24">
            <w:pPr>
              <w:spacing w:before="0" w:after="0"/>
              <w:jc w:val="both"/>
              <w:rPr>
                <w:szCs w:val="20"/>
              </w:rPr>
            </w:pPr>
            <w:r>
              <w:rPr>
                <w:szCs w:val="20"/>
              </w:rPr>
              <w:t>Population size</w:t>
            </w:r>
            <w:r w:rsidR="00F81678">
              <w:rPr>
                <w:szCs w:val="20"/>
              </w:rPr>
              <w:t xml:space="preserve"> eligible for testing</w:t>
            </w:r>
          </w:p>
        </w:tc>
        <w:tc>
          <w:tcPr>
            <w:tcW w:w="3067" w:type="dxa"/>
          </w:tcPr>
          <w:p w14:paraId="77CD5A4F" w14:textId="6B0C04E8" w:rsidR="005660A3" w:rsidRPr="005A012F" w:rsidRDefault="00886DCD" w:rsidP="00767E24">
            <w:pPr>
              <w:spacing w:before="0" w:after="0"/>
              <w:jc w:val="both"/>
              <w:rPr>
                <w:szCs w:val="20"/>
              </w:rPr>
            </w:pPr>
            <w:r>
              <w:rPr>
                <w:szCs w:val="20"/>
              </w:rPr>
              <w:t>465</w:t>
            </w:r>
          </w:p>
        </w:tc>
      </w:tr>
    </w:tbl>
    <w:p w14:paraId="78AACD29" w14:textId="77777777" w:rsidR="00830001" w:rsidRPr="00830001" w:rsidRDefault="00830001" w:rsidP="00767E24">
      <w:pPr>
        <w:jc w:val="both"/>
      </w:pPr>
    </w:p>
    <w:p w14:paraId="3C9D2E00" w14:textId="0FC0005C" w:rsidR="00382407" w:rsidRPr="00154B00" w:rsidRDefault="00382407" w:rsidP="00767E24">
      <w:pPr>
        <w:pStyle w:val="Heading2"/>
        <w:jc w:val="both"/>
      </w:pPr>
      <w:r w:rsidRPr="00154B00">
        <w:t xml:space="preserve">Estimate the </w:t>
      </w:r>
      <w:r w:rsidRPr="00AE1188">
        <w:t>number</w:t>
      </w:r>
      <w:r w:rsidRPr="00154B00">
        <w:t xml:space="preserve"> of times the proposed medical service</w:t>
      </w:r>
      <w:r w:rsidR="005A58BA">
        <w:t>(s)</w:t>
      </w:r>
      <w:r w:rsidRPr="00154B00">
        <w:t xml:space="preserve"> </w:t>
      </w:r>
      <w:proofErr w:type="gramStart"/>
      <w:r w:rsidRPr="00154B00">
        <w:t xml:space="preserve">would be </w:t>
      </w:r>
      <w:r w:rsidR="00AE1188">
        <w:t>delivered</w:t>
      </w:r>
      <w:proofErr w:type="gramEnd"/>
      <w:r w:rsidR="00AE1188">
        <w:t xml:space="preserve"> to a patient per year:</w:t>
      </w:r>
    </w:p>
    <w:p w14:paraId="74FA953B" w14:textId="648F0602" w:rsidR="000312A7" w:rsidRPr="00154B00" w:rsidRDefault="00F81678" w:rsidP="00767E24">
      <w:pPr>
        <w:ind w:left="426"/>
        <w:jc w:val="both"/>
        <w:rPr>
          <w:szCs w:val="20"/>
        </w:rPr>
      </w:pPr>
      <w:r>
        <w:t xml:space="preserve">As discussed previously, there is no known role for testing PD-L1 expression to monitor response to atezolizumab therapy. As such, PD-L1 testing </w:t>
      </w:r>
      <w:proofErr w:type="gramStart"/>
      <w:r>
        <w:t>will be performed</w:t>
      </w:r>
      <w:proofErr w:type="gramEnd"/>
      <w:r>
        <w:t xml:space="preserve"> only once to determine patient eligibility to receive treatment with atezolizumab.</w:t>
      </w:r>
    </w:p>
    <w:p w14:paraId="4C3BF377" w14:textId="77777777" w:rsidR="00382407" w:rsidRPr="00154B00" w:rsidRDefault="00382407" w:rsidP="00767E24">
      <w:pPr>
        <w:pStyle w:val="Heading2"/>
        <w:jc w:val="both"/>
      </w:pPr>
      <w:r w:rsidRPr="00154B00">
        <w:t>How many years would the proposed medical service</w:t>
      </w:r>
      <w:r w:rsidR="005A58BA">
        <w:t>(s)</w:t>
      </w:r>
      <w:r w:rsidRPr="00154B00">
        <w:t xml:space="preserve"> be required for the patient?</w:t>
      </w:r>
    </w:p>
    <w:p w14:paraId="32F7FFF6" w14:textId="16EECA28" w:rsidR="00382407" w:rsidRPr="00F81678" w:rsidRDefault="00F81678" w:rsidP="00767E24">
      <w:pPr>
        <w:ind w:left="426"/>
        <w:jc w:val="both"/>
        <w:rPr>
          <w:szCs w:val="20"/>
        </w:rPr>
      </w:pPr>
      <w:r w:rsidRPr="00F81678">
        <w:t>It is proposed that the PD-L1 test</w:t>
      </w:r>
      <w:r>
        <w:t xml:space="preserve"> will be required only once per patient.</w:t>
      </w:r>
      <w:r w:rsidRPr="00F81678">
        <w:t xml:space="preserve"> </w:t>
      </w:r>
    </w:p>
    <w:p w14:paraId="6F235123" w14:textId="77777777" w:rsidR="002A6753" w:rsidRPr="00154B00" w:rsidRDefault="000E47E7" w:rsidP="00767E24">
      <w:pPr>
        <w:pStyle w:val="Heading2"/>
        <w:jc w:val="both"/>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4E8BF3A3" w14:textId="46AEC533" w:rsidR="00B845C8" w:rsidRPr="00154B00" w:rsidRDefault="00F81678" w:rsidP="00767E24">
      <w:pPr>
        <w:ind w:left="426"/>
        <w:jc w:val="both"/>
        <w:rPr>
          <w:szCs w:val="20"/>
        </w:rPr>
      </w:pPr>
      <w:r>
        <w:rPr>
          <w:szCs w:val="20"/>
        </w:rPr>
        <w:t xml:space="preserve">As per Q 47 above, it </w:t>
      </w:r>
      <w:proofErr w:type="gramStart"/>
      <w:r>
        <w:rPr>
          <w:szCs w:val="20"/>
        </w:rPr>
        <w:t>is estimated</w:t>
      </w:r>
      <w:proofErr w:type="gramEnd"/>
      <w:r>
        <w:rPr>
          <w:szCs w:val="20"/>
        </w:rPr>
        <w:t xml:space="preserve"> that approximately 465 patients would utilise the PD-L1 test in the first year.</w:t>
      </w:r>
      <w:r w:rsidR="0036648A">
        <w:rPr>
          <w:szCs w:val="20"/>
        </w:rPr>
        <w:t xml:space="preserve"> This assumes </w:t>
      </w:r>
      <w:proofErr w:type="gramStart"/>
      <w:r w:rsidR="0036648A">
        <w:rPr>
          <w:szCs w:val="20"/>
        </w:rPr>
        <w:t>a</w:t>
      </w:r>
      <w:r w:rsidR="00FB4B27">
        <w:rPr>
          <w:szCs w:val="20"/>
        </w:rPr>
        <w:t>n</w:t>
      </w:r>
      <w:proofErr w:type="gramEnd"/>
      <w:r w:rsidR="0036648A">
        <w:rPr>
          <w:szCs w:val="20"/>
        </w:rPr>
        <w:t xml:space="preserve"> 100% test rate.</w:t>
      </w:r>
    </w:p>
    <w:p w14:paraId="697274CA" w14:textId="719ABA04" w:rsidR="00974D50" w:rsidRDefault="005A58BA" w:rsidP="00767E24">
      <w:pPr>
        <w:pStyle w:val="Heading2"/>
        <w:jc w:val="both"/>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485586B1" w14:textId="6F872CE2" w:rsidR="006D4993" w:rsidRDefault="00F81678" w:rsidP="00767E24">
      <w:pPr>
        <w:ind w:left="360"/>
        <w:jc w:val="both"/>
      </w:pPr>
      <w:r>
        <w:t xml:space="preserve">The clinical claim </w:t>
      </w:r>
      <w:proofErr w:type="gramStart"/>
      <w:r>
        <w:t>is that PD-L1 testing and treatment with atezolizumab</w:t>
      </w:r>
      <w:r w:rsidR="00191F9D">
        <w:t xml:space="preserve"> </w:t>
      </w:r>
      <w:r>
        <w:t>is superior to current standard of care</w:t>
      </w:r>
      <w:proofErr w:type="gramEnd"/>
      <w:r w:rsidR="002C3FDA">
        <w:t>. Given this, atezolizumab</w:t>
      </w:r>
      <w:r w:rsidR="00950851">
        <w:t>-</w:t>
      </w:r>
      <w:r w:rsidR="0036648A">
        <w:t>based treatment</w:t>
      </w:r>
      <w:r w:rsidR="002C3FDA">
        <w:t xml:space="preserve"> could replace current standard of care in PD</w:t>
      </w:r>
      <w:r w:rsidR="0036648A">
        <w:noBreakHyphen/>
      </w:r>
      <w:r w:rsidR="002C3FDA">
        <w:t xml:space="preserve">L1 positive locally advanced or metastatic TNBC patients. It </w:t>
      </w:r>
      <w:proofErr w:type="gramStart"/>
      <w:r w:rsidR="002C3FDA">
        <w:t>is estimated</w:t>
      </w:r>
      <w:proofErr w:type="gramEnd"/>
      <w:r w:rsidR="002C3FDA">
        <w:t xml:space="preserve"> that the uptake of PD-L1 testing would be 100% for all patients diagnosed with locally advanced or metastatic TNBC.</w:t>
      </w:r>
      <w:r w:rsidR="00950851">
        <w:t xml:space="preserve"> By 2020, it </w:t>
      </w:r>
      <w:proofErr w:type="gramStart"/>
      <w:r w:rsidR="00950851">
        <w:t>is estimated</w:t>
      </w:r>
      <w:proofErr w:type="gramEnd"/>
      <w:r w:rsidR="00950851">
        <w:t xml:space="preserve"> that approximately 492 patients would utilise the PD-L1 test. </w:t>
      </w:r>
      <w:r w:rsidR="002C3FDA">
        <w:t xml:space="preserve">The risk of leakage would be negligible as testing would be restricted to those patients who are potentially eligible to </w:t>
      </w:r>
      <w:r w:rsidR="00950851">
        <w:t xml:space="preserve">receive </w:t>
      </w:r>
      <w:r w:rsidR="002C3FDA">
        <w:t>atezolizumab as requested.</w:t>
      </w:r>
      <w:r w:rsidR="00D25CD3" w:rsidRPr="008821AE">
        <w:t xml:space="preserve"> A detailed </w:t>
      </w:r>
      <w:r w:rsidR="00951E6E">
        <w:t xml:space="preserve">utilisation </w:t>
      </w:r>
      <w:r w:rsidR="00D25CD3" w:rsidRPr="008821AE">
        <w:t>a</w:t>
      </w:r>
      <w:r w:rsidR="00951E6E">
        <w:t>nalysis</w:t>
      </w:r>
      <w:r w:rsidR="00D25CD3" w:rsidRPr="008821AE">
        <w:t xml:space="preserve"> </w:t>
      </w:r>
      <w:proofErr w:type="gramStart"/>
      <w:r w:rsidR="00D25CD3" w:rsidRPr="008821AE">
        <w:t xml:space="preserve">will be </w:t>
      </w:r>
      <w:r w:rsidR="00951E6E">
        <w:t>presented</w:t>
      </w:r>
      <w:proofErr w:type="gramEnd"/>
      <w:r w:rsidR="00951E6E">
        <w:t xml:space="preserve"> </w:t>
      </w:r>
      <w:r w:rsidR="00D25CD3" w:rsidRPr="008821AE">
        <w:t>in the co-dependent MSAC/PBAC submission</w:t>
      </w:r>
      <w:r w:rsidR="008821AE" w:rsidRPr="008821AE">
        <w:t>.</w:t>
      </w:r>
    </w:p>
    <w:p w14:paraId="7AD6E288" w14:textId="21B50E5E" w:rsidR="00F00BA5" w:rsidRPr="00154B00" w:rsidRDefault="00F00BA5" w:rsidP="00767E24">
      <w:pPr>
        <w:ind w:left="360"/>
        <w:jc w:val="both"/>
        <w:rPr>
          <w:szCs w:val="20"/>
        </w:rPr>
      </w:pPr>
    </w:p>
    <w:p w14:paraId="3ADCE536" w14:textId="77777777" w:rsidR="003433D1" w:rsidRDefault="003433D1" w:rsidP="00767E24">
      <w:pPr>
        <w:jc w:val="both"/>
        <w:rPr>
          <w:b/>
          <w:sz w:val="32"/>
          <w:szCs w:val="32"/>
        </w:rPr>
      </w:pPr>
      <w:r>
        <w:rPr>
          <w:b/>
          <w:sz w:val="32"/>
          <w:szCs w:val="32"/>
        </w:rPr>
        <w:br w:type="page"/>
      </w:r>
    </w:p>
    <w:p w14:paraId="47521498" w14:textId="77777777" w:rsidR="00951933" w:rsidRPr="00C776B1" w:rsidRDefault="001B5169" w:rsidP="00767E24">
      <w:pPr>
        <w:pStyle w:val="Heading1"/>
        <w:jc w:val="both"/>
      </w:pPr>
      <w:r>
        <w:lastRenderedPageBreak/>
        <w:t>PART 8</w:t>
      </w:r>
      <w:r w:rsidR="00F93784">
        <w:t xml:space="preserve"> – </w:t>
      </w:r>
      <w:r w:rsidR="005A58BA">
        <w:t>COST</w:t>
      </w:r>
      <w:r w:rsidR="00951933" w:rsidRPr="00C776B1">
        <w:t xml:space="preserve"> INFORMATION</w:t>
      </w:r>
    </w:p>
    <w:p w14:paraId="32ECEC1A" w14:textId="77777777" w:rsidR="006A649A" w:rsidRPr="00AE1188" w:rsidRDefault="006A649A" w:rsidP="00767E24">
      <w:pPr>
        <w:pStyle w:val="Heading2"/>
        <w:jc w:val="both"/>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4AA79EE5" w14:textId="73C3A1EB" w:rsidR="00ED1FAB" w:rsidRDefault="00ED1FAB" w:rsidP="00767E24">
      <w:pPr>
        <w:ind w:left="360"/>
        <w:jc w:val="both"/>
      </w:pPr>
      <w:r>
        <w:t>MSAC</w:t>
      </w:r>
      <w:r w:rsidR="00EA18F0">
        <w:t xml:space="preserve"> recently</w:t>
      </w:r>
      <w:r>
        <w:t xml:space="preserve"> advised that an MBS fee of $74.50 would be appropriate </w:t>
      </w:r>
      <w:r w:rsidR="00EA18F0">
        <w:t>for PD-L1 testing to determine eligibility for PBS-subsidised pembrolizumab in patients with locally advanced or metastatic NSCLC.</w:t>
      </w:r>
    </w:p>
    <w:p w14:paraId="7A1F6E4F" w14:textId="21FC574D" w:rsidR="00EA18F0" w:rsidRPr="00154B00" w:rsidRDefault="00EA18F0" w:rsidP="00767E24">
      <w:pPr>
        <w:ind w:left="360"/>
        <w:jc w:val="both"/>
        <w:rPr>
          <w:szCs w:val="20"/>
        </w:rPr>
      </w:pPr>
      <w:r>
        <w:t>Roche anticipated that a fee of $74.50 would also be appropriate for PD-L1 testing to determine eligibility for PBS-subsidised atezolizumab in patients with locally advanced or metastatic TNBC.</w:t>
      </w:r>
    </w:p>
    <w:p w14:paraId="65FC5A5F" w14:textId="77777777" w:rsidR="00951933" w:rsidRDefault="00951933" w:rsidP="00767E24">
      <w:pPr>
        <w:pStyle w:val="Heading2"/>
        <w:jc w:val="both"/>
      </w:pPr>
      <w:r w:rsidRPr="00154B00">
        <w:t xml:space="preserve">Specify how </w:t>
      </w:r>
      <w:r w:rsidRPr="00AE1188">
        <w:t>long</w:t>
      </w:r>
      <w:r w:rsidRPr="00154B00">
        <w:t xml:space="preserve"> the proposed medical ser</w:t>
      </w:r>
      <w:r w:rsidR="00AE1188">
        <w:t>vice typically takes to perform:</w:t>
      </w:r>
    </w:p>
    <w:p w14:paraId="1D23DFF5" w14:textId="6335C876" w:rsidR="00710728" w:rsidRPr="00710728" w:rsidRDefault="00F8204E" w:rsidP="00767E24">
      <w:pPr>
        <w:ind w:left="360"/>
        <w:jc w:val="both"/>
      </w:pPr>
      <w:r>
        <w:t>The IHC test for PD-L1 expression can take between 2.5-4 hours depending on instrumentation and protocol used</w:t>
      </w:r>
      <w:r w:rsidR="00710728">
        <w:t>.</w:t>
      </w:r>
    </w:p>
    <w:p w14:paraId="04536DA2" w14:textId="77777777" w:rsidR="00707D4D" w:rsidRDefault="0054192F" w:rsidP="00767E24">
      <w:pPr>
        <w:pStyle w:val="Heading2"/>
        <w:jc w:val="both"/>
      </w:pPr>
      <w:r>
        <w:t xml:space="preserve">If public funding </w:t>
      </w:r>
      <w:proofErr w:type="gramStart"/>
      <w:r>
        <w:t>is sought</w:t>
      </w:r>
      <w:proofErr w:type="gramEnd"/>
      <w:r>
        <w:t xml:space="preserve"> through the MBS, please draft a proposed MBS item descriptor to define the population and medical </w:t>
      </w:r>
      <w:r w:rsidRPr="00AE1188">
        <w:t>service</w:t>
      </w:r>
      <w:r>
        <w:t xml:space="preserve"> usage characteristics that would define eligibility for MBS funding.</w:t>
      </w:r>
    </w:p>
    <w:p w14:paraId="0FA1991A" w14:textId="77777777" w:rsidR="00AE1188" w:rsidRPr="00467E0B" w:rsidRDefault="00AE1188" w:rsidP="00767E2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aps/>
          <w:szCs w:val="20"/>
        </w:rPr>
      </w:pPr>
      <w:r>
        <w:rPr>
          <w:szCs w:val="20"/>
        </w:rPr>
        <w:t xml:space="preserve">Category </w:t>
      </w:r>
      <w:r w:rsidR="00DF0E48">
        <w:rPr>
          <w:szCs w:val="20"/>
        </w:rPr>
        <w:t>6</w:t>
      </w:r>
      <w:r w:rsidRPr="00AE1188">
        <w:rPr>
          <w:szCs w:val="20"/>
        </w:rPr>
        <w:t xml:space="preserve"> – </w:t>
      </w:r>
      <w:r w:rsidR="00DF0E48" w:rsidRPr="00467E0B">
        <w:rPr>
          <w:caps/>
          <w:szCs w:val="20"/>
        </w:rPr>
        <w:t>Pathology Services</w:t>
      </w:r>
    </w:p>
    <w:p w14:paraId="457B253B" w14:textId="77777777" w:rsidR="00DF0E48" w:rsidRDefault="00AE1188" w:rsidP="00767E24">
      <w:pPr>
        <w:pBdr>
          <w:top w:val="single" w:sz="4" w:space="1" w:color="auto"/>
          <w:left w:val="single" w:sz="4" w:space="4" w:color="auto"/>
          <w:bottom w:val="single" w:sz="4" w:space="1" w:color="auto"/>
          <w:right w:val="single" w:sz="4" w:space="4" w:color="auto"/>
        </w:pBdr>
        <w:jc w:val="both"/>
        <w:rPr>
          <w:szCs w:val="20"/>
        </w:rPr>
      </w:pPr>
      <w:r w:rsidRPr="00AE1188">
        <w:rPr>
          <w:szCs w:val="20"/>
        </w:rPr>
        <w:t>Proposed item descriptor</w:t>
      </w:r>
      <w:r>
        <w:rPr>
          <w:szCs w:val="20"/>
        </w:rPr>
        <w:t xml:space="preserve">: </w:t>
      </w:r>
    </w:p>
    <w:p w14:paraId="3B9EDBDB" w14:textId="08EFD836" w:rsidR="00ED51A0" w:rsidRPr="0048679D" w:rsidRDefault="00B4402B" w:rsidP="00767E24">
      <w:pPr>
        <w:pBdr>
          <w:top w:val="single" w:sz="4" w:space="1" w:color="auto"/>
          <w:left w:val="single" w:sz="4" w:space="4" w:color="auto"/>
          <w:bottom w:val="single" w:sz="4" w:space="1" w:color="auto"/>
          <w:right w:val="single" w:sz="4" w:space="4" w:color="auto"/>
        </w:pBdr>
        <w:jc w:val="both"/>
      </w:pPr>
      <w:r>
        <w:rPr>
          <w:szCs w:val="20"/>
        </w:rPr>
        <w:t>Immunohistochemical examination by immunoperoxidase or other labelled antibody techniques using the</w:t>
      </w:r>
      <w:r w:rsidR="002C008E">
        <w:rPr>
          <w:szCs w:val="20"/>
        </w:rPr>
        <w:t xml:space="preserve"> programmed cell death ligand 1</w:t>
      </w:r>
      <w:r>
        <w:rPr>
          <w:szCs w:val="20"/>
        </w:rPr>
        <w:t xml:space="preserve"> </w:t>
      </w:r>
      <w:r w:rsidR="002C008E">
        <w:rPr>
          <w:szCs w:val="20"/>
        </w:rPr>
        <w:t>(</w:t>
      </w:r>
      <w:r>
        <w:rPr>
          <w:szCs w:val="20"/>
        </w:rPr>
        <w:t>PD</w:t>
      </w:r>
      <w:r>
        <w:rPr>
          <w:szCs w:val="20"/>
        </w:rPr>
        <w:noBreakHyphen/>
        <w:t>L1</w:t>
      </w:r>
      <w:r w:rsidR="002C008E">
        <w:rPr>
          <w:szCs w:val="20"/>
        </w:rPr>
        <w:t>)</w:t>
      </w:r>
      <w:r>
        <w:rPr>
          <w:szCs w:val="20"/>
        </w:rPr>
        <w:t xml:space="preserve"> antibody of tumour material from a patient diagnosed with triple negative breast cancer, to determine if the requirements relating to (PD-L1) expression status for access to atezolizumab under the Pharmaceutical Benefits Scheme (PBS) are fulfilled.</w:t>
      </w:r>
    </w:p>
    <w:p w14:paraId="586529B0" w14:textId="21E93DA3" w:rsidR="00AE1188" w:rsidRPr="00AE1188" w:rsidRDefault="00AE1188" w:rsidP="00767E24">
      <w:pPr>
        <w:pBdr>
          <w:top w:val="single" w:sz="4" w:space="1" w:color="auto"/>
          <w:left w:val="single" w:sz="4" w:space="4" w:color="auto"/>
          <w:bottom w:val="single" w:sz="4" w:space="1" w:color="auto"/>
          <w:right w:val="single" w:sz="4" w:space="4" w:color="auto"/>
        </w:pBdr>
        <w:jc w:val="both"/>
        <w:rPr>
          <w:szCs w:val="20"/>
        </w:rPr>
      </w:pPr>
      <w:r w:rsidRPr="00AE1188">
        <w:rPr>
          <w:szCs w:val="20"/>
        </w:rPr>
        <w:t>Fee:  $</w:t>
      </w:r>
      <w:r w:rsidR="00B4402B">
        <w:rPr>
          <w:szCs w:val="20"/>
        </w:rPr>
        <w:t>74.50</w:t>
      </w:r>
    </w:p>
    <w:p w14:paraId="3BFD2991" w14:textId="77777777" w:rsidR="00AE1188" w:rsidRDefault="00AE1188" w:rsidP="00767E24">
      <w:pPr>
        <w:pStyle w:val="Heading2"/>
        <w:numPr>
          <w:ilvl w:val="0"/>
          <w:numId w:val="0"/>
        </w:numPr>
        <w:jc w:val="both"/>
      </w:pPr>
      <w:r>
        <w:br w:type="page"/>
      </w:r>
    </w:p>
    <w:p w14:paraId="7A307757" w14:textId="77777777" w:rsidR="00E058F2" w:rsidRPr="00C776B1" w:rsidRDefault="001B5169" w:rsidP="00767E24">
      <w:pPr>
        <w:pStyle w:val="Heading1"/>
        <w:jc w:val="both"/>
      </w:pPr>
      <w:r>
        <w:lastRenderedPageBreak/>
        <w:t>PART 9</w:t>
      </w:r>
      <w:r w:rsidR="00F93784">
        <w:t xml:space="preserve"> – </w:t>
      </w:r>
      <w:r w:rsidR="00E058F2" w:rsidRPr="00C776B1">
        <w:t>FEEDBACK</w:t>
      </w:r>
    </w:p>
    <w:p w14:paraId="305F3260" w14:textId="77777777" w:rsidR="00E058F2" w:rsidRPr="00154B00" w:rsidRDefault="00E058F2" w:rsidP="00767E24">
      <w:pPr>
        <w:jc w:val="both"/>
        <w:rPr>
          <w:szCs w:val="20"/>
        </w:rPr>
      </w:pPr>
      <w:r w:rsidRPr="00154B00">
        <w:rPr>
          <w:szCs w:val="20"/>
        </w:rPr>
        <w:t>The Department</w:t>
      </w:r>
      <w:r w:rsidR="005A58BA">
        <w:rPr>
          <w:szCs w:val="20"/>
        </w:rPr>
        <w:t xml:space="preserve"> is interested in your feedback.</w:t>
      </w:r>
    </w:p>
    <w:p w14:paraId="4F1C6AC2" w14:textId="17D58A07" w:rsidR="00E058F2" w:rsidRDefault="00E058F2" w:rsidP="00767E24">
      <w:pPr>
        <w:pStyle w:val="Heading2"/>
        <w:jc w:val="both"/>
      </w:pPr>
      <w:r w:rsidRPr="00AE1188">
        <w:t>How long did it take to complete the Application Form?</w:t>
      </w:r>
    </w:p>
    <w:p w14:paraId="761CF965" w14:textId="100160CF" w:rsidR="00F96B90" w:rsidRPr="00F96B90" w:rsidRDefault="00B4402B" w:rsidP="00767E24">
      <w:pPr>
        <w:jc w:val="both"/>
      </w:pPr>
      <w:r>
        <w:t>Approximately 2 weeks</w:t>
      </w:r>
    </w:p>
    <w:p w14:paraId="4EF07DF0" w14:textId="77777777" w:rsidR="00517814" w:rsidRDefault="00517814" w:rsidP="00767E24">
      <w:pPr>
        <w:pStyle w:val="Heading2"/>
        <w:numPr>
          <w:ilvl w:val="0"/>
          <w:numId w:val="0"/>
        </w:numPr>
        <w:ind w:left="360"/>
        <w:jc w:val="both"/>
      </w:pPr>
    </w:p>
    <w:p w14:paraId="6359A3A7" w14:textId="6D28BD3B" w:rsidR="001845D9" w:rsidRPr="00154B00" w:rsidRDefault="001B5169" w:rsidP="00767E24">
      <w:pPr>
        <w:pStyle w:val="Heading2"/>
        <w:jc w:val="both"/>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14:paraId="00E82021" w14:textId="52037EA4" w:rsidR="00603D04" w:rsidRPr="001B29A1" w:rsidRDefault="00BA4DFF" w:rsidP="00767E24">
      <w:pPr>
        <w:spacing w:before="0" w:after="0"/>
        <w:ind w:left="426"/>
        <w:jc w:val="both"/>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30EA2">
        <w:rPr>
          <w:szCs w:val="20"/>
        </w:rPr>
      </w:r>
      <w:r w:rsidR="00E30EA2">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14:paraId="64253906" w14:textId="77777777" w:rsidR="00603D04" w:rsidRPr="001B29A1" w:rsidRDefault="00603D04" w:rsidP="00767E24">
      <w:pPr>
        <w:spacing w:before="0" w:after="0"/>
        <w:ind w:left="426"/>
        <w:jc w:val="both"/>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E30EA2">
        <w:rPr>
          <w:szCs w:val="20"/>
        </w:rPr>
      </w:r>
      <w:r w:rsidR="00E30EA2">
        <w:rPr>
          <w:szCs w:val="20"/>
        </w:rPr>
        <w:fldChar w:fldCharType="separate"/>
      </w:r>
      <w:r w:rsidRPr="001B29A1">
        <w:rPr>
          <w:szCs w:val="20"/>
        </w:rPr>
        <w:fldChar w:fldCharType="end"/>
      </w:r>
      <w:r w:rsidRPr="001B29A1">
        <w:rPr>
          <w:szCs w:val="20"/>
        </w:rPr>
        <w:t xml:space="preserve"> </w:t>
      </w:r>
      <w:r>
        <w:rPr>
          <w:szCs w:val="20"/>
        </w:rPr>
        <w:t>No</w:t>
      </w:r>
    </w:p>
    <w:p w14:paraId="03098D60" w14:textId="77777777" w:rsidR="003D6DE1" w:rsidRPr="00154B00" w:rsidRDefault="00603D04" w:rsidP="00767E24">
      <w:pPr>
        <w:pStyle w:val="Heading2"/>
        <w:numPr>
          <w:ilvl w:val="0"/>
          <w:numId w:val="10"/>
        </w:numPr>
        <w:jc w:val="both"/>
      </w:pPr>
      <w:r>
        <w:t>If no, provide areas of concern:</w:t>
      </w:r>
    </w:p>
    <w:p w14:paraId="52C49012" w14:textId="77777777" w:rsidR="00517814" w:rsidRPr="00154B00" w:rsidRDefault="00517814" w:rsidP="00767E24">
      <w:pPr>
        <w:ind w:left="426"/>
        <w:jc w:val="both"/>
        <w:rPr>
          <w:szCs w:val="20"/>
        </w:rPr>
      </w:pPr>
    </w:p>
    <w:p w14:paraId="1C7D597C" w14:textId="7AAAB5B5" w:rsidR="00E058F2" w:rsidRDefault="001B5169" w:rsidP="00767E24">
      <w:pPr>
        <w:pStyle w:val="Heading2"/>
        <w:jc w:val="both"/>
      </w:pPr>
      <w:r>
        <w:t xml:space="preserve">(a) </w:t>
      </w:r>
      <w:r w:rsidR="00E058F2" w:rsidRPr="00603D04">
        <w:t>Are</w:t>
      </w:r>
      <w:r w:rsidR="00E058F2" w:rsidRPr="00154B00">
        <w:t xml:space="preserve"> the associated Guidelines to the Application Form useful?</w:t>
      </w:r>
    </w:p>
    <w:p w14:paraId="0209D5F2" w14:textId="40BBC485" w:rsidR="00F561C6" w:rsidRPr="00F561C6" w:rsidRDefault="00F561C6" w:rsidP="00767E24">
      <w:pPr>
        <w:jc w:val="both"/>
      </w:pPr>
      <w:r>
        <w:t xml:space="preserve">Did not </w:t>
      </w:r>
      <w:r w:rsidR="002C6568">
        <w:t xml:space="preserve">need to refer to the guidelines, most of the questions were </w:t>
      </w:r>
      <w:r w:rsidR="00D01384">
        <w:t>self-explanatory</w:t>
      </w:r>
      <w:r w:rsidR="00D63B19">
        <w:t>.</w:t>
      </w:r>
    </w:p>
    <w:p w14:paraId="0FDE9EE0" w14:textId="77777777" w:rsidR="00603D04" w:rsidRPr="001B29A1" w:rsidRDefault="00603D04" w:rsidP="00767E24">
      <w:pPr>
        <w:spacing w:before="0" w:after="0"/>
        <w:ind w:left="426"/>
        <w:jc w:val="both"/>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E30EA2">
        <w:rPr>
          <w:szCs w:val="20"/>
        </w:rPr>
      </w:r>
      <w:r w:rsidR="00E30EA2">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6A81AD05" w14:textId="08B33D8B" w:rsidR="00603D04" w:rsidRPr="001B29A1" w:rsidRDefault="00D01384" w:rsidP="00767E24">
      <w:pPr>
        <w:spacing w:before="0" w:after="0"/>
        <w:ind w:left="426"/>
        <w:jc w:val="both"/>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30EA2">
        <w:rPr>
          <w:szCs w:val="20"/>
        </w:rPr>
      </w:r>
      <w:r w:rsidR="00E30EA2">
        <w:rPr>
          <w:szCs w:val="20"/>
        </w:rPr>
        <w:fldChar w:fldCharType="separate"/>
      </w:r>
      <w:r>
        <w:rPr>
          <w:szCs w:val="20"/>
        </w:rPr>
        <w:fldChar w:fldCharType="end"/>
      </w:r>
      <w:r w:rsidR="00603D04" w:rsidRPr="001B29A1">
        <w:rPr>
          <w:szCs w:val="20"/>
        </w:rPr>
        <w:t xml:space="preserve"> </w:t>
      </w:r>
      <w:r w:rsidR="00603D04">
        <w:rPr>
          <w:szCs w:val="20"/>
        </w:rPr>
        <w:t>No</w:t>
      </w:r>
    </w:p>
    <w:p w14:paraId="0BD79B1F" w14:textId="77777777" w:rsidR="003D6DE1" w:rsidRPr="00154B00" w:rsidRDefault="003D6DE1" w:rsidP="00767E24">
      <w:pPr>
        <w:pStyle w:val="Heading2"/>
        <w:numPr>
          <w:ilvl w:val="0"/>
          <w:numId w:val="11"/>
        </w:numPr>
        <w:jc w:val="both"/>
      </w:pPr>
      <w:r>
        <w:t>If no, what areas did you find not to be useful?</w:t>
      </w:r>
    </w:p>
    <w:p w14:paraId="6966A2DD" w14:textId="7D8BF658" w:rsidR="003D6DE1" w:rsidRPr="00154B00" w:rsidRDefault="003D6DE1" w:rsidP="00767E24">
      <w:pPr>
        <w:ind w:left="426"/>
        <w:jc w:val="both"/>
        <w:rPr>
          <w:szCs w:val="20"/>
        </w:rPr>
      </w:pPr>
    </w:p>
    <w:p w14:paraId="2182F7BE" w14:textId="77777777" w:rsidR="00E058F2" w:rsidRPr="00154B00" w:rsidRDefault="001B5169" w:rsidP="00767E24">
      <w:pPr>
        <w:pStyle w:val="Heading2"/>
        <w:jc w:val="both"/>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14:paraId="3866E660" w14:textId="77777777" w:rsidR="00603D04" w:rsidRPr="001B29A1" w:rsidRDefault="00603D04" w:rsidP="00767E24">
      <w:pPr>
        <w:spacing w:before="0" w:after="0"/>
        <w:ind w:left="426"/>
        <w:jc w:val="both"/>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E30EA2">
        <w:rPr>
          <w:szCs w:val="20"/>
        </w:rPr>
      </w:r>
      <w:r w:rsidR="00E30EA2">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5EA0CD1C" w14:textId="2122A96D" w:rsidR="00603D04" w:rsidRPr="001B29A1" w:rsidRDefault="00F561C6" w:rsidP="00767E24">
      <w:pPr>
        <w:spacing w:before="0" w:after="0"/>
        <w:ind w:left="426"/>
        <w:jc w:val="both"/>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30EA2">
        <w:rPr>
          <w:szCs w:val="20"/>
        </w:rPr>
      </w:r>
      <w:r w:rsidR="00E30EA2">
        <w:rPr>
          <w:szCs w:val="20"/>
        </w:rPr>
        <w:fldChar w:fldCharType="separate"/>
      </w:r>
      <w:r>
        <w:rPr>
          <w:szCs w:val="20"/>
        </w:rPr>
        <w:fldChar w:fldCharType="end"/>
      </w:r>
      <w:r w:rsidR="00603D04" w:rsidRPr="001B29A1">
        <w:rPr>
          <w:szCs w:val="20"/>
        </w:rPr>
        <w:t xml:space="preserve"> </w:t>
      </w:r>
      <w:r w:rsidR="00603D04">
        <w:rPr>
          <w:szCs w:val="20"/>
        </w:rPr>
        <w:t>No</w:t>
      </w:r>
    </w:p>
    <w:p w14:paraId="59E99C03" w14:textId="77777777" w:rsidR="001845D9" w:rsidRPr="00154B00" w:rsidRDefault="001845D9" w:rsidP="00767E24">
      <w:pPr>
        <w:pStyle w:val="Heading2"/>
        <w:numPr>
          <w:ilvl w:val="0"/>
          <w:numId w:val="12"/>
        </w:numPr>
        <w:jc w:val="both"/>
      </w:pPr>
      <w:r w:rsidRPr="00154B00">
        <w:t xml:space="preserve">If yes, please </w:t>
      </w:r>
      <w:proofErr w:type="gramStart"/>
      <w:r w:rsidRPr="00154B00">
        <w:t>advise</w:t>
      </w:r>
      <w:proofErr w:type="gramEnd"/>
      <w:r w:rsidRPr="00154B00">
        <w:t>:</w:t>
      </w:r>
    </w:p>
    <w:p w14:paraId="72130E0E" w14:textId="26F2F3EF" w:rsidR="00517814" w:rsidRDefault="00517814" w:rsidP="00767E24">
      <w:pPr>
        <w:spacing w:before="0" w:after="200" w:line="276" w:lineRule="auto"/>
        <w:jc w:val="both"/>
      </w:pPr>
      <w:r>
        <w:br w:type="page"/>
      </w:r>
    </w:p>
    <w:p w14:paraId="02206BD7" w14:textId="29F894E0" w:rsidR="00DF20AC" w:rsidRDefault="00517814" w:rsidP="00767E24">
      <w:pPr>
        <w:jc w:val="both"/>
      </w:pPr>
      <w:r w:rsidRPr="00517814">
        <w:rPr>
          <w:b/>
          <w:sz w:val="24"/>
          <w:szCs w:val="24"/>
        </w:rPr>
        <w:lastRenderedPageBreak/>
        <w:t>References</w:t>
      </w:r>
    </w:p>
    <w:p w14:paraId="162B17E6" w14:textId="77777777" w:rsidR="00DF20AC" w:rsidRDefault="00DF20AC" w:rsidP="00767E24">
      <w:pPr>
        <w:spacing w:before="0" w:after="200" w:line="276" w:lineRule="auto"/>
        <w:jc w:val="both"/>
      </w:pPr>
    </w:p>
    <w:p w14:paraId="7D0A6CE4" w14:textId="77777777" w:rsidR="00F02A87" w:rsidRPr="00F02A87" w:rsidRDefault="00DF20AC" w:rsidP="00F02A87">
      <w:pPr>
        <w:pStyle w:val="EndNoteBibliography"/>
        <w:spacing w:after="0"/>
      </w:pPr>
      <w:r>
        <w:fldChar w:fldCharType="begin"/>
      </w:r>
      <w:r w:rsidRPr="00D3452B">
        <w:rPr>
          <w:lang w:val="en-AU"/>
        </w:rPr>
        <w:instrText xml:space="preserve"> ADDIN EN.REFLIST </w:instrText>
      </w:r>
      <w:r>
        <w:fldChar w:fldCharType="separate"/>
      </w:r>
      <w:r w:rsidR="00F02A87" w:rsidRPr="00F02A87">
        <w:t>1.</w:t>
      </w:r>
      <w:r w:rsidR="00F02A87" w:rsidRPr="00F02A87">
        <w:tab/>
        <w:t>Ferlay J, Soerjomataram I, Dikshit R, et al. Cancer incidence and mortality worldwide: sources, methods and major patterns in GLOBOCAN 2012. International Journal of Cancer. 2015;136(E359-E386).</w:t>
      </w:r>
    </w:p>
    <w:p w14:paraId="68B8D722" w14:textId="77777777" w:rsidR="00F02A87" w:rsidRPr="00F02A87" w:rsidRDefault="00F02A87" w:rsidP="00F02A87">
      <w:pPr>
        <w:pStyle w:val="EndNoteBibliography"/>
        <w:spacing w:after="0"/>
      </w:pPr>
      <w:r w:rsidRPr="00F02A87">
        <w:t>2.</w:t>
      </w:r>
      <w:r w:rsidRPr="00F02A87">
        <w:tab/>
        <w:t>DeSantis C, Bray F, Ferla J, et al. International variation in female breast cancer incidence and mortality rates. American Association for Cancer Research. 2015;24(10).</w:t>
      </w:r>
    </w:p>
    <w:p w14:paraId="61612C8B" w14:textId="77777777" w:rsidR="00F02A87" w:rsidRPr="00F02A87" w:rsidRDefault="00F02A87" w:rsidP="00F02A87">
      <w:pPr>
        <w:pStyle w:val="EndNoteBibliography"/>
        <w:spacing w:after="0"/>
      </w:pPr>
      <w:r w:rsidRPr="00F02A87">
        <w:t>3.</w:t>
      </w:r>
      <w:r w:rsidRPr="00F02A87">
        <w:tab/>
        <w:t>Dent R, Trudeau M, Pritchard K, et al. Triple-negative breast cancer: clinical features and patterns of recurrence. Clinical Cancer Research. 2007;13(15).</w:t>
      </w:r>
    </w:p>
    <w:p w14:paraId="008C2D68" w14:textId="77777777" w:rsidR="00F02A87" w:rsidRPr="00F02A87" w:rsidRDefault="00F02A87" w:rsidP="00F02A87">
      <w:pPr>
        <w:pStyle w:val="EndNoteBibliography"/>
        <w:spacing w:after="0"/>
      </w:pPr>
      <w:r w:rsidRPr="00F02A87">
        <w:t>4.</w:t>
      </w:r>
      <w:r w:rsidRPr="00F02A87">
        <w:tab/>
        <w:t>Chacon R, Costanzo M. Triple-negative breast cancer. Breast Cancer Research. 2010;12(Suppl. 2).</w:t>
      </w:r>
    </w:p>
    <w:p w14:paraId="22A4505F" w14:textId="77777777" w:rsidR="00F02A87" w:rsidRPr="00F02A87" w:rsidRDefault="00F02A87" w:rsidP="00F02A87">
      <w:pPr>
        <w:pStyle w:val="EndNoteBibliography"/>
        <w:spacing w:after="0"/>
      </w:pPr>
      <w:r w:rsidRPr="00F02A87">
        <w:t>5.</w:t>
      </w:r>
      <w:r w:rsidRPr="00F02A87">
        <w:tab/>
        <w:t>Foulkes W, Smith I, Reis-Filho J. Triple-negative breast cancer. The New England Journal of Medicine. 2010;363.</w:t>
      </w:r>
    </w:p>
    <w:p w14:paraId="383AFA71" w14:textId="77777777" w:rsidR="00F02A87" w:rsidRPr="00F02A87" w:rsidRDefault="00F02A87" w:rsidP="00F02A87">
      <w:pPr>
        <w:pStyle w:val="EndNoteBibliography"/>
        <w:spacing w:after="0"/>
      </w:pPr>
      <w:r w:rsidRPr="00F02A87">
        <w:t>6.</w:t>
      </w:r>
      <w:r w:rsidRPr="00F02A87">
        <w:tab/>
        <w:t>Carey L, Perou C, Livasy C, et al. Race, breast cancer subtypes, and survival in the Carolina Breast Cancer Study. JAMA. 2006;295(21).</w:t>
      </w:r>
    </w:p>
    <w:p w14:paraId="7ED28358" w14:textId="77777777" w:rsidR="00F02A87" w:rsidRPr="00F02A87" w:rsidRDefault="00F02A87" w:rsidP="00F02A87">
      <w:pPr>
        <w:pStyle w:val="EndNoteBibliography"/>
        <w:spacing w:after="0"/>
      </w:pPr>
      <w:r w:rsidRPr="00F02A87">
        <w:t>7.</w:t>
      </w:r>
      <w:r w:rsidRPr="00F02A87">
        <w:tab/>
        <w:t>Urru S, Gallus S, Bosetti C, et al. Clinical and pathological factors influencing survival in a large cohort of triple-negative breast cancer patients. BMC Cancer. 2018;18(56).</w:t>
      </w:r>
    </w:p>
    <w:p w14:paraId="134C026D" w14:textId="77777777" w:rsidR="00F02A87" w:rsidRPr="00F02A87" w:rsidRDefault="00F02A87" w:rsidP="00F02A87">
      <w:pPr>
        <w:pStyle w:val="EndNoteBibliography"/>
        <w:spacing w:after="0"/>
      </w:pPr>
      <w:r w:rsidRPr="00F02A87">
        <w:t>8.</w:t>
      </w:r>
      <w:r w:rsidRPr="00F02A87">
        <w:tab/>
        <w:t>Press D, Miller M, Liederbach E, et al. De novo metastasis in breast cancer: occurrence and overall survival stratified by molecular subtype. Clinical &amp; Experimental Metastasis. 2017;34:457-165.</w:t>
      </w:r>
    </w:p>
    <w:p w14:paraId="258BA68A" w14:textId="77777777" w:rsidR="00F02A87" w:rsidRPr="00F02A87" w:rsidRDefault="00F02A87" w:rsidP="00F02A87">
      <w:pPr>
        <w:pStyle w:val="EndNoteBibliography"/>
        <w:spacing w:after="0"/>
      </w:pPr>
      <w:r w:rsidRPr="00F02A87">
        <w:t>9.</w:t>
      </w:r>
      <w:r w:rsidRPr="00F02A87">
        <w:tab/>
        <w:t>Bonotto M, Gerratana L, Poletto E, et al. Measures of outcome in metastatic breast cancer: insights from a real-world scenario. The Oncologist. 2014;19:608-15.</w:t>
      </w:r>
    </w:p>
    <w:p w14:paraId="5748589D" w14:textId="61A86229" w:rsidR="00F02A87" w:rsidRPr="00F02A87" w:rsidRDefault="00F02A87" w:rsidP="00F02A87">
      <w:pPr>
        <w:pStyle w:val="EndNoteBibliography"/>
        <w:spacing w:after="0"/>
      </w:pPr>
      <w:r w:rsidRPr="00F02A87">
        <w:t>10.</w:t>
      </w:r>
      <w:r w:rsidRPr="00F02A87">
        <w:tab/>
        <w:t>Seigal R, Miller K, Jemal A. Cancer statistics Surveillance, Epidemiology, and End Results (SEER) Program (</w:t>
      </w:r>
      <w:hyperlink r:id="rId12" w:tooltip="Link to article" w:history="1">
        <w:r w:rsidRPr="00F02A87">
          <w:rPr>
            <w:rStyle w:val="Hyperlink"/>
          </w:rPr>
          <w:t>www.seer.cancer.gov</w:t>
        </w:r>
      </w:hyperlink>
      <w:r w:rsidRPr="00F02A87">
        <w:t>) SEER*Stat Database: Incidence - SEER 9 Regs Research Data, Nov 2017 Sub (1973-2015) &lt;Katrina/Rita Population Adjustment&gt; - Linked To County Attributes. Total U.S., 1969-2016 Counties, National Cancer Institute, DCCPS, Surveillance Research Program, released April 2018, based on the November 2017 submission. 2018.</w:t>
      </w:r>
    </w:p>
    <w:p w14:paraId="7921FBBF" w14:textId="77777777" w:rsidR="00F02A87" w:rsidRPr="00F02A87" w:rsidRDefault="00F02A87" w:rsidP="00F02A87">
      <w:pPr>
        <w:pStyle w:val="EndNoteBibliography"/>
        <w:spacing w:after="0"/>
      </w:pPr>
      <w:r w:rsidRPr="00F02A87">
        <w:t>11.</w:t>
      </w:r>
      <w:r w:rsidRPr="00F02A87">
        <w:tab/>
        <w:t>Australian Institute of Health and Welfare. Cancer in Australia 2017. Cancer Series no 101 Cat No CAN 100. 2017.</w:t>
      </w:r>
    </w:p>
    <w:p w14:paraId="7AA974BD" w14:textId="77777777" w:rsidR="00F02A87" w:rsidRPr="00F02A87" w:rsidRDefault="00F02A87" w:rsidP="00F02A87">
      <w:pPr>
        <w:pStyle w:val="EndNoteBibliography"/>
      </w:pPr>
      <w:r w:rsidRPr="00F02A87">
        <w:t>12.</w:t>
      </w:r>
      <w:r w:rsidRPr="00F02A87">
        <w:tab/>
        <w:t>Thientosapol E, Tran T, Della-Fiorentina S, et al. Survival times of women with metastatic breast cancer starting first-line chemotherapy in routine clinical practice versus contemporary randomised trials. Internal Medicine Journal. 2013:883-8.</w:t>
      </w:r>
    </w:p>
    <w:p w14:paraId="600F2FA9" w14:textId="05CA0098" w:rsidR="004725B6" w:rsidRDefault="00DF20AC" w:rsidP="00767E24">
      <w:pPr>
        <w:spacing w:before="0" w:after="200" w:line="276" w:lineRule="auto"/>
        <w:jc w:val="both"/>
      </w:pPr>
      <w:r>
        <w:fldChar w:fldCharType="end"/>
      </w:r>
    </w:p>
    <w:sectPr w:rsidR="004725B6" w:rsidSect="00DD308E">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C4622E" w16cid:durableId="1F816B87"/>
  <w16cid:commentId w16cid:paraId="32F06BD1" w16cid:durableId="1F816B88"/>
  <w16cid:commentId w16cid:paraId="146FEEE8" w16cid:durableId="1F816B89"/>
  <w16cid:commentId w16cid:paraId="1B051C52" w16cid:durableId="1F816B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B5FB6" w14:textId="77777777" w:rsidR="00A03BB7" w:rsidRDefault="00A03BB7" w:rsidP="00CF2DFA">
      <w:pPr>
        <w:spacing w:after="0"/>
      </w:pPr>
      <w:r>
        <w:separator/>
      </w:r>
    </w:p>
  </w:endnote>
  <w:endnote w:type="continuationSeparator" w:id="0">
    <w:p w14:paraId="085AF8DE" w14:textId="77777777" w:rsidR="00A03BB7" w:rsidRDefault="00A03BB7"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23ABAF78" w14:textId="325F0803" w:rsidR="00A03BB7" w:rsidRDefault="00A03BB7">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E30EA2" w:rsidRPr="00E30EA2">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0C774957" w14:textId="77777777" w:rsidR="00A03BB7" w:rsidRPr="003F7CB9" w:rsidRDefault="00A03BB7"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EB078" w14:textId="77777777" w:rsidR="00A03BB7" w:rsidRDefault="00A03BB7" w:rsidP="00CF2DFA">
      <w:pPr>
        <w:spacing w:after="0"/>
      </w:pPr>
      <w:r>
        <w:separator/>
      </w:r>
    </w:p>
  </w:footnote>
  <w:footnote w:type="continuationSeparator" w:id="0">
    <w:p w14:paraId="29F90D38" w14:textId="77777777" w:rsidR="00A03BB7" w:rsidRDefault="00A03BB7" w:rsidP="00CF2D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72E"/>
    <w:multiLevelType w:val="hybridMultilevel"/>
    <w:tmpl w:val="8D16110E"/>
    <w:lvl w:ilvl="0" w:tplc="A49A3A46">
      <w:start w:val="1"/>
      <w:numFmt w:val="bullet"/>
      <w:lvlText w:val="•"/>
      <w:lvlJc w:val="left"/>
      <w:pPr>
        <w:tabs>
          <w:tab w:val="num" w:pos="720"/>
        </w:tabs>
        <w:ind w:left="720" w:hanging="360"/>
      </w:pPr>
      <w:rPr>
        <w:rFonts w:ascii="Arial" w:hAnsi="Arial" w:hint="default"/>
      </w:rPr>
    </w:lvl>
    <w:lvl w:ilvl="1" w:tplc="FC54C282" w:tentative="1">
      <w:start w:val="1"/>
      <w:numFmt w:val="bullet"/>
      <w:lvlText w:val="•"/>
      <w:lvlJc w:val="left"/>
      <w:pPr>
        <w:tabs>
          <w:tab w:val="num" w:pos="1440"/>
        </w:tabs>
        <w:ind w:left="1440" w:hanging="360"/>
      </w:pPr>
      <w:rPr>
        <w:rFonts w:ascii="Arial" w:hAnsi="Arial" w:hint="default"/>
      </w:rPr>
    </w:lvl>
    <w:lvl w:ilvl="2" w:tplc="A60A43FA" w:tentative="1">
      <w:start w:val="1"/>
      <w:numFmt w:val="bullet"/>
      <w:lvlText w:val="•"/>
      <w:lvlJc w:val="left"/>
      <w:pPr>
        <w:tabs>
          <w:tab w:val="num" w:pos="2160"/>
        </w:tabs>
        <w:ind w:left="2160" w:hanging="360"/>
      </w:pPr>
      <w:rPr>
        <w:rFonts w:ascii="Arial" w:hAnsi="Arial" w:hint="default"/>
      </w:rPr>
    </w:lvl>
    <w:lvl w:ilvl="3" w:tplc="4D82E1CA" w:tentative="1">
      <w:start w:val="1"/>
      <w:numFmt w:val="bullet"/>
      <w:lvlText w:val="•"/>
      <w:lvlJc w:val="left"/>
      <w:pPr>
        <w:tabs>
          <w:tab w:val="num" w:pos="2880"/>
        </w:tabs>
        <w:ind w:left="2880" w:hanging="360"/>
      </w:pPr>
      <w:rPr>
        <w:rFonts w:ascii="Arial" w:hAnsi="Arial" w:hint="default"/>
      </w:rPr>
    </w:lvl>
    <w:lvl w:ilvl="4" w:tplc="82884326" w:tentative="1">
      <w:start w:val="1"/>
      <w:numFmt w:val="bullet"/>
      <w:lvlText w:val="•"/>
      <w:lvlJc w:val="left"/>
      <w:pPr>
        <w:tabs>
          <w:tab w:val="num" w:pos="3600"/>
        </w:tabs>
        <w:ind w:left="3600" w:hanging="360"/>
      </w:pPr>
      <w:rPr>
        <w:rFonts w:ascii="Arial" w:hAnsi="Arial" w:hint="default"/>
      </w:rPr>
    </w:lvl>
    <w:lvl w:ilvl="5" w:tplc="6ADE602C" w:tentative="1">
      <w:start w:val="1"/>
      <w:numFmt w:val="bullet"/>
      <w:lvlText w:val="•"/>
      <w:lvlJc w:val="left"/>
      <w:pPr>
        <w:tabs>
          <w:tab w:val="num" w:pos="4320"/>
        </w:tabs>
        <w:ind w:left="4320" w:hanging="360"/>
      </w:pPr>
      <w:rPr>
        <w:rFonts w:ascii="Arial" w:hAnsi="Arial" w:hint="default"/>
      </w:rPr>
    </w:lvl>
    <w:lvl w:ilvl="6" w:tplc="ED6AC508" w:tentative="1">
      <w:start w:val="1"/>
      <w:numFmt w:val="bullet"/>
      <w:lvlText w:val="•"/>
      <w:lvlJc w:val="left"/>
      <w:pPr>
        <w:tabs>
          <w:tab w:val="num" w:pos="5040"/>
        </w:tabs>
        <w:ind w:left="5040" w:hanging="360"/>
      </w:pPr>
      <w:rPr>
        <w:rFonts w:ascii="Arial" w:hAnsi="Arial" w:hint="default"/>
      </w:rPr>
    </w:lvl>
    <w:lvl w:ilvl="7" w:tplc="8086F564" w:tentative="1">
      <w:start w:val="1"/>
      <w:numFmt w:val="bullet"/>
      <w:lvlText w:val="•"/>
      <w:lvlJc w:val="left"/>
      <w:pPr>
        <w:tabs>
          <w:tab w:val="num" w:pos="5760"/>
        </w:tabs>
        <w:ind w:left="5760" w:hanging="360"/>
      </w:pPr>
      <w:rPr>
        <w:rFonts w:ascii="Arial" w:hAnsi="Arial" w:hint="default"/>
      </w:rPr>
    </w:lvl>
    <w:lvl w:ilvl="8" w:tplc="A3F6A0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29374CA"/>
    <w:multiLevelType w:val="hybridMultilevel"/>
    <w:tmpl w:val="58BA634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 w15:restartNumberingAfterBreak="0">
    <w:nsid w:val="04847575"/>
    <w:multiLevelType w:val="hybridMultilevel"/>
    <w:tmpl w:val="445C0504"/>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9E57F0"/>
    <w:multiLevelType w:val="hybridMultilevel"/>
    <w:tmpl w:val="B59A4358"/>
    <w:lvl w:ilvl="0" w:tplc="06E00350">
      <w:start w:val="1"/>
      <w:numFmt w:val="bullet"/>
      <w:lvlText w:val="•"/>
      <w:lvlJc w:val="left"/>
      <w:pPr>
        <w:tabs>
          <w:tab w:val="num" w:pos="720"/>
        </w:tabs>
        <w:ind w:left="720" w:hanging="360"/>
      </w:pPr>
      <w:rPr>
        <w:rFonts w:ascii="Arial" w:hAnsi="Arial" w:hint="default"/>
      </w:rPr>
    </w:lvl>
    <w:lvl w:ilvl="1" w:tplc="596ABCC8" w:tentative="1">
      <w:start w:val="1"/>
      <w:numFmt w:val="bullet"/>
      <w:lvlText w:val="•"/>
      <w:lvlJc w:val="left"/>
      <w:pPr>
        <w:tabs>
          <w:tab w:val="num" w:pos="1440"/>
        </w:tabs>
        <w:ind w:left="1440" w:hanging="360"/>
      </w:pPr>
      <w:rPr>
        <w:rFonts w:ascii="Arial" w:hAnsi="Arial" w:hint="default"/>
      </w:rPr>
    </w:lvl>
    <w:lvl w:ilvl="2" w:tplc="B9324A70" w:tentative="1">
      <w:start w:val="1"/>
      <w:numFmt w:val="bullet"/>
      <w:lvlText w:val="•"/>
      <w:lvlJc w:val="left"/>
      <w:pPr>
        <w:tabs>
          <w:tab w:val="num" w:pos="2160"/>
        </w:tabs>
        <w:ind w:left="2160" w:hanging="360"/>
      </w:pPr>
      <w:rPr>
        <w:rFonts w:ascii="Arial" w:hAnsi="Arial" w:hint="default"/>
      </w:rPr>
    </w:lvl>
    <w:lvl w:ilvl="3" w:tplc="040EEAAC" w:tentative="1">
      <w:start w:val="1"/>
      <w:numFmt w:val="bullet"/>
      <w:lvlText w:val="•"/>
      <w:lvlJc w:val="left"/>
      <w:pPr>
        <w:tabs>
          <w:tab w:val="num" w:pos="2880"/>
        </w:tabs>
        <w:ind w:left="2880" w:hanging="360"/>
      </w:pPr>
      <w:rPr>
        <w:rFonts w:ascii="Arial" w:hAnsi="Arial" w:hint="default"/>
      </w:rPr>
    </w:lvl>
    <w:lvl w:ilvl="4" w:tplc="64C076EC" w:tentative="1">
      <w:start w:val="1"/>
      <w:numFmt w:val="bullet"/>
      <w:lvlText w:val="•"/>
      <w:lvlJc w:val="left"/>
      <w:pPr>
        <w:tabs>
          <w:tab w:val="num" w:pos="3600"/>
        </w:tabs>
        <w:ind w:left="3600" w:hanging="360"/>
      </w:pPr>
      <w:rPr>
        <w:rFonts w:ascii="Arial" w:hAnsi="Arial" w:hint="default"/>
      </w:rPr>
    </w:lvl>
    <w:lvl w:ilvl="5" w:tplc="96E41E5A" w:tentative="1">
      <w:start w:val="1"/>
      <w:numFmt w:val="bullet"/>
      <w:lvlText w:val="•"/>
      <w:lvlJc w:val="left"/>
      <w:pPr>
        <w:tabs>
          <w:tab w:val="num" w:pos="4320"/>
        </w:tabs>
        <w:ind w:left="4320" w:hanging="360"/>
      </w:pPr>
      <w:rPr>
        <w:rFonts w:ascii="Arial" w:hAnsi="Arial" w:hint="default"/>
      </w:rPr>
    </w:lvl>
    <w:lvl w:ilvl="6" w:tplc="A57ACB4A" w:tentative="1">
      <w:start w:val="1"/>
      <w:numFmt w:val="bullet"/>
      <w:lvlText w:val="•"/>
      <w:lvlJc w:val="left"/>
      <w:pPr>
        <w:tabs>
          <w:tab w:val="num" w:pos="5040"/>
        </w:tabs>
        <w:ind w:left="5040" w:hanging="360"/>
      </w:pPr>
      <w:rPr>
        <w:rFonts w:ascii="Arial" w:hAnsi="Arial" w:hint="default"/>
      </w:rPr>
    </w:lvl>
    <w:lvl w:ilvl="7" w:tplc="75EAEE88" w:tentative="1">
      <w:start w:val="1"/>
      <w:numFmt w:val="bullet"/>
      <w:lvlText w:val="•"/>
      <w:lvlJc w:val="left"/>
      <w:pPr>
        <w:tabs>
          <w:tab w:val="num" w:pos="5760"/>
        </w:tabs>
        <w:ind w:left="5760" w:hanging="360"/>
      </w:pPr>
      <w:rPr>
        <w:rFonts w:ascii="Arial" w:hAnsi="Arial" w:hint="default"/>
      </w:rPr>
    </w:lvl>
    <w:lvl w:ilvl="8" w:tplc="9BA8FC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465C14"/>
    <w:multiLevelType w:val="hybridMultilevel"/>
    <w:tmpl w:val="76867D00"/>
    <w:lvl w:ilvl="0" w:tplc="0C09000F">
      <w:start w:val="1"/>
      <w:numFmt w:val="decimal"/>
      <w:lvlText w:val="%1."/>
      <w:lvlJc w:val="left"/>
      <w:pPr>
        <w:ind w:left="785"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BC62A8"/>
    <w:multiLevelType w:val="hybridMultilevel"/>
    <w:tmpl w:val="33C201A8"/>
    <w:lvl w:ilvl="0" w:tplc="0C09000F">
      <w:start w:val="1"/>
      <w:numFmt w:val="decimal"/>
      <w:lvlText w:val="%1."/>
      <w:lvlJc w:val="left"/>
      <w:pPr>
        <w:ind w:left="1185" w:hanging="360"/>
      </w:pPr>
    </w:lvl>
    <w:lvl w:ilvl="1" w:tplc="0C090019" w:tentative="1">
      <w:start w:val="1"/>
      <w:numFmt w:val="lowerLetter"/>
      <w:lvlText w:val="%2."/>
      <w:lvlJc w:val="left"/>
      <w:pPr>
        <w:ind w:left="1905" w:hanging="360"/>
      </w:pPr>
    </w:lvl>
    <w:lvl w:ilvl="2" w:tplc="0C09001B" w:tentative="1">
      <w:start w:val="1"/>
      <w:numFmt w:val="lowerRoman"/>
      <w:lvlText w:val="%3."/>
      <w:lvlJc w:val="right"/>
      <w:pPr>
        <w:ind w:left="2625" w:hanging="180"/>
      </w:pPr>
    </w:lvl>
    <w:lvl w:ilvl="3" w:tplc="0C09000F" w:tentative="1">
      <w:start w:val="1"/>
      <w:numFmt w:val="decimal"/>
      <w:lvlText w:val="%4."/>
      <w:lvlJc w:val="left"/>
      <w:pPr>
        <w:ind w:left="3345" w:hanging="360"/>
      </w:pPr>
    </w:lvl>
    <w:lvl w:ilvl="4" w:tplc="0C090019" w:tentative="1">
      <w:start w:val="1"/>
      <w:numFmt w:val="lowerLetter"/>
      <w:lvlText w:val="%5."/>
      <w:lvlJc w:val="left"/>
      <w:pPr>
        <w:ind w:left="4065" w:hanging="360"/>
      </w:pPr>
    </w:lvl>
    <w:lvl w:ilvl="5" w:tplc="0C09001B" w:tentative="1">
      <w:start w:val="1"/>
      <w:numFmt w:val="lowerRoman"/>
      <w:lvlText w:val="%6."/>
      <w:lvlJc w:val="right"/>
      <w:pPr>
        <w:ind w:left="4785" w:hanging="180"/>
      </w:pPr>
    </w:lvl>
    <w:lvl w:ilvl="6" w:tplc="0C09000F" w:tentative="1">
      <w:start w:val="1"/>
      <w:numFmt w:val="decimal"/>
      <w:lvlText w:val="%7."/>
      <w:lvlJc w:val="left"/>
      <w:pPr>
        <w:ind w:left="5505" w:hanging="360"/>
      </w:pPr>
    </w:lvl>
    <w:lvl w:ilvl="7" w:tplc="0C090019" w:tentative="1">
      <w:start w:val="1"/>
      <w:numFmt w:val="lowerLetter"/>
      <w:lvlText w:val="%8."/>
      <w:lvlJc w:val="left"/>
      <w:pPr>
        <w:ind w:left="6225" w:hanging="360"/>
      </w:pPr>
    </w:lvl>
    <w:lvl w:ilvl="8" w:tplc="0C09001B" w:tentative="1">
      <w:start w:val="1"/>
      <w:numFmt w:val="lowerRoman"/>
      <w:lvlText w:val="%9."/>
      <w:lvlJc w:val="right"/>
      <w:pPr>
        <w:ind w:left="6945" w:hanging="180"/>
      </w:pPr>
    </w:lvl>
  </w:abstractNum>
  <w:abstractNum w:abstractNumId="11"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4E5017A4"/>
    <w:multiLevelType w:val="hybridMultilevel"/>
    <w:tmpl w:val="362EFD8C"/>
    <w:lvl w:ilvl="0" w:tplc="6FB04920">
      <w:start w:val="1"/>
      <w:numFmt w:val="bullet"/>
      <w:lvlText w:val="•"/>
      <w:lvlJc w:val="left"/>
      <w:pPr>
        <w:tabs>
          <w:tab w:val="num" w:pos="720"/>
        </w:tabs>
        <w:ind w:left="720" w:hanging="360"/>
      </w:pPr>
      <w:rPr>
        <w:rFonts w:ascii="Arial" w:hAnsi="Arial" w:hint="default"/>
      </w:rPr>
    </w:lvl>
    <w:lvl w:ilvl="1" w:tplc="DB7E0222" w:tentative="1">
      <w:start w:val="1"/>
      <w:numFmt w:val="bullet"/>
      <w:lvlText w:val="•"/>
      <w:lvlJc w:val="left"/>
      <w:pPr>
        <w:tabs>
          <w:tab w:val="num" w:pos="1440"/>
        </w:tabs>
        <w:ind w:left="1440" w:hanging="360"/>
      </w:pPr>
      <w:rPr>
        <w:rFonts w:ascii="Arial" w:hAnsi="Arial" w:hint="default"/>
      </w:rPr>
    </w:lvl>
    <w:lvl w:ilvl="2" w:tplc="393ABBFA" w:tentative="1">
      <w:start w:val="1"/>
      <w:numFmt w:val="bullet"/>
      <w:lvlText w:val="•"/>
      <w:lvlJc w:val="left"/>
      <w:pPr>
        <w:tabs>
          <w:tab w:val="num" w:pos="2160"/>
        </w:tabs>
        <w:ind w:left="2160" w:hanging="360"/>
      </w:pPr>
      <w:rPr>
        <w:rFonts w:ascii="Arial" w:hAnsi="Arial" w:hint="default"/>
      </w:rPr>
    </w:lvl>
    <w:lvl w:ilvl="3" w:tplc="FC782408" w:tentative="1">
      <w:start w:val="1"/>
      <w:numFmt w:val="bullet"/>
      <w:lvlText w:val="•"/>
      <w:lvlJc w:val="left"/>
      <w:pPr>
        <w:tabs>
          <w:tab w:val="num" w:pos="2880"/>
        </w:tabs>
        <w:ind w:left="2880" w:hanging="360"/>
      </w:pPr>
      <w:rPr>
        <w:rFonts w:ascii="Arial" w:hAnsi="Arial" w:hint="default"/>
      </w:rPr>
    </w:lvl>
    <w:lvl w:ilvl="4" w:tplc="91F85666" w:tentative="1">
      <w:start w:val="1"/>
      <w:numFmt w:val="bullet"/>
      <w:lvlText w:val="•"/>
      <w:lvlJc w:val="left"/>
      <w:pPr>
        <w:tabs>
          <w:tab w:val="num" w:pos="3600"/>
        </w:tabs>
        <w:ind w:left="3600" w:hanging="360"/>
      </w:pPr>
      <w:rPr>
        <w:rFonts w:ascii="Arial" w:hAnsi="Arial" w:hint="default"/>
      </w:rPr>
    </w:lvl>
    <w:lvl w:ilvl="5" w:tplc="ECC4A4FA" w:tentative="1">
      <w:start w:val="1"/>
      <w:numFmt w:val="bullet"/>
      <w:lvlText w:val="•"/>
      <w:lvlJc w:val="left"/>
      <w:pPr>
        <w:tabs>
          <w:tab w:val="num" w:pos="4320"/>
        </w:tabs>
        <w:ind w:left="4320" w:hanging="360"/>
      </w:pPr>
      <w:rPr>
        <w:rFonts w:ascii="Arial" w:hAnsi="Arial" w:hint="default"/>
      </w:rPr>
    </w:lvl>
    <w:lvl w:ilvl="6" w:tplc="7B9ECC9E" w:tentative="1">
      <w:start w:val="1"/>
      <w:numFmt w:val="bullet"/>
      <w:lvlText w:val="•"/>
      <w:lvlJc w:val="left"/>
      <w:pPr>
        <w:tabs>
          <w:tab w:val="num" w:pos="5040"/>
        </w:tabs>
        <w:ind w:left="5040" w:hanging="360"/>
      </w:pPr>
      <w:rPr>
        <w:rFonts w:ascii="Arial" w:hAnsi="Arial" w:hint="default"/>
      </w:rPr>
    </w:lvl>
    <w:lvl w:ilvl="7" w:tplc="44BEAFEA" w:tentative="1">
      <w:start w:val="1"/>
      <w:numFmt w:val="bullet"/>
      <w:lvlText w:val="•"/>
      <w:lvlJc w:val="left"/>
      <w:pPr>
        <w:tabs>
          <w:tab w:val="num" w:pos="5760"/>
        </w:tabs>
        <w:ind w:left="5760" w:hanging="360"/>
      </w:pPr>
      <w:rPr>
        <w:rFonts w:ascii="Arial" w:hAnsi="Arial" w:hint="default"/>
      </w:rPr>
    </w:lvl>
    <w:lvl w:ilvl="8" w:tplc="317CA89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0F6FAE"/>
    <w:multiLevelType w:val="multilevel"/>
    <w:tmpl w:val="D5FA7F4A"/>
    <w:lvl w:ilvl="0">
      <w:start w:val="1"/>
      <w:numFmt w:val="decimal"/>
      <w:pStyle w:val="Heading2"/>
      <w:lvlText w:val="%1."/>
      <w:lvlJc w:val="left"/>
      <w:pPr>
        <w:ind w:left="9291"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AC076D"/>
    <w:multiLevelType w:val="hybridMultilevel"/>
    <w:tmpl w:val="2B4A10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931B10"/>
    <w:multiLevelType w:val="multilevel"/>
    <w:tmpl w:val="CA44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1"/>
  </w:num>
  <w:num w:numId="3">
    <w:abstractNumId w:val="3"/>
  </w:num>
  <w:num w:numId="4">
    <w:abstractNumId w:val="19"/>
  </w:num>
  <w:num w:numId="5">
    <w:abstractNumId w:val="7"/>
  </w:num>
  <w:num w:numId="6">
    <w:abstractNumId w:val="15"/>
  </w:num>
  <w:num w:numId="7">
    <w:abstractNumId w:val="11"/>
  </w:num>
  <w:num w:numId="8">
    <w:abstractNumId w:val="20"/>
  </w:num>
  <w:num w:numId="9">
    <w:abstractNumId w:val="5"/>
  </w:num>
  <w:num w:numId="10">
    <w:abstractNumId w:val="17"/>
  </w:num>
  <w:num w:numId="11">
    <w:abstractNumId w:val="9"/>
  </w:num>
  <w:num w:numId="12">
    <w:abstractNumId w:val="16"/>
  </w:num>
  <w:num w:numId="13">
    <w:abstractNumId w:val="8"/>
  </w:num>
  <w:num w:numId="14">
    <w:abstractNumId w:val="12"/>
  </w:num>
  <w:num w:numId="15">
    <w:abstractNumId w:val="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2"/>
  </w:num>
  <w:num w:numId="19">
    <w:abstractNumId w:val="13"/>
  </w:num>
  <w:num w:numId="20">
    <w:abstractNumId w:val="2"/>
  </w:num>
  <w:num w:numId="21">
    <w:abstractNumId w:val="18"/>
  </w:num>
  <w:num w:numId="22">
    <w:abstractNumId w:val="4"/>
  </w:num>
  <w:num w:numId="23">
    <w:abstractNumId w:val="0"/>
  </w:num>
  <w:num w:numId="2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AU" w:vendorID="64" w:dllVersion="131078" w:nlCheck="1" w:checkStyle="0"/>
  <w:activeWritingStyle w:appName="MSWord" w:lang="en-GB" w:vendorID="64" w:dllVersion="131078" w:nlCheck="1" w:checkStyle="1"/>
  <w:proofState w:grammar="clean"/>
  <w:documentProtection w:edit="forms"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052e5x9tdfxzhe2zrlvfszipszset9005xv&quot;&gt;Application form&lt;record-ids&gt;&lt;item&gt;1&lt;/item&gt;&lt;item&gt;2&lt;/item&gt;&lt;item&gt;3&lt;/item&gt;&lt;item&gt;4&lt;/item&gt;&lt;item&gt;5&lt;/item&gt;&lt;item&gt;6&lt;/item&gt;&lt;item&gt;10&lt;/item&gt;&lt;item&gt;11&lt;/item&gt;&lt;item&gt;13&lt;/item&gt;&lt;item&gt;14&lt;/item&gt;&lt;item&gt;16&lt;/item&gt;&lt;item&gt;17&lt;/item&gt;&lt;/record-ids&gt;&lt;/item&gt;&lt;/Libraries&gt;"/>
  </w:docVars>
  <w:rsids>
    <w:rsidRoot w:val="00BF6AC5"/>
    <w:rsid w:val="0000053B"/>
    <w:rsid w:val="000007BB"/>
    <w:rsid w:val="00001C18"/>
    <w:rsid w:val="00006698"/>
    <w:rsid w:val="000074A5"/>
    <w:rsid w:val="000110DC"/>
    <w:rsid w:val="00012290"/>
    <w:rsid w:val="00012B14"/>
    <w:rsid w:val="000158AA"/>
    <w:rsid w:val="000159B9"/>
    <w:rsid w:val="000160D4"/>
    <w:rsid w:val="00016B6E"/>
    <w:rsid w:val="00017309"/>
    <w:rsid w:val="0002013F"/>
    <w:rsid w:val="00020D04"/>
    <w:rsid w:val="0002247F"/>
    <w:rsid w:val="00023E21"/>
    <w:rsid w:val="00025ABC"/>
    <w:rsid w:val="00026412"/>
    <w:rsid w:val="000312A7"/>
    <w:rsid w:val="00031F6F"/>
    <w:rsid w:val="00034D6E"/>
    <w:rsid w:val="00040429"/>
    <w:rsid w:val="00040A55"/>
    <w:rsid w:val="00043C53"/>
    <w:rsid w:val="000442E0"/>
    <w:rsid w:val="000449FB"/>
    <w:rsid w:val="00047A6A"/>
    <w:rsid w:val="0005089D"/>
    <w:rsid w:val="00050C66"/>
    <w:rsid w:val="000525BC"/>
    <w:rsid w:val="00052A6A"/>
    <w:rsid w:val="0006284B"/>
    <w:rsid w:val="000658DE"/>
    <w:rsid w:val="00073222"/>
    <w:rsid w:val="00074B95"/>
    <w:rsid w:val="000770BA"/>
    <w:rsid w:val="00077366"/>
    <w:rsid w:val="000829B4"/>
    <w:rsid w:val="00086224"/>
    <w:rsid w:val="00092580"/>
    <w:rsid w:val="0009311E"/>
    <w:rsid w:val="00093206"/>
    <w:rsid w:val="00093C21"/>
    <w:rsid w:val="000955E7"/>
    <w:rsid w:val="000A110D"/>
    <w:rsid w:val="000A38DC"/>
    <w:rsid w:val="000A478F"/>
    <w:rsid w:val="000A4D73"/>
    <w:rsid w:val="000A5B32"/>
    <w:rsid w:val="000A7C1D"/>
    <w:rsid w:val="000B2908"/>
    <w:rsid w:val="000B2F6D"/>
    <w:rsid w:val="000B3CD0"/>
    <w:rsid w:val="000C1F51"/>
    <w:rsid w:val="000C4D45"/>
    <w:rsid w:val="000D066E"/>
    <w:rsid w:val="000D0831"/>
    <w:rsid w:val="000D0BA4"/>
    <w:rsid w:val="000D20D2"/>
    <w:rsid w:val="000D447A"/>
    <w:rsid w:val="000E0DC1"/>
    <w:rsid w:val="000E1757"/>
    <w:rsid w:val="000E2676"/>
    <w:rsid w:val="000E47E7"/>
    <w:rsid w:val="000E5439"/>
    <w:rsid w:val="000E7504"/>
    <w:rsid w:val="000F7A4E"/>
    <w:rsid w:val="00100000"/>
    <w:rsid w:val="0010168C"/>
    <w:rsid w:val="00102686"/>
    <w:rsid w:val="00105032"/>
    <w:rsid w:val="001075FB"/>
    <w:rsid w:val="0011036E"/>
    <w:rsid w:val="0011037C"/>
    <w:rsid w:val="00110EBC"/>
    <w:rsid w:val="00110F93"/>
    <w:rsid w:val="001130B0"/>
    <w:rsid w:val="0011369B"/>
    <w:rsid w:val="00115EEC"/>
    <w:rsid w:val="001169EB"/>
    <w:rsid w:val="0011742E"/>
    <w:rsid w:val="00123D10"/>
    <w:rsid w:val="00124B00"/>
    <w:rsid w:val="00126B33"/>
    <w:rsid w:val="00131DD3"/>
    <w:rsid w:val="00135BF5"/>
    <w:rsid w:val="00140786"/>
    <w:rsid w:val="00140E3E"/>
    <w:rsid w:val="00144869"/>
    <w:rsid w:val="001507D0"/>
    <w:rsid w:val="00150D82"/>
    <w:rsid w:val="001523BF"/>
    <w:rsid w:val="00154B00"/>
    <w:rsid w:val="00155CEC"/>
    <w:rsid w:val="00156235"/>
    <w:rsid w:val="00161593"/>
    <w:rsid w:val="00163F94"/>
    <w:rsid w:val="001644E9"/>
    <w:rsid w:val="0016631E"/>
    <w:rsid w:val="00174AF1"/>
    <w:rsid w:val="001845D9"/>
    <w:rsid w:val="00184C82"/>
    <w:rsid w:val="00185B43"/>
    <w:rsid w:val="0018630F"/>
    <w:rsid w:val="001906CD"/>
    <w:rsid w:val="0019084A"/>
    <w:rsid w:val="001915FA"/>
    <w:rsid w:val="00191B99"/>
    <w:rsid w:val="00191F9D"/>
    <w:rsid w:val="001976E6"/>
    <w:rsid w:val="00197D29"/>
    <w:rsid w:val="001A02E3"/>
    <w:rsid w:val="001A1ADF"/>
    <w:rsid w:val="001A2BB3"/>
    <w:rsid w:val="001A365C"/>
    <w:rsid w:val="001A5148"/>
    <w:rsid w:val="001A719B"/>
    <w:rsid w:val="001A7B2E"/>
    <w:rsid w:val="001B171D"/>
    <w:rsid w:val="001B29A1"/>
    <w:rsid w:val="001B5169"/>
    <w:rsid w:val="001B6164"/>
    <w:rsid w:val="001C3EF0"/>
    <w:rsid w:val="001C5807"/>
    <w:rsid w:val="001D5570"/>
    <w:rsid w:val="001D69C5"/>
    <w:rsid w:val="001D6F64"/>
    <w:rsid w:val="001D77ED"/>
    <w:rsid w:val="001E1180"/>
    <w:rsid w:val="001E23EA"/>
    <w:rsid w:val="001E2F33"/>
    <w:rsid w:val="001E6919"/>
    <w:rsid w:val="001E6958"/>
    <w:rsid w:val="001E6A5F"/>
    <w:rsid w:val="001F14C5"/>
    <w:rsid w:val="001F1E72"/>
    <w:rsid w:val="001F4091"/>
    <w:rsid w:val="001F45D6"/>
    <w:rsid w:val="001F57A8"/>
    <w:rsid w:val="001F720F"/>
    <w:rsid w:val="00201924"/>
    <w:rsid w:val="00202244"/>
    <w:rsid w:val="00202473"/>
    <w:rsid w:val="002053F2"/>
    <w:rsid w:val="00206D63"/>
    <w:rsid w:val="002111FD"/>
    <w:rsid w:val="0021183A"/>
    <w:rsid w:val="0021185D"/>
    <w:rsid w:val="0021501A"/>
    <w:rsid w:val="002229DF"/>
    <w:rsid w:val="00226777"/>
    <w:rsid w:val="002337E3"/>
    <w:rsid w:val="00235BD1"/>
    <w:rsid w:val="00242B0E"/>
    <w:rsid w:val="00245B37"/>
    <w:rsid w:val="00247DF0"/>
    <w:rsid w:val="00250354"/>
    <w:rsid w:val="00250A78"/>
    <w:rsid w:val="00251943"/>
    <w:rsid w:val="002523A6"/>
    <w:rsid w:val="00252879"/>
    <w:rsid w:val="00254813"/>
    <w:rsid w:val="00257B89"/>
    <w:rsid w:val="00257FF2"/>
    <w:rsid w:val="00260368"/>
    <w:rsid w:val="00265822"/>
    <w:rsid w:val="0027105F"/>
    <w:rsid w:val="002711FB"/>
    <w:rsid w:val="00275D11"/>
    <w:rsid w:val="00283318"/>
    <w:rsid w:val="00284ACF"/>
    <w:rsid w:val="00284CB3"/>
    <w:rsid w:val="00285525"/>
    <w:rsid w:val="002904FC"/>
    <w:rsid w:val="00294CD8"/>
    <w:rsid w:val="002A270B"/>
    <w:rsid w:val="002A40AE"/>
    <w:rsid w:val="002A50FD"/>
    <w:rsid w:val="002A6052"/>
    <w:rsid w:val="002A6753"/>
    <w:rsid w:val="002B0408"/>
    <w:rsid w:val="002B28D7"/>
    <w:rsid w:val="002B3295"/>
    <w:rsid w:val="002B6417"/>
    <w:rsid w:val="002B6E15"/>
    <w:rsid w:val="002B7EB6"/>
    <w:rsid w:val="002C008E"/>
    <w:rsid w:val="002C0B61"/>
    <w:rsid w:val="002C15E6"/>
    <w:rsid w:val="002C247D"/>
    <w:rsid w:val="002C3345"/>
    <w:rsid w:val="002C3783"/>
    <w:rsid w:val="002C3FDA"/>
    <w:rsid w:val="002C5AE7"/>
    <w:rsid w:val="002C6568"/>
    <w:rsid w:val="002D007A"/>
    <w:rsid w:val="002D09FF"/>
    <w:rsid w:val="002D212F"/>
    <w:rsid w:val="002D409A"/>
    <w:rsid w:val="002E3A14"/>
    <w:rsid w:val="002F30E7"/>
    <w:rsid w:val="002F55EF"/>
    <w:rsid w:val="002F5F9C"/>
    <w:rsid w:val="002F67AA"/>
    <w:rsid w:val="003007FE"/>
    <w:rsid w:val="00300EEB"/>
    <w:rsid w:val="003013A9"/>
    <w:rsid w:val="003020B5"/>
    <w:rsid w:val="003027BB"/>
    <w:rsid w:val="00304828"/>
    <w:rsid w:val="00304FAC"/>
    <w:rsid w:val="00306077"/>
    <w:rsid w:val="00306E64"/>
    <w:rsid w:val="00307421"/>
    <w:rsid w:val="00307752"/>
    <w:rsid w:val="00310A10"/>
    <w:rsid w:val="00312F2E"/>
    <w:rsid w:val="00321C36"/>
    <w:rsid w:val="00326F61"/>
    <w:rsid w:val="00327D25"/>
    <w:rsid w:val="003319A7"/>
    <w:rsid w:val="00331B13"/>
    <w:rsid w:val="00332CB9"/>
    <w:rsid w:val="00334AE9"/>
    <w:rsid w:val="00334FE3"/>
    <w:rsid w:val="00335957"/>
    <w:rsid w:val="00335ECA"/>
    <w:rsid w:val="00342005"/>
    <w:rsid w:val="003421AE"/>
    <w:rsid w:val="003433D1"/>
    <w:rsid w:val="0034422C"/>
    <w:rsid w:val="00344B24"/>
    <w:rsid w:val="003456B9"/>
    <w:rsid w:val="0035067D"/>
    <w:rsid w:val="00352047"/>
    <w:rsid w:val="00353A16"/>
    <w:rsid w:val="00355E01"/>
    <w:rsid w:val="00356E56"/>
    <w:rsid w:val="0035776D"/>
    <w:rsid w:val="00362040"/>
    <w:rsid w:val="00363B3D"/>
    <w:rsid w:val="00364FA9"/>
    <w:rsid w:val="00364FD9"/>
    <w:rsid w:val="0036648A"/>
    <w:rsid w:val="00367204"/>
    <w:rsid w:val="00367C1B"/>
    <w:rsid w:val="00372DAF"/>
    <w:rsid w:val="00376B61"/>
    <w:rsid w:val="00382407"/>
    <w:rsid w:val="003857DC"/>
    <w:rsid w:val="00385B8A"/>
    <w:rsid w:val="00385E1E"/>
    <w:rsid w:val="00386A64"/>
    <w:rsid w:val="00386FA1"/>
    <w:rsid w:val="00390142"/>
    <w:rsid w:val="0039090E"/>
    <w:rsid w:val="00392AFE"/>
    <w:rsid w:val="00392F00"/>
    <w:rsid w:val="00397377"/>
    <w:rsid w:val="003A0817"/>
    <w:rsid w:val="003A22DE"/>
    <w:rsid w:val="003A2860"/>
    <w:rsid w:val="003A3C35"/>
    <w:rsid w:val="003A5DD5"/>
    <w:rsid w:val="003A7D30"/>
    <w:rsid w:val="003B28AD"/>
    <w:rsid w:val="003B3C5C"/>
    <w:rsid w:val="003B4073"/>
    <w:rsid w:val="003C0239"/>
    <w:rsid w:val="003C2560"/>
    <w:rsid w:val="003C33F6"/>
    <w:rsid w:val="003C47CA"/>
    <w:rsid w:val="003C6D91"/>
    <w:rsid w:val="003D18E6"/>
    <w:rsid w:val="003D19B4"/>
    <w:rsid w:val="003D2590"/>
    <w:rsid w:val="003D6DE1"/>
    <w:rsid w:val="003D795C"/>
    <w:rsid w:val="003E30FB"/>
    <w:rsid w:val="003E6254"/>
    <w:rsid w:val="003F1A07"/>
    <w:rsid w:val="003F2711"/>
    <w:rsid w:val="003F6C70"/>
    <w:rsid w:val="003F7CB9"/>
    <w:rsid w:val="004020DA"/>
    <w:rsid w:val="00403333"/>
    <w:rsid w:val="004073A5"/>
    <w:rsid w:val="00407BB5"/>
    <w:rsid w:val="00411735"/>
    <w:rsid w:val="0041196C"/>
    <w:rsid w:val="0041335B"/>
    <w:rsid w:val="004171AE"/>
    <w:rsid w:val="00422BE0"/>
    <w:rsid w:val="004241CC"/>
    <w:rsid w:val="004243E8"/>
    <w:rsid w:val="0042780A"/>
    <w:rsid w:val="00434781"/>
    <w:rsid w:val="004357D6"/>
    <w:rsid w:val="00435B52"/>
    <w:rsid w:val="0043654D"/>
    <w:rsid w:val="00441472"/>
    <w:rsid w:val="00445681"/>
    <w:rsid w:val="00450A98"/>
    <w:rsid w:val="00451840"/>
    <w:rsid w:val="004524EB"/>
    <w:rsid w:val="00457DE6"/>
    <w:rsid w:val="00460C9A"/>
    <w:rsid w:val="0046210C"/>
    <w:rsid w:val="00464924"/>
    <w:rsid w:val="00464B89"/>
    <w:rsid w:val="00467E0B"/>
    <w:rsid w:val="00470C12"/>
    <w:rsid w:val="00471A5D"/>
    <w:rsid w:val="004725B6"/>
    <w:rsid w:val="004730FD"/>
    <w:rsid w:val="0047581D"/>
    <w:rsid w:val="00477FBF"/>
    <w:rsid w:val="00480289"/>
    <w:rsid w:val="00481279"/>
    <w:rsid w:val="00483368"/>
    <w:rsid w:val="00484675"/>
    <w:rsid w:val="0048679D"/>
    <w:rsid w:val="00494011"/>
    <w:rsid w:val="00495216"/>
    <w:rsid w:val="004A0BF4"/>
    <w:rsid w:val="004A263B"/>
    <w:rsid w:val="004A37BC"/>
    <w:rsid w:val="004A4768"/>
    <w:rsid w:val="004A4B19"/>
    <w:rsid w:val="004A68EF"/>
    <w:rsid w:val="004B2357"/>
    <w:rsid w:val="004B62C0"/>
    <w:rsid w:val="004B68AE"/>
    <w:rsid w:val="004C35B0"/>
    <w:rsid w:val="004C3F77"/>
    <w:rsid w:val="004C49EF"/>
    <w:rsid w:val="004C4A19"/>
    <w:rsid w:val="004C4B54"/>
    <w:rsid w:val="004C5570"/>
    <w:rsid w:val="004C59D4"/>
    <w:rsid w:val="004D00C9"/>
    <w:rsid w:val="004D31AB"/>
    <w:rsid w:val="004D3E05"/>
    <w:rsid w:val="004E16F5"/>
    <w:rsid w:val="004E31D8"/>
    <w:rsid w:val="004E3CC7"/>
    <w:rsid w:val="004E54FF"/>
    <w:rsid w:val="004E5B69"/>
    <w:rsid w:val="004F2A87"/>
    <w:rsid w:val="004F30D9"/>
    <w:rsid w:val="004F33E5"/>
    <w:rsid w:val="004F499A"/>
    <w:rsid w:val="004F56CE"/>
    <w:rsid w:val="004F6464"/>
    <w:rsid w:val="00501593"/>
    <w:rsid w:val="0050517E"/>
    <w:rsid w:val="00507808"/>
    <w:rsid w:val="00507C56"/>
    <w:rsid w:val="00517814"/>
    <w:rsid w:val="005200C3"/>
    <w:rsid w:val="00521312"/>
    <w:rsid w:val="0052344E"/>
    <w:rsid w:val="00525429"/>
    <w:rsid w:val="00526478"/>
    <w:rsid w:val="00526E5A"/>
    <w:rsid w:val="00527E47"/>
    <w:rsid w:val="00530204"/>
    <w:rsid w:val="0053271F"/>
    <w:rsid w:val="00534C5F"/>
    <w:rsid w:val="00535181"/>
    <w:rsid w:val="00540257"/>
    <w:rsid w:val="0054192F"/>
    <w:rsid w:val="00544EB3"/>
    <w:rsid w:val="0054594B"/>
    <w:rsid w:val="0054749B"/>
    <w:rsid w:val="00551CC6"/>
    <w:rsid w:val="00552C71"/>
    <w:rsid w:val="00554257"/>
    <w:rsid w:val="0055531C"/>
    <w:rsid w:val="005553EA"/>
    <w:rsid w:val="00557FD3"/>
    <w:rsid w:val="00560541"/>
    <w:rsid w:val="005614E9"/>
    <w:rsid w:val="005660A3"/>
    <w:rsid w:val="005665BE"/>
    <w:rsid w:val="00566DC0"/>
    <w:rsid w:val="005672D0"/>
    <w:rsid w:val="0056740B"/>
    <w:rsid w:val="00570FB1"/>
    <w:rsid w:val="00572CEB"/>
    <w:rsid w:val="00573396"/>
    <w:rsid w:val="0057697E"/>
    <w:rsid w:val="00576C6F"/>
    <w:rsid w:val="005812C1"/>
    <w:rsid w:val="00582FB2"/>
    <w:rsid w:val="005834C9"/>
    <w:rsid w:val="00590112"/>
    <w:rsid w:val="00596F17"/>
    <w:rsid w:val="005A012F"/>
    <w:rsid w:val="005A1500"/>
    <w:rsid w:val="005A3400"/>
    <w:rsid w:val="005A58BA"/>
    <w:rsid w:val="005A5D30"/>
    <w:rsid w:val="005A6AB9"/>
    <w:rsid w:val="005B07A3"/>
    <w:rsid w:val="005B5FF1"/>
    <w:rsid w:val="005C16BC"/>
    <w:rsid w:val="005C2950"/>
    <w:rsid w:val="005C333E"/>
    <w:rsid w:val="005C3AE7"/>
    <w:rsid w:val="005C3C74"/>
    <w:rsid w:val="005C4F8C"/>
    <w:rsid w:val="005D0677"/>
    <w:rsid w:val="005D25F3"/>
    <w:rsid w:val="005D4F56"/>
    <w:rsid w:val="005D51E1"/>
    <w:rsid w:val="005D7643"/>
    <w:rsid w:val="005E0656"/>
    <w:rsid w:val="005E294C"/>
    <w:rsid w:val="005E2CE3"/>
    <w:rsid w:val="005E3EE1"/>
    <w:rsid w:val="005E5996"/>
    <w:rsid w:val="005F033A"/>
    <w:rsid w:val="005F3F07"/>
    <w:rsid w:val="00600411"/>
    <w:rsid w:val="00603D04"/>
    <w:rsid w:val="00606857"/>
    <w:rsid w:val="00613767"/>
    <w:rsid w:val="00615EC1"/>
    <w:rsid w:val="00615F42"/>
    <w:rsid w:val="0062085E"/>
    <w:rsid w:val="00624644"/>
    <w:rsid w:val="00624904"/>
    <w:rsid w:val="006258C2"/>
    <w:rsid w:val="006259A2"/>
    <w:rsid w:val="00626365"/>
    <w:rsid w:val="00630E22"/>
    <w:rsid w:val="006319C7"/>
    <w:rsid w:val="00636BE5"/>
    <w:rsid w:val="0064103A"/>
    <w:rsid w:val="0064168C"/>
    <w:rsid w:val="00641D87"/>
    <w:rsid w:val="00645CAC"/>
    <w:rsid w:val="0064735B"/>
    <w:rsid w:val="00654048"/>
    <w:rsid w:val="00657B46"/>
    <w:rsid w:val="00663745"/>
    <w:rsid w:val="00673584"/>
    <w:rsid w:val="006742C3"/>
    <w:rsid w:val="006751A9"/>
    <w:rsid w:val="00675648"/>
    <w:rsid w:val="006764EC"/>
    <w:rsid w:val="006835FE"/>
    <w:rsid w:val="006837B2"/>
    <w:rsid w:val="00685B66"/>
    <w:rsid w:val="00686917"/>
    <w:rsid w:val="00693BFD"/>
    <w:rsid w:val="00695065"/>
    <w:rsid w:val="0069540D"/>
    <w:rsid w:val="00695BDD"/>
    <w:rsid w:val="006A1038"/>
    <w:rsid w:val="006A3A71"/>
    <w:rsid w:val="006A3D40"/>
    <w:rsid w:val="006A3FC8"/>
    <w:rsid w:val="006A649A"/>
    <w:rsid w:val="006B12C0"/>
    <w:rsid w:val="006B1B49"/>
    <w:rsid w:val="006B1D79"/>
    <w:rsid w:val="006B6390"/>
    <w:rsid w:val="006C0356"/>
    <w:rsid w:val="006C0843"/>
    <w:rsid w:val="006C5DA7"/>
    <w:rsid w:val="006C64A8"/>
    <w:rsid w:val="006C74B1"/>
    <w:rsid w:val="006D203C"/>
    <w:rsid w:val="006D4993"/>
    <w:rsid w:val="006D61AD"/>
    <w:rsid w:val="006D65D8"/>
    <w:rsid w:val="006E34BB"/>
    <w:rsid w:val="006E57AA"/>
    <w:rsid w:val="006E655F"/>
    <w:rsid w:val="006F0F6F"/>
    <w:rsid w:val="006F20CF"/>
    <w:rsid w:val="006F3519"/>
    <w:rsid w:val="006F38ED"/>
    <w:rsid w:val="00702997"/>
    <w:rsid w:val="00705D9A"/>
    <w:rsid w:val="00706500"/>
    <w:rsid w:val="0070717F"/>
    <w:rsid w:val="00707D4D"/>
    <w:rsid w:val="00710728"/>
    <w:rsid w:val="00714FC4"/>
    <w:rsid w:val="00716AE4"/>
    <w:rsid w:val="00720D86"/>
    <w:rsid w:val="00723503"/>
    <w:rsid w:val="007245A3"/>
    <w:rsid w:val="00727DBF"/>
    <w:rsid w:val="00730C04"/>
    <w:rsid w:val="00731248"/>
    <w:rsid w:val="007325FB"/>
    <w:rsid w:val="0073293F"/>
    <w:rsid w:val="0073597B"/>
    <w:rsid w:val="007378F6"/>
    <w:rsid w:val="00744B83"/>
    <w:rsid w:val="007453F8"/>
    <w:rsid w:val="0074545D"/>
    <w:rsid w:val="00751A2D"/>
    <w:rsid w:val="007522E3"/>
    <w:rsid w:val="0075335B"/>
    <w:rsid w:val="00753C44"/>
    <w:rsid w:val="00754383"/>
    <w:rsid w:val="007564D1"/>
    <w:rsid w:val="00757232"/>
    <w:rsid w:val="00760679"/>
    <w:rsid w:val="00763628"/>
    <w:rsid w:val="00766E72"/>
    <w:rsid w:val="00767E24"/>
    <w:rsid w:val="00767E99"/>
    <w:rsid w:val="00772E62"/>
    <w:rsid w:val="007730CB"/>
    <w:rsid w:val="0077789B"/>
    <w:rsid w:val="007778C7"/>
    <w:rsid w:val="00780D29"/>
    <w:rsid w:val="00782CAD"/>
    <w:rsid w:val="00790FA3"/>
    <w:rsid w:val="0079146A"/>
    <w:rsid w:val="00791C8D"/>
    <w:rsid w:val="0079205A"/>
    <w:rsid w:val="00794181"/>
    <w:rsid w:val="00794817"/>
    <w:rsid w:val="007977DB"/>
    <w:rsid w:val="007A03CB"/>
    <w:rsid w:val="007A18C1"/>
    <w:rsid w:val="007A25D2"/>
    <w:rsid w:val="007A7F6F"/>
    <w:rsid w:val="007B1772"/>
    <w:rsid w:val="007B4C76"/>
    <w:rsid w:val="007C1EA5"/>
    <w:rsid w:val="007C2260"/>
    <w:rsid w:val="007C592D"/>
    <w:rsid w:val="007C7A39"/>
    <w:rsid w:val="007D1E52"/>
    <w:rsid w:val="007D2358"/>
    <w:rsid w:val="007D62E2"/>
    <w:rsid w:val="007E39E4"/>
    <w:rsid w:val="007E5ABA"/>
    <w:rsid w:val="007E6FB3"/>
    <w:rsid w:val="007E7F4C"/>
    <w:rsid w:val="007F21B4"/>
    <w:rsid w:val="007F3551"/>
    <w:rsid w:val="007F3FCD"/>
    <w:rsid w:val="007F51B5"/>
    <w:rsid w:val="007F7B83"/>
    <w:rsid w:val="00802553"/>
    <w:rsid w:val="00803EAB"/>
    <w:rsid w:val="00804098"/>
    <w:rsid w:val="008046B5"/>
    <w:rsid w:val="00806761"/>
    <w:rsid w:val="00806C75"/>
    <w:rsid w:val="008127C0"/>
    <w:rsid w:val="00812EDD"/>
    <w:rsid w:val="008139C5"/>
    <w:rsid w:val="0081493B"/>
    <w:rsid w:val="0081624A"/>
    <w:rsid w:val="00816260"/>
    <w:rsid w:val="0081650F"/>
    <w:rsid w:val="00817690"/>
    <w:rsid w:val="00821339"/>
    <w:rsid w:val="00826140"/>
    <w:rsid w:val="00830001"/>
    <w:rsid w:val="00831972"/>
    <w:rsid w:val="00832B31"/>
    <w:rsid w:val="008403E0"/>
    <w:rsid w:val="0084657B"/>
    <w:rsid w:val="00851D0D"/>
    <w:rsid w:val="008543BE"/>
    <w:rsid w:val="00855944"/>
    <w:rsid w:val="00862EA9"/>
    <w:rsid w:val="00863824"/>
    <w:rsid w:val="00864A18"/>
    <w:rsid w:val="008672D1"/>
    <w:rsid w:val="00870833"/>
    <w:rsid w:val="00872D5E"/>
    <w:rsid w:val="00873035"/>
    <w:rsid w:val="00874571"/>
    <w:rsid w:val="008803A3"/>
    <w:rsid w:val="00880A6A"/>
    <w:rsid w:val="00881C2D"/>
    <w:rsid w:val="00881F93"/>
    <w:rsid w:val="008821AE"/>
    <w:rsid w:val="00882CB5"/>
    <w:rsid w:val="00883641"/>
    <w:rsid w:val="00884622"/>
    <w:rsid w:val="00884E69"/>
    <w:rsid w:val="00885E44"/>
    <w:rsid w:val="00885EA1"/>
    <w:rsid w:val="00886DCD"/>
    <w:rsid w:val="00890082"/>
    <w:rsid w:val="008909FE"/>
    <w:rsid w:val="008923F4"/>
    <w:rsid w:val="00895C14"/>
    <w:rsid w:val="008A29AC"/>
    <w:rsid w:val="008A34A3"/>
    <w:rsid w:val="008A46F1"/>
    <w:rsid w:val="008A48D2"/>
    <w:rsid w:val="008B2610"/>
    <w:rsid w:val="008B3D48"/>
    <w:rsid w:val="008B471D"/>
    <w:rsid w:val="008B49E4"/>
    <w:rsid w:val="008B729C"/>
    <w:rsid w:val="008C4A93"/>
    <w:rsid w:val="008C70C8"/>
    <w:rsid w:val="008D0E96"/>
    <w:rsid w:val="008D37A9"/>
    <w:rsid w:val="008D7553"/>
    <w:rsid w:val="008E0E49"/>
    <w:rsid w:val="008E2F01"/>
    <w:rsid w:val="008E35FD"/>
    <w:rsid w:val="008E6227"/>
    <w:rsid w:val="008F0B4E"/>
    <w:rsid w:val="008F488D"/>
    <w:rsid w:val="008F50DA"/>
    <w:rsid w:val="008F5D89"/>
    <w:rsid w:val="009022A8"/>
    <w:rsid w:val="0090543D"/>
    <w:rsid w:val="009056C5"/>
    <w:rsid w:val="0090621E"/>
    <w:rsid w:val="009063CD"/>
    <w:rsid w:val="009068C6"/>
    <w:rsid w:val="00907F02"/>
    <w:rsid w:val="009106C2"/>
    <w:rsid w:val="00910915"/>
    <w:rsid w:val="0091163F"/>
    <w:rsid w:val="00913E9B"/>
    <w:rsid w:val="00915FFA"/>
    <w:rsid w:val="0091668E"/>
    <w:rsid w:val="00916D1E"/>
    <w:rsid w:val="00921A59"/>
    <w:rsid w:val="00921B76"/>
    <w:rsid w:val="00925B38"/>
    <w:rsid w:val="0092612F"/>
    <w:rsid w:val="009262F2"/>
    <w:rsid w:val="0093159A"/>
    <w:rsid w:val="00932AA4"/>
    <w:rsid w:val="00937791"/>
    <w:rsid w:val="00940E87"/>
    <w:rsid w:val="0094346E"/>
    <w:rsid w:val="00944207"/>
    <w:rsid w:val="00950851"/>
    <w:rsid w:val="00951933"/>
    <w:rsid w:val="00951E6E"/>
    <w:rsid w:val="00953495"/>
    <w:rsid w:val="00954343"/>
    <w:rsid w:val="00954EFA"/>
    <w:rsid w:val="00955271"/>
    <w:rsid w:val="00957BE7"/>
    <w:rsid w:val="00961A91"/>
    <w:rsid w:val="00963C9C"/>
    <w:rsid w:val="00965B6B"/>
    <w:rsid w:val="00971EDB"/>
    <w:rsid w:val="00974D50"/>
    <w:rsid w:val="00975438"/>
    <w:rsid w:val="00980898"/>
    <w:rsid w:val="00987ABE"/>
    <w:rsid w:val="00991449"/>
    <w:rsid w:val="00991EE4"/>
    <w:rsid w:val="009927F5"/>
    <w:rsid w:val="009939DC"/>
    <w:rsid w:val="00993B9C"/>
    <w:rsid w:val="009A3EC3"/>
    <w:rsid w:val="009A5724"/>
    <w:rsid w:val="009B48B7"/>
    <w:rsid w:val="009B4E1E"/>
    <w:rsid w:val="009B5639"/>
    <w:rsid w:val="009C03FB"/>
    <w:rsid w:val="009C2339"/>
    <w:rsid w:val="009C23EE"/>
    <w:rsid w:val="009C4B4F"/>
    <w:rsid w:val="009D29B5"/>
    <w:rsid w:val="009D4ABD"/>
    <w:rsid w:val="009D5354"/>
    <w:rsid w:val="009E0BA1"/>
    <w:rsid w:val="009E1C96"/>
    <w:rsid w:val="009E2A2C"/>
    <w:rsid w:val="009E3C32"/>
    <w:rsid w:val="009E40AF"/>
    <w:rsid w:val="009F0C02"/>
    <w:rsid w:val="009F22EA"/>
    <w:rsid w:val="009F46CC"/>
    <w:rsid w:val="009F55AF"/>
    <w:rsid w:val="009F5758"/>
    <w:rsid w:val="00A011DD"/>
    <w:rsid w:val="00A0283F"/>
    <w:rsid w:val="00A03BB7"/>
    <w:rsid w:val="00A04860"/>
    <w:rsid w:val="00A04F4A"/>
    <w:rsid w:val="00A07EDD"/>
    <w:rsid w:val="00A12144"/>
    <w:rsid w:val="00A15E76"/>
    <w:rsid w:val="00A1664C"/>
    <w:rsid w:val="00A17A92"/>
    <w:rsid w:val="00A25045"/>
    <w:rsid w:val="00A25BAC"/>
    <w:rsid w:val="00A26343"/>
    <w:rsid w:val="00A34959"/>
    <w:rsid w:val="00A37E44"/>
    <w:rsid w:val="00A408B5"/>
    <w:rsid w:val="00A418DC"/>
    <w:rsid w:val="00A529E2"/>
    <w:rsid w:val="00A539F8"/>
    <w:rsid w:val="00A61316"/>
    <w:rsid w:val="00A630D7"/>
    <w:rsid w:val="00A6482A"/>
    <w:rsid w:val="00A6491A"/>
    <w:rsid w:val="00A653D2"/>
    <w:rsid w:val="00A6594E"/>
    <w:rsid w:val="00A66D24"/>
    <w:rsid w:val="00A67350"/>
    <w:rsid w:val="00A727B6"/>
    <w:rsid w:val="00A740B8"/>
    <w:rsid w:val="00A74195"/>
    <w:rsid w:val="00A76EB8"/>
    <w:rsid w:val="00A77F8E"/>
    <w:rsid w:val="00A81CC6"/>
    <w:rsid w:val="00A83EC6"/>
    <w:rsid w:val="00A8732C"/>
    <w:rsid w:val="00A9062D"/>
    <w:rsid w:val="00A9187C"/>
    <w:rsid w:val="00A92460"/>
    <w:rsid w:val="00A93F58"/>
    <w:rsid w:val="00A95163"/>
    <w:rsid w:val="00A96329"/>
    <w:rsid w:val="00A96FF0"/>
    <w:rsid w:val="00AA134B"/>
    <w:rsid w:val="00AA2CFE"/>
    <w:rsid w:val="00AA4899"/>
    <w:rsid w:val="00AA5FDA"/>
    <w:rsid w:val="00AA6291"/>
    <w:rsid w:val="00AB08AC"/>
    <w:rsid w:val="00AC0C91"/>
    <w:rsid w:val="00AC0D1C"/>
    <w:rsid w:val="00AD37D4"/>
    <w:rsid w:val="00AD657B"/>
    <w:rsid w:val="00AD71CE"/>
    <w:rsid w:val="00AD7986"/>
    <w:rsid w:val="00AE0793"/>
    <w:rsid w:val="00AE1188"/>
    <w:rsid w:val="00AE6BBC"/>
    <w:rsid w:val="00AE738C"/>
    <w:rsid w:val="00AF1046"/>
    <w:rsid w:val="00AF4466"/>
    <w:rsid w:val="00AF5855"/>
    <w:rsid w:val="00AF5D1E"/>
    <w:rsid w:val="00B040A9"/>
    <w:rsid w:val="00B042E5"/>
    <w:rsid w:val="00B0564B"/>
    <w:rsid w:val="00B1580E"/>
    <w:rsid w:val="00B1711E"/>
    <w:rsid w:val="00B17CBE"/>
    <w:rsid w:val="00B17E26"/>
    <w:rsid w:val="00B20AEB"/>
    <w:rsid w:val="00B23193"/>
    <w:rsid w:val="00B231A4"/>
    <w:rsid w:val="00B25D20"/>
    <w:rsid w:val="00B315AF"/>
    <w:rsid w:val="00B31C99"/>
    <w:rsid w:val="00B32AA5"/>
    <w:rsid w:val="00B4402B"/>
    <w:rsid w:val="00B45834"/>
    <w:rsid w:val="00B46E7F"/>
    <w:rsid w:val="00B53BA6"/>
    <w:rsid w:val="00B54018"/>
    <w:rsid w:val="00B5731D"/>
    <w:rsid w:val="00B6015B"/>
    <w:rsid w:val="00B60461"/>
    <w:rsid w:val="00B612D8"/>
    <w:rsid w:val="00B61DF2"/>
    <w:rsid w:val="00B6378B"/>
    <w:rsid w:val="00B63900"/>
    <w:rsid w:val="00B63E3A"/>
    <w:rsid w:val="00B6599E"/>
    <w:rsid w:val="00B66528"/>
    <w:rsid w:val="00B7045D"/>
    <w:rsid w:val="00B707EA"/>
    <w:rsid w:val="00B71C91"/>
    <w:rsid w:val="00B71FCA"/>
    <w:rsid w:val="00B72D7A"/>
    <w:rsid w:val="00B74CC4"/>
    <w:rsid w:val="00B75965"/>
    <w:rsid w:val="00B76F00"/>
    <w:rsid w:val="00B771AD"/>
    <w:rsid w:val="00B77315"/>
    <w:rsid w:val="00B814CB"/>
    <w:rsid w:val="00B838F8"/>
    <w:rsid w:val="00B83F19"/>
    <w:rsid w:val="00B845C8"/>
    <w:rsid w:val="00B91469"/>
    <w:rsid w:val="00B9378D"/>
    <w:rsid w:val="00B9458F"/>
    <w:rsid w:val="00B953A5"/>
    <w:rsid w:val="00BA0CF8"/>
    <w:rsid w:val="00BA0FEA"/>
    <w:rsid w:val="00BA1ADF"/>
    <w:rsid w:val="00BA2FF7"/>
    <w:rsid w:val="00BA3DE2"/>
    <w:rsid w:val="00BA4DFF"/>
    <w:rsid w:val="00BA4E4D"/>
    <w:rsid w:val="00BA51FC"/>
    <w:rsid w:val="00BA6329"/>
    <w:rsid w:val="00BA6F91"/>
    <w:rsid w:val="00BB003A"/>
    <w:rsid w:val="00BB131F"/>
    <w:rsid w:val="00BB2BAA"/>
    <w:rsid w:val="00BB3358"/>
    <w:rsid w:val="00BB3382"/>
    <w:rsid w:val="00BB3643"/>
    <w:rsid w:val="00BC1119"/>
    <w:rsid w:val="00BC1DEA"/>
    <w:rsid w:val="00BC3DA0"/>
    <w:rsid w:val="00BC424B"/>
    <w:rsid w:val="00BC57FF"/>
    <w:rsid w:val="00BC6835"/>
    <w:rsid w:val="00BD1CF2"/>
    <w:rsid w:val="00BD53E6"/>
    <w:rsid w:val="00BE0FDE"/>
    <w:rsid w:val="00BE357A"/>
    <w:rsid w:val="00BE6615"/>
    <w:rsid w:val="00BE7232"/>
    <w:rsid w:val="00BF3455"/>
    <w:rsid w:val="00BF695B"/>
    <w:rsid w:val="00BF6AC5"/>
    <w:rsid w:val="00C01121"/>
    <w:rsid w:val="00C030A5"/>
    <w:rsid w:val="00C05A45"/>
    <w:rsid w:val="00C0796F"/>
    <w:rsid w:val="00C11AED"/>
    <w:rsid w:val="00C11B34"/>
    <w:rsid w:val="00C12C5C"/>
    <w:rsid w:val="00C13845"/>
    <w:rsid w:val="00C16522"/>
    <w:rsid w:val="00C171FB"/>
    <w:rsid w:val="00C209C2"/>
    <w:rsid w:val="00C21091"/>
    <w:rsid w:val="00C2267F"/>
    <w:rsid w:val="00C22AD8"/>
    <w:rsid w:val="00C27F3E"/>
    <w:rsid w:val="00C304F7"/>
    <w:rsid w:val="00C32BFD"/>
    <w:rsid w:val="00C34CD5"/>
    <w:rsid w:val="00C3557E"/>
    <w:rsid w:val="00C3594B"/>
    <w:rsid w:val="00C4221B"/>
    <w:rsid w:val="00C43102"/>
    <w:rsid w:val="00C43B4C"/>
    <w:rsid w:val="00C45B05"/>
    <w:rsid w:val="00C45E57"/>
    <w:rsid w:val="00C4696B"/>
    <w:rsid w:val="00C50513"/>
    <w:rsid w:val="00C5258C"/>
    <w:rsid w:val="00C54503"/>
    <w:rsid w:val="00C63055"/>
    <w:rsid w:val="00C63CB6"/>
    <w:rsid w:val="00C66D8C"/>
    <w:rsid w:val="00C71C82"/>
    <w:rsid w:val="00C72B38"/>
    <w:rsid w:val="00C73B62"/>
    <w:rsid w:val="00C7440A"/>
    <w:rsid w:val="00C776B1"/>
    <w:rsid w:val="00C80BAF"/>
    <w:rsid w:val="00C80EBE"/>
    <w:rsid w:val="00C815FE"/>
    <w:rsid w:val="00C847AE"/>
    <w:rsid w:val="00C87DA7"/>
    <w:rsid w:val="00C908A4"/>
    <w:rsid w:val="00CA04C6"/>
    <w:rsid w:val="00CA0914"/>
    <w:rsid w:val="00CA26DD"/>
    <w:rsid w:val="00CB00B5"/>
    <w:rsid w:val="00CB12EC"/>
    <w:rsid w:val="00CB7700"/>
    <w:rsid w:val="00CC09D7"/>
    <w:rsid w:val="00CC12B8"/>
    <w:rsid w:val="00CC2B8A"/>
    <w:rsid w:val="00CC4B8F"/>
    <w:rsid w:val="00CC502D"/>
    <w:rsid w:val="00CC5DA9"/>
    <w:rsid w:val="00CC63F8"/>
    <w:rsid w:val="00CD080E"/>
    <w:rsid w:val="00CD22E3"/>
    <w:rsid w:val="00CD2320"/>
    <w:rsid w:val="00CD4E44"/>
    <w:rsid w:val="00CD5AE4"/>
    <w:rsid w:val="00CD7A7D"/>
    <w:rsid w:val="00CF0AB3"/>
    <w:rsid w:val="00CF0E9D"/>
    <w:rsid w:val="00CF1F44"/>
    <w:rsid w:val="00CF2D8E"/>
    <w:rsid w:val="00CF2DFA"/>
    <w:rsid w:val="00CF515F"/>
    <w:rsid w:val="00CF5AD8"/>
    <w:rsid w:val="00D00122"/>
    <w:rsid w:val="00D0060D"/>
    <w:rsid w:val="00D01384"/>
    <w:rsid w:val="00D01D2A"/>
    <w:rsid w:val="00D04832"/>
    <w:rsid w:val="00D06D92"/>
    <w:rsid w:val="00D10B47"/>
    <w:rsid w:val="00D11EB1"/>
    <w:rsid w:val="00D177E9"/>
    <w:rsid w:val="00D17F17"/>
    <w:rsid w:val="00D22E7D"/>
    <w:rsid w:val="00D23597"/>
    <w:rsid w:val="00D25CD3"/>
    <w:rsid w:val="00D276FF"/>
    <w:rsid w:val="00D30BDC"/>
    <w:rsid w:val="00D3452B"/>
    <w:rsid w:val="00D34B11"/>
    <w:rsid w:val="00D35724"/>
    <w:rsid w:val="00D35764"/>
    <w:rsid w:val="00D42231"/>
    <w:rsid w:val="00D47CFB"/>
    <w:rsid w:val="00D50325"/>
    <w:rsid w:val="00D517AE"/>
    <w:rsid w:val="00D55D65"/>
    <w:rsid w:val="00D57F88"/>
    <w:rsid w:val="00D6191C"/>
    <w:rsid w:val="00D63B19"/>
    <w:rsid w:val="00D63E87"/>
    <w:rsid w:val="00D7068D"/>
    <w:rsid w:val="00D7105C"/>
    <w:rsid w:val="00D73646"/>
    <w:rsid w:val="00D738BB"/>
    <w:rsid w:val="00D7694A"/>
    <w:rsid w:val="00D777B4"/>
    <w:rsid w:val="00D77A90"/>
    <w:rsid w:val="00D813B7"/>
    <w:rsid w:val="00D81CDC"/>
    <w:rsid w:val="00D8360B"/>
    <w:rsid w:val="00D85676"/>
    <w:rsid w:val="00D85D06"/>
    <w:rsid w:val="00D940C3"/>
    <w:rsid w:val="00D963FF"/>
    <w:rsid w:val="00D96ADA"/>
    <w:rsid w:val="00DA2886"/>
    <w:rsid w:val="00DA35E6"/>
    <w:rsid w:val="00DA568B"/>
    <w:rsid w:val="00DA5E50"/>
    <w:rsid w:val="00DA7D0C"/>
    <w:rsid w:val="00DB0E01"/>
    <w:rsid w:val="00DB311C"/>
    <w:rsid w:val="00DB3583"/>
    <w:rsid w:val="00DB432D"/>
    <w:rsid w:val="00DB4492"/>
    <w:rsid w:val="00DB519B"/>
    <w:rsid w:val="00DC0191"/>
    <w:rsid w:val="00DC1C5A"/>
    <w:rsid w:val="00DC7694"/>
    <w:rsid w:val="00DC7FBE"/>
    <w:rsid w:val="00DD130E"/>
    <w:rsid w:val="00DD308E"/>
    <w:rsid w:val="00DD44D0"/>
    <w:rsid w:val="00DD5339"/>
    <w:rsid w:val="00DD5DFC"/>
    <w:rsid w:val="00DD7C7F"/>
    <w:rsid w:val="00DE56A0"/>
    <w:rsid w:val="00DE5D93"/>
    <w:rsid w:val="00DE748B"/>
    <w:rsid w:val="00DF0C51"/>
    <w:rsid w:val="00DF0D47"/>
    <w:rsid w:val="00DF0E48"/>
    <w:rsid w:val="00DF0F31"/>
    <w:rsid w:val="00DF1652"/>
    <w:rsid w:val="00DF20AC"/>
    <w:rsid w:val="00DF5052"/>
    <w:rsid w:val="00DF6B11"/>
    <w:rsid w:val="00DF6D37"/>
    <w:rsid w:val="00E048ED"/>
    <w:rsid w:val="00E04FB3"/>
    <w:rsid w:val="00E05029"/>
    <w:rsid w:val="00E058F2"/>
    <w:rsid w:val="00E05D9C"/>
    <w:rsid w:val="00E06102"/>
    <w:rsid w:val="00E121E8"/>
    <w:rsid w:val="00E15298"/>
    <w:rsid w:val="00E20C1B"/>
    <w:rsid w:val="00E23E71"/>
    <w:rsid w:val="00E270DF"/>
    <w:rsid w:val="00E30E01"/>
    <w:rsid w:val="00E30EA2"/>
    <w:rsid w:val="00E30F19"/>
    <w:rsid w:val="00E31F4E"/>
    <w:rsid w:val="00E33C4A"/>
    <w:rsid w:val="00E33D06"/>
    <w:rsid w:val="00E357B9"/>
    <w:rsid w:val="00E366FD"/>
    <w:rsid w:val="00E4321E"/>
    <w:rsid w:val="00E44B80"/>
    <w:rsid w:val="00E45BEA"/>
    <w:rsid w:val="00E47623"/>
    <w:rsid w:val="00E477FD"/>
    <w:rsid w:val="00E52438"/>
    <w:rsid w:val="00E57AEA"/>
    <w:rsid w:val="00E60529"/>
    <w:rsid w:val="00E60ED8"/>
    <w:rsid w:val="00E66B09"/>
    <w:rsid w:val="00E66F3D"/>
    <w:rsid w:val="00E679C9"/>
    <w:rsid w:val="00E70D86"/>
    <w:rsid w:val="00E73D15"/>
    <w:rsid w:val="00E7628E"/>
    <w:rsid w:val="00E80A33"/>
    <w:rsid w:val="00E813B1"/>
    <w:rsid w:val="00E818A2"/>
    <w:rsid w:val="00E82F54"/>
    <w:rsid w:val="00E830FF"/>
    <w:rsid w:val="00E83424"/>
    <w:rsid w:val="00E84BB6"/>
    <w:rsid w:val="00E85C4E"/>
    <w:rsid w:val="00E8649B"/>
    <w:rsid w:val="00E86FE1"/>
    <w:rsid w:val="00E871CD"/>
    <w:rsid w:val="00E90990"/>
    <w:rsid w:val="00E912ED"/>
    <w:rsid w:val="00E914C3"/>
    <w:rsid w:val="00E94A03"/>
    <w:rsid w:val="00E95D3D"/>
    <w:rsid w:val="00E96DFE"/>
    <w:rsid w:val="00E97809"/>
    <w:rsid w:val="00E97C4B"/>
    <w:rsid w:val="00EA0E25"/>
    <w:rsid w:val="00EA173C"/>
    <w:rsid w:val="00EA18F0"/>
    <w:rsid w:val="00EB0182"/>
    <w:rsid w:val="00EB0BDA"/>
    <w:rsid w:val="00EB56A7"/>
    <w:rsid w:val="00EC127A"/>
    <w:rsid w:val="00EC1E81"/>
    <w:rsid w:val="00EC1FF9"/>
    <w:rsid w:val="00EC2737"/>
    <w:rsid w:val="00EC4163"/>
    <w:rsid w:val="00EC6EB8"/>
    <w:rsid w:val="00ED1FAB"/>
    <w:rsid w:val="00ED41F0"/>
    <w:rsid w:val="00ED4529"/>
    <w:rsid w:val="00ED51A0"/>
    <w:rsid w:val="00ED5F86"/>
    <w:rsid w:val="00ED6358"/>
    <w:rsid w:val="00ED6B90"/>
    <w:rsid w:val="00EE0817"/>
    <w:rsid w:val="00EE2716"/>
    <w:rsid w:val="00EE3375"/>
    <w:rsid w:val="00EE37BA"/>
    <w:rsid w:val="00EE6450"/>
    <w:rsid w:val="00EF53DF"/>
    <w:rsid w:val="00EF7CDD"/>
    <w:rsid w:val="00EF7FFA"/>
    <w:rsid w:val="00F002E0"/>
    <w:rsid w:val="00F00BA5"/>
    <w:rsid w:val="00F01C2C"/>
    <w:rsid w:val="00F02A87"/>
    <w:rsid w:val="00F042B6"/>
    <w:rsid w:val="00F10ED8"/>
    <w:rsid w:val="00F15391"/>
    <w:rsid w:val="00F168B0"/>
    <w:rsid w:val="00F22260"/>
    <w:rsid w:val="00F222BE"/>
    <w:rsid w:val="00F24179"/>
    <w:rsid w:val="00F241A9"/>
    <w:rsid w:val="00F24417"/>
    <w:rsid w:val="00F25311"/>
    <w:rsid w:val="00F301F1"/>
    <w:rsid w:val="00F30C22"/>
    <w:rsid w:val="00F33F1A"/>
    <w:rsid w:val="00F34AEC"/>
    <w:rsid w:val="00F36123"/>
    <w:rsid w:val="00F40887"/>
    <w:rsid w:val="00F410F2"/>
    <w:rsid w:val="00F41215"/>
    <w:rsid w:val="00F41B45"/>
    <w:rsid w:val="00F45B23"/>
    <w:rsid w:val="00F509B4"/>
    <w:rsid w:val="00F547F7"/>
    <w:rsid w:val="00F54CCF"/>
    <w:rsid w:val="00F561C6"/>
    <w:rsid w:val="00F56939"/>
    <w:rsid w:val="00F61D7A"/>
    <w:rsid w:val="00F637B3"/>
    <w:rsid w:val="00F63A62"/>
    <w:rsid w:val="00F66CF7"/>
    <w:rsid w:val="00F67296"/>
    <w:rsid w:val="00F67BCB"/>
    <w:rsid w:val="00F7175D"/>
    <w:rsid w:val="00F77C57"/>
    <w:rsid w:val="00F813C7"/>
    <w:rsid w:val="00F81678"/>
    <w:rsid w:val="00F8204E"/>
    <w:rsid w:val="00F83566"/>
    <w:rsid w:val="00F8363B"/>
    <w:rsid w:val="00F83A9D"/>
    <w:rsid w:val="00F85805"/>
    <w:rsid w:val="00F87294"/>
    <w:rsid w:val="00F8792A"/>
    <w:rsid w:val="00F906B5"/>
    <w:rsid w:val="00F914A2"/>
    <w:rsid w:val="00F93431"/>
    <w:rsid w:val="00F93784"/>
    <w:rsid w:val="00F96B90"/>
    <w:rsid w:val="00F971CC"/>
    <w:rsid w:val="00FA2CAA"/>
    <w:rsid w:val="00FA30AE"/>
    <w:rsid w:val="00FA3DA1"/>
    <w:rsid w:val="00FA6554"/>
    <w:rsid w:val="00FB06BB"/>
    <w:rsid w:val="00FB1C01"/>
    <w:rsid w:val="00FB4B27"/>
    <w:rsid w:val="00FB6AE7"/>
    <w:rsid w:val="00FD2985"/>
    <w:rsid w:val="00FD3827"/>
    <w:rsid w:val="00FD5091"/>
    <w:rsid w:val="00FE16C1"/>
    <w:rsid w:val="00FE19FF"/>
    <w:rsid w:val="00FE33A6"/>
    <w:rsid w:val="00FE5452"/>
    <w:rsid w:val="00FE5E88"/>
    <w:rsid w:val="00FF0209"/>
    <w:rsid w:val="00FF1A00"/>
    <w:rsid w:val="00FF322F"/>
    <w:rsid w:val="00FF4339"/>
    <w:rsid w:val="00FF59A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E6E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ind w:left="360"/>
      <w:outlineLvl w:val="1"/>
    </w:pPr>
    <w:rPr>
      <w:b/>
      <w:szCs w:val="20"/>
    </w:rPr>
  </w:style>
  <w:style w:type="paragraph" w:styleId="Heading4">
    <w:name w:val="heading 4"/>
    <w:basedOn w:val="Normal"/>
    <w:next w:val="Normal"/>
    <w:link w:val="Heading4Char"/>
    <w:uiPriority w:val="9"/>
    <w:semiHidden/>
    <w:unhideWhenUsed/>
    <w:qFormat/>
    <w:rsid w:val="0057339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aliases w:val="-H18"/>
    <w:basedOn w:val="DefaultParagraphFont"/>
    <w:unhideWhenUsed/>
    <w:rsid w:val="005A6AB9"/>
    <w:rPr>
      <w:sz w:val="16"/>
      <w:szCs w:val="16"/>
    </w:rPr>
  </w:style>
  <w:style w:type="paragraph" w:styleId="CommentText">
    <w:name w:val="annotation text"/>
    <w:aliases w:val="- H19"/>
    <w:basedOn w:val="Normal"/>
    <w:link w:val="CommentTextChar"/>
    <w:unhideWhenUsed/>
    <w:rsid w:val="005A6AB9"/>
    <w:rPr>
      <w:szCs w:val="20"/>
    </w:rPr>
  </w:style>
  <w:style w:type="character" w:customStyle="1" w:styleId="CommentTextChar">
    <w:name w:val="Comment Text Char"/>
    <w:aliases w:val="- H19 Char"/>
    <w:basedOn w:val="DefaultParagraphFont"/>
    <w:link w:val="CommentText"/>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paragraph" w:customStyle="1" w:styleId="AACrossref">
    <w:name w:val="AA Cross ref"/>
    <w:basedOn w:val="Normal"/>
    <w:link w:val="AACrossrefChar"/>
    <w:qFormat/>
    <w:rsid w:val="00250A78"/>
    <w:pPr>
      <w:keepNext/>
      <w:keepLines/>
      <w:spacing w:before="100" w:beforeAutospacing="1" w:after="100" w:afterAutospacing="1"/>
    </w:pPr>
    <w:rPr>
      <w:rFonts w:ascii="Arial" w:eastAsiaTheme="minorEastAsia" w:hAnsi="Arial"/>
      <w:b/>
      <w:color w:val="0000FF"/>
      <w:u w:val="single"/>
      <w:lang w:val="en-GB" w:eastAsia="en-GB"/>
    </w:rPr>
  </w:style>
  <w:style w:type="character" w:customStyle="1" w:styleId="AACrossrefChar">
    <w:name w:val="AA Cross ref Char"/>
    <w:basedOn w:val="DefaultParagraphFont"/>
    <w:link w:val="AACrossref"/>
    <w:rsid w:val="00250A78"/>
    <w:rPr>
      <w:rFonts w:ascii="Arial" w:eastAsiaTheme="minorEastAsia" w:hAnsi="Arial"/>
      <w:b/>
      <w:color w:val="0000FF"/>
      <w:sz w:val="20"/>
      <w:u w:val="single"/>
      <w:lang w:val="en-GB" w:eastAsia="en-GB"/>
    </w:rPr>
  </w:style>
  <w:style w:type="character" w:customStyle="1" w:styleId="highlight">
    <w:name w:val="highlight"/>
    <w:basedOn w:val="DefaultParagraphFont"/>
    <w:rsid w:val="00250A78"/>
  </w:style>
  <w:style w:type="character" w:customStyle="1" w:styleId="apple-converted-space">
    <w:name w:val="apple-converted-space"/>
    <w:basedOn w:val="DefaultParagraphFont"/>
    <w:rsid w:val="00250A78"/>
  </w:style>
  <w:style w:type="paragraph" w:styleId="FootnoteText">
    <w:name w:val="footnote text"/>
    <w:basedOn w:val="Normal"/>
    <w:link w:val="FootnoteTextChar"/>
    <w:semiHidden/>
    <w:rsid w:val="00EE37BA"/>
    <w:pPr>
      <w:spacing w:before="0" w:after="0"/>
    </w:pPr>
    <w:rPr>
      <w:rFonts w:ascii="Times New Roman" w:eastAsia="Times New Roman" w:hAnsi="Times New Roman" w:cs="Times New Roman"/>
      <w:szCs w:val="20"/>
      <w:lang w:val="en-US"/>
    </w:rPr>
  </w:style>
  <w:style w:type="character" w:customStyle="1" w:styleId="FootnoteTextChar">
    <w:name w:val="Footnote Text Char"/>
    <w:basedOn w:val="DefaultParagraphFont"/>
    <w:link w:val="FootnoteText"/>
    <w:semiHidden/>
    <w:rsid w:val="00EE37B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EE37BA"/>
    <w:rPr>
      <w:vertAlign w:val="superscript"/>
    </w:rPr>
  </w:style>
  <w:style w:type="character" w:customStyle="1" w:styleId="Heading4Char">
    <w:name w:val="Heading 4 Char"/>
    <w:basedOn w:val="DefaultParagraphFont"/>
    <w:link w:val="Heading4"/>
    <w:uiPriority w:val="9"/>
    <w:semiHidden/>
    <w:rsid w:val="00573396"/>
    <w:rPr>
      <w:rFonts w:asciiTheme="majorHAnsi" w:eastAsiaTheme="majorEastAsia" w:hAnsiTheme="majorHAnsi" w:cstheme="majorBidi"/>
      <w:i/>
      <w:iCs/>
      <w:color w:val="365F91" w:themeColor="accent1" w:themeShade="BF"/>
      <w:sz w:val="20"/>
    </w:rPr>
  </w:style>
  <w:style w:type="paragraph" w:customStyle="1" w:styleId="TableText">
    <w:name w:val="Table Text"/>
    <w:basedOn w:val="Normal"/>
    <w:link w:val="TableTextChar"/>
    <w:qFormat/>
    <w:rsid w:val="00573396"/>
    <w:pPr>
      <w:spacing w:before="20" w:after="20" w:line="276" w:lineRule="auto"/>
    </w:pPr>
    <w:rPr>
      <w:rFonts w:ascii="Arial" w:eastAsiaTheme="majorEastAsia" w:hAnsi="Arial" w:cs="Arial"/>
      <w:szCs w:val="20"/>
      <w:lang w:bidi="en-US"/>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
    <w:basedOn w:val="Normal"/>
    <w:next w:val="Normal"/>
    <w:link w:val="CaptionChar"/>
    <w:uiPriority w:val="35"/>
    <w:unhideWhenUsed/>
    <w:qFormat/>
    <w:rsid w:val="00573396"/>
    <w:pPr>
      <w:spacing w:before="0" w:after="200"/>
      <w:jc w:val="both"/>
    </w:pPr>
    <w:rPr>
      <w:rFonts w:ascii="Arial" w:hAnsi="Arial"/>
      <w:b/>
      <w:iCs/>
      <w:color w:val="000000" w:themeColor="text1"/>
      <w:sz w:val="22"/>
      <w:szCs w:val="18"/>
    </w:rPr>
  </w:style>
  <w:style w:type="paragraph" w:customStyle="1" w:styleId="Sources">
    <w:name w:val="Sources"/>
    <w:basedOn w:val="Normal"/>
    <w:qFormat/>
    <w:rsid w:val="00573396"/>
    <w:pPr>
      <w:jc w:val="both"/>
    </w:pPr>
    <w:rPr>
      <w:rFonts w:ascii="Arial" w:hAnsi="Arial"/>
      <w:sz w:val="16"/>
    </w:rPr>
  </w:style>
  <w:style w:type="character" w:customStyle="1" w:styleId="TableTextChar">
    <w:name w:val="Table Text Char"/>
    <w:link w:val="TableText"/>
    <w:rsid w:val="00573396"/>
    <w:rPr>
      <w:rFonts w:ascii="Arial" w:eastAsiaTheme="majorEastAsia" w:hAnsi="Arial" w:cs="Arial"/>
      <w:sz w:val="20"/>
      <w:szCs w:val="20"/>
      <w:lang w:bidi="en-US"/>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
    <w:link w:val="Caption"/>
    <w:uiPriority w:val="35"/>
    <w:locked/>
    <w:rsid w:val="00573396"/>
    <w:rPr>
      <w:rFonts w:ascii="Arial" w:hAnsi="Arial"/>
      <w:b/>
      <w:iCs/>
      <w:color w:val="000000" w:themeColor="text1"/>
      <w:szCs w:val="18"/>
    </w:rPr>
  </w:style>
  <w:style w:type="paragraph" w:styleId="NormalWeb">
    <w:name w:val="Normal (Web)"/>
    <w:basedOn w:val="Normal"/>
    <w:uiPriority w:val="99"/>
    <w:semiHidden/>
    <w:unhideWhenUsed/>
    <w:rsid w:val="007E5ABA"/>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012290"/>
    <w:rPr>
      <w:i/>
      <w:iCs/>
    </w:rPr>
  </w:style>
  <w:style w:type="character" w:customStyle="1" w:styleId="highlight1">
    <w:name w:val="highlight1"/>
    <w:basedOn w:val="DefaultParagraphFont"/>
    <w:rsid w:val="00012290"/>
    <w:rPr>
      <w:color w:val="000000"/>
      <w:shd w:val="clear" w:color="auto" w:fill="FF6600"/>
    </w:rPr>
  </w:style>
  <w:style w:type="paragraph" w:styleId="EndnoteText">
    <w:name w:val="endnote text"/>
    <w:basedOn w:val="Normal"/>
    <w:link w:val="EndnoteTextChar"/>
    <w:uiPriority w:val="99"/>
    <w:semiHidden/>
    <w:unhideWhenUsed/>
    <w:rsid w:val="0090621E"/>
    <w:pPr>
      <w:spacing w:before="0" w:after="0"/>
    </w:pPr>
    <w:rPr>
      <w:szCs w:val="20"/>
    </w:rPr>
  </w:style>
  <w:style w:type="character" w:customStyle="1" w:styleId="EndnoteTextChar">
    <w:name w:val="Endnote Text Char"/>
    <w:basedOn w:val="DefaultParagraphFont"/>
    <w:link w:val="EndnoteText"/>
    <w:uiPriority w:val="99"/>
    <w:semiHidden/>
    <w:rsid w:val="0090621E"/>
    <w:rPr>
      <w:sz w:val="20"/>
      <w:szCs w:val="20"/>
    </w:rPr>
  </w:style>
  <w:style w:type="character" w:styleId="EndnoteReference">
    <w:name w:val="endnote reference"/>
    <w:basedOn w:val="DefaultParagraphFont"/>
    <w:uiPriority w:val="99"/>
    <w:semiHidden/>
    <w:unhideWhenUsed/>
    <w:rsid w:val="0090621E"/>
    <w:rPr>
      <w:vertAlign w:val="superscript"/>
    </w:rPr>
  </w:style>
  <w:style w:type="paragraph" w:customStyle="1" w:styleId="EndNoteBibliography">
    <w:name w:val="EndNote Bibliography"/>
    <w:basedOn w:val="Normal"/>
    <w:link w:val="EndNoteBibliographyChar"/>
    <w:rsid w:val="0090621E"/>
    <w:pPr>
      <w:spacing w:before="0" w:after="200"/>
    </w:pPr>
    <w:rPr>
      <w:rFonts w:ascii="Calibri" w:eastAsiaTheme="minorEastAsia" w:hAnsi="Calibri" w:cs="Calibri"/>
      <w:noProof/>
      <w:lang w:val="en-GB" w:eastAsia="en-GB"/>
    </w:rPr>
  </w:style>
  <w:style w:type="character" w:customStyle="1" w:styleId="EndNoteBibliographyChar">
    <w:name w:val="EndNote Bibliography Char"/>
    <w:basedOn w:val="DefaultParagraphFont"/>
    <w:link w:val="EndNoteBibliography"/>
    <w:rsid w:val="0090621E"/>
    <w:rPr>
      <w:rFonts w:ascii="Calibri" w:eastAsiaTheme="minorEastAsia" w:hAnsi="Calibri" w:cs="Calibri"/>
      <w:noProof/>
      <w:sz w:val="20"/>
      <w:lang w:val="en-GB" w:eastAsia="en-GB"/>
    </w:rPr>
  </w:style>
  <w:style w:type="character" w:styleId="HTMLCite">
    <w:name w:val="HTML Cite"/>
    <w:basedOn w:val="DefaultParagraphFont"/>
    <w:uiPriority w:val="99"/>
    <w:semiHidden/>
    <w:unhideWhenUsed/>
    <w:rsid w:val="008A34A3"/>
    <w:rPr>
      <w:i/>
      <w:iCs/>
    </w:rPr>
  </w:style>
  <w:style w:type="character" w:customStyle="1" w:styleId="title-text">
    <w:name w:val="title-text"/>
    <w:basedOn w:val="DefaultParagraphFont"/>
    <w:rsid w:val="00E85C4E"/>
  </w:style>
  <w:style w:type="character" w:customStyle="1" w:styleId="labs-docsum-citation-part">
    <w:name w:val="labs-docsum-citation-part"/>
    <w:basedOn w:val="DefaultParagraphFont"/>
    <w:rsid w:val="00CD080E"/>
  </w:style>
  <w:style w:type="character" w:customStyle="1" w:styleId="jrnl">
    <w:name w:val="jrnl"/>
    <w:basedOn w:val="DefaultParagraphFont"/>
    <w:rsid w:val="005812C1"/>
  </w:style>
  <w:style w:type="character" w:customStyle="1" w:styleId="Mention1">
    <w:name w:val="Mention1"/>
    <w:basedOn w:val="DefaultParagraphFont"/>
    <w:uiPriority w:val="99"/>
    <w:semiHidden/>
    <w:unhideWhenUsed/>
    <w:rsid w:val="004073A5"/>
    <w:rPr>
      <w:color w:val="2B579A"/>
      <w:shd w:val="clear" w:color="auto" w:fill="E6E6E6"/>
    </w:rPr>
  </w:style>
  <w:style w:type="character" w:customStyle="1" w:styleId="hitinf">
    <w:name w:val="hit_inf"/>
    <w:basedOn w:val="DefaultParagraphFont"/>
    <w:rsid w:val="00434781"/>
  </w:style>
  <w:style w:type="character" w:customStyle="1" w:styleId="hitorg">
    <w:name w:val="hit_org"/>
    <w:basedOn w:val="DefaultParagraphFont"/>
    <w:rsid w:val="00434781"/>
  </w:style>
  <w:style w:type="paragraph" w:customStyle="1" w:styleId="EndNoteBibliographyTitle">
    <w:name w:val="EndNote Bibliography Title"/>
    <w:basedOn w:val="Normal"/>
    <w:link w:val="EndNoteBibliographyTitleChar"/>
    <w:rsid w:val="00DF20A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F20AC"/>
    <w:rPr>
      <w:rFonts w:ascii="Calibri" w:hAnsi="Calibri" w:cs="Calibri"/>
      <w:noProof/>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4194">
      <w:bodyDiv w:val="1"/>
      <w:marLeft w:val="0"/>
      <w:marRight w:val="0"/>
      <w:marTop w:val="0"/>
      <w:marBottom w:val="0"/>
      <w:divBdr>
        <w:top w:val="none" w:sz="0" w:space="0" w:color="auto"/>
        <w:left w:val="none" w:sz="0" w:space="0" w:color="auto"/>
        <w:bottom w:val="none" w:sz="0" w:space="0" w:color="auto"/>
        <w:right w:val="none" w:sz="0" w:space="0" w:color="auto"/>
      </w:divBdr>
    </w:div>
    <w:div w:id="187261618">
      <w:bodyDiv w:val="1"/>
      <w:marLeft w:val="0"/>
      <w:marRight w:val="0"/>
      <w:marTop w:val="0"/>
      <w:marBottom w:val="0"/>
      <w:divBdr>
        <w:top w:val="none" w:sz="0" w:space="0" w:color="auto"/>
        <w:left w:val="none" w:sz="0" w:space="0" w:color="auto"/>
        <w:bottom w:val="none" w:sz="0" w:space="0" w:color="auto"/>
        <w:right w:val="none" w:sz="0" w:space="0" w:color="auto"/>
      </w:divBdr>
    </w:div>
    <w:div w:id="208883167">
      <w:bodyDiv w:val="1"/>
      <w:marLeft w:val="0"/>
      <w:marRight w:val="0"/>
      <w:marTop w:val="0"/>
      <w:marBottom w:val="0"/>
      <w:divBdr>
        <w:top w:val="none" w:sz="0" w:space="0" w:color="auto"/>
        <w:left w:val="none" w:sz="0" w:space="0" w:color="auto"/>
        <w:bottom w:val="none" w:sz="0" w:space="0" w:color="auto"/>
        <w:right w:val="none" w:sz="0" w:space="0" w:color="auto"/>
      </w:divBdr>
    </w:div>
    <w:div w:id="210770769">
      <w:bodyDiv w:val="1"/>
      <w:marLeft w:val="0"/>
      <w:marRight w:val="0"/>
      <w:marTop w:val="0"/>
      <w:marBottom w:val="0"/>
      <w:divBdr>
        <w:top w:val="none" w:sz="0" w:space="0" w:color="auto"/>
        <w:left w:val="none" w:sz="0" w:space="0" w:color="auto"/>
        <w:bottom w:val="none" w:sz="0" w:space="0" w:color="auto"/>
        <w:right w:val="none" w:sz="0" w:space="0" w:color="auto"/>
      </w:divBdr>
      <w:divsChild>
        <w:div w:id="988560987">
          <w:marLeft w:val="0"/>
          <w:marRight w:val="0"/>
          <w:marTop w:val="0"/>
          <w:marBottom w:val="0"/>
          <w:divBdr>
            <w:top w:val="none" w:sz="0" w:space="0" w:color="auto"/>
            <w:left w:val="none" w:sz="0" w:space="0" w:color="auto"/>
            <w:bottom w:val="none" w:sz="0" w:space="0" w:color="auto"/>
            <w:right w:val="none" w:sz="0" w:space="0" w:color="auto"/>
          </w:divBdr>
          <w:divsChild>
            <w:div w:id="1362631769">
              <w:marLeft w:val="0"/>
              <w:marRight w:val="0"/>
              <w:marTop w:val="0"/>
              <w:marBottom w:val="0"/>
              <w:divBdr>
                <w:top w:val="none" w:sz="0" w:space="0" w:color="auto"/>
                <w:left w:val="none" w:sz="0" w:space="0" w:color="auto"/>
                <w:bottom w:val="none" w:sz="0" w:space="0" w:color="auto"/>
                <w:right w:val="none" w:sz="0" w:space="0" w:color="auto"/>
              </w:divBdr>
            </w:div>
            <w:div w:id="452943119">
              <w:marLeft w:val="439"/>
              <w:marRight w:val="0"/>
              <w:marTop w:val="0"/>
              <w:marBottom w:val="0"/>
              <w:divBdr>
                <w:top w:val="none" w:sz="0" w:space="0" w:color="auto"/>
                <w:left w:val="none" w:sz="0" w:space="0" w:color="auto"/>
                <w:bottom w:val="none" w:sz="0" w:space="0" w:color="auto"/>
                <w:right w:val="none" w:sz="0" w:space="0" w:color="auto"/>
              </w:divBdr>
              <w:divsChild>
                <w:div w:id="1136223627">
                  <w:marLeft w:val="0"/>
                  <w:marRight w:val="0"/>
                  <w:marTop w:val="0"/>
                  <w:marBottom w:val="0"/>
                  <w:divBdr>
                    <w:top w:val="none" w:sz="0" w:space="0" w:color="auto"/>
                    <w:left w:val="none" w:sz="0" w:space="0" w:color="auto"/>
                    <w:bottom w:val="none" w:sz="0" w:space="0" w:color="auto"/>
                    <w:right w:val="none" w:sz="0" w:space="0" w:color="auto"/>
                  </w:divBdr>
                  <w:divsChild>
                    <w:div w:id="358746508">
                      <w:marLeft w:val="0"/>
                      <w:marRight w:val="0"/>
                      <w:marTop w:val="0"/>
                      <w:marBottom w:val="0"/>
                      <w:divBdr>
                        <w:top w:val="none" w:sz="0" w:space="0" w:color="auto"/>
                        <w:left w:val="none" w:sz="0" w:space="0" w:color="auto"/>
                        <w:bottom w:val="none" w:sz="0" w:space="0" w:color="auto"/>
                        <w:right w:val="none" w:sz="0" w:space="0" w:color="auto"/>
                      </w:divBdr>
                    </w:div>
                    <w:div w:id="1110970047">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8681">
          <w:marLeft w:val="0"/>
          <w:marRight w:val="0"/>
          <w:marTop w:val="0"/>
          <w:marBottom w:val="0"/>
          <w:divBdr>
            <w:top w:val="none" w:sz="0" w:space="0" w:color="auto"/>
            <w:left w:val="none" w:sz="0" w:space="0" w:color="auto"/>
            <w:bottom w:val="none" w:sz="0" w:space="0" w:color="auto"/>
            <w:right w:val="none" w:sz="0" w:space="0" w:color="auto"/>
          </w:divBdr>
        </w:div>
      </w:divsChild>
    </w:div>
    <w:div w:id="253630262">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55355721">
      <w:bodyDiv w:val="1"/>
      <w:marLeft w:val="0"/>
      <w:marRight w:val="0"/>
      <w:marTop w:val="0"/>
      <w:marBottom w:val="0"/>
      <w:divBdr>
        <w:top w:val="none" w:sz="0" w:space="0" w:color="auto"/>
        <w:left w:val="none" w:sz="0" w:space="0" w:color="auto"/>
        <w:bottom w:val="none" w:sz="0" w:space="0" w:color="auto"/>
        <w:right w:val="none" w:sz="0" w:space="0" w:color="auto"/>
      </w:divBdr>
    </w:div>
    <w:div w:id="553198803">
      <w:bodyDiv w:val="1"/>
      <w:marLeft w:val="0"/>
      <w:marRight w:val="0"/>
      <w:marTop w:val="0"/>
      <w:marBottom w:val="0"/>
      <w:divBdr>
        <w:top w:val="none" w:sz="0" w:space="0" w:color="auto"/>
        <w:left w:val="none" w:sz="0" w:space="0" w:color="auto"/>
        <w:bottom w:val="none" w:sz="0" w:space="0" w:color="auto"/>
        <w:right w:val="none" w:sz="0" w:space="0" w:color="auto"/>
      </w:divBdr>
    </w:div>
    <w:div w:id="572742662">
      <w:bodyDiv w:val="1"/>
      <w:marLeft w:val="0"/>
      <w:marRight w:val="0"/>
      <w:marTop w:val="0"/>
      <w:marBottom w:val="0"/>
      <w:divBdr>
        <w:top w:val="none" w:sz="0" w:space="0" w:color="auto"/>
        <w:left w:val="none" w:sz="0" w:space="0" w:color="auto"/>
        <w:bottom w:val="none" w:sz="0" w:space="0" w:color="auto"/>
        <w:right w:val="none" w:sz="0" w:space="0" w:color="auto"/>
      </w:divBdr>
      <w:divsChild>
        <w:div w:id="220335833">
          <w:marLeft w:val="288"/>
          <w:marRight w:val="0"/>
          <w:marTop w:val="0"/>
          <w:marBottom w:val="0"/>
          <w:divBdr>
            <w:top w:val="none" w:sz="0" w:space="0" w:color="auto"/>
            <w:left w:val="none" w:sz="0" w:space="0" w:color="auto"/>
            <w:bottom w:val="none" w:sz="0" w:space="0" w:color="auto"/>
            <w:right w:val="none" w:sz="0" w:space="0" w:color="auto"/>
          </w:divBdr>
        </w:div>
      </w:divsChild>
    </w:div>
    <w:div w:id="587271513">
      <w:bodyDiv w:val="1"/>
      <w:marLeft w:val="0"/>
      <w:marRight w:val="0"/>
      <w:marTop w:val="0"/>
      <w:marBottom w:val="0"/>
      <w:divBdr>
        <w:top w:val="none" w:sz="0" w:space="0" w:color="auto"/>
        <w:left w:val="none" w:sz="0" w:space="0" w:color="auto"/>
        <w:bottom w:val="none" w:sz="0" w:space="0" w:color="auto"/>
        <w:right w:val="none" w:sz="0" w:space="0" w:color="auto"/>
      </w:divBdr>
    </w:div>
    <w:div w:id="684794717">
      <w:bodyDiv w:val="1"/>
      <w:marLeft w:val="0"/>
      <w:marRight w:val="0"/>
      <w:marTop w:val="0"/>
      <w:marBottom w:val="0"/>
      <w:divBdr>
        <w:top w:val="none" w:sz="0" w:space="0" w:color="auto"/>
        <w:left w:val="none" w:sz="0" w:space="0" w:color="auto"/>
        <w:bottom w:val="none" w:sz="0" w:space="0" w:color="auto"/>
        <w:right w:val="none" w:sz="0" w:space="0" w:color="auto"/>
      </w:divBdr>
      <w:divsChild>
        <w:div w:id="172228832">
          <w:marLeft w:val="0"/>
          <w:marRight w:val="0"/>
          <w:marTop w:val="0"/>
          <w:marBottom w:val="0"/>
          <w:divBdr>
            <w:top w:val="none" w:sz="0" w:space="0" w:color="auto"/>
            <w:left w:val="none" w:sz="0" w:space="0" w:color="auto"/>
            <w:bottom w:val="none" w:sz="0" w:space="0" w:color="auto"/>
            <w:right w:val="none" w:sz="0" w:space="0" w:color="auto"/>
          </w:divBdr>
          <w:divsChild>
            <w:div w:id="1857814608">
              <w:marLeft w:val="0"/>
              <w:marRight w:val="0"/>
              <w:marTop w:val="900"/>
              <w:marBottom w:val="0"/>
              <w:divBdr>
                <w:top w:val="none" w:sz="0" w:space="0" w:color="auto"/>
                <w:left w:val="none" w:sz="0" w:space="0" w:color="auto"/>
                <w:bottom w:val="none" w:sz="0" w:space="0" w:color="auto"/>
                <w:right w:val="none" w:sz="0" w:space="0" w:color="auto"/>
              </w:divBdr>
              <w:divsChild>
                <w:div w:id="27225599">
                  <w:marLeft w:val="0"/>
                  <w:marRight w:val="0"/>
                  <w:marTop w:val="0"/>
                  <w:marBottom w:val="0"/>
                  <w:divBdr>
                    <w:top w:val="none" w:sz="0" w:space="0" w:color="auto"/>
                    <w:left w:val="none" w:sz="0" w:space="0" w:color="auto"/>
                    <w:bottom w:val="none" w:sz="0" w:space="0" w:color="auto"/>
                    <w:right w:val="none" w:sz="0" w:space="0" w:color="auto"/>
                  </w:divBdr>
                  <w:divsChild>
                    <w:div w:id="1301114844">
                      <w:marLeft w:val="0"/>
                      <w:marRight w:val="0"/>
                      <w:marTop w:val="0"/>
                      <w:marBottom w:val="0"/>
                      <w:divBdr>
                        <w:top w:val="none" w:sz="0" w:space="0" w:color="auto"/>
                        <w:left w:val="none" w:sz="0" w:space="0" w:color="auto"/>
                        <w:bottom w:val="none" w:sz="0" w:space="0" w:color="auto"/>
                        <w:right w:val="none" w:sz="0" w:space="0" w:color="auto"/>
                      </w:divBdr>
                      <w:divsChild>
                        <w:div w:id="1046754520">
                          <w:marLeft w:val="0"/>
                          <w:marRight w:val="0"/>
                          <w:marTop w:val="0"/>
                          <w:marBottom w:val="0"/>
                          <w:divBdr>
                            <w:top w:val="none" w:sz="0" w:space="0" w:color="auto"/>
                            <w:left w:val="none" w:sz="0" w:space="0" w:color="auto"/>
                            <w:bottom w:val="none" w:sz="0" w:space="0" w:color="auto"/>
                            <w:right w:val="none" w:sz="0" w:space="0" w:color="auto"/>
                          </w:divBdr>
                          <w:divsChild>
                            <w:div w:id="919291447">
                              <w:marLeft w:val="0"/>
                              <w:marRight w:val="0"/>
                              <w:marTop w:val="0"/>
                              <w:marBottom w:val="0"/>
                              <w:divBdr>
                                <w:top w:val="none" w:sz="0" w:space="0" w:color="auto"/>
                                <w:left w:val="none" w:sz="0" w:space="0" w:color="auto"/>
                                <w:bottom w:val="none" w:sz="0" w:space="0" w:color="auto"/>
                                <w:right w:val="none" w:sz="0" w:space="0" w:color="auto"/>
                              </w:divBdr>
                              <w:divsChild>
                                <w:div w:id="997657859">
                                  <w:marLeft w:val="0"/>
                                  <w:marRight w:val="0"/>
                                  <w:marTop w:val="0"/>
                                  <w:marBottom w:val="0"/>
                                  <w:divBdr>
                                    <w:top w:val="none" w:sz="0" w:space="0" w:color="auto"/>
                                    <w:left w:val="none" w:sz="0" w:space="0" w:color="auto"/>
                                    <w:bottom w:val="none" w:sz="0" w:space="0" w:color="auto"/>
                                    <w:right w:val="none" w:sz="0" w:space="0" w:color="auto"/>
                                  </w:divBdr>
                                  <w:divsChild>
                                    <w:div w:id="1639342298">
                                      <w:marLeft w:val="0"/>
                                      <w:marRight w:val="0"/>
                                      <w:marTop w:val="0"/>
                                      <w:marBottom w:val="0"/>
                                      <w:divBdr>
                                        <w:top w:val="none" w:sz="0" w:space="0" w:color="auto"/>
                                        <w:left w:val="none" w:sz="0" w:space="0" w:color="auto"/>
                                        <w:bottom w:val="none" w:sz="0" w:space="0" w:color="auto"/>
                                        <w:right w:val="none" w:sz="0" w:space="0" w:color="auto"/>
                                      </w:divBdr>
                                      <w:divsChild>
                                        <w:div w:id="1313102370">
                                          <w:marLeft w:val="0"/>
                                          <w:marRight w:val="0"/>
                                          <w:marTop w:val="15"/>
                                          <w:marBottom w:val="0"/>
                                          <w:divBdr>
                                            <w:top w:val="none" w:sz="0" w:space="0" w:color="auto"/>
                                            <w:left w:val="none" w:sz="0" w:space="0" w:color="auto"/>
                                            <w:bottom w:val="none" w:sz="0" w:space="0" w:color="auto"/>
                                            <w:right w:val="none" w:sz="0" w:space="0" w:color="auto"/>
                                          </w:divBdr>
                                          <w:divsChild>
                                            <w:div w:id="1788311946">
                                              <w:marLeft w:val="0"/>
                                              <w:marRight w:val="0"/>
                                              <w:marTop w:val="0"/>
                                              <w:marBottom w:val="0"/>
                                              <w:divBdr>
                                                <w:top w:val="none" w:sz="0" w:space="0" w:color="auto"/>
                                                <w:left w:val="none" w:sz="0" w:space="0" w:color="auto"/>
                                                <w:bottom w:val="none" w:sz="0" w:space="0" w:color="auto"/>
                                                <w:right w:val="none" w:sz="0" w:space="0" w:color="auto"/>
                                              </w:divBdr>
                                              <w:divsChild>
                                                <w:div w:id="1497265857">
                                                  <w:marLeft w:val="0"/>
                                                  <w:marRight w:val="0"/>
                                                  <w:marTop w:val="0"/>
                                                  <w:marBottom w:val="0"/>
                                                  <w:divBdr>
                                                    <w:top w:val="none" w:sz="0" w:space="0" w:color="auto"/>
                                                    <w:left w:val="none" w:sz="0" w:space="0" w:color="auto"/>
                                                    <w:bottom w:val="none" w:sz="0" w:space="0" w:color="auto"/>
                                                    <w:right w:val="none" w:sz="0" w:space="0" w:color="auto"/>
                                                  </w:divBdr>
                                                </w:div>
                                                <w:div w:id="102261901">
                                                  <w:marLeft w:val="0"/>
                                                  <w:marRight w:val="0"/>
                                                  <w:marTop w:val="0"/>
                                                  <w:marBottom w:val="0"/>
                                                  <w:divBdr>
                                                    <w:top w:val="none" w:sz="0" w:space="0" w:color="auto"/>
                                                    <w:left w:val="none" w:sz="0" w:space="0" w:color="auto"/>
                                                    <w:bottom w:val="none" w:sz="0" w:space="0" w:color="auto"/>
                                                    <w:right w:val="none" w:sz="0" w:space="0" w:color="auto"/>
                                                  </w:divBdr>
                                                </w:div>
                                                <w:div w:id="335769674">
                                                  <w:marLeft w:val="0"/>
                                                  <w:marRight w:val="0"/>
                                                  <w:marTop w:val="0"/>
                                                  <w:marBottom w:val="0"/>
                                                  <w:divBdr>
                                                    <w:top w:val="none" w:sz="0" w:space="0" w:color="auto"/>
                                                    <w:left w:val="none" w:sz="0" w:space="0" w:color="auto"/>
                                                    <w:bottom w:val="none" w:sz="0" w:space="0" w:color="auto"/>
                                                    <w:right w:val="none" w:sz="0" w:space="0" w:color="auto"/>
                                                  </w:divBdr>
                                                </w:div>
                                                <w:div w:id="18707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368407">
      <w:bodyDiv w:val="1"/>
      <w:marLeft w:val="0"/>
      <w:marRight w:val="0"/>
      <w:marTop w:val="0"/>
      <w:marBottom w:val="0"/>
      <w:divBdr>
        <w:top w:val="none" w:sz="0" w:space="0" w:color="auto"/>
        <w:left w:val="none" w:sz="0" w:space="0" w:color="auto"/>
        <w:bottom w:val="none" w:sz="0" w:space="0" w:color="auto"/>
        <w:right w:val="none" w:sz="0" w:space="0" w:color="auto"/>
      </w:divBdr>
      <w:divsChild>
        <w:div w:id="1371683842">
          <w:marLeft w:val="274"/>
          <w:marRight w:val="0"/>
          <w:marTop w:val="60"/>
          <w:marBottom w:val="60"/>
          <w:divBdr>
            <w:top w:val="none" w:sz="0" w:space="0" w:color="auto"/>
            <w:left w:val="none" w:sz="0" w:space="0" w:color="auto"/>
            <w:bottom w:val="none" w:sz="0" w:space="0" w:color="auto"/>
            <w:right w:val="none" w:sz="0" w:space="0" w:color="auto"/>
          </w:divBdr>
        </w:div>
      </w:divsChild>
    </w:div>
    <w:div w:id="946473954">
      <w:bodyDiv w:val="1"/>
      <w:marLeft w:val="0"/>
      <w:marRight w:val="0"/>
      <w:marTop w:val="0"/>
      <w:marBottom w:val="0"/>
      <w:divBdr>
        <w:top w:val="none" w:sz="0" w:space="0" w:color="auto"/>
        <w:left w:val="none" w:sz="0" w:space="0" w:color="auto"/>
        <w:bottom w:val="none" w:sz="0" w:space="0" w:color="auto"/>
        <w:right w:val="none" w:sz="0" w:space="0" w:color="auto"/>
      </w:divBdr>
      <w:divsChild>
        <w:div w:id="677849502">
          <w:marLeft w:val="274"/>
          <w:marRight w:val="0"/>
          <w:marTop w:val="60"/>
          <w:marBottom w:val="60"/>
          <w:divBdr>
            <w:top w:val="none" w:sz="0" w:space="0" w:color="auto"/>
            <w:left w:val="none" w:sz="0" w:space="0" w:color="auto"/>
            <w:bottom w:val="none" w:sz="0" w:space="0" w:color="auto"/>
            <w:right w:val="none" w:sz="0" w:space="0" w:color="auto"/>
          </w:divBdr>
        </w:div>
      </w:divsChild>
    </w:div>
    <w:div w:id="957763746">
      <w:bodyDiv w:val="1"/>
      <w:marLeft w:val="0"/>
      <w:marRight w:val="0"/>
      <w:marTop w:val="0"/>
      <w:marBottom w:val="0"/>
      <w:divBdr>
        <w:top w:val="none" w:sz="0" w:space="0" w:color="auto"/>
        <w:left w:val="none" w:sz="0" w:space="0" w:color="auto"/>
        <w:bottom w:val="none" w:sz="0" w:space="0" w:color="auto"/>
        <w:right w:val="none" w:sz="0" w:space="0" w:color="auto"/>
      </w:divBdr>
      <w:divsChild>
        <w:div w:id="994606168">
          <w:marLeft w:val="360"/>
          <w:marRight w:val="0"/>
          <w:marTop w:val="0"/>
          <w:marBottom w:val="0"/>
          <w:divBdr>
            <w:top w:val="none" w:sz="0" w:space="0" w:color="auto"/>
            <w:left w:val="none" w:sz="0" w:space="0" w:color="auto"/>
            <w:bottom w:val="none" w:sz="0" w:space="0" w:color="auto"/>
            <w:right w:val="none" w:sz="0" w:space="0" w:color="auto"/>
          </w:divBdr>
        </w:div>
        <w:div w:id="561330313">
          <w:marLeft w:val="360"/>
          <w:marRight w:val="0"/>
          <w:marTop w:val="0"/>
          <w:marBottom w:val="0"/>
          <w:divBdr>
            <w:top w:val="none" w:sz="0" w:space="0" w:color="auto"/>
            <w:left w:val="none" w:sz="0" w:space="0" w:color="auto"/>
            <w:bottom w:val="none" w:sz="0" w:space="0" w:color="auto"/>
            <w:right w:val="none" w:sz="0" w:space="0" w:color="auto"/>
          </w:divBdr>
        </w:div>
        <w:div w:id="1789616310">
          <w:marLeft w:val="360"/>
          <w:marRight w:val="0"/>
          <w:marTop w:val="0"/>
          <w:marBottom w:val="0"/>
          <w:divBdr>
            <w:top w:val="none" w:sz="0" w:space="0" w:color="auto"/>
            <w:left w:val="none" w:sz="0" w:space="0" w:color="auto"/>
            <w:bottom w:val="none" w:sz="0" w:space="0" w:color="auto"/>
            <w:right w:val="none" w:sz="0" w:space="0" w:color="auto"/>
          </w:divBdr>
        </w:div>
      </w:divsChild>
    </w:div>
    <w:div w:id="1000693146">
      <w:bodyDiv w:val="1"/>
      <w:marLeft w:val="0"/>
      <w:marRight w:val="0"/>
      <w:marTop w:val="0"/>
      <w:marBottom w:val="0"/>
      <w:divBdr>
        <w:top w:val="none" w:sz="0" w:space="0" w:color="auto"/>
        <w:left w:val="none" w:sz="0" w:space="0" w:color="auto"/>
        <w:bottom w:val="none" w:sz="0" w:space="0" w:color="auto"/>
        <w:right w:val="none" w:sz="0" w:space="0" w:color="auto"/>
      </w:divBdr>
      <w:divsChild>
        <w:div w:id="423964919">
          <w:marLeft w:val="130"/>
          <w:marRight w:val="0"/>
          <w:marTop w:val="60"/>
          <w:marBottom w:val="0"/>
          <w:divBdr>
            <w:top w:val="none" w:sz="0" w:space="0" w:color="auto"/>
            <w:left w:val="none" w:sz="0" w:space="0" w:color="auto"/>
            <w:bottom w:val="none" w:sz="0" w:space="0" w:color="auto"/>
            <w:right w:val="none" w:sz="0" w:space="0" w:color="auto"/>
          </w:divBdr>
        </w:div>
        <w:div w:id="120805718">
          <w:marLeft w:val="130"/>
          <w:marRight w:val="0"/>
          <w:marTop w:val="60"/>
          <w:marBottom w:val="0"/>
          <w:divBdr>
            <w:top w:val="none" w:sz="0" w:space="0" w:color="auto"/>
            <w:left w:val="none" w:sz="0" w:space="0" w:color="auto"/>
            <w:bottom w:val="none" w:sz="0" w:space="0" w:color="auto"/>
            <w:right w:val="none" w:sz="0" w:space="0" w:color="auto"/>
          </w:divBdr>
        </w:div>
        <w:div w:id="188446143">
          <w:marLeft w:val="130"/>
          <w:marRight w:val="0"/>
          <w:marTop w:val="60"/>
          <w:marBottom w:val="0"/>
          <w:divBdr>
            <w:top w:val="none" w:sz="0" w:space="0" w:color="auto"/>
            <w:left w:val="none" w:sz="0" w:space="0" w:color="auto"/>
            <w:bottom w:val="none" w:sz="0" w:space="0" w:color="auto"/>
            <w:right w:val="none" w:sz="0" w:space="0" w:color="auto"/>
          </w:divBdr>
        </w:div>
      </w:divsChild>
    </w:div>
    <w:div w:id="1134104917">
      <w:bodyDiv w:val="1"/>
      <w:marLeft w:val="0"/>
      <w:marRight w:val="0"/>
      <w:marTop w:val="0"/>
      <w:marBottom w:val="0"/>
      <w:divBdr>
        <w:top w:val="none" w:sz="0" w:space="0" w:color="auto"/>
        <w:left w:val="none" w:sz="0" w:space="0" w:color="auto"/>
        <w:bottom w:val="none" w:sz="0" w:space="0" w:color="auto"/>
        <w:right w:val="none" w:sz="0" w:space="0" w:color="auto"/>
      </w:divBdr>
    </w:div>
    <w:div w:id="1213925099">
      <w:bodyDiv w:val="1"/>
      <w:marLeft w:val="0"/>
      <w:marRight w:val="0"/>
      <w:marTop w:val="0"/>
      <w:marBottom w:val="0"/>
      <w:divBdr>
        <w:top w:val="none" w:sz="0" w:space="0" w:color="auto"/>
        <w:left w:val="none" w:sz="0" w:space="0" w:color="auto"/>
        <w:bottom w:val="none" w:sz="0" w:space="0" w:color="auto"/>
        <w:right w:val="none" w:sz="0" w:space="0" w:color="auto"/>
      </w:divBdr>
    </w:div>
    <w:div w:id="1248348906">
      <w:bodyDiv w:val="1"/>
      <w:marLeft w:val="0"/>
      <w:marRight w:val="0"/>
      <w:marTop w:val="0"/>
      <w:marBottom w:val="0"/>
      <w:divBdr>
        <w:top w:val="none" w:sz="0" w:space="0" w:color="auto"/>
        <w:left w:val="none" w:sz="0" w:space="0" w:color="auto"/>
        <w:bottom w:val="none" w:sz="0" w:space="0" w:color="auto"/>
        <w:right w:val="none" w:sz="0" w:space="0" w:color="auto"/>
      </w:divBdr>
    </w:div>
    <w:div w:id="1249656353">
      <w:bodyDiv w:val="1"/>
      <w:marLeft w:val="0"/>
      <w:marRight w:val="0"/>
      <w:marTop w:val="0"/>
      <w:marBottom w:val="0"/>
      <w:divBdr>
        <w:top w:val="none" w:sz="0" w:space="0" w:color="auto"/>
        <w:left w:val="none" w:sz="0" w:space="0" w:color="auto"/>
        <w:bottom w:val="none" w:sz="0" w:space="0" w:color="auto"/>
        <w:right w:val="none" w:sz="0" w:space="0" w:color="auto"/>
      </w:divBdr>
    </w:div>
    <w:div w:id="1339651440">
      <w:bodyDiv w:val="1"/>
      <w:marLeft w:val="0"/>
      <w:marRight w:val="0"/>
      <w:marTop w:val="0"/>
      <w:marBottom w:val="0"/>
      <w:divBdr>
        <w:top w:val="none" w:sz="0" w:space="0" w:color="auto"/>
        <w:left w:val="none" w:sz="0" w:space="0" w:color="auto"/>
        <w:bottom w:val="none" w:sz="0" w:space="0" w:color="auto"/>
        <w:right w:val="none" w:sz="0" w:space="0" w:color="auto"/>
      </w:divBdr>
      <w:divsChild>
        <w:div w:id="1424719199">
          <w:marLeft w:val="0"/>
          <w:marRight w:val="0"/>
          <w:marTop w:val="0"/>
          <w:marBottom w:val="0"/>
          <w:divBdr>
            <w:top w:val="none" w:sz="0" w:space="0" w:color="auto"/>
            <w:left w:val="none" w:sz="0" w:space="0" w:color="auto"/>
            <w:bottom w:val="none" w:sz="0" w:space="0" w:color="auto"/>
            <w:right w:val="none" w:sz="0" w:space="0" w:color="auto"/>
          </w:divBdr>
          <w:divsChild>
            <w:div w:id="889998463">
              <w:marLeft w:val="0"/>
              <w:marRight w:val="0"/>
              <w:marTop w:val="900"/>
              <w:marBottom w:val="0"/>
              <w:divBdr>
                <w:top w:val="none" w:sz="0" w:space="0" w:color="auto"/>
                <w:left w:val="none" w:sz="0" w:space="0" w:color="auto"/>
                <w:bottom w:val="none" w:sz="0" w:space="0" w:color="auto"/>
                <w:right w:val="none" w:sz="0" w:space="0" w:color="auto"/>
              </w:divBdr>
              <w:divsChild>
                <w:div w:id="1354455037">
                  <w:marLeft w:val="0"/>
                  <w:marRight w:val="0"/>
                  <w:marTop w:val="0"/>
                  <w:marBottom w:val="0"/>
                  <w:divBdr>
                    <w:top w:val="none" w:sz="0" w:space="0" w:color="auto"/>
                    <w:left w:val="none" w:sz="0" w:space="0" w:color="auto"/>
                    <w:bottom w:val="none" w:sz="0" w:space="0" w:color="auto"/>
                    <w:right w:val="none" w:sz="0" w:space="0" w:color="auto"/>
                  </w:divBdr>
                  <w:divsChild>
                    <w:div w:id="607126197">
                      <w:marLeft w:val="0"/>
                      <w:marRight w:val="0"/>
                      <w:marTop w:val="0"/>
                      <w:marBottom w:val="0"/>
                      <w:divBdr>
                        <w:top w:val="none" w:sz="0" w:space="0" w:color="auto"/>
                        <w:left w:val="none" w:sz="0" w:space="0" w:color="auto"/>
                        <w:bottom w:val="none" w:sz="0" w:space="0" w:color="auto"/>
                        <w:right w:val="none" w:sz="0" w:space="0" w:color="auto"/>
                      </w:divBdr>
                      <w:divsChild>
                        <w:div w:id="150950982">
                          <w:marLeft w:val="0"/>
                          <w:marRight w:val="0"/>
                          <w:marTop w:val="0"/>
                          <w:marBottom w:val="0"/>
                          <w:divBdr>
                            <w:top w:val="none" w:sz="0" w:space="0" w:color="auto"/>
                            <w:left w:val="none" w:sz="0" w:space="0" w:color="auto"/>
                            <w:bottom w:val="none" w:sz="0" w:space="0" w:color="auto"/>
                            <w:right w:val="none" w:sz="0" w:space="0" w:color="auto"/>
                          </w:divBdr>
                          <w:divsChild>
                            <w:div w:id="1072310692">
                              <w:marLeft w:val="0"/>
                              <w:marRight w:val="0"/>
                              <w:marTop w:val="0"/>
                              <w:marBottom w:val="0"/>
                              <w:divBdr>
                                <w:top w:val="none" w:sz="0" w:space="0" w:color="auto"/>
                                <w:left w:val="none" w:sz="0" w:space="0" w:color="auto"/>
                                <w:bottom w:val="none" w:sz="0" w:space="0" w:color="auto"/>
                                <w:right w:val="none" w:sz="0" w:space="0" w:color="auto"/>
                              </w:divBdr>
                              <w:divsChild>
                                <w:div w:id="1026059824">
                                  <w:marLeft w:val="0"/>
                                  <w:marRight w:val="0"/>
                                  <w:marTop w:val="0"/>
                                  <w:marBottom w:val="0"/>
                                  <w:divBdr>
                                    <w:top w:val="none" w:sz="0" w:space="0" w:color="auto"/>
                                    <w:left w:val="none" w:sz="0" w:space="0" w:color="auto"/>
                                    <w:bottom w:val="none" w:sz="0" w:space="0" w:color="auto"/>
                                    <w:right w:val="none" w:sz="0" w:space="0" w:color="auto"/>
                                  </w:divBdr>
                                  <w:divsChild>
                                    <w:div w:id="1009068266">
                                      <w:marLeft w:val="0"/>
                                      <w:marRight w:val="0"/>
                                      <w:marTop w:val="0"/>
                                      <w:marBottom w:val="0"/>
                                      <w:divBdr>
                                        <w:top w:val="none" w:sz="0" w:space="0" w:color="auto"/>
                                        <w:left w:val="none" w:sz="0" w:space="0" w:color="auto"/>
                                        <w:bottom w:val="none" w:sz="0" w:space="0" w:color="auto"/>
                                        <w:right w:val="none" w:sz="0" w:space="0" w:color="auto"/>
                                      </w:divBdr>
                                      <w:divsChild>
                                        <w:div w:id="962999191">
                                          <w:marLeft w:val="0"/>
                                          <w:marRight w:val="0"/>
                                          <w:marTop w:val="15"/>
                                          <w:marBottom w:val="0"/>
                                          <w:divBdr>
                                            <w:top w:val="none" w:sz="0" w:space="0" w:color="auto"/>
                                            <w:left w:val="none" w:sz="0" w:space="0" w:color="auto"/>
                                            <w:bottom w:val="none" w:sz="0" w:space="0" w:color="auto"/>
                                            <w:right w:val="none" w:sz="0" w:space="0" w:color="auto"/>
                                          </w:divBdr>
                                          <w:divsChild>
                                            <w:div w:id="1452703604">
                                              <w:marLeft w:val="0"/>
                                              <w:marRight w:val="0"/>
                                              <w:marTop w:val="0"/>
                                              <w:marBottom w:val="0"/>
                                              <w:divBdr>
                                                <w:top w:val="none" w:sz="0" w:space="0" w:color="auto"/>
                                                <w:left w:val="none" w:sz="0" w:space="0" w:color="auto"/>
                                                <w:bottom w:val="none" w:sz="0" w:space="0" w:color="auto"/>
                                                <w:right w:val="none" w:sz="0" w:space="0" w:color="auto"/>
                                              </w:divBdr>
                                              <w:divsChild>
                                                <w:div w:id="1101144470">
                                                  <w:marLeft w:val="0"/>
                                                  <w:marRight w:val="0"/>
                                                  <w:marTop w:val="0"/>
                                                  <w:marBottom w:val="0"/>
                                                  <w:divBdr>
                                                    <w:top w:val="none" w:sz="0" w:space="0" w:color="auto"/>
                                                    <w:left w:val="none" w:sz="0" w:space="0" w:color="auto"/>
                                                    <w:bottom w:val="none" w:sz="0" w:space="0" w:color="auto"/>
                                                    <w:right w:val="none" w:sz="0" w:space="0" w:color="auto"/>
                                                  </w:divBdr>
                                                </w:div>
                                                <w:div w:id="159275789">
                                                  <w:marLeft w:val="0"/>
                                                  <w:marRight w:val="0"/>
                                                  <w:marTop w:val="0"/>
                                                  <w:marBottom w:val="0"/>
                                                  <w:divBdr>
                                                    <w:top w:val="none" w:sz="0" w:space="0" w:color="auto"/>
                                                    <w:left w:val="none" w:sz="0" w:space="0" w:color="auto"/>
                                                    <w:bottom w:val="none" w:sz="0" w:space="0" w:color="auto"/>
                                                    <w:right w:val="none" w:sz="0" w:space="0" w:color="auto"/>
                                                  </w:divBdr>
                                                </w:div>
                                                <w:div w:id="472450398">
                                                  <w:marLeft w:val="0"/>
                                                  <w:marRight w:val="0"/>
                                                  <w:marTop w:val="0"/>
                                                  <w:marBottom w:val="0"/>
                                                  <w:divBdr>
                                                    <w:top w:val="none" w:sz="0" w:space="0" w:color="auto"/>
                                                    <w:left w:val="none" w:sz="0" w:space="0" w:color="auto"/>
                                                    <w:bottom w:val="none" w:sz="0" w:space="0" w:color="auto"/>
                                                    <w:right w:val="none" w:sz="0" w:space="0" w:color="auto"/>
                                                  </w:divBdr>
                                                </w:div>
                                                <w:div w:id="19110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9107126">
      <w:bodyDiv w:val="1"/>
      <w:marLeft w:val="0"/>
      <w:marRight w:val="0"/>
      <w:marTop w:val="0"/>
      <w:marBottom w:val="0"/>
      <w:divBdr>
        <w:top w:val="none" w:sz="0" w:space="0" w:color="auto"/>
        <w:left w:val="none" w:sz="0" w:space="0" w:color="auto"/>
        <w:bottom w:val="none" w:sz="0" w:space="0" w:color="auto"/>
        <w:right w:val="none" w:sz="0" w:space="0" w:color="auto"/>
      </w:divBdr>
      <w:divsChild>
        <w:div w:id="106588109">
          <w:marLeft w:val="0"/>
          <w:marRight w:val="0"/>
          <w:marTop w:val="0"/>
          <w:marBottom w:val="0"/>
          <w:divBdr>
            <w:top w:val="none" w:sz="0" w:space="0" w:color="auto"/>
            <w:left w:val="none" w:sz="0" w:space="0" w:color="auto"/>
            <w:bottom w:val="none" w:sz="0" w:space="0" w:color="auto"/>
            <w:right w:val="none" w:sz="0" w:space="0" w:color="auto"/>
          </w:divBdr>
          <w:divsChild>
            <w:div w:id="1669479448">
              <w:marLeft w:val="0"/>
              <w:marRight w:val="0"/>
              <w:marTop w:val="900"/>
              <w:marBottom w:val="0"/>
              <w:divBdr>
                <w:top w:val="none" w:sz="0" w:space="0" w:color="auto"/>
                <w:left w:val="none" w:sz="0" w:space="0" w:color="auto"/>
                <w:bottom w:val="none" w:sz="0" w:space="0" w:color="auto"/>
                <w:right w:val="none" w:sz="0" w:space="0" w:color="auto"/>
              </w:divBdr>
              <w:divsChild>
                <w:div w:id="1987776152">
                  <w:marLeft w:val="0"/>
                  <w:marRight w:val="0"/>
                  <w:marTop w:val="0"/>
                  <w:marBottom w:val="0"/>
                  <w:divBdr>
                    <w:top w:val="none" w:sz="0" w:space="0" w:color="auto"/>
                    <w:left w:val="none" w:sz="0" w:space="0" w:color="auto"/>
                    <w:bottom w:val="none" w:sz="0" w:space="0" w:color="auto"/>
                    <w:right w:val="none" w:sz="0" w:space="0" w:color="auto"/>
                  </w:divBdr>
                  <w:divsChild>
                    <w:div w:id="319775517">
                      <w:marLeft w:val="0"/>
                      <w:marRight w:val="0"/>
                      <w:marTop w:val="0"/>
                      <w:marBottom w:val="0"/>
                      <w:divBdr>
                        <w:top w:val="none" w:sz="0" w:space="0" w:color="auto"/>
                        <w:left w:val="none" w:sz="0" w:space="0" w:color="auto"/>
                        <w:bottom w:val="none" w:sz="0" w:space="0" w:color="auto"/>
                        <w:right w:val="none" w:sz="0" w:space="0" w:color="auto"/>
                      </w:divBdr>
                      <w:divsChild>
                        <w:div w:id="382027331">
                          <w:marLeft w:val="0"/>
                          <w:marRight w:val="0"/>
                          <w:marTop w:val="0"/>
                          <w:marBottom w:val="0"/>
                          <w:divBdr>
                            <w:top w:val="none" w:sz="0" w:space="0" w:color="auto"/>
                            <w:left w:val="none" w:sz="0" w:space="0" w:color="auto"/>
                            <w:bottom w:val="none" w:sz="0" w:space="0" w:color="auto"/>
                            <w:right w:val="none" w:sz="0" w:space="0" w:color="auto"/>
                          </w:divBdr>
                          <w:divsChild>
                            <w:div w:id="2124961755">
                              <w:marLeft w:val="0"/>
                              <w:marRight w:val="0"/>
                              <w:marTop w:val="0"/>
                              <w:marBottom w:val="0"/>
                              <w:divBdr>
                                <w:top w:val="none" w:sz="0" w:space="0" w:color="auto"/>
                                <w:left w:val="none" w:sz="0" w:space="0" w:color="auto"/>
                                <w:bottom w:val="none" w:sz="0" w:space="0" w:color="auto"/>
                                <w:right w:val="none" w:sz="0" w:space="0" w:color="auto"/>
                              </w:divBdr>
                              <w:divsChild>
                                <w:div w:id="1288663391">
                                  <w:marLeft w:val="0"/>
                                  <w:marRight w:val="0"/>
                                  <w:marTop w:val="0"/>
                                  <w:marBottom w:val="0"/>
                                  <w:divBdr>
                                    <w:top w:val="none" w:sz="0" w:space="0" w:color="auto"/>
                                    <w:left w:val="none" w:sz="0" w:space="0" w:color="auto"/>
                                    <w:bottom w:val="none" w:sz="0" w:space="0" w:color="auto"/>
                                    <w:right w:val="none" w:sz="0" w:space="0" w:color="auto"/>
                                  </w:divBdr>
                                  <w:divsChild>
                                    <w:div w:id="1240334691">
                                      <w:marLeft w:val="0"/>
                                      <w:marRight w:val="0"/>
                                      <w:marTop w:val="0"/>
                                      <w:marBottom w:val="0"/>
                                      <w:divBdr>
                                        <w:top w:val="none" w:sz="0" w:space="0" w:color="auto"/>
                                        <w:left w:val="none" w:sz="0" w:space="0" w:color="auto"/>
                                        <w:bottom w:val="none" w:sz="0" w:space="0" w:color="auto"/>
                                        <w:right w:val="none" w:sz="0" w:space="0" w:color="auto"/>
                                      </w:divBdr>
                                      <w:divsChild>
                                        <w:div w:id="781723309">
                                          <w:marLeft w:val="0"/>
                                          <w:marRight w:val="0"/>
                                          <w:marTop w:val="15"/>
                                          <w:marBottom w:val="0"/>
                                          <w:divBdr>
                                            <w:top w:val="none" w:sz="0" w:space="0" w:color="auto"/>
                                            <w:left w:val="none" w:sz="0" w:space="0" w:color="auto"/>
                                            <w:bottom w:val="none" w:sz="0" w:space="0" w:color="auto"/>
                                            <w:right w:val="none" w:sz="0" w:space="0" w:color="auto"/>
                                          </w:divBdr>
                                          <w:divsChild>
                                            <w:div w:id="1102847196">
                                              <w:marLeft w:val="0"/>
                                              <w:marRight w:val="0"/>
                                              <w:marTop w:val="0"/>
                                              <w:marBottom w:val="0"/>
                                              <w:divBdr>
                                                <w:top w:val="none" w:sz="0" w:space="0" w:color="auto"/>
                                                <w:left w:val="none" w:sz="0" w:space="0" w:color="auto"/>
                                                <w:bottom w:val="none" w:sz="0" w:space="0" w:color="auto"/>
                                                <w:right w:val="none" w:sz="0" w:space="0" w:color="auto"/>
                                              </w:divBdr>
                                              <w:divsChild>
                                                <w:div w:id="1095512154">
                                                  <w:marLeft w:val="0"/>
                                                  <w:marRight w:val="0"/>
                                                  <w:marTop w:val="0"/>
                                                  <w:marBottom w:val="0"/>
                                                  <w:divBdr>
                                                    <w:top w:val="none" w:sz="0" w:space="0" w:color="auto"/>
                                                    <w:left w:val="none" w:sz="0" w:space="0" w:color="auto"/>
                                                    <w:bottom w:val="none" w:sz="0" w:space="0" w:color="auto"/>
                                                    <w:right w:val="none" w:sz="0" w:space="0" w:color="auto"/>
                                                  </w:divBdr>
                                                </w:div>
                                                <w:div w:id="1941376632">
                                                  <w:marLeft w:val="0"/>
                                                  <w:marRight w:val="0"/>
                                                  <w:marTop w:val="0"/>
                                                  <w:marBottom w:val="0"/>
                                                  <w:divBdr>
                                                    <w:top w:val="none" w:sz="0" w:space="0" w:color="auto"/>
                                                    <w:left w:val="none" w:sz="0" w:space="0" w:color="auto"/>
                                                    <w:bottom w:val="none" w:sz="0" w:space="0" w:color="auto"/>
                                                    <w:right w:val="none" w:sz="0" w:space="0" w:color="auto"/>
                                                  </w:divBdr>
                                                </w:div>
                                                <w:div w:id="758795088">
                                                  <w:marLeft w:val="0"/>
                                                  <w:marRight w:val="0"/>
                                                  <w:marTop w:val="0"/>
                                                  <w:marBottom w:val="0"/>
                                                  <w:divBdr>
                                                    <w:top w:val="none" w:sz="0" w:space="0" w:color="auto"/>
                                                    <w:left w:val="none" w:sz="0" w:space="0" w:color="auto"/>
                                                    <w:bottom w:val="none" w:sz="0" w:space="0" w:color="auto"/>
                                                    <w:right w:val="none" w:sz="0" w:space="0" w:color="auto"/>
                                                  </w:divBdr>
                                                </w:div>
                                                <w:div w:id="12821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9948">
      <w:bodyDiv w:val="1"/>
      <w:marLeft w:val="0"/>
      <w:marRight w:val="0"/>
      <w:marTop w:val="0"/>
      <w:marBottom w:val="0"/>
      <w:divBdr>
        <w:top w:val="none" w:sz="0" w:space="0" w:color="auto"/>
        <w:left w:val="none" w:sz="0" w:space="0" w:color="auto"/>
        <w:bottom w:val="none" w:sz="0" w:space="0" w:color="auto"/>
        <w:right w:val="none" w:sz="0" w:space="0" w:color="auto"/>
      </w:divBdr>
    </w:div>
    <w:div w:id="1533373254">
      <w:bodyDiv w:val="1"/>
      <w:marLeft w:val="0"/>
      <w:marRight w:val="0"/>
      <w:marTop w:val="0"/>
      <w:marBottom w:val="0"/>
      <w:divBdr>
        <w:top w:val="none" w:sz="0" w:space="0" w:color="auto"/>
        <w:left w:val="none" w:sz="0" w:space="0" w:color="auto"/>
        <w:bottom w:val="none" w:sz="0" w:space="0" w:color="auto"/>
        <w:right w:val="none" w:sz="0" w:space="0" w:color="auto"/>
      </w:divBdr>
      <w:divsChild>
        <w:div w:id="1196891130">
          <w:marLeft w:val="274"/>
          <w:marRight w:val="0"/>
          <w:marTop w:val="0"/>
          <w:marBottom w:val="0"/>
          <w:divBdr>
            <w:top w:val="none" w:sz="0" w:space="0" w:color="auto"/>
            <w:left w:val="none" w:sz="0" w:space="0" w:color="auto"/>
            <w:bottom w:val="none" w:sz="0" w:space="0" w:color="auto"/>
            <w:right w:val="none" w:sz="0" w:space="0" w:color="auto"/>
          </w:divBdr>
        </w:div>
        <w:div w:id="51853798">
          <w:marLeft w:val="274"/>
          <w:marRight w:val="0"/>
          <w:marTop w:val="0"/>
          <w:marBottom w:val="0"/>
          <w:divBdr>
            <w:top w:val="none" w:sz="0" w:space="0" w:color="auto"/>
            <w:left w:val="none" w:sz="0" w:space="0" w:color="auto"/>
            <w:bottom w:val="none" w:sz="0" w:space="0" w:color="auto"/>
            <w:right w:val="none" w:sz="0" w:space="0" w:color="auto"/>
          </w:divBdr>
        </w:div>
        <w:div w:id="190001953">
          <w:marLeft w:val="274"/>
          <w:marRight w:val="0"/>
          <w:marTop w:val="0"/>
          <w:marBottom w:val="0"/>
          <w:divBdr>
            <w:top w:val="none" w:sz="0" w:space="0" w:color="auto"/>
            <w:left w:val="none" w:sz="0" w:space="0" w:color="auto"/>
            <w:bottom w:val="none" w:sz="0" w:space="0" w:color="auto"/>
            <w:right w:val="none" w:sz="0" w:space="0" w:color="auto"/>
          </w:divBdr>
        </w:div>
        <w:div w:id="765611860">
          <w:marLeft w:val="274"/>
          <w:marRight w:val="0"/>
          <w:marTop w:val="0"/>
          <w:marBottom w:val="0"/>
          <w:divBdr>
            <w:top w:val="none" w:sz="0" w:space="0" w:color="auto"/>
            <w:left w:val="none" w:sz="0" w:space="0" w:color="auto"/>
            <w:bottom w:val="none" w:sz="0" w:space="0" w:color="auto"/>
            <w:right w:val="none" w:sz="0" w:space="0" w:color="auto"/>
          </w:divBdr>
        </w:div>
      </w:divsChild>
    </w:div>
    <w:div w:id="1591621241">
      <w:bodyDiv w:val="1"/>
      <w:marLeft w:val="0"/>
      <w:marRight w:val="0"/>
      <w:marTop w:val="0"/>
      <w:marBottom w:val="0"/>
      <w:divBdr>
        <w:top w:val="none" w:sz="0" w:space="0" w:color="auto"/>
        <w:left w:val="none" w:sz="0" w:space="0" w:color="auto"/>
        <w:bottom w:val="none" w:sz="0" w:space="0" w:color="auto"/>
        <w:right w:val="none" w:sz="0" w:space="0" w:color="auto"/>
      </w:divBdr>
      <w:divsChild>
        <w:div w:id="2058161979">
          <w:marLeft w:val="0"/>
          <w:marRight w:val="0"/>
          <w:marTop w:val="0"/>
          <w:marBottom w:val="135"/>
          <w:divBdr>
            <w:top w:val="none" w:sz="0" w:space="0" w:color="auto"/>
            <w:left w:val="none" w:sz="0" w:space="0" w:color="auto"/>
            <w:bottom w:val="none" w:sz="0" w:space="0" w:color="auto"/>
            <w:right w:val="none" w:sz="0" w:space="0" w:color="auto"/>
          </w:divBdr>
        </w:div>
      </w:divsChild>
    </w:div>
    <w:div w:id="1601176820">
      <w:bodyDiv w:val="1"/>
      <w:marLeft w:val="0"/>
      <w:marRight w:val="0"/>
      <w:marTop w:val="0"/>
      <w:marBottom w:val="0"/>
      <w:divBdr>
        <w:top w:val="none" w:sz="0" w:space="0" w:color="auto"/>
        <w:left w:val="none" w:sz="0" w:space="0" w:color="auto"/>
        <w:bottom w:val="none" w:sz="0" w:space="0" w:color="auto"/>
        <w:right w:val="none" w:sz="0" w:space="0" w:color="auto"/>
      </w:divBdr>
    </w:div>
    <w:div w:id="1727677143">
      <w:bodyDiv w:val="1"/>
      <w:marLeft w:val="0"/>
      <w:marRight w:val="0"/>
      <w:marTop w:val="0"/>
      <w:marBottom w:val="0"/>
      <w:divBdr>
        <w:top w:val="none" w:sz="0" w:space="0" w:color="auto"/>
        <w:left w:val="none" w:sz="0" w:space="0" w:color="auto"/>
        <w:bottom w:val="none" w:sz="0" w:space="0" w:color="auto"/>
        <w:right w:val="none" w:sz="0" w:space="0" w:color="auto"/>
      </w:divBdr>
    </w:div>
    <w:div w:id="1731145805">
      <w:bodyDiv w:val="1"/>
      <w:marLeft w:val="0"/>
      <w:marRight w:val="0"/>
      <w:marTop w:val="0"/>
      <w:marBottom w:val="0"/>
      <w:divBdr>
        <w:top w:val="none" w:sz="0" w:space="0" w:color="auto"/>
        <w:left w:val="none" w:sz="0" w:space="0" w:color="auto"/>
        <w:bottom w:val="none" w:sz="0" w:space="0" w:color="auto"/>
        <w:right w:val="none" w:sz="0" w:space="0" w:color="auto"/>
      </w:divBdr>
    </w:div>
    <w:div w:id="1742561495">
      <w:bodyDiv w:val="1"/>
      <w:marLeft w:val="0"/>
      <w:marRight w:val="0"/>
      <w:marTop w:val="0"/>
      <w:marBottom w:val="0"/>
      <w:divBdr>
        <w:top w:val="none" w:sz="0" w:space="0" w:color="auto"/>
        <w:left w:val="none" w:sz="0" w:space="0" w:color="auto"/>
        <w:bottom w:val="none" w:sz="0" w:space="0" w:color="auto"/>
        <w:right w:val="none" w:sz="0" w:space="0" w:color="auto"/>
      </w:divBdr>
      <w:divsChild>
        <w:div w:id="1211963544">
          <w:marLeft w:val="288"/>
          <w:marRight w:val="0"/>
          <w:marTop w:val="0"/>
          <w:marBottom w:val="0"/>
          <w:divBdr>
            <w:top w:val="none" w:sz="0" w:space="0" w:color="auto"/>
            <w:left w:val="none" w:sz="0" w:space="0" w:color="auto"/>
            <w:bottom w:val="none" w:sz="0" w:space="0" w:color="auto"/>
            <w:right w:val="none" w:sz="0" w:space="0" w:color="auto"/>
          </w:divBdr>
        </w:div>
        <w:div w:id="1267957367">
          <w:marLeft w:val="576"/>
          <w:marRight w:val="0"/>
          <w:marTop w:val="0"/>
          <w:marBottom w:val="0"/>
          <w:divBdr>
            <w:top w:val="none" w:sz="0" w:space="0" w:color="auto"/>
            <w:left w:val="none" w:sz="0" w:space="0" w:color="auto"/>
            <w:bottom w:val="none" w:sz="0" w:space="0" w:color="auto"/>
            <w:right w:val="none" w:sz="0" w:space="0" w:color="auto"/>
          </w:divBdr>
        </w:div>
        <w:div w:id="1562869244">
          <w:marLeft w:val="576"/>
          <w:marRight w:val="0"/>
          <w:marTop w:val="0"/>
          <w:marBottom w:val="0"/>
          <w:divBdr>
            <w:top w:val="none" w:sz="0" w:space="0" w:color="auto"/>
            <w:left w:val="none" w:sz="0" w:space="0" w:color="auto"/>
            <w:bottom w:val="none" w:sz="0" w:space="0" w:color="auto"/>
            <w:right w:val="none" w:sz="0" w:space="0" w:color="auto"/>
          </w:divBdr>
        </w:div>
        <w:div w:id="1221479429">
          <w:marLeft w:val="576"/>
          <w:marRight w:val="0"/>
          <w:marTop w:val="0"/>
          <w:marBottom w:val="0"/>
          <w:divBdr>
            <w:top w:val="none" w:sz="0" w:space="0" w:color="auto"/>
            <w:left w:val="none" w:sz="0" w:space="0" w:color="auto"/>
            <w:bottom w:val="none" w:sz="0" w:space="0" w:color="auto"/>
            <w:right w:val="none" w:sz="0" w:space="0" w:color="auto"/>
          </w:divBdr>
        </w:div>
      </w:divsChild>
    </w:div>
    <w:div w:id="1918124140">
      <w:bodyDiv w:val="1"/>
      <w:marLeft w:val="0"/>
      <w:marRight w:val="0"/>
      <w:marTop w:val="0"/>
      <w:marBottom w:val="0"/>
      <w:divBdr>
        <w:top w:val="none" w:sz="0" w:space="0" w:color="auto"/>
        <w:left w:val="none" w:sz="0" w:space="0" w:color="auto"/>
        <w:bottom w:val="none" w:sz="0" w:space="0" w:color="auto"/>
        <w:right w:val="none" w:sz="0" w:space="0" w:color="auto"/>
      </w:divBdr>
    </w:div>
    <w:div w:id="1938439593">
      <w:bodyDiv w:val="1"/>
      <w:marLeft w:val="0"/>
      <w:marRight w:val="0"/>
      <w:marTop w:val="0"/>
      <w:marBottom w:val="0"/>
      <w:divBdr>
        <w:top w:val="none" w:sz="0" w:space="0" w:color="auto"/>
        <w:left w:val="none" w:sz="0" w:space="0" w:color="auto"/>
        <w:bottom w:val="none" w:sz="0" w:space="0" w:color="auto"/>
        <w:right w:val="none" w:sz="0" w:space="0" w:color="auto"/>
      </w:divBdr>
      <w:divsChild>
        <w:div w:id="636186832">
          <w:marLeft w:val="288"/>
          <w:marRight w:val="0"/>
          <w:marTop w:val="0"/>
          <w:marBottom w:val="0"/>
          <w:divBdr>
            <w:top w:val="none" w:sz="0" w:space="0" w:color="auto"/>
            <w:left w:val="none" w:sz="0" w:space="0" w:color="auto"/>
            <w:bottom w:val="none" w:sz="0" w:space="0" w:color="auto"/>
            <w:right w:val="none" w:sz="0" w:space="0" w:color="auto"/>
          </w:divBdr>
        </w:div>
      </w:divsChild>
    </w:div>
    <w:div w:id="1987472881">
      <w:bodyDiv w:val="1"/>
      <w:marLeft w:val="0"/>
      <w:marRight w:val="0"/>
      <w:marTop w:val="0"/>
      <w:marBottom w:val="0"/>
      <w:divBdr>
        <w:top w:val="none" w:sz="0" w:space="0" w:color="auto"/>
        <w:left w:val="none" w:sz="0" w:space="0" w:color="auto"/>
        <w:bottom w:val="none" w:sz="0" w:space="0" w:color="auto"/>
        <w:right w:val="none" w:sz="0" w:space="0" w:color="auto"/>
      </w:divBdr>
    </w:div>
    <w:div w:id="2002347787">
      <w:bodyDiv w:val="1"/>
      <w:marLeft w:val="0"/>
      <w:marRight w:val="0"/>
      <w:marTop w:val="0"/>
      <w:marBottom w:val="0"/>
      <w:divBdr>
        <w:top w:val="none" w:sz="0" w:space="0" w:color="auto"/>
        <w:left w:val="none" w:sz="0" w:space="0" w:color="auto"/>
        <w:bottom w:val="none" w:sz="0" w:space="0" w:color="auto"/>
        <w:right w:val="none" w:sz="0" w:space="0" w:color="auto"/>
      </w:divBdr>
    </w:div>
    <w:div w:id="2007392234">
      <w:bodyDiv w:val="1"/>
      <w:marLeft w:val="0"/>
      <w:marRight w:val="0"/>
      <w:marTop w:val="0"/>
      <w:marBottom w:val="0"/>
      <w:divBdr>
        <w:top w:val="none" w:sz="0" w:space="0" w:color="auto"/>
        <w:left w:val="none" w:sz="0" w:space="0" w:color="auto"/>
        <w:bottom w:val="none" w:sz="0" w:space="0" w:color="auto"/>
        <w:right w:val="none" w:sz="0" w:space="0" w:color="auto"/>
      </w:divBdr>
      <w:divsChild>
        <w:div w:id="1993564205">
          <w:marLeft w:val="216"/>
          <w:marRight w:val="0"/>
          <w:marTop w:val="0"/>
          <w:marBottom w:val="0"/>
          <w:divBdr>
            <w:top w:val="none" w:sz="0" w:space="0" w:color="auto"/>
            <w:left w:val="none" w:sz="0" w:space="0" w:color="auto"/>
            <w:bottom w:val="none" w:sz="0" w:space="0" w:color="auto"/>
            <w:right w:val="none" w:sz="0" w:space="0" w:color="auto"/>
          </w:divBdr>
        </w:div>
        <w:div w:id="1961567745">
          <w:marLeft w:val="216"/>
          <w:marRight w:val="0"/>
          <w:marTop w:val="0"/>
          <w:marBottom w:val="0"/>
          <w:divBdr>
            <w:top w:val="none" w:sz="0" w:space="0" w:color="auto"/>
            <w:left w:val="none" w:sz="0" w:space="0" w:color="auto"/>
            <w:bottom w:val="none" w:sz="0" w:space="0" w:color="auto"/>
            <w:right w:val="none" w:sz="0" w:space="0" w:color="auto"/>
          </w:divBdr>
        </w:div>
      </w:divsChild>
    </w:div>
    <w:div w:id="2063946783">
      <w:bodyDiv w:val="1"/>
      <w:marLeft w:val="0"/>
      <w:marRight w:val="0"/>
      <w:marTop w:val="0"/>
      <w:marBottom w:val="0"/>
      <w:divBdr>
        <w:top w:val="none" w:sz="0" w:space="0" w:color="auto"/>
        <w:left w:val="none" w:sz="0" w:space="0" w:color="auto"/>
        <w:bottom w:val="none" w:sz="0" w:space="0" w:color="auto"/>
        <w:right w:val="none" w:sz="0" w:space="0" w:color="auto"/>
      </w:divBdr>
      <w:divsChild>
        <w:div w:id="2089110520">
          <w:marLeft w:val="0"/>
          <w:marRight w:val="0"/>
          <w:marTop w:val="120"/>
          <w:marBottom w:val="0"/>
          <w:divBdr>
            <w:top w:val="none" w:sz="0" w:space="0" w:color="auto"/>
            <w:left w:val="none" w:sz="0" w:space="0" w:color="auto"/>
            <w:bottom w:val="none" w:sz="0" w:space="0" w:color="auto"/>
            <w:right w:val="none" w:sz="0" w:space="0" w:color="auto"/>
          </w:divBdr>
        </w:div>
      </w:divsChild>
    </w:div>
    <w:div w:id="2069958725">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er.cancer.gov/" TargetMode="Externa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sac.gov.au/"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463A7-FEE3-4A02-95D0-BBE00A674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8911</Words>
  <Characters>50797</Characters>
  <Application>Microsoft Office Word</Application>
  <DocSecurity>4</DocSecurity>
  <Lines>423</Lines>
  <Paragraphs>119</Paragraphs>
  <ScaleCrop>false</ScaleCrop>
  <HeadingPairs>
    <vt:vector size="2" baseType="variant">
      <vt:variant>
        <vt:lpstr>Title</vt:lpstr>
      </vt:variant>
      <vt:variant>
        <vt:i4>1</vt:i4>
      </vt:variant>
    </vt:vector>
  </HeadingPairs>
  <TitlesOfParts>
    <vt:vector size="1" baseType="lpstr">
      <vt:lpstr>MSAC Application Form</vt:lpstr>
    </vt:vector>
  </TitlesOfParts>
  <LinksUpToDate>false</LinksUpToDate>
  <CharactersWithSpaces>59589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Application Form</dc:title>
  <dc:creator/>
  <cp:lastModifiedBy/>
  <cp:revision>1</cp:revision>
  <dcterms:created xsi:type="dcterms:W3CDTF">2019-02-12T03:55:00Z</dcterms:created>
  <dcterms:modified xsi:type="dcterms:W3CDTF">2019-02-12T03:55:00Z</dcterms:modified>
</cp:coreProperties>
</file>