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49A" w14:textId="051E1010" w:rsidR="00772829" w:rsidRPr="00C72177" w:rsidRDefault="00EE1C27" w:rsidP="00521918">
      <w:pPr>
        <w:pStyle w:val="Heading1"/>
        <w:numPr>
          <w:ilvl w:val="0"/>
          <w:numId w:val="0"/>
        </w:numPr>
        <w:pBdr>
          <w:bottom w:val="none" w:sz="0" w:space="0" w:color="auto"/>
        </w:pBdr>
        <w:spacing w:before="480" w:after="360"/>
        <w:ind w:left="788"/>
        <w:jc w:val="center"/>
        <w:rPr>
          <w:rFonts w:ascii="Arial" w:hAnsi="Arial" w:cs="Arial"/>
          <w:b/>
          <w:bCs/>
          <w:color w:val="000080"/>
          <w:sz w:val="36"/>
          <w:szCs w:val="36"/>
        </w:rPr>
      </w:pPr>
      <w:bookmarkStart w:id="0" w:name="_Toc148446984"/>
      <w:bookmarkStart w:id="1" w:name="_Toc149567947"/>
      <w:bookmarkStart w:id="2" w:name="_Toc149736384"/>
      <w:r>
        <w:rPr>
          <w:rFonts w:ascii="Arial" w:eastAsia="Arial" w:hAnsi="Arial" w:cs="Arial"/>
          <w:b/>
          <w:color w:val="000080"/>
          <w:sz w:val="36"/>
          <w:szCs w:val="36"/>
        </w:rPr>
        <w:t xml:space="preserve">Medical Services Advisory Committee (MSAC) </w:t>
      </w:r>
      <w:bookmarkEnd w:id="0"/>
      <w:bookmarkEnd w:id="1"/>
      <w:bookmarkEnd w:id="2"/>
      <w:r w:rsidR="00521918" w:rsidRPr="00F76D74">
        <w:rPr>
          <w:rFonts w:ascii="Arial" w:hAnsi="Arial" w:cs="Arial"/>
          <w:b/>
          <w:bCs/>
          <w:color w:val="000080"/>
          <w:sz w:val="36"/>
          <w:szCs w:val="36"/>
        </w:rPr>
        <w:t>Public Summary Document</w:t>
      </w:r>
    </w:p>
    <w:p w14:paraId="7A128FDE" w14:textId="6CECE3A2" w:rsidR="00772829" w:rsidRPr="00CE28E3" w:rsidRDefault="00772829" w:rsidP="00772829">
      <w:pPr>
        <w:pStyle w:val="Subtitle"/>
      </w:pPr>
      <w:r w:rsidRPr="00CE28E3">
        <w:t xml:space="preserve">Application No. </w:t>
      </w:r>
      <w:r w:rsidR="00FA2318" w:rsidRPr="00FA2318">
        <w:t>1737</w:t>
      </w:r>
      <w:r w:rsidR="00415163">
        <w:t>.1</w:t>
      </w:r>
      <w:r w:rsidRPr="00FA2318">
        <w:t xml:space="preserve"> – </w:t>
      </w:r>
      <w:r w:rsidR="00FA2318" w:rsidRPr="00FA2318">
        <w:t xml:space="preserve">Newborn bloodspot screening for sickle cell disease </w:t>
      </w:r>
    </w:p>
    <w:p w14:paraId="35263561" w14:textId="5699A22F"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FA2318" w:rsidRPr="00FA2318">
        <w:rPr>
          <w:rFonts w:ascii="Arial" w:hAnsi="Arial" w:cs="Arial"/>
          <w:b/>
          <w:szCs w:val="24"/>
        </w:rPr>
        <w:t>Australian Sickle Cell Advocacy Inc</w:t>
      </w:r>
    </w:p>
    <w:p w14:paraId="55B7F4E2" w14:textId="792D8BF1" w:rsidR="00C93815"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521918">
        <w:rPr>
          <w:rFonts w:ascii="Arial" w:hAnsi="Arial" w:cs="Arial"/>
          <w:b/>
          <w:szCs w:val="24"/>
        </w:rPr>
        <w:t>23-24</w:t>
      </w:r>
      <w:r w:rsidRPr="00CE28E3">
        <w:rPr>
          <w:rFonts w:ascii="Arial" w:hAnsi="Arial" w:cs="Arial"/>
          <w:b/>
          <w:szCs w:val="24"/>
        </w:rPr>
        <w:t xml:space="preserve"> </w:t>
      </w:r>
      <w:r w:rsidR="009C6396">
        <w:rPr>
          <w:rFonts w:ascii="Arial" w:hAnsi="Arial" w:cs="Arial"/>
          <w:b/>
          <w:szCs w:val="24"/>
        </w:rPr>
        <w:t>November</w:t>
      </w:r>
      <w:r w:rsidR="0014214C">
        <w:rPr>
          <w:rFonts w:ascii="Arial" w:hAnsi="Arial" w:cs="Arial"/>
          <w:b/>
          <w:szCs w:val="24"/>
        </w:rPr>
        <w:t xml:space="preserve"> 2023</w:t>
      </w:r>
    </w:p>
    <w:p w14:paraId="15DA9C4A" w14:textId="566181F3" w:rsidR="009A3778" w:rsidRPr="008D46B3" w:rsidRDefault="00942919" w:rsidP="008D46B3">
      <w:pPr>
        <w:spacing w:after="240"/>
        <w:rPr>
          <w:color w:val="0000FF"/>
          <w:u w:val="single"/>
        </w:rPr>
      </w:pPr>
      <w:r>
        <w:t xml:space="preserve">Context for decision: MSAC makes its advice in accordance with its Terms of Reference, </w:t>
      </w:r>
      <w:hyperlink r:id="rId8" w:tooltip="Link to Medical Services Advisory Committee website" w:history="1">
        <w:r w:rsidRPr="001E7563">
          <w:rPr>
            <w:rStyle w:val="Hyperlink"/>
          </w:rPr>
          <w:t>visit the MSAC website</w:t>
        </w:r>
      </w:hyperlink>
    </w:p>
    <w:p w14:paraId="7EAA7262" w14:textId="77335A16" w:rsidR="00772829" w:rsidRPr="00CE28E3" w:rsidRDefault="00C36633" w:rsidP="000F18EB">
      <w:pPr>
        <w:pStyle w:val="Heading2"/>
        <w:numPr>
          <w:ilvl w:val="0"/>
          <w:numId w:val="0"/>
        </w:numPr>
      </w:pPr>
      <w:bookmarkStart w:id="3" w:name="_Toc149736385"/>
      <w:r>
        <w:t>1.</w:t>
      </w:r>
      <w:r>
        <w:tab/>
      </w:r>
      <w:r w:rsidR="00772829" w:rsidRPr="00CE28E3">
        <w:t xml:space="preserve">Purpose </w:t>
      </w:r>
      <w:r w:rsidR="00772829" w:rsidRPr="00CE28E3">
        <w:rPr>
          <w:szCs w:val="32"/>
        </w:rPr>
        <w:t>of</w:t>
      </w:r>
      <w:r w:rsidR="00772829" w:rsidRPr="00CE28E3">
        <w:t xml:space="preserve"> application</w:t>
      </w:r>
      <w:bookmarkEnd w:id="3"/>
    </w:p>
    <w:p w14:paraId="1305F83B" w14:textId="48716C02" w:rsidR="00772829" w:rsidRDefault="00FB65AA" w:rsidP="00C070F4">
      <w:pPr>
        <w:pStyle w:val="Instructionaltext"/>
        <w:rPr>
          <w:color w:val="auto"/>
        </w:rPr>
      </w:pPr>
      <w:bookmarkStart w:id="4" w:name="_Hlk69734469"/>
      <w:r w:rsidRPr="00C070F4">
        <w:rPr>
          <w:color w:val="auto"/>
        </w:rPr>
        <w:t xml:space="preserve">An application requesting </w:t>
      </w:r>
      <w:r w:rsidR="00D5421D">
        <w:rPr>
          <w:color w:val="auto"/>
        </w:rPr>
        <w:t xml:space="preserve">the addition of </w:t>
      </w:r>
      <w:r w:rsidRPr="00C070F4">
        <w:rPr>
          <w:color w:val="auto"/>
        </w:rPr>
        <w:t>sickle cell disease (SCD) to</w:t>
      </w:r>
      <w:r w:rsidR="00ED2FB0" w:rsidRPr="00C070F4">
        <w:rPr>
          <w:color w:val="auto"/>
        </w:rPr>
        <w:t xml:space="preserve"> </w:t>
      </w:r>
      <w:r w:rsidRPr="00C070F4">
        <w:rPr>
          <w:color w:val="auto"/>
        </w:rPr>
        <w:t xml:space="preserve">newborn bloodspot screening (NBS) was received from Australian Sickle Cell Advocacy Inc by the Department of Health and Aged Care. </w:t>
      </w:r>
    </w:p>
    <w:p w14:paraId="6534D648" w14:textId="77777777" w:rsidR="00521918" w:rsidRDefault="00521918" w:rsidP="00521918">
      <w:pPr>
        <w:pStyle w:val="Heading2"/>
        <w:numPr>
          <w:ilvl w:val="1"/>
          <w:numId w:val="0"/>
        </w:numPr>
      </w:pPr>
      <w:r>
        <w:t>2.</w:t>
      </w:r>
      <w:r>
        <w:tab/>
        <w:t>MSAC’s advice to the Minister</w:t>
      </w:r>
    </w:p>
    <w:p w14:paraId="632BE39C" w14:textId="353AEB88" w:rsidR="00966A31" w:rsidRDefault="00521918" w:rsidP="00966A31">
      <w:pPr>
        <w:spacing w:after="240"/>
        <w:rPr>
          <w:rStyle w:val="eop"/>
          <w:shd w:val="clear" w:color="auto" w:fill="FFFFFF"/>
        </w:rPr>
      </w:pPr>
      <w:r w:rsidRPr="000A352D">
        <w:rPr>
          <w:iCs/>
        </w:rPr>
        <w:t xml:space="preserve">After considering the strength of the available evidence in relation to comparative safety, clinical effectiveness, </w:t>
      </w:r>
      <w:proofErr w:type="gramStart"/>
      <w:r w:rsidRPr="000A352D">
        <w:rPr>
          <w:iCs/>
        </w:rPr>
        <w:t>cost-effectiveness</w:t>
      </w:r>
      <w:proofErr w:type="gramEnd"/>
      <w:r w:rsidRPr="000A352D">
        <w:rPr>
          <w:iCs/>
        </w:rPr>
        <w:t xml:space="preserve"> and total cost, </w:t>
      </w:r>
      <w:r w:rsidR="000A06BE">
        <w:rPr>
          <w:rStyle w:val="normaltextrun"/>
          <w:color w:val="000000"/>
          <w:shd w:val="clear" w:color="auto" w:fill="FFFFFF"/>
        </w:rPr>
        <w:t xml:space="preserve">MSAC supported adding SCD to NBS. Although the new data had limitations, MSAC was satisfied the evidence demonstrated that an early diagnosis of SCD through NBS would change management in the Australian </w:t>
      </w:r>
      <w:proofErr w:type="gramStart"/>
      <w:r w:rsidR="000A06BE">
        <w:rPr>
          <w:rStyle w:val="normaltextrun"/>
          <w:color w:val="000000"/>
          <w:shd w:val="clear" w:color="auto" w:fill="FFFFFF"/>
        </w:rPr>
        <w:t>context, and</w:t>
      </w:r>
      <w:proofErr w:type="gramEnd"/>
      <w:r w:rsidR="000A06BE">
        <w:rPr>
          <w:rStyle w:val="normaltextrun"/>
          <w:color w:val="000000"/>
          <w:shd w:val="clear" w:color="auto" w:fill="FFFFFF"/>
        </w:rPr>
        <w:t xml:space="preserve"> would improve health outcomes</w:t>
      </w:r>
      <w:r w:rsidR="6C647CCA" w:rsidRPr="1E8241E6">
        <w:rPr>
          <w:rFonts w:eastAsia="Franklin Gothic Book" w:cs="Franklin Gothic Book"/>
          <w:color w:val="000000" w:themeColor="text1"/>
        </w:rPr>
        <w:t xml:space="preserve"> for babies screened through NBS programs.</w:t>
      </w:r>
      <w:r w:rsidR="000A06BE">
        <w:rPr>
          <w:rStyle w:val="normaltextrun"/>
          <w:color w:val="000000"/>
          <w:shd w:val="clear" w:color="auto" w:fill="FFFFFF"/>
        </w:rPr>
        <w:t xml:space="preserve"> Existing targeted testing </w:t>
      </w:r>
      <w:r w:rsidR="00682C5D">
        <w:rPr>
          <w:rStyle w:val="normaltextrun"/>
          <w:color w:val="000000"/>
          <w:shd w:val="clear" w:color="auto" w:fill="FFFFFF"/>
        </w:rPr>
        <w:t xml:space="preserve">detects </w:t>
      </w:r>
      <w:r w:rsidR="000A06BE">
        <w:rPr>
          <w:rStyle w:val="normaltextrun"/>
          <w:color w:val="000000"/>
          <w:shd w:val="clear" w:color="auto" w:fill="FFFFFF"/>
        </w:rPr>
        <w:t>less than half of SCD cases before symptoms develop, so NBS would result in more early diagnoses</w:t>
      </w:r>
      <w:r w:rsidR="41B89237">
        <w:rPr>
          <w:rStyle w:val="normaltextrun"/>
          <w:color w:val="000000"/>
          <w:shd w:val="clear" w:color="auto" w:fill="FFFFFF"/>
        </w:rPr>
        <w:t>.</w:t>
      </w:r>
      <w:r w:rsidR="000A06BE">
        <w:rPr>
          <w:rStyle w:val="normaltextrun"/>
          <w:color w:val="000000"/>
          <w:shd w:val="clear" w:color="auto" w:fill="FFFFFF"/>
        </w:rPr>
        <w:t xml:space="preserve"> NBS for SCD can also detect beta-thalassaemia and potentially other haemoglobinopathies as non-target conditions. The updated estimate of SCD incidence in Australia was substantially higher </w:t>
      </w:r>
      <w:r w:rsidR="00C526EE">
        <w:rPr>
          <w:rStyle w:val="normaltextrun"/>
          <w:color w:val="000000"/>
          <w:shd w:val="clear" w:color="auto" w:fill="FFFFFF"/>
        </w:rPr>
        <w:t xml:space="preserve">than in the previous assessment </w:t>
      </w:r>
      <w:r w:rsidR="00695447" w:rsidRPr="00DB6A8E">
        <w:rPr>
          <w:rStyle w:val="normaltextrun"/>
          <w:color w:val="000000"/>
          <w:shd w:val="clear" w:color="auto" w:fill="FFFFFF"/>
        </w:rPr>
        <w:t xml:space="preserve">and </w:t>
      </w:r>
      <w:r w:rsidR="00584906">
        <w:rPr>
          <w:rStyle w:val="normaltextrun"/>
          <w:color w:val="000000"/>
          <w:shd w:val="clear" w:color="auto" w:fill="FFFFFF"/>
        </w:rPr>
        <w:t>likely closer to the truth than previous calculations</w:t>
      </w:r>
      <w:r w:rsidR="00682C5D">
        <w:rPr>
          <w:rStyle w:val="normaltextrun"/>
          <w:color w:val="000000"/>
          <w:shd w:val="clear" w:color="auto" w:fill="FFFFFF"/>
        </w:rPr>
        <w:t xml:space="preserve">, noting </w:t>
      </w:r>
      <w:r w:rsidR="000A06BE">
        <w:rPr>
          <w:rStyle w:val="normaltextrun"/>
          <w:color w:val="000000"/>
          <w:shd w:val="clear" w:color="auto" w:fill="FFFFFF"/>
        </w:rPr>
        <w:t xml:space="preserve">also </w:t>
      </w:r>
      <w:r w:rsidR="00682C5D">
        <w:rPr>
          <w:rStyle w:val="normaltextrun"/>
          <w:color w:val="000000"/>
          <w:shd w:val="clear" w:color="auto" w:fill="FFFFFF"/>
        </w:rPr>
        <w:t>that</w:t>
      </w:r>
      <w:r w:rsidR="000A06BE">
        <w:rPr>
          <w:rStyle w:val="normaltextrun"/>
          <w:color w:val="000000"/>
          <w:shd w:val="clear" w:color="auto" w:fill="FFFFFF"/>
        </w:rPr>
        <w:t xml:space="preserve"> incidence is likely to increase further over time due to </w:t>
      </w:r>
      <w:r w:rsidR="41B89237">
        <w:rPr>
          <w:rStyle w:val="normaltextrun"/>
          <w:color w:val="000000"/>
          <w:shd w:val="clear" w:color="auto" w:fill="FFFFFF"/>
        </w:rPr>
        <w:t>immigration.</w:t>
      </w:r>
      <w:r w:rsidR="000A06BE">
        <w:rPr>
          <w:rStyle w:val="normaltextrun"/>
          <w:color w:val="000000"/>
          <w:shd w:val="clear" w:color="auto" w:fill="FFFFFF"/>
        </w:rPr>
        <w:t xml:space="preserve"> NBS for SCD had non-inferior safety, with the main potential harms from </w:t>
      </w:r>
      <w:r w:rsidR="360DCC4C" w:rsidRPr="1E8241E6">
        <w:rPr>
          <w:rStyle w:val="normaltextrun"/>
          <w:color w:val="000000" w:themeColor="text1"/>
        </w:rPr>
        <w:t xml:space="preserve">side effects of </w:t>
      </w:r>
      <w:r w:rsidR="000A06BE">
        <w:rPr>
          <w:rStyle w:val="normaltextrun"/>
          <w:color w:val="000000"/>
          <w:shd w:val="clear" w:color="auto" w:fill="FFFFFF"/>
        </w:rPr>
        <w:t>hydroxyurea treatment and false</w:t>
      </w:r>
      <w:r w:rsidR="00E16654" w:rsidRPr="1E8241E6">
        <w:rPr>
          <w:rStyle w:val="normaltextrun"/>
          <w:color w:val="000000" w:themeColor="text1"/>
        </w:rPr>
        <w:t xml:space="preserve"> </w:t>
      </w:r>
      <w:r w:rsidR="000A06BE">
        <w:rPr>
          <w:rStyle w:val="normaltextrun"/>
          <w:color w:val="000000"/>
          <w:shd w:val="clear" w:color="auto" w:fill="FFFFFF"/>
        </w:rPr>
        <w:t xml:space="preserve">results, although false results were unlikely. The main remaining uncertainty was the cost of screening, as this will vary depending on which </w:t>
      </w:r>
      <w:r w:rsidR="00743A20" w:rsidRPr="1E8241E6">
        <w:rPr>
          <w:rStyle w:val="normaltextrun"/>
          <w:color w:val="000000" w:themeColor="text1"/>
        </w:rPr>
        <w:t>screening</w:t>
      </w:r>
      <w:r w:rsidR="000A06BE">
        <w:rPr>
          <w:rStyle w:val="normaltextrun"/>
          <w:color w:val="000000"/>
          <w:shd w:val="clear" w:color="auto" w:fill="FFFFFF"/>
        </w:rPr>
        <w:t xml:space="preserve"> method each NBS laboratory chooses</w:t>
      </w:r>
      <w:r w:rsidR="00682C5D">
        <w:rPr>
          <w:rStyle w:val="normaltextrun"/>
          <w:color w:val="000000"/>
          <w:shd w:val="clear" w:color="auto" w:fill="FFFFFF"/>
        </w:rPr>
        <w:t xml:space="preserve"> and its staffing and instrument capacity to introduce new tests</w:t>
      </w:r>
      <w:r w:rsidR="000A06BE">
        <w:rPr>
          <w:rStyle w:val="normaltextrun"/>
          <w:color w:val="000000"/>
          <w:shd w:val="clear" w:color="auto" w:fill="FFFFFF"/>
        </w:rPr>
        <w:t xml:space="preserve">. Based on its analytical validity and </w:t>
      </w:r>
      <w:r w:rsidR="00F76B1C">
        <w:rPr>
          <w:rStyle w:val="normaltextrun"/>
          <w:color w:val="000000"/>
          <w:shd w:val="clear" w:color="auto" w:fill="FFFFFF"/>
        </w:rPr>
        <w:t xml:space="preserve">the </w:t>
      </w:r>
      <w:r w:rsidR="008A1EDA" w:rsidRPr="1E8241E6">
        <w:rPr>
          <w:rStyle w:val="normaltextrun"/>
          <w:color w:val="000000" w:themeColor="text1"/>
        </w:rPr>
        <w:t>updated</w:t>
      </w:r>
      <w:r w:rsidR="000A06BE">
        <w:rPr>
          <w:rStyle w:val="normaltextrun"/>
          <w:color w:val="000000"/>
          <w:shd w:val="clear" w:color="auto" w:fill="FFFFFF"/>
        </w:rPr>
        <w:t xml:space="preserve"> </w:t>
      </w:r>
      <w:r w:rsidR="00DD423A" w:rsidRPr="1E8241E6">
        <w:rPr>
          <w:rStyle w:val="normaltextrun"/>
          <w:color w:val="000000" w:themeColor="text1"/>
        </w:rPr>
        <w:t>estimate of</w:t>
      </w:r>
      <w:r w:rsidR="00DD423A" w:rsidRPr="00DB6A8E">
        <w:rPr>
          <w:rStyle w:val="normaltextrun"/>
          <w:color w:val="000000" w:themeColor="text1"/>
        </w:rPr>
        <w:t xml:space="preserve"> </w:t>
      </w:r>
      <w:r w:rsidR="000A06BE">
        <w:rPr>
          <w:rStyle w:val="normaltextrun"/>
          <w:color w:val="000000"/>
          <w:shd w:val="clear" w:color="auto" w:fill="FFFFFF"/>
        </w:rPr>
        <w:t xml:space="preserve">incidence, MSAC advised electrospray ionisation tandem mass spectrometry had acceptable cost-effectiveness in terms of cost per early diagnosis of SCD </w:t>
      </w:r>
      <w:r w:rsidR="00F76B1C">
        <w:rPr>
          <w:rStyle w:val="normaltextrun"/>
          <w:color w:val="000000"/>
          <w:shd w:val="clear" w:color="auto" w:fill="FFFFFF"/>
        </w:rPr>
        <w:t xml:space="preserve">at </w:t>
      </w:r>
      <w:r w:rsidR="00682C5D">
        <w:rPr>
          <w:rStyle w:val="normaltextrun"/>
          <w:color w:val="000000"/>
          <w:shd w:val="clear" w:color="auto" w:fill="FFFFFF"/>
        </w:rPr>
        <w:t>a</w:t>
      </w:r>
      <w:r w:rsidR="001A39A2" w:rsidRPr="00DB6A8E">
        <w:rPr>
          <w:rStyle w:val="normaltextrun"/>
          <w:color w:val="000000"/>
          <w:shd w:val="clear" w:color="auto" w:fill="FFFFFF"/>
        </w:rPr>
        <w:t xml:space="preserve"> </w:t>
      </w:r>
      <w:r w:rsidR="000A06BE" w:rsidRPr="00DB6A8E">
        <w:rPr>
          <w:rStyle w:val="normaltextrun"/>
          <w:color w:val="000000" w:themeColor="text1"/>
        </w:rPr>
        <w:t>first-tier</w:t>
      </w:r>
      <w:r w:rsidR="00D164DF">
        <w:rPr>
          <w:rStyle w:val="normaltextrun"/>
          <w:color w:val="000000" w:themeColor="text1"/>
        </w:rPr>
        <w:t xml:space="preserve"> </w:t>
      </w:r>
      <w:r w:rsidR="001A39A2" w:rsidRPr="1E8241E6">
        <w:rPr>
          <w:rStyle w:val="normaltextrun"/>
          <w:color w:val="000000" w:themeColor="text1"/>
        </w:rPr>
        <w:t>screening</w:t>
      </w:r>
      <w:r w:rsidR="000A06BE">
        <w:rPr>
          <w:rStyle w:val="normaltextrun"/>
          <w:color w:val="000000"/>
          <w:shd w:val="clear" w:color="auto" w:fill="FFFFFF"/>
        </w:rPr>
        <w:t xml:space="preserve"> cost </w:t>
      </w:r>
      <w:r w:rsidR="002D0554">
        <w:rPr>
          <w:rStyle w:val="normaltextrun"/>
          <w:color w:val="000000" w:themeColor="text1"/>
        </w:rPr>
        <w:t>to</w:t>
      </w:r>
      <w:r w:rsidR="001A39A2" w:rsidRPr="1E8241E6">
        <w:rPr>
          <w:rStyle w:val="normaltextrun"/>
          <w:color w:val="000000" w:themeColor="text1"/>
        </w:rPr>
        <w:t xml:space="preserve"> </w:t>
      </w:r>
      <w:r w:rsidR="000A06BE">
        <w:rPr>
          <w:rStyle w:val="normaltextrun"/>
          <w:color w:val="000000"/>
          <w:shd w:val="clear" w:color="auto" w:fill="FFFFFF"/>
        </w:rPr>
        <w:t xml:space="preserve">$8.23 per test. The financial cost of NBS for SCD was </w:t>
      </w:r>
      <w:r w:rsidR="00CE2E74">
        <w:rPr>
          <w:rStyle w:val="normaltextrun"/>
          <w:color w:val="000000"/>
          <w:shd w:val="clear" w:color="auto" w:fill="FFFFFF"/>
        </w:rPr>
        <w:t xml:space="preserve">likely </w:t>
      </w:r>
      <w:proofErr w:type="gramStart"/>
      <w:r w:rsidR="000A06BE">
        <w:rPr>
          <w:rStyle w:val="normaltextrun"/>
          <w:color w:val="000000"/>
          <w:shd w:val="clear" w:color="auto" w:fill="FFFFFF"/>
        </w:rPr>
        <w:t>reasonable</w:t>
      </w:r>
      <w:r w:rsidR="00F76B1C">
        <w:rPr>
          <w:rStyle w:val="normaltextrun"/>
          <w:color w:val="000000"/>
          <w:shd w:val="clear" w:color="auto" w:fill="FFFFFF"/>
        </w:rPr>
        <w:t>,</w:t>
      </w:r>
      <w:r w:rsidR="000A06BE" w:rsidRPr="00DB6A8E">
        <w:rPr>
          <w:rStyle w:val="normaltextrun"/>
          <w:color w:val="000000" w:themeColor="text1"/>
        </w:rPr>
        <w:t xml:space="preserve"> but</w:t>
      </w:r>
      <w:proofErr w:type="gramEnd"/>
      <w:r w:rsidR="000A06BE" w:rsidRPr="00DB6A8E">
        <w:rPr>
          <w:rStyle w:val="normaltextrun"/>
          <w:color w:val="000000" w:themeColor="text1"/>
        </w:rPr>
        <w:t xml:space="preserve"> was also uncertain as it depended on the cost of first-tier screening</w:t>
      </w:r>
      <w:r w:rsidR="000A06BE">
        <w:rPr>
          <w:rStyle w:val="normaltextrun"/>
          <w:color w:val="000000"/>
          <w:shd w:val="clear" w:color="auto" w:fill="FFFFFF"/>
        </w:rPr>
        <w:t>.</w:t>
      </w:r>
      <w:r w:rsidR="000A06BE">
        <w:rPr>
          <w:rStyle w:val="eop"/>
          <w:shd w:val="clear" w:color="auto" w:fill="FFFFFF"/>
        </w:rPr>
        <w:t> </w:t>
      </w:r>
      <w:r w:rsidR="00D536EA">
        <w:rPr>
          <w:rStyle w:val="eop"/>
          <w:shd w:val="clear" w:color="auto" w:fill="FFFFFF"/>
        </w:rPr>
        <w:t>Implementation costs for program changes were not part of this application.</w:t>
      </w:r>
      <w:r w:rsidR="00966A31">
        <w:rPr>
          <w:rStyle w:val="eop"/>
          <w:shd w:val="clear" w:color="auto" w:fill="FFFFFF"/>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521918" w:rsidRPr="00AF46D8" w14:paraId="3F68D5F2" w14:textId="77777777" w:rsidTr="5638CAA4">
        <w:trPr>
          <w:tblHeader/>
        </w:trPr>
        <w:tc>
          <w:tcPr>
            <w:tcW w:w="9016" w:type="dxa"/>
          </w:tcPr>
          <w:p w14:paraId="1B7A5703" w14:textId="77777777" w:rsidR="00521918" w:rsidRPr="00521918" w:rsidRDefault="00521918" w:rsidP="00750F8F">
            <w:pPr>
              <w:pStyle w:val="Heading3"/>
              <w:spacing w:before="120"/>
              <w:ind w:left="720" w:hanging="720"/>
              <w:rPr>
                <w:iCs/>
                <w:sz w:val="24"/>
              </w:rPr>
            </w:pPr>
            <w:r w:rsidRPr="00521918">
              <w:rPr>
                <w:sz w:val="24"/>
              </w:rPr>
              <w:lastRenderedPageBreak/>
              <w:t>Consumer summary</w:t>
            </w:r>
          </w:p>
        </w:tc>
      </w:tr>
      <w:tr w:rsidR="00521918" w:rsidRPr="00AF46D8" w14:paraId="28408172" w14:textId="77777777" w:rsidTr="5638CAA4">
        <w:tc>
          <w:tcPr>
            <w:tcW w:w="9016" w:type="dxa"/>
          </w:tcPr>
          <w:p w14:paraId="74DFB03A" w14:textId="58EA1519" w:rsidR="001F1B9F" w:rsidRDefault="001F1B9F" w:rsidP="001F1B9F">
            <w:r w:rsidRPr="00AF46D8">
              <w:t xml:space="preserve">This </w:t>
            </w:r>
            <w:r w:rsidR="00CA3B2F">
              <w:t>wa</w:t>
            </w:r>
            <w:r w:rsidRPr="00AF46D8">
              <w:t xml:space="preserve">s an application from </w:t>
            </w:r>
            <w:r>
              <w:t xml:space="preserve">Australian Sickle Cell Advocacy Inc requesting to add </w:t>
            </w:r>
            <w:r w:rsidR="00936B4F">
              <w:t>sickle cell disease</w:t>
            </w:r>
            <w:r>
              <w:t xml:space="preserve"> to newborn bloodspot screening (NBS) programs.</w:t>
            </w:r>
          </w:p>
          <w:p w14:paraId="4478A060" w14:textId="190CE1A8" w:rsidR="001F1B9F" w:rsidRDefault="001F1B9F" w:rsidP="001F1B9F">
            <w:r>
              <w:t>In Australia, states and territories offer bloodspot screening for all newborn babies. The screening is done by taking a heel prick blood sample from the baby in the first 48 to 72 hours of life</w:t>
            </w:r>
            <w:r w:rsidR="00682C5D">
              <w:t xml:space="preserve">. </w:t>
            </w:r>
            <w:r>
              <w:t xml:space="preserve">The blood sample is then tested for certain rare </w:t>
            </w:r>
            <w:r w:rsidR="00682C5D">
              <w:t xml:space="preserve">but </w:t>
            </w:r>
            <w:r>
              <w:t>serious genetic conditions and metabolic disorders. Detecting these conditions early allows for earlier monitoring and treatment, and therefore can lead to better health outcomes for the baby. If the condition is genetic, diagnosis can</w:t>
            </w:r>
            <w:r w:rsidR="57E7333D">
              <w:t xml:space="preserve"> </w:t>
            </w:r>
            <w:r w:rsidR="23BD387D">
              <w:t>also</w:t>
            </w:r>
            <w:r>
              <w:t xml:space="preserve"> help the parents to make </w:t>
            </w:r>
            <w:r w:rsidR="00682C5D">
              <w:t>choices</w:t>
            </w:r>
            <w:r>
              <w:t xml:space="preserve"> for any future pregnancies.</w:t>
            </w:r>
          </w:p>
          <w:p w14:paraId="62AD4DBA" w14:textId="76EF4125" w:rsidR="001F1B9F" w:rsidRDefault="000357C9" w:rsidP="001F1B9F">
            <w:r>
              <w:t xml:space="preserve">Sickle cell disease </w:t>
            </w:r>
            <w:r w:rsidR="001F1B9F">
              <w:t>is an inherited disorder of red blood cells. Red blood cells contain a protein called haemoglobin, which carries oxygen throughout the body. Healthy red blood cells are flexible and shaped like a doughnut</w:t>
            </w:r>
            <w:r w:rsidR="00682C5D">
              <w:t>,</w:t>
            </w:r>
            <w:r w:rsidR="001F1B9F">
              <w:t xml:space="preserve"> with a dent in the middle. </w:t>
            </w:r>
            <w:r>
              <w:t xml:space="preserve">Sickle cell disease </w:t>
            </w:r>
            <w:r w:rsidR="001F1B9F">
              <w:t xml:space="preserve">is a genetic condition where a person has abnormal haemoglobin that causes the red blood cells to become </w:t>
            </w:r>
            <w:proofErr w:type="gramStart"/>
            <w:r w:rsidR="001F1B9F">
              <w:t>rigid</w:t>
            </w:r>
            <w:proofErr w:type="gramEnd"/>
            <w:r w:rsidR="001F1B9F">
              <w:t xml:space="preserve"> and sickle shaped. This makes it difficult for the red blood cells to move easily through </w:t>
            </w:r>
            <w:r w:rsidR="00682C5D">
              <w:t xml:space="preserve">small </w:t>
            </w:r>
            <w:r w:rsidR="001F1B9F">
              <w:t xml:space="preserve">blood vessels, </w:t>
            </w:r>
            <w:r w:rsidR="00682C5D">
              <w:t>which can become blocked</w:t>
            </w:r>
            <w:r w:rsidR="001F1B9F">
              <w:t xml:space="preserve">. People with </w:t>
            </w:r>
            <w:r>
              <w:t xml:space="preserve">sickle cell disease </w:t>
            </w:r>
            <w:r w:rsidR="00682C5D">
              <w:t xml:space="preserve">often </w:t>
            </w:r>
            <w:r w:rsidR="00AA2548">
              <w:t>require blood transfusions and</w:t>
            </w:r>
            <w:r w:rsidR="001F1B9F" w:rsidDel="000357C9">
              <w:t xml:space="preserve"> </w:t>
            </w:r>
            <w:r w:rsidR="001F1B9F">
              <w:t xml:space="preserve">can experience episodes of severe pain, organ damage and increased infections. In severe cases, people can die from having </w:t>
            </w:r>
            <w:r>
              <w:t>sickle cell disease</w:t>
            </w:r>
            <w:r w:rsidR="001F1B9F">
              <w:t>.</w:t>
            </w:r>
          </w:p>
          <w:p w14:paraId="45D401A7" w14:textId="05B0634B" w:rsidR="00D72EE1" w:rsidRDefault="59B58EB1" w:rsidP="001F1B9F">
            <w:r>
              <w:t xml:space="preserve">MSAC previously considered this application in July 2023. The evidence </w:t>
            </w:r>
            <w:r w:rsidR="2F1243AC">
              <w:t xml:space="preserve">from the scientific literature that was presented to MSAC in July showed that NBS would allow an earlier </w:t>
            </w:r>
            <w:proofErr w:type="gramStart"/>
            <w:r w:rsidR="2F1243AC">
              <w:t>diagnosis, but</w:t>
            </w:r>
            <w:proofErr w:type="gramEnd"/>
            <w:r w:rsidR="2F1243AC">
              <w:t xml:space="preserve"> did not show that </w:t>
            </w:r>
            <w:r w:rsidR="01785318">
              <w:t xml:space="preserve">an earlier diagnosis would change </w:t>
            </w:r>
            <w:r w:rsidR="007A0C5F" w:rsidRPr="007A0C5F">
              <w:t>health</w:t>
            </w:r>
            <w:r w:rsidR="00682C5D">
              <w:t xml:space="preserve"> </w:t>
            </w:r>
            <w:r w:rsidR="00803AB7">
              <w:t>care provided to</w:t>
            </w:r>
            <w:r w:rsidR="01785318">
              <w:t xml:space="preserve"> those babies or improve their health</w:t>
            </w:r>
            <w:r w:rsidR="00682C5D">
              <w:t>,</w:t>
            </w:r>
            <w:r w:rsidR="01785318">
              <w:t xml:space="preserve"> in the Australian context. The value for money and overall cost were also uncertain. This time, a new assessment was </w:t>
            </w:r>
            <w:r w:rsidR="6B25C21B">
              <w:t xml:space="preserve">presented to MSAC that used Australian registry and </w:t>
            </w:r>
            <w:r w:rsidR="00012D0C">
              <w:t xml:space="preserve">unpublished </w:t>
            </w:r>
            <w:r w:rsidR="00932549">
              <w:t>data</w:t>
            </w:r>
            <w:r w:rsidR="19907021">
              <w:t xml:space="preserve">, and a </w:t>
            </w:r>
            <w:r w:rsidR="2B6FFD9A">
              <w:t>less costly</w:t>
            </w:r>
            <w:r w:rsidR="19907021">
              <w:t xml:space="preserve"> </w:t>
            </w:r>
            <w:r w:rsidR="2B6FFD9A">
              <w:t xml:space="preserve">but equally effective </w:t>
            </w:r>
            <w:r w:rsidR="19907021">
              <w:t>screening method</w:t>
            </w:r>
            <w:r w:rsidR="6B25C21B">
              <w:t>.</w:t>
            </w:r>
            <w:r w:rsidR="33E55002">
              <w:t xml:space="preserve"> The </w:t>
            </w:r>
            <w:r w:rsidR="00682C5D">
              <w:t xml:space="preserve">July </w:t>
            </w:r>
            <w:r w:rsidR="00803AB7">
              <w:t xml:space="preserve">application </w:t>
            </w:r>
            <w:r w:rsidR="00682C5D">
              <w:t>proposed testing for</w:t>
            </w:r>
            <w:r w:rsidR="669B2193">
              <w:t xml:space="preserve"> </w:t>
            </w:r>
            <w:r w:rsidR="402C1BCA">
              <w:t xml:space="preserve">both </w:t>
            </w:r>
            <w:r w:rsidR="669B2193">
              <w:t>sickle cell disease and beta-thalassaemia</w:t>
            </w:r>
            <w:r w:rsidR="402C1BCA">
              <w:t xml:space="preserve"> (another inherited blood disorder)</w:t>
            </w:r>
            <w:r w:rsidR="669B2193">
              <w:t xml:space="preserve"> </w:t>
            </w:r>
            <w:r w:rsidR="00682C5D">
              <w:t>by</w:t>
            </w:r>
            <w:r w:rsidR="00803AB7">
              <w:t xml:space="preserve"> </w:t>
            </w:r>
            <w:r w:rsidR="669B2193">
              <w:t xml:space="preserve">NBS, but the </w:t>
            </w:r>
            <w:r w:rsidR="33E55002">
              <w:t xml:space="preserve">new </w:t>
            </w:r>
            <w:r w:rsidR="00682C5D">
              <w:t xml:space="preserve">application </w:t>
            </w:r>
            <w:r w:rsidR="402C1BCA">
              <w:t xml:space="preserve">looked at </w:t>
            </w:r>
            <w:r w:rsidR="33E55002">
              <w:t xml:space="preserve">sickle cell disease </w:t>
            </w:r>
            <w:r w:rsidR="00803AB7">
              <w:t>screening</w:t>
            </w:r>
            <w:r w:rsidR="00682C5D">
              <w:t xml:space="preserve"> alone </w:t>
            </w:r>
            <w:r w:rsidR="33E55002">
              <w:t xml:space="preserve">because MSAC advised in July that </w:t>
            </w:r>
            <w:r w:rsidR="00682C5D">
              <w:t xml:space="preserve">most </w:t>
            </w:r>
            <w:r w:rsidR="248BB9A6">
              <w:t>NBS for sickle cell disease can also detect beta-thalassemia.</w:t>
            </w:r>
            <w:r w:rsidR="5EAD9C16">
              <w:t xml:space="preserve"> </w:t>
            </w:r>
          </w:p>
          <w:p w14:paraId="2D8BC405" w14:textId="2EA18678" w:rsidR="001F1B9F" w:rsidRDefault="00F85274" w:rsidP="001F1B9F">
            <w:r>
              <w:t>A</w:t>
            </w:r>
            <w:r w:rsidR="001F1B9F">
              <w:t xml:space="preserve">dding </w:t>
            </w:r>
            <w:r w:rsidR="000357C9">
              <w:t xml:space="preserve">sickle cell disease </w:t>
            </w:r>
            <w:r w:rsidR="001F1B9F">
              <w:t xml:space="preserve">to NBS would result in </w:t>
            </w:r>
            <w:r w:rsidR="00340CF5">
              <w:t>more early diagnoses</w:t>
            </w:r>
            <w:r w:rsidR="00B67617">
              <w:t xml:space="preserve"> before signs and symptoms</w:t>
            </w:r>
            <w:r w:rsidR="006B2118">
              <w:t xml:space="preserve"> start to emerge</w:t>
            </w:r>
            <w:r w:rsidR="00340CF5">
              <w:t>, compared to the current situation where less than half of all people with sickle cell disease are diagnosed before symptoms appear</w:t>
            </w:r>
            <w:r w:rsidR="001F1B9F">
              <w:t>.</w:t>
            </w:r>
            <w:r w:rsidR="00AA7022">
              <w:t xml:space="preserve"> </w:t>
            </w:r>
            <w:r w:rsidR="001F1B9F">
              <w:t xml:space="preserve">The </w:t>
            </w:r>
            <w:r>
              <w:t xml:space="preserve">new </w:t>
            </w:r>
            <w:r w:rsidR="001F1B9F">
              <w:t xml:space="preserve">evidence showed that diagnosing </w:t>
            </w:r>
            <w:r w:rsidR="000357C9">
              <w:t xml:space="preserve">sickle cell disease </w:t>
            </w:r>
            <w:r w:rsidR="001F1B9F">
              <w:t xml:space="preserve">before symptoms appear </w:t>
            </w:r>
            <w:r w:rsidR="00230E86">
              <w:t xml:space="preserve">did </w:t>
            </w:r>
            <w:r w:rsidR="007D46A8">
              <w:t xml:space="preserve">change how </w:t>
            </w:r>
            <w:r w:rsidR="00F86C63">
              <w:t>patients</w:t>
            </w:r>
            <w:r w:rsidR="007D46A8">
              <w:t xml:space="preserve"> were managed in </w:t>
            </w:r>
            <w:proofErr w:type="gramStart"/>
            <w:r w:rsidR="007D46A8" w:rsidRPr="00F46816">
              <w:t xml:space="preserve">Australia, </w:t>
            </w:r>
            <w:r w:rsidR="0050466A">
              <w:t>and</w:t>
            </w:r>
            <w:proofErr w:type="gramEnd"/>
            <w:r w:rsidR="0050466A" w:rsidRPr="00F46816">
              <w:t xml:space="preserve"> </w:t>
            </w:r>
            <w:r w:rsidR="00073E96" w:rsidRPr="00F46816">
              <w:t xml:space="preserve">made it less likely </w:t>
            </w:r>
            <w:r w:rsidR="00F86C63" w:rsidRPr="00F46816">
              <w:t xml:space="preserve">they </w:t>
            </w:r>
            <w:r w:rsidR="00073E96" w:rsidRPr="00F46816">
              <w:t xml:space="preserve">would need to </w:t>
            </w:r>
            <w:r w:rsidR="001F1B9F" w:rsidRPr="00F46816">
              <w:t xml:space="preserve">go to </w:t>
            </w:r>
            <w:r w:rsidR="00073E96" w:rsidRPr="00F46816">
              <w:t xml:space="preserve">the </w:t>
            </w:r>
            <w:r w:rsidR="001F1B9F" w:rsidRPr="00F46816">
              <w:t xml:space="preserve">emergency department </w:t>
            </w:r>
            <w:r w:rsidR="0080670F">
              <w:t>due to</w:t>
            </w:r>
            <w:r w:rsidR="00F91CF6">
              <w:t xml:space="preserve"> </w:t>
            </w:r>
            <w:r w:rsidR="00F46816">
              <w:t xml:space="preserve">sickle cell disease, </w:t>
            </w:r>
            <w:r w:rsidR="001F1B9F" w:rsidRPr="00F46816">
              <w:t>or be admitted to hospital</w:t>
            </w:r>
            <w:r w:rsidR="007D46A8" w:rsidRPr="00F46816">
              <w:t>.</w:t>
            </w:r>
            <w:r w:rsidR="007D46A8">
              <w:t xml:space="preserve"> The new evidence also showed that </w:t>
            </w:r>
            <w:r w:rsidR="00C70955">
              <w:t xml:space="preserve">early diagnosis of sickle cell </w:t>
            </w:r>
            <w:r w:rsidR="00C70955" w:rsidRPr="00BF3EF1">
              <w:t>disease</w:t>
            </w:r>
            <w:r w:rsidR="001F1B9F" w:rsidRPr="00BF3EF1">
              <w:t xml:space="preserve"> reduced </w:t>
            </w:r>
            <w:r w:rsidR="00C70955" w:rsidRPr="00BF3EF1">
              <w:t xml:space="preserve">the </w:t>
            </w:r>
            <w:r w:rsidR="00BF3EF1">
              <w:t>proportion</w:t>
            </w:r>
            <w:r w:rsidR="00C70955" w:rsidRPr="00BF3EF1">
              <w:t xml:space="preserve"> </w:t>
            </w:r>
            <w:r w:rsidR="001F1B9F" w:rsidRPr="00BF3EF1">
              <w:t>of</w:t>
            </w:r>
            <w:r w:rsidR="00C70955" w:rsidRPr="00BF3EF1">
              <w:t xml:space="preserve"> </w:t>
            </w:r>
            <w:r w:rsidR="00BF3EF1">
              <w:t>patients</w:t>
            </w:r>
            <w:r w:rsidR="00C70955" w:rsidRPr="00BF3EF1">
              <w:t xml:space="preserve"> who get</w:t>
            </w:r>
            <w:r w:rsidR="001F1B9F" w:rsidRPr="00BF3EF1">
              <w:t xml:space="preserve"> sepsis</w:t>
            </w:r>
            <w:r w:rsidR="001F1B9F" w:rsidRPr="00BF3EF1">
              <w:rPr>
                <w:rFonts w:ascii="Arial" w:hAnsi="Arial" w:cs="Arial"/>
              </w:rPr>
              <w:t>​</w:t>
            </w:r>
            <w:r w:rsidR="001F1B9F" w:rsidRPr="00BF3EF1">
              <w:t xml:space="preserve"> (a</w:t>
            </w:r>
            <w:r w:rsidR="001F1B9F" w:rsidRPr="00454AFB">
              <w:t xml:space="preserve"> </w:t>
            </w:r>
            <w:r w:rsidR="00682C5D">
              <w:t>serious</w:t>
            </w:r>
            <w:r w:rsidR="00682C5D" w:rsidRPr="00454AFB">
              <w:t xml:space="preserve"> </w:t>
            </w:r>
            <w:r w:rsidR="001F1B9F" w:rsidRPr="00454AFB">
              <w:t xml:space="preserve">life-threatening </w:t>
            </w:r>
            <w:r w:rsidR="00BA7DB4">
              <w:t xml:space="preserve">condition </w:t>
            </w:r>
            <w:r w:rsidR="00293A2F">
              <w:t>caused by</w:t>
            </w:r>
            <w:r w:rsidR="00970B0B">
              <w:t xml:space="preserve"> </w:t>
            </w:r>
            <w:r w:rsidR="0069256E">
              <w:t>the body’s extreme response to an infection</w:t>
            </w:r>
            <w:r w:rsidR="00D01C19">
              <w:t>,</w:t>
            </w:r>
            <w:r w:rsidR="0069256E">
              <w:t xml:space="preserve"> </w:t>
            </w:r>
            <w:r w:rsidR="006B44EA">
              <w:t>which damages its own organs and tissue</w:t>
            </w:r>
            <w:r w:rsidR="001F1B9F" w:rsidRPr="00454AFB">
              <w:t xml:space="preserve">). </w:t>
            </w:r>
            <w:r w:rsidR="00BF3EF1">
              <w:t xml:space="preserve">Patients diagnosed </w:t>
            </w:r>
            <w:r w:rsidR="00682C5D">
              <w:t>before they get sick</w:t>
            </w:r>
            <w:r w:rsidR="00BF3EF1">
              <w:t xml:space="preserve"> were also more likely to take preventative </w:t>
            </w:r>
            <w:proofErr w:type="gramStart"/>
            <w:r w:rsidR="00BF3EF1">
              <w:t>medicine, and</w:t>
            </w:r>
            <w:proofErr w:type="gramEnd"/>
            <w:r w:rsidR="00BF3EF1">
              <w:t xml:space="preserve"> </w:t>
            </w:r>
            <w:r w:rsidR="00682C5D">
              <w:t>be</w:t>
            </w:r>
            <w:r w:rsidR="00BF3EF1">
              <w:t xml:space="preserve"> check</w:t>
            </w:r>
            <w:r w:rsidR="00682C5D">
              <w:t>ed</w:t>
            </w:r>
            <w:r w:rsidR="00BF3EF1">
              <w:t xml:space="preserve"> for risk of stroke</w:t>
            </w:r>
            <w:r w:rsidR="002B3EF5">
              <w:t xml:space="preserve"> as part of routine monitoring for SCD</w:t>
            </w:r>
            <w:r w:rsidR="00BF3EF1">
              <w:t xml:space="preserve">. </w:t>
            </w:r>
            <w:r w:rsidR="001F1B9F" w:rsidRPr="00454AFB">
              <w:t xml:space="preserve">MSAC accepted that even though the evidence had </w:t>
            </w:r>
            <w:r w:rsidR="00196077">
              <w:t>limitations</w:t>
            </w:r>
            <w:r w:rsidR="001F1B9F" w:rsidRPr="00454AFB">
              <w:t xml:space="preserve">, </w:t>
            </w:r>
            <w:proofErr w:type="gramStart"/>
            <w:r w:rsidR="00196077">
              <w:t>overall</w:t>
            </w:r>
            <w:proofErr w:type="gramEnd"/>
            <w:r w:rsidR="00196077">
              <w:t xml:space="preserve"> </w:t>
            </w:r>
            <w:r w:rsidR="001F1B9F" w:rsidRPr="00454AFB">
              <w:t xml:space="preserve">the addition of </w:t>
            </w:r>
            <w:r w:rsidR="00F667DF">
              <w:t xml:space="preserve">sickle cell disease </w:t>
            </w:r>
            <w:r w:rsidR="001F1B9F" w:rsidRPr="00454AFB">
              <w:t xml:space="preserve">to NBS would enable </w:t>
            </w:r>
            <w:r w:rsidR="006B2118">
              <w:t>people</w:t>
            </w:r>
            <w:r w:rsidR="001F1B9F" w:rsidRPr="00454AFB">
              <w:t xml:space="preserve"> who have this condition to be detected</w:t>
            </w:r>
            <w:r w:rsidR="001F1B9F">
              <w:t xml:space="preserve"> </w:t>
            </w:r>
            <w:r w:rsidR="00196077">
              <w:t>earlier</w:t>
            </w:r>
            <w:r w:rsidR="0088715F">
              <w:t>, which would change the treatments they receive and improve their health outcomes</w:t>
            </w:r>
            <w:r w:rsidR="001F1B9F" w:rsidRPr="00454AFB">
              <w:t>.</w:t>
            </w:r>
          </w:p>
          <w:p w14:paraId="0E946062" w14:textId="2F32501C" w:rsidR="007436E7" w:rsidRDefault="003B0AD7" w:rsidP="001F1B9F">
            <w:r>
              <w:t xml:space="preserve">In terms of safety, </w:t>
            </w:r>
            <w:r w:rsidR="00C9462E">
              <w:t xml:space="preserve">overall </w:t>
            </w:r>
            <w:r w:rsidR="00CC66F3">
              <w:t>MSAC considered that adding sickle cell disease</w:t>
            </w:r>
            <w:r>
              <w:t xml:space="preserve"> to NBS</w:t>
            </w:r>
            <w:r w:rsidR="00CC66F3">
              <w:t xml:space="preserve"> </w:t>
            </w:r>
            <w:r>
              <w:t xml:space="preserve">was </w:t>
            </w:r>
            <w:r w:rsidR="00C9462E">
              <w:t xml:space="preserve">acceptably </w:t>
            </w:r>
            <w:r>
              <w:t xml:space="preserve">safe. The main potential harms were </w:t>
            </w:r>
            <w:r w:rsidR="00200E21">
              <w:t xml:space="preserve">likely to be side effects of treatments for sickle cell disease, and harms from false positive or false negative screening results although these </w:t>
            </w:r>
            <w:r w:rsidR="00C9462E">
              <w:t>were</w:t>
            </w:r>
            <w:r w:rsidR="00200E21">
              <w:t xml:space="preserve"> unlikely.</w:t>
            </w:r>
            <w:r w:rsidR="005A2987">
              <w:t xml:space="preserve"> MSAC considered the potential harms from SCD treatment to be less serious than from the effects of the disease itself.</w:t>
            </w:r>
          </w:p>
          <w:p w14:paraId="2993D5A9" w14:textId="0874E394" w:rsidR="00841E3E" w:rsidRDefault="00D536EA" w:rsidP="001F1B9F">
            <w:r>
              <w:t>When</w:t>
            </w:r>
            <w:r w:rsidR="00841E3E">
              <w:t xml:space="preserve"> it </w:t>
            </w:r>
            <w:r>
              <w:t>first</w:t>
            </w:r>
            <w:r w:rsidR="00841E3E">
              <w:t xml:space="preserve"> considered this application, MSAC was concerned that the incidence of sickle cell disease in Australia was </w:t>
            </w:r>
            <w:r w:rsidR="00753122">
              <w:t xml:space="preserve">highly uncertain, and this also made the value-for-money of </w:t>
            </w:r>
            <w:r w:rsidR="00523C6C">
              <w:t xml:space="preserve">screening </w:t>
            </w:r>
            <w:r w:rsidR="006D778B">
              <w:t>for it</w:t>
            </w:r>
            <w:r w:rsidR="00753122">
              <w:t xml:space="preserve"> uncertain. This second assessment </w:t>
            </w:r>
            <w:r w:rsidR="00523C6C">
              <w:t>calculated</w:t>
            </w:r>
            <w:r w:rsidR="00753122">
              <w:t xml:space="preserve"> a new estimate of incidence</w:t>
            </w:r>
            <w:r w:rsidR="00763DC5">
              <w:t xml:space="preserve"> </w:t>
            </w:r>
            <w:r w:rsidR="003C3004">
              <w:t xml:space="preserve">incorporating </w:t>
            </w:r>
            <w:r w:rsidR="007F486C">
              <w:t>ancestry estimates</w:t>
            </w:r>
            <w:r w:rsidR="008719F1">
              <w:t>, which was higher</w:t>
            </w:r>
            <w:r w:rsidR="005A2987">
              <w:t xml:space="preserve"> than before</w:t>
            </w:r>
            <w:r w:rsidR="008719F1">
              <w:t xml:space="preserve">, and MSAC advised </w:t>
            </w:r>
            <w:r w:rsidR="0090479C">
              <w:t xml:space="preserve">this estimate </w:t>
            </w:r>
            <w:r w:rsidR="008719F1">
              <w:t>was more reasonable.</w:t>
            </w:r>
          </w:p>
          <w:p w14:paraId="2CCF1269" w14:textId="0EDC334A" w:rsidR="000615B2" w:rsidRDefault="000615B2" w:rsidP="001F1B9F">
            <w:r>
              <w:t xml:space="preserve">Another concern MSAC had </w:t>
            </w:r>
            <w:r w:rsidR="00092034">
              <w:t>when it considered</w:t>
            </w:r>
            <w:r>
              <w:t xml:space="preserve"> this application </w:t>
            </w:r>
            <w:r w:rsidR="00092034">
              <w:t xml:space="preserve">in July </w:t>
            </w:r>
            <w:r>
              <w:t>was that the</w:t>
            </w:r>
            <w:r w:rsidR="00EF08C3">
              <w:t xml:space="preserve"> </w:t>
            </w:r>
            <w:r w:rsidR="002510AE">
              <w:t xml:space="preserve">cost of the </w:t>
            </w:r>
            <w:r w:rsidR="00EF08C3">
              <w:t xml:space="preserve">main method proposed for screening </w:t>
            </w:r>
            <w:r w:rsidR="000F7AB8">
              <w:t xml:space="preserve">may </w:t>
            </w:r>
            <w:r w:rsidR="0074183B">
              <w:t xml:space="preserve">have been </w:t>
            </w:r>
            <w:r w:rsidR="000F7AB8">
              <w:t>overestimated</w:t>
            </w:r>
            <w:r w:rsidR="006D20D4">
              <w:t>. There are a range of different methods that c</w:t>
            </w:r>
            <w:r w:rsidR="00FA18A0">
              <w:t>an</w:t>
            </w:r>
            <w:r w:rsidR="006D20D4">
              <w:t xml:space="preserve"> be used in screening for sickle cell disease, and </w:t>
            </w:r>
            <w:r w:rsidR="00EC4CBA">
              <w:t xml:space="preserve">it is up to each NBS laboratory to choose which method they use. This second assessment </w:t>
            </w:r>
            <w:r w:rsidR="00D15FB7">
              <w:t xml:space="preserve">used a different main method </w:t>
            </w:r>
            <w:r w:rsidR="00C157A7">
              <w:t>and tested a range of potential costs</w:t>
            </w:r>
            <w:r w:rsidR="006543D5">
              <w:t xml:space="preserve"> for it,</w:t>
            </w:r>
            <w:r w:rsidR="00C157A7">
              <w:t xml:space="preserve"> </w:t>
            </w:r>
            <w:r w:rsidR="00F40CA9">
              <w:t>because</w:t>
            </w:r>
            <w:r w:rsidR="00C157A7">
              <w:t xml:space="preserve"> the </w:t>
            </w:r>
            <w:r w:rsidR="00D15FB7">
              <w:t>exact cost would depend on</w:t>
            </w:r>
            <w:r w:rsidR="00763B32">
              <w:t xml:space="preserve"> which method the laboratory </w:t>
            </w:r>
            <w:r w:rsidR="0050466A">
              <w:t>chooses</w:t>
            </w:r>
            <w:r w:rsidR="7B01D48D">
              <w:t xml:space="preserve"> </w:t>
            </w:r>
            <w:r w:rsidR="00F40CA9">
              <w:t xml:space="preserve">and </w:t>
            </w:r>
            <w:r w:rsidR="00D15FB7">
              <w:t xml:space="preserve">how many newborns </w:t>
            </w:r>
            <w:r w:rsidR="00763B32">
              <w:t>it</w:t>
            </w:r>
            <w:r w:rsidR="00D15FB7">
              <w:t xml:space="preserve"> </w:t>
            </w:r>
            <w:r w:rsidR="001C60AC">
              <w:t xml:space="preserve">was </w:t>
            </w:r>
            <w:r w:rsidR="00253545">
              <w:t>screening</w:t>
            </w:r>
            <w:r w:rsidR="00C157A7">
              <w:t>.</w:t>
            </w:r>
            <w:r w:rsidR="001C60AC">
              <w:t xml:space="preserve"> </w:t>
            </w:r>
            <w:r w:rsidR="00D20F63">
              <w:t xml:space="preserve">While MSAC considered that </w:t>
            </w:r>
            <w:r w:rsidR="00231254">
              <w:t>t</w:t>
            </w:r>
            <w:r w:rsidR="00C157A7">
              <w:t xml:space="preserve">his made the cost </w:t>
            </w:r>
            <w:r w:rsidR="00F40CA9">
              <w:t xml:space="preserve">per screen uncertain, </w:t>
            </w:r>
            <w:r w:rsidR="006D778B">
              <w:t xml:space="preserve">at the re-calculated incidence </w:t>
            </w:r>
            <w:r w:rsidR="009E0744">
              <w:t>MSAC</w:t>
            </w:r>
            <w:r w:rsidR="00F40CA9">
              <w:t xml:space="preserve"> advised that </w:t>
            </w:r>
            <w:r w:rsidR="001C60AC">
              <w:t xml:space="preserve">NBS </w:t>
            </w:r>
            <w:r w:rsidR="006543D5">
              <w:t xml:space="preserve">for sickle cell disease </w:t>
            </w:r>
            <w:r w:rsidR="001C60AC">
              <w:t>was acceptable value for</w:t>
            </w:r>
            <w:r w:rsidR="0052049C">
              <w:t xml:space="preserve"> money</w:t>
            </w:r>
            <w:r w:rsidR="00843755">
              <w:t xml:space="preserve"> at a costing of up to</w:t>
            </w:r>
            <w:r w:rsidR="001C60AC">
              <w:t xml:space="preserve"> </w:t>
            </w:r>
            <w:r w:rsidR="00C96C6A">
              <w:t>$8.23</w:t>
            </w:r>
            <w:r w:rsidR="00F40CA9">
              <w:t xml:space="preserve">, </w:t>
            </w:r>
            <w:r w:rsidR="006543D5">
              <w:t xml:space="preserve">and </w:t>
            </w:r>
            <w:r w:rsidR="00F425A3">
              <w:t>t</w:t>
            </w:r>
            <w:r w:rsidR="00600174">
              <w:t xml:space="preserve">he </w:t>
            </w:r>
            <w:r w:rsidR="001C6850">
              <w:t xml:space="preserve">financial cost </w:t>
            </w:r>
            <w:r w:rsidR="006543D5">
              <w:t>was</w:t>
            </w:r>
            <w:r w:rsidR="002A71B6">
              <w:t xml:space="preserve"> likely</w:t>
            </w:r>
            <w:r w:rsidR="001C6850">
              <w:t xml:space="preserve"> reasonable.</w:t>
            </w:r>
            <w:r w:rsidR="00253545">
              <w:t xml:space="preserve"> </w:t>
            </w:r>
          </w:p>
          <w:p w14:paraId="60FC16FB" w14:textId="77777777" w:rsidR="00521918" w:rsidRPr="00521918" w:rsidRDefault="00521918" w:rsidP="001F1B9F">
            <w:pPr>
              <w:pStyle w:val="Heading3"/>
              <w:spacing w:before="240"/>
              <w:ind w:left="720" w:hanging="720"/>
              <w:rPr>
                <w:sz w:val="24"/>
              </w:rPr>
            </w:pPr>
            <w:r w:rsidRPr="00521918">
              <w:rPr>
                <w:sz w:val="24"/>
              </w:rPr>
              <w:t xml:space="preserve">MSAC’s advice to the </w:t>
            </w:r>
            <w:proofErr w:type="gramStart"/>
            <w:r w:rsidRPr="00521918">
              <w:rPr>
                <w:sz w:val="24"/>
              </w:rPr>
              <w:t>Commonwealth Minister</w:t>
            </w:r>
            <w:proofErr w:type="gramEnd"/>
            <w:r w:rsidRPr="00521918">
              <w:rPr>
                <w:sz w:val="24"/>
              </w:rPr>
              <w:t xml:space="preserve"> for Health and Aged Care</w:t>
            </w:r>
          </w:p>
          <w:p w14:paraId="420A8296" w14:textId="104D75FE" w:rsidR="00521918" w:rsidRPr="00AF46D8" w:rsidRDefault="00C0638C" w:rsidP="00C0638C">
            <w:pPr>
              <w:spacing w:after="120"/>
            </w:pPr>
            <w:r>
              <w:t xml:space="preserve">After considering the strength of the evidence in relation to comparative safety, clinical effectiveness, </w:t>
            </w:r>
            <w:proofErr w:type="gramStart"/>
            <w:r>
              <w:t>cost-effectiveness</w:t>
            </w:r>
            <w:proofErr w:type="gramEnd"/>
            <w:r>
              <w:t xml:space="preserve"> and total cost, MSAC supported adding sickle cell disease to NBS programs.</w:t>
            </w:r>
            <w:r w:rsidR="00DC2CDF">
              <w:t xml:space="preserve"> MSAC acknowledged that NBS for sickle cell disease </w:t>
            </w:r>
            <w:r w:rsidR="00FD476D">
              <w:t>can</w:t>
            </w:r>
            <w:r w:rsidR="00A5709C">
              <w:t xml:space="preserve"> </w:t>
            </w:r>
            <w:r w:rsidR="00DC2CDF">
              <w:t>also detect beta-thalassaemia and potentially other haemoglobinopathies.</w:t>
            </w:r>
          </w:p>
        </w:tc>
      </w:tr>
    </w:tbl>
    <w:p w14:paraId="5CB4E96B" w14:textId="77777777" w:rsidR="00521918" w:rsidRDefault="00521918" w:rsidP="00521918">
      <w:pPr>
        <w:pStyle w:val="Heading2"/>
        <w:numPr>
          <w:ilvl w:val="1"/>
          <w:numId w:val="0"/>
        </w:numPr>
      </w:pPr>
      <w:r>
        <w:t>3.</w:t>
      </w:r>
      <w:r>
        <w:tab/>
        <w:t>Summary of consideration and rationale for MSAC’s advice</w:t>
      </w:r>
    </w:p>
    <w:p w14:paraId="45F3F6BD" w14:textId="664B095E" w:rsidR="007D7E4B" w:rsidRDefault="007D29E1" w:rsidP="002F5C04">
      <w:r w:rsidRPr="00516D4E">
        <w:t>MSAC</w:t>
      </w:r>
      <w:r>
        <w:t xml:space="preserve"> noted that this resubmission from Australian Sickle Cell Advocacy Inc request</w:t>
      </w:r>
      <w:r w:rsidR="00B908D2">
        <w:t>ed</w:t>
      </w:r>
      <w:r>
        <w:t xml:space="preserve"> the addition of SCD to NBS programs. </w:t>
      </w:r>
      <w:r w:rsidRPr="002F5C04">
        <w:rPr>
          <w:rFonts w:ascii="Arial" w:hAnsi="Arial" w:cs="Arial"/>
        </w:rPr>
        <w:t>​</w:t>
      </w:r>
      <w:r w:rsidR="002F5C04">
        <w:t xml:space="preserve">MSAC </w:t>
      </w:r>
      <w:r w:rsidR="005E0C47">
        <w:t xml:space="preserve">recalled it had </w:t>
      </w:r>
      <w:r w:rsidR="00836E6B">
        <w:t xml:space="preserve">previously </w:t>
      </w:r>
      <w:r w:rsidR="002F5C04">
        <w:t>considered this application at its July 2023 meeting</w:t>
      </w:r>
      <w:r w:rsidR="00A52F5A">
        <w:rPr>
          <w:rStyle w:val="FootnoteReference"/>
        </w:rPr>
        <w:footnoteReference w:id="2"/>
      </w:r>
      <w:r w:rsidR="002F5C04">
        <w:t xml:space="preserve">, </w:t>
      </w:r>
      <w:r w:rsidR="00836E6B">
        <w:t xml:space="preserve">when it </w:t>
      </w:r>
      <w:r>
        <w:t xml:space="preserve">deferred </w:t>
      </w:r>
      <w:r w:rsidR="002F5C04">
        <w:t>its advice</w:t>
      </w:r>
      <w:r>
        <w:t xml:space="preserve"> </w:t>
      </w:r>
      <w:r w:rsidR="00274333">
        <w:t>regarding</w:t>
      </w:r>
      <w:r w:rsidR="00FC10E8">
        <w:t xml:space="preserve"> the addition of SCD and</w:t>
      </w:r>
      <w:r w:rsidR="00966A31">
        <w:br/>
      </w:r>
      <w:r w:rsidR="00FC10E8" w:rsidRPr="00C070F4">
        <w:t>β-thalassaemia</w:t>
      </w:r>
      <w:r w:rsidR="00FC10E8">
        <w:t xml:space="preserve"> </w:t>
      </w:r>
      <w:r>
        <w:t xml:space="preserve">pending additional evidence on incidence, change in management and </w:t>
      </w:r>
      <w:r w:rsidR="007B580D">
        <w:t>improvement in health outcomes from</w:t>
      </w:r>
      <w:r>
        <w:t xml:space="preserve"> that change, and </w:t>
      </w:r>
      <w:r w:rsidR="007B580D">
        <w:t xml:space="preserve">updated </w:t>
      </w:r>
      <w:r>
        <w:t>economic and financial analyses</w:t>
      </w:r>
      <w:r w:rsidRPr="00E34C96">
        <w:rPr>
          <w:rFonts w:ascii="Arial" w:hAnsi="Arial" w:cs="Arial"/>
        </w:rPr>
        <w:t>​</w:t>
      </w:r>
      <w:r w:rsidRPr="00E34C96">
        <w:t>.</w:t>
      </w:r>
      <w:r w:rsidR="001D2918">
        <w:t xml:space="preserve"> </w:t>
      </w:r>
    </w:p>
    <w:p w14:paraId="4D2F7AE8" w14:textId="57853875" w:rsidR="00836E6B" w:rsidRDefault="00836E6B" w:rsidP="00836E6B">
      <w:r>
        <w:t>While the fi</w:t>
      </w:r>
      <w:r w:rsidR="00983465">
        <w:t xml:space="preserve">rst health technology assessment of this application </w:t>
      </w:r>
      <w:r w:rsidR="007B580D">
        <w:t xml:space="preserve">(the 1737 Department-contracted assessment report (DCAR)) </w:t>
      </w:r>
      <w:r w:rsidR="00983465">
        <w:t>examined adding both SCD and beta</w:t>
      </w:r>
      <w:r w:rsidR="003B05A7">
        <w:t>-</w:t>
      </w:r>
      <w:r w:rsidR="00983465">
        <w:t>thalassaemia to NBS, i</w:t>
      </w:r>
      <w:r>
        <w:t xml:space="preserve">n July 2023 MSAC advised that </w:t>
      </w:r>
      <w:r w:rsidRPr="00553E61">
        <w:rPr>
          <w:i/>
          <w:iCs/>
        </w:rPr>
        <w:t>“information for its reconsideration could be provided for SCD alone because screening for SCD can also detect β-thalassaemia as a non-target condition”</w:t>
      </w:r>
      <w:r w:rsidRPr="00553E61">
        <w:t xml:space="preserve"> (1737 PSD, </w:t>
      </w:r>
      <w:proofErr w:type="spellStart"/>
      <w:r w:rsidRPr="00553E61">
        <w:t>pg</w:t>
      </w:r>
      <w:proofErr w:type="spellEnd"/>
      <w:r w:rsidRPr="00553E61">
        <w:t xml:space="preserve"> 8).</w:t>
      </w:r>
      <w:r>
        <w:t xml:space="preserve"> NBS for SCD alone was therefore proposed for reconsideration</w:t>
      </w:r>
      <w:r w:rsidR="007E0580">
        <w:t xml:space="preserve">, and </w:t>
      </w:r>
      <w:r w:rsidR="00011690">
        <w:t>the 1737.1</w:t>
      </w:r>
      <w:r w:rsidR="007E0580">
        <w:t xml:space="preserve"> fit-for-purpose</w:t>
      </w:r>
      <w:r w:rsidR="00FC2CCF">
        <w:t xml:space="preserve"> (FFP)</w:t>
      </w:r>
      <w:r w:rsidR="007E0580">
        <w:t xml:space="preserve"> overview was contracted seeking to use new evidence to address MSAC’s concerns</w:t>
      </w:r>
      <w:r>
        <w:t>.</w:t>
      </w:r>
      <w:r w:rsidRPr="00553E61">
        <w:t xml:space="preserve"> </w:t>
      </w:r>
    </w:p>
    <w:p w14:paraId="2D2917A2" w14:textId="26B16517" w:rsidR="00C746CC" w:rsidRDefault="00C746CC" w:rsidP="007D29E1">
      <w:r>
        <w:t>MSAC noted that the Newborn Bloodspot Screening National Policy Framework (NBS NPF)</w:t>
      </w:r>
      <w:r w:rsidR="002D6093">
        <w:rPr>
          <w:rStyle w:val="FootnoteReference"/>
        </w:rPr>
        <w:footnoteReference w:id="3"/>
      </w:r>
      <w:r>
        <w:t xml:space="preserve"> was developed through the </w:t>
      </w:r>
      <w:proofErr w:type="spellStart"/>
      <w:r>
        <w:t>SCoS</w:t>
      </w:r>
      <w:proofErr w:type="spellEnd"/>
      <w:r>
        <w:t xml:space="preserve"> in 2018, but NBS implementation remains state-based, with screening provided by five NBS laboratories across Australia. MSAC considered the NBS NPF decision-making criteria as context for its </w:t>
      </w:r>
      <w:proofErr w:type="gramStart"/>
      <w:r>
        <w:t>advice, but</w:t>
      </w:r>
      <w:proofErr w:type="gramEnd"/>
      <w:r>
        <w:t xml:space="preserve"> noted that the full scope of considerations relevant to the NBS NPF criteria, such as a detailed appraisal of all relevant implementation considerations, </w:t>
      </w:r>
      <w:r w:rsidR="009A7913">
        <w:t>is</w:t>
      </w:r>
      <w:r>
        <w:t xml:space="preserve"> outside MSAC’s terms of reference (</w:t>
      </w:r>
      <w:proofErr w:type="spellStart"/>
      <w:r>
        <w:t>ToRs</w:t>
      </w:r>
      <w:proofErr w:type="spellEnd"/>
      <w:r>
        <w:t xml:space="preserve">). MSAC noted that its advice within its </w:t>
      </w:r>
      <w:proofErr w:type="spellStart"/>
      <w:r>
        <w:t>ToRs</w:t>
      </w:r>
      <w:proofErr w:type="spellEnd"/>
      <w:r>
        <w:t xml:space="preserve"> would be used in conjunction with advice from others in the overall decision-making process for NBS in Australia.</w:t>
      </w:r>
    </w:p>
    <w:p w14:paraId="291EA340" w14:textId="004E5EA3" w:rsidR="00807F4B" w:rsidRDefault="00807F4B" w:rsidP="007D29E1">
      <w:r>
        <w:t xml:space="preserve">MSAC noted that SCD is caused when a person is homozygous for the </w:t>
      </w:r>
      <w:proofErr w:type="spellStart"/>
      <w:r>
        <w:t>HbS</w:t>
      </w:r>
      <w:proofErr w:type="spellEnd"/>
      <w:r>
        <w:t xml:space="preserve"> variant (genotype </w:t>
      </w:r>
      <w:proofErr w:type="spellStart"/>
      <w:r>
        <w:t>HbSS</w:t>
      </w:r>
      <w:proofErr w:type="spellEnd"/>
      <w:r>
        <w:t xml:space="preserve">), which is one specific variant in the beta haemoglobin </w:t>
      </w:r>
      <w:r w:rsidRPr="000A06BE">
        <w:rPr>
          <w:i/>
          <w:iCs/>
        </w:rPr>
        <w:t>HBB</w:t>
      </w:r>
      <w:r>
        <w:t xml:space="preserve"> gene, </w:t>
      </w:r>
      <w:proofErr w:type="spellStart"/>
      <w:proofErr w:type="gramStart"/>
      <w:r>
        <w:t>HBB:p</w:t>
      </w:r>
      <w:proofErr w:type="spellEnd"/>
      <w:r>
        <w:t>.</w:t>
      </w:r>
      <w:proofErr w:type="gramEnd"/>
      <w:r>
        <w:t>(Glu7Val). This genotype results in rigid, sickle-shaped red blood cells that cannot move freely through blood vessels. SCD clinically manifest</w:t>
      </w:r>
      <w:r w:rsidR="005A2987">
        <w:t>s</w:t>
      </w:r>
      <w:r>
        <w:t xml:space="preserve"> as acute pain episodes, and if left untreated results in progressive organ damage, including cerebrovascular disease, increased susceptibility to infections (especially invasive pneumococcal disease) and </w:t>
      </w:r>
      <w:proofErr w:type="spellStart"/>
      <w:r>
        <w:t>vaso</w:t>
      </w:r>
      <w:proofErr w:type="spellEnd"/>
      <w:r>
        <w:t>-occlusive crisis.</w:t>
      </w:r>
    </w:p>
    <w:p w14:paraId="5766DE90" w14:textId="64FCD95E" w:rsidR="007D29E1" w:rsidRPr="00E34C96" w:rsidRDefault="007D29E1" w:rsidP="007D29E1">
      <w:r w:rsidRPr="00AA7022">
        <w:t xml:space="preserve">MSAC noted that consultation feedback </w:t>
      </w:r>
      <w:r w:rsidR="00983465" w:rsidRPr="00AA7022">
        <w:t xml:space="preserve">on application 1737 </w:t>
      </w:r>
      <w:r w:rsidRPr="00AA7022">
        <w:t>was received from eight professional organisations, three consumer organisations and four health professionals. The consultation feedback received was mixed. Most respondents acknowledged potential benefits of NBS for SCD (and β-thalassaemia)</w:t>
      </w:r>
      <w:r w:rsidR="00983465" w:rsidRPr="00AA7022">
        <w:t>,</w:t>
      </w:r>
      <w:r w:rsidRPr="00AA7022">
        <w:t xml:space="preserve"> </w:t>
      </w:r>
      <w:r w:rsidR="00983465" w:rsidRPr="00AA7022">
        <w:t>h</w:t>
      </w:r>
      <w:r w:rsidRPr="00AA7022">
        <w:t xml:space="preserve">owever, there were concerns in relation to the proposed test method, the detection of genetic carriers and the detection of non-paternity. </w:t>
      </w:r>
    </w:p>
    <w:p w14:paraId="0D851849" w14:textId="3031FC77" w:rsidR="003735A0" w:rsidRDefault="1E518847" w:rsidP="007D29E1">
      <w:r>
        <w:t>MSAC noted t</w:t>
      </w:r>
      <w:r w:rsidR="1D0D7E5C">
        <w:t xml:space="preserve">hat </w:t>
      </w:r>
      <w:r w:rsidR="3E180CDC">
        <w:t xml:space="preserve">while </w:t>
      </w:r>
      <w:r w:rsidR="374CB953">
        <w:t xml:space="preserve">the 1737 DCAR’s </w:t>
      </w:r>
      <w:r w:rsidR="3E180CDC">
        <w:t>assessment was</w:t>
      </w:r>
      <w:r w:rsidR="374CB953">
        <w:t xml:space="preserve"> based on a systematic review of the published literature, </w:t>
      </w:r>
      <w:r w:rsidR="1D0D7E5C">
        <w:t>the 1737.1 FFP overview provided a</w:t>
      </w:r>
      <w:r w:rsidR="3E180CDC">
        <w:t>n</w:t>
      </w:r>
      <w:r w:rsidR="1D0D7E5C">
        <w:t xml:space="preserve"> assessment that </w:t>
      </w:r>
      <w:r w:rsidR="374CB953">
        <w:t xml:space="preserve">was </w:t>
      </w:r>
      <w:r w:rsidR="1D0D7E5C">
        <w:t xml:space="preserve">updated </w:t>
      </w:r>
      <w:r w:rsidR="3E180CDC">
        <w:t>mainly</w:t>
      </w:r>
      <w:r w:rsidR="34479361">
        <w:t xml:space="preserve"> based on</w:t>
      </w:r>
      <w:r w:rsidR="1D0D7E5C">
        <w:t xml:space="preserve"> </w:t>
      </w:r>
      <w:r w:rsidR="00D536EA">
        <w:t xml:space="preserve">Australian </w:t>
      </w:r>
      <w:r w:rsidR="00F133D5">
        <w:t>Haemoglobinopathy R</w:t>
      </w:r>
      <w:r w:rsidR="58DCB273">
        <w:t xml:space="preserve">egistry </w:t>
      </w:r>
      <w:r w:rsidR="00F133D5">
        <w:t>(</w:t>
      </w:r>
      <w:proofErr w:type="spellStart"/>
      <w:r w:rsidR="00F133D5">
        <w:t>HbR</w:t>
      </w:r>
      <w:proofErr w:type="spellEnd"/>
      <w:r w:rsidR="00F133D5">
        <w:t>) analyses for MSAC</w:t>
      </w:r>
      <w:r w:rsidR="00993678">
        <w:rPr>
          <w:rStyle w:val="FootnoteReference"/>
        </w:rPr>
        <w:footnoteReference w:id="4"/>
      </w:r>
      <w:r w:rsidR="34479361">
        <w:t xml:space="preserve">, but also </w:t>
      </w:r>
      <w:r w:rsidR="00D536EA">
        <w:t xml:space="preserve">included </w:t>
      </w:r>
      <w:r w:rsidR="0072371B">
        <w:t xml:space="preserve">unpublished data </w:t>
      </w:r>
      <w:r w:rsidR="00B05E97">
        <w:t xml:space="preserve">from the </w:t>
      </w:r>
      <w:proofErr w:type="spellStart"/>
      <w:r w:rsidR="00B05E97">
        <w:t>HbR</w:t>
      </w:r>
      <w:proofErr w:type="spellEnd"/>
      <w:r w:rsidR="00B05E97">
        <w:t xml:space="preserve"> and </w:t>
      </w:r>
      <w:r w:rsidR="00F133D5">
        <w:t xml:space="preserve">analyses of </w:t>
      </w:r>
      <w:proofErr w:type="spellStart"/>
      <w:r w:rsidR="00F133D5">
        <w:t>HbR</w:t>
      </w:r>
      <w:proofErr w:type="spellEnd"/>
      <w:r w:rsidR="00F133D5">
        <w:t xml:space="preserve"> data </w:t>
      </w:r>
      <w:r w:rsidR="34479361">
        <w:t>from</w:t>
      </w:r>
      <w:r w:rsidR="001C3B1F">
        <w:t xml:space="preserve"> Nelson et al. 2023</w:t>
      </w:r>
      <w:r w:rsidR="001C3B1F" w:rsidRPr="00154324">
        <w:rPr>
          <w:rStyle w:val="FootnoteReference"/>
          <w:color w:val="000000" w:themeColor="text1"/>
        </w:rPr>
        <w:footnoteReference w:id="5"/>
      </w:r>
      <w:r w:rsidR="00B05E97" w:rsidRPr="00154324">
        <w:rPr>
          <w:color w:val="000000" w:themeColor="text1"/>
        </w:rPr>
        <w:t>.</w:t>
      </w:r>
      <w:r w:rsidR="005B043B" w:rsidRPr="00154324">
        <w:rPr>
          <w:color w:val="000000" w:themeColor="text1"/>
        </w:rPr>
        <w:t xml:space="preserve"> </w:t>
      </w:r>
      <w:r w:rsidR="008D0D52" w:rsidRPr="0043309C">
        <w:t>N</w:t>
      </w:r>
      <w:r w:rsidR="00D50DE4" w:rsidRPr="0043309C">
        <w:t>o</w:t>
      </w:r>
      <w:r w:rsidR="00D50DE4">
        <w:t xml:space="preserve"> new direct evidence was </w:t>
      </w:r>
      <w:r w:rsidR="00946938">
        <w:t>provided</w:t>
      </w:r>
      <w:r w:rsidR="00D50DE4">
        <w:t xml:space="preserve">. </w:t>
      </w:r>
      <w:r w:rsidR="4E083463">
        <w:t>MSAC noted a</w:t>
      </w:r>
      <w:r w:rsidR="374CB953">
        <w:t xml:space="preserve">nalyses of </w:t>
      </w:r>
      <w:r w:rsidR="58DCB273">
        <w:t xml:space="preserve">registry data were provided by the </w:t>
      </w:r>
      <w:proofErr w:type="spellStart"/>
      <w:r w:rsidR="58DCB273">
        <w:t>HbR</w:t>
      </w:r>
      <w:proofErr w:type="spellEnd"/>
      <w:r w:rsidR="374CB953">
        <w:t xml:space="preserve"> for</w:t>
      </w:r>
      <w:r w:rsidR="637D1C05">
        <w:t xml:space="preserve"> </w:t>
      </w:r>
      <w:r w:rsidR="535FEC4D">
        <w:t xml:space="preserve">Australian-born </w:t>
      </w:r>
      <w:r w:rsidR="6DD3611B">
        <w:t xml:space="preserve">patients </w:t>
      </w:r>
      <w:r w:rsidR="61ACDBE0">
        <w:t xml:space="preserve">diagnosed </w:t>
      </w:r>
      <w:r w:rsidR="1104C8F1">
        <w:t xml:space="preserve">with SCD (all ages) who </w:t>
      </w:r>
      <w:r w:rsidR="374CB953">
        <w:t>could be categorised as diagnosed before vs after symptom onset (n=109, of which n=5</w:t>
      </w:r>
      <w:r w:rsidR="4267C004">
        <w:t>2 early diagnosis and n=57 late diagnosis</w:t>
      </w:r>
      <w:r w:rsidR="374CB953">
        <w:t>).</w:t>
      </w:r>
      <w:r w:rsidR="4267C004">
        <w:t xml:space="preserve"> </w:t>
      </w:r>
      <w:r w:rsidR="0EAED22B">
        <w:t>MSAC noted these data</w:t>
      </w:r>
      <w:r w:rsidR="003E02C3">
        <w:t xml:space="preserve"> did not use the proposed intervention (universal NBS), but instead</w:t>
      </w:r>
      <w:r w:rsidR="0EAED22B">
        <w:t xml:space="preserve"> compared patients diagnosed early (through targeted testing) versus late (at or after the point of symptom onset)</w:t>
      </w:r>
      <w:r w:rsidR="003E02C3">
        <w:t xml:space="preserve">, on the assumption that an early diagnosis </w:t>
      </w:r>
      <w:r w:rsidR="00407732">
        <w:t>through the proposed intervention</w:t>
      </w:r>
      <w:r w:rsidR="007031C3">
        <w:t xml:space="preserve"> would not have meaningfully different </w:t>
      </w:r>
      <w:r w:rsidR="00705FCF">
        <w:t>consequences for</w:t>
      </w:r>
      <w:r w:rsidR="007031C3">
        <w:t xml:space="preserve"> management and health outcomes than an early diagnosis through targeted testing</w:t>
      </w:r>
      <w:r w:rsidR="0EAED22B">
        <w:t xml:space="preserve">. </w:t>
      </w:r>
      <w:r w:rsidR="3144846E">
        <w:t xml:space="preserve">The FFP overview used the </w:t>
      </w:r>
      <w:proofErr w:type="spellStart"/>
      <w:r w:rsidR="5B091DE1">
        <w:t>HbR</w:t>
      </w:r>
      <w:proofErr w:type="spellEnd"/>
      <w:r w:rsidR="5B091DE1">
        <w:t xml:space="preserve"> and </w:t>
      </w:r>
      <w:r w:rsidR="00F9044F">
        <w:t xml:space="preserve">Australian </w:t>
      </w:r>
      <w:r w:rsidR="5B091DE1">
        <w:t xml:space="preserve">data </w:t>
      </w:r>
      <w:r w:rsidR="00946938">
        <w:t xml:space="preserve">from Nelson et al. (2023) and </w:t>
      </w:r>
      <w:r w:rsidR="00E03DAF" w:rsidRPr="0043309C">
        <w:t xml:space="preserve">an </w:t>
      </w:r>
      <w:r w:rsidR="004F146A" w:rsidRPr="0043309C">
        <w:t xml:space="preserve">unpublished manuscript </w:t>
      </w:r>
      <w:r w:rsidR="5B091DE1" w:rsidRPr="0043309C">
        <w:t>to pro</w:t>
      </w:r>
      <w:r w:rsidR="17BB5EC2" w:rsidRPr="0043309C">
        <w:t>vide an updated linked</w:t>
      </w:r>
      <w:r w:rsidR="17BB5EC2">
        <w:t xml:space="preserve"> evidence </w:t>
      </w:r>
      <w:r w:rsidR="5B091DE1">
        <w:t xml:space="preserve">assessment. </w:t>
      </w:r>
      <w:r w:rsidR="4267C004">
        <w:t xml:space="preserve">MSAC </w:t>
      </w:r>
      <w:r w:rsidR="3144846E">
        <w:t xml:space="preserve">noted that for universal screening programs it has </w:t>
      </w:r>
      <w:r w:rsidR="5B091DE1">
        <w:t xml:space="preserve">a stated </w:t>
      </w:r>
      <w:r w:rsidR="17BB5EC2">
        <w:t xml:space="preserve">clear </w:t>
      </w:r>
      <w:r w:rsidR="5B091DE1">
        <w:t xml:space="preserve">preference for </w:t>
      </w:r>
      <w:r w:rsidR="17BB5EC2">
        <w:t xml:space="preserve">direct from test to health outcomes evidence, however it considered that the international evidence </w:t>
      </w:r>
      <w:r w:rsidR="4E083463">
        <w:t xml:space="preserve">for SCD </w:t>
      </w:r>
      <w:r w:rsidR="17BB5EC2">
        <w:t xml:space="preserve">was of low applicability to the Australian context, and that the assessment informed by the </w:t>
      </w:r>
      <w:proofErr w:type="spellStart"/>
      <w:r w:rsidR="34C99EF7">
        <w:t>HbR</w:t>
      </w:r>
      <w:proofErr w:type="spellEnd"/>
      <w:r w:rsidR="34C99EF7">
        <w:t xml:space="preserve"> data was a more accurate reflection of what the consequences of NBS would be in Australia.</w:t>
      </w:r>
      <w:r w:rsidR="34479361">
        <w:t xml:space="preserve"> MSAC </w:t>
      </w:r>
      <w:r w:rsidR="57D94884">
        <w:t xml:space="preserve">considered there were limitations to the </w:t>
      </w:r>
      <w:proofErr w:type="spellStart"/>
      <w:r w:rsidR="57D94884">
        <w:t>HbR</w:t>
      </w:r>
      <w:proofErr w:type="spellEnd"/>
      <w:r w:rsidR="57D94884">
        <w:t xml:space="preserve"> </w:t>
      </w:r>
      <w:proofErr w:type="gramStart"/>
      <w:r w:rsidR="57D94884">
        <w:t xml:space="preserve">data, </w:t>
      </w:r>
      <w:r w:rsidR="38547E34">
        <w:t>because</w:t>
      </w:r>
      <w:proofErr w:type="gramEnd"/>
      <w:r w:rsidR="57D94884">
        <w:t xml:space="preserve"> </w:t>
      </w:r>
      <w:r w:rsidR="21B80EBD">
        <w:t xml:space="preserve">the registry is voluntary </w:t>
      </w:r>
      <w:r w:rsidR="3EA6FAB9">
        <w:t xml:space="preserve">for both patients and sites </w:t>
      </w:r>
      <w:r w:rsidR="21B80EBD">
        <w:t xml:space="preserve">and </w:t>
      </w:r>
      <w:r w:rsidR="38547E34">
        <w:t>so not comprehensive</w:t>
      </w:r>
      <w:r w:rsidR="20563EC2">
        <w:t>. The sample size was small, i</w:t>
      </w:r>
      <w:r w:rsidR="1CB94806">
        <w:t xml:space="preserve">ts </w:t>
      </w:r>
      <w:r w:rsidR="20563EC2">
        <w:t>data were observational, and subject to selection bias, although it is unknown in what direction the bias would influence the results</w:t>
      </w:r>
      <w:r w:rsidR="1CB94806">
        <w:t xml:space="preserve">. However, </w:t>
      </w:r>
      <w:r w:rsidR="0C977738">
        <w:t xml:space="preserve">despite </w:t>
      </w:r>
      <w:r w:rsidR="25E0028C">
        <w:t>its</w:t>
      </w:r>
      <w:r w:rsidR="0C977738">
        <w:t xml:space="preserve"> limitations</w:t>
      </w:r>
      <w:r w:rsidR="00900629">
        <w:t>,</w:t>
      </w:r>
      <w:r w:rsidR="0C977738">
        <w:t xml:space="preserve"> </w:t>
      </w:r>
      <w:r w:rsidR="1CB94806">
        <w:t>MSA</w:t>
      </w:r>
      <w:r w:rsidR="0C977738">
        <w:t xml:space="preserve">C considered the registry data were </w:t>
      </w:r>
      <w:r w:rsidR="25E0028C">
        <w:t xml:space="preserve">an </w:t>
      </w:r>
      <w:r w:rsidR="0C977738">
        <w:t>acceptable</w:t>
      </w:r>
      <w:r w:rsidR="25E0028C">
        <w:t xml:space="preserve"> evidentiary basis on which it could provide its advice</w:t>
      </w:r>
      <w:r w:rsidR="0C977738">
        <w:t>, especially in the context of SCD being a rare disease</w:t>
      </w:r>
      <w:r w:rsidR="705E8E02">
        <w:t>.</w:t>
      </w:r>
    </w:p>
    <w:p w14:paraId="0867C52A" w14:textId="62FEB2AD" w:rsidR="00981F6F" w:rsidRDefault="2C78F042" w:rsidP="007D29E1">
      <w:r>
        <w:t xml:space="preserve">Regarding incidence, MSAC recalled that </w:t>
      </w:r>
      <w:r w:rsidR="37ED737A">
        <w:t xml:space="preserve">based on the 1737 DCAR it had considered </w:t>
      </w:r>
      <w:r w:rsidR="66C36FB8">
        <w:t xml:space="preserve">the </w:t>
      </w:r>
      <w:r w:rsidR="37ED737A">
        <w:t>estimate</w:t>
      </w:r>
      <w:r w:rsidR="66C36FB8">
        <w:t>d</w:t>
      </w:r>
      <w:r w:rsidR="37ED737A">
        <w:t xml:space="preserve"> Australian incidence </w:t>
      </w:r>
      <w:r w:rsidR="66C36FB8">
        <w:t xml:space="preserve">of </w:t>
      </w:r>
      <w:proofErr w:type="gramStart"/>
      <w:r w:rsidR="1FE2E79B">
        <w:t>SCD</w:t>
      </w:r>
      <w:proofErr w:type="gramEnd"/>
      <w:r w:rsidR="1FE2E79B">
        <w:t xml:space="preserve"> and </w:t>
      </w:r>
      <w:r w:rsidR="1D6AB8AA">
        <w:t xml:space="preserve">beta-thalassaemia </w:t>
      </w:r>
      <w:r w:rsidR="08226E63">
        <w:t>(</w:t>
      </w:r>
      <w:r w:rsidR="66C36FB8">
        <w:t xml:space="preserve">0.53 </w:t>
      </w:r>
      <w:r w:rsidR="1FE2E79B">
        <w:t xml:space="preserve">to 8.6 </w:t>
      </w:r>
      <w:r w:rsidR="66C36FB8">
        <w:t xml:space="preserve">per 100,000 </w:t>
      </w:r>
      <w:r w:rsidR="1D6AB8AA">
        <w:t>newborns</w:t>
      </w:r>
      <w:r w:rsidR="08226E63">
        <w:t>)</w:t>
      </w:r>
      <w:r w:rsidR="7F6943DB">
        <w:t xml:space="preserve"> was</w:t>
      </w:r>
      <w:r w:rsidR="37ED737A">
        <w:t xml:space="preserve"> highly uncertain, and </w:t>
      </w:r>
      <w:r w:rsidR="08226E63">
        <w:t xml:space="preserve">that </w:t>
      </w:r>
      <w:r w:rsidR="37ED737A">
        <w:t>overseas data had low applicability due to incidence differing by ancestry.</w:t>
      </w:r>
      <w:r w:rsidR="3FA97B13">
        <w:t xml:space="preserve"> MSAC noted the 1737.1 FFP overview</w:t>
      </w:r>
      <w:r w:rsidR="72BCC23A">
        <w:t xml:space="preserve"> </w:t>
      </w:r>
      <w:r w:rsidR="3441821B">
        <w:t xml:space="preserve">provided a new estimate of incidence </w:t>
      </w:r>
      <w:r w:rsidR="1715E149">
        <w:t xml:space="preserve">that </w:t>
      </w:r>
      <w:r w:rsidR="63D813FD">
        <w:t>combin</w:t>
      </w:r>
      <w:r w:rsidR="1715E149">
        <w:t>ed</w:t>
      </w:r>
      <w:r w:rsidR="3441821B">
        <w:t xml:space="preserve"> </w:t>
      </w:r>
      <w:proofErr w:type="spellStart"/>
      <w:r w:rsidR="3441821B">
        <w:t>HbR</w:t>
      </w:r>
      <w:proofErr w:type="spellEnd"/>
      <w:r w:rsidR="713DAA40">
        <w:t xml:space="preserve"> data on ancestry </w:t>
      </w:r>
      <w:r w:rsidR="145297EC">
        <w:t xml:space="preserve">of SCD cases </w:t>
      </w:r>
      <w:r w:rsidR="1715E149">
        <w:t xml:space="preserve">from </w:t>
      </w:r>
      <w:r w:rsidR="394AF3D9">
        <w:t>S</w:t>
      </w:r>
      <w:r w:rsidR="1715E149">
        <w:t xml:space="preserve">ub-Saharan Africa as a key high-prevalence region </w:t>
      </w:r>
      <w:r w:rsidR="713DAA40">
        <w:t>(Nelson et al.,</w:t>
      </w:r>
      <w:r w:rsidR="00967234">
        <w:t xml:space="preserve"> 2023</w:t>
      </w:r>
      <w:r w:rsidR="713DAA40">
        <w:t>) with</w:t>
      </w:r>
      <w:r w:rsidR="1006C256">
        <w:t xml:space="preserve"> incidence </w:t>
      </w:r>
      <w:r w:rsidR="145297EC">
        <w:t>among populations with high SCD prevalence,</w:t>
      </w:r>
      <w:r w:rsidR="0CFE7126">
        <w:t xml:space="preserve"> and </w:t>
      </w:r>
      <w:r w:rsidR="442B862F">
        <w:t xml:space="preserve">the </w:t>
      </w:r>
      <w:r w:rsidR="1715E149">
        <w:t>proportion of births in Australia to parents from these high-risk countries (then extrapolating to account for births to couples from outside this region)</w:t>
      </w:r>
      <w:r w:rsidR="442B862F">
        <w:t>.</w:t>
      </w:r>
      <w:r w:rsidR="37ECB932">
        <w:t xml:space="preserve"> MSAC noted the applicant’s concern in its pre-MSAC response that ancestries other than </w:t>
      </w:r>
      <w:r w:rsidR="394AF3D9">
        <w:t>S</w:t>
      </w:r>
      <w:r w:rsidR="37ECB932">
        <w:t xml:space="preserve">ub-Saharan Africa had been excluded from the </w:t>
      </w:r>
      <w:proofErr w:type="gramStart"/>
      <w:r w:rsidR="37ECB932">
        <w:t>calculations, but</w:t>
      </w:r>
      <w:proofErr w:type="gramEnd"/>
      <w:r w:rsidR="37ECB932">
        <w:t xml:space="preserve"> considered that </w:t>
      </w:r>
      <w:r w:rsidR="394AF3D9">
        <w:t xml:space="preserve">the extrapolation meant </w:t>
      </w:r>
      <w:r w:rsidR="37ECB932">
        <w:t xml:space="preserve">this had not been the case. MSAC noted the </w:t>
      </w:r>
      <w:r w:rsidR="7859512F">
        <w:t>1737.1 FFP overview’s calculations estimated the Australian incidence of SCD to be 34.2 per 100,000</w:t>
      </w:r>
      <w:r w:rsidR="254E7673">
        <w:t xml:space="preserve"> (or 106 cases per year</w:t>
      </w:r>
      <w:proofErr w:type="gramStart"/>
      <w:r w:rsidR="254E7673">
        <w:t>)</w:t>
      </w:r>
      <w:r w:rsidR="34BAE259">
        <w:t>, and</w:t>
      </w:r>
      <w:proofErr w:type="gramEnd"/>
      <w:r w:rsidR="34BAE259">
        <w:t xml:space="preserve"> considered this was higher than the </w:t>
      </w:r>
      <w:r w:rsidR="3A784181">
        <w:t>1737</w:t>
      </w:r>
      <w:r w:rsidR="4D582662">
        <w:t xml:space="preserve"> </w:t>
      </w:r>
      <w:r w:rsidR="34BAE259">
        <w:t>DCAR’s estimate</w:t>
      </w:r>
      <w:r w:rsidR="68DFE735">
        <w:t>s</w:t>
      </w:r>
      <w:r w:rsidR="34BAE259">
        <w:t xml:space="preserve"> </w:t>
      </w:r>
      <w:r w:rsidR="516AEECB">
        <w:t>and</w:t>
      </w:r>
      <w:r w:rsidR="34BAE259">
        <w:t xml:space="preserve"> </w:t>
      </w:r>
      <w:r w:rsidR="4C1BE4B7">
        <w:t xml:space="preserve">likely to be closer to the true incidence. </w:t>
      </w:r>
      <w:r w:rsidR="1CB26EDA">
        <w:rPr>
          <w:lang w:val="en-US"/>
        </w:rPr>
        <w:t>MSAC noted the pre-MSAC response from the applicant stated that t</w:t>
      </w:r>
      <w:r w:rsidR="1CB26EDA" w:rsidRPr="003902E7">
        <w:rPr>
          <w:lang w:val="en-US"/>
        </w:rPr>
        <w:t>here is a clear trend of increased migration of people from countries with high incidences of SC</w:t>
      </w:r>
      <w:r w:rsidR="1CB26EDA">
        <w:rPr>
          <w:lang w:val="en-US"/>
        </w:rPr>
        <w:t>D, and</w:t>
      </w:r>
      <w:r w:rsidR="1CB26EDA" w:rsidRPr="003902E7">
        <w:rPr>
          <w:lang w:val="en-US"/>
        </w:rPr>
        <w:t xml:space="preserve"> </w:t>
      </w:r>
      <w:r w:rsidR="7152E377" w:rsidRPr="00981F6F">
        <w:t xml:space="preserve">MSAC </w:t>
      </w:r>
      <w:r w:rsidR="1CB26EDA">
        <w:t>agreed</w:t>
      </w:r>
      <w:r w:rsidR="7152E377" w:rsidRPr="00981F6F">
        <w:t xml:space="preserve"> that migration to Australia from countries where SCD </w:t>
      </w:r>
      <w:r w:rsidR="7152E377">
        <w:t>is</w:t>
      </w:r>
      <w:r w:rsidR="7152E377" w:rsidRPr="00981F6F">
        <w:t xml:space="preserve"> more prevalent </w:t>
      </w:r>
      <w:r w:rsidR="7152E377">
        <w:t>is</w:t>
      </w:r>
      <w:r w:rsidR="7152E377" w:rsidRPr="00981F6F">
        <w:t xml:space="preserve"> increas</w:t>
      </w:r>
      <w:r w:rsidR="7152E377">
        <w:t>ing</w:t>
      </w:r>
      <w:r w:rsidR="7152E377" w:rsidRPr="00981F6F">
        <w:t xml:space="preserve"> over time</w:t>
      </w:r>
      <w:r w:rsidR="516AEECB">
        <w:t>,</w:t>
      </w:r>
      <w:r w:rsidR="4AD60FAD">
        <w:t xml:space="preserve"> </w:t>
      </w:r>
      <w:r w:rsidR="7152E377" w:rsidRPr="00981F6F">
        <w:t xml:space="preserve">so the </w:t>
      </w:r>
      <w:r w:rsidR="7152E377">
        <w:t>Australian incidence was likely to increase further in the future</w:t>
      </w:r>
      <w:r w:rsidR="7152E377" w:rsidRPr="00981F6F">
        <w:t>.</w:t>
      </w:r>
    </w:p>
    <w:p w14:paraId="173D9ED1" w14:textId="13F197C2" w:rsidR="007D29E1" w:rsidRDefault="007D29E1" w:rsidP="007D29E1">
      <w:r>
        <w:t xml:space="preserve">MSAC </w:t>
      </w:r>
      <w:r w:rsidR="00A43F8A">
        <w:t xml:space="preserve">recalled that the 1737 DCAR had estimated </w:t>
      </w:r>
      <w:r w:rsidR="000B57E9">
        <w:t xml:space="preserve">based on expert opinion that </w:t>
      </w:r>
      <w:r w:rsidR="00512227">
        <w:t xml:space="preserve">current targeted testing </w:t>
      </w:r>
      <w:r w:rsidR="007C3320">
        <w:t>of at-risk neonates</w:t>
      </w:r>
      <w:r w:rsidR="00512227">
        <w:t xml:space="preserve"> detect</w:t>
      </w:r>
      <w:r w:rsidR="007C3320">
        <w:t>ed</w:t>
      </w:r>
      <w:r w:rsidR="00512227">
        <w:t xml:space="preserve"> 95-99% of haemoglobinopathy cases before symptom onset, however </w:t>
      </w:r>
      <w:r w:rsidR="000D636B">
        <w:t xml:space="preserve">noted </w:t>
      </w:r>
      <w:r>
        <w:t xml:space="preserve">that </w:t>
      </w:r>
      <w:proofErr w:type="spellStart"/>
      <w:r w:rsidR="00512227">
        <w:t>HbR</w:t>
      </w:r>
      <w:proofErr w:type="spellEnd"/>
      <w:r w:rsidR="00512227">
        <w:t xml:space="preserve"> </w:t>
      </w:r>
      <w:r>
        <w:t>d</w:t>
      </w:r>
      <w:r w:rsidRPr="001D5299">
        <w:t xml:space="preserve">ata </w:t>
      </w:r>
      <w:r w:rsidR="00512227">
        <w:t>showed</w:t>
      </w:r>
      <w:r w:rsidRPr="001D5299">
        <w:t xml:space="preserve"> current targeted testing </w:t>
      </w:r>
      <w:r w:rsidR="00D536EA">
        <w:t xml:space="preserve">in Australia </w:t>
      </w:r>
      <w:r w:rsidRPr="001D5299">
        <w:t>only identifie</w:t>
      </w:r>
      <w:r w:rsidR="005C4638">
        <w:t>d</w:t>
      </w:r>
      <w:r w:rsidRPr="001D5299">
        <w:t xml:space="preserve"> 47.7% of cases of SCD</w:t>
      </w:r>
      <w:r w:rsidR="000D636B">
        <w:t xml:space="preserve"> before symptom onset</w:t>
      </w:r>
      <w:r w:rsidRPr="001D5299">
        <w:t xml:space="preserve">. </w:t>
      </w:r>
      <w:r w:rsidR="000B57E9">
        <w:t xml:space="preserve">MSAC considered </w:t>
      </w:r>
      <w:r w:rsidR="00191C5D">
        <w:t xml:space="preserve">that despite </w:t>
      </w:r>
      <w:r w:rsidR="000046D1">
        <w:t>its</w:t>
      </w:r>
      <w:r w:rsidR="00191C5D">
        <w:t xml:space="preserve"> limitations </w:t>
      </w:r>
      <w:r w:rsidR="000B57E9">
        <w:t xml:space="preserve">the </w:t>
      </w:r>
      <w:proofErr w:type="spellStart"/>
      <w:r w:rsidR="000B57E9">
        <w:t>HbR</w:t>
      </w:r>
      <w:proofErr w:type="spellEnd"/>
      <w:r w:rsidR="000B57E9">
        <w:t xml:space="preserve"> data were more </w:t>
      </w:r>
      <w:r w:rsidR="00191C5D">
        <w:t>reliable than expert opinion</w:t>
      </w:r>
      <w:r w:rsidR="00B0538E">
        <w:t>, and therefore that the incremental proportion of cases</w:t>
      </w:r>
      <w:r w:rsidR="000D636B">
        <w:t xml:space="preserve"> that would be</w:t>
      </w:r>
      <w:r w:rsidR="00B0538E">
        <w:t xml:space="preserve"> diagnosed pre-symptomatically by NBS </w:t>
      </w:r>
      <w:r w:rsidR="007C3320">
        <w:t xml:space="preserve">compared to targeted testing </w:t>
      </w:r>
      <w:r w:rsidR="000D636B">
        <w:t>was</w:t>
      </w:r>
      <w:r w:rsidR="00B0538E">
        <w:t xml:space="preserve"> greater than </w:t>
      </w:r>
      <w:r w:rsidR="00F51C10">
        <w:t xml:space="preserve">had </w:t>
      </w:r>
      <w:r w:rsidR="00B0538E">
        <w:t>previously</w:t>
      </w:r>
      <w:r w:rsidR="00F51C10">
        <w:t xml:space="preserve"> been</w:t>
      </w:r>
      <w:r w:rsidR="00B0538E">
        <w:t xml:space="preserve"> estimated</w:t>
      </w:r>
      <w:r w:rsidR="000046D1">
        <w:t>.</w:t>
      </w:r>
      <w:r w:rsidR="00191C5D">
        <w:t xml:space="preserve"> </w:t>
      </w:r>
      <w:r w:rsidR="00B0538E">
        <w:t xml:space="preserve">MSAC </w:t>
      </w:r>
      <w:r w:rsidR="00BB64F1">
        <w:t xml:space="preserve">noted </w:t>
      </w:r>
      <w:r w:rsidR="00930B71">
        <w:t xml:space="preserve">that at an incidence of 34.2 per 100,000 </w:t>
      </w:r>
      <w:r w:rsidR="00BB64F1">
        <w:t xml:space="preserve">the FFP overview estimated </w:t>
      </w:r>
      <w:r w:rsidRPr="001D5299">
        <w:t xml:space="preserve">current targeted testing </w:t>
      </w:r>
      <w:r w:rsidR="00BB64F1">
        <w:t>diagnose</w:t>
      </w:r>
      <w:r w:rsidR="006355FB">
        <w:t>d</w:t>
      </w:r>
      <w:r w:rsidRPr="001D5299">
        <w:t xml:space="preserve"> 51 cases of SCD per year prior to symptom onset</w:t>
      </w:r>
      <w:r w:rsidR="00BB64F1">
        <w:t xml:space="preserve">, </w:t>
      </w:r>
      <w:r w:rsidR="00930B71">
        <w:t>whereas</w:t>
      </w:r>
      <w:r w:rsidR="00BB64F1">
        <w:t xml:space="preserve"> NBS would </w:t>
      </w:r>
      <w:r w:rsidR="006355FB">
        <w:t>detect</w:t>
      </w:r>
      <w:r w:rsidR="00BB64F1">
        <w:t xml:space="preserve"> an additional 55 cases </w:t>
      </w:r>
      <w:r w:rsidR="000D636B">
        <w:t>of SCD per year pre-symptomatically</w:t>
      </w:r>
      <w:r w:rsidRPr="001D5299">
        <w:t>.</w:t>
      </w:r>
    </w:p>
    <w:p w14:paraId="247CE1F5" w14:textId="66490C12" w:rsidR="007D29E1" w:rsidRDefault="00466E41" w:rsidP="007D29E1">
      <w:pPr>
        <w:rPr>
          <w:rStyle w:val="eop"/>
          <w:color w:val="000000"/>
          <w:shd w:val="clear" w:color="auto" w:fill="FFFFFF"/>
        </w:rPr>
      </w:pPr>
      <w:r>
        <w:t xml:space="preserve">Regarding safety, MSAC considered there to be no additional direct harm from adding another condition to NBS as it would use </w:t>
      </w:r>
      <w:r w:rsidR="00D536EA">
        <w:t xml:space="preserve">part of </w:t>
      </w:r>
      <w:r>
        <w:t xml:space="preserve">the same bloodspot already collected. </w:t>
      </w:r>
      <w:r w:rsidR="00CE31B2">
        <w:rPr>
          <w:rStyle w:val="normaltextrun"/>
          <w:color w:val="000000"/>
          <w:shd w:val="clear" w:color="auto" w:fill="FFFFFF"/>
        </w:rPr>
        <w:t>MSAC considered t</w:t>
      </w:r>
      <w:r w:rsidR="007D29E1">
        <w:rPr>
          <w:rStyle w:val="normaltextrun"/>
          <w:color w:val="000000"/>
          <w:shd w:val="clear" w:color="auto" w:fill="FFFFFF"/>
        </w:rPr>
        <w:t>here may be psychological and social impacts associated with receiving</w:t>
      </w:r>
      <w:r w:rsidR="009679A4">
        <w:rPr>
          <w:rStyle w:val="normaltextrun"/>
          <w:color w:val="000000"/>
          <w:shd w:val="clear" w:color="auto" w:fill="FFFFFF"/>
        </w:rPr>
        <w:t xml:space="preserve"> a</w:t>
      </w:r>
      <w:r w:rsidR="007D29E1">
        <w:rPr>
          <w:rStyle w:val="normaltextrun"/>
          <w:color w:val="000000"/>
          <w:shd w:val="clear" w:color="auto" w:fill="FFFFFF"/>
        </w:rPr>
        <w:t xml:space="preserve"> positive </w:t>
      </w:r>
      <w:r w:rsidR="009679A4">
        <w:rPr>
          <w:rStyle w:val="normaltextrun"/>
          <w:color w:val="000000"/>
          <w:shd w:val="clear" w:color="auto" w:fill="FFFFFF"/>
        </w:rPr>
        <w:t>diagnosis</w:t>
      </w:r>
      <w:r w:rsidR="007A2B7B">
        <w:rPr>
          <w:rStyle w:val="normaltextrun"/>
          <w:color w:val="000000"/>
          <w:shd w:val="clear" w:color="auto" w:fill="FFFFFF"/>
        </w:rPr>
        <w:t xml:space="preserve"> though NBS</w:t>
      </w:r>
      <w:r w:rsidR="009679A4">
        <w:rPr>
          <w:rStyle w:val="normaltextrun"/>
          <w:color w:val="000000"/>
          <w:shd w:val="clear" w:color="auto" w:fill="FFFFFF"/>
        </w:rPr>
        <w:t>, although</w:t>
      </w:r>
      <w:r w:rsidR="007D29E1">
        <w:rPr>
          <w:rStyle w:val="normaltextrun"/>
          <w:color w:val="000000"/>
          <w:shd w:val="clear" w:color="auto" w:fill="FFFFFF"/>
        </w:rPr>
        <w:t xml:space="preserve"> these impacts </w:t>
      </w:r>
      <w:r w:rsidR="007A2B7B">
        <w:rPr>
          <w:rStyle w:val="normaltextrun"/>
          <w:color w:val="000000"/>
          <w:shd w:val="clear" w:color="auto" w:fill="FFFFFF"/>
        </w:rPr>
        <w:t>would be</w:t>
      </w:r>
      <w:r w:rsidR="007D29E1">
        <w:rPr>
          <w:rStyle w:val="normaltextrun"/>
          <w:color w:val="000000"/>
          <w:shd w:val="clear" w:color="auto" w:fill="FFFFFF"/>
        </w:rPr>
        <w:t xml:space="preserve"> experienced earlier </w:t>
      </w:r>
      <w:r w:rsidR="007A2B7B">
        <w:rPr>
          <w:rStyle w:val="normaltextrun"/>
          <w:color w:val="000000"/>
          <w:shd w:val="clear" w:color="auto" w:fill="FFFFFF"/>
        </w:rPr>
        <w:t xml:space="preserve">with NBS but </w:t>
      </w:r>
      <w:r w:rsidR="00351FC0">
        <w:rPr>
          <w:rStyle w:val="normaltextrun"/>
          <w:color w:val="000000"/>
          <w:shd w:val="clear" w:color="auto" w:fill="FFFFFF"/>
        </w:rPr>
        <w:t>would</w:t>
      </w:r>
      <w:r w:rsidR="007A2B7B">
        <w:rPr>
          <w:rStyle w:val="normaltextrun"/>
          <w:color w:val="000000"/>
          <w:shd w:val="clear" w:color="auto" w:fill="FFFFFF"/>
        </w:rPr>
        <w:t xml:space="preserve"> not </w:t>
      </w:r>
      <w:r w:rsidR="00351FC0">
        <w:rPr>
          <w:rStyle w:val="normaltextrun"/>
          <w:color w:val="000000"/>
          <w:shd w:val="clear" w:color="auto" w:fill="FFFFFF"/>
        </w:rPr>
        <w:t xml:space="preserve">be </w:t>
      </w:r>
      <w:r w:rsidR="007A2B7B">
        <w:rPr>
          <w:rStyle w:val="normaltextrun"/>
          <w:color w:val="000000"/>
          <w:shd w:val="clear" w:color="auto" w:fill="FFFFFF"/>
        </w:rPr>
        <w:t>additional</w:t>
      </w:r>
      <w:r w:rsidR="007D29E1">
        <w:rPr>
          <w:rStyle w:val="normaltextrun"/>
          <w:color w:val="000000"/>
          <w:shd w:val="clear" w:color="auto" w:fill="FFFFFF"/>
        </w:rPr>
        <w:t xml:space="preserve">. </w:t>
      </w:r>
      <w:r w:rsidR="00774894">
        <w:rPr>
          <w:rStyle w:val="normaltextrun"/>
          <w:color w:val="000000"/>
          <w:shd w:val="clear" w:color="auto" w:fill="FFFFFF"/>
        </w:rPr>
        <w:t>Potential harms could also arise from false positive or false negative test results, but</w:t>
      </w:r>
      <w:r w:rsidR="00DB6A8E">
        <w:rPr>
          <w:rStyle w:val="normaltextrun"/>
          <w:color w:val="000000"/>
          <w:shd w:val="clear" w:color="auto" w:fill="FFFFFF"/>
        </w:rPr>
        <w:t xml:space="preserve"> </w:t>
      </w:r>
      <w:r w:rsidR="00774894">
        <w:rPr>
          <w:rStyle w:val="normaltextrun"/>
          <w:color w:val="000000"/>
          <w:shd w:val="clear" w:color="auto" w:fill="FFFFFF"/>
        </w:rPr>
        <w:t>given the accuracy of two-tiered screening</w:t>
      </w:r>
      <w:r w:rsidR="00D536EA">
        <w:rPr>
          <w:rStyle w:val="normaltextrun"/>
          <w:color w:val="000000"/>
          <w:shd w:val="clear" w:color="auto" w:fill="FFFFFF"/>
        </w:rPr>
        <w:t>,</w:t>
      </w:r>
      <w:r w:rsidR="00774894">
        <w:rPr>
          <w:rStyle w:val="normaltextrun"/>
          <w:color w:val="000000"/>
          <w:shd w:val="clear" w:color="auto" w:fill="FFFFFF"/>
        </w:rPr>
        <w:t xml:space="preserve"> MSAC considered false results were unlikely. </w:t>
      </w:r>
      <w:r w:rsidR="007D29E1">
        <w:rPr>
          <w:rStyle w:val="normaltextrun"/>
          <w:color w:val="000000"/>
          <w:shd w:val="clear" w:color="auto" w:fill="FFFFFF"/>
        </w:rPr>
        <w:t xml:space="preserve">The main safety issues relating to NBS </w:t>
      </w:r>
      <w:r w:rsidR="00351FC0">
        <w:rPr>
          <w:rStyle w:val="normaltextrun"/>
          <w:color w:val="000000"/>
          <w:shd w:val="clear" w:color="auto" w:fill="FFFFFF"/>
        </w:rPr>
        <w:t xml:space="preserve">for SCD were </w:t>
      </w:r>
      <w:r w:rsidR="007D29E1">
        <w:rPr>
          <w:rStyle w:val="normaltextrun"/>
          <w:color w:val="000000"/>
          <w:shd w:val="clear" w:color="auto" w:fill="FFFFFF"/>
        </w:rPr>
        <w:t xml:space="preserve">therefore </w:t>
      </w:r>
      <w:r w:rsidR="00351FC0">
        <w:rPr>
          <w:rStyle w:val="normaltextrun"/>
          <w:color w:val="000000"/>
          <w:shd w:val="clear" w:color="auto" w:fill="FFFFFF"/>
        </w:rPr>
        <w:t>potential harms</w:t>
      </w:r>
      <w:r w:rsidR="007D29E1">
        <w:rPr>
          <w:rStyle w:val="normaltextrun"/>
          <w:color w:val="000000"/>
          <w:shd w:val="clear" w:color="auto" w:fill="FFFFFF"/>
        </w:rPr>
        <w:t xml:space="preserve"> associated with treatments for SCD received by newborns diagnosed early by NBS that are over and above those received by babies diagnosed at a later age</w:t>
      </w:r>
      <w:r w:rsidR="00100545">
        <w:rPr>
          <w:rStyle w:val="normaltextrun"/>
          <w:color w:val="000000"/>
          <w:shd w:val="clear" w:color="auto" w:fill="FFFFFF"/>
        </w:rPr>
        <w:t xml:space="preserve">, however MSAC considered </w:t>
      </w:r>
      <w:r w:rsidR="007D29E1">
        <w:rPr>
          <w:rStyle w:val="normaltextrun"/>
          <w:color w:val="000000"/>
          <w:shd w:val="clear" w:color="auto" w:fill="FFFFFF"/>
        </w:rPr>
        <w:t xml:space="preserve">the harms associated from SCD complications due to non-receipt of guideline recommended prophylaxis </w:t>
      </w:r>
      <w:r w:rsidR="00100545">
        <w:rPr>
          <w:rStyle w:val="normaltextrun"/>
          <w:color w:val="000000"/>
          <w:shd w:val="clear" w:color="auto" w:fill="FFFFFF"/>
        </w:rPr>
        <w:t>we</w:t>
      </w:r>
      <w:r w:rsidR="007D29E1">
        <w:rPr>
          <w:rStyle w:val="normaltextrun"/>
          <w:color w:val="000000"/>
          <w:shd w:val="clear" w:color="auto" w:fill="FFFFFF"/>
        </w:rPr>
        <w:t>re likely to be greater than from the prophylactic interventions themselves.</w:t>
      </w:r>
      <w:r w:rsidR="00100545">
        <w:rPr>
          <w:rStyle w:val="normaltextrun"/>
          <w:color w:val="000000"/>
          <w:shd w:val="clear" w:color="auto" w:fill="FFFFFF"/>
        </w:rPr>
        <w:t xml:space="preserve"> Overall, MSAC advised NBS for SCD was comparatively safe.</w:t>
      </w:r>
    </w:p>
    <w:p w14:paraId="4D621C9F" w14:textId="53B7F574" w:rsidR="006220CC" w:rsidRDefault="006220CC" w:rsidP="005731CB">
      <w:r>
        <w:t xml:space="preserve">MSAC noted the </w:t>
      </w:r>
      <w:proofErr w:type="spellStart"/>
      <w:r>
        <w:t>HbR</w:t>
      </w:r>
      <w:proofErr w:type="spellEnd"/>
      <w:r>
        <w:t xml:space="preserve"> report showed the median age of diagnosis was 2</w:t>
      </w:r>
      <w:r w:rsidR="008E7C4F">
        <w:t>.4</w:t>
      </w:r>
      <w:r>
        <w:t xml:space="preserve"> months in the pre-symptomatically diagnosed group, versus 15.6 months in patients diagnosed at symptom onset.</w:t>
      </w:r>
      <w:r w:rsidRPr="003C0819">
        <w:t xml:space="preserve"> </w:t>
      </w:r>
      <w:r w:rsidR="006C3949">
        <w:t xml:space="preserve">MSAC </w:t>
      </w:r>
      <w:r w:rsidR="00417420">
        <w:t xml:space="preserve">recalled it had previously </w:t>
      </w:r>
      <w:r w:rsidR="003C2843">
        <w:t>accepted</w:t>
      </w:r>
      <w:r w:rsidR="00417420">
        <w:t xml:space="preserve"> that NBS would result in an earlier diagnosis than </w:t>
      </w:r>
      <w:r w:rsidR="00196D17">
        <w:t xml:space="preserve">at </w:t>
      </w:r>
      <w:r w:rsidR="00417420">
        <w:t xml:space="preserve">symptomatic </w:t>
      </w:r>
      <w:proofErr w:type="gramStart"/>
      <w:r w:rsidR="00417420">
        <w:t>presentation, and</w:t>
      </w:r>
      <w:proofErr w:type="gramEnd"/>
      <w:r w:rsidR="00417420">
        <w:t xml:space="preserve"> </w:t>
      </w:r>
      <w:r w:rsidR="006C3949">
        <w:t xml:space="preserve">considered that </w:t>
      </w:r>
      <w:r w:rsidR="00060100">
        <w:t xml:space="preserve">while the </w:t>
      </w:r>
      <w:proofErr w:type="spellStart"/>
      <w:r w:rsidR="00060100">
        <w:t>HbR</w:t>
      </w:r>
      <w:proofErr w:type="spellEnd"/>
      <w:r w:rsidR="00060100">
        <w:t xml:space="preserve"> evidence was based on existing targeted testing</w:t>
      </w:r>
      <w:r w:rsidR="005651CE">
        <w:t xml:space="preserve"> rather than universal NBS</w:t>
      </w:r>
      <w:r w:rsidR="00060100">
        <w:t xml:space="preserve"> it </w:t>
      </w:r>
      <w:r w:rsidR="00417420">
        <w:t xml:space="preserve">also </w:t>
      </w:r>
      <w:r w:rsidR="00C80E14">
        <w:t xml:space="preserve">supported the </w:t>
      </w:r>
      <w:r w:rsidR="00060100">
        <w:t>reasoning</w:t>
      </w:r>
      <w:r w:rsidR="00C80E14">
        <w:t xml:space="preserve"> that adding SCD to </w:t>
      </w:r>
      <w:r w:rsidR="00D71B72">
        <w:t xml:space="preserve">universal </w:t>
      </w:r>
      <w:r w:rsidR="00C80E14">
        <w:t>NBS would result in earlier diagnosis</w:t>
      </w:r>
      <w:r w:rsidR="00D71B72">
        <w:t xml:space="preserve"> of SCD cases</w:t>
      </w:r>
      <w:r w:rsidR="00C80E14">
        <w:t>.</w:t>
      </w:r>
      <w:r w:rsidR="006C3949">
        <w:t xml:space="preserve"> </w:t>
      </w:r>
      <w:r>
        <w:t xml:space="preserve">MSAC </w:t>
      </w:r>
      <w:r w:rsidR="003C2843">
        <w:t>further</w:t>
      </w:r>
      <w:r w:rsidR="00C80E14">
        <w:t xml:space="preserve"> </w:t>
      </w:r>
      <w:r>
        <w:t xml:space="preserve">noted that the median age at symptomatic diagnosis of SCD was substantially older than age at diagnosis in countries such as the USA where SCD is more prevalent, which it considered aligned with its experience </w:t>
      </w:r>
      <w:r w:rsidR="00060100">
        <w:t xml:space="preserve">that </w:t>
      </w:r>
      <w:r>
        <w:t>Australian healthcare services are less attuned to SCD given its rarity in Australia and supported the clinical need to add SCD to NBS in Australia.</w:t>
      </w:r>
    </w:p>
    <w:p w14:paraId="3A746251" w14:textId="52DECC0F" w:rsidR="007037C8" w:rsidRDefault="00100545" w:rsidP="005731CB">
      <w:r>
        <w:t xml:space="preserve">MSAC recalled its primary </w:t>
      </w:r>
      <w:r w:rsidR="00AD142C">
        <w:t>concern at its July 2023 consideration of this application had been</w:t>
      </w:r>
      <w:r w:rsidR="00B6560A" w:rsidRPr="00B6560A">
        <w:t xml:space="preserve"> </w:t>
      </w:r>
      <w:r w:rsidR="00B6560A">
        <w:t>that the evidence had not demonstrated an early diagnosis through NBS would result in meaningful change in management in the Australian context with resulting health outcome improvement.</w:t>
      </w:r>
      <w:r w:rsidR="005731CB">
        <w:t xml:space="preserve"> </w:t>
      </w:r>
      <w:r w:rsidR="00E47744">
        <w:t xml:space="preserve">MSAC noted there was no new direct evidence, and the FFP overview presented an updated linked assessment for comparative effectiveness. </w:t>
      </w:r>
      <w:r w:rsidR="007D29E1">
        <w:t xml:space="preserve">MSAC noted </w:t>
      </w:r>
      <w:r w:rsidR="007D29E1" w:rsidRPr="003C0819">
        <w:t xml:space="preserve">the observational data from the </w:t>
      </w:r>
      <w:proofErr w:type="spellStart"/>
      <w:r w:rsidR="007D29E1" w:rsidRPr="003C0819">
        <w:t>HbR</w:t>
      </w:r>
      <w:proofErr w:type="spellEnd"/>
      <w:r w:rsidR="007D29E1" w:rsidRPr="003C0819">
        <w:t xml:space="preserve"> </w:t>
      </w:r>
      <w:r w:rsidR="005731CB">
        <w:t>indicated</w:t>
      </w:r>
      <w:r w:rsidR="009473A1">
        <w:t xml:space="preserve"> compared to those diagnosed at or after symptom onset,</w:t>
      </w:r>
      <w:r w:rsidR="005731CB" w:rsidRPr="003C0819">
        <w:t xml:space="preserve"> </w:t>
      </w:r>
      <w:r w:rsidR="007D29E1" w:rsidRPr="003C0819">
        <w:t xml:space="preserve">those who were diagnosed </w:t>
      </w:r>
      <w:r w:rsidR="005E1814">
        <w:t>pre</w:t>
      </w:r>
      <w:r w:rsidR="00316F73">
        <w:t>-</w:t>
      </w:r>
      <w:r w:rsidR="005E1814">
        <w:t>symptomatically</w:t>
      </w:r>
      <w:r w:rsidR="005E1814" w:rsidRPr="003C0819">
        <w:t xml:space="preserve"> </w:t>
      </w:r>
      <w:r w:rsidR="007D29E1" w:rsidRPr="003C0819">
        <w:t xml:space="preserve">were more likely to receive prophylactic antibiotics </w:t>
      </w:r>
      <w:r w:rsidR="00185536">
        <w:t xml:space="preserve">(67% vs </w:t>
      </w:r>
      <w:r w:rsidR="009473A1">
        <w:t xml:space="preserve">47%) </w:t>
      </w:r>
      <w:r w:rsidR="007D29E1" w:rsidRPr="003C0819">
        <w:t>and were more likely to have a transcranial Doppler performed to predict the risk of stroke</w:t>
      </w:r>
      <w:r w:rsidR="00995807">
        <w:t xml:space="preserve"> (84% vs 56%)</w:t>
      </w:r>
      <w:r w:rsidR="007D29E1" w:rsidRPr="003C0819">
        <w:t xml:space="preserve">. </w:t>
      </w:r>
      <w:r w:rsidR="003941E5">
        <w:t>Some</w:t>
      </w:r>
      <w:r w:rsidR="003941E5" w:rsidRPr="003C0819">
        <w:t xml:space="preserve"> </w:t>
      </w:r>
      <w:r w:rsidR="007D29E1" w:rsidRPr="003C0819">
        <w:t>differences in the management were statistically significant between patients diagnosed early versus late, although this was not a comparison between the intervention and the comparator.</w:t>
      </w:r>
      <w:r w:rsidR="002F74F9">
        <w:t xml:space="preserve"> </w:t>
      </w:r>
      <w:r w:rsidR="002274F5">
        <w:t xml:space="preserve">MSAC also noted that </w:t>
      </w:r>
      <w:r w:rsidR="005A2987">
        <w:t>stem cell transplantation is currently a treatment option for severe SCD and</w:t>
      </w:r>
      <w:r w:rsidR="002274F5">
        <w:t xml:space="preserve"> new therapies for SCD including gene therapies have recently been approved internationally, so </w:t>
      </w:r>
      <w:r w:rsidR="00184CB6">
        <w:t xml:space="preserve">considered that </w:t>
      </w:r>
      <w:r w:rsidR="002274F5">
        <w:t xml:space="preserve">change in management </w:t>
      </w:r>
      <w:r w:rsidR="005326D1">
        <w:t xml:space="preserve">from an early SCD diagnosis </w:t>
      </w:r>
      <w:r w:rsidR="002274F5">
        <w:t xml:space="preserve">in Australia may be greater in the future. </w:t>
      </w:r>
      <w:r w:rsidR="00042D4B">
        <w:t xml:space="preserve">Overall, </w:t>
      </w:r>
      <w:r w:rsidR="002F74F9">
        <w:t xml:space="preserve">MSAC considered the </w:t>
      </w:r>
      <w:r w:rsidR="008F5CDB">
        <w:t>evidence showed NBS for SCD would result in meaningful change in management in the Australian context.</w:t>
      </w:r>
    </w:p>
    <w:p w14:paraId="0E7BCBDC" w14:textId="715FC247" w:rsidR="007D29E1" w:rsidRPr="000A06BE" w:rsidRDefault="5464DC55" w:rsidP="007D29E1">
      <w:r>
        <w:t>Regarding</w:t>
      </w:r>
      <w:r w:rsidR="51108E3F">
        <w:t xml:space="preserve"> health outcomes, MSAC noted the </w:t>
      </w:r>
      <w:proofErr w:type="spellStart"/>
      <w:r w:rsidR="51108E3F">
        <w:t>HbR</w:t>
      </w:r>
      <w:proofErr w:type="spellEnd"/>
      <w:r w:rsidR="51108E3F">
        <w:t xml:space="preserve"> </w:t>
      </w:r>
      <w:r w:rsidR="68AF9C95">
        <w:t>report</w:t>
      </w:r>
      <w:r w:rsidR="51108E3F">
        <w:t xml:space="preserve"> showed </w:t>
      </w:r>
      <w:r w:rsidR="3E33B179">
        <w:t>higher rates of a range of complications amongst patients diagnosed late</w:t>
      </w:r>
      <w:r w:rsidR="6F15202D">
        <w:t xml:space="preserve"> compared to those diagnosed early</w:t>
      </w:r>
      <w:r w:rsidR="00BA68B6">
        <w:t xml:space="preserve"> (</w:t>
      </w:r>
      <w:r w:rsidR="00BA68B6">
        <w:rPr>
          <w:rStyle w:val="ui-provider"/>
        </w:rPr>
        <w:fldChar w:fldCharType="begin"/>
      </w:r>
      <w:r w:rsidR="00BA68B6">
        <w:rPr>
          <w:rStyle w:val="ui-provider"/>
        </w:rPr>
        <w:instrText xml:space="preserve"> REF _Ref149056564 \h </w:instrText>
      </w:r>
      <w:r w:rsidR="00BA68B6">
        <w:rPr>
          <w:rStyle w:val="ui-provider"/>
        </w:rPr>
      </w:r>
      <w:r w:rsidR="00BA68B6">
        <w:rPr>
          <w:rStyle w:val="ui-provider"/>
        </w:rPr>
        <w:fldChar w:fldCharType="separate"/>
      </w:r>
      <w:r w:rsidR="007D770C">
        <w:t xml:space="preserve">Table </w:t>
      </w:r>
      <w:r w:rsidR="007D770C">
        <w:rPr>
          <w:noProof/>
        </w:rPr>
        <w:t>11</w:t>
      </w:r>
      <w:r w:rsidR="00BA68B6">
        <w:rPr>
          <w:rStyle w:val="ui-provider"/>
        </w:rPr>
        <w:fldChar w:fldCharType="end"/>
      </w:r>
      <w:r w:rsidR="00BA68B6">
        <w:t>)</w:t>
      </w:r>
      <w:r w:rsidR="00FB35EB">
        <w:t>. MSAC noted the differences were statistically significant between patients diagnosed early versus late for some outcomes</w:t>
      </w:r>
      <w:r w:rsidR="00FA328D">
        <w:t xml:space="preserve"> (e.g. sepsis, chole</w:t>
      </w:r>
      <w:r w:rsidR="0024111A">
        <w:t>cystectomy)</w:t>
      </w:r>
      <w:r w:rsidR="3E33B179">
        <w:t xml:space="preserve">, although for nearly all </w:t>
      </w:r>
      <w:r w:rsidR="00296D0D">
        <w:t xml:space="preserve">complication </w:t>
      </w:r>
      <w:r w:rsidR="3E33B179">
        <w:t>outcomes the differences were too small to be statistically significant</w:t>
      </w:r>
      <w:r w:rsidR="00FA45DC">
        <w:t xml:space="preserve">, and this was not a comparison between the intervention and the comparator (because the comparator </w:t>
      </w:r>
      <w:r w:rsidR="004238CC">
        <w:t>includes nearly half of SCD patients being diagnosed pre-symptomatically</w:t>
      </w:r>
      <w:r w:rsidR="009B752B">
        <w:t>, so the difference between intervention and comparator will be less than the difference between early versus late diagnosis</w:t>
      </w:r>
      <w:r w:rsidR="004238CC">
        <w:t>)</w:t>
      </w:r>
      <w:r w:rsidR="6F15202D">
        <w:t xml:space="preserve">. </w:t>
      </w:r>
      <w:r w:rsidR="2BF6DF62">
        <w:t>Compared to diagnosis at or after symptom onset, p</w:t>
      </w:r>
      <w:r w:rsidR="518F4CD6">
        <w:t xml:space="preserve">re-symptomatic diagnosis was associated with </w:t>
      </w:r>
      <w:r w:rsidR="658B2B9B">
        <w:t xml:space="preserve">changes to health outcomes including </w:t>
      </w:r>
      <w:r w:rsidR="518F4CD6">
        <w:t xml:space="preserve">reduced </w:t>
      </w:r>
      <w:r w:rsidR="1102D7A9">
        <w:t xml:space="preserve">SCD-related </w:t>
      </w:r>
      <w:r w:rsidR="6F15202D">
        <w:t>e</w:t>
      </w:r>
      <w:r w:rsidR="518F4CD6">
        <w:t xml:space="preserve">mergency </w:t>
      </w:r>
      <w:r w:rsidR="6F15202D">
        <w:t>d</w:t>
      </w:r>
      <w:r w:rsidR="518F4CD6">
        <w:t>epartment presentation</w:t>
      </w:r>
      <w:r w:rsidR="1102D7A9">
        <w:t>s in the past 12 months (</w:t>
      </w:r>
      <w:r w:rsidR="2BF6DF62">
        <w:t>0 presentations in 6</w:t>
      </w:r>
      <w:r w:rsidR="68AF60DA">
        <w:t>3</w:t>
      </w:r>
      <w:r w:rsidR="2BF6DF62">
        <w:t>% vs 47% of cases)</w:t>
      </w:r>
      <w:r w:rsidR="518F4CD6">
        <w:t xml:space="preserve"> and hospital admissions</w:t>
      </w:r>
      <w:r w:rsidR="20F5CCC5">
        <w:t xml:space="preserve"> in the past 12 months (0 admissions in 6</w:t>
      </w:r>
      <w:r w:rsidR="68AF60DA">
        <w:t>9</w:t>
      </w:r>
      <w:r w:rsidR="20F5CCC5">
        <w:t>% vs 4</w:t>
      </w:r>
      <w:r w:rsidR="68AF60DA">
        <w:t>6</w:t>
      </w:r>
      <w:r w:rsidR="20F5CCC5">
        <w:t>% of cases</w:t>
      </w:r>
      <w:r w:rsidR="73E55CFD">
        <w:t>; excluding planned transfusion admissions</w:t>
      </w:r>
      <w:r w:rsidR="20F5CCC5">
        <w:t>)</w:t>
      </w:r>
      <w:r w:rsidR="518F4CD6">
        <w:t>,</w:t>
      </w:r>
      <w:r w:rsidR="20F5CCC5">
        <w:t xml:space="preserve"> </w:t>
      </w:r>
      <w:r w:rsidR="658B2B9B">
        <w:t>and</w:t>
      </w:r>
      <w:r w:rsidR="518F4CD6">
        <w:t xml:space="preserve"> reduced </w:t>
      </w:r>
      <w:r w:rsidR="0BFE8F7D">
        <w:t xml:space="preserve">history </w:t>
      </w:r>
      <w:r w:rsidR="518F4CD6">
        <w:t>of sepsis</w:t>
      </w:r>
      <w:r w:rsidR="428A8F6C">
        <w:t xml:space="preserve"> (4% vs 31%)</w:t>
      </w:r>
      <w:r w:rsidR="518F4CD6">
        <w:t xml:space="preserve"> and cholecystectomy</w:t>
      </w:r>
      <w:r w:rsidR="428A8F6C">
        <w:t xml:space="preserve"> (8% vs</w:t>
      </w:r>
      <w:r w:rsidR="68AF60DA">
        <w:t xml:space="preserve"> 25%)</w:t>
      </w:r>
      <w:r w:rsidR="518F4CD6" w:rsidRPr="5638CAA4">
        <w:rPr>
          <w:rFonts w:ascii="Arial" w:hAnsi="Arial" w:cs="Arial"/>
        </w:rPr>
        <w:t>​</w:t>
      </w:r>
      <w:r w:rsidR="518F4CD6">
        <w:t>.</w:t>
      </w:r>
      <w:r w:rsidR="68AF60DA">
        <w:t xml:space="preserve"> MSAC noted the registry data showed early diagnosis was associated with both</w:t>
      </w:r>
      <w:r w:rsidR="11CE92A5">
        <w:t xml:space="preserve"> change in management and improved health </w:t>
      </w:r>
      <w:proofErr w:type="gramStart"/>
      <w:r w:rsidR="11CE92A5">
        <w:t>outcomes, but</w:t>
      </w:r>
      <w:proofErr w:type="gramEnd"/>
      <w:r w:rsidR="11CE92A5">
        <w:t xml:space="preserve"> did not directly show that the change in management caused the improved health </w:t>
      </w:r>
      <w:r w:rsidR="00802D96">
        <w:t>outcomes</w:t>
      </w:r>
      <w:r w:rsidR="1E99BC8E">
        <w:t>.</w:t>
      </w:r>
      <w:r w:rsidR="11CE92A5">
        <w:t xml:space="preserve"> MSAC considered that </w:t>
      </w:r>
      <w:r w:rsidR="0F375C1B">
        <w:t xml:space="preserve">causality could reasonably be inferred because international </w:t>
      </w:r>
      <w:r w:rsidR="2A31D4BB">
        <w:t>evidence-based</w:t>
      </w:r>
      <w:r w:rsidR="0F375C1B">
        <w:t xml:space="preserve"> guidelines recommend </w:t>
      </w:r>
      <w:r w:rsidR="383AB589">
        <w:t>various</w:t>
      </w:r>
      <w:r w:rsidR="0F375C1B">
        <w:t xml:space="preserve"> change</w:t>
      </w:r>
      <w:r w:rsidR="383AB589">
        <w:t>s</w:t>
      </w:r>
      <w:r w:rsidR="0F375C1B">
        <w:t xml:space="preserve"> in management</w:t>
      </w:r>
      <w:r w:rsidR="383AB589">
        <w:t xml:space="preserve"> for patients with SCD</w:t>
      </w:r>
      <w:r w:rsidR="0F375C1B">
        <w:t xml:space="preserve">, because </w:t>
      </w:r>
      <w:r w:rsidR="383AB589">
        <w:t xml:space="preserve">they are well established to improve health outcomes. Overall, MSAC </w:t>
      </w:r>
      <w:r w:rsidR="3256605F">
        <w:t>advised</w:t>
      </w:r>
      <w:r w:rsidR="383AB589">
        <w:t xml:space="preserve"> the registry evidence demonstrated </w:t>
      </w:r>
      <w:r w:rsidR="3256605F">
        <w:t>health outcome improvement from a pre-symptomatic diagnosis of SCD.</w:t>
      </w:r>
    </w:p>
    <w:p w14:paraId="1873E00E" w14:textId="2D8EFEF5" w:rsidR="00F34D41" w:rsidRDefault="00415E4D" w:rsidP="007D29E1">
      <w:r>
        <w:t>The 1737</w:t>
      </w:r>
      <w:r w:rsidR="00E43E26">
        <w:t xml:space="preserve"> DCAR</w:t>
      </w:r>
      <w:r>
        <w:t xml:space="preserve"> used </w:t>
      </w:r>
      <w:r w:rsidRPr="00415E4D">
        <w:t>matrix-assisted laser desorption/ionisation time-of-flight mass spectrometry</w:t>
      </w:r>
      <w:r>
        <w:t xml:space="preserve"> (MALDI-TOF) as the base case </w:t>
      </w:r>
      <w:r w:rsidR="00E43E26">
        <w:t xml:space="preserve">first-tier screening </w:t>
      </w:r>
      <w:r>
        <w:t>method</w:t>
      </w:r>
      <w:r w:rsidR="00E43E26">
        <w:t>, and</w:t>
      </w:r>
      <w:r>
        <w:t xml:space="preserve"> </w:t>
      </w:r>
      <w:r w:rsidR="00E43E26">
        <w:t>a</w:t>
      </w:r>
      <w:r w:rsidR="007D29E1">
        <w:t>t its July 2023 meeting</w:t>
      </w:r>
      <w:r w:rsidR="007D29E1" w:rsidRPr="00DE0801">
        <w:t xml:space="preserve">, </w:t>
      </w:r>
      <w:r w:rsidR="0050468E">
        <w:t>“</w:t>
      </w:r>
      <w:r w:rsidR="007D29E1" w:rsidRPr="000A06BE">
        <w:rPr>
          <w:i/>
          <w:iCs/>
        </w:rPr>
        <w:t xml:space="preserve">MSAC considered that $10 per </w:t>
      </w:r>
      <w:r w:rsidR="00576B37">
        <w:rPr>
          <w:i/>
          <w:iCs/>
        </w:rPr>
        <w:t xml:space="preserve">[MALDI-TOF] </w:t>
      </w:r>
      <w:r w:rsidR="007D29E1" w:rsidRPr="000A06BE">
        <w:rPr>
          <w:i/>
          <w:iCs/>
        </w:rPr>
        <w:t>test would be relatively costly for a universal screening program first-tier test, and that less costly methods should be equally capable of providing a diagnosis</w:t>
      </w:r>
      <w:r w:rsidR="00EF0A15">
        <w:t xml:space="preserve">” (1737 PSD, </w:t>
      </w:r>
      <w:proofErr w:type="spellStart"/>
      <w:r w:rsidR="00EF0A15">
        <w:t>pg</w:t>
      </w:r>
      <w:proofErr w:type="spellEnd"/>
      <w:r w:rsidR="00EF0A15">
        <w:t xml:space="preserve"> 7)</w:t>
      </w:r>
      <w:r w:rsidR="007D29E1" w:rsidRPr="00DE0801">
        <w:t xml:space="preserve">. </w:t>
      </w:r>
      <w:r w:rsidR="00F13B05" w:rsidRPr="00DE0801">
        <w:t xml:space="preserve">MSAC noted that an expert consulted during preparation of the FFP </w:t>
      </w:r>
      <w:r w:rsidR="00F13B05">
        <w:t>overview</w:t>
      </w:r>
      <w:r w:rsidR="00F13B05" w:rsidRPr="00DE0801">
        <w:t xml:space="preserve"> advi</w:t>
      </w:r>
      <w:r w:rsidR="00F13B05">
        <w:t>s</w:t>
      </w:r>
      <w:r w:rsidR="00F13B05" w:rsidRPr="00DE0801">
        <w:t>e</w:t>
      </w:r>
      <w:r w:rsidR="00F13B05">
        <w:t>d</w:t>
      </w:r>
      <w:r w:rsidR="00F13B05" w:rsidRPr="00DE0801">
        <w:t xml:space="preserve"> that electrospray ionisation tandem mass spectrometry (ESI MS/MS) would be a more appropriate method for the first-tier test</w:t>
      </w:r>
      <w:r w:rsidR="00F13B05">
        <w:t xml:space="preserve"> than MALDI-TOF</w:t>
      </w:r>
      <w:r w:rsidR="00F13B05" w:rsidRPr="00DE0801">
        <w:t xml:space="preserve">, and also provided costing estimates </w:t>
      </w:r>
      <w:r w:rsidR="00F13B05">
        <w:t>for this method, which varied depending</w:t>
      </w:r>
      <w:r w:rsidR="00F13B05" w:rsidRPr="00DE0801">
        <w:t xml:space="preserve"> on </w:t>
      </w:r>
      <w:r w:rsidR="00F13B05">
        <w:t xml:space="preserve">whether or not new infrastructure was required to add screening for SCD, and </w:t>
      </w:r>
      <w:r w:rsidR="00F13B05" w:rsidRPr="00DE0801">
        <w:t xml:space="preserve">the number of newborns screened by the laboratory. </w:t>
      </w:r>
      <w:r w:rsidR="001A088D">
        <w:t xml:space="preserve">MSAC noted NBS laboratories may also opt for a different method than ESI-MS/MS depending on their current instrumentation and methodologies used, capacity and workload. MSAC considered that </w:t>
      </w:r>
      <w:proofErr w:type="gramStart"/>
      <w:r w:rsidR="001A088D">
        <w:t>all of</w:t>
      </w:r>
      <w:proofErr w:type="gramEnd"/>
      <w:r w:rsidR="001A088D">
        <w:t xml:space="preserve"> the methods assessed by the 1737 DCAR and 1737.1 FFP overview had acceptable analytical validity, although IEF</w:t>
      </w:r>
      <w:r w:rsidR="002B593A">
        <w:t xml:space="preserve"> </w:t>
      </w:r>
      <w:r w:rsidR="001A088D">
        <w:t xml:space="preserve">was unlikely to be used in practice. </w:t>
      </w:r>
      <w:r w:rsidR="007D29E1" w:rsidRPr="00DE0801">
        <w:t xml:space="preserve">The </w:t>
      </w:r>
      <w:r w:rsidR="007A0FC2">
        <w:t xml:space="preserve">FFP overview </w:t>
      </w:r>
      <w:r w:rsidR="0046784D">
        <w:t xml:space="preserve">used </w:t>
      </w:r>
      <w:r w:rsidR="008F1D3C">
        <w:t xml:space="preserve">$2 as its </w:t>
      </w:r>
      <w:r w:rsidR="007D29E1" w:rsidRPr="00DE0801">
        <w:t>base case</w:t>
      </w:r>
      <w:r w:rsidR="008F1D3C">
        <w:t xml:space="preserve"> cost of first-tier testing</w:t>
      </w:r>
      <w:r w:rsidR="009A4381">
        <w:t>, which was the estimated cost if</w:t>
      </w:r>
      <w:r w:rsidR="007D29E1" w:rsidRPr="00DE0801">
        <w:t xml:space="preserve"> laboratories ha</w:t>
      </w:r>
      <w:r w:rsidR="0046235B">
        <w:t>d</w:t>
      </w:r>
      <w:r w:rsidR="007D29E1" w:rsidRPr="00DE0801">
        <w:t xml:space="preserve"> mass spectrometry capacity available.</w:t>
      </w:r>
      <w:r w:rsidR="009A4381">
        <w:t xml:space="preserve"> </w:t>
      </w:r>
      <w:r w:rsidR="00067524">
        <w:t>However, if laborator</w:t>
      </w:r>
      <w:r w:rsidR="005D46AD">
        <w:t>ies</w:t>
      </w:r>
      <w:r w:rsidR="00067524">
        <w:t xml:space="preserve"> </w:t>
      </w:r>
      <w:r w:rsidR="00145B46">
        <w:t xml:space="preserve">did not </w:t>
      </w:r>
      <w:r w:rsidR="00C556BD">
        <w:t xml:space="preserve">have spare capacity and </w:t>
      </w:r>
      <w:r w:rsidR="00283D6D">
        <w:t xml:space="preserve">would have to purchase a new mass spectrometer, with its accompanying costs, then the </w:t>
      </w:r>
      <w:r w:rsidR="002A1710">
        <w:t>weigh</w:t>
      </w:r>
      <w:r w:rsidR="00F70B08">
        <w:t xml:space="preserve">ted national average </w:t>
      </w:r>
      <w:r w:rsidR="00283D6D">
        <w:t xml:space="preserve">cost per </w:t>
      </w:r>
      <w:r w:rsidR="00F70B08">
        <w:t xml:space="preserve">ESI-MS/MS </w:t>
      </w:r>
      <w:r w:rsidR="00283D6D">
        <w:t xml:space="preserve">test was </w:t>
      </w:r>
      <w:r w:rsidR="005D0F15">
        <w:t xml:space="preserve">estimated </w:t>
      </w:r>
      <w:r w:rsidR="001A088D">
        <w:t xml:space="preserve">to be </w:t>
      </w:r>
      <w:r w:rsidR="002C351D">
        <w:t>$7.0</w:t>
      </w:r>
      <w:r w:rsidR="00565CA1">
        <w:t>9</w:t>
      </w:r>
      <w:r w:rsidR="00BB3454">
        <w:t xml:space="preserve"> (</w:t>
      </w:r>
      <w:r w:rsidR="00BB3454">
        <w:fldChar w:fldCharType="begin"/>
      </w:r>
      <w:r w:rsidR="00BB3454">
        <w:instrText xml:space="preserve"> REF _Ref149235936 \h </w:instrText>
      </w:r>
      <w:r w:rsidR="00BB3454">
        <w:fldChar w:fldCharType="separate"/>
      </w:r>
      <w:r w:rsidR="007D770C" w:rsidRPr="00CE28E3">
        <w:t>Table</w:t>
      </w:r>
      <w:r w:rsidR="007D770C">
        <w:t> </w:t>
      </w:r>
      <w:r w:rsidR="007D770C">
        <w:rPr>
          <w:noProof/>
        </w:rPr>
        <w:t>13</w:t>
      </w:r>
      <w:r w:rsidR="00BB3454">
        <w:fldChar w:fldCharType="end"/>
      </w:r>
      <w:r w:rsidR="00BB3454">
        <w:t xml:space="preserve">). </w:t>
      </w:r>
      <w:r w:rsidR="001A088D">
        <w:t>MSAC considered the cost of first-tier screening was therefore the main area of uncertainty for this application, as it was likely to vary by laboratory.</w:t>
      </w:r>
    </w:p>
    <w:p w14:paraId="6BB9194A" w14:textId="78880E32" w:rsidR="007D29E1" w:rsidRPr="00DB6A8E" w:rsidRDefault="3A7A9F72" w:rsidP="007D29E1">
      <w:r>
        <w:t xml:space="preserve">MSAC noted the 1737.1 FFP overview updated the 1737 DCAR’s economic modelling </w:t>
      </w:r>
      <w:r w:rsidR="2BD95D02">
        <w:t>with revised assumptions for effectiveness of the comparator</w:t>
      </w:r>
      <w:r w:rsidR="64431F1E">
        <w:t xml:space="preserve"> (47.7% rather than 99% of cases detected pre-symptomatically)</w:t>
      </w:r>
      <w:r w:rsidR="2BD95D02">
        <w:t>, incidence of SCD</w:t>
      </w:r>
      <w:r w:rsidR="64431F1E">
        <w:t xml:space="preserve"> (34.2 rather than </w:t>
      </w:r>
      <w:r w:rsidR="00A69A6E">
        <w:t>0.53 per 100,000)</w:t>
      </w:r>
      <w:r w:rsidR="2BD95D02">
        <w:t>, and cost per first-tier ESI-MS/MS.</w:t>
      </w:r>
      <w:r w:rsidR="47A3C639">
        <w:t xml:space="preserve"> It also </w:t>
      </w:r>
      <w:r w:rsidR="39EA25F0">
        <w:t xml:space="preserve">updated the average age at symptomatic diagnosis from 8.4 months to 15.6 months based on data from the </w:t>
      </w:r>
      <w:proofErr w:type="spellStart"/>
      <w:r w:rsidR="39EA25F0">
        <w:t>HbR</w:t>
      </w:r>
      <w:proofErr w:type="spellEnd"/>
      <w:r w:rsidR="39EA25F0">
        <w:t xml:space="preserve"> report, which increased the duration of additional </w:t>
      </w:r>
      <w:r w:rsidR="1B55950B">
        <w:t>treatments and ongoing management</w:t>
      </w:r>
      <w:r w:rsidR="2136316D">
        <w:t xml:space="preserve"> in the additional patients diagnosed with SCD before symptom onset</w:t>
      </w:r>
      <w:r w:rsidR="383D7651">
        <w:t xml:space="preserve">, </w:t>
      </w:r>
      <w:r w:rsidR="1B55950B">
        <w:t>using some costs informed based on</w:t>
      </w:r>
      <w:r w:rsidR="005A3C2C">
        <w:t xml:space="preserve"> analyses of </w:t>
      </w:r>
      <w:r w:rsidR="00C02D0A">
        <w:t>u</w:t>
      </w:r>
      <w:r w:rsidR="008F3E31">
        <w:t xml:space="preserve">npublished data </w:t>
      </w:r>
      <w:r w:rsidR="008F3E31" w:rsidRPr="0043309C">
        <w:t xml:space="preserve">from the </w:t>
      </w:r>
      <w:proofErr w:type="spellStart"/>
      <w:r w:rsidR="005A3C2C" w:rsidRPr="0043309C">
        <w:t>HbR</w:t>
      </w:r>
      <w:proofErr w:type="spellEnd"/>
      <w:r w:rsidR="008F3E31" w:rsidRPr="0043309C">
        <w:t>.</w:t>
      </w:r>
      <w:r w:rsidR="5F6F81E2" w:rsidRPr="0043309C">
        <w:t xml:space="preserve"> </w:t>
      </w:r>
      <w:r w:rsidR="00DE680E" w:rsidRPr="0043309C">
        <w:t>MSAC noted sensitivity analyses were</w:t>
      </w:r>
      <w:r w:rsidR="00DE680E">
        <w:t xml:space="preserve"> provided for a range of </w:t>
      </w:r>
      <w:r w:rsidR="00641DAF">
        <w:t>estimated</w:t>
      </w:r>
      <w:r w:rsidR="00DE680E">
        <w:t xml:space="preserve"> costs of first-tier screening (</w:t>
      </w:r>
      <w:r w:rsidR="00DE680E">
        <w:fldChar w:fldCharType="begin"/>
      </w:r>
      <w:r w:rsidR="00DE680E">
        <w:instrText xml:space="preserve"> REF _Ref149235936 \h </w:instrText>
      </w:r>
      <w:r w:rsidR="00DE680E">
        <w:fldChar w:fldCharType="separate"/>
      </w:r>
      <w:r w:rsidR="007D770C" w:rsidRPr="00CE28E3">
        <w:t>Table</w:t>
      </w:r>
      <w:r w:rsidR="007D770C">
        <w:t> </w:t>
      </w:r>
      <w:r w:rsidR="007D770C">
        <w:rPr>
          <w:noProof/>
        </w:rPr>
        <w:t>13</w:t>
      </w:r>
      <w:r w:rsidR="00DE680E">
        <w:fldChar w:fldCharType="end"/>
      </w:r>
      <w:r w:rsidR="00DE680E">
        <w:t>)</w:t>
      </w:r>
      <w:r w:rsidR="00AA1E57">
        <w:t xml:space="preserve">, including the weighted national average </w:t>
      </w:r>
      <w:r w:rsidR="00641DAF">
        <w:t>($7.09) and median ($8.23) cost per ESI-MS/MS if</w:t>
      </w:r>
      <w:r w:rsidR="00837464">
        <w:t xml:space="preserve"> no laboratories have the current capacity to accommodate SCD screening</w:t>
      </w:r>
      <w:r w:rsidR="00DE680E">
        <w:t xml:space="preserve">. </w:t>
      </w:r>
      <w:r w:rsidR="5F6F81E2">
        <w:t xml:space="preserve">MSAC noted </w:t>
      </w:r>
      <w:r w:rsidR="440F005D">
        <w:t>that at a first-tier cost of $2</w:t>
      </w:r>
      <w:r w:rsidR="00E803E6">
        <w:t xml:space="preserve"> (which excluded fixed costs to add capacity)</w:t>
      </w:r>
      <w:r w:rsidR="440F005D">
        <w:t xml:space="preserve"> the </w:t>
      </w:r>
      <w:r w:rsidR="440F005D" w:rsidRPr="00FC5458">
        <w:t>incremental cost</w:t>
      </w:r>
      <w:r w:rsidR="440F005D">
        <w:t>-</w:t>
      </w:r>
      <w:r w:rsidR="440F005D" w:rsidRPr="00FC5458">
        <w:t xml:space="preserve">effectiveness ratio (ICER) </w:t>
      </w:r>
      <w:r w:rsidR="440F005D">
        <w:t>was</w:t>
      </w:r>
      <w:r w:rsidR="440F005D" w:rsidRPr="00FC5458">
        <w:t xml:space="preserve"> $12,280 per additional case of SCD identified earlier</w:t>
      </w:r>
      <w:r w:rsidR="00EC3BE2">
        <w:t>, however MSAC advised fixed costs should be included in the economic modelling in order to more accurately reflect the resource use and opportunity cost (for example in terms of machine time and labour)</w:t>
      </w:r>
      <w:r w:rsidR="00A15F8C">
        <w:t xml:space="preserve">, therefore this ICER </w:t>
      </w:r>
      <w:r w:rsidR="00FA5436">
        <w:t xml:space="preserve">excluding fixed costs </w:t>
      </w:r>
      <w:r w:rsidR="00A15F8C">
        <w:t xml:space="preserve">was not </w:t>
      </w:r>
      <w:r w:rsidR="004627A7">
        <w:t>appropriate</w:t>
      </w:r>
      <w:r w:rsidR="00EC3BE2">
        <w:t xml:space="preserve">. </w:t>
      </w:r>
      <w:r w:rsidR="440F005D">
        <w:t xml:space="preserve">MSAC noted that </w:t>
      </w:r>
      <w:r w:rsidR="451EC26D">
        <w:t xml:space="preserve">at </w:t>
      </w:r>
      <w:r w:rsidR="55135826">
        <w:t xml:space="preserve">the weighted </w:t>
      </w:r>
      <w:r w:rsidR="0039582C">
        <w:t xml:space="preserve">national </w:t>
      </w:r>
      <w:r w:rsidR="55135826">
        <w:t xml:space="preserve">average </w:t>
      </w:r>
      <w:r w:rsidR="7EC39327">
        <w:t xml:space="preserve">first-tier </w:t>
      </w:r>
      <w:r w:rsidR="55135826">
        <w:t>cost of $7.0</w:t>
      </w:r>
      <w:r w:rsidR="451EC26D">
        <w:t>9</w:t>
      </w:r>
      <w:r w:rsidR="55135826">
        <w:t xml:space="preserve"> </w:t>
      </w:r>
      <w:r w:rsidR="7EC39327">
        <w:t>including</w:t>
      </w:r>
      <w:r w:rsidR="55135826">
        <w:t xml:space="preserve"> fixed costs </w:t>
      </w:r>
      <w:r w:rsidR="0B7AC496">
        <w:t xml:space="preserve">the ICER was $40,257 per early diagnosis, which it considered </w:t>
      </w:r>
      <w:r w:rsidR="7EC39327">
        <w:t xml:space="preserve">was </w:t>
      </w:r>
      <w:r w:rsidR="0B7AC496">
        <w:t>acceptably cost-effective. MSAC</w:t>
      </w:r>
      <w:r w:rsidR="55135826">
        <w:t xml:space="preserve"> considered </w:t>
      </w:r>
      <w:r w:rsidR="440F005D">
        <w:t xml:space="preserve">that screening was </w:t>
      </w:r>
      <w:r w:rsidR="008635BF">
        <w:t xml:space="preserve">acceptably </w:t>
      </w:r>
      <w:r w:rsidR="440F005D">
        <w:t xml:space="preserve">cost-effective up to a costing of $8.23 per first-tier screen, which </w:t>
      </w:r>
      <w:r w:rsidR="001B45B8">
        <w:t>had</w:t>
      </w:r>
      <w:r w:rsidR="440F005D">
        <w:t xml:space="preserve"> an ICER of $46,523 per early diagnosis of SCD.</w:t>
      </w:r>
      <w:r w:rsidR="2470B9AA">
        <w:t xml:space="preserve"> </w:t>
      </w:r>
      <w:r w:rsidR="1AB9122B">
        <w:t xml:space="preserve">MSAC noted </w:t>
      </w:r>
      <w:r w:rsidR="04D7368C">
        <w:t>t</w:t>
      </w:r>
      <w:r w:rsidR="1AB9122B">
        <w:t>he k</w:t>
      </w:r>
      <w:r w:rsidR="1AB9122B" w:rsidRPr="00992FC9">
        <w:t xml:space="preserve">ey drivers of </w:t>
      </w:r>
      <w:r w:rsidR="1AB9122B">
        <w:t xml:space="preserve">the ICER </w:t>
      </w:r>
      <w:r w:rsidR="04D7368C">
        <w:t>we</w:t>
      </w:r>
      <w:r w:rsidR="1AB9122B">
        <w:t xml:space="preserve">re </w:t>
      </w:r>
      <w:r w:rsidR="1AB9122B" w:rsidRPr="00992FC9">
        <w:t xml:space="preserve">incidence of </w:t>
      </w:r>
      <w:r w:rsidR="1AB9122B">
        <w:t xml:space="preserve">SCD, </w:t>
      </w:r>
      <w:r w:rsidR="1AB9122B" w:rsidRPr="00992FC9">
        <w:t>cost of first</w:t>
      </w:r>
      <w:r w:rsidR="1AB9122B">
        <w:t>-</w:t>
      </w:r>
      <w:r w:rsidR="1AB9122B" w:rsidRPr="00992FC9">
        <w:t>tier testing</w:t>
      </w:r>
      <w:r w:rsidR="1AB9122B">
        <w:t xml:space="preserve"> and </w:t>
      </w:r>
      <w:r w:rsidR="2470B9AA">
        <w:t>proportion</w:t>
      </w:r>
      <w:r w:rsidR="2470B9AA" w:rsidRPr="00992FC9">
        <w:t xml:space="preserve"> </w:t>
      </w:r>
      <w:r w:rsidR="1AB9122B" w:rsidRPr="00992FC9">
        <w:t xml:space="preserve">of </w:t>
      </w:r>
      <w:r w:rsidR="2470B9AA">
        <w:t>cases</w:t>
      </w:r>
      <w:r w:rsidR="2470B9AA" w:rsidRPr="00992FC9">
        <w:t xml:space="preserve"> </w:t>
      </w:r>
      <w:r w:rsidR="1AB9122B" w:rsidRPr="00992FC9">
        <w:t>identified pre-symptomatically</w:t>
      </w:r>
      <w:r w:rsidR="2470B9AA">
        <w:t xml:space="preserve"> at present</w:t>
      </w:r>
      <w:r w:rsidR="1AB9122B">
        <w:t>.</w:t>
      </w:r>
    </w:p>
    <w:p w14:paraId="5BBD3530" w14:textId="693D1C09" w:rsidR="004506B4" w:rsidRDefault="6733D36F" w:rsidP="007D29E1">
      <w:r>
        <w:t xml:space="preserve">MSAC noted the </w:t>
      </w:r>
      <w:r w:rsidR="026336F3">
        <w:t xml:space="preserve">1737.1 FFP overview presented a financial analysis </w:t>
      </w:r>
      <w:r w:rsidR="120662F9">
        <w:t xml:space="preserve">that was </w:t>
      </w:r>
      <w:r w:rsidR="026336F3">
        <w:t>updated</w:t>
      </w:r>
      <w:r w:rsidR="120662F9">
        <w:t xml:space="preserve"> from the 1737 DCAR’s analysis</w:t>
      </w:r>
      <w:r w:rsidR="026336F3">
        <w:t xml:space="preserve"> to reflect the updated costing</w:t>
      </w:r>
      <w:r w:rsidR="11A5B71B">
        <w:t xml:space="preserve"> for first-tier screening, </w:t>
      </w:r>
      <w:r w:rsidR="2FDAC07A">
        <w:t xml:space="preserve">updated incidence, </w:t>
      </w:r>
      <w:r w:rsidR="11A5B71B">
        <w:t>and costs to other funding sources arising from the evidenced changes in management (such as the cost of prophylactic antibiotics to the PBS)</w:t>
      </w:r>
      <w:r w:rsidR="2FDAC07A">
        <w:t xml:space="preserve">, including </w:t>
      </w:r>
      <w:r w:rsidR="120662F9">
        <w:t xml:space="preserve">some </w:t>
      </w:r>
      <w:r w:rsidR="2FDAC07A">
        <w:t xml:space="preserve">costs estimated by </w:t>
      </w:r>
      <w:r w:rsidR="00562040">
        <w:t xml:space="preserve">unpublished data from the </w:t>
      </w:r>
      <w:proofErr w:type="spellStart"/>
      <w:r w:rsidR="00562040">
        <w:t>HbR</w:t>
      </w:r>
      <w:proofErr w:type="spellEnd"/>
      <w:r w:rsidR="11A5B71B" w:rsidRPr="00B847B4">
        <w:t>.</w:t>
      </w:r>
      <w:r w:rsidR="120662F9">
        <w:t xml:space="preserve"> MSAC noted the financial </w:t>
      </w:r>
      <w:r w:rsidR="339EDC18">
        <w:t>cost to NBS programs of adding SCD was approximately $700,000 per year (excluding fixed costs).</w:t>
      </w:r>
      <w:r w:rsidR="3ADB270F">
        <w:t xml:space="preserve"> </w:t>
      </w:r>
      <w:r w:rsidR="7F854101">
        <w:t xml:space="preserve">MSAC noted </w:t>
      </w:r>
      <w:r w:rsidR="44AC4AAC">
        <w:t>there would also be d</w:t>
      </w:r>
      <w:r w:rsidR="3ADB270F">
        <w:t>irect costs</w:t>
      </w:r>
      <w:r w:rsidR="74A0999C">
        <w:t xml:space="preserve"> to other funding sources</w:t>
      </w:r>
      <w:r w:rsidR="44AC4AAC">
        <w:t>,</w:t>
      </w:r>
      <w:r w:rsidR="74A0999C">
        <w:t xml:space="preserve"> includ</w:t>
      </w:r>
      <w:r w:rsidR="44AC4AAC">
        <w:t>ing</w:t>
      </w:r>
      <w:r w:rsidR="74A0999C">
        <w:t xml:space="preserve"> cost-offset</w:t>
      </w:r>
      <w:r w:rsidR="31D1BA23">
        <w:t>s</w:t>
      </w:r>
      <w:r w:rsidR="44AC4AAC">
        <w:t xml:space="preserve"> from testing no longer needed</w:t>
      </w:r>
      <w:r w:rsidR="74A0999C">
        <w:t xml:space="preserve"> of </w:t>
      </w:r>
      <w:r w:rsidR="31D1BA23">
        <w:t xml:space="preserve">approximately </w:t>
      </w:r>
      <w:r w:rsidR="74A0999C">
        <w:t xml:space="preserve">$50,000 per year </w:t>
      </w:r>
      <w:r w:rsidR="78F56E3C">
        <w:t xml:space="preserve">from current targeted testing </w:t>
      </w:r>
      <w:r w:rsidR="31D1BA23">
        <w:t>avoided and</w:t>
      </w:r>
      <w:r w:rsidR="78F56E3C">
        <w:t xml:space="preserve"> $11,000 per year from </w:t>
      </w:r>
      <w:r w:rsidR="31D1BA23">
        <w:t xml:space="preserve">testing upon symptom onset avoided, as well as small increased costs to the MBS and PBS from </w:t>
      </w:r>
      <w:r w:rsidR="7F854101">
        <w:t>increased treatment and monitoring in the period before a symptomatic diagnosis</w:t>
      </w:r>
      <w:r w:rsidR="44AC4AAC">
        <w:t xml:space="preserve">. </w:t>
      </w:r>
      <w:r w:rsidR="601C5424">
        <w:t xml:space="preserve">MSAC noted the </w:t>
      </w:r>
      <w:r w:rsidR="57F78534">
        <w:t>total financial</w:t>
      </w:r>
      <w:r w:rsidR="601C5424">
        <w:t xml:space="preserve"> </w:t>
      </w:r>
      <w:r w:rsidR="0710334E">
        <w:t xml:space="preserve">cost to Government (including </w:t>
      </w:r>
      <w:r w:rsidR="5CAD4386">
        <w:t xml:space="preserve">to </w:t>
      </w:r>
      <w:r w:rsidR="0710334E">
        <w:t xml:space="preserve">NBS programs, states and territories, </w:t>
      </w:r>
      <w:r w:rsidR="57F78534">
        <w:t xml:space="preserve">the </w:t>
      </w:r>
      <w:proofErr w:type="gramStart"/>
      <w:r w:rsidR="0710334E">
        <w:t>MBS</w:t>
      </w:r>
      <w:proofErr w:type="gramEnd"/>
      <w:r w:rsidR="0710334E">
        <w:t xml:space="preserve"> and </w:t>
      </w:r>
      <w:r w:rsidR="57F78534">
        <w:t xml:space="preserve">the </w:t>
      </w:r>
      <w:r w:rsidR="0710334E">
        <w:t xml:space="preserve">PBS) </w:t>
      </w:r>
      <w:r w:rsidR="0AFC490B">
        <w:t xml:space="preserve">of NBS for SCD </w:t>
      </w:r>
      <w:r w:rsidR="0710334E">
        <w:t xml:space="preserve">was </w:t>
      </w:r>
      <w:r w:rsidR="45FC5486">
        <w:t>$638,955 in year 1 increasing to $661,059 in year 6</w:t>
      </w:r>
      <w:r w:rsidR="2573CA15">
        <w:t xml:space="preserve"> (</w:t>
      </w:r>
      <w:r w:rsidR="008F56B4">
        <w:rPr>
          <w:highlight w:val="yellow"/>
        </w:rPr>
        <w:fldChar w:fldCharType="begin"/>
      </w:r>
      <w:r w:rsidR="008F56B4">
        <w:instrText xml:space="preserve"> REF _Ref149143875 \h </w:instrText>
      </w:r>
      <w:r w:rsidR="008F56B4">
        <w:rPr>
          <w:highlight w:val="yellow"/>
        </w:rPr>
      </w:r>
      <w:r w:rsidR="008F56B4">
        <w:rPr>
          <w:highlight w:val="yellow"/>
        </w:rPr>
        <w:fldChar w:fldCharType="separate"/>
      </w:r>
      <w:r w:rsidR="007D770C" w:rsidRPr="00CE28E3">
        <w:t>Table</w:t>
      </w:r>
      <w:r w:rsidR="007D770C">
        <w:t> </w:t>
      </w:r>
      <w:r w:rsidR="007D770C">
        <w:rPr>
          <w:noProof/>
        </w:rPr>
        <w:t>22</w:t>
      </w:r>
      <w:r w:rsidR="008F56B4">
        <w:rPr>
          <w:highlight w:val="yellow"/>
        </w:rPr>
        <w:fldChar w:fldCharType="end"/>
      </w:r>
      <w:r w:rsidR="2573CA15">
        <w:t>)</w:t>
      </w:r>
      <w:r w:rsidR="45FC5486">
        <w:t>. MSAC noted analyses</w:t>
      </w:r>
      <w:r w:rsidR="005C0A27">
        <w:t xml:space="preserve"> </w:t>
      </w:r>
      <w:r w:rsidR="45FC5486">
        <w:t xml:space="preserve">had </w:t>
      </w:r>
      <w:r w:rsidR="0D7A055F">
        <w:t xml:space="preserve">also </w:t>
      </w:r>
      <w:r w:rsidR="45FC5486">
        <w:t xml:space="preserve">been provided </w:t>
      </w:r>
      <w:r w:rsidR="0D7A055F">
        <w:t>estimating</w:t>
      </w:r>
      <w:r w:rsidR="45FC5486">
        <w:t xml:space="preserve"> the indirect cost-offset to states and territories from hospitalisations avoided</w:t>
      </w:r>
      <w:r w:rsidR="00396B4D">
        <w:t xml:space="preserve"> </w:t>
      </w:r>
      <w:r w:rsidR="002B1B98">
        <w:t>that</w:t>
      </w:r>
      <w:r w:rsidR="00396B4D">
        <w:t xml:space="preserve"> indicated a net saving, however MSAC </w:t>
      </w:r>
      <w:r w:rsidR="005C0A27">
        <w:t xml:space="preserve">considered the estimated indirect cost-offset was highly uncertain and </w:t>
      </w:r>
      <w:r w:rsidR="00A837BA">
        <w:t>so th</w:t>
      </w:r>
      <w:r w:rsidR="002B1B98">
        <w:t xml:space="preserve">is analysis was </w:t>
      </w:r>
      <w:r w:rsidR="005C0A27">
        <w:t>unreliable for decision-making</w:t>
      </w:r>
      <w:r w:rsidR="003A3BC6">
        <w:t xml:space="preserve"> and its advice on the financial impact was based on the direct analyses</w:t>
      </w:r>
      <w:r w:rsidR="005C0A27">
        <w:t>.</w:t>
      </w:r>
    </w:p>
    <w:p w14:paraId="68911EE9" w14:textId="7BDF92B2" w:rsidR="007D29E1" w:rsidRPr="00992FC9" w:rsidRDefault="007D29E1" w:rsidP="00052345">
      <w:r>
        <w:t xml:space="preserve">MSAC </w:t>
      </w:r>
      <w:r w:rsidR="00222A50">
        <w:t xml:space="preserve">considered that there are </w:t>
      </w:r>
      <w:r w:rsidR="00052345">
        <w:t xml:space="preserve">also </w:t>
      </w:r>
      <w:r w:rsidR="00D536EA">
        <w:t xml:space="preserve">significant </w:t>
      </w:r>
      <w:r w:rsidR="00222A50">
        <w:t>program costs</w:t>
      </w:r>
      <w:r w:rsidR="00205D1B">
        <w:t xml:space="preserve"> (such as education</w:t>
      </w:r>
      <w:r w:rsidR="001C426B">
        <w:t xml:space="preserve"> and training</w:t>
      </w:r>
      <w:r w:rsidR="00E2795C">
        <w:t>)</w:t>
      </w:r>
      <w:r w:rsidR="00222A50">
        <w:t xml:space="preserve"> to add conditions</w:t>
      </w:r>
      <w:r w:rsidR="00052345">
        <w:t xml:space="preserve"> to NBS that were not captured by the HTA. MSAC considered</w:t>
      </w:r>
      <w:r>
        <w:t xml:space="preserve"> that a</w:t>
      </w:r>
      <w:r w:rsidRPr="00992FC9">
        <w:t xml:space="preserve"> large body of education must accompany any change in the </w:t>
      </w:r>
      <w:r>
        <w:t xml:space="preserve">NBS </w:t>
      </w:r>
      <w:r w:rsidRPr="00992FC9">
        <w:t xml:space="preserve">programs. This </w:t>
      </w:r>
      <w:r w:rsidR="000F26D1">
        <w:t>information is</w:t>
      </w:r>
      <w:r w:rsidRPr="00992FC9">
        <w:t xml:space="preserve"> targeted both to health professionals and patients, with written and usually video information on the conditions being </w:t>
      </w:r>
      <w:proofErr w:type="gramStart"/>
      <w:r w:rsidRPr="00992FC9">
        <w:t>screened</w:t>
      </w:r>
      <w:r>
        <w:t>, and</w:t>
      </w:r>
      <w:proofErr w:type="gramEnd"/>
      <w:r>
        <w:t xml:space="preserve"> </w:t>
      </w:r>
      <w:r w:rsidR="000F26D1">
        <w:t>is</w:t>
      </w:r>
      <w:r>
        <w:t xml:space="preserve"> published in multiple languages</w:t>
      </w:r>
      <w:r w:rsidRPr="00992FC9">
        <w:rPr>
          <w:rFonts w:ascii="Arial" w:hAnsi="Arial" w:cs="Arial"/>
        </w:rPr>
        <w:t>​</w:t>
      </w:r>
      <w:r w:rsidRPr="00992FC9">
        <w:t xml:space="preserve">. </w:t>
      </w:r>
      <w:r w:rsidR="00E86465">
        <w:t>MSAC considered in terms of implementation</w:t>
      </w:r>
      <w:r w:rsidRPr="00992FC9">
        <w:t xml:space="preserve"> that it </w:t>
      </w:r>
      <w:r w:rsidR="00E86465">
        <w:t>would be</w:t>
      </w:r>
      <w:r w:rsidR="00E86465" w:rsidRPr="00992FC9">
        <w:t xml:space="preserve"> </w:t>
      </w:r>
      <w:r w:rsidRPr="00992FC9">
        <w:t>least disruptive to</w:t>
      </w:r>
      <w:r w:rsidR="000F26D1">
        <w:t xml:space="preserve"> NBS</w:t>
      </w:r>
      <w:r w:rsidRPr="00992FC9">
        <w:t xml:space="preserve"> laboratories and maternity and primary care services to add multiple new conditions </w:t>
      </w:r>
      <w:r w:rsidR="008C6BAE">
        <w:t xml:space="preserve">to NBS </w:t>
      </w:r>
      <w:r w:rsidRPr="00992FC9">
        <w:t>at one time</w:t>
      </w:r>
      <w:r w:rsidRPr="00992FC9">
        <w:rPr>
          <w:rFonts w:ascii="Arial" w:hAnsi="Arial" w:cs="Arial"/>
        </w:rPr>
        <w:t>​</w:t>
      </w:r>
      <w:r w:rsidRPr="00992FC9">
        <w:t>.</w:t>
      </w:r>
      <w:r w:rsidR="0018745E">
        <w:t xml:space="preserve"> MSAC </w:t>
      </w:r>
      <w:r w:rsidR="005911CA">
        <w:t>noted</w:t>
      </w:r>
      <w:r w:rsidR="0018745E">
        <w:t xml:space="preserve"> that an in-depth </w:t>
      </w:r>
      <w:r w:rsidR="00FE7DFE">
        <w:t>consideration</w:t>
      </w:r>
      <w:r w:rsidR="0018745E">
        <w:t xml:space="preserve"> of implementation issues was beyond its </w:t>
      </w:r>
      <w:proofErr w:type="spellStart"/>
      <w:r w:rsidR="0018745E">
        <w:t>ToRs</w:t>
      </w:r>
      <w:proofErr w:type="spellEnd"/>
      <w:r w:rsidR="00FD15D0">
        <w:t xml:space="preserve">, but that policy advice from the Department </w:t>
      </w:r>
      <w:r w:rsidR="00555D92">
        <w:t>indicated</w:t>
      </w:r>
      <w:r w:rsidR="00FD15D0">
        <w:t xml:space="preserve"> </w:t>
      </w:r>
      <w:r w:rsidR="00BD20A2">
        <w:t>bundling conditions for implementation will be considered</w:t>
      </w:r>
      <w:r w:rsidR="00B94050">
        <w:t>, where possible</w:t>
      </w:r>
      <w:r w:rsidR="00555D92">
        <w:t>.</w:t>
      </w:r>
    </w:p>
    <w:p w14:paraId="7B33D6FA" w14:textId="4F81D30E" w:rsidR="00774226" w:rsidRDefault="00774226" w:rsidP="007D29E1">
      <w:pPr>
        <w:rPr>
          <w:lang w:val="en-US"/>
        </w:rPr>
      </w:pPr>
      <w:r>
        <w:t xml:space="preserve">MSAC acknowledged that depending on the method used for screening, NBS for sickle cell disease </w:t>
      </w:r>
      <w:r w:rsidR="00800365">
        <w:t xml:space="preserve">can </w:t>
      </w:r>
      <w:r>
        <w:t xml:space="preserve">also detect </w:t>
      </w:r>
      <w:r w:rsidR="00D536EA">
        <w:t xml:space="preserve">most cases of </w:t>
      </w:r>
      <w:r>
        <w:t>beta-thalassaemia and potentially other haemoglobinopathies</w:t>
      </w:r>
      <w:r w:rsidR="00800365">
        <w:t xml:space="preserve">, as non-target conditions (also known as </w:t>
      </w:r>
      <w:r w:rsidR="002F5D26">
        <w:t>additional</w:t>
      </w:r>
      <w:r w:rsidR="00800365">
        <w:t xml:space="preserve"> findings)</w:t>
      </w:r>
      <w:r>
        <w:t>.</w:t>
      </w:r>
    </w:p>
    <w:p w14:paraId="6710B69D" w14:textId="44D6AA21" w:rsidR="00772829" w:rsidRPr="00CE28E3" w:rsidRDefault="00521918" w:rsidP="002A18BE">
      <w:pPr>
        <w:pStyle w:val="Heading2"/>
        <w:numPr>
          <w:ilvl w:val="0"/>
          <w:numId w:val="0"/>
        </w:numPr>
      </w:pPr>
      <w:bookmarkStart w:id="5" w:name="_Toc149736386"/>
      <w:bookmarkEnd w:id="4"/>
      <w:r>
        <w:t>4</w:t>
      </w:r>
      <w:r w:rsidR="00C36633">
        <w:t>.</w:t>
      </w:r>
      <w:r w:rsidR="00C36633">
        <w:tab/>
      </w:r>
      <w:r w:rsidR="00772829" w:rsidRPr="00CE28E3">
        <w:t>Background</w:t>
      </w:r>
      <w:bookmarkEnd w:id="5"/>
    </w:p>
    <w:p w14:paraId="6CAF66C5" w14:textId="472A1A7F" w:rsidR="00DB6A8E" w:rsidRPr="00966A31" w:rsidRDefault="009C6396" w:rsidP="00966A31">
      <w:pPr>
        <w:pStyle w:val="Instructionaltext"/>
        <w:rPr>
          <w:color w:val="auto"/>
        </w:rPr>
      </w:pPr>
      <w:bookmarkStart w:id="6" w:name="_Hlk69734494"/>
      <w:r>
        <w:rPr>
          <w:color w:val="auto"/>
        </w:rPr>
        <w:t xml:space="preserve">MSAC </w:t>
      </w:r>
      <w:r w:rsidR="00323914">
        <w:rPr>
          <w:color w:val="auto"/>
        </w:rPr>
        <w:t xml:space="preserve">previously </w:t>
      </w:r>
      <w:r>
        <w:rPr>
          <w:color w:val="auto"/>
        </w:rPr>
        <w:t xml:space="preserve">considered </w:t>
      </w:r>
      <w:r w:rsidR="00DB0B46">
        <w:rPr>
          <w:color w:val="auto"/>
        </w:rPr>
        <w:t xml:space="preserve">the </w:t>
      </w:r>
      <w:r w:rsidR="00D11EF7">
        <w:rPr>
          <w:color w:val="auto"/>
        </w:rPr>
        <w:t>addi</w:t>
      </w:r>
      <w:r w:rsidR="00754663">
        <w:rPr>
          <w:color w:val="auto"/>
        </w:rPr>
        <w:t>tion of</w:t>
      </w:r>
      <w:r w:rsidR="00D11EF7">
        <w:rPr>
          <w:color w:val="auto"/>
        </w:rPr>
        <w:t xml:space="preserve"> SCD and </w:t>
      </w:r>
      <w:r w:rsidR="00D11EF7" w:rsidRPr="00C070F4">
        <w:rPr>
          <w:color w:val="auto"/>
        </w:rPr>
        <w:t>β-thalassaemia</w:t>
      </w:r>
      <w:r w:rsidR="00D11EF7">
        <w:rPr>
          <w:color w:val="auto"/>
        </w:rPr>
        <w:t xml:space="preserve"> to NBS </w:t>
      </w:r>
      <w:r w:rsidR="0062690E">
        <w:rPr>
          <w:color w:val="auto"/>
        </w:rPr>
        <w:t>programs</w:t>
      </w:r>
      <w:r w:rsidR="00754663">
        <w:rPr>
          <w:color w:val="auto"/>
        </w:rPr>
        <w:t>, including the</w:t>
      </w:r>
      <w:r w:rsidR="00D61E69">
        <w:rPr>
          <w:color w:val="auto"/>
        </w:rPr>
        <w:t xml:space="preserve"> 1737 DCAR</w:t>
      </w:r>
      <w:r w:rsidR="00754663">
        <w:rPr>
          <w:color w:val="auto"/>
        </w:rPr>
        <w:t>,</w:t>
      </w:r>
      <w:r w:rsidR="0062690E">
        <w:rPr>
          <w:color w:val="auto"/>
        </w:rPr>
        <w:t xml:space="preserve"> </w:t>
      </w:r>
      <w:r w:rsidR="00FC7A90">
        <w:rPr>
          <w:color w:val="auto"/>
        </w:rPr>
        <w:t xml:space="preserve">at its </w:t>
      </w:r>
      <w:r w:rsidR="00D11EF7">
        <w:rPr>
          <w:color w:val="auto"/>
        </w:rPr>
        <w:t>July 2023</w:t>
      </w:r>
      <w:r w:rsidR="00FC7A90">
        <w:rPr>
          <w:color w:val="auto"/>
        </w:rPr>
        <w:t xml:space="preserve"> meeting</w:t>
      </w:r>
      <w:r w:rsidR="00D11EF7">
        <w:rPr>
          <w:color w:val="auto"/>
        </w:rPr>
        <w:t xml:space="preserve">. </w:t>
      </w:r>
      <w:r w:rsidR="00287D20">
        <w:rPr>
          <w:color w:val="auto"/>
        </w:rPr>
        <w:t xml:space="preserve">Based on the evidence provided, </w:t>
      </w:r>
      <w:r w:rsidR="00E11287">
        <w:rPr>
          <w:color w:val="auto"/>
        </w:rPr>
        <w:t xml:space="preserve">MSAC </w:t>
      </w:r>
      <w:r w:rsidR="00D11EF7">
        <w:rPr>
          <w:color w:val="auto"/>
        </w:rPr>
        <w:t xml:space="preserve">deferred </w:t>
      </w:r>
      <w:r w:rsidR="00D61E69">
        <w:rPr>
          <w:color w:val="auto"/>
        </w:rPr>
        <w:t>its advice</w:t>
      </w:r>
      <w:r w:rsidR="00D11EF7">
        <w:rPr>
          <w:color w:val="auto"/>
        </w:rPr>
        <w:t xml:space="preserve"> due to </w:t>
      </w:r>
      <w:r w:rsidR="00E11287">
        <w:rPr>
          <w:color w:val="auto"/>
        </w:rPr>
        <w:t xml:space="preserve">requiring additional evidence </w:t>
      </w:r>
      <w:r w:rsidR="0074726C">
        <w:rPr>
          <w:color w:val="auto"/>
        </w:rPr>
        <w:t xml:space="preserve">to support the addition of SCD and </w:t>
      </w:r>
      <w:r w:rsidR="0074726C" w:rsidRPr="00C070F4">
        <w:rPr>
          <w:color w:val="auto"/>
        </w:rPr>
        <w:t>β-thalassaemia</w:t>
      </w:r>
      <w:r w:rsidR="0074726C">
        <w:rPr>
          <w:color w:val="auto"/>
        </w:rPr>
        <w:t xml:space="preserve">. Specifically, the MSAC advised </w:t>
      </w:r>
      <w:r w:rsidR="009D74D0">
        <w:rPr>
          <w:color w:val="auto"/>
        </w:rPr>
        <w:t xml:space="preserve">the </w:t>
      </w:r>
      <w:r w:rsidR="008810CF">
        <w:rPr>
          <w:color w:val="auto"/>
        </w:rPr>
        <w:t xml:space="preserve">evidence </w:t>
      </w:r>
      <w:r w:rsidR="00261A7E" w:rsidRPr="007D770C">
        <w:rPr>
          <w:color w:val="auto"/>
        </w:rPr>
        <w:t xml:space="preserve">outlined in </w:t>
      </w:r>
      <w:r w:rsidR="007D770C" w:rsidRPr="007D770C">
        <w:rPr>
          <w:color w:val="auto"/>
        </w:rPr>
        <w:fldChar w:fldCharType="begin"/>
      </w:r>
      <w:r w:rsidR="007D770C" w:rsidRPr="007D770C">
        <w:rPr>
          <w:color w:val="auto"/>
        </w:rPr>
        <w:instrText xml:space="preserve"> REF _Ref158108392 </w:instrText>
      </w:r>
      <w:r w:rsidR="007D770C" w:rsidRPr="007D770C">
        <w:rPr>
          <w:color w:val="auto"/>
        </w:rPr>
        <w:fldChar w:fldCharType="separate"/>
      </w:r>
      <w:r w:rsidR="007D770C" w:rsidRPr="007D770C">
        <w:rPr>
          <w:color w:val="auto"/>
        </w:rPr>
        <w:t xml:space="preserve">Table </w:t>
      </w:r>
      <w:r w:rsidR="007D770C" w:rsidRPr="007D770C">
        <w:rPr>
          <w:noProof/>
          <w:color w:val="auto"/>
        </w:rPr>
        <w:t>1</w:t>
      </w:r>
      <w:r w:rsidR="007D770C" w:rsidRPr="007D770C">
        <w:rPr>
          <w:color w:val="auto"/>
        </w:rPr>
        <w:fldChar w:fldCharType="end"/>
      </w:r>
      <w:r w:rsidR="00261A7E" w:rsidRPr="007D770C">
        <w:rPr>
          <w:color w:val="auto"/>
        </w:rPr>
        <w:t xml:space="preserve"> </w:t>
      </w:r>
      <w:r w:rsidR="009D74D0" w:rsidRPr="007D770C">
        <w:rPr>
          <w:color w:val="auto"/>
        </w:rPr>
        <w:t xml:space="preserve">would </w:t>
      </w:r>
      <w:r w:rsidR="009D74D0">
        <w:rPr>
          <w:color w:val="auto"/>
        </w:rPr>
        <w:t>be required to support its reconsideration</w:t>
      </w:r>
      <w:r w:rsidR="00261A7E">
        <w:rPr>
          <w:color w:val="auto"/>
        </w:rPr>
        <w:t xml:space="preserve">. </w:t>
      </w:r>
      <w:r w:rsidR="008C6BAE">
        <w:rPr>
          <w:color w:val="auto"/>
        </w:rPr>
        <w:t xml:space="preserve">A </w:t>
      </w:r>
      <w:r w:rsidR="009B72D1">
        <w:rPr>
          <w:color w:val="auto"/>
        </w:rPr>
        <w:t xml:space="preserve">fit-for-purpose (FFP) overview </w:t>
      </w:r>
      <w:r w:rsidR="00B41FFC">
        <w:rPr>
          <w:color w:val="auto"/>
        </w:rPr>
        <w:t>was developed</w:t>
      </w:r>
      <w:r w:rsidR="007957C5">
        <w:rPr>
          <w:color w:val="auto"/>
        </w:rPr>
        <w:t xml:space="preserve"> to address these </w:t>
      </w:r>
      <w:r w:rsidR="007A1546">
        <w:rPr>
          <w:color w:val="auto"/>
        </w:rPr>
        <w:t>concerns</w:t>
      </w:r>
      <w:r w:rsidR="007957C5">
        <w:rPr>
          <w:color w:val="auto"/>
        </w:rPr>
        <w:t>.</w:t>
      </w:r>
      <w:bookmarkStart w:id="7" w:name="_Ref148449660"/>
      <w:bookmarkStart w:id="8" w:name="_Toc126748012"/>
    </w:p>
    <w:p w14:paraId="6D7F4199" w14:textId="610DC9BA" w:rsidR="004642DF" w:rsidRPr="001A4B85" w:rsidRDefault="004642DF" w:rsidP="004642DF">
      <w:pPr>
        <w:pStyle w:val="TableHeading0"/>
      </w:pPr>
      <w:bookmarkStart w:id="9" w:name="_Ref158108392"/>
      <w:r>
        <w:t xml:space="preserve">Table </w:t>
      </w:r>
      <w:r>
        <w:fldChar w:fldCharType="begin"/>
      </w:r>
      <w:r>
        <w:instrText>SEQ Table \* ARABIC</w:instrText>
      </w:r>
      <w:r>
        <w:fldChar w:fldCharType="separate"/>
      </w:r>
      <w:r w:rsidR="007D770C">
        <w:rPr>
          <w:noProof/>
        </w:rPr>
        <w:t>1</w:t>
      </w:r>
      <w:r>
        <w:fldChar w:fldCharType="end"/>
      </w:r>
      <w:bookmarkEnd w:id="7"/>
      <w:bookmarkEnd w:id="9"/>
      <w:r w:rsidRPr="001A4B85">
        <w:tab/>
        <w:t>Summary of key matters of concern</w:t>
      </w:r>
      <w:bookmarkEnd w:id="8"/>
      <w:r w:rsidRPr="001A4B85">
        <w:t xml:space="preserve"> to MSAC</w:t>
      </w:r>
      <w:r w:rsidR="00553DB4">
        <w:t xml:space="preserve">/MSAC </w:t>
      </w:r>
      <w:r w:rsidR="00C203E0">
        <w:t>E</w:t>
      </w:r>
      <w:r w:rsidR="00553DB4">
        <w:t>xecutive</w:t>
      </w:r>
    </w:p>
    <w:tbl>
      <w:tblPr>
        <w:tblStyle w:val="TableGrid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686"/>
        <w:gridCol w:w="3827"/>
      </w:tblGrid>
      <w:tr w:rsidR="000A2458" w:rsidRPr="001A4B85" w14:paraId="6C6AF89F" w14:textId="77777777" w:rsidTr="00AB2082">
        <w:trPr>
          <w:cnfStyle w:val="100000000000" w:firstRow="1" w:lastRow="0" w:firstColumn="0" w:lastColumn="0" w:oddVBand="0" w:evenVBand="0" w:oddHBand="0" w:evenHBand="0" w:firstRowFirstColumn="0" w:firstRowLastColumn="0" w:lastRowFirstColumn="0" w:lastRowLastColumn="0"/>
          <w:cantSplit/>
          <w:trHeight w:val="292"/>
          <w:tblHeader/>
        </w:trPr>
        <w:tc>
          <w:tcPr>
            <w:tcW w:w="1701" w:type="dxa"/>
            <w:tcBorders>
              <w:top w:val="single" w:sz="4" w:space="0" w:color="auto"/>
              <w:left w:val="single" w:sz="4" w:space="0" w:color="auto"/>
              <w:bottom w:val="single" w:sz="4" w:space="0" w:color="auto"/>
              <w:right w:val="single" w:sz="4" w:space="0" w:color="auto"/>
            </w:tcBorders>
          </w:tcPr>
          <w:p w14:paraId="46046CE3" w14:textId="77777777" w:rsidR="004642DF" w:rsidRPr="001A4B85" w:rsidRDefault="004642DF" w:rsidP="00966A31">
            <w:pPr>
              <w:pStyle w:val="TableText"/>
              <w:spacing w:before="0" w:after="0"/>
              <w:rPr>
                <w:b/>
                <w:bCs/>
              </w:rPr>
            </w:pPr>
            <w:r w:rsidRPr="001A4B85">
              <w:rPr>
                <w:b/>
                <w:bCs/>
              </w:rPr>
              <w:t>Component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D2264B" w14:textId="0D7B017B" w:rsidR="004642DF" w:rsidRPr="001A4B85" w:rsidRDefault="00F46166" w:rsidP="00966A31">
            <w:pPr>
              <w:pStyle w:val="TableText"/>
              <w:spacing w:before="0" w:after="0"/>
              <w:rPr>
                <w:b/>
                <w:bCs/>
              </w:rPr>
            </w:pPr>
            <w:r>
              <w:rPr>
                <w:b/>
                <w:bCs/>
              </w:rPr>
              <w:t>M</w:t>
            </w:r>
            <w:r w:rsidR="00836156">
              <w:rPr>
                <w:b/>
                <w:bCs/>
              </w:rPr>
              <w:t>atters of concern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13DF51" w14:textId="21C8DB70" w:rsidR="004642DF" w:rsidRPr="001A4B85" w:rsidRDefault="004642DF" w:rsidP="00966A31">
            <w:pPr>
              <w:pStyle w:val="TableText"/>
              <w:spacing w:before="0" w:after="0"/>
              <w:rPr>
                <w:b/>
                <w:bCs/>
              </w:rPr>
            </w:pPr>
            <w:r w:rsidRPr="001A4B85">
              <w:rPr>
                <w:b/>
                <w:bCs/>
              </w:rPr>
              <w:t xml:space="preserve">How the current </w:t>
            </w:r>
            <w:r w:rsidR="00B75DF1">
              <w:rPr>
                <w:b/>
                <w:bCs/>
              </w:rPr>
              <w:t xml:space="preserve">FFP </w:t>
            </w:r>
            <w:r w:rsidR="00CC2D31">
              <w:rPr>
                <w:b/>
                <w:bCs/>
              </w:rPr>
              <w:t>overview</w:t>
            </w:r>
            <w:r w:rsidR="00CC2D31" w:rsidRPr="001A4B85">
              <w:rPr>
                <w:b/>
                <w:bCs/>
              </w:rPr>
              <w:t xml:space="preserve"> </w:t>
            </w:r>
            <w:r w:rsidRPr="001A4B85">
              <w:rPr>
                <w:b/>
                <w:bCs/>
              </w:rPr>
              <w:t xml:space="preserve">addressed the </w:t>
            </w:r>
            <w:r w:rsidR="00A831CE">
              <w:rPr>
                <w:b/>
                <w:bCs/>
              </w:rPr>
              <w:t>concern</w:t>
            </w:r>
          </w:p>
        </w:tc>
      </w:tr>
      <w:tr w:rsidR="00D63F93" w:rsidRPr="001A4B85" w14:paraId="1B168300" w14:textId="77777777">
        <w:trPr>
          <w:trHeight w:val="674"/>
        </w:trPr>
        <w:tc>
          <w:tcPr>
            <w:tcW w:w="1701" w:type="dxa"/>
            <w:vMerge w:val="restart"/>
            <w:tcBorders>
              <w:top w:val="single" w:sz="4" w:space="0" w:color="auto"/>
              <w:left w:val="single" w:sz="4" w:space="0" w:color="auto"/>
              <w:right w:val="single" w:sz="4" w:space="0" w:color="auto"/>
            </w:tcBorders>
          </w:tcPr>
          <w:p w14:paraId="09E6D476" w14:textId="226BB24B" w:rsidR="00E2562F" w:rsidRDefault="00E2562F" w:rsidP="00966A31">
            <w:pPr>
              <w:pStyle w:val="TableText"/>
              <w:spacing w:before="0" w:after="0"/>
            </w:pPr>
            <w:r>
              <w:t>Population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716F55" w14:textId="31971F3F" w:rsidR="00E2562F" w:rsidRPr="00917B80" w:rsidRDefault="00486B8E" w:rsidP="00966A31">
            <w:pPr>
              <w:pStyle w:val="TableText"/>
              <w:spacing w:before="0" w:after="0"/>
            </w:pPr>
            <w:r>
              <w:t>MSAC considered that i</w:t>
            </w:r>
            <w:r w:rsidR="00B0190C" w:rsidRPr="00917B80">
              <w:t xml:space="preserve">nformation for its reconsideration could be provided for SCD alone because screening for SCD can also detect </w:t>
            </w:r>
            <w:r w:rsidR="00D50466" w:rsidRPr="001E7563">
              <w:t>β</w:t>
            </w:r>
            <w:r w:rsidR="00B0190C" w:rsidRPr="00917B80">
              <w:t>-thalassaemia as a non-target condition (1737 PSD, p8)</w:t>
            </w:r>
            <w:r w:rsidR="006418D8">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C9001F" w14:textId="3CC3C8E1" w:rsidR="00E2562F" w:rsidRDefault="00DE1680" w:rsidP="00966A31">
            <w:pPr>
              <w:pStyle w:val="TableText"/>
              <w:spacing w:before="0" w:after="0"/>
            </w:pPr>
            <w:r>
              <w:t xml:space="preserve">FFP </w:t>
            </w:r>
            <w:r w:rsidR="00263CCD">
              <w:t xml:space="preserve">overview </w:t>
            </w:r>
            <w:r w:rsidR="00EB71EE">
              <w:t xml:space="preserve">assessed </w:t>
            </w:r>
            <w:r w:rsidR="00917B80">
              <w:t>only SCD</w:t>
            </w:r>
            <w:r w:rsidR="0027364C">
              <w:t xml:space="preserve"> (including </w:t>
            </w:r>
            <w:proofErr w:type="spellStart"/>
            <w:r w:rsidR="0027364C">
              <w:t>HbSS</w:t>
            </w:r>
            <w:proofErr w:type="spellEnd"/>
            <w:r w:rsidR="0027364C">
              <w:t xml:space="preserve">, </w:t>
            </w:r>
            <w:proofErr w:type="spellStart"/>
            <w:r w:rsidR="0027364C">
              <w:t>HbSC</w:t>
            </w:r>
            <w:proofErr w:type="spellEnd"/>
            <w:r w:rsidR="0027364C">
              <w:t xml:space="preserve"> and </w:t>
            </w:r>
            <w:proofErr w:type="spellStart"/>
            <w:r w:rsidR="0027364C">
              <w:t>HbS</w:t>
            </w:r>
            <w:proofErr w:type="spellEnd"/>
            <w:r w:rsidR="00D50466" w:rsidRPr="001E7563">
              <w:t>β</w:t>
            </w:r>
            <w:r w:rsidR="0027364C" w:rsidRPr="00917B80">
              <w:t>-thalassaemia</w:t>
            </w:r>
            <w:r w:rsidR="0027364C">
              <w:t>).</w:t>
            </w:r>
          </w:p>
        </w:tc>
      </w:tr>
      <w:tr w:rsidR="00D63F93" w:rsidRPr="001A4B85" w14:paraId="61109E74" w14:textId="77777777">
        <w:trPr>
          <w:trHeight w:val="674"/>
        </w:trPr>
        <w:tc>
          <w:tcPr>
            <w:tcW w:w="1701" w:type="dxa"/>
            <w:vMerge/>
            <w:tcBorders>
              <w:left w:val="single" w:sz="4" w:space="0" w:color="auto"/>
              <w:bottom w:val="single" w:sz="4" w:space="0" w:color="auto"/>
              <w:right w:val="single" w:sz="4" w:space="0" w:color="auto"/>
            </w:tcBorders>
          </w:tcPr>
          <w:p w14:paraId="3BFF36D5" w14:textId="77777777" w:rsidR="00E2562F" w:rsidRDefault="00E2562F" w:rsidP="00966A31">
            <w:pPr>
              <w:pStyle w:val="TableText"/>
              <w:spacing w:before="0" w:after="0"/>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8EBEC1" w14:textId="77777777" w:rsidR="00E2562F" w:rsidRDefault="006418D8" w:rsidP="00966A31">
            <w:pPr>
              <w:pStyle w:val="TableText"/>
              <w:spacing w:before="0" w:after="0"/>
            </w:pPr>
            <w:r w:rsidRPr="001E7563">
              <w:t>MSAC considered that the incidence of haemoglobinopathies in Australia was uncertain</w:t>
            </w:r>
            <w:r>
              <w:t xml:space="preserve"> </w:t>
            </w:r>
            <w:r w:rsidR="00D2578C">
              <w:t>(1737 PSD, p</w:t>
            </w:r>
            <w:r w:rsidR="00DC642A">
              <w:t>4)</w:t>
            </w:r>
            <w:r>
              <w:t>.</w:t>
            </w:r>
          </w:p>
          <w:p w14:paraId="48E7658A" w14:textId="57DA2AF9" w:rsidR="00F52F47" w:rsidRDefault="00F52F47" w:rsidP="00966A31">
            <w:pPr>
              <w:pStyle w:val="TableText"/>
              <w:spacing w:before="0" w:after="0"/>
            </w:pPr>
            <w:r>
              <w:t>Provide a more reliable estimate of incidence in Australia (1737 PSD, p8).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02F4901" w14:textId="1FBF0BD3" w:rsidR="00E2562F" w:rsidRDefault="00917B80" w:rsidP="00966A31">
            <w:pPr>
              <w:pStyle w:val="TableText"/>
              <w:spacing w:before="0" w:after="0"/>
            </w:pPr>
            <w:r>
              <w:t xml:space="preserve">Incidence </w:t>
            </w:r>
            <w:r w:rsidR="00C3533F">
              <w:t xml:space="preserve">has been </w:t>
            </w:r>
            <w:r w:rsidR="00CE5452">
              <w:t xml:space="preserve">estimated by applying </w:t>
            </w:r>
            <w:r w:rsidR="00EC5C46">
              <w:t xml:space="preserve">the </w:t>
            </w:r>
            <w:r w:rsidR="00CE5452">
              <w:t xml:space="preserve">incidence </w:t>
            </w:r>
            <w:r w:rsidR="001B298C">
              <w:t>from</w:t>
            </w:r>
            <w:r w:rsidR="00CE5452">
              <w:t xml:space="preserve"> </w:t>
            </w:r>
            <w:r w:rsidR="00EC5C46">
              <w:t xml:space="preserve">a </w:t>
            </w:r>
            <w:r w:rsidR="00CE5452">
              <w:t>key high</w:t>
            </w:r>
            <w:r w:rsidR="00BC77B0">
              <w:t>-</w:t>
            </w:r>
            <w:r w:rsidR="00CE5452">
              <w:t xml:space="preserve">risk </w:t>
            </w:r>
            <w:proofErr w:type="gramStart"/>
            <w:r w:rsidR="001B298C">
              <w:t>region</w:t>
            </w:r>
            <w:r w:rsidR="00CE5452">
              <w:t>,</w:t>
            </w:r>
            <w:r w:rsidR="001B298C">
              <w:t xml:space="preserve"> and</w:t>
            </w:r>
            <w:proofErr w:type="gramEnd"/>
            <w:r w:rsidR="001B298C">
              <w:t xml:space="preserve"> applying the </w:t>
            </w:r>
            <w:r w:rsidR="00B4393F">
              <w:t>incidence</w:t>
            </w:r>
            <w:r w:rsidR="00CE5452">
              <w:t xml:space="preserve"> to the proportion of births in Australia to </w:t>
            </w:r>
            <w:r w:rsidR="00A02DF7">
              <w:t>parents from these high</w:t>
            </w:r>
            <w:r w:rsidR="00DB6A8E">
              <w:t>-</w:t>
            </w:r>
            <w:r w:rsidR="00A02DF7">
              <w:t>risk countries</w:t>
            </w:r>
            <w:r w:rsidR="00442480">
              <w:t xml:space="preserve"> (then extrapolating to account for cases </w:t>
            </w:r>
            <w:r w:rsidR="007E6950">
              <w:t>to couples from outside of this region)</w:t>
            </w:r>
            <w:r w:rsidR="00A02DF7">
              <w:t>.</w:t>
            </w:r>
          </w:p>
        </w:tc>
      </w:tr>
      <w:tr w:rsidR="000A2458" w:rsidRPr="001A4B85" w14:paraId="29BE7600" w14:textId="77777777" w:rsidTr="00AB2082">
        <w:trPr>
          <w:trHeight w:val="674"/>
        </w:trPr>
        <w:tc>
          <w:tcPr>
            <w:tcW w:w="1701" w:type="dxa"/>
            <w:tcBorders>
              <w:top w:val="single" w:sz="4" w:space="0" w:color="auto"/>
              <w:left w:val="single" w:sz="4" w:space="0" w:color="auto"/>
              <w:bottom w:val="single" w:sz="4" w:space="0" w:color="auto"/>
              <w:right w:val="single" w:sz="4" w:space="0" w:color="auto"/>
            </w:tcBorders>
          </w:tcPr>
          <w:p w14:paraId="3F8F740B" w14:textId="4B2D41F8" w:rsidR="00E2562F" w:rsidRDefault="00E2562F" w:rsidP="00966A31">
            <w:pPr>
              <w:pStyle w:val="TableText"/>
              <w:spacing w:before="0" w:after="0"/>
            </w:pPr>
            <w:r>
              <w:t>Proposal for public funding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D8FA95" w14:textId="77777777" w:rsidR="00E2562F" w:rsidRDefault="00600912" w:rsidP="00966A31">
            <w:pPr>
              <w:pStyle w:val="TableText"/>
              <w:spacing w:before="0" w:after="0"/>
            </w:pPr>
            <w:r w:rsidRPr="001E7563">
              <w:t xml:space="preserve">MSAC considered that $10 per test would be relatively costly for a universal screening program first tier test, and that less costly methods should be equally capable of providing a diagnosis of SCD and β-thalassaemia. </w:t>
            </w:r>
            <w:r w:rsidRPr="00F92A89">
              <w:t xml:space="preserve">MSAC queried whether less costly methods are available in </w:t>
            </w:r>
            <w:proofErr w:type="gramStart"/>
            <w:r w:rsidRPr="00F92A89">
              <w:t>Australia, and</w:t>
            </w:r>
            <w:proofErr w:type="gramEnd"/>
            <w:r w:rsidRPr="001E7563">
              <w:t xml:space="preserve"> considered that using a less costly method would improve the cost-effectiveness</w:t>
            </w:r>
            <w:r>
              <w:t xml:space="preserve"> (1737 PSD, p7).</w:t>
            </w:r>
          </w:p>
          <w:p w14:paraId="7D63B178" w14:textId="0AC256D5" w:rsidR="005729F0" w:rsidRDefault="005729F0" w:rsidP="00966A31">
            <w:pPr>
              <w:pStyle w:val="TableText"/>
              <w:spacing w:before="0" w:after="0"/>
            </w:pPr>
            <w:r>
              <w:t xml:space="preserve">Investigate whether </w:t>
            </w:r>
            <w:r w:rsidR="00AC3168">
              <w:t xml:space="preserve">less costly screening methods are available in Australia, and if </w:t>
            </w:r>
            <w:proofErr w:type="gramStart"/>
            <w:r w:rsidR="00AC3168">
              <w:t>so</w:t>
            </w:r>
            <w:proofErr w:type="gramEnd"/>
            <w:r w:rsidR="00AC3168">
              <w:t xml:space="preserve"> determine their costs (1737 PSD, p8).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9C42E0" w14:textId="58889EF6" w:rsidR="00E2562F" w:rsidRDefault="004A43DA" w:rsidP="00966A31">
            <w:pPr>
              <w:pStyle w:val="TableText"/>
              <w:spacing w:before="0" w:after="0"/>
            </w:pPr>
            <w:r>
              <w:t xml:space="preserve">An expert consulted during preparation of the assessment provided </w:t>
            </w:r>
            <w:r w:rsidR="00FE4D2E">
              <w:t>advice that electrospray ionisation tandem mass spectrometry (ESI MS/MS) would be a more appropriate method</w:t>
            </w:r>
            <w:r w:rsidR="002E1DAF">
              <w:t xml:space="preserve"> for the first-tier test</w:t>
            </w:r>
            <w:r w:rsidR="00FE4D2E">
              <w:t xml:space="preserve">, </w:t>
            </w:r>
            <w:proofErr w:type="gramStart"/>
            <w:r w:rsidR="00FE4D2E">
              <w:t>and also</w:t>
            </w:r>
            <w:proofErr w:type="gramEnd"/>
            <w:r w:rsidR="00FE4D2E">
              <w:t xml:space="preserve"> provided </w:t>
            </w:r>
            <w:r>
              <w:t>costing estimates</w:t>
            </w:r>
            <w:r w:rsidR="00501697">
              <w:t xml:space="preserve"> based on the </w:t>
            </w:r>
            <w:r w:rsidR="00CF54AE">
              <w:t xml:space="preserve">number of </w:t>
            </w:r>
            <w:r w:rsidR="00D50466">
              <w:t>newborns</w:t>
            </w:r>
            <w:r w:rsidR="00CF54AE">
              <w:t xml:space="preserve"> screened by the</w:t>
            </w:r>
            <w:r w:rsidR="00501697">
              <w:t xml:space="preserve"> laboratory. </w:t>
            </w:r>
            <w:r w:rsidR="00DA3F64">
              <w:t>The base case of $2.00 per first-tier test was used</w:t>
            </w:r>
            <w:r w:rsidR="00C909E2">
              <w:t xml:space="preserve">, assumed appropriate where </w:t>
            </w:r>
            <w:r w:rsidR="00771733">
              <w:t>laboratories have ma</w:t>
            </w:r>
            <w:r w:rsidR="002C0EEC">
              <w:t xml:space="preserve">ss spectrometry </w:t>
            </w:r>
            <w:r w:rsidR="000B6450">
              <w:t xml:space="preserve">and staffing </w:t>
            </w:r>
            <w:r w:rsidR="002C0EEC">
              <w:t>capacity available</w:t>
            </w:r>
            <w:r w:rsidR="00336E44">
              <w:t>.</w:t>
            </w:r>
            <w:r>
              <w:t xml:space="preserve"> </w:t>
            </w:r>
          </w:p>
        </w:tc>
      </w:tr>
      <w:tr w:rsidR="000A2458" w:rsidRPr="001A4B85" w14:paraId="0373F87E" w14:textId="77777777" w:rsidTr="00AB2082">
        <w:trPr>
          <w:trHeight w:val="674"/>
        </w:trPr>
        <w:tc>
          <w:tcPr>
            <w:tcW w:w="1701" w:type="dxa"/>
            <w:tcBorders>
              <w:top w:val="single" w:sz="4" w:space="0" w:color="auto"/>
              <w:left w:val="single" w:sz="4" w:space="0" w:color="auto"/>
              <w:bottom w:val="single" w:sz="4" w:space="0" w:color="auto"/>
              <w:right w:val="single" w:sz="4" w:space="0" w:color="auto"/>
            </w:tcBorders>
          </w:tcPr>
          <w:p w14:paraId="7E16BF06" w14:textId="3DB5F2B7" w:rsidR="00E2562F" w:rsidRDefault="00E2562F" w:rsidP="00966A31">
            <w:pPr>
              <w:pStyle w:val="TableText"/>
              <w:spacing w:before="0" w:after="0"/>
            </w:pPr>
            <w:r>
              <w:t>Linked evidence – performance of targeted testing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AB4197" w14:textId="2402328B" w:rsidR="00E2562F" w:rsidRDefault="006D77DA" w:rsidP="00966A31">
            <w:pPr>
              <w:pStyle w:val="TableText"/>
              <w:spacing w:before="0" w:after="0"/>
            </w:pPr>
            <w:r>
              <w:t xml:space="preserve">MSAC </w:t>
            </w:r>
            <w:r w:rsidR="00C203E0">
              <w:t>E</w:t>
            </w:r>
            <w:r>
              <w:t xml:space="preserve">xecutive noted that </w:t>
            </w:r>
            <w:r w:rsidR="006C116A">
              <w:t>Australian Haemoglobinopathy Registry (</w:t>
            </w:r>
            <w:proofErr w:type="spellStart"/>
            <w:r w:rsidR="006C116A">
              <w:t>HbR</w:t>
            </w:r>
            <w:proofErr w:type="spellEnd"/>
            <w:r w:rsidR="006C116A">
              <w:t xml:space="preserve">) </w:t>
            </w:r>
            <w:r w:rsidR="0043478E">
              <w:t>data indicated that only 47.7% of SCD cases are currently diagnosed prior to symptom onset</w:t>
            </w:r>
            <w:r w:rsidR="00654EAE">
              <w:t>, not 95-99% as reported in DCAR 1737 based on expert opinion</w:t>
            </w:r>
            <w:r w:rsidR="002E17CE">
              <w:t>.</w:t>
            </w:r>
            <w:r w:rsidR="005853AB">
              <w:t xml:space="preserve"> (MSAC executive minutes, 22 September 2023).</w:t>
            </w:r>
            <w:r w:rsidR="002E17CE">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002ABA" w14:textId="0359D20C" w:rsidR="00E2562F" w:rsidRDefault="005853AB" w:rsidP="00966A31">
            <w:pPr>
              <w:pStyle w:val="TableText"/>
              <w:spacing w:before="0" w:after="0"/>
            </w:pPr>
            <w:r>
              <w:t xml:space="preserve">These data are incorporated in </w:t>
            </w:r>
            <w:r w:rsidR="00127225">
              <w:t>Section 10</w:t>
            </w:r>
            <w:r w:rsidR="00A37F44">
              <w:t xml:space="preserve"> and influence the estimates of the incremental benefit of NBS. </w:t>
            </w:r>
          </w:p>
        </w:tc>
      </w:tr>
      <w:tr w:rsidR="000A2458" w:rsidRPr="001A4B85" w14:paraId="272FF9F3" w14:textId="77777777" w:rsidTr="00AB2082">
        <w:trPr>
          <w:trHeight w:val="674"/>
        </w:trPr>
        <w:tc>
          <w:tcPr>
            <w:tcW w:w="1701" w:type="dxa"/>
            <w:tcBorders>
              <w:top w:val="single" w:sz="4" w:space="0" w:color="auto"/>
              <w:left w:val="single" w:sz="4" w:space="0" w:color="auto"/>
              <w:bottom w:val="single" w:sz="4" w:space="0" w:color="auto"/>
              <w:right w:val="single" w:sz="4" w:space="0" w:color="auto"/>
            </w:tcBorders>
          </w:tcPr>
          <w:p w14:paraId="5ED0CF91" w14:textId="5FA675CF" w:rsidR="00E2562F" w:rsidRPr="001A4B85" w:rsidRDefault="00E2562F" w:rsidP="00966A31">
            <w:pPr>
              <w:pStyle w:val="TableText"/>
              <w:spacing w:before="0" w:after="0"/>
            </w:pPr>
            <w:r>
              <w:t>Linked evidence – change in management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167B80" w14:textId="63028D00" w:rsidR="00E2562F" w:rsidRPr="001A4B85" w:rsidRDefault="00E2562F" w:rsidP="00966A31">
            <w:pPr>
              <w:pStyle w:val="TableText"/>
              <w:spacing w:before="0" w:after="0"/>
            </w:pPr>
            <w:r>
              <w:t>Quantify the change in management between NBS and current testing in Australia</w:t>
            </w:r>
            <w:r w:rsidR="001737D8">
              <w:t xml:space="preserve"> (1737 PSD, p8).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A006C1" w14:textId="51EBFF38" w:rsidR="00E2562F" w:rsidRPr="008774CF" w:rsidRDefault="00E2562F" w:rsidP="00966A31">
            <w:pPr>
              <w:pStyle w:val="TableText"/>
              <w:spacing w:before="0" w:after="0"/>
            </w:pPr>
            <w:proofErr w:type="spellStart"/>
            <w:r>
              <w:t>HbR</w:t>
            </w:r>
            <w:proofErr w:type="spellEnd"/>
            <w:r>
              <w:t xml:space="preserve"> data included in Section 10, demonstrating differences in management between those diagnosed early vs late.</w:t>
            </w:r>
          </w:p>
        </w:tc>
      </w:tr>
      <w:tr w:rsidR="000A2458" w:rsidRPr="001A4B85" w14:paraId="3A3615F6" w14:textId="77777777" w:rsidTr="00AB2082">
        <w:trPr>
          <w:trHeight w:val="570"/>
        </w:trPr>
        <w:tc>
          <w:tcPr>
            <w:tcW w:w="1701" w:type="dxa"/>
            <w:tcBorders>
              <w:top w:val="single" w:sz="4" w:space="0" w:color="auto"/>
              <w:left w:val="single" w:sz="4" w:space="0" w:color="auto"/>
              <w:bottom w:val="single" w:sz="4" w:space="0" w:color="auto"/>
              <w:right w:val="single" w:sz="4" w:space="0" w:color="auto"/>
            </w:tcBorders>
          </w:tcPr>
          <w:p w14:paraId="35700CCA" w14:textId="7930BCDD" w:rsidR="00E2562F" w:rsidRPr="001A4B85" w:rsidRDefault="00E2562F" w:rsidP="00966A31">
            <w:pPr>
              <w:pStyle w:val="TableText"/>
              <w:spacing w:before="0" w:after="0"/>
            </w:pPr>
            <w:r>
              <w:t>Linked evidence – effectiveness of change in management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A78497" w14:textId="4D4ACA40" w:rsidR="00E2562F" w:rsidRDefault="00E2562F" w:rsidP="00966A31">
            <w:pPr>
              <w:pStyle w:val="TableText"/>
              <w:spacing w:before="0" w:after="0"/>
            </w:pPr>
            <w:r>
              <w:t>Quantify the resulting effect on health outcomes in Australia (quantify the incremental health benefit from an earlier diagnosis through universal NBS as compared to diagnosis at symptom onset)</w:t>
            </w:r>
            <w:r w:rsidR="001737D8">
              <w:t xml:space="preserve"> (1737 PSD, p8).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3965B38" w14:textId="116D1B9E" w:rsidR="00E2562F" w:rsidRPr="008774CF" w:rsidRDefault="00E2562F" w:rsidP="00966A31">
            <w:pPr>
              <w:pStyle w:val="TableText"/>
              <w:spacing w:before="0" w:after="0"/>
            </w:pPr>
            <w:proofErr w:type="spellStart"/>
            <w:r>
              <w:t>HbR</w:t>
            </w:r>
            <w:proofErr w:type="spellEnd"/>
            <w:r>
              <w:t xml:space="preserve"> data included in Section 10, demonstrating differences in health outcomes in those diagnosed early vs late.</w:t>
            </w:r>
          </w:p>
        </w:tc>
      </w:tr>
      <w:tr w:rsidR="000A2458" w:rsidRPr="001A4B85" w14:paraId="44FD3345" w14:textId="77777777" w:rsidTr="00AB2082">
        <w:trPr>
          <w:trHeight w:val="557"/>
        </w:trPr>
        <w:tc>
          <w:tcPr>
            <w:tcW w:w="1701" w:type="dxa"/>
            <w:tcBorders>
              <w:top w:val="single" w:sz="4" w:space="0" w:color="auto"/>
              <w:left w:val="single" w:sz="4" w:space="0" w:color="auto"/>
              <w:right w:val="single" w:sz="4" w:space="0" w:color="auto"/>
            </w:tcBorders>
          </w:tcPr>
          <w:p w14:paraId="5FA1C93E" w14:textId="3394FAE0" w:rsidR="00E2562F" w:rsidRPr="001A4B85" w:rsidRDefault="00E2562F" w:rsidP="00966A31">
            <w:pPr>
              <w:pStyle w:val="TableText"/>
              <w:spacing w:before="0" w:after="0"/>
            </w:pPr>
            <w:r>
              <w:t xml:space="preserve">Economic evaluation and </w:t>
            </w:r>
            <w:r w:rsidR="007C7D89">
              <w:t>f</w:t>
            </w:r>
            <w:r>
              <w:t>inancial/ budgetary impacts</w:t>
            </w:r>
          </w:p>
        </w:tc>
        <w:tc>
          <w:tcPr>
            <w:tcW w:w="3686" w:type="dxa"/>
            <w:tcBorders>
              <w:top w:val="single" w:sz="4" w:space="0" w:color="auto"/>
              <w:left w:val="single" w:sz="4" w:space="0" w:color="auto"/>
              <w:right w:val="single" w:sz="4" w:space="0" w:color="auto"/>
            </w:tcBorders>
            <w:shd w:val="clear" w:color="auto" w:fill="auto"/>
          </w:tcPr>
          <w:p w14:paraId="5CB24C0E" w14:textId="24450D24" w:rsidR="00E2562F" w:rsidRDefault="00E2562F" w:rsidP="00966A31">
            <w:pPr>
              <w:pStyle w:val="TableText"/>
              <w:spacing w:before="0" w:after="0"/>
            </w:pPr>
            <w:r>
              <w:t>Provide updated economic and financial analyses taking the above into account</w:t>
            </w:r>
            <w:r w:rsidR="001737D8">
              <w:t xml:space="preserve"> (1737 PSD, p8).</w:t>
            </w:r>
          </w:p>
        </w:tc>
        <w:tc>
          <w:tcPr>
            <w:tcW w:w="3827" w:type="dxa"/>
            <w:tcBorders>
              <w:top w:val="single" w:sz="4" w:space="0" w:color="auto"/>
              <w:left w:val="single" w:sz="4" w:space="0" w:color="auto"/>
              <w:right w:val="single" w:sz="4" w:space="0" w:color="auto"/>
            </w:tcBorders>
            <w:shd w:val="clear" w:color="auto" w:fill="auto"/>
          </w:tcPr>
          <w:p w14:paraId="283D072C" w14:textId="2B5541A4" w:rsidR="00E2562F" w:rsidRDefault="006C61E1" w:rsidP="00966A31">
            <w:pPr>
              <w:pStyle w:val="TableText"/>
              <w:spacing w:before="0" w:after="0"/>
            </w:pPr>
            <w:r>
              <w:t>The economic and financial analyses have been updated t</w:t>
            </w:r>
            <w:r w:rsidR="004A3C02">
              <w:t xml:space="preserve">o reflect </w:t>
            </w:r>
            <w:r w:rsidR="00C21049">
              <w:t xml:space="preserve">the lower cost per screen and </w:t>
            </w:r>
            <w:r w:rsidR="00441617">
              <w:t>proportion of cases</w:t>
            </w:r>
            <w:r w:rsidR="00A479D6">
              <w:t xml:space="preserve">, as per the </w:t>
            </w:r>
            <w:proofErr w:type="spellStart"/>
            <w:r w:rsidR="00A479D6">
              <w:t>HbR</w:t>
            </w:r>
            <w:proofErr w:type="spellEnd"/>
            <w:r w:rsidR="00097264">
              <w:t xml:space="preserve"> data</w:t>
            </w:r>
            <w:r w:rsidR="00A479D6">
              <w:t>, who receive a diagnosis prior to symptom development.</w:t>
            </w:r>
          </w:p>
          <w:p w14:paraId="3F1C8A94" w14:textId="33262795" w:rsidR="0018420B" w:rsidRPr="008774CF" w:rsidRDefault="00E553E5" w:rsidP="00966A31">
            <w:pPr>
              <w:pStyle w:val="TableText"/>
              <w:spacing w:before="0" w:after="0"/>
            </w:pPr>
            <w:r>
              <w:t xml:space="preserve">While data on the effect of change in management </w:t>
            </w:r>
            <w:r w:rsidR="007A635B">
              <w:t xml:space="preserve">were </w:t>
            </w:r>
            <w:r w:rsidR="008C3A94">
              <w:t>able to be incorporated to an extent in the financial analysis, the</w:t>
            </w:r>
            <w:r w:rsidR="005222B1">
              <w:t xml:space="preserve"> </w:t>
            </w:r>
            <w:r w:rsidR="0018420B">
              <w:t xml:space="preserve">economic analysis could not </w:t>
            </w:r>
            <w:r w:rsidR="0018420B" w:rsidRPr="00CE6982">
              <w:t>easily be extended to a CUA</w:t>
            </w:r>
            <w:r w:rsidR="0018420B">
              <w:t>. This was</w:t>
            </w:r>
            <w:r w:rsidR="0018420B" w:rsidDel="001F090A">
              <w:t xml:space="preserve"> </w:t>
            </w:r>
            <w:r w:rsidR="0018420B">
              <w:t>acknowledged by the MSAC Executive</w:t>
            </w:r>
            <w:r w:rsidR="0015611D">
              <w:t xml:space="preserve"> </w:t>
            </w:r>
            <w:r w:rsidR="009E4E20">
              <w:t>(item 5.1, MSAC Executive Minutes, 22 September 2023)</w:t>
            </w:r>
            <w:r w:rsidR="0018420B">
              <w:t xml:space="preserve">, which considered that, </w:t>
            </w:r>
            <w:r w:rsidR="00335BE5" w:rsidRPr="00335BE5">
              <w:t>under revised assumptions regarding the test cost, if the costing were sufficiently low then the financial cost of screening may not justify the cost of a second DCAR to conduct a CUA</w:t>
            </w:r>
            <w:r w:rsidR="00335BE5">
              <w:t>.</w:t>
            </w:r>
          </w:p>
        </w:tc>
      </w:tr>
    </w:tbl>
    <w:p w14:paraId="7FDB8A43" w14:textId="59C9543F" w:rsidR="009D74D0" w:rsidRDefault="00BB0B02" w:rsidP="00C5591F">
      <w:pPr>
        <w:pStyle w:val="Tablenotes0"/>
      </w:pPr>
      <w:r>
        <w:t xml:space="preserve">CUA = cost-utility analysis; </w:t>
      </w:r>
      <w:r w:rsidR="00AF690C">
        <w:t xml:space="preserve">DCAR = Department Contracted Assessment Report; </w:t>
      </w:r>
      <w:r w:rsidR="00C5591F">
        <w:t xml:space="preserve">FFP = fit-for-purpose; </w:t>
      </w:r>
      <w:proofErr w:type="spellStart"/>
      <w:r w:rsidR="00AF690C">
        <w:t>HbR</w:t>
      </w:r>
      <w:proofErr w:type="spellEnd"/>
      <w:r w:rsidR="00AF690C">
        <w:t xml:space="preserve"> = Australian Haemoglobinopath</w:t>
      </w:r>
      <w:r w:rsidR="00BC77B0">
        <w:t>y</w:t>
      </w:r>
      <w:r w:rsidR="00AF690C">
        <w:t xml:space="preserve"> Registry; </w:t>
      </w:r>
      <w:r>
        <w:t>MSAC = Medical Services Advisory Committee; NBS = Newborn bloodspot screening</w:t>
      </w:r>
      <w:r w:rsidR="00AF690C">
        <w:t xml:space="preserve">; </w:t>
      </w:r>
      <w:r>
        <w:t>PSD = Public Summary Document</w:t>
      </w:r>
      <w:r w:rsidR="00C5591F">
        <w:t>; SCD = sickle cell disease</w:t>
      </w:r>
    </w:p>
    <w:p w14:paraId="6F52500A" w14:textId="7165C01C" w:rsidR="00772829" w:rsidRPr="00CE28E3" w:rsidRDefault="00521918" w:rsidP="002A18BE">
      <w:pPr>
        <w:pStyle w:val="Heading2"/>
        <w:numPr>
          <w:ilvl w:val="0"/>
          <w:numId w:val="0"/>
        </w:numPr>
      </w:pPr>
      <w:bookmarkStart w:id="10" w:name="_Toc149736387"/>
      <w:bookmarkEnd w:id="6"/>
      <w:r>
        <w:t>5</w:t>
      </w:r>
      <w:r w:rsidR="00C36633">
        <w:t>.</w:t>
      </w:r>
      <w:r w:rsidR="00C36633">
        <w:tab/>
      </w:r>
      <w:r w:rsidR="00772829" w:rsidRPr="00CE28E3">
        <w:t>Prerequisites to implementation of any funding advice</w:t>
      </w:r>
      <w:bookmarkEnd w:id="10"/>
    </w:p>
    <w:p w14:paraId="1E4E9A0A" w14:textId="401E2ADF" w:rsidR="008F7C95" w:rsidRDefault="00132BFE" w:rsidP="00835B92">
      <w:r>
        <w:t xml:space="preserve">Each state and territory </w:t>
      </w:r>
      <w:r w:rsidR="000B6450">
        <w:t>laboratory</w:t>
      </w:r>
      <w:r>
        <w:t xml:space="preserve"> </w:t>
      </w:r>
      <w:r w:rsidR="006E0A93">
        <w:t xml:space="preserve">would </w:t>
      </w:r>
      <w:r>
        <w:t xml:space="preserve">determine which method of screening for SCD </w:t>
      </w:r>
      <w:r w:rsidR="002C645B">
        <w:t xml:space="preserve">they </w:t>
      </w:r>
      <w:r w:rsidR="006E0A93">
        <w:t xml:space="preserve">would </w:t>
      </w:r>
      <w:r>
        <w:t xml:space="preserve">implement. </w:t>
      </w:r>
      <w:r w:rsidR="00645532">
        <w:t xml:space="preserve">MSAC considered that the </w:t>
      </w:r>
      <w:r w:rsidR="009565EC">
        <w:t xml:space="preserve">Newborn Bloodspot Screening National Policy Framework (NBS NPF) provides context for its </w:t>
      </w:r>
      <w:proofErr w:type="gramStart"/>
      <w:r w:rsidR="009565EC">
        <w:t>advice, but</w:t>
      </w:r>
      <w:proofErr w:type="gramEnd"/>
      <w:r w:rsidR="009565EC">
        <w:t xml:space="preserve"> noted that a detailed appraisal of the full scope of considerations </w:t>
      </w:r>
      <w:r w:rsidR="00255B38">
        <w:t xml:space="preserve">relevant to the NBS NPF criteria, such as a detailed appraisal of all relevant implementation considerations, </w:t>
      </w:r>
      <w:r w:rsidR="00A831CE">
        <w:t xml:space="preserve">is </w:t>
      </w:r>
      <w:r w:rsidR="00255B38">
        <w:t>outside MSAC’s terms of reference (</w:t>
      </w:r>
      <w:proofErr w:type="spellStart"/>
      <w:r w:rsidR="00255B38">
        <w:t>ToRs</w:t>
      </w:r>
      <w:proofErr w:type="spellEnd"/>
      <w:r w:rsidR="00255B38">
        <w:t>). MSAC noted</w:t>
      </w:r>
      <w:r w:rsidR="00255B38" w:rsidDel="005C5F9C">
        <w:t xml:space="preserve"> th</w:t>
      </w:r>
      <w:r w:rsidR="0084358D" w:rsidDel="005C5F9C">
        <w:t>at</w:t>
      </w:r>
      <w:r w:rsidR="0084358D">
        <w:t xml:space="preserve"> </w:t>
      </w:r>
      <w:r w:rsidR="00D663C8">
        <w:t xml:space="preserve">its </w:t>
      </w:r>
      <w:r w:rsidR="005C773D">
        <w:t xml:space="preserve">advice </w:t>
      </w:r>
      <w:r w:rsidR="009E7984">
        <w:t>within</w:t>
      </w:r>
      <w:r w:rsidR="005C773D">
        <w:t xml:space="preserve"> </w:t>
      </w:r>
      <w:r w:rsidR="0084358D">
        <w:t xml:space="preserve">its </w:t>
      </w:r>
      <w:proofErr w:type="spellStart"/>
      <w:r w:rsidR="0084358D">
        <w:t>ToRs</w:t>
      </w:r>
      <w:proofErr w:type="spellEnd"/>
      <w:r w:rsidR="0084358D">
        <w:t xml:space="preserve"> would be used in conjunction with advice from others in the overall decision-making process for NBS in </w:t>
      </w:r>
      <w:r w:rsidR="0084358D" w:rsidRPr="00D13813">
        <w:t>Australia (1737 PSD</w:t>
      </w:r>
      <w:r w:rsidR="00D13813" w:rsidRPr="00D13813">
        <w:t>, p3</w:t>
      </w:r>
      <w:r w:rsidR="00BD6AE8" w:rsidRPr="00D13813">
        <w:t>).</w:t>
      </w:r>
      <w:r w:rsidR="00BD6AE8">
        <w:t xml:space="preserve"> </w:t>
      </w:r>
    </w:p>
    <w:p w14:paraId="44C3B242" w14:textId="634DB6EF" w:rsidR="00772829" w:rsidRPr="00CE28E3" w:rsidRDefault="00521918" w:rsidP="002A18BE">
      <w:pPr>
        <w:pStyle w:val="Heading2"/>
        <w:numPr>
          <w:ilvl w:val="0"/>
          <w:numId w:val="0"/>
        </w:numPr>
      </w:pPr>
      <w:bookmarkStart w:id="11" w:name="_Toc149736388"/>
      <w:r>
        <w:t>6</w:t>
      </w:r>
      <w:r w:rsidR="00C36633">
        <w:t>.</w:t>
      </w:r>
      <w:r w:rsidR="00C36633">
        <w:tab/>
      </w:r>
      <w:r w:rsidR="00772829" w:rsidRPr="00CE28E3">
        <w:t>Proposal for public funding</w:t>
      </w:r>
      <w:bookmarkEnd w:id="11"/>
    </w:p>
    <w:p w14:paraId="6929C6C2" w14:textId="1F7E4FDD" w:rsidR="00F9060E" w:rsidRDefault="00F9060E" w:rsidP="00F9060E">
      <w:pPr>
        <w:rPr>
          <w:i/>
          <w:iCs/>
          <w:highlight w:val="yellow"/>
        </w:rPr>
      </w:pPr>
      <w:r>
        <w:t xml:space="preserve">The proposal </w:t>
      </w:r>
      <w:r w:rsidR="00455C8C">
        <w:t>wa</w:t>
      </w:r>
      <w:r>
        <w:t xml:space="preserve">s for </w:t>
      </w:r>
      <w:r w:rsidR="00F15C24">
        <w:t>SCD</w:t>
      </w:r>
      <w:r>
        <w:t xml:space="preserve"> to be added to </w:t>
      </w:r>
      <w:r w:rsidR="008A191E">
        <w:t xml:space="preserve">the list of conditions screened for through </w:t>
      </w:r>
      <w:r>
        <w:t xml:space="preserve">Australia’s NBS programs. If </w:t>
      </w:r>
      <w:r w:rsidR="00F15C24">
        <w:t xml:space="preserve">SCD </w:t>
      </w:r>
      <w:r>
        <w:t xml:space="preserve">is diagnosed via NBS, then follow-on cascade testing of first-degree relatives is also proposed, </w:t>
      </w:r>
      <w:r w:rsidR="005B5542">
        <w:t>however this is not covered</w:t>
      </w:r>
      <w:r w:rsidR="005B2C12">
        <w:t xml:space="preserve"> by </w:t>
      </w:r>
      <w:r w:rsidR="005B5542">
        <w:t>NBS program funding</w:t>
      </w:r>
      <w:r w:rsidR="005B2C12">
        <w:t>.</w:t>
      </w:r>
      <w:r>
        <w:t xml:space="preserve"> </w:t>
      </w:r>
    </w:p>
    <w:p w14:paraId="74742F44" w14:textId="6005BE07" w:rsidR="00AB2BFF" w:rsidRDefault="00AB2BFF" w:rsidP="002C645B">
      <w:r w:rsidRPr="00AB2BFF">
        <w:t xml:space="preserve">The Australian Government contributes funding to hospital services, including those for NBS through the National Health Reform Agreement (NHRA). </w:t>
      </w:r>
      <w:r w:rsidR="00E752C6" w:rsidRPr="00F92A89">
        <w:t>It has also</w:t>
      </w:r>
      <w:r w:rsidRPr="00AB2BFF">
        <w:t xml:space="preserve"> provided </w:t>
      </w:r>
      <w:r w:rsidR="00E752C6" w:rsidRPr="00F92A89">
        <w:t xml:space="preserve">$25.3 million </w:t>
      </w:r>
      <w:r w:rsidR="00E752C6">
        <w:t>over</w:t>
      </w:r>
      <w:r w:rsidR="00966A31">
        <w:br/>
      </w:r>
      <w:r w:rsidR="00E752C6">
        <w:t>4 years</w:t>
      </w:r>
      <w:r w:rsidR="00E752C6" w:rsidRPr="00F92A89">
        <w:t xml:space="preserve"> in </w:t>
      </w:r>
      <w:r w:rsidRPr="00AB2BFF">
        <w:t xml:space="preserve">direct </w:t>
      </w:r>
      <w:r w:rsidR="00E752C6" w:rsidRPr="00F92A89">
        <w:t xml:space="preserve">funding </w:t>
      </w:r>
      <w:r w:rsidRPr="00AB2BFF">
        <w:t xml:space="preserve">to states and territories to support expansion </w:t>
      </w:r>
      <w:r w:rsidR="00E752C6" w:rsidRPr="00F92A89">
        <w:t xml:space="preserve">and consistency </w:t>
      </w:r>
      <w:r w:rsidRPr="00AB2BFF">
        <w:t>of NBS programs.</w:t>
      </w:r>
    </w:p>
    <w:p w14:paraId="6EC211FF" w14:textId="6839F9CD" w:rsidR="008A191E" w:rsidRDefault="00006D4E" w:rsidP="002C645B">
      <w:r>
        <w:t xml:space="preserve">Screening </w:t>
      </w:r>
      <w:r w:rsidR="00BA732E">
        <w:t xml:space="preserve">protocols </w:t>
      </w:r>
      <w:r>
        <w:t>for SCD generally use a two-tier testing approach, whereby first</w:t>
      </w:r>
      <w:r w:rsidR="001F2AD0">
        <w:t>-</w:t>
      </w:r>
      <w:r>
        <w:t>tier testing can identify the presence of abnormal haemoglobin (or not), and second-tier testing is performed to confirm the first result</w:t>
      </w:r>
      <w:r w:rsidR="000B6450">
        <w:t>, using a different test</w:t>
      </w:r>
      <w:r w:rsidR="00BA732E">
        <w:t>.</w:t>
      </w:r>
      <w:r>
        <w:t xml:space="preserve"> Only samples found to </w:t>
      </w:r>
      <w:r w:rsidR="00BA732E">
        <w:t>have abnormal results in first-tier testing undergo second-tier testing.</w:t>
      </w:r>
      <w:r>
        <w:t xml:space="preserve"> </w:t>
      </w:r>
      <w:r w:rsidR="008A191E">
        <w:t>Each NBS laboratory</w:t>
      </w:r>
      <w:r w:rsidR="00ED10C7">
        <w:t xml:space="preserve"> </w:t>
      </w:r>
      <w:r w:rsidR="00116ED4">
        <w:t>may choose</w:t>
      </w:r>
      <w:r w:rsidR="00ED10C7">
        <w:t xml:space="preserve"> </w:t>
      </w:r>
      <w:r w:rsidR="008A191E">
        <w:t>which combination of test</w:t>
      </w:r>
      <w:r w:rsidR="00BD5A9E">
        <w:t xml:space="preserve"> method</w:t>
      </w:r>
      <w:r w:rsidR="008A191E">
        <w:t>s to use for first- and second-tier testing. Screening test</w:t>
      </w:r>
      <w:r w:rsidR="00BD5A9E">
        <w:t xml:space="preserve"> method</w:t>
      </w:r>
      <w:r w:rsidR="008A191E">
        <w:t xml:space="preserve">s assessed </w:t>
      </w:r>
      <w:r w:rsidR="00F10868">
        <w:t xml:space="preserve">in DCAR 1737 and </w:t>
      </w:r>
      <w:r w:rsidR="00790982">
        <w:t xml:space="preserve">this FFP overview </w:t>
      </w:r>
      <w:r w:rsidR="008A191E">
        <w:t>include</w:t>
      </w:r>
      <w:r w:rsidR="00E94649">
        <w:t>d</w:t>
      </w:r>
      <w:r w:rsidR="008A191E">
        <w:t>:</w:t>
      </w:r>
    </w:p>
    <w:p w14:paraId="0A91D796" w14:textId="6ACFF4E9" w:rsidR="008A191E" w:rsidRDefault="008A191E" w:rsidP="00BE22D1">
      <w:pPr>
        <w:pStyle w:val="ListParagraph"/>
        <w:numPr>
          <w:ilvl w:val="0"/>
          <w:numId w:val="10"/>
        </w:numPr>
      </w:pPr>
      <w:r>
        <w:t>isoelectric focusing (IEF</w:t>
      </w:r>
      <w:proofErr w:type="gramStart"/>
      <w:r>
        <w:t>)</w:t>
      </w:r>
      <w:r w:rsidR="00015C73">
        <w:t>;</w:t>
      </w:r>
      <w:proofErr w:type="gramEnd"/>
    </w:p>
    <w:p w14:paraId="65D7CC04" w14:textId="46F37585" w:rsidR="005D5B47" w:rsidRDefault="008A191E" w:rsidP="00BE22D1">
      <w:pPr>
        <w:pStyle w:val="ListParagraph"/>
        <w:numPr>
          <w:ilvl w:val="0"/>
          <w:numId w:val="10"/>
        </w:numPr>
      </w:pPr>
      <w:r>
        <w:t>high-performance liquid chromatography (HPLC</w:t>
      </w:r>
      <w:proofErr w:type="gramStart"/>
      <w:r>
        <w:t>)</w:t>
      </w:r>
      <w:r w:rsidR="00015C73">
        <w:t>;</w:t>
      </w:r>
      <w:proofErr w:type="gramEnd"/>
    </w:p>
    <w:p w14:paraId="49F2B400" w14:textId="04F0584B" w:rsidR="008A191E" w:rsidRDefault="008A191E" w:rsidP="00BE22D1">
      <w:pPr>
        <w:pStyle w:val="ListParagraph"/>
        <w:numPr>
          <w:ilvl w:val="0"/>
          <w:numId w:val="10"/>
        </w:numPr>
      </w:pPr>
      <w:r>
        <w:t>capillary zone electrophoresis (CE</w:t>
      </w:r>
      <w:proofErr w:type="gramStart"/>
      <w:r>
        <w:t>)</w:t>
      </w:r>
      <w:r w:rsidR="00015C73">
        <w:t>;</w:t>
      </w:r>
      <w:proofErr w:type="gramEnd"/>
    </w:p>
    <w:p w14:paraId="6E0806EB" w14:textId="580E4FE2" w:rsidR="008A191E" w:rsidRDefault="008A191E" w:rsidP="00BE22D1">
      <w:pPr>
        <w:pStyle w:val="ListParagraph"/>
        <w:numPr>
          <w:ilvl w:val="0"/>
          <w:numId w:val="10"/>
        </w:numPr>
      </w:pPr>
      <w:r>
        <w:t xml:space="preserve">mass spectrometry (either </w:t>
      </w:r>
      <w:r w:rsidR="0088324A" w:rsidRPr="006B3900">
        <w:t>Electrospray Ioni</w:t>
      </w:r>
      <w:r w:rsidR="00E12BFA">
        <w:t>s</w:t>
      </w:r>
      <w:r w:rsidR="0088324A" w:rsidRPr="006B3900">
        <w:t xml:space="preserve">ation </w:t>
      </w:r>
      <w:r w:rsidR="0088324A">
        <w:t xml:space="preserve">tandem </w:t>
      </w:r>
      <w:r w:rsidR="0088324A" w:rsidRPr="006B3900">
        <w:t>mass spectrometry</w:t>
      </w:r>
      <w:r w:rsidR="0088324A">
        <w:t xml:space="preserve"> (ESI-MS/MS) or </w:t>
      </w:r>
      <w:r w:rsidR="00015C73" w:rsidRPr="006B3900">
        <w:t>Matrix Assisted Laser Desorption/Ionization time-of-flight mass spectrometry</w:t>
      </w:r>
      <w:r w:rsidR="00015C73">
        <w:t xml:space="preserve"> (MALDI-TOF); and</w:t>
      </w:r>
    </w:p>
    <w:p w14:paraId="468477E5" w14:textId="48564454" w:rsidR="00015C73" w:rsidRDefault="00015C73" w:rsidP="00BE22D1">
      <w:pPr>
        <w:pStyle w:val="ListParagraph"/>
        <w:numPr>
          <w:ilvl w:val="0"/>
          <w:numId w:val="10"/>
        </w:numPr>
      </w:pPr>
      <w:r>
        <w:t>quantitative polymerase chain reaction (qPCR).</w:t>
      </w:r>
    </w:p>
    <w:p w14:paraId="653FC40E" w14:textId="77777777" w:rsidR="00F2700A" w:rsidRDefault="001A59A0" w:rsidP="00711376">
      <w:r>
        <w:t xml:space="preserve">Most testing protocols would then require genetic testing to confirm the diagnosis. </w:t>
      </w:r>
    </w:p>
    <w:p w14:paraId="2356BD91" w14:textId="1D7071D5" w:rsidR="001A59A0" w:rsidRDefault="001B5551" w:rsidP="00711376">
      <w:r>
        <w:t xml:space="preserve">The method used for </w:t>
      </w:r>
      <w:r w:rsidR="00E94649">
        <w:t xml:space="preserve">first-tier testing </w:t>
      </w:r>
      <w:r w:rsidR="00020180">
        <w:t xml:space="preserve">in this FFP overview </w:t>
      </w:r>
      <w:r w:rsidR="00C4318B">
        <w:t>wa</w:t>
      </w:r>
      <w:r w:rsidR="00020180">
        <w:t xml:space="preserve">s </w:t>
      </w:r>
      <w:r w:rsidR="00FD242A">
        <w:t>ESI-MS/MS</w:t>
      </w:r>
      <w:r w:rsidR="00C56B17">
        <w:t xml:space="preserve">, based on expert </w:t>
      </w:r>
      <w:r w:rsidR="006B193E" w:rsidRPr="006B193E">
        <w:t>advice</w:t>
      </w:r>
      <w:r w:rsidR="006B193E">
        <w:t xml:space="preserve"> receiv</w:t>
      </w:r>
      <w:r w:rsidR="00F27FCE">
        <w:t>ed</w:t>
      </w:r>
      <w:r w:rsidR="006B193E" w:rsidDel="00F27FCE">
        <w:t xml:space="preserve"> </w:t>
      </w:r>
      <w:r w:rsidR="006B193E">
        <w:t>during development of the overview</w:t>
      </w:r>
      <w:r w:rsidR="006B193E" w:rsidRPr="006B193E">
        <w:t xml:space="preserve"> that </w:t>
      </w:r>
      <w:r w:rsidR="006B193E">
        <w:t>it</w:t>
      </w:r>
      <w:r w:rsidR="006B193E" w:rsidRPr="006B193E">
        <w:t xml:space="preserve"> would be </w:t>
      </w:r>
      <w:r w:rsidR="000B6450">
        <w:t>the most</w:t>
      </w:r>
      <w:r w:rsidR="006B193E" w:rsidRPr="006B193E">
        <w:t xml:space="preserve"> appropriate method</w:t>
      </w:r>
      <w:r w:rsidR="000B6450">
        <w:t xml:space="preserve"> in the majority of Australian NBS laboratories</w:t>
      </w:r>
      <w:r w:rsidR="00FD242A">
        <w:t>.</w:t>
      </w:r>
      <w:r w:rsidR="00A00A86">
        <w:t xml:space="preserve"> </w:t>
      </w:r>
      <w:r w:rsidR="005C3BBF">
        <w:t xml:space="preserve">While </w:t>
      </w:r>
      <w:r w:rsidR="00BD28C8">
        <w:t xml:space="preserve">other methods </w:t>
      </w:r>
      <w:r w:rsidR="00F543E3">
        <w:t>may have acceptable analytical validity,</w:t>
      </w:r>
      <w:r w:rsidR="00BD28C8">
        <w:t xml:space="preserve"> </w:t>
      </w:r>
      <w:r w:rsidR="00F543E3">
        <w:t xml:space="preserve">they </w:t>
      </w:r>
      <w:r w:rsidR="00BD28C8">
        <w:t xml:space="preserve">were </w:t>
      </w:r>
      <w:r w:rsidR="009F33E7">
        <w:t xml:space="preserve">not </w:t>
      </w:r>
      <w:r w:rsidR="005C3BBF">
        <w:t>explored</w:t>
      </w:r>
      <w:r w:rsidR="00BD28C8">
        <w:t xml:space="preserve"> in sensitivity analyses</w:t>
      </w:r>
      <w:r w:rsidR="009C0BE9">
        <w:t xml:space="preserve"> for this assessment</w:t>
      </w:r>
      <w:r w:rsidR="0037705C">
        <w:t xml:space="preserve"> </w:t>
      </w:r>
      <w:r w:rsidR="00970B9E">
        <w:t>as</w:t>
      </w:r>
      <w:r w:rsidR="0037705C">
        <w:t xml:space="preserve"> </w:t>
      </w:r>
      <w:r w:rsidR="005D714F">
        <w:t>MSAC previously</w:t>
      </w:r>
      <w:r w:rsidR="00860112">
        <w:t xml:space="preserve"> </w:t>
      </w:r>
      <w:r w:rsidR="001B689E">
        <w:t>“</w:t>
      </w:r>
      <w:r w:rsidR="00C56B17" w:rsidRPr="00374D3A">
        <w:rPr>
          <w:i/>
        </w:rPr>
        <w:t xml:space="preserve">considered that $10 per test would be relatively costly for a universal screening program first tier test, and that </w:t>
      </w:r>
      <w:r w:rsidR="001B689E" w:rsidRPr="00374D3A">
        <w:rPr>
          <w:i/>
        </w:rPr>
        <w:t>less costly methods should be equally capable of providing a diagnosis of SCD and β-thalassaemia</w:t>
      </w:r>
      <w:r w:rsidR="001B689E">
        <w:t xml:space="preserve">” (1737 PSD, </w:t>
      </w:r>
      <w:proofErr w:type="spellStart"/>
      <w:r w:rsidR="001B689E">
        <w:t>pg</w:t>
      </w:r>
      <w:proofErr w:type="spellEnd"/>
      <w:r w:rsidR="001B689E">
        <w:t xml:space="preserve"> 7)</w:t>
      </w:r>
      <w:r w:rsidR="00946254">
        <w:t>, and no updated lower costings were available for other methods</w:t>
      </w:r>
      <w:r w:rsidR="00BD28C8">
        <w:t xml:space="preserve">. </w:t>
      </w:r>
      <w:r w:rsidR="00A00A86">
        <w:t xml:space="preserve"> </w:t>
      </w:r>
    </w:p>
    <w:p w14:paraId="49498D38" w14:textId="7DCBC999" w:rsidR="001A59A0" w:rsidRDefault="001A59A0" w:rsidP="001A59A0">
      <w:r>
        <w:t xml:space="preserve">Cascade testing is likely to be performed by genetic testing </w:t>
      </w:r>
      <w:r w:rsidR="000B6450">
        <w:t>for the</w:t>
      </w:r>
      <w:r>
        <w:t xml:space="preserve"> familial variants. The cost of cascade testing is not covered by NBS </w:t>
      </w:r>
      <w:r w:rsidR="00B54913">
        <w:t>funding</w:t>
      </w:r>
      <w:r w:rsidR="35EB0803">
        <w:t>.</w:t>
      </w:r>
      <w:r w:rsidR="007E78FD">
        <w:t xml:space="preserve"> </w:t>
      </w:r>
      <w:r w:rsidR="4CD75BF4">
        <w:t>C</w:t>
      </w:r>
      <w:r w:rsidR="007E78FD">
        <w:t xml:space="preserve">ascade testing </w:t>
      </w:r>
      <w:r w:rsidR="00CE79B5">
        <w:t xml:space="preserve">of family members </w:t>
      </w:r>
      <w:r w:rsidR="0027067F">
        <w:t xml:space="preserve">already occurs when </w:t>
      </w:r>
      <w:r w:rsidR="00CE79B5">
        <w:t>a person is</w:t>
      </w:r>
      <w:r w:rsidR="0027067F">
        <w:t xml:space="preserve"> diagnosed</w:t>
      </w:r>
      <w:r w:rsidR="00946254">
        <w:t>,</w:t>
      </w:r>
      <w:r>
        <w:t xml:space="preserve"> </w:t>
      </w:r>
      <w:r w:rsidR="00946254">
        <w:t>h</w:t>
      </w:r>
      <w:r w:rsidR="572DA1B6">
        <w:t xml:space="preserve">ence, </w:t>
      </w:r>
      <w:r w:rsidR="00946254">
        <w:t>it</w:t>
      </w:r>
      <w:r w:rsidR="572DA1B6">
        <w:t xml:space="preserve"> is not a new service</w:t>
      </w:r>
      <w:r w:rsidDel="3B7B34E8">
        <w:t>.</w:t>
      </w:r>
      <w:r w:rsidR="3B7B34E8">
        <w:t xml:space="preserve"> </w:t>
      </w:r>
      <w:r w:rsidR="00511FB6">
        <w:t xml:space="preserve">No new data on </w:t>
      </w:r>
      <w:r w:rsidR="0045750C">
        <w:t>cascade testing w</w:t>
      </w:r>
      <w:r w:rsidR="00487B5E">
        <w:t>ere</w:t>
      </w:r>
      <w:r w:rsidR="0045750C">
        <w:t xml:space="preserve"> identified for this FFP overview. </w:t>
      </w:r>
    </w:p>
    <w:p w14:paraId="34E0B08F" w14:textId="588B7B3F" w:rsidR="00772829" w:rsidRPr="00CE28E3" w:rsidRDefault="00521918" w:rsidP="002A18BE">
      <w:pPr>
        <w:pStyle w:val="Heading2"/>
        <w:numPr>
          <w:ilvl w:val="0"/>
          <w:numId w:val="0"/>
        </w:numPr>
      </w:pPr>
      <w:bookmarkStart w:id="12" w:name="_Toc149736389"/>
      <w:r>
        <w:t>7</w:t>
      </w:r>
      <w:r w:rsidR="00C36633">
        <w:t>.</w:t>
      </w:r>
      <w:r w:rsidR="00C36633">
        <w:tab/>
      </w:r>
      <w:r w:rsidR="00772829" w:rsidRPr="00CE28E3">
        <w:t>Population</w:t>
      </w:r>
      <w:bookmarkEnd w:id="12"/>
      <w:r w:rsidR="00772829" w:rsidRPr="00CE28E3">
        <w:t xml:space="preserve"> </w:t>
      </w:r>
    </w:p>
    <w:p w14:paraId="2C39B9DF" w14:textId="30B9D21E" w:rsidR="00EC5694" w:rsidRDefault="0045750C" w:rsidP="00EC5694">
      <w:r>
        <w:t>The</w:t>
      </w:r>
      <w:r w:rsidR="00EC5694">
        <w:t xml:space="preserve"> population under consideration in this assessment</w:t>
      </w:r>
      <w:r>
        <w:t xml:space="preserve"> is</w:t>
      </w:r>
      <w:r w:rsidR="00EC5694">
        <w:t xml:space="preserve"> newborns participating in newborn screening in Australia.</w:t>
      </w:r>
    </w:p>
    <w:p w14:paraId="75BF0485" w14:textId="107693FF" w:rsidR="00E5567D" w:rsidRDefault="003C49E3" w:rsidP="00E5567D">
      <w:r>
        <w:t>Sickle cell disease is an</w:t>
      </w:r>
      <w:r w:rsidR="00E5567D">
        <w:t xml:space="preserve"> </w:t>
      </w:r>
      <w:r w:rsidR="00D25515">
        <w:t xml:space="preserve">inherited </w:t>
      </w:r>
      <w:r w:rsidR="00E5567D">
        <w:t xml:space="preserve">disorder </w:t>
      </w:r>
      <w:r w:rsidR="6B89B6F9">
        <w:t>that affects</w:t>
      </w:r>
      <w:r w:rsidR="00E5567D">
        <w:t xml:space="preserve"> the structure of haemoglobin. Haemoglobin (Hb</w:t>
      </w:r>
      <w:r w:rsidR="009E4A76">
        <w:t>),</w:t>
      </w:r>
      <w:r w:rsidR="00E5567D">
        <w:t xml:space="preserve"> which is essential for oxygen transportation</w:t>
      </w:r>
      <w:r w:rsidR="009E4A76">
        <w:t>,</w:t>
      </w:r>
      <w:r w:rsidR="00E5567D">
        <w:t xml:space="preserve"> is a protein </w:t>
      </w:r>
      <w:r w:rsidR="008C254B">
        <w:t xml:space="preserve">normally </w:t>
      </w:r>
      <w:r w:rsidR="00E5567D">
        <w:t>constructed of two alpha and two beta chains</w:t>
      </w:r>
      <w:r w:rsidR="008C254B">
        <w:t xml:space="preserve"> (</w:t>
      </w:r>
      <w:proofErr w:type="spellStart"/>
      <w:r w:rsidR="008C254B">
        <w:t>HbA</w:t>
      </w:r>
      <w:proofErr w:type="spellEnd"/>
      <w:r w:rsidR="008C254B">
        <w:t>)</w:t>
      </w:r>
      <w:r w:rsidR="00E5567D">
        <w:t>.</w:t>
      </w:r>
      <w:r w:rsidR="009E4A76">
        <w:t xml:space="preserve"> </w:t>
      </w:r>
    </w:p>
    <w:p w14:paraId="75A24A5A" w14:textId="50138269" w:rsidR="001A69E9" w:rsidRDefault="009E4A76" w:rsidP="00EC5694">
      <w:r>
        <w:t xml:space="preserve">SCD usually occurs with the inheritance of two </w:t>
      </w:r>
      <w:proofErr w:type="spellStart"/>
      <w:r>
        <w:t>HbS</w:t>
      </w:r>
      <w:proofErr w:type="spellEnd"/>
      <w:r>
        <w:t xml:space="preserve"> variants (or </w:t>
      </w:r>
      <w:proofErr w:type="spellStart"/>
      <w:r>
        <w:t>HbSS</w:t>
      </w:r>
      <w:proofErr w:type="spellEnd"/>
      <w:r>
        <w:t>)</w:t>
      </w:r>
      <w:r w:rsidR="008C254B">
        <w:t xml:space="preserve">, one in each copy of the </w:t>
      </w:r>
      <w:r>
        <w:t>beta globin gene (</w:t>
      </w:r>
      <w:r w:rsidRPr="009E4A76">
        <w:rPr>
          <w:i/>
        </w:rPr>
        <w:t>HBB</w:t>
      </w:r>
      <w:r>
        <w:t xml:space="preserve"> gene), but other variants are also known</w:t>
      </w:r>
      <w:r w:rsidR="00207AA6">
        <w:t xml:space="preserve"> such as </w:t>
      </w:r>
      <w:proofErr w:type="spellStart"/>
      <w:r w:rsidR="00207AA6">
        <w:t>HbS</w:t>
      </w:r>
      <w:proofErr w:type="spellEnd"/>
      <w:r w:rsidR="00207AA6">
        <w:t xml:space="preserve"> combined with </w:t>
      </w:r>
      <w:proofErr w:type="spellStart"/>
      <w:r w:rsidR="00207AA6">
        <w:t>HbC</w:t>
      </w:r>
      <w:proofErr w:type="spellEnd"/>
      <w:r w:rsidR="003B4776">
        <w:t xml:space="preserve"> (</w:t>
      </w:r>
      <w:proofErr w:type="spellStart"/>
      <w:r w:rsidR="003B4776">
        <w:t>HbSC</w:t>
      </w:r>
      <w:proofErr w:type="spellEnd"/>
      <w:r w:rsidR="003B4776">
        <w:t>)</w:t>
      </w:r>
      <w:r w:rsidR="00207AA6">
        <w:t xml:space="preserve">, or a </w:t>
      </w:r>
      <w:r w:rsidR="00207AA6">
        <w:rPr>
          <w:rFonts w:ascii="Calibri" w:hAnsi="Calibri" w:cs="Calibri"/>
        </w:rPr>
        <w:t>β</w:t>
      </w:r>
      <w:r w:rsidR="00207AA6">
        <w:t>-thalassaemia variant</w:t>
      </w:r>
      <w:r w:rsidR="003B4776">
        <w:t xml:space="preserve"> (</w:t>
      </w:r>
      <w:proofErr w:type="spellStart"/>
      <w:r w:rsidR="003B4776">
        <w:t>HbS</w:t>
      </w:r>
      <w:proofErr w:type="spellEnd"/>
      <w:r w:rsidR="003B4776">
        <w:rPr>
          <w:rFonts w:ascii="Calibri" w:hAnsi="Calibri" w:cs="Calibri"/>
        </w:rPr>
        <w:t>β</w:t>
      </w:r>
      <w:r w:rsidR="003B4776">
        <w:t>-thalassaemia</w:t>
      </w:r>
      <w:r w:rsidR="003B4776">
        <w:rPr>
          <w:rFonts w:ascii="Calibri" w:hAnsi="Calibri" w:cs="Calibri"/>
        </w:rPr>
        <w:t>)</w:t>
      </w:r>
      <w:r>
        <w:t xml:space="preserve">. </w:t>
      </w:r>
      <w:r w:rsidR="00E5567D">
        <w:t xml:space="preserve">People with SCD have rigid, sickle-shaped red blood cells that can block blood vessels particularly during hypoxia or dehydration, preventing tissue from getting sufficient oxygen. This can cause intense pain, infection, organ damage (lungs, kidneys, </w:t>
      </w:r>
      <w:proofErr w:type="gramStart"/>
      <w:r w:rsidR="00E5567D">
        <w:t>spleen</w:t>
      </w:r>
      <w:proofErr w:type="gramEnd"/>
      <w:r w:rsidR="00E5567D">
        <w:t xml:space="preserve"> and brain) and stroke</w:t>
      </w:r>
      <w:r w:rsidR="00BB2521">
        <w:rPr>
          <w:rStyle w:val="FootnoteReference"/>
        </w:rPr>
        <w:footnoteReference w:id="6"/>
      </w:r>
      <w:r w:rsidR="00E5567D">
        <w:t>.</w:t>
      </w:r>
      <w:r w:rsidR="00492E8C">
        <w:t xml:space="preserve"> </w:t>
      </w:r>
    </w:p>
    <w:p w14:paraId="43A0C22F" w14:textId="4923F477" w:rsidR="001A69E9" w:rsidRDefault="001A69E9" w:rsidP="00EC5694">
      <w:r>
        <w:t>Since SCD impairs red cell production and is associated with increased red cell haemolysis, there is a potential lifelong requirement for blood transfusion (with increasing risk for alloimmunisation and reduction in availability of matched red cells for transfusion,</w:t>
      </w:r>
      <w:r w:rsidRPr="00912A72">
        <w:t xml:space="preserve"> </w:t>
      </w:r>
      <w:r>
        <w:t xml:space="preserve">over time) to ameliorate the disease effects. The American Society of Hematology guidelines </w:t>
      </w:r>
      <w:r w:rsidR="00621B7D">
        <w:t>suggests</w:t>
      </w:r>
      <w:r>
        <w:t xml:space="preserve"> </w:t>
      </w:r>
      <w:r w:rsidR="00C61368">
        <w:t>performing</w:t>
      </w:r>
      <w:r>
        <w:t xml:space="preserve"> “</w:t>
      </w:r>
      <w:r w:rsidRPr="004241F2">
        <w:t>extended red cell antigen profile by genotype or serology over only ABO/</w:t>
      </w:r>
      <w:proofErr w:type="spellStart"/>
      <w:r w:rsidRPr="004241F2">
        <w:t>RhD</w:t>
      </w:r>
      <w:proofErr w:type="spellEnd"/>
      <w:r w:rsidRPr="004241F2">
        <w:t xml:space="preserve"> typing for all patients with SCD (all genotypes) at the earliest opportunity (optimally before the first transfusion)</w:t>
      </w:r>
      <w:r>
        <w:t>”</w:t>
      </w:r>
      <w:r w:rsidR="00A53FBA">
        <w:rPr>
          <w:rStyle w:val="FootnoteReference"/>
        </w:rPr>
        <w:footnoteReference w:id="7"/>
      </w:r>
      <w:r>
        <w:t>.</w:t>
      </w:r>
    </w:p>
    <w:p w14:paraId="63038E11" w14:textId="5F460CB6" w:rsidR="003E4774" w:rsidRDefault="005F3204" w:rsidP="00EC5694">
      <w:r w:rsidRPr="005F3204">
        <w:t>Stroke, silent cerebral infarcts (silent strokes), and cognitive morbidity are the most common permanent sequelae of SCD in children and adults</w:t>
      </w:r>
      <w:r>
        <w:t>.</w:t>
      </w:r>
      <w:r w:rsidR="003C04FE">
        <w:t xml:space="preserve"> Consequent to this risk for adverse neurodevelopmental outcome, </w:t>
      </w:r>
      <w:r w:rsidR="00EF0DBA">
        <w:t xml:space="preserve">children aged 2-16 years </w:t>
      </w:r>
      <w:r w:rsidR="003D0ECA">
        <w:t xml:space="preserve">should </w:t>
      </w:r>
      <w:r w:rsidR="00957370">
        <w:t xml:space="preserve">have annual transcranial doppler </w:t>
      </w:r>
      <w:r w:rsidR="00603335">
        <w:t xml:space="preserve">(TCD) </w:t>
      </w:r>
      <w:r w:rsidR="00957370">
        <w:t>performed</w:t>
      </w:r>
      <w:r w:rsidR="00A80593">
        <w:t xml:space="preserve"> to assess </w:t>
      </w:r>
      <w:r w:rsidR="00FA59F4">
        <w:t xml:space="preserve">risk </w:t>
      </w:r>
      <w:r w:rsidR="00175F13">
        <w:t>for</w:t>
      </w:r>
      <w:r w:rsidR="00FA59F4">
        <w:t xml:space="preserve"> </w:t>
      </w:r>
      <w:r w:rsidR="00175F13">
        <w:t>ischaemic st</w:t>
      </w:r>
      <w:r w:rsidR="001D1119">
        <w:t>r</w:t>
      </w:r>
      <w:r w:rsidR="00175F13">
        <w:t>oke</w:t>
      </w:r>
      <w:r w:rsidR="00FA59F4">
        <w:t>, and to direct transfusion</w:t>
      </w:r>
      <w:r w:rsidR="00AF2FE1">
        <w:t xml:space="preserve"> need</w:t>
      </w:r>
      <w:r w:rsidR="00640754">
        <w:t xml:space="preserve"> (see below)</w:t>
      </w:r>
      <w:r w:rsidR="00AF2FE1">
        <w:t>.</w:t>
      </w:r>
      <w:r w:rsidR="00805942">
        <w:t xml:space="preserve"> </w:t>
      </w:r>
      <w:r w:rsidR="00A9483D" w:rsidRPr="00A9483D">
        <w:t>For suspected ischemic strokes, timely and appropriate red blood cell transfusion (within 2 hours of presentation to medical care) should be provided</w:t>
      </w:r>
      <w:r w:rsidR="00F757C5">
        <w:rPr>
          <w:rStyle w:val="FootnoteReference"/>
        </w:rPr>
        <w:footnoteReference w:id="8"/>
      </w:r>
      <w:r w:rsidR="004C5214">
        <w:fldChar w:fldCharType="begin"/>
      </w:r>
      <w:r w:rsidR="00834E25">
        <w:instrText xml:space="preserve"> ADDIN EN.CITE &lt;EndNote&gt;&lt;Cite&gt;&lt;Author&gt;DeBaun&lt;/Author&gt;&lt;Year&gt;2020&lt;/Year&gt;&lt;RecNum&gt;154&lt;/RecNum&gt;&lt;IDText&gt;1554-1588&lt;/IDText&gt;&lt;DisplayText&gt;(DeBaun et al. 2020)&lt;/DisplayText&gt;&lt;record&gt;&lt;rec-number&gt;154&lt;/rec-number&gt;&lt;foreign-keys&gt;&lt;key app="EN" db-id="p2fpwezd8trtaled22npdf09fsdtp5f5w5ar" timestamp="1680145777"&gt;154&lt;/key&gt;&lt;/foreign-keys&gt;&lt;ref-type name="Journal Article"&gt;17&lt;/ref-type&gt;&lt;contributors&gt;&lt;authors&gt;&lt;author&gt;DeBaun, M. R.&lt;/author&gt;&lt;author&gt;Jordan, L. C.&lt;/author&gt;&lt;author&gt;King, A. A.&lt;/author&gt;&lt;author&gt;Schatz, J.&lt;/author&gt;&lt;author&gt;Vichinsky, E.&lt;/author&gt;&lt;author&gt;Fox, C. K.&lt;/author&gt;&lt;author&gt;McKinstry, R. C.&lt;/author&gt;&lt;author&gt;Telfer, P.&lt;/author&gt;&lt;author&gt;Kraut, M. A.&lt;/author&gt;&lt;author&gt;Daraz, L.&lt;/author&gt;&lt;author&gt;Kirkham, F. J.&lt;/author&gt;&lt;author&gt;Murad, M. H.&lt;/author&gt;&lt;/authors&gt;&lt;/contributors&gt;&lt;titles&gt;&lt;title&gt;American Society of Hematology 2020 guidelines for sickle cell disease: prevention, diagnosis, and treatment of cerebrovascular disease in children and adults&lt;/title&gt;&lt;secondary-title&gt;Blood Advances&lt;/secondary-title&gt;&lt;/titles&gt;&lt;periodical&gt;&lt;full-title&gt;Blood Advances&lt;/full-title&gt;&lt;/periodical&gt;&lt;pages&gt;1554-1588&lt;/pages&gt;&lt;volume&gt;4&lt;/volume&gt;&lt;number&gt;8&lt;/number&gt;&lt;dates&gt;&lt;year&gt;2020&lt;/year&gt;&lt;/dates&gt;&lt;isbn&gt;2473-9529&lt;/isbn&gt;&lt;urls&gt;&lt;related-urls&gt;&lt;url&gt;https://doi.org/10.1182/bloodadvances.2019001142&lt;/url&gt;&lt;/related-urls&gt;&lt;/urls&gt;&lt;electronic-resource-num&gt;10.1182/bloodadvances.2019001142&lt;/electronic-resource-num&gt;&lt;access-date&gt;3/30/2023&lt;/access-date&gt;&lt;/record&gt;&lt;/Cite&gt;&lt;/EndNote&gt;</w:instrText>
      </w:r>
      <w:r w:rsidR="00512CAE">
        <w:fldChar w:fldCharType="separate"/>
      </w:r>
      <w:r w:rsidR="004C5214">
        <w:fldChar w:fldCharType="end"/>
      </w:r>
      <w:r w:rsidR="00A9483D" w:rsidRPr="00A9483D">
        <w:t>.</w:t>
      </w:r>
    </w:p>
    <w:p w14:paraId="06DD7EFD" w14:textId="62EE4C4D" w:rsidR="0012428A" w:rsidRDefault="08FCE6E7" w:rsidP="00EC5694">
      <w:r>
        <w:t>H</w:t>
      </w:r>
      <w:r w:rsidRPr="00282083">
        <w:t xml:space="preserve">ydroxyurea </w:t>
      </w:r>
      <w:r>
        <w:t xml:space="preserve">(HU) </w:t>
      </w:r>
      <w:r w:rsidRPr="00282083">
        <w:t xml:space="preserve">treatment at the maximum tolerated dose can be considered to substitute for regular blood transfusions </w:t>
      </w:r>
      <w:r>
        <w:t>f</w:t>
      </w:r>
      <w:r w:rsidR="62F11420">
        <w:t xml:space="preserve">or children </w:t>
      </w:r>
      <w:r w:rsidR="7885E819" w:rsidRPr="008A180B">
        <w:t>with SCD (ages 2-16 years) and abnormal TCD results who have been receiving transfusion therapy for at least 1 year</w:t>
      </w:r>
      <w:r w:rsidR="000B6450">
        <w:t>.</w:t>
      </w:r>
      <w:r w:rsidR="7885E819" w:rsidRPr="008A180B">
        <w:t xml:space="preserve"> </w:t>
      </w:r>
      <w:r>
        <w:t xml:space="preserve">This approach is </w:t>
      </w:r>
      <w:r w:rsidR="6F33C289">
        <w:t>based on</w:t>
      </w:r>
      <w:r w:rsidR="7885E819" w:rsidRPr="008A180B">
        <w:t xml:space="preserve"> the clinical trial risk stratification with an MRI and magnetic resonance angiography (MRA) of the brain</w:t>
      </w:r>
      <w:r w:rsidR="5A9676F8" w:rsidRPr="00282083">
        <w:t xml:space="preserve"> (conditional recommendation based on low certainty in the evidence about effects</w:t>
      </w:r>
      <w:r w:rsidR="45F61F71">
        <w:t>)</w:t>
      </w:r>
      <w:r w:rsidR="5A9676F8">
        <w:t>.</w:t>
      </w:r>
      <w:r w:rsidR="2B4C1B03">
        <w:t xml:space="preserve"> </w:t>
      </w:r>
      <w:r w:rsidR="07B57E8C">
        <w:t xml:space="preserve">A liquid formulation of </w:t>
      </w:r>
      <w:r w:rsidR="6E8D6074">
        <w:t xml:space="preserve">HU </w:t>
      </w:r>
      <w:r w:rsidR="1B0DCDA6">
        <w:t>for paediatric use</w:t>
      </w:r>
      <w:r w:rsidR="6E8D6074">
        <w:t xml:space="preserve"> </w:t>
      </w:r>
      <w:r w:rsidR="49690DA8">
        <w:t xml:space="preserve">is </w:t>
      </w:r>
      <w:r w:rsidR="797CCB61">
        <w:t xml:space="preserve">not </w:t>
      </w:r>
      <w:r w:rsidR="49690DA8">
        <w:t xml:space="preserve">approved by </w:t>
      </w:r>
      <w:r w:rsidR="1C8BD696">
        <w:t xml:space="preserve">the </w:t>
      </w:r>
      <w:r w:rsidR="63C0D381">
        <w:t>Therapeutic Goods Administration (</w:t>
      </w:r>
      <w:r w:rsidR="49690DA8">
        <w:t>TGA</w:t>
      </w:r>
      <w:r w:rsidR="63C0D381">
        <w:t>)</w:t>
      </w:r>
      <w:r w:rsidR="49690DA8">
        <w:t xml:space="preserve"> </w:t>
      </w:r>
      <w:r w:rsidR="1C8BD696">
        <w:t xml:space="preserve">for </w:t>
      </w:r>
      <w:r w:rsidR="7613DAAE">
        <w:t>the</w:t>
      </w:r>
      <w:r w:rsidR="49983EC8">
        <w:t xml:space="preserve"> prophylactic </w:t>
      </w:r>
      <w:r w:rsidR="7613DAAE">
        <w:t xml:space="preserve">treatment of </w:t>
      </w:r>
      <w:r w:rsidR="6E8D6074">
        <w:t>SCD</w:t>
      </w:r>
      <w:r w:rsidR="259514D1">
        <w:t xml:space="preserve">; </w:t>
      </w:r>
      <w:proofErr w:type="gramStart"/>
      <w:r w:rsidR="55EC4869">
        <w:t>however</w:t>
      </w:r>
      <w:proofErr w:type="gramEnd"/>
      <w:r w:rsidR="55EC4869">
        <w:t xml:space="preserve"> </w:t>
      </w:r>
      <w:r w:rsidR="259514D1">
        <w:t>patients may obtain this product through the Authorised Prescriber scheme</w:t>
      </w:r>
      <w:r w:rsidR="5BD7B49F">
        <w:t>.</w:t>
      </w:r>
      <w:r w:rsidR="1D3BE961">
        <w:t xml:space="preserve"> </w:t>
      </w:r>
      <w:r w:rsidR="4B5F5993">
        <w:t xml:space="preserve"> </w:t>
      </w:r>
      <w:r w:rsidR="5BD7B49F">
        <w:t>HU</w:t>
      </w:r>
      <w:r w:rsidR="1D3BE961">
        <w:t xml:space="preserve"> is not reimbursed</w:t>
      </w:r>
      <w:r w:rsidR="2164B11D">
        <w:t xml:space="preserve"> through the Pharmaceutical Benefits Scheme</w:t>
      </w:r>
      <w:r w:rsidR="1D3BE961">
        <w:t>.</w:t>
      </w:r>
      <w:r w:rsidR="1680F952">
        <w:t xml:space="preserve"> </w:t>
      </w:r>
      <w:r w:rsidR="072A79CF">
        <w:t xml:space="preserve">HU </w:t>
      </w:r>
      <w:r w:rsidR="1680F952">
        <w:t xml:space="preserve">is recommended for prevention of stroke and acute chest syndrome (ACS) by </w:t>
      </w:r>
      <w:r w:rsidR="03329121">
        <w:t>Australian</w:t>
      </w:r>
      <w:r w:rsidR="1680F952">
        <w:t xml:space="preserve"> clinical </w:t>
      </w:r>
      <w:r w:rsidR="2C4B2E37">
        <w:t xml:space="preserve">haematology </w:t>
      </w:r>
      <w:r w:rsidR="1680F952">
        <w:t>groups</w:t>
      </w:r>
      <w:r w:rsidR="005736D8">
        <w:rPr>
          <w:rStyle w:val="FootnoteReference"/>
        </w:rPr>
        <w:footnoteReference w:id="9"/>
      </w:r>
      <w:r w:rsidR="6E8D6074">
        <w:t>.</w:t>
      </w:r>
    </w:p>
    <w:p w14:paraId="6D204EB3" w14:textId="140271A2" w:rsidR="00AA53DB" w:rsidRDefault="00FE2BC9" w:rsidP="00EC5694">
      <w:r>
        <w:t>In the general population, y</w:t>
      </w:r>
      <w:r w:rsidR="00492E8C">
        <w:t>oung children have a higher risk of severe pneumococcal infection</w:t>
      </w:r>
      <w:r w:rsidR="00F37BB7">
        <w:t>, with pn</w:t>
      </w:r>
      <w:r w:rsidR="006E0EE4">
        <w:t>e</w:t>
      </w:r>
      <w:r w:rsidR="00F37BB7">
        <w:t>umococcal vaccination being included in the routine vaccination schedule</w:t>
      </w:r>
      <w:r w:rsidR="006C295C">
        <w:rPr>
          <w:rStyle w:val="FootnoteReference"/>
        </w:rPr>
        <w:footnoteReference w:id="10"/>
      </w:r>
      <w:r w:rsidR="00E5567D">
        <w:t>.</w:t>
      </w:r>
      <w:r w:rsidR="00492E8C" w:rsidRPr="00492E8C">
        <w:t xml:space="preserve"> </w:t>
      </w:r>
      <w:r w:rsidR="008E3CF8">
        <w:t>Individual</w:t>
      </w:r>
      <w:r w:rsidR="00ED580E">
        <w:t>s</w:t>
      </w:r>
      <w:r w:rsidR="008E3CF8">
        <w:t xml:space="preserve"> with SCD have a higher risk for pneumococcal in</w:t>
      </w:r>
      <w:r w:rsidR="004A0755">
        <w:t>f</w:t>
      </w:r>
      <w:r w:rsidR="008E3CF8">
        <w:t xml:space="preserve">ection </w:t>
      </w:r>
      <w:r w:rsidR="004A0755">
        <w:t xml:space="preserve">than the general population </w:t>
      </w:r>
      <w:r w:rsidR="008E3CF8">
        <w:t xml:space="preserve">and are eligible for additional </w:t>
      </w:r>
      <w:r w:rsidR="004A0755">
        <w:t>vaccine doses in early chi</w:t>
      </w:r>
      <w:r w:rsidR="00C03521">
        <w:t>l</w:t>
      </w:r>
      <w:r w:rsidR="004A0755">
        <w:t>dhood</w:t>
      </w:r>
      <w:r w:rsidR="00C61368">
        <w:t xml:space="preserve"> at 6 months and 4 years of age</w:t>
      </w:r>
      <w:r w:rsidR="004A0755">
        <w:t>.</w:t>
      </w:r>
      <w:r w:rsidR="00492E8C" w:rsidRPr="00492E8C">
        <w:t xml:space="preserve"> </w:t>
      </w:r>
    </w:p>
    <w:p w14:paraId="2F336637" w14:textId="7625D953" w:rsidR="00EC5694" w:rsidRDefault="00EC5694" w:rsidP="00EC5694">
      <w:r>
        <w:t xml:space="preserve">The target population for screening is all </w:t>
      </w:r>
      <w:r w:rsidR="00EF32EF">
        <w:t xml:space="preserve">newborns </w:t>
      </w:r>
      <w:r>
        <w:t xml:space="preserve">born in Australia who participate in universal newborn bloodspot screening programs. Included in the target population are infants at high risk of having SCD (including the homozygous </w:t>
      </w:r>
      <w:proofErr w:type="spellStart"/>
      <w:r>
        <w:t>HbSS</w:t>
      </w:r>
      <w:proofErr w:type="spellEnd"/>
      <w:r>
        <w:t xml:space="preserve"> form, heterozygous </w:t>
      </w:r>
      <w:proofErr w:type="spellStart"/>
      <w:r>
        <w:t>HbSC</w:t>
      </w:r>
      <w:proofErr w:type="spellEnd"/>
      <w:r>
        <w:t xml:space="preserve"> form,</w:t>
      </w:r>
      <w:r w:rsidRPr="00E64577">
        <w:t xml:space="preserve"> </w:t>
      </w:r>
      <w:r>
        <w:t xml:space="preserve">or </w:t>
      </w:r>
      <w:proofErr w:type="spellStart"/>
      <w:r>
        <w:t>HbS</w:t>
      </w:r>
      <w:proofErr w:type="spellEnd"/>
      <w:r>
        <w:rPr>
          <w:rFonts w:ascii="Calibri" w:hAnsi="Calibri" w:cs="Calibri"/>
        </w:rPr>
        <w:t>β</w:t>
      </w:r>
      <w:r>
        <w:t>-thalassaemia)</w:t>
      </w:r>
      <w:r w:rsidR="009E61AE">
        <w:t xml:space="preserve"> </w:t>
      </w:r>
      <w:r>
        <w:t xml:space="preserve">due to factors such as </w:t>
      </w:r>
      <w:r w:rsidR="00252EEC">
        <w:t xml:space="preserve">ancestry </w:t>
      </w:r>
      <w:r>
        <w:t xml:space="preserve">or family history. </w:t>
      </w:r>
    </w:p>
    <w:p w14:paraId="3F46DA02" w14:textId="371FCFCA" w:rsidR="00F325AB" w:rsidRDefault="00283B1A" w:rsidP="00EC5694">
      <w:r>
        <w:t xml:space="preserve">Newborns with SCD are at risk of serious symptoms as early as 8 to 10 weeks of age and are at higher risk of mortality </w:t>
      </w:r>
      <w:r w:rsidR="00AA53DB">
        <w:t xml:space="preserve">than the general population </w:t>
      </w:r>
      <w:r>
        <w:t>due to infection</w:t>
      </w:r>
      <w:r w:rsidR="00D979D5">
        <w:t xml:space="preserve">, and </w:t>
      </w:r>
      <w:r w:rsidR="001C2D15">
        <w:t>splenic infarction</w:t>
      </w:r>
      <w:r w:rsidR="00282DB8">
        <w:t>,</w:t>
      </w:r>
      <w:r w:rsidR="001C2D15">
        <w:t xml:space="preserve"> which may occur during sickle </w:t>
      </w:r>
      <w:r w:rsidR="00E07C61">
        <w:t xml:space="preserve">cell </w:t>
      </w:r>
      <w:r w:rsidR="001C2D15">
        <w:t>crises</w:t>
      </w:r>
      <w:r>
        <w:t xml:space="preserve">. It is proposed that NBS will diagnose neonates earlier than they are currently diagnosed in Australia, thereby reducing their morbidity and mortality. Babies with SCD </w:t>
      </w:r>
      <w:r w:rsidR="008B00B9">
        <w:t>can</w:t>
      </w:r>
      <w:r w:rsidR="00A54245">
        <w:t xml:space="preserve"> receive </w:t>
      </w:r>
      <w:r>
        <w:t xml:space="preserve">prophylactic penicillin </w:t>
      </w:r>
      <w:r w:rsidR="00B32A00">
        <w:t xml:space="preserve">and </w:t>
      </w:r>
      <w:r w:rsidR="009457E0">
        <w:t xml:space="preserve">additional </w:t>
      </w:r>
      <w:r w:rsidR="00B32A00">
        <w:t>pneumococcal vaccination</w:t>
      </w:r>
      <w:r w:rsidR="00730ABF">
        <w:t>s</w:t>
      </w:r>
      <w:r w:rsidR="00B32A00">
        <w:t xml:space="preserve"> </w:t>
      </w:r>
      <w:r>
        <w:t>when diagnosed early,</w:t>
      </w:r>
      <w:r w:rsidR="00275402">
        <w:t xml:space="preserve"> that </w:t>
      </w:r>
      <w:r w:rsidR="00205240">
        <w:t>have the potential to</w:t>
      </w:r>
      <w:r>
        <w:t xml:space="preserve"> lower </w:t>
      </w:r>
      <w:r w:rsidR="00F325AB">
        <w:t>the</w:t>
      </w:r>
      <w:r w:rsidR="00282DB8">
        <w:t xml:space="preserve"> </w:t>
      </w:r>
      <w:r>
        <w:t>risk</w:t>
      </w:r>
      <w:r w:rsidR="00F325AB">
        <w:t xml:space="preserve"> of sepsis, pneumonia, osteomyelitis, </w:t>
      </w:r>
      <w:proofErr w:type="gramStart"/>
      <w:r w:rsidR="00F325AB">
        <w:t>meningitis</w:t>
      </w:r>
      <w:proofErr w:type="gramEnd"/>
      <w:r w:rsidR="00F325AB">
        <w:t xml:space="preserve"> </w:t>
      </w:r>
      <w:r w:rsidR="00DE36AB">
        <w:t>and</w:t>
      </w:r>
      <w:r>
        <w:t xml:space="preserve"> death</w:t>
      </w:r>
      <w:r w:rsidR="00B32A00">
        <w:t xml:space="preserve">. </w:t>
      </w:r>
    </w:p>
    <w:p w14:paraId="16A8F536" w14:textId="44ECC175" w:rsidR="00B84FB0" w:rsidRDefault="00B32A00" w:rsidP="00C021D2">
      <w:pPr>
        <w:shd w:val="clear" w:color="auto" w:fill="FFFFFF" w:themeFill="background1"/>
      </w:pPr>
      <w:r>
        <w:t xml:space="preserve">Early diagnosis brings awareness of the condition that </w:t>
      </w:r>
      <w:r w:rsidR="009D55C0">
        <w:t>enables</w:t>
      </w:r>
      <w:r w:rsidR="00282DB8">
        <w:t xml:space="preserve"> </w:t>
      </w:r>
      <w:r w:rsidR="009D55C0">
        <w:t>commence</w:t>
      </w:r>
      <w:r w:rsidR="006B3202">
        <w:t>ment of</w:t>
      </w:r>
      <w:r w:rsidR="009D55C0">
        <w:t xml:space="preserve"> monitoring for cerebrovascular disease risk, commence</w:t>
      </w:r>
      <w:r w:rsidR="00A15860">
        <w:t>ment of</w:t>
      </w:r>
      <w:r w:rsidR="009D55C0">
        <w:t xml:space="preserve"> prophylactic interventions, undertak</w:t>
      </w:r>
      <w:r w:rsidR="00282DB8">
        <w:t>ing</w:t>
      </w:r>
      <w:r w:rsidR="009D55C0">
        <w:t xml:space="preserve"> baseline red cell antigen testing,</w:t>
      </w:r>
      <w:r w:rsidR="009457E0">
        <w:t xml:space="preserve"> </w:t>
      </w:r>
      <w:r w:rsidR="00F56322">
        <w:t>early parental education for identification of signs of splenic sequestration</w:t>
      </w:r>
      <w:r w:rsidR="004C777F">
        <w:t>,</w:t>
      </w:r>
      <w:r w:rsidR="00F56322">
        <w:t xml:space="preserve"> and </w:t>
      </w:r>
      <w:r>
        <w:t>identif</w:t>
      </w:r>
      <w:r w:rsidR="007E12A2">
        <w:t>ication of</w:t>
      </w:r>
      <w:r>
        <w:t xml:space="preserve"> symptoms in their earlier stages lead</w:t>
      </w:r>
      <w:r w:rsidR="007E12A2">
        <w:t>ing</w:t>
      </w:r>
      <w:r>
        <w:t xml:space="preserve"> to earlier treatment. Hospitalisation should be reduced, and fewer downstream sequalae </w:t>
      </w:r>
      <w:r w:rsidR="004F6C9F">
        <w:t>from</w:t>
      </w:r>
      <w:r>
        <w:t xml:space="preserve"> severe anaemia, venous blockages and splenic sequestration should reduce the burden on the health system and improve health and social outcomes for children</w:t>
      </w:r>
      <w:r w:rsidR="00A76BC1">
        <w:t xml:space="preserve"> with severe haemoglobinopathies</w:t>
      </w:r>
      <w:r>
        <w:t xml:space="preserve">. </w:t>
      </w:r>
    </w:p>
    <w:p w14:paraId="7189ED6B" w14:textId="5B2E1AE8" w:rsidR="00622164" w:rsidRDefault="00622164" w:rsidP="00622164">
      <w:pPr>
        <w:pStyle w:val="Heading4"/>
      </w:pPr>
      <w:r>
        <w:t>Estimation of the incidence of SCD</w:t>
      </w:r>
    </w:p>
    <w:p w14:paraId="467F90E4" w14:textId="7B6EB2FC" w:rsidR="00A7208B" w:rsidRDefault="0772BCBD" w:rsidP="00C021D2">
      <w:pPr>
        <w:shd w:val="clear" w:color="auto" w:fill="FFFFFF" w:themeFill="background1"/>
      </w:pPr>
      <w:r>
        <w:t xml:space="preserve">In the absence of </w:t>
      </w:r>
      <w:r w:rsidR="6B0F012E">
        <w:t>reliable</w:t>
      </w:r>
      <w:r>
        <w:t xml:space="preserve"> data for the incidence of SCD, </w:t>
      </w:r>
      <w:r w:rsidR="67E83C4D">
        <w:t>o</w:t>
      </w:r>
      <w:r w:rsidR="2D9E114F">
        <w:t>ne</w:t>
      </w:r>
      <w:r w:rsidR="00137107">
        <w:t xml:space="preserve"> method of estimating the incidence within Australia </w:t>
      </w:r>
      <w:r w:rsidR="14869049">
        <w:t>was</w:t>
      </w:r>
      <w:r w:rsidR="00137107">
        <w:t xml:space="preserve"> to </w:t>
      </w:r>
      <w:r w:rsidR="00137107" w:rsidRPr="00DB32A5">
        <w:t xml:space="preserve">use </w:t>
      </w:r>
      <w:r w:rsidR="001C3E86" w:rsidRPr="00DB32A5">
        <w:t xml:space="preserve">data from the countries of origin where there is a high </w:t>
      </w:r>
      <w:r w:rsidR="05FABC7B" w:rsidRPr="00DB32A5">
        <w:t>prevalence</w:t>
      </w:r>
      <w:r w:rsidR="0063576C" w:rsidRPr="00DB32A5">
        <w:t xml:space="preserve"> </w:t>
      </w:r>
      <w:r w:rsidR="001C3E86" w:rsidRPr="00DB32A5">
        <w:t xml:space="preserve">of SCD and consider the rate of immigration </w:t>
      </w:r>
      <w:r w:rsidR="00B21410" w:rsidRPr="00DB32A5">
        <w:t xml:space="preserve">to Australia </w:t>
      </w:r>
      <w:r w:rsidR="001C3E86" w:rsidRPr="00DB32A5">
        <w:t>from those sources</w:t>
      </w:r>
      <w:bookmarkStart w:id="13" w:name="_Ref149556880"/>
      <w:r w:rsidR="00840A5B" w:rsidRPr="00DB32A5">
        <w:t xml:space="preserve"> (N</w:t>
      </w:r>
      <w:r w:rsidR="00DB32A5">
        <w:t>elson</w:t>
      </w:r>
      <w:r w:rsidR="009E2C88">
        <w:t xml:space="preserve"> </w:t>
      </w:r>
      <w:r w:rsidR="00840A5B" w:rsidRPr="00DB32A5">
        <w:t xml:space="preserve">et </w:t>
      </w:r>
      <w:r w:rsidR="00840A5B">
        <w:t>al)</w:t>
      </w:r>
      <w:bookmarkEnd w:id="13"/>
      <w:r w:rsidR="001C3E86">
        <w:t xml:space="preserve">. </w:t>
      </w:r>
      <w:r w:rsidR="002E08B3">
        <w:t xml:space="preserve">A meta-analysis of studies on the incidence of SCD </w:t>
      </w:r>
      <w:r w:rsidR="004114C0">
        <w:t xml:space="preserve">(either </w:t>
      </w:r>
      <w:proofErr w:type="spellStart"/>
      <w:r w:rsidR="004114C0">
        <w:t>HbSS</w:t>
      </w:r>
      <w:proofErr w:type="spellEnd"/>
      <w:r w:rsidR="004114C0">
        <w:t xml:space="preserve">, </w:t>
      </w:r>
      <w:proofErr w:type="spellStart"/>
      <w:r w:rsidR="004114C0">
        <w:t>HbSC</w:t>
      </w:r>
      <w:proofErr w:type="spellEnd"/>
      <w:r w:rsidR="004114C0">
        <w:t xml:space="preserve">, or </w:t>
      </w:r>
      <w:proofErr w:type="spellStart"/>
      <w:r w:rsidR="004114C0">
        <w:t>HbS</w:t>
      </w:r>
      <w:proofErr w:type="spellEnd"/>
      <w:r w:rsidR="004114C0">
        <w:rPr>
          <w:rFonts w:ascii="Calibri" w:hAnsi="Calibri" w:cs="Calibri"/>
        </w:rPr>
        <w:t>β</w:t>
      </w:r>
      <w:r w:rsidR="004114C0">
        <w:t xml:space="preserve">-thalassaemia) </w:t>
      </w:r>
      <w:r w:rsidR="002E08B3">
        <w:t xml:space="preserve">found that in people from </w:t>
      </w:r>
      <w:r w:rsidR="002A4ACC">
        <w:t xml:space="preserve">Sub-Saharan </w:t>
      </w:r>
      <w:r w:rsidR="002E08B3">
        <w:t>Africa, there w</w:t>
      </w:r>
      <w:r w:rsidR="00676586">
        <w:t>ere</w:t>
      </w:r>
      <w:r w:rsidR="002E08B3">
        <w:t xml:space="preserve"> 1125.49 cases</w:t>
      </w:r>
      <w:r w:rsidR="005C64EE">
        <w:t xml:space="preserve"> of SCD</w:t>
      </w:r>
      <w:r w:rsidR="002E08B3">
        <w:t xml:space="preserve"> per 100,000 </w:t>
      </w:r>
      <w:r w:rsidR="000A46F2">
        <w:t xml:space="preserve">live </w:t>
      </w:r>
      <w:r w:rsidR="002E08B3">
        <w:t>births</w:t>
      </w:r>
      <w:r w:rsidR="00B110EE">
        <w:t xml:space="preserve"> (95% CI </w:t>
      </w:r>
      <w:r w:rsidR="009F7D76">
        <w:t>680.43, 1570.5)</w:t>
      </w:r>
      <w:r w:rsidR="00385614">
        <w:rPr>
          <w:rStyle w:val="FootnoteReference"/>
        </w:rPr>
        <w:footnoteReference w:id="11"/>
      </w:r>
      <w:r w:rsidR="00137AA2">
        <w:t xml:space="preserve">. </w:t>
      </w:r>
      <w:r w:rsidR="001C3E86">
        <w:t xml:space="preserve">Although a similar approach could be used </w:t>
      </w:r>
      <w:r w:rsidR="00661F62">
        <w:t xml:space="preserve">for </w:t>
      </w:r>
      <w:r w:rsidR="001C3E86">
        <w:t>people</w:t>
      </w:r>
      <w:r w:rsidR="00661F62">
        <w:t xml:space="preserve"> from</w:t>
      </w:r>
      <w:r w:rsidR="001C3E86">
        <w:t xml:space="preserve"> India, where the incidence in the meta-analysis was found to be </w:t>
      </w:r>
      <w:r w:rsidR="00183F40">
        <w:t>447.90 (95%CI 111.69, 783.91) per 100,000 live births</w:t>
      </w:r>
      <w:r w:rsidR="001C3E86">
        <w:t xml:space="preserve">, these data are unlikely to be representative of </w:t>
      </w:r>
      <w:r w:rsidR="004D3150">
        <w:t xml:space="preserve">immigrants who enter Australia. </w:t>
      </w:r>
      <w:r w:rsidR="00855353">
        <w:t xml:space="preserve">For </w:t>
      </w:r>
      <w:r w:rsidR="00D92E06">
        <w:t>people who migrate to Australia for non-humanitarian reasons</w:t>
      </w:r>
      <w:r w:rsidR="00332F52">
        <w:t xml:space="preserve">, the pre-arrival screening process includes a full blood examination/film, which has the potential to </w:t>
      </w:r>
      <w:r w:rsidR="00256B76">
        <w:t>detect</w:t>
      </w:r>
      <w:r w:rsidR="00332F52">
        <w:t xml:space="preserve"> cases and carriers of SCD.</w:t>
      </w:r>
      <w:r w:rsidR="0070501F">
        <w:t xml:space="preserve"> Sickle cell anaemia is </w:t>
      </w:r>
      <w:r w:rsidR="007A357E">
        <w:t>on the list of conditions deemed to impose significant costs and/or demands</w:t>
      </w:r>
      <w:r w:rsidR="00463EC7">
        <w:t xml:space="preserve">, </w:t>
      </w:r>
      <w:r w:rsidR="00915C45">
        <w:t xml:space="preserve">which </w:t>
      </w:r>
      <w:r w:rsidR="00463EC7">
        <w:t>mean</w:t>
      </w:r>
      <w:r w:rsidR="00915C45">
        <w:t>s</w:t>
      </w:r>
      <w:r w:rsidR="00463EC7">
        <w:t xml:space="preserve"> that a visa will not be granted, unless a health wa</w:t>
      </w:r>
      <w:r w:rsidR="006E06F6">
        <w:t>i</w:t>
      </w:r>
      <w:r w:rsidR="00463EC7">
        <w:t>ver is given</w:t>
      </w:r>
      <w:r w:rsidR="00B06D11">
        <w:rPr>
          <w:rStyle w:val="FootnoteReference"/>
        </w:rPr>
        <w:footnoteReference w:id="12"/>
      </w:r>
      <w:r w:rsidR="00463EC7">
        <w:t xml:space="preserve">. </w:t>
      </w:r>
    </w:p>
    <w:p w14:paraId="24F2CAE8" w14:textId="26ACC301" w:rsidR="00B90DBC" w:rsidRDefault="00915C45" w:rsidP="00C021D2">
      <w:pPr>
        <w:shd w:val="clear" w:color="auto" w:fill="FFFFFF" w:themeFill="background1"/>
      </w:pPr>
      <w:r>
        <w:t>D</w:t>
      </w:r>
      <w:r w:rsidR="00A7208B">
        <w:t>ata from Sub-Saharan Africa</w:t>
      </w:r>
      <w:r>
        <w:t xml:space="preserve"> </w:t>
      </w:r>
      <w:r w:rsidR="004B6D80">
        <w:t xml:space="preserve">were </w:t>
      </w:r>
      <w:r>
        <w:t>therefore extrapolated</w:t>
      </w:r>
      <w:r w:rsidR="00A7208B">
        <w:t xml:space="preserve">. </w:t>
      </w:r>
      <w:r w:rsidR="290E5B8A">
        <w:t xml:space="preserve">The </w:t>
      </w:r>
      <w:proofErr w:type="spellStart"/>
      <w:r w:rsidR="00B038E0">
        <w:t>HbR</w:t>
      </w:r>
      <w:proofErr w:type="spellEnd"/>
      <w:r w:rsidR="17F66BB9">
        <w:t xml:space="preserve"> data</w:t>
      </w:r>
      <w:r w:rsidR="000B6046">
        <w:t xml:space="preserve"> </w:t>
      </w:r>
      <w:proofErr w:type="gramStart"/>
      <w:r w:rsidR="004B6D80">
        <w:t>as a whole</w:t>
      </w:r>
      <w:r w:rsidR="001D295D">
        <w:t xml:space="preserve"> </w:t>
      </w:r>
      <w:r w:rsidR="579D6B18">
        <w:t>reported</w:t>
      </w:r>
      <w:proofErr w:type="gramEnd"/>
      <w:r w:rsidR="5582D04F">
        <w:t xml:space="preserve"> that </w:t>
      </w:r>
      <w:r w:rsidR="00A61694">
        <w:t xml:space="preserve">77.6% </w:t>
      </w:r>
      <w:r w:rsidR="005A35BC">
        <w:t xml:space="preserve">of </w:t>
      </w:r>
      <w:r w:rsidR="008F0885">
        <w:t xml:space="preserve">paediatric </w:t>
      </w:r>
      <w:r w:rsidR="005A35BC">
        <w:t xml:space="preserve">cases </w:t>
      </w:r>
      <w:r w:rsidR="00F36A22">
        <w:t xml:space="preserve">have a self-reported </w:t>
      </w:r>
      <w:r w:rsidR="002C5706">
        <w:t xml:space="preserve">ancestry </w:t>
      </w:r>
      <w:r w:rsidR="005A35BC">
        <w:t>from Sub-Sahara</w:t>
      </w:r>
      <w:r w:rsidR="007911C5">
        <w:t>n Africa</w:t>
      </w:r>
      <w:r w:rsidR="00256FA5">
        <w:t xml:space="preserve"> (Nelson et al., </w:t>
      </w:r>
      <w:r w:rsidR="009E2C88">
        <w:t>2023</w:t>
      </w:r>
      <w:r w:rsidR="00256FA5">
        <w:t>)</w:t>
      </w:r>
      <w:r w:rsidR="008F0885">
        <w:t xml:space="preserve">. If the assumption is made </w:t>
      </w:r>
      <w:r w:rsidR="006F4C80">
        <w:t xml:space="preserve">that the </w:t>
      </w:r>
      <w:r w:rsidR="00AB6807">
        <w:t xml:space="preserve">distribution of </w:t>
      </w:r>
      <w:r w:rsidR="002C5706">
        <w:t xml:space="preserve">ancestry </w:t>
      </w:r>
      <w:r w:rsidR="00AB6807">
        <w:t>of cases remains stable</w:t>
      </w:r>
      <w:r w:rsidR="004F74AF">
        <w:t xml:space="preserve"> </w:t>
      </w:r>
      <w:r w:rsidR="0089467B">
        <w:t>when restricting to cases born in Australia</w:t>
      </w:r>
      <w:r w:rsidR="00AB6807">
        <w:t xml:space="preserve">, then it could be assumed that </w:t>
      </w:r>
      <w:r w:rsidR="004068BA">
        <w:t xml:space="preserve">82 cases per year represents 77.6% of </w:t>
      </w:r>
      <w:r w:rsidR="000B6450">
        <w:t xml:space="preserve">SCD </w:t>
      </w:r>
      <w:r w:rsidR="004068BA">
        <w:t xml:space="preserve">cases, </w:t>
      </w:r>
      <w:r w:rsidR="000B6450">
        <w:t>which would equate to</w:t>
      </w:r>
      <w:r w:rsidR="004068BA">
        <w:t xml:space="preserve"> a total of </w:t>
      </w:r>
      <w:r w:rsidR="007E1369">
        <w:t>106 cases per year, or an inciden</w:t>
      </w:r>
      <w:r w:rsidR="00F17817">
        <w:t xml:space="preserve">ce of </w:t>
      </w:r>
      <w:r w:rsidR="0020789E">
        <w:t>34.2 per 100,000</w:t>
      </w:r>
      <w:r w:rsidR="00D2452B">
        <w:t xml:space="preserve"> (</w:t>
      </w:r>
      <w:r w:rsidR="00D2452B">
        <w:fldChar w:fldCharType="begin"/>
      </w:r>
      <w:r w:rsidR="00D2452B">
        <w:instrText xml:space="preserve"> REF _Ref149567772 \h </w:instrText>
      </w:r>
      <w:r w:rsidR="00D2452B">
        <w:fldChar w:fldCharType="separate"/>
      </w:r>
      <w:r w:rsidR="007D770C" w:rsidRPr="00CE28E3">
        <w:t>Table</w:t>
      </w:r>
      <w:r w:rsidR="007D770C">
        <w:t> </w:t>
      </w:r>
      <w:r w:rsidR="007D770C">
        <w:rPr>
          <w:noProof/>
        </w:rPr>
        <w:t>2</w:t>
      </w:r>
      <w:r w:rsidR="00D2452B">
        <w:fldChar w:fldCharType="end"/>
      </w:r>
      <w:r w:rsidR="00D2452B">
        <w:t>)</w:t>
      </w:r>
      <w:r w:rsidR="0020789E">
        <w:t xml:space="preserve">. </w:t>
      </w:r>
      <w:r w:rsidR="007911C5">
        <w:t>This is a highly uncertain assumption, as patterns of migration (and the reasons for migration</w:t>
      </w:r>
      <w:r w:rsidR="005F1431">
        <w:t xml:space="preserve">) can differ largely over time. </w:t>
      </w:r>
    </w:p>
    <w:p w14:paraId="2C055F12" w14:textId="571A85B3" w:rsidR="00191FC3" w:rsidRPr="00265D95" w:rsidRDefault="00191FC3" w:rsidP="00191FC3">
      <w:pPr>
        <w:pStyle w:val="Caption"/>
      </w:pPr>
      <w:bookmarkStart w:id="14" w:name="_Ref149567772"/>
      <w:r w:rsidRPr="00CE28E3">
        <w:t>Table</w:t>
      </w:r>
      <w:r>
        <w:t> </w:t>
      </w:r>
      <w:r>
        <w:fldChar w:fldCharType="begin"/>
      </w:r>
      <w:r>
        <w:instrText>SEQ Table \* ARABIC</w:instrText>
      </w:r>
      <w:r>
        <w:fldChar w:fldCharType="separate"/>
      </w:r>
      <w:r w:rsidR="007D770C">
        <w:rPr>
          <w:noProof/>
        </w:rPr>
        <w:t>2</w:t>
      </w:r>
      <w:r>
        <w:fldChar w:fldCharType="end"/>
      </w:r>
      <w:bookmarkEnd w:id="14"/>
      <w:r w:rsidRPr="00CE28E3">
        <w:tab/>
      </w:r>
      <w:r w:rsidR="00E02D9B">
        <w:t xml:space="preserve">Estimated SCD </w:t>
      </w:r>
      <w:proofErr w:type="gramStart"/>
      <w:r w:rsidR="00E02D9B">
        <w:t>incidence</w:t>
      </w:r>
      <w:proofErr w:type="gramEnd"/>
    </w:p>
    <w:tbl>
      <w:tblPr>
        <w:tblStyle w:val="TableGrid"/>
        <w:tblW w:w="0" w:type="auto"/>
        <w:tblLook w:val="04A0" w:firstRow="1" w:lastRow="0" w:firstColumn="1" w:lastColumn="0" w:noHBand="0" w:noVBand="1"/>
      </w:tblPr>
      <w:tblGrid>
        <w:gridCol w:w="2547"/>
        <w:gridCol w:w="2835"/>
        <w:gridCol w:w="3634"/>
      </w:tblGrid>
      <w:tr w:rsidR="001A6793" w14:paraId="3E533D0C" w14:textId="77777777" w:rsidTr="00B778C1">
        <w:tc>
          <w:tcPr>
            <w:tcW w:w="2547" w:type="dxa"/>
          </w:tcPr>
          <w:p w14:paraId="73573D1A" w14:textId="46A7A66E" w:rsidR="001A6793" w:rsidRDefault="001A6793" w:rsidP="00B778C1">
            <w:pPr>
              <w:pStyle w:val="TableText"/>
            </w:pPr>
          </w:p>
        </w:tc>
        <w:tc>
          <w:tcPr>
            <w:tcW w:w="2835" w:type="dxa"/>
          </w:tcPr>
          <w:p w14:paraId="74D00953" w14:textId="27F15076" w:rsidR="001A6793" w:rsidRDefault="008C6887" w:rsidP="00B778C1">
            <w:pPr>
              <w:pStyle w:val="TableHeading0"/>
            </w:pPr>
            <w:r>
              <w:t>Total births in 2021</w:t>
            </w:r>
            <w:r w:rsidR="008777C4">
              <w:rPr>
                <w:vertAlign w:val="superscript"/>
              </w:rPr>
              <w:t>1</w:t>
            </w:r>
            <w:r w:rsidR="00B778C1">
              <w:t xml:space="preserve"> </w:t>
            </w:r>
          </w:p>
        </w:tc>
        <w:tc>
          <w:tcPr>
            <w:tcW w:w="3634" w:type="dxa"/>
          </w:tcPr>
          <w:p w14:paraId="6C02B128" w14:textId="0007FF14" w:rsidR="001A6793" w:rsidRPr="00886BA3" w:rsidRDefault="00193A78" w:rsidP="00B778C1">
            <w:pPr>
              <w:pStyle w:val="TableHeading0"/>
              <w:rPr>
                <w:vertAlign w:val="superscript"/>
              </w:rPr>
            </w:pPr>
            <w:r>
              <w:t xml:space="preserve">Estimated </w:t>
            </w:r>
            <w:r w:rsidR="00E73063">
              <w:t>no. with SCD</w:t>
            </w:r>
          </w:p>
        </w:tc>
      </w:tr>
      <w:tr w:rsidR="00C75E6C" w14:paraId="0D849D57" w14:textId="77777777" w:rsidTr="00B778C1">
        <w:tc>
          <w:tcPr>
            <w:tcW w:w="2547" w:type="dxa"/>
          </w:tcPr>
          <w:p w14:paraId="2336984B" w14:textId="215AA61F" w:rsidR="00C75E6C" w:rsidRDefault="00C75E6C" w:rsidP="00B778C1">
            <w:pPr>
              <w:pStyle w:val="TableText"/>
            </w:pPr>
            <w:r>
              <w:t>Mother from Sub-Saharan African</w:t>
            </w:r>
          </w:p>
        </w:tc>
        <w:tc>
          <w:tcPr>
            <w:tcW w:w="2835" w:type="dxa"/>
          </w:tcPr>
          <w:p w14:paraId="007D4D97" w14:textId="2E3D4973" w:rsidR="00C75E6C" w:rsidRDefault="00C75E6C" w:rsidP="00B778C1">
            <w:pPr>
              <w:pStyle w:val="TableText"/>
            </w:pPr>
            <w:r>
              <w:t>6,933</w:t>
            </w:r>
          </w:p>
        </w:tc>
        <w:tc>
          <w:tcPr>
            <w:tcW w:w="3634" w:type="dxa"/>
            <w:vMerge w:val="restart"/>
          </w:tcPr>
          <w:p w14:paraId="62165340" w14:textId="4DD16327" w:rsidR="00C75E6C" w:rsidRPr="008777C4" w:rsidRDefault="00C75E6C" w:rsidP="00B778C1">
            <w:pPr>
              <w:pStyle w:val="TableText"/>
              <w:rPr>
                <w:vertAlign w:val="superscript"/>
              </w:rPr>
            </w:pPr>
            <w:r>
              <w:t xml:space="preserve">82 (95%CI 50, </w:t>
            </w:r>
            <w:r w:rsidR="008146FB">
              <w:t>115)</w:t>
            </w:r>
            <w:r w:rsidR="008777C4">
              <w:rPr>
                <w:vertAlign w:val="superscript"/>
              </w:rPr>
              <w:t>2</w:t>
            </w:r>
          </w:p>
        </w:tc>
      </w:tr>
      <w:tr w:rsidR="00C75E6C" w14:paraId="69C7FB77" w14:textId="77777777" w:rsidTr="00B778C1">
        <w:tc>
          <w:tcPr>
            <w:tcW w:w="2547" w:type="dxa"/>
          </w:tcPr>
          <w:p w14:paraId="51C93A84" w14:textId="0B44D9CE" w:rsidR="00C75E6C" w:rsidRDefault="00C75E6C" w:rsidP="00B778C1">
            <w:pPr>
              <w:pStyle w:val="TableText"/>
            </w:pPr>
            <w:r>
              <w:t>Father from Sub-Saharan African</w:t>
            </w:r>
          </w:p>
        </w:tc>
        <w:tc>
          <w:tcPr>
            <w:tcW w:w="2835" w:type="dxa"/>
          </w:tcPr>
          <w:p w14:paraId="2FD6BC8F" w14:textId="0A458B8C" w:rsidR="00C75E6C" w:rsidRDefault="00C75E6C" w:rsidP="00B778C1">
            <w:pPr>
              <w:pStyle w:val="TableText"/>
            </w:pPr>
            <w:r>
              <w:t>7,322</w:t>
            </w:r>
          </w:p>
        </w:tc>
        <w:tc>
          <w:tcPr>
            <w:tcW w:w="3634" w:type="dxa"/>
            <w:vMerge/>
          </w:tcPr>
          <w:p w14:paraId="5C0C9549" w14:textId="42C3333B" w:rsidR="00C75E6C" w:rsidRDefault="00C75E6C" w:rsidP="00B778C1">
            <w:pPr>
              <w:pStyle w:val="TableText"/>
            </w:pPr>
          </w:p>
        </w:tc>
      </w:tr>
      <w:tr w:rsidR="008C6887" w14:paraId="0A0A38E6" w14:textId="77777777" w:rsidTr="00B778C1">
        <w:tc>
          <w:tcPr>
            <w:tcW w:w="2547" w:type="dxa"/>
          </w:tcPr>
          <w:p w14:paraId="29856D3F" w14:textId="2285FCE6" w:rsidR="008C6887" w:rsidRDefault="00ED0CCC" w:rsidP="00B778C1">
            <w:pPr>
              <w:pStyle w:val="TableText"/>
            </w:pPr>
            <w:r>
              <w:t>Australia</w:t>
            </w:r>
          </w:p>
        </w:tc>
        <w:tc>
          <w:tcPr>
            <w:tcW w:w="2835" w:type="dxa"/>
          </w:tcPr>
          <w:p w14:paraId="7EBCC394" w14:textId="11B1FDAE" w:rsidR="008C6887" w:rsidRDefault="00ED0CCC" w:rsidP="00B778C1">
            <w:pPr>
              <w:pStyle w:val="TableText"/>
            </w:pPr>
            <w:r>
              <w:t>309,996</w:t>
            </w:r>
          </w:p>
        </w:tc>
        <w:tc>
          <w:tcPr>
            <w:tcW w:w="3634" w:type="dxa"/>
          </w:tcPr>
          <w:p w14:paraId="0834A947" w14:textId="457C3D1F" w:rsidR="008C6887" w:rsidRDefault="007E1369" w:rsidP="00B778C1">
            <w:pPr>
              <w:pStyle w:val="TableText"/>
            </w:pPr>
            <w:r>
              <w:t>106</w:t>
            </w:r>
            <w:r w:rsidR="008777C4">
              <w:rPr>
                <w:vertAlign w:val="superscript"/>
              </w:rPr>
              <w:t>3</w:t>
            </w:r>
            <w:r w:rsidR="00AE721A">
              <w:t xml:space="preserve"> </w:t>
            </w:r>
          </w:p>
          <w:p w14:paraId="2AA7FFB9" w14:textId="099AF0E6" w:rsidR="00A00EA6" w:rsidRDefault="00A00EA6" w:rsidP="00B778C1">
            <w:pPr>
              <w:pStyle w:val="TableText"/>
            </w:pPr>
            <w:r>
              <w:t xml:space="preserve">Incidence of </w:t>
            </w:r>
            <w:r w:rsidR="00213E40">
              <w:t>34</w:t>
            </w:r>
            <w:r w:rsidR="00F17817">
              <w:t>.2</w:t>
            </w:r>
            <w:r w:rsidR="0059087D">
              <w:t xml:space="preserve"> per 100,000</w:t>
            </w:r>
          </w:p>
        </w:tc>
      </w:tr>
    </w:tbl>
    <w:p w14:paraId="14D4EEBA" w14:textId="51065FB5" w:rsidR="00DB1FBF" w:rsidRDefault="008777C4" w:rsidP="00F02B16">
      <w:pPr>
        <w:pStyle w:val="Tablenotes0"/>
      </w:pPr>
      <w:r>
        <w:rPr>
          <w:vertAlign w:val="superscript"/>
        </w:rPr>
        <w:t>1</w:t>
      </w:r>
      <w:r w:rsidR="008D3DE0">
        <w:t>Australian Bureau of Statistics</w:t>
      </w:r>
      <w:r w:rsidR="00E10538">
        <w:t xml:space="preserve">, Births, Australia 2021 </w:t>
      </w:r>
      <w:r w:rsidR="008D3DE0">
        <w:t xml:space="preserve"> </w:t>
      </w:r>
    </w:p>
    <w:p w14:paraId="14C73300" w14:textId="5FDCF306" w:rsidR="00886BA3" w:rsidRDefault="008777C4" w:rsidP="00F02B16">
      <w:pPr>
        <w:pStyle w:val="Tablenotes0"/>
      </w:pPr>
      <w:r>
        <w:rPr>
          <w:vertAlign w:val="superscript"/>
        </w:rPr>
        <w:t>2</w:t>
      </w:r>
      <w:r w:rsidR="00886BA3">
        <w:t xml:space="preserve">Based on </w:t>
      </w:r>
      <w:r w:rsidR="007A47D3">
        <w:t xml:space="preserve">the incidence of SCD reported by </w:t>
      </w:r>
      <w:proofErr w:type="spellStart"/>
      <w:r w:rsidR="007A47D3">
        <w:t>W</w:t>
      </w:r>
      <w:r w:rsidR="00DE39C3">
        <w:t>a</w:t>
      </w:r>
      <w:r w:rsidR="007A47D3">
        <w:t>stnedge</w:t>
      </w:r>
      <w:proofErr w:type="spellEnd"/>
      <w:r w:rsidR="007A47D3">
        <w:t xml:space="preserve"> et al</w:t>
      </w:r>
      <w:r w:rsidR="00611BB2">
        <w:t>.</w:t>
      </w:r>
      <w:r w:rsidR="007A47D3">
        <w:t xml:space="preserve"> (2018) and the no. of births </w:t>
      </w:r>
      <w:r w:rsidR="00611BB2">
        <w:t xml:space="preserve">in Australia to </w:t>
      </w:r>
      <w:r w:rsidR="007A47D3">
        <w:t xml:space="preserve">a father born </w:t>
      </w:r>
      <w:r w:rsidR="00611BB2">
        <w:t xml:space="preserve">from a region at high risk of </w:t>
      </w:r>
      <w:proofErr w:type="gramStart"/>
      <w:r w:rsidR="00611BB2">
        <w:t>SCD</w:t>
      </w:r>
      <w:proofErr w:type="gramEnd"/>
    </w:p>
    <w:p w14:paraId="0C1ED2BC" w14:textId="0F7A3017" w:rsidR="004C23BD" w:rsidRPr="004C23BD" w:rsidRDefault="008777C4" w:rsidP="00F02B16">
      <w:pPr>
        <w:pStyle w:val="Tablenotes0"/>
      </w:pPr>
      <w:r>
        <w:rPr>
          <w:vertAlign w:val="superscript"/>
        </w:rPr>
        <w:t>3</w:t>
      </w:r>
      <w:r w:rsidR="004C23BD">
        <w:t xml:space="preserve">Assuming that </w:t>
      </w:r>
      <w:r w:rsidR="00680C8E">
        <w:t xml:space="preserve">the SCD cases from Sub-Saharan African background constitutes 77.6% of cases </w:t>
      </w:r>
      <w:r w:rsidR="006B301F">
        <w:t>reported by Nelson et al. (</w:t>
      </w:r>
      <w:r w:rsidR="008D33D6">
        <w:t>2023</w:t>
      </w:r>
      <w:r w:rsidR="006B301F">
        <w:t>)</w:t>
      </w:r>
    </w:p>
    <w:p w14:paraId="66BDFCC1" w14:textId="04FD8CD7" w:rsidR="00772829" w:rsidRPr="00CE28E3" w:rsidRDefault="00521918" w:rsidP="002A18BE">
      <w:pPr>
        <w:pStyle w:val="Heading2"/>
        <w:numPr>
          <w:ilvl w:val="0"/>
          <w:numId w:val="0"/>
        </w:numPr>
      </w:pPr>
      <w:bookmarkStart w:id="15" w:name="_Toc149736390"/>
      <w:r>
        <w:t>8</w:t>
      </w:r>
      <w:r w:rsidR="00C36633">
        <w:t>.</w:t>
      </w:r>
      <w:r w:rsidR="00C36633">
        <w:tab/>
      </w:r>
      <w:r w:rsidR="00772829" w:rsidRPr="00CE28E3">
        <w:t>Comparator</w:t>
      </w:r>
      <w:bookmarkEnd w:id="15"/>
    </w:p>
    <w:p w14:paraId="7E68B802" w14:textId="77777777" w:rsidR="002319B2" w:rsidRDefault="000039AA" w:rsidP="007A38FF">
      <w:r>
        <w:t>The comparat</w:t>
      </w:r>
      <w:r w:rsidR="00E84FFB">
        <w:t>or</w:t>
      </w:r>
      <w:r>
        <w:t xml:space="preserve"> is current practice in Australia, which is a combination of</w:t>
      </w:r>
      <w:r w:rsidR="002319B2">
        <w:t>:</w:t>
      </w:r>
    </w:p>
    <w:p w14:paraId="1C4482BA" w14:textId="2C4F9A4F" w:rsidR="006C748C" w:rsidRDefault="006C748C" w:rsidP="00BE22D1">
      <w:pPr>
        <w:pStyle w:val="ListParagraph"/>
        <w:numPr>
          <w:ilvl w:val="0"/>
          <w:numId w:val="21"/>
        </w:numPr>
      </w:pPr>
      <w:r>
        <w:t>targeted testing of newborns at high risk</w:t>
      </w:r>
      <w:r w:rsidR="00282A2F">
        <w:t xml:space="preserve"> (where available)</w:t>
      </w:r>
      <w:r>
        <w:t xml:space="preserve">; and </w:t>
      </w:r>
    </w:p>
    <w:p w14:paraId="1584B8DD" w14:textId="030E9DDC" w:rsidR="002319B2" w:rsidRDefault="00025894" w:rsidP="00BE22D1">
      <w:pPr>
        <w:pStyle w:val="ListParagraph"/>
        <w:numPr>
          <w:ilvl w:val="0"/>
          <w:numId w:val="21"/>
        </w:numPr>
      </w:pPr>
      <w:r>
        <w:t xml:space="preserve">no screening (for those </w:t>
      </w:r>
      <w:r w:rsidR="00B33E14">
        <w:t>at general risk</w:t>
      </w:r>
      <w:r>
        <w:t xml:space="preserve">, or where the </w:t>
      </w:r>
      <w:proofErr w:type="gramStart"/>
      <w:r>
        <w:t>high</w:t>
      </w:r>
      <w:r w:rsidR="00023047">
        <w:t xml:space="preserve"> </w:t>
      </w:r>
      <w:r>
        <w:t>risk</w:t>
      </w:r>
      <w:proofErr w:type="gramEnd"/>
      <w:r>
        <w:t xml:space="preserve"> status is missed by the healthcare provider</w:t>
      </w:r>
      <w:r w:rsidR="00F60A9C">
        <w:t xml:space="preserve"> or testing not available</w:t>
      </w:r>
      <w:r>
        <w:t>).</w:t>
      </w:r>
    </w:p>
    <w:p w14:paraId="4405C9AE" w14:textId="7016D5F7" w:rsidR="00F443DA" w:rsidRDefault="00FD039F" w:rsidP="007A38FF">
      <w:r>
        <w:t xml:space="preserve">Neonates </w:t>
      </w:r>
      <w:proofErr w:type="gramStart"/>
      <w:r>
        <w:t>are considered to be</w:t>
      </w:r>
      <w:proofErr w:type="gramEnd"/>
      <w:r>
        <w:t xml:space="preserve"> at high risk of inheriting SCD if they have parents of indigenous African origin, or </w:t>
      </w:r>
      <w:r w:rsidR="000B6450">
        <w:t>from a country with high SCD prevalence</w:t>
      </w:r>
      <w:r w:rsidR="004A55BF">
        <w:t>,</w:t>
      </w:r>
      <w:r w:rsidR="000B6450">
        <w:t xml:space="preserve"> or </w:t>
      </w:r>
      <w:r>
        <w:t xml:space="preserve">if at least one parent has SCD. </w:t>
      </w:r>
      <w:r w:rsidR="00E20BF7" w:rsidRPr="00E00C73">
        <w:t xml:space="preserve">Australian clinical practice guidelines recommend targeted preconception and/or prenatal testing of potential parents and </w:t>
      </w:r>
      <w:proofErr w:type="spellStart"/>
      <w:r w:rsidR="00E20BF7" w:rsidRPr="00E00C73">
        <w:t>fetuses</w:t>
      </w:r>
      <w:proofErr w:type="spellEnd"/>
      <w:r w:rsidR="00E20BF7" w:rsidRPr="00E00C73">
        <w:t xml:space="preserve"> at risk for haemoglobinopathies respectively</w:t>
      </w:r>
      <w:r w:rsidR="00576EDF">
        <w:t xml:space="preserve">. Preconception and prenatal testing </w:t>
      </w:r>
      <w:r w:rsidR="00E20BF7" w:rsidRPr="00E00C73">
        <w:t xml:space="preserve">would not be replaced by NBS and </w:t>
      </w:r>
      <w:r w:rsidR="00C26E18">
        <w:t>are</w:t>
      </w:r>
      <w:r w:rsidR="00E20BF7" w:rsidRPr="00E00C73">
        <w:t xml:space="preserve"> not </w:t>
      </w:r>
      <w:r w:rsidR="00481639">
        <w:t xml:space="preserve">considered </w:t>
      </w:r>
      <w:r w:rsidR="00E20BF7" w:rsidRPr="00E00C73">
        <w:t>part of the intervention nor the comparator.</w:t>
      </w:r>
      <w:r w:rsidR="0000420C">
        <w:t xml:space="preserve"> </w:t>
      </w:r>
      <w:r w:rsidR="00C244CD">
        <w:t xml:space="preserve">Targeted </w:t>
      </w:r>
      <w:r w:rsidR="00C40A2F">
        <w:t xml:space="preserve">neonatal </w:t>
      </w:r>
      <w:r w:rsidR="00C244CD">
        <w:t>testing on cord blood currently takes place in Western Australia</w:t>
      </w:r>
      <w:r w:rsidR="00FE2903">
        <w:t xml:space="preserve"> and would be replaced by NBS if implemented</w:t>
      </w:r>
      <w:r w:rsidR="00C244CD">
        <w:t xml:space="preserve">. </w:t>
      </w:r>
    </w:p>
    <w:p w14:paraId="1321CB44" w14:textId="5D93A5DD" w:rsidR="005519CB" w:rsidRDefault="00C80387" w:rsidP="007A38FF">
      <w:r>
        <w:t xml:space="preserve">In the absence of </w:t>
      </w:r>
      <w:r w:rsidR="009A6592">
        <w:t xml:space="preserve">prenatal or neonatal testing, </w:t>
      </w:r>
      <w:r w:rsidR="005E30B0">
        <w:t xml:space="preserve">individuals who have </w:t>
      </w:r>
      <w:r w:rsidR="009A6592">
        <w:t>SCD</w:t>
      </w:r>
      <w:r w:rsidR="005E30B0">
        <w:t xml:space="preserve"> would only be investigated after presenting with clinical symptoms (</w:t>
      </w:r>
      <w:proofErr w:type="gramStart"/>
      <w:r w:rsidR="005E30B0">
        <w:t>i.e.</w:t>
      </w:r>
      <w:proofErr w:type="gramEnd"/>
      <w:r w:rsidR="005E30B0">
        <w:t xml:space="preserve"> </w:t>
      </w:r>
      <w:r w:rsidR="009A6592">
        <w:t xml:space="preserve">part of </w:t>
      </w:r>
      <w:r w:rsidR="005E30B0">
        <w:t xml:space="preserve">the comparator </w:t>
      </w:r>
      <w:r w:rsidR="009A6592">
        <w:t>is</w:t>
      </w:r>
      <w:r w:rsidR="005E30B0">
        <w:t xml:space="preserve"> clinical diagnosis). As an example, the investigations may consist of HPLC and CE (using MBS items 65078 and 65081), followed by genetic testing. </w:t>
      </w:r>
    </w:p>
    <w:p w14:paraId="47BC3A84" w14:textId="377751C3" w:rsidR="00772829" w:rsidRDefault="00521918" w:rsidP="002A18BE">
      <w:pPr>
        <w:pStyle w:val="Heading2"/>
        <w:numPr>
          <w:ilvl w:val="0"/>
          <w:numId w:val="0"/>
        </w:numPr>
      </w:pPr>
      <w:bookmarkStart w:id="16" w:name="_Toc149736391"/>
      <w:r>
        <w:t>9</w:t>
      </w:r>
      <w:r w:rsidR="00C36633">
        <w:t>.</w:t>
      </w:r>
      <w:r w:rsidR="00C36633">
        <w:tab/>
      </w:r>
      <w:r w:rsidR="00772829" w:rsidRPr="00CE28E3">
        <w:t xml:space="preserve">Summary of public consultation </w:t>
      </w:r>
      <w:r w:rsidR="0052575D">
        <w:t>input</w:t>
      </w:r>
      <w:bookmarkEnd w:id="16"/>
    </w:p>
    <w:p w14:paraId="0804035A" w14:textId="7B9255B2" w:rsidR="005A6AE1" w:rsidRPr="005A6AE1" w:rsidRDefault="00CA0A29" w:rsidP="005A6AE1">
      <w:r>
        <w:t xml:space="preserve">Please refer to </w:t>
      </w:r>
      <w:r w:rsidR="00551325">
        <w:t xml:space="preserve">the </w:t>
      </w:r>
      <w:r w:rsidR="0000045B">
        <w:t xml:space="preserve">1737 </w:t>
      </w:r>
      <w:r w:rsidR="00551325">
        <w:t>PSD</w:t>
      </w:r>
      <w:r>
        <w:t xml:space="preserve"> (</w:t>
      </w:r>
      <w:proofErr w:type="spellStart"/>
      <w:r>
        <w:t>p</w:t>
      </w:r>
      <w:r w:rsidR="00A52F5A">
        <w:t>g</w:t>
      </w:r>
      <w:proofErr w:type="spellEnd"/>
      <w:r>
        <w:t xml:space="preserve"> </w:t>
      </w:r>
      <w:r w:rsidR="00205230">
        <w:t>12-13)</w:t>
      </w:r>
      <w:r w:rsidR="00551325">
        <w:t xml:space="preserve">. </w:t>
      </w:r>
    </w:p>
    <w:p w14:paraId="03C7A1F1" w14:textId="483E1AE7" w:rsidR="00772829" w:rsidRPr="00CE28E3" w:rsidRDefault="00521918" w:rsidP="002A18BE">
      <w:pPr>
        <w:pStyle w:val="Heading2"/>
        <w:numPr>
          <w:ilvl w:val="0"/>
          <w:numId w:val="0"/>
        </w:numPr>
      </w:pPr>
      <w:bookmarkStart w:id="17" w:name="_Ref149728312"/>
      <w:bookmarkStart w:id="18" w:name="_Toc149736392"/>
      <w:r>
        <w:t>10</w:t>
      </w:r>
      <w:r w:rsidR="00C36633">
        <w:t>.</w:t>
      </w:r>
      <w:r w:rsidR="00C36633">
        <w:tab/>
      </w:r>
      <w:r w:rsidR="00772829" w:rsidRPr="00CE28E3">
        <w:t>Characteristics of the evidence base</w:t>
      </w:r>
      <w:bookmarkEnd w:id="17"/>
      <w:bookmarkEnd w:id="18"/>
    </w:p>
    <w:p w14:paraId="03DC7AA9" w14:textId="1B049B4B" w:rsidR="00BE1CC3" w:rsidRDefault="55EBF83D">
      <w:r>
        <w:t>Additional evidence for the FFP overview was provided by the Australian Haemoglobinopath</w:t>
      </w:r>
      <w:r w:rsidR="00DC0930">
        <w:t>y</w:t>
      </w:r>
      <w:r>
        <w:t xml:space="preserve"> Registry</w:t>
      </w:r>
      <w:r w:rsidR="00DC0930">
        <w:t xml:space="preserve"> (</w:t>
      </w:r>
      <w:proofErr w:type="spellStart"/>
      <w:r w:rsidR="00DC0930">
        <w:t>HbR</w:t>
      </w:r>
      <w:proofErr w:type="spellEnd"/>
      <w:r w:rsidR="00DC0930">
        <w:t>)</w:t>
      </w:r>
      <w:r w:rsidR="428283AF">
        <w:t xml:space="preserve">. </w:t>
      </w:r>
      <w:r w:rsidR="00993FDD">
        <w:t>A</w:t>
      </w:r>
      <w:r w:rsidR="00272BD7">
        <w:t xml:space="preserve">nalyses of </w:t>
      </w:r>
      <w:proofErr w:type="spellStart"/>
      <w:r w:rsidR="00272BD7">
        <w:t>HbR</w:t>
      </w:r>
      <w:proofErr w:type="spellEnd"/>
      <w:r w:rsidR="00272BD7">
        <w:t xml:space="preserve"> data were provided</w:t>
      </w:r>
      <w:r w:rsidR="00015A66">
        <w:t xml:space="preserve"> for the subset of patients born in Australia</w:t>
      </w:r>
      <w:r w:rsidR="00497100">
        <w:t xml:space="preserve"> </w:t>
      </w:r>
      <w:r w:rsidR="00AB018F">
        <w:t xml:space="preserve">and diagnosed with SCD </w:t>
      </w:r>
      <w:r w:rsidR="00497100">
        <w:t xml:space="preserve">who could be categorised </w:t>
      </w:r>
      <w:r w:rsidR="00D17551">
        <w:t>into diagnosis before symptoms vs at or after symptom onset (n = 109)</w:t>
      </w:r>
      <w:r w:rsidR="00726D6F">
        <w:t xml:space="preserve">. </w:t>
      </w:r>
      <w:r w:rsidR="7926DA63">
        <w:t>Th</w:t>
      </w:r>
      <w:r w:rsidR="6D3A416B">
        <w:t xml:space="preserve">e data from the registry </w:t>
      </w:r>
      <w:r w:rsidR="00DC0930">
        <w:t>we</w:t>
      </w:r>
      <w:r w:rsidR="6D3A416B">
        <w:t>re</w:t>
      </w:r>
      <w:r w:rsidR="19BA1E29">
        <w:t xml:space="preserve"> </w:t>
      </w:r>
      <w:r w:rsidR="6D3A416B">
        <w:t xml:space="preserve">observational, </w:t>
      </w:r>
      <w:r w:rsidR="19BA1E29">
        <w:t xml:space="preserve">not comprehensive </w:t>
      </w:r>
      <w:r w:rsidR="6D3A416B">
        <w:t xml:space="preserve">and </w:t>
      </w:r>
      <w:r w:rsidR="00DC0930">
        <w:t>we</w:t>
      </w:r>
      <w:r w:rsidR="06EEB032">
        <w:t>re</w:t>
      </w:r>
      <w:r w:rsidR="6D3A416B">
        <w:t xml:space="preserve"> subject to selection bias</w:t>
      </w:r>
      <w:r w:rsidR="06EEB032">
        <w:t xml:space="preserve"> </w:t>
      </w:r>
      <w:r w:rsidR="00657C35">
        <w:t xml:space="preserve">as the registry is not comprehensive </w:t>
      </w:r>
      <w:r w:rsidR="06EEB032">
        <w:t>(although it is unknown in what direction the bias would influence the results)</w:t>
      </w:r>
      <w:r w:rsidR="15F9D3AC">
        <w:t xml:space="preserve">. </w:t>
      </w:r>
      <w:r w:rsidR="003546F8">
        <w:t xml:space="preserve">Those who were diagnosed at or after symptom onset </w:t>
      </w:r>
      <w:r w:rsidR="267E7F9B">
        <w:t xml:space="preserve">were not only diagnosed at a later age than those identified from targeted </w:t>
      </w:r>
      <w:proofErr w:type="gramStart"/>
      <w:r w:rsidR="267E7F9B">
        <w:t>testing, but</w:t>
      </w:r>
      <w:proofErr w:type="gramEnd"/>
      <w:r w:rsidR="267E7F9B">
        <w:t xml:space="preserve"> </w:t>
      </w:r>
      <w:r w:rsidR="01B92AC8">
        <w:t>are also currently older on average (</w:t>
      </w:r>
      <w:r w:rsidR="51D4C7D4">
        <w:t>15.0 years vs 12.1 years). This may suggest an improvement in the rate of targeted testing over time</w:t>
      </w:r>
      <w:r w:rsidR="005A0DF1">
        <w:t>, and possible confounding</w:t>
      </w:r>
      <w:r w:rsidR="00A55981">
        <w:t xml:space="preserve"> between the groups</w:t>
      </w:r>
      <w:r w:rsidR="00D97D80">
        <w:t xml:space="preserve"> as</w:t>
      </w:r>
      <w:r w:rsidR="00015206">
        <w:t xml:space="preserve"> the management of SCD used at the time when the participants were first born or were diagnosed may have differed. It is unknown if there were systematic differences between those diagnosed early vs later</w:t>
      </w:r>
      <w:r w:rsidR="00951E4F">
        <w:t xml:space="preserve"> that may have biased the results. </w:t>
      </w:r>
      <w:r w:rsidR="00EA504A">
        <w:t xml:space="preserve">Some of the results </w:t>
      </w:r>
      <w:r w:rsidR="00A15F92">
        <w:t>may be</w:t>
      </w:r>
      <w:r w:rsidR="00D46999">
        <w:t xml:space="preserve"> biased (favouring targeted testing) as</w:t>
      </w:r>
      <w:r w:rsidR="3FD3D7AB">
        <w:t xml:space="preserve"> the outcome measures </w:t>
      </w:r>
      <w:r w:rsidR="77E24BDC">
        <w:t>relate to whether the individuals have ever experienced certain outcomes</w:t>
      </w:r>
      <w:r w:rsidR="3EE9CF9C">
        <w:t xml:space="preserve"> (</w:t>
      </w:r>
      <w:proofErr w:type="gramStart"/>
      <w:r w:rsidR="3EE9CF9C">
        <w:t>e.g.</w:t>
      </w:r>
      <w:proofErr w:type="gramEnd"/>
      <w:r w:rsidR="3EE9CF9C">
        <w:t xml:space="preserve"> </w:t>
      </w:r>
      <w:r w:rsidR="00A225F1">
        <w:t>history of sepsis, history of sple</w:t>
      </w:r>
      <w:r w:rsidR="006E74B5">
        <w:t>nectomy</w:t>
      </w:r>
      <w:r w:rsidR="00570036">
        <w:t xml:space="preserve"> etc)</w:t>
      </w:r>
      <w:r w:rsidR="006A1560">
        <w:t xml:space="preserve">, </w:t>
      </w:r>
      <w:r w:rsidR="00B735E8">
        <w:t xml:space="preserve">and the difference in age between the groups means </w:t>
      </w:r>
      <w:r w:rsidR="00134751">
        <w:t xml:space="preserve">those in the late </w:t>
      </w:r>
      <w:r w:rsidR="00F93252">
        <w:t>diagnosis</w:t>
      </w:r>
      <w:r w:rsidR="00134751">
        <w:t xml:space="preserve"> group </w:t>
      </w:r>
      <w:r w:rsidR="00F93252">
        <w:t>have had a longer time period to experience the events</w:t>
      </w:r>
      <w:r w:rsidR="00E4649F">
        <w:t xml:space="preserve">. </w:t>
      </w:r>
      <w:r w:rsidR="2C7C2BDA">
        <w:t xml:space="preserve">It is also unknown </w:t>
      </w:r>
      <w:r w:rsidR="28F1779B">
        <w:t xml:space="preserve">why </w:t>
      </w:r>
      <w:r w:rsidR="751178B2">
        <w:t xml:space="preserve">such a high proportion of patients were missed by targeted screening, and </w:t>
      </w:r>
      <w:r w:rsidR="05BA555D">
        <w:t>whether there were any confounding factors which may also influence health outcomes</w:t>
      </w:r>
      <w:r w:rsidR="28500FE9">
        <w:t xml:space="preserve">. </w:t>
      </w:r>
      <w:r w:rsidR="00951E4F">
        <w:t xml:space="preserve">The size of the registry cohort was also small (n=109), which may be a consequence of the rarity of SCD and/or the registry not being comprehensive. </w:t>
      </w:r>
      <w:r w:rsidR="28500FE9">
        <w:t xml:space="preserve">All this being noted, the </w:t>
      </w:r>
      <w:proofErr w:type="spellStart"/>
      <w:r w:rsidR="28500FE9">
        <w:t>HbR</w:t>
      </w:r>
      <w:proofErr w:type="spellEnd"/>
      <w:r w:rsidR="28500FE9">
        <w:t xml:space="preserve"> data</w:t>
      </w:r>
      <w:r w:rsidR="05BA555D">
        <w:t xml:space="preserve"> </w:t>
      </w:r>
      <w:r w:rsidR="55FDC10B">
        <w:t>represent the best currently available dataset</w:t>
      </w:r>
      <w:r w:rsidR="6B3B3B04">
        <w:t xml:space="preserve"> on current practice, and the differences in management and health outcomes between those diagnosed early and late in Australia</w:t>
      </w:r>
      <w:r w:rsidR="55FDC10B">
        <w:t xml:space="preserve">. </w:t>
      </w:r>
      <w:r w:rsidR="6D3A416B">
        <w:t xml:space="preserve"> </w:t>
      </w:r>
    </w:p>
    <w:p w14:paraId="01C7931E" w14:textId="1008C1A4" w:rsidR="007C18FC" w:rsidRDefault="00ED4859" w:rsidP="004E41D9">
      <w:r>
        <w:t>The evidence</w:t>
      </w:r>
      <w:r w:rsidR="00C513C2">
        <w:t xml:space="preserve"> included in DCAR 1737 w</w:t>
      </w:r>
      <w:r w:rsidR="007E506A">
        <w:t>as</w:t>
      </w:r>
      <w:r w:rsidR="00C513C2">
        <w:t xml:space="preserve"> derived from </w:t>
      </w:r>
      <w:r w:rsidR="004E41D9">
        <w:t xml:space="preserve">systematic review (SR) of the peer reviewed literature </w:t>
      </w:r>
      <w:r w:rsidR="00C513C2">
        <w:t xml:space="preserve">identified </w:t>
      </w:r>
      <w:r w:rsidR="00D9260B" w:rsidRPr="007E506A">
        <w:rPr>
          <w:shd w:val="clear" w:color="auto" w:fill="FFFFFF" w:themeFill="background1"/>
        </w:rPr>
        <w:t xml:space="preserve">in PubMed and </w:t>
      </w:r>
      <w:r w:rsidR="00C513C2" w:rsidRPr="007E506A">
        <w:rPr>
          <w:shd w:val="clear" w:color="auto" w:fill="FFFFFF" w:themeFill="background1"/>
        </w:rPr>
        <w:t xml:space="preserve">Embase </w:t>
      </w:r>
      <w:r w:rsidR="00D9260B" w:rsidRPr="007E506A">
        <w:rPr>
          <w:shd w:val="clear" w:color="auto" w:fill="FFFFFF" w:themeFill="background1"/>
        </w:rPr>
        <w:t xml:space="preserve">databases. </w:t>
      </w:r>
      <w:r w:rsidR="007C18FC" w:rsidRPr="007E506A">
        <w:rPr>
          <w:shd w:val="clear" w:color="auto" w:fill="FFFFFF" w:themeFill="background1"/>
        </w:rPr>
        <w:t>A large</w:t>
      </w:r>
      <w:r w:rsidR="007C18FC">
        <w:t xml:space="preserve"> body of direct evidence assessing NBS for SCD was identified. A 2016 HTA with broad study inclusion criteria formed the basis of direct evidence, with later published evidence included from the SR</w:t>
      </w:r>
      <w:r w:rsidR="00BC6C7D">
        <w:rPr>
          <w:rStyle w:val="FootnoteReference"/>
        </w:rPr>
        <w:footnoteReference w:id="13"/>
      </w:r>
      <w:r w:rsidR="007C18FC">
        <w:t xml:space="preserve">. The highest level of evidence overall was comparative cohort study (level III-3) although most studies were cohort studies </w:t>
      </w:r>
      <w:r w:rsidR="005E3355">
        <w:t xml:space="preserve">without concurrent controls </w:t>
      </w:r>
      <w:r w:rsidR="007C18FC">
        <w:t xml:space="preserve">(level </w:t>
      </w:r>
      <w:r w:rsidR="005E3355">
        <w:t>II</w:t>
      </w:r>
      <w:r w:rsidR="007C18FC">
        <w:t>I</w:t>
      </w:r>
      <w:r w:rsidR="005E3355">
        <w:t>-3</w:t>
      </w:r>
      <w:r w:rsidR="007C18FC">
        <w:t>). The studies were ra</w:t>
      </w:r>
      <w:r w:rsidR="00CB19D1">
        <w:t>t</w:t>
      </w:r>
      <w:r w:rsidR="007C18FC">
        <w:t>ed from low to moderate for risk of bias and were conducted in settings of low to high socioeconomic status. Many were performed in areas of high SCD prevalence</w:t>
      </w:r>
      <w:r w:rsidR="00D77A19">
        <w:t>,</w:t>
      </w:r>
      <w:r w:rsidR="007C18FC">
        <w:t xml:space="preserve"> often associated with high malaria prevalence</w:t>
      </w:r>
      <w:r w:rsidR="00D77A19">
        <w:t xml:space="preserve">. Historically, </w:t>
      </w:r>
      <w:r w:rsidR="000714B3">
        <w:t xml:space="preserve">high rates of malaria infection have driven </w:t>
      </w:r>
      <w:r w:rsidR="00863D00">
        <w:t xml:space="preserve">a </w:t>
      </w:r>
      <w:r w:rsidR="000714B3">
        <w:t xml:space="preserve">high prevalence of SCD, as carriers of SCD have been protected against the worst impacts of the plasmodium </w:t>
      </w:r>
      <w:r w:rsidR="00863D00">
        <w:t>(</w:t>
      </w:r>
      <w:r w:rsidR="00863D00" w:rsidRPr="003F227B">
        <w:rPr>
          <w:i/>
        </w:rPr>
        <w:t>P. falciparum</w:t>
      </w:r>
      <w:r w:rsidR="00863D00">
        <w:t xml:space="preserve">) </w:t>
      </w:r>
      <w:r w:rsidR="000714B3">
        <w:t xml:space="preserve">that causes malaria. The studies assessing NBS in high </w:t>
      </w:r>
      <w:r w:rsidR="00B732CE">
        <w:t xml:space="preserve">SCD </w:t>
      </w:r>
      <w:r w:rsidR="000714B3">
        <w:t>prevalence countries d</w:t>
      </w:r>
      <w:r w:rsidR="00D65CF2">
        <w:t>id</w:t>
      </w:r>
      <w:r w:rsidR="000714B3">
        <w:t xml:space="preserve"> </w:t>
      </w:r>
      <w:r w:rsidR="007C18FC">
        <w:t>not have good applicability to the Australian healthcare setting</w:t>
      </w:r>
      <w:r w:rsidR="00E72C9C">
        <w:t>.</w:t>
      </w:r>
      <w:r w:rsidR="000714B3">
        <w:t xml:space="preserve"> </w:t>
      </w:r>
      <w:r w:rsidR="00E72C9C">
        <w:t>The</w:t>
      </w:r>
      <w:r w:rsidR="000714B3">
        <w:t xml:space="preserve"> </w:t>
      </w:r>
      <w:r w:rsidR="00E72C9C" w:rsidRPr="003F227B">
        <w:rPr>
          <w:i/>
        </w:rPr>
        <w:t>P. falciparum</w:t>
      </w:r>
      <w:r w:rsidR="000714B3">
        <w:t xml:space="preserve"> is </w:t>
      </w:r>
      <w:r w:rsidR="00863D00">
        <w:t>rarely</w:t>
      </w:r>
      <w:r w:rsidR="000714B3">
        <w:t xml:space="preserve"> present in Australia, and malaria </w:t>
      </w:r>
      <w:r w:rsidR="00863D00">
        <w:t>is</w:t>
      </w:r>
      <w:r w:rsidR="000714B3">
        <w:t xml:space="preserve"> not endemic</w:t>
      </w:r>
      <w:r w:rsidR="00D65CF2">
        <w:t>.</w:t>
      </w:r>
      <w:r w:rsidR="00863D00">
        <w:t xml:space="preserve"> Countries with endemic malaria and high SCD prevalenc</w:t>
      </w:r>
      <w:r w:rsidR="00E72C9C">
        <w:t xml:space="preserve">e are often of low socioeconomic status, with poor healthcare, and the combination of these factors has led to poor health outcomes for those with either disease. </w:t>
      </w:r>
    </w:p>
    <w:p w14:paraId="60D1913D" w14:textId="5A84BF48" w:rsidR="00D9260B" w:rsidRDefault="007C18FC" w:rsidP="004E41D9">
      <w:r>
        <w:t xml:space="preserve">Linked evidence was included to address the questions not covered in </w:t>
      </w:r>
      <w:r w:rsidR="0066203E">
        <w:t>the direct evidence.</w:t>
      </w:r>
      <w:r>
        <w:t xml:space="preserve"> Studies were included that assessed diagnostic accuracy and treatment effectiveness.</w:t>
      </w:r>
      <w:r w:rsidR="00D9260B">
        <w:t xml:space="preserve"> </w:t>
      </w:r>
      <w:r w:rsidR="0066203E">
        <w:t xml:space="preserve">The evidence on treatment effectiveness was the </w:t>
      </w:r>
      <w:r w:rsidR="00981C24">
        <w:t>highest-level</w:t>
      </w:r>
      <w:r w:rsidR="0066203E">
        <w:t xml:space="preserve"> evidence (level I) of this assessment as it came from a systematic review of RCTs of SCD treatments. This study was </w:t>
      </w:r>
      <w:r w:rsidR="00CB19D1">
        <w:t>rated</w:t>
      </w:r>
      <w:r w:rsidR="0066203E">
        <w:t xml:space="preserve"> moderate for risk of bias, and the settings for the four relevant RCTs were France, Netherlands, and the United States. </w:t>
      </w:r>
      <w:r w:rsidR="00022BF4">
        <w:t xml:space="preserve">Of </w:t>
      </w:r>
      <w:r w:rsidR="00F00D70">
        <w:t>24</w:t>
      </w:r>
      <w:r w:rsidR="00022BF4">
        <w:t xml:space="preserve"> d</w:t>
      </w:r>
      <w:r w:rsidR="00D9260B">
        <w:t>iagnostic accuracy</w:t>
      </w:r>
      <w:r w:rsidR="0066203E">
        <w:t xml:space="preserve"> studies</w:t>
      </w:r>
      <w:r w:rsidR="00022BF4">
        <w:t xml:space="preserve"> conducted on dried blood spots, the majority were rated high risk </w:t>
      </w:r>
      <w:r w:rsidR="00022BF4" w:rsidRPr="00457A13">
        <w:t xml:space="preserve">of bias, and only </w:t>
      </w:r>
      <w:r w:rsidR="00457A13" w:rsidRPr="00457A13">
        <w:t xml:space="preserve">two </w:t>
      </w:r>
      <w:r w:rsidR="00022BF4" w:rsidRPr="00457A13">
        <w:t>rated low risk of bias</w:t>
      </w:r>
      <w:r w:rsidR="00457A13" w:rsidRPr="00457A13">
        <w:t>, due to the absence of verification bias</w:t>
      </w:r>
      <w:r w:rsidR="00022BF4" w:rsidRPr="00457A13">
        <w:t>. Once again, many of the studies were conducted in settings</w:t>
      </w:r>
      <w:r w:rsidR="00022BF4">
        <w:t xml:space="preserve"> of high SCD prevalence and therefore </w:t>
      </w:r>
      <w:r w:rsidR="00CB19D1">
        <w:t>ha</w:t>
      </w:r>
      <w:r w:rsidR="00230315">
        <w:t>d</w:t>
      </w:r>
      <w:r w:rsidR="00CB19D1">
        <w:t xml:space="preserve"> </w:t>
      </w:r>
      <w:r w:rsidR="00022BF4">
        <w:t>reduce</w:t>
      </w:r>
      <w:r w:rsidR="00CB19D1">
        <w:t>d</w:t>
      </w:r>
      <w:r w:rsidR="00022BF4">
        <w:t xml:space="preserve"> applicability to Australia. </w:t>
      </w:r>
    </w:p>
    <w:p w14:paraId="5D93366D" w14:textId="5FFDE1CD" w:rsidR="00104BD4" w:rsidRPr="003251C2" w:rsidRDefault="00104BD4" w:rsidP="00104BD4">
      <w:r>
        <w:t xml:space="preserve">A rapid review conducted by </w:t>
      </w:r>
      <w:proofErr w:type="spellStart"/>
      <w:r>
        <w:t>Abt</w:t>
      </w:r>
      <w:proofErr w:type="spellEnd"/>
      <w:r>
        <w:t xml:space="preserve"> Associates for Application 1737 provided an additional source of studies</w:t>
      </w:r>
      <w:r w:rsidR="000E162E">
        <w:rPr>
          <w:rStyle w:val="FootnoteReference"/>
        </w:rPr>
        <w:footnoteReference w:id="14"/>
      </w:r>
      <w:r>
        <w:t xml:space="preserve">. </w:t>
      </w:r>
    </w:p>
    <w:p w14:paraId="74D634EE" w14:textId="3575FB2A" w:rsidR="004E41D9" w:rsidRDefault="000024E1" w:rsidP="004E41D9">
      <w:r>
        <w:t xml:space="preserve">The key features of the direct evidence </w:t>
      </w:r>
      <w:r w:rsidR="006F3A45">
        <w:t>are</w:t>
      </w:r>
      <w:r>
        <w:t xml:space="preserve"> summarised in </w:t>
      </w:r>
      <w:r>
        <w:fldChar w:fldCharType="begin"/>
      </w:r>
      <w:r>
        <w:instrText xml:space="preserve"> REF _Ref69725651 \h </w:instrText>
      </w:r>
      <w:r>
        <w:fldChar w:fldCharType="separate"/>
      </w:r>
      <w:r w:rsidR="007D770C" w:rsidRPr="00CE28E3">
        <w:t>Table</w:t>
      </w:r>
      <w:r w:rsidR="007D770C">
        <w:t> </w:t>
      </w:r>
      <w:r w:rsidR="007D770C">
        <w:rPr>
          <w:noProof/>
        </w:rPr>
        <w:t>3</w:t>
      </w:r>
      <w:r>
        <w:fldChar w:fldCharType="end"/>
      </w:r>
      <w:r>
        <w:t xml:space="preserve"> and for linked evidence in </w:t>
      </w:r>
      <w:r>
        <w:fldChar w:fldCharType="begin"/>
      </w:r>
      <w:r>
        <w:instrText xml:space="preserve"> REF _Ref69725659 \h </w:instrText>
      </w:r>
      <w:r>
        <w:fldChar w:fldCharType="separate"/>
      </w:r>
      <w:r w:rsidR="007D770C" w:rsidRPr="00CE28E3">
        <w:t>Table</w:t>
      </w:r>
      <w:r w:rsidR="007D770C">
        <w:t> </w:t>
      </w:r>
      <w:r w:rsidR="007D770C">
        <w:rPr>
          <w:noProof/>
        </w:rPr>
        <w:t>4</w:t>
      </w:r>
      <w:r>
        <w:fldChar w:fldCharType="end"/>
      </w:r>
      <w:r>
        <w:t xml:space="preserve">. </w:t>
      </w:r>
    </w:p>
    <w:p w14:paraId="692BCA4B" w14:textId="1B4B4035" w:rsidR="00956ACE" w:rsidRPr="00265D95" w:rsidRDefault="00956ACE" w:rsidP="00265D95">
      <w:pPr>
        <w:pStyle w:val="Caption"/>
      </w:pPr>
      <w:bookmarkStart w:id="19" w:name="_Ref69725651"/>
      <w:r w:rsidRPr="00CE28E3">
        <w:t>Table</w:t>
      </w:r>
      <w:r w:rsidR="004A4FDF">
        <w:t> </w:t>
      </w:r>
      <w:r>
        <w:fldChar w:fldCharType="begin"/>
      </w:r>
      <w:r>
        <w:instrText>SEQ Table \* ARABIC</w:instrText>
      </w:r>
      <w:r>
        <w:fldChar w:fldCharType="separate"/>
      </w:r>
      <w:r w:rsidR="007D770C">
        <w:rPr>
          <w:noProof/>
        </w:rPr>
        <w:t>3</w:t>
      </w:r>
      <w:r>
        <w:fldChar w:fldCharType="end"/>
      </w:r>
      <w:bookmarkEnd w:id="19"/>
      <w:r w:rsidRPr="00CE28E3">
        <w:tab/>
        <w:t xml:space="preserve">Key features of the included </w:t>
      </w:r>
      <w:r w:rsidR="000446A4">
        <w:t xml:space="preserve">direct </w:t>
      </w:r>
      <w:r w:rsidRPr="00CE28E3">
        <w:t>evidence</w:t>
      </w:r>
      <w:r w:rsidRPr="00330A0A">
        <w:rPr>
          <w:color w:val="538135" w:themeColor="accent6" w:themeShade="BF"/>
        </w:rPr>
        <w:t xml:space="preserve"> </w:t>
      </w:r>
    </w:p>
    <w:tbl>
      <w:tblPr>
        <w:tblStyle w:val="TableGrid1"/>
        <w:tblW w:w="5000" w:type="pct"/>
        <w:tblCellMar>
          <w:left w:w="28" w:type="dxa"/>
          <w:right w:w="28" w:type="dxa"/>
        </w:tblCellMar>
        <w:tblLook w:val="04A0" w:firstRow="1" w:lastRow="0" w:firstColumn="1" w:lastColumn="0" w:noHBand="0" w:noVBand="1"/>
        <w:tblCaption w:val="Table 1 Key features of the included direct evidence (Population 1)"/>
      </w:tblPr>
      <w:tblGrid>
        <w:gridCol w:w="941"/>
        <w:gridCol w:w="856"/>
        <w:gridCol w:w="1305"/>
        <w:gridCol w:w="945"/>
        <w:gridCol w:w="1518"/>
        <w:gridCol w:w="2490"/>
        <w:gridCol w:w="961"/>
      </w:tblGrid>
      <w:tr w:rsidR="00DF7E98" w:rsidRPr="00CE28E3" w14:paraId="475D8C60" w14:textId="77777777" w:rsidTr="00171557">
        <w:trPr>
          <w:cnfStyle w:val="100000000000" w:firstRow="1" w:lastRow="0" w:firstColumn="0" w:lastColumn="0" w:oddVBand="0" w:evenVBand="0" w:oddHBand="0" w:evenHBand="0" w:firstRowFirstColumn="0" w:firstRowLastColumn="0" w:lastRowFirstColumn="0" w:lastRowLastColumn="0"/>
          <w:cantSplit/>
          <w:tblHeader/>
        </w:trPr>
        <w:tc>
          <w:tcPr>
            <w:tcW w:w="511" w:type="pct"/>
            <w:shd w:val="clear" w:color="auto" w:fill="auto"/>
            <w:vAlign w:val="center"/>
          </w:tcPr>
          <w:p w14:paraId="4FFC981B" w14:textId="77777777" w:rsidR="00956ACE" w:rsidRPr="00CE28E3" w:rsidRDefault="00956ACE" w:rsidP="00DF7E98">
            <w:pPr>
              <w:pStyle w:val="In-tableHeading"/>
              <w:jc w:val="center"/>
            </w:pPr>
            <w:bookmarkStart w:id="20" w:name="ColumnTitle_Table3"/>
            <w:bookmarkStart w:id="21" w:name="_Hlk68276112"/>
            <w:bookmarkEnd w:id="20"/>
            <w:r w:rsidRPr="00CE28E3">
              <w:t>References</w:t>
            </w:r>
          </w:p>
        </w:tc>
        <w:tc>
          <w:tcPr>
            <w:tcW w:w="480" w:type="pct"/>
            <w:shd w:val="clear" w:color="auto" w:fill="auto"/>
            <w:vAlign w:val="center"/>
          </w:tcPr>
          <w:p w14:paraId="28641D20" w14:textId="3356442D" w:rsidR="00956ACE" w:rsidRPr="00CE28E3" w:rsidRDefault="008449FE" w:rsidP="00DF7E98">
            <w:pPr>
              <w:pStyle w:val="In-tableHeading"/>
              <w:jc w:val="center"/>
            </w:pPr>
            <w:r>
              <w:t>k</w:t>
            </w:r>
            <w:r w:rsidR="004E41D9">
              <w:br/>
            </w:r>
            <w:r>
              <w:t>n</w:t>
            </w:r>
          </w:p>
        </w:tc>
        <w:tc>
          <w:tcPr>
            <w:tcW w:w="709" w:type="pct"/>
            <w:shd w:val="clear" w:color="auto" w:fill="auto"/>
            <w:vAlign w:val="center"/>
          </w:tcPr>
          <w:p w14:paraId="23BE1BE2" w14:textId="0DE3768C" w:rsidR="00956ACE" w:rsidRPr="00CE28E3" w:rsidRDefault="00956ACE" w:rsidP="00DF7E98">
            <w:pPr>
              <w:pStyle w:val="In-tableHeading"/>
              <w:jc w:val="center"/>
            </w:pPr>
            <w:r w:rsidRPr="00CE28E3">
              <w:t>Design/duration</w:t>
            </w:r>
          </w:p>
        </w:tc>
        <w:tc>
          <w:tcPr>
            <w:tcW w:w="529" w:type="pct"/>
            <w:shd w:val="clear" w:color="auto" w:fill="auto"/>
            <w:vAlign w:val="center"/>
          </w:tcPr>
          <w:p w14:paraId="4F407CF9" w14:textId="77777777" w:rsidR="00956ACE" w:rsidRPr="00CE28E3" w:rsidRDefault="00956ACE" w:rsidP="00DF7E98">
            <w:pPr>
              <w:pStyle w:val="In-tableHeading"/>
              <w:jc w:val="center"/>
            </w:pPr>
            <w:r w:rsidRPr="00CE28E3">
              <w:t>Risk of bias</w:t>
            </w:r>
          </w:p>
        </w:tc>
        <w:tc>
          <w:tcPr>
            <w:tcW w:w="847" w:type="pct"/>
            <w:shd w:val="clear" w:color="auto" w:fill="auto"/>
            <w:vAlign w:val="center"/>
          </w:tcPr>
          <w:p w14:paraId="78074E6B" w14:textId="77777777" w:rsidR="00956ACE" w:rsidRPr="00CE28E3" w:rsidRDefault="00956ACE" w:rsidP="00DF7E98">
            <w:pPr>
              <w:pStyle w:val="In-tableHeading"/>
              <w:jc w:val="center"/>
            </w:pPr>
            <w:r w:rsidRPr="00CE28E3">
              <w:t>Patient population</w:t>
            </w:r>
          </w:p>
        </w:tc>
        <w:tc>
          <w:tcPr>
            <w:tcW w:w="1386" w:type="pct"/>
            <w:shd w:val="clear" w:color="auto" w:fill="auto"/>
            <w:vAlign w:val="center"/>
          </w:tcPr>
          <w:p w14:paraId="4B5869A3" w14:textId="77777777" w:rsidR="00956ACE" w:rsidRPr="00CE28E3" w:rsidRDefault="00956ACE" w:rsidP="00DF7E98">
            <w:pPr>
              <w:pStyle w:val="In-tableHeading"/>
              <w:jc w:val="center"/>
            </w:pPr>
            <w:r w:rsidRPr="00CE28E3">
              <w:t>Outcome(s)</w:t>
            </w:r>
          </w:p>
        </w:tc>
        <w:tc>
          <w:tcPr>
            <w:tcW w:w="538" w:type="pct"/>
            <w:shd w:val="clear" w:color="auto" w:fill="auto"/>
            <w:vAlign w:val="center"/>
          </w:tcPr>
          <w:p w14:paraId="19D97B58" w14:textId="77777777" w:rsidR="00956ACE" w:rsidRPr="00CE28E3" w:rsidRDefault="00956ACE" w:rsidP="00DF7E98">
            <w:pPr>
              <w:pStyle w:val="In-tableHeading"/>
              <w:jc w:val="center"/>
            </w:pPr>
            <w:r w:rsidRPr="00CE28E3">
              <w:t>Use in modelled evaluation</w:t>
            </w:r>
          </w:p>
        </w:tc>
      </w:tr>
      <w:tr w:rsidR="00956ACE" w:rsidRPr="00CE28E3" w14:paraId="0C31313E" w14:textId="77777777" w:rsidTr="00171557">
        <w:trPr>
          <w:cantSplit/>
        </w:trPr>
        <w:tc>
          <w:tcPr>
            <w:tcW w:w="5000" w:type="pct"/>
            <w:gridSpan w:val="7"/>
            <w:shd w:val="clear" w:color="auto" w:fill="auto"/>
          </w:tcPr>
          <w:p w14:paraId="6ADF1B8F" w14:textId="71042F8B" w:rsidR="00956ACE" w:rsidRPr="00CE28E3" w:rsidRDefault="000446A4" w:rsidP="00DF7E98">
            <w:pPr>
              <w:pStyle w:val="In-tableHeading"/>
            </w:pPr>
            <w:r>
              <w:t xml:space="preserve">NBS for haemoglobinopathies vs no </w:t>
            </w:r>
            <w:r w:rsidR="004E41D9">
              <w:t>screening</w:t>
            </w:r>
          </w:p>
        </w:tc>
      </w:tr>
      <w:tr w:rsidR="00DF7E98" w:rsidRPr="00CE28E3" w14:paraId="7E776818" w14:textId="77777777" w:rsidTr="00171557">
        <w:trPr>
          <w:cantSplit/>
        </w:trPr>
        <w:tc>
          <w:tcPr>
            <w:tcW w:w="511" w:type="pct"/>
            <w:shd w:val="clear" w:color="auto" w:fill="auto"/>
          </w:tcPr>
          <w:p w14:paraId="563AC767" w14:textId="58D9DBB7" w:rsidR="00956ACE" w:rsidRPr="00CE28E3" w:rsidRDefault="00496FB5" w:rsidP="00DF7E98">
            <w:pPr>
              <w:pStyle w:val="TableText"/>
              <w:rPr>
                <w:lang w:val="en-US"/>
              </w:rPr>
            </w:pPr>
            <w:r>
              <w:rPr>
                <w:lang w:val="en-US"/>
              </w:rPr>
              <w:fldChar w:fldCharType="begin"/>
            </w:r>
            <w:r>
              <w:rPr>
                <w:lang w:val="en-US"/>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immunodeficiency&lt;/title&gt;&lt;secondary-title&gt;Edmonton (AB)&lt;/secondary-title&gt;&lt;/titles&gt;&lt;dates&gt;&lt;year&gt;2016&lt;/year&gt;&lt;/dates&gt;&lt;pub-location&gt;Canada&lt;/pub-location&gt;&lt;publisher&gt;Institute of Health Economics&lt;/publisher&gt;&lt;urls&gt;&lt;/urls&gt;&lt;/record&gt;&lt;/Cite&gt;&lt;/EndNote&gt;</w:instrText>
            </w:r>
            <w:r>
              <w:rPr>
                <w:lang w:val="en-US"/>
              </w:rPr>
              <w:fldChar w:fldCharType="separate"/>
            </w:r>
            <w:r>
              <w:rPr>
                <w:noProof/>
                <w:lang w:val="en-US"/>
              </w:rPr>
              <w:t>(IHE 2016)</w:t>
            </w:r>
            <w:r>
              <w:rPr>
                <w:lang w:val="en-US"/>
              </w:rPr>
              <w:fldChar w:fldCharType="end"/>
            </w:r>
            <w:r w:rsidR="004C2D30">
              <w:rPr>
                <w:rStyle w:val="FootnoteReference"/>
                <w:lang w:val="en-US"/>
              </w:rPr>
              <w:footnoteReference w:id="15"/>
            </w:r>
          </w:p>
        </w:tc>
        <w:tc>
          <w:tcPr>
            <w:tcW w:w="480" w:type="pct"/>
            <w:shd w:val="clear" w:color="auto" w:fill="auto"/>
          </w:tcPr>
          <w:p w14:paraId="7964066E" w14:textId="027F5774" w:rsidR="00956ACE" w:rsidRDefault="008449FE" w:rsidP="00DF7E98">
            <w:pPr>
              <w:pStyle w:val="TableText"/>
              <w:rPr>
                <w:lang w:val="en-US"/>
              </w:rPr>
            </w:pPr>
            <w:r>
              <w:rPr>
                <w:lang w:val="en-US"/>
              </w:rPr>
              <w:t>k=</w:t>
            </w:r>
            <w:r w:rsidR="000034DA">
              <w:rPr>
                <w:lang w:val="en-US"/>
              </w:rPr>
              <w:t>5</w:t>
            </w:r>
          </w:p>
          <w:p w14:paraId="280096E2" w14:textId="7311C347" w:rsidR="008449FE" w:rsidRPr="00CE28E3" w:rsidRDefault="008449FE" w:rsidP="00DF7E98">
            <w:pPr>
              <w:pStyle w:val="TableText"/>
              <w:rPr>
                <w:lang w:val="en-US"/>
              </w:rPr>
            </w:pPr>
            <w:r>
              <w:rPr>
                <w:lang w:val="en-US"/>
              </w:rPr>
              <w:t>n=</w:t>
            </w:r>
            <w:r w:rsidR="00DF7E98">
              <w:rPr>
                <w:lang w:val="en-US"/>
              </w:rPr>
              <w:t>NR</w:t>
            </w:r>
          </w:p>
        </w:tc>
        <w:tc>
          <w:tcPr>
            <w:tcW w:w="709" w:type="pct"/>
            <w:shd w:val="clear" w:color="auto" w:fill="auto"/>
          </w:tcPr>
          <w:p w14:paraId="4C16DA12" w14:textId="77777777" w:rsidR="00A31B08" w:rsidRDefault="00A31B08" w:rsidP="00DF7E98">
            <w:pPr>
              <w:pStyle w:val="TableText"/>
              <w:rPr>
                <w:lang w:val="en-US"/>
              </w:rPr>
            </w:pPr>
            <w:r>
              <w:rPr>
                <w:lang w:val="en-US"/>
              </w:rPr>
              <w:t xml:space="preserve">Retrospective cohort </w:t>
            </w:r>
          </w:p>
          <w:p w14:paraId="39A9151F" w14:textId="48272269" w:rsidR="000034DA" w:rsidRPr="00CE28E3" w:rsidRDefault="000034DA" w:rsidP="00DF7E98">
            <w:pPr>
              <w:pStyle w:val="TableText"/>
              <w:rPr>
                <w:lang w:val="en-US"/>
              </w:rPr>
            </w:pPr>
            <w:r>
              <w:rPr>
                <w:lang w:val="en-US"/>
              </w:rPr>
              <w:t>Up to 15 y</w:t>
            </w:r>
            <w:r w:rsidR="00A31B08">
              <w:rPr>
                <w:lang w:val="en-US"/>
              </w:rPr>
              <w:t>ears</w:t>
            </w:r>
          </w:p>
        </w:tc>
        <w:tc>
          <w:tcPr>
            <w:tcW w:w="529" w:type="pct"/>
            <w:shd w:val="clear" w:color="auto" w:fill="auto"/>
          </w:tcPr>
          <w:p w14:paraId="269C28DF" w14:textId="2B35E00A" w:rsidR="00956ACE" w:rsidRPr="00CE28E3" w:rsidRDefault="00956ACE" w:rsidP="00DF7E98">
            <w:pPr>
              <w:pStyle w:val="TableText"/>
              <w:rPr>
                <w:i/>
                <w:lang w:val="en-US"/>
              </w:rPr>
            </w:pPr>
            <w:r w:rsidRPr="00CE28E3">
              <w:rPr>
                <w:i/>
                <w:lang w:val="en-US"/>
              </w:rPr>
              <w:t>Low</w:t>
            </w:r>
            <w:r w:rsidR="00347854">
              <w:rPr>
                <w:i/>
                <w:lang w:val="en-US"/>
              </w:rPr>
              <w:t xml:space="preserve"> to high</w:t>
            </w:r>
          </w:p>
        </w:tc>
        <w:tc>
          <w:tcPr>
            <w:tcW w:w="847" w:type="pct"/>
            <w:shd w:val="clear" w:color="auto" w:fill="auto"/>
          </w:tcPr>
          <w:p w14:paraId="4FD8A7FC" w14:textId="2DC73EAE" w:rsidR="00956ACE" w:rsidRPr="00CE28E3" w:rsidRDefault="00347854" w:rsidP="00DF7E98">
            <w:pPr>
              <w:pStyle w:val="TableText"/>
              <w:rPr>
                <w:lang w:val="en-US"/>
              </w:rPr>
            </w:pPr>
            <w:r>
              <w:rPr>
                <w:lang w:val="en-US"/>
              </w:rPr>
              <w:t>Newborns participating in NBS</w:t>
            </w:r>
          </w:p>
        </w:tc>
        <w:tc>
          <w:tcPr>
            <w:tcW w:w="1386" w:type="pct"/>
            <w:shd w:val="clear" w:color="auto" w:fill="auto"/>
          </w:tcPr>
          <w:p w14:paraId="6A6740ED" w14:textId="77777777" w:rsidR="00347854" w:rsidRDefault="00A4641A" w:rsidP="00DF7E98">
            <w:pPr>
              <w:pStyle w:val="TableText"/>
              <w:rPr>
                <w:lang w:val="en-US"/>
              </w:rPr>
            </w:pPr>
            <w:r>
              <w:rPr>
                <w:lang w:val="en-US"/>
              </w:rPr>
              <w:t>Mortality</w:t>
            </w:r>
          </w:p>
          <w:p w14:paraId="45B1587F" w14:textId="4EAA96C0" w:rsidR="00A4641A" w:rsidRPr="00CE28E3" w:rsidRDefault="00A4641A" w:rsidP="00DF7E98">
            <w:pPr>
              <w:pStyle w:val="TableText"/>
              <w:rPr>
                <w:lang w:val="en-US"/>
              </w:rPr>
            </w:pPr>
            <w:r>
              <w:rPr>
                <w:lang w:val="en-US"/>
              </w:rPr>
              <w:t>Diagnostic accuracy</w:t>
            </w:r>
          </w:p>
        </w:tc>
        <w:tc>
          <w:tcPr>
            <w:tcW w:w="538" w:type="pct"/>
            <w:shd w:val="clear" w:color="auto" w:fill="auto"/>
          </w:tcPr>
          <w:p w14:paraId="3F9CD3D5" w14:textId="7A87A13B" w:rsidR="00956ACE" w:rsidRPr="00CE28E3" w:rsidRDefault="00171557" w:rsidP="00DF7E98">
            <w:pPr>
              <w:pStyle w:val="TableText"/>
              <w:rPr>
                <w:lang w:val="en-US"/>
              </w:rPr>
            </w:pPr>
            <w:r>
              <w:rPr>
                <w:lang w:val="en-US"/>
              </w:rPr>
              <w:t>No</w:t>
            </w:r>
          </w:p>
        </w:tc>
      </w:tr>
      <w:tr w:rsidR="00DF7E98" w:rsidRPr="00CE28E3" w14:paraId="6E4E23A7" w14:textId="77777777" w:rsidTr="00171557">
        <w:trPr>
          <w:cantSplit/>
        </w:trPr>
        <w:tc>
          <w:tcPr>
            <w:tcW w:w="511" w:type="pct"/>
            <w:shd w:val="clear" w:color="auto" w:fill="auto"/>
          </w:tcPr>
          <w:p w14:paraId="45E15921" w14:textId="29AB97D5" w:rsidR="00956ACE" w:rsidRPr="00CE28E3" w:rsidRDefault="00496FB5" w:rsidP="00DF7E98">
            <w:pPr>
              <w:pStyle w:val="TableText"/>
              <w:rPr>
                <w:lang w:val="en-US"/>
              </w:rPr>
            </w:pPr>
            <w:r>
              <w:rPr>
                <w:lang w:val="en-US"/>
              </w:rPr>
              <w:fldChar w:fldCharType="begin">
                <w:fldData xml:space="preserve">PEVuZE5vdGU+PENpdGU+PEF1dGhvcj5MZTwvQXV0aG9yPjxZZWFyPjIwMTg8L1llYXI+PFJlY051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34E25">
              <w:rPr>
                <w:lang w:val="en-US"/>
              </w:rPr>
              <w:instrText xml:space="preserve"> ADDIN EN.CITE </w:instrText>
            </w:r>
            <w:r w:rsidR="00834E25">
              <w:rPr>
                <w:lang w:val="en-US"/>
              </w:rPr>
              <w:fldChar w:fldCharType="begin">
                <w:fldData xml:space="preserve">PEVuZE5vdGU+PENpdGU+PEF1dGhvcj5MZTwvQXV0aG9yPjxZZWFyPjIwMTg8L1llYXI+PFJlY051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34E25">
              <w:rPr>
                <w:lang w:val="en-US"/>
              </w:rPr>
              <w:instrText xml:space="preserve"> ADDIN EN.CITE.DATA </w:instrText>
            </w:r>
            <w:r w:rsidR="00834E25">
              <w:rPr>
                <w:lang w:val="en-US"/>
              </w:rPr>
            </w:r>
            <w:r w:rsidR="00834E25">
              <w:rPr>
                <w:lang w:val="en-US"/>
              </w:rPr>
              <w:fldChar w:fldCharType="end"/>
            </w:r>
            <w:r>
              <w:rPr>
                <w:lang w:val="en-US"/>
              </w:rPr>
            </w:r>
            <w:r>
              <w:rPr>
                <w:lang w:val="en-US"/>
              </w:rPr>
              <w:fldChar w:fldCharType="separate"/>
            </w:r>
            <w:r>
              <w:rPr>
                <w:noProof/>
                <w:lang w:val="en-US"/>
              </w:rPr>
              <w:t>(Le et al. 2018)</w:t>
            </w:r>
            <w:r>
              <w:rPr>
                <w:lang w:val="en-US"/>
              </w:rPr>
              <w:fldChar w:fldCharType="end"/>
            </w:r>
            <w:r w:rsidR="004C2D30">
              <w:rPr>
                <w:rStyle w:val="FootnoteReference"/>
                <w:lang w:val="en-US"/>
              </w:rPr>
              <w:footnoteReference w:id="16"/>
            </w:r>
          </w:p>
        </w:tc>
        <w:tc>
          <w:tcPr>
            <w:tcW w:w="480" w:type="pct"/>
            <w:shd w:val="clear" w:color="auto" w:fill="auto"/>
          </w:tcPr>
          <w:p w14:paraId="71251CEE" w14:textId="48946929" w:rsidR="00956ACE" w:rsidRPr="00CE28E3" w:rsidRDefault="008449FE" w:rsidP="00DF7E98">
            <w:pPr>
              <w:pStyle w:val="TableText"/>
              <w:rPr>
                <w:lang w:val="en-US"/>
              </w:rPr>
            </w:pPr>
            <w:r>
              <w:rPr>
                <w:lang w:val="en-US"/>
              </w:rPr>
              <w:t>n=</w:t>
            </w:r>
            <w:r w:rsidR="00DF7E98">
              <w:rPr>
                <w:lang w:val="en-US"/>
              </w:rPr>
              <w:t>260</w:t>
            </w:r>
          </w:p>
        </w:tc>
        <w:tc>
          <w:tcPr>
            <w:tcW w:w="709" w:type="pct"/>
            <w:shd w:val="clear" w:color="auto" w:fill="auto"/>
          </w:tcPr>
          <w:p w14:paraId="37D3BD6A" w14:textId="07CBF7DD" w:rsidR="00956ACE" w:rsidRPr="00CE28E3" w:rsidRDefault="00DF7E98" w:rsidP="00DF7E98">
            <w:pPr>
              <w:pStyle w:val="TableText"/>
              <w:rPr>
                <w:lang w:val="en-US"/>
              </w:rPr>
            </w:pPr>
            <w:r>
              <w:rPr>
                <w:lang w:val="en-US"/>
              </w:rPr>
              <w:t>Ret</w:t>
            </w:r>
            <w:r w:rsidR="00A31B08">
              <w:rPr>
                <w:lang w:val="en-US"/>
              </w:rPr>
              <w:t>rospective</w:t>
            </w:r>
            <w:r>
              <w:rPr>
                <w:lang w:val="en-US"/>
              </w:rPr>
              <w:t xml:space="preserve"> </w:t>
            </w:r>
            <w:r w:rsidR="00A31B08">
              <w:rPr>
                <w:lang w:val="en-US"/>
              </w:rPr>
              <w:t>cohort</w:t>
            </w:r>
          </w:p>
        </w:tc>
        <w:tc>
          <w:tcPr>
            <w:tcW w:w="529" w:type="pct"/>
            <w:shd w:val="clear" w:color="auto" w:fill="auto"/>
          </w:tcPr>
          <w:p w14:paraId="51165529" w14:textId="2BC47F7B" w:rsidR="00956ACE" w:rsidRPr="00CE28E3" w:rsidRDefault="00347854" w:rsidP="00DF7E98">
            <w:pPr>
              <w:pStyle w:val="TableText"/>
              <w:rPr>
                <w:i/>
                <w:lang w:val="en-US"/>
              </w:rPr>
            </w:pPr>
            <w:r>
              <w:rPr>
                <w:i/>
                <w:lang w:val="en-US"/>
              </w:rPr>
              <w:t>Low</w:t>
            </w:r>
          </w:p>
        </w:tc>
        <w:tc>
          <w:tcPr>
            <w:tcW w:w="847" w:type="pct"/>
            <w:shd w:val="clear" w:color="auto" w:fill="auto"/>
          </w:tcPr>
          <w:p w14:paraId="60CDF4F0" w14:textId="28136595" w:rsidR="00956ACE" w:rsidRPr="00CE28E3" w:rsidRDefault="00DF7E98" w:rsidP="00DF7E98">
            <w:pPr>
              <w:pStyle w:val="TableText"/>
              <w:rPr>
                <w:lang w:val="en-US"/>
              </w:rPr>
            </w:pPr>
            <w:r>
              <w:rPr>
                <w:lang w:val="en-US"/>
              </w:rPr>
              <w:t>SCD patient register (diagnosis by NBS)</w:t>
            </w:r>
          </w:p>
        </w:tc>
        <w:tc>
          <w:tcPr>
            <w:tcW w:w="1386" w:type="pct"/>
            <w:shd w:val="clear" w:color="auto" w:fill="auto"/>
          </w:tcPr>
          <w:p w14:paraId="38642446" w14:textId="77777777" w:rsidR="00956ACE" w:rsidRDefault="00DF7E98" w:rsidP="00DF7E98">
            <w:pPr>
              <w:pStyle w:val="TableText"/>
              <w:rPr>
                <w:lang w:val="en-US"/>
              </w:rPr>
            </w:pPr>
            <w:r>
              <w:rPr>
                <w:lang w:val="en-US"/>
              </w:rPr>
              <w:t>Time to diagnosis from first event</w:t>
            </w:r>
          </w:p>
          <w:p w14:paraId="0D620386" w14:textId="77777777" w:rsidR="00DF7E98" w:rsidRDefault="00DF7E98" w:rsidP="00DF7E98">
            <w:pPr>
              <w:pStyle w:val="TableText"/>
              <w:rPr>
                <w:lang w:val="en-US"/>
              </w:rPr>
            </w:pPr>
            <w:r>
              <w:rPr>
                <w:lang w:val="en-US"/>
              </w:rPr>
              <w:t>15-year survival from diagnosis</w:t>
            </w:r>
          </w:p>
          <w:p w14:paraId="583A7C5E" w14:textId="15BDC1E7" w:rsidR="00DF7E98" w:rsidRPr="00CE28E3" w:rsidRDefault="00DF7E98" w:rsidP="00DF7E98">
            <w:pPr>
              <w:pStyle w:val="TableText"/>
              <w:rPr>
                <w:lang w:val="en-US"/>
              </w:rPr>
            </w:pPr>
            <w:r>
              <w:rPr>
                <w:lang w:val="en-US"/>
              </w:rPr>
              <w:t>Likelihood of severe events</w:t>
            </w:r>
          </w:p>
        </w:tc>
        <w:tc>
          <w:tcPr>
            <w:tcW w:w="538" w:type="pct"/>
            <w:shd w:val="clear" w:color="auto" w:fill="auto"/>
          </w:tcPr>
          <w:p w14:paraId="56C2128A" w14:textId="5CD3A149" w:rsidR="00956ACE" w:rsidRPr="00CE28E3" w:rsidRDefault="00171557" w:rsidP="00DF7E98">
            <w:pPr>
              <w:pStyle w:val="TableText"/>
              <w:rPr>
                <w:lang w:val="en-US"/>
              </w:rPr>
            </w:pPr>
            <w:r>
              <w:rPr>
                <w:lang w:val="en-US"/>
              </w:rPr>
              <w:t>No</w:t>
            </w:r>
          </w:p>
        </w:tc>
      </w:tr>
    </w:tbl>
    <w:p w14:paraId="77F184CE" w14:textId="45E16683" w:rsidR="00956ACE" w:rsidRDefault="00110066" w:rsidP="00E72C9C">
      <w:pPr>
        <w:pStyle w:val="Tablenotes0"/>
      </w:pPr>
      <w:bookmarkStart w:id="22" w:name="_Hlk68276176"/>
      <w:bookmarkEnd w:id="21"/>
      <w:r>
        <w:t>k</w:t>
      </w:r>
      <w:r w:rsidR="007F1E90">
        <w:t xml:space="preserve"> = number of studies; n = number of participants; </w:t>
      </w:r>
      <w:r w:rsidR="00DF7E98">
        <w:t>NBS = newborn bloodspot screening;</w:t>
      </w:r>
      <w:r w:rsidR="007F1E90">
        <w:t xml:space="preserve"> NR = not reported;</w:t>
      </w:r>
      <w:r w:rsidR="00DF7E98">
        <w:t xml:space="preserve"> SCD = sickle cell </w:t>
      </w:r>
      <w:proofErr w:type="gramStart"/>
      <w:r w:rsidR="00DF7E98">
        <w:t>disease;</w:t>
      </w:r>
      <w:proofErr w:type="gramEnd"/>
    </w:p>
    <w:p w14:paraId="005968B3" w14:textId="3FC94050" w:rsidR="00956ACE" w:rsidRPr="00265D95" w:rsidRDefault="00956ACE" w:rsidP="00265D95">
      <w:pPr>
        <w:pStyle w:val="Caption"/>
      </w:pPr>
      <w:bookmarkStart w:id="23" w:name="_Ref69725659"/>
      <w:bookmarkEnd w:id="22"/>
      <w:r w:rsidRPr="00CE28E3">
        <w:t>Table</w:t>
      </w:r>
      <w:r w:rsidR="004A4FDF">
        <w:t> </w:t>
      </w:r>
      <w:r>
        <w:fldChar w:fldCharType="begin"/>
      </w:r>
      <w:r>
        <w:instrText>SEQ Table \* ARABIC</w:instrText>
      </w:r>
      <w:r>
        <w:fldChar w:fldCharType="separate"/>
      </w:r>
      <w:r w:rsidR="007D770C">
        <w:rPr>
          <w:noProof/>
        </w:rPr>
        <w:t>4</w:t>
      </w:r>
      <w:r>
        <w:fldChar w:fldCharType="end"/>
      </w:r>
      <w:bookmarkEnd w:id="23"/>
      <w:r w:rsidRPr="00CE28E3">
        <w:tab/>
        <w:t xml:space="preserve">Key features of the included </w:t>
      </w:r>
      <w:r w:rsidR="004E41D9">
        <w:t xml:space="preserve">linked </w:t>
      </w:r>
      <w:r w:rsidRPr="00CE28E3">
        <w:t>evidence</w:t>
      </w:r>
      <w:r w:rsidR="00AE1812">
        <w:t xml:space="preserve"> </w:t>
      </w:r>
    </w:p>
    <w:tbl>
      <w:tblPr>
        <w:tblStyle w:val="TableGrid1"/>
        <w:tblW w:w="5000" w:type="pct"/>
        <w:tblLook w:val="04A0" w:firstRow="1" w:lastRow="0" w:firstColumn="1" w:lastColumn="0" w:noHBand="0" w:noVBand="1"/>
        <w:tblCaption w:val="Table 2 Key features of the included linked evidence (Population 1)"/>
      </w:tblPr>
      <w:tblGrid>
        <w:gridCol w:w="2263"/>
        <w:gridCol w:w="1843"/>
        <w:gridCol w:w="2977"/>
        <w:gridCol w:w="1933"/>
      </w:tblGrid>
      <w:tr w:rsidR="00FF441F" w:rsidRPr="00CE28E3" w14:paraId="530E3954" w14:textId="4FDFB9B8" w:rsidTr="00F661B5">
        <w:trPr>
          <w:cnfStyle w:val="100000000000" w:firstRow="1" w:lastRow="0" w:firstColumn="0" w:lastColumn="0" w:oddVBand="0" w:evenVBand="0" w:oddHBand="0" w:evenHBand="0" w:firstRowFirstColumn="0" w:firstRowLastColumn="0" w:lastRowFirstColumn="0" w:lastRowLastColumn="0"/>
          <w:tblHeader/>
        </w:trPr>
        <w:tc>
          <w:tcPr>
            <w:tcW w:w="1255" w:type="pct"/>
            <w:tcBorders>
              <w:top w:val="single" w:sz="4" w:space="0" w:color="auto"/>
              <w:left w:val="single" w:sz="4" w:space="0" w:color="auto"/>
              <w:bottom w:val="single" w:sz="4" w:space="0" w:color="auto"/>
              <w:right w:val="single" w:sz="4" w:space="0" w:color="auto"/>
            </w:tcBorders>
            <w:vAlign w:val="bottom"/>
          </w:tcPr>
          <w:p w14:paraId="0112563A" w14:textId="3CE1178E" w:rsidR="00FF441F" w:rsidRPr="00CE28E3" w:rsidRDefault="00FF441F" w:rsidP="00670650">
            <w:pPr>
              <w:pStyle w:val="TableText"/>
              <w:keepNext/>
              <w:rPr>
                <w:b/>
              </w:rPr>
            </w:pPr>
            <w:bookmarkStart w:id="24" w:name="ColumnTitle_Table4"/>
            <w:bookmarkStart w:id="25" w:name="_Hlk68276288"/>
            <w:bookmarkEnd w:id="24"/>
            <w:r>
              <w:rPr>
                <w:b/>
              </w:rPr>
              <w:t>Criterion</w:t>
            </w:r>
          </w:p>
        </w:tc>
        <w:tc>
          <w:tcPr>
            <w:tcW w:w="1022"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FF441F" w:rsidRPr="00CE28E3" w:rsidRDefault="00FF441F" w:rsidP="00670650">
            <w:pPr>
              <w:pStyle w:val="TableText"/>
              <w:keepNext/>
              <w:rPr>
                <w:b/>
              </w:rPr>
            </w:pPr>
            <w:r w:rsidRPr="00CE28E3">
              <w:rPr>
                <w:b/>
              </w:rPr>
              <w:t>Type of evidence supplied</w:t>
            </w:r>
          </w:p>
        </w:tc>
        <w:tc>
          <w:tcPr>
            <w:tcW w:w="1651"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FF441F" w:rsidRPr="00CE28E3" w:rsidRDefault="00FF441F" w:rsidP="00670650">
            <w:pPr>
              <w:pStyle w:val="TableText"/>
              <w:keepNext/>
              <w:rPr>
                <w:b/>
              </w:rPr>
            </w:pPr>
            <w:r w:rsidRPr="00CE28E3">
              <w:rPr>
                <w:b/>
              </w:rPr>
              <w:t>Extent of evidence supplied</w:t>
            </w:r>
          </w:p>
        </w:tc>
        <w:tc>
          <w:tcPr>
            <w:tcW w:w="1072"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FF441F" w:rsidRPr="00CE28E3" w:rsidRDefault="00FF441F" w:rsidP="00670650">
            <w:pPr>
              <w:pStyle w:val="TableText"/>
              <w:keepNext/>
              <w:rPr>
                <w:b/>
              </w:rPr>
            </w:pPr>
            <w:r w:rsidRPr="00CE28E3">
              <w:rPr>
                <w:b/>
              </w:rPr>
              <w:t>Overall risk of bias in evidence base</w:t>
            </w:r>
          </w:p>
        </w:tc>
      </w:tr>
      <w:tr w:rsidR="00FF441F" w:rsidRPr="00CE28E3" w14:paraId="34571304" w14:textId="652C44F0" w:rsidTr="00F661B5">
        <w:tc>
          <w:tcPr>
            <w:tcW w:w="1255" w:type="pct"/>
            <w:tcBorders>
              <w:top w:val="single" w:sz="4" w:space="0" w:color="auto"/>
              <w:left w:val="single" w:sz="4" w:space="0" w:color="auto"/>
              <w:bottom w:val="single" w:sz="4" w:space="0" w:color="auto"/>
              <w:right w:val="single" w:sz="4" w:space="0" w:color="auto"/>
            </w:tcBorders>
            <w:hideMark/>
          </w:tcPr>
          <w:p w14:paraId="63BA3949" w14:textId="79FAF9D4" w:rsidR="00FF441F" w:rsidRPr="00CE28E3" w:rsidRDefault="00FF441F" w:rsidP="00670650">
            <w:pPr>
              <w:pStyle w:val="TableText"/>
              <w:keepNext/>
            </w:pPr>
            <w:r w:rsidRPr="00CE28E3">
              <w:t xml:space="preserve">Accuracy and performance of the </w:t>
            </w:r>
            <w:r w:rsidR="00F661B5">
              <w:t>SCD screening</w:t>
            </w:r>
          </w:p>
        </w:tc>
        <w:tc>
          <w:tcPr>
            <w:tcW w:w="1022" w:type="pct"/>
            <w:tcBorders>
              <w:top w:val="single" w:sz="4" w:space="0" w:color="auto"/>
              <w:left w:val="single" w:sz="4" w:space="0" w:color="auto"/>
              <w:bottom w:val="single" w:sz="4" w:space="0" w:color="auto"/>
              <w:right w:val="single" w:sz="4" w:space="0" w:color="auto"/>
            </w:tcBorders>
            <w:hideMark/>
          </w:tcPr>
          <w:p w14:paraId="7A348354" w14:textId="5AF0117E" w:rsidR="00FF441F" w:rsidRPr="00CE28E3" w:rsidRDefault="00FF441F" w:rsidP="00670650">
            <w:pPr>
              <w:pStyle w:val="TableText"/>
              <w:keepNext/>
            </w:pPr>
            <w:r>
              <w:t>Coh</w:t>
            </w:r>
            <w:r w:rsidR="00A31B08">
              <w:t>orts</w:t>
            </w:r>
            <w:r>
              <w:t xml:space="preserve"> and </w:t>
            </w:r>
            <w:r w:rsidR="00A31B08">
              <w:t>case series</w:t>
            </w:r>
          </w:p>
        </w:tc>
        <w:tc>
          <w:tcPr>
            <w:tcW w:w="1651" w:type="pct"/>
            <w:tcBorders>
              <w:top w:val="single" w:sz="4" w:space="0" w:color="auto"/>
              <w:left w:val="single" w:sz="4" w:space="0" w:color="auto"/>
              <w:bottom w:val="single" w:sz="4" w:space="0" w:color="auto"/>
              <w:right w:val="single" w:sz="4" w:space="0" w:color="auto"/>
            </w:tcBorders>
            <w:hideMark/>
          </w:tcPr>
          <w:p w14:paraId="4B9F173D" w14:textId="0EE5CFA8" w:rsidR="00FF441F" w:rsidRPr="00CE28E3" w:rsidRDefault="00FF441F" w:rsidP="007B6C77">
            <w:pPr>
              <w:pStyle w:val="TableText"/>
              <w:keepNext/>
            </w:pPr>
            <w:r>
              <w:rPr>
                <w:rFonts w:ascii="MS Gothic" w:eastAsia="MS Gothic" w:hAnsi="MS Gothic" w:hint="eastAsia"/>
              </w:rPr>
              <w:t>☒</w:t>
            </w:r>
            <w:r w:rsidRPr="00CE28E3">
              <w:tab/>
              <w:t>k=</w:t>
            </w:r>
            <w:r>
              <w:t>24</w:t>
            </w:r>
            <w:r w:rsidRPr="00CE28E3">
              <w:tab/>
              <w:t>n=</w:t>
            </w:r>
            <w:r>
              <w:t xml:space="preserve"> 3,751,356</w:t>
            </w:r>
          </w:p>
        </w:tc>
        <w:tc>
          <w:tcPr>
            <w:tcW w:w="1072" w:type="pct"/>
            <w:tcBorders>
              <w:top w:val="single" w:sz="4" w:space="0" w:color="auto"/>
              <w:left w:val="single" w:sz="4" w:space="0" w:color="auto"/>
              <w:bottom w:val="single" w:sz="4" w:space="0" w:color="auto"/>
              <w:right w:val="single" w:sz="4" w:space="0" w:color="auto"/>
            </w:tcBorders>
            <w:hideMark/>
          </w:tcPr>
          <w:p w14:paraId="314B6464" w14:textId="102FE1B1" w:rsidR="00FF441F" w:rsidRPr="00CE28E3" w:rsidRDefault="00CB19D1" w:rsidP="00670650">
            <w:pPr>
              <w:pStyle w:val="TableText"/>
              <w:keepNext/>
            </w:pPr>
            <w:r>
              <w:t xml:space="preserve">High </w:t>
            </w:r>
          </w:p>
        </w:tc>
      </w:tr>
      <w:tr w:rsidR="00572259" w:rsidRPr="00CE28E3" w14:paraId="54C28645" w14:textId="77777777" w:rsidTr="00F661B5">
        <w:tc>
          <w:tcPr>
            <w:tcW w:w="1255" w:type="pct"/>
            <w:tcBorders>
              <w:top w:val="single" w:sz="4" w:space="0" w:color="auto"/>
              <w:left w:val="single" w:sz="4" w:space="0" w:color="auto"/>
              <w:bottom w:val="single" w:sz="4" w:space="0" w:color="auto"/>
              <w:right w:val="single" w:sz="4" w:space="0" w:color="auto"/>
            </w:tcBorders>
          </w:tcPr>
          <w:p w14:paraId="125637E1" w14:textId="1DA7DF39" w:rsidR="00572259" w:rsidRPr="001D2EB5" w:rsidRDefault="00572259" w:rsidP="00670650">
            <w:pPr>
              <w:pStyle w:val="TableText"/>
              <w:keepNext/>
            </w:pPr>
            <w:r w:rsidRPr="001D2EB5">
              <w:t>Change in management</w:t>
            </w:r>
            <w:r w:rsidR="00EA01C0" w:rsidRPr="001D2EB5">
              <w:t xml:space="preserve"> </w:t>
            </w:r>
          </w:p>
        </w:tc>
        <w:tc>
          <w:tcPr>
            <w:tcW w:w="1022" w:type="pct"/>
            <w:tcBorders>
              <w:top w:val="single" w:sz="4" w:space="0" w:color="auto"/>
              <w:left w:val="single" w:sz="4" w:space="0" w:color="auto"/>
              <w:bottom w:val="single" w:sz="4" w:space="0" w:color="auto"/>
              <w:right w:val="single" w:sz="4" w:space="0" w:color="auto"/>
            </w:tcBorders>
          </w:tcPr>
          <w:p w14:paraId="10AA677E" w14:textId="02827EA6" w:rsidR="00572259" w:rsidRDefault="005365E2" w:rsidP="00670650">
            <w:pPr>
              <w:pStyle w:val="TableText"/>
              <w:keepNext/>
            </w:pPr>
            <w:r>
              <w:t xml:space="preserve">Registry </w:t>
            </w:r>
          </w:p>
        </w:tc>
        <w:tc>
          <w:tcPr>
            <w:tcW w:w="1651" w:type="pct"/>
            <w:tcBorders>
              <w:top w:val="single" w:sz="4" w:space="0" w:color="auto"/>
              <w:left w:val="single" w:sz="4" w:space="0" w:color="auto"/>
              <w:bottom w:val="single" w:sz="4" w:space="0" w:color="auto"/>
              <w:right w:val="single" w:sz="4" w:space="0" w:color="auto"/>
            </w:tcBorders>
          </w:tcPr>
          <w:p w14:paraId="7450FB73" w14:textId="36D76F89" w:rsidR="00572259" w:rsidRDefault="00530007" w:rsidP="00670650">
            <w:pPr>
              <w:pStyle w:val="TableText"/>
              <w:keepNext/>
            </w:pPr>
            <w:r>
              <w:rPr>
                <w:rFonts w:ascii="MS Gothic" w:eastAsia="MS Gothic" w:hAnsi="MS Gothic" w:hint="eastAsia"/>
              </w:rPr>
              <w:t>☒</w:t>
            </w:r>
            <w:r>
              <w:t xml:space="preserve"> </w:t>
            </w:r>
            <w:r>
              <w:tab/>
              <w:t>k=1</w:t>
            </w:r>
            <w:r>
              <w:tab/>
              <w:t>n=</w:t>
            </w:r>
            <w:r w:rsidR="00641D62">
              <w:t>108</w:t>
            </w:r>
          </w:p>
        </w:tc>
        <w:tc>
          <w:tcPr>
            <w:tcW w:w="1072" w:type="pct"/>
            <w:tcBorders>
              <w:top w:val="single" w:sz="4" w:space="0" w:color="auto"/>
              <w:left w:val="single" w:sz="4" w:space="0" w:color="auto"/>
              <w:bottom w:val="single" w:sz="4" w:space="0" w:color="auto"/>
              <w:right w:val="single" w:sz="4" w:space="0" w:color="auto"/>
            </w:tcBorders>
          </w:tcPr>
          <w:p w14:paraId="61CB7132" w14:textId="35B8B4AA" w:rsidR="00572259" w:rsidRDefault="00D641CE" w:rsidP="00670650">
            <w:pPr>
              <w:pStyle w:val="TableText"/>
              <w:keepNext/>
            </w:pPr>
            <w:r>
              <w:t>High</w:t>
            </w:r>
          </w:p>
        </w:tc>
      </w:tr>
      <w:tr w:rsidR="00FF441F" w:rsidRPr="00CE28E3" w14:paraId="0A575DD3" w14:textId="64C46158" w:rsidTr="00F661B5">
        <w:tc>
          <w:tcPr>
            <w:tcW w:w="1255" w:type="pct"/>
            <w:tcBorders>
              <w:top w:val="single" w:sz="4" w:space="0" w:color="auto"/>
              <w:left w:val="single" w:sz="4" w:space="0" w:color="auto"/>
              <w:bottom w:val="single" w:sz="4" w:space="0" w:color="auto"/>
              <w:right w:val="single" w:sz="4" w:space="0" w:color="auto"/>
            </w:tcBorders>
            <w:hideMark/>
          </w:tcPr>
          <w:p w14:paraId="2B5E1C59" w14:textId="77777777" w:rsidR="00FF441F" w:rsidRPr="001D2EB5" w:rsidRDefault="00FF441F" w:rsidP="00670650">
            <w:pPr>
              <w:pStyle w:val="TableText"/>
              <w:keepNext/>
            </w:pPr>
            <w:r w:rsidRPr="001D2EB5">
              <w:t xml:space="preserve">Health outcomes  </w:t>
            </w:r>
          </w:p>
        </w:tc>
        <w:tc>
          <w:tcPr>
            <w:tcW w:w="1022" w:type="pct"/>
            <w:tcBorders>
              <w:top w:val="single" w:sz="4" w:space="0" w:color="auto"/>
              <w:left w:val="single" w:sz="4" w:space="0" w:color="auto"/>
              <w:bottom w:val="single" w:sz="4" w:space="0" w:color="auto"/>
              <w:right w:val="single" w:sz="4" w:space="0" w:color="auto"/>
            </w:tcBorders>
          </w:tcPr>
          <w:p w14:paraId="54723D7C" w14:textId="2ED7BDED" w:rsidR="00FF441F" w:rsidRPr="00CE28E3" w:rsidRDefault="00FF441F" w:rsidP="00670650">
            <w:pPr>
              <w:pStyle w:val="TableText"/>
              <w:keepNext/>
            </w:pPr>
            <w:r>
              <w:t>S</w:t>
            </w:r>
            <w:r w:rsidR="007F1E90">
              <w:t>ystematic review</w:t>
            </w:r>
            <w:r w:rsidR="005365E2">
              <w:t xml:space="preserve"> and registry data</w:t>
            </w:r>
          </w:p>
        </w:tc>
        <w:tc>
          <w:tcPr>
            <w:tcW w:w="1651" w:type="pct"/>
            <w:tcBorders>
              <w:top w:val="single" w:sz="4" w:space="0" w:color="auto"/>
              <w:left w:val="single" w:sz="4" w:space="0" w:color="auto"/>
              <w:bottom w:val="single" w:sz="4" w:space="0" w:color="auto"/>
              <w:right w:val="single" w:sz="4" w:space="0" w:color="auto"/>
            </w:tcBorders>
          </w:tcPr>
          <w:p w14:paraId="496A8CDC" w14:textId="44925D4D" w:rsidR="00FF441F" w:rsidRPr="00CE28E3" w:rsidRDefault="00FF441F" w:rsidP="007B6C77">
            <w:pPr>
              <w:pStyle w:val="TableText"/>
              <w:keepNext/>
            </w:pPr>
            <w:r>
              <w:rPr>
                <w:rFonts w:ascii="MS Gothic" w:eastAsia="MS Gothic" w:hAnsi="MS Gothic" w:hint="eastAsia"/>
              </w:rPr>
              <w:t>☒</w:t>
            </w:r>
            <w:r w:rsidRPr="00CE28E3">
              <w:tab/>
              <w:t>k=</w:t>
            </w:r>
            <w:r w:rsidR="003E5DB1">
              <w:t>6</w:t>
            </w:r>
            <w:r w:rsidRPr="00CE28E3">
              <w:tab/>
              <w:t>n=</w:t>
            </w:r>
            <w:r w:rsidR="003E5DB1">
              <w:t>1,040</w:t>
            </w:r>
          </w:p>
        </w:tc>
        <w:tc>
          <w:tcPr>
            <w:tcW w:w="1072" w:type="pct"/>
            <w:tcBorders>
              <w:top w:val="single" w:sz="4" w:space="0" w:color="auto"/>
              <w:left w:val="single" w:sz="4" w:space="0" w:color="auto"/>
              <w:bottom w:val="single" w:sz="4" w:space="0" w:color="auto"/>
              <w:right w:val="single" w:sz="4" w:space="0" w:color="auto"/>
            </w:tcBorders>
            <w:hideMark/>
          </w:tcPr>
          <w:p w14:paraId="17AAB10F" w14:textId="3E114877" w:rsidR="00FF441F" w:rsidRPr="00AE1812" w:rsidRDefault="00FF441F" w:rsidP="00AE1812">
            <w:pPr>
              <w:pStyle w:val="TableText"/>
            </w:pPr>
            <w:r>
              <w:t>M</w:t>
            </w:r>
            <w:r w:rsidRPr="00AE1812">
              <w:t>oder</w:t>
            </w:r>
            <w:r>
              <w:t>a</w:t>
            </w:r>
            <w:r w:rsidRPr="00AE1812">
              <w:t>te</w:t>
            </w:r>
          </w:p>
        </w:tc>
      </w:tr>
    </w:tbl>
    <w:p w14:paraId="36B53B57" w14:textId="78B14678" w:rsidR="00956ACE" w:rsidRPr="00CE28E3" w:rsidRDefault="00961521" w:rsidP="00E72C9C">
      <w:pPr>
        <w:pStyle w:val="Tablenotes0"/>
      </w:pPr>
      <w:bookmarkStart w:id="26" w:name="_Hlk68276301"/>
      <w:bookmarkEnd w:id="25"/>
      <w:r>
        <w:t>k</w:t>
      </w:r>
      <w:r w:rsidR="007F1E90">
        <w:t xml:space="preserve"> = number of studies; n = number of participants; </w:t>
      </w:r>
      <w:r w:rsidR="00265D95">
        <w:t>SCD = sickle cell disease</w:t>
      </w:r>
    </w:p>
    <w:p w14:paraId="3B9FC2AD" w14:textId="33E2709C" w:rsidR="00772829" w:rsidRPr="00CE28E3" w:rsidRDefault="00521918" w:rsidP="002A18BE">
      <w:pPr>
        <w:pStyle w:val="Heading2"/>
        <w:numPr>
          <w:ilvl w:val="0"/>
          <w:numId w:val="0"/>
        </w:numPr>
      </w:pPr>
      <w:bookmarkStart w:id="27" w:name="_Toc149736393"/>
      <w:bookmarkEnd w:id="26"/>
      <w:r>
        <w:t>11</w:t>
      </w:r>
      <w:r w:rsidR="00C36633">
        <w:t>.</w:t>
      </w:r>
      <w:r w:rsidR="00C36633">
        <w:tab/>
      </w:r>
      <w:r w:rsidR="00772829" w:rsidRPr="00CE28E3">
        <w:t>Comparative safety</w:t>
      </w:r>
      <w:bookmarkEnd w:id="27"/>
    </w:p>
    <w:p w14:paraId="4959F384" w14:textId="1ADB9024" w:rsidR="00873045" w:rsidRDefault="00873045" w:rsidP="000E3ED2">
      <w:pPr>
        <w:pStyle w:val="Heading4"/>
      </w:pPr>
      <w:r>
        <w:t xml:space="preserve">Physical harms associated with </w:t>
      </w:r>
      <w:proofErr w:type="gramStart"/>
      <w:r w:rsidR="0043424E">
        <w:t>screening</w:t>
      </w:r>
      <w:proofErr w:type="gramEnd"/>
    </w:p>
    <w:p w14:paraId="1601E81B" w14:textId="36F4F6A4" w:rsidR="00E819D0" w:rsidRDefault="001203F5" w:rsidP="00E819D0">
      <w:r>
        <w:t>NBS is performed on peripheral blood extracted from a he</w:t>
      </w:r>
      <w:r w:rsidR="00CB19D1">
        <w:t>e</w:t>
      </w:r>
      <w:r>
        <w:t xml:space="preserve">l prick onto filter paper, and as such is a very safe </w:t>
      </w:r>
      <w:r w:rsidR="008455CD">
        <w:t xml:space="preserve">screening </w:t>
      </w:r>
      <w:r>
        <w:t>test.</w:t>
      </w:r>
      <w:r w:rsidR="002E3A74">
        <w:t xml:space="preserve"> Newborns already undergo a heel prick for blood collection for </w:t>
      </w:r>
      <w:r w:rsidR="00D61355">
        <w:t xml:space="preserve">universal </w:t>
      </w:r>
      <w:r w:rsidR="002E3A74">
        <w:t xml:space="preserve">NBS, and adding haemoglobinopathies to the </w:t>
      </w:r>
      <w:r w:rsidR="00D61355">
        <w:t xml:space="preserve">universal </w:t>
      </w:r>
      <w:r w:rsidR="002E3A74">
        <w:t xml:space="preserve">NBS schedule </w:t>
      </w:r>
      <w:r w:rsidR="000B6450">
        <w:t xml:space="preserve">should </w:t>
      </w:r>
      <w:r w:rsidR="002E3A74">
        <w:t>not require an extra heel prick</w:t>
      </w:r>
      <w:r w:rsidR="008D437A">
        <w:t xml:space="preserve">. Other potential safety considerations for screening are </w:t>
      </w:r>
      <w:r w:rsidR="00A25A85">
        <w:t xml:space="preserve">associated with over-diagnosis or false positive test </w:t>
      </w:r>
      <w:proofErr w:type="gramStart"/>
      <w:r w:rsidR="00A25A85">
        <w:t>results</w:t>
      </w:r>
      <w:r w:rsidR="008D437A">
        <w:t>, but</w:t>
      </w:r>
      <w:proofErr w:type="gramEnd"/>
      <w:r w:rsidR="008D437A">
        <w:t xml:space="preserve"> given the type of disease and the accuracy of the tests, both of these are unlikely</w:t>
      </w:r>
      <w:r w:rsidR="00A25A85">
        <w:t xml:space="preserve">. There may also be </w:t>
      </w:r>
      <w:r>
        <w:t>psychological and social impacts associated with receiving positive test results</w:t>
      </w:r>
      <w:r w:rsidR="008D437A">
        <w:t>; again, these impacts are experienced earlier than with clinical diagnosis, but are not additional</w:t>
      </w:r>
      <w:r>
        <w:t>.</w:t>
      </w:r>
      <w:r w:rsidR="00A25A85">
        <w:t xml:space="preserve"> </w:t>
      </w:r>
      <w:r w:rsidR="008D437A">
        <w:t>The main safety issues relating to NBS therefore are those associated with treatments for SCD received by newborns diagnosed early by NBS that are over and above those received by babies diagnosed at a later age</w:t>
      </w:r>
      <w:r w:rsidR="00CA1A63">
        <w:t xml:space="preserve"> (but noting the harms associated from SCD complications due to non-receipt of guideline recommended prophylaxis are likely to be greater than from the prophylactic interventions themselves)</w:t>
      </w:r>
      <w:r w:rsidR="00B73777">
        <w:t>.</w:t>
      </w:r>
    </w:p>
    <w:p w14:paraId="3717AA01" w14:textId="5293076C" w:rsidR="00772829" w:rsidRPr="00CE28E3" w:rsidRDefault="00C36633" w:rsidP="002A18BE">
      <w:pPr>
        <w:pStyle w:val="Heading2"/>
        <w:numPr>
          <w:ilvl w:val="0"/>
          <w:numId w:val="0"/>
        </w:numPr>
      </w:pPr>
      <w:bookmarkStart w:id="28" w:name="_Toc149736394"/>
      <w:r>
        <w:t>1</w:t>
      </w:r>
      <w:r w:rsidR="00521918">
        <w:t>2</w:t>
      </w:r>
      <w:r>
        <w:t>.</w:t>
      </w:r>
      <w:r>
        <w:tab/>
      </w:r>
      <w:r w:rsidR="00772829" w:rsidRPr="00CE28E3">
        <w:t>Comparative effectiveness</w:t>
      </w:r>
      <w:bookmarkEnd w:id="28"/>
    </w:p>
    <w:p w14:paraId="3EAECE48" w14:textId="6AF97467" w:rsidR="003D28CA" w:rsidRDefault="003D28CA" w:rsidP="003D28CA">
      <w:pPr>
        <w:pStyle w:val="Heading4"/>
      </w:pPr>
      <w:r>
        <w:t>Direct evidence</w:t>
      </w:r>
    </w:p>
    <w:p w14:paraId="4FF51825" w14:textId="18B5D9EB" w:rsidR="00BD450C" w:rsidRDefault="07C09375" w:rsidP="00DB6A8E">
      <w:r>
        <w:t xml:space="preserve">No new direct evidence </w:t>
      </w:r>
      <w:r w:rsidR="0564F725">
        <w:t>data were identified for this FFP overview.</w:t>
      </w:r>
      <w:r w:rsidR="75D92E06" w:rsidRPr="11F8C3E2">
        <w:t xml:space="preserve"> </w:t>
      </w:r>
      <w:r w:rsidR="3E26FF83" w:rsidRPr="11F8C3E2">
        <w:t>For a summary of the direct evidence, please refer to the 1737 PSD (</w:t>
      </w:r>
      <w:proofErr w:type="spellStart"/>
      <w:r w:rsidR="3E26FF83" w:rsidRPr="11F8C3E2">
        <w:t>pg</w:t>
      </w:r>
      <w:proofErr w:type="spellEnd"/>
      <w:r w:rsidR="3E26FF83" w:rsidRPr="11F8C3E2">
        <w:t xml:space="preserve"> 16-20).</w:t>
      </w:r>
      <w:r w:rsidR="75D92E06" w:rsidRPr="00DB6A8E">
        <w:t xml:space="preserve"> </w:t>
      </w:r>
    </w:p>
    <w:p w14:paraId="5C9BD865" w14:textId="105513DB" w:rsidR="00BD450C" w:rsidRDefault="646AF80F" w:rsidP="00BD450C">
      <w:pPr>
        <w:pStyle w:val="Heading4"/>
      </w:pPr>
      <w:r>
        <w:t>Linked evidence</w:t>
      </w:r>
    </w:p>
    <w:p w14:paraId="0C20459E" w14:textId="104F3956" w:rsidR="003F62D9" w:rsidRDefault="00B40509" w:rsidP="00463CBC">
      <w:pPr>
        <w:pStyle w:val="Heading5"/>
      </w:pPr>
      <w:bookmarkStart w:id="29" w:name="_Ref149314623"/>
      <w:r>
        <w:t>Performance of current testing strategies</w:t>
      </w:r>
      <w:bookmarkEnd w:id="29"/>
    </w:p>
    <w:p w14:paraId="5707DAC7" w14:textId="2C99B5C5" w:rsidR="003F62D9" w:rsidRPr="003F62D9" w:rsidRDefault="006402E0" w:rsidP="003F62D9">
      <w:r>
        <w:t>New d</w:t>
      </w:r>
      <w:r w:rsidR="003E5F97">
        <w:t xml:space="preserve">ata from the </w:t>
      </w:r>
      <w:proofErr w:type="spellStart"/>
      <w:r w:rsidR="003E5F97">
        <w:t>HbR</w:t>
      </w:r>
      <w:proofErr w:type="spellEnd"/>
      <w:r w:rsidR="003E5F97">
        <w:t xml:space="preserve"> </w:t>
      </w:r>
      <w:r w:rsidR="00934A2B">
        <w:t xml:space="preserve">indicated that only 47.7% of SCD cases are currently diagnosed prior to symptom onset. </w:t>
      </w:r>
      <w:r w:rsidR="00F92034">
        <w:t>Those identified through targeted testing</w:t>
      </w:r>
      <w:r w:rsidR="00792DFF">
        <w:t xml:space="preserve"> were </w:t>
      </w:r>
      <w:r w:rsidR="004F229D">
        <w:t>diagnosed</w:t>
      </w:r>
      <w:r w:rsidR="00792DFF">
        <w:t xml:space="preserve"> at a median age of </w:t>
      </w:r>
      <w:r w:rsidR="00777F77">
        <w:t>0.</w:t>
      </w:r>
      <w:r w:rsidR="00792DFF">
        <w:t xml:space="preserve">2 </w:t>
      </w:r>
      <w:r w:rsidR="00777F77">
        <w:t>years</w:t>
      </w:r>
      <w:r w:rsidR="00871E1F">
        <w:t xml:space="preserve"> (interquartile range</w:t>
      </w:r>
      <w:r w:rsidR="00777F77">
        <w:t>, IQR =</w:t>
      </w:r>
      <w:r w:rsidR="00871E1F">
        <w:t xml:space="preserve"> 0.0, 0.5</w:t>
      </w:r>
      <w:r w:rsidR="00777F77">
        <w:t xml:space="preserve"> years)</w:t>
      </w:r>
      <w:r w:rsidR="00B123DD">
        <w:t xml:space="preserve"> or 2.4 months</w:t>
      </w:r>
      <w:r w:rsidR="00792DFF">
        <w:t>, whereas those diagnosed after symptom onset were diagnosed at a median of 1.3</w:t>
      </w:r>
      <w:r w:rsidR="00BE52E9">
        <w:t xml:space="preserve"> </w:t>
      </w:r>
      <w:r w:rsidR="00792DFF">
        <w:t>years</w:t>
      </w:r>
      <w:r w:rsidR="00FC74E5">
        <w:t xml:space="preserve"> </w:t>
      </w:r>
      <w:r w:rsidR="00777F77">
        <w:t xml:space="preserve">(IQR = </w:t>
      </w:r>
      <w:r w:rsidR="002540D3">
        <w:t>0.8, 3.0)</w:t>
      </w:r>
      <w:r w:rsidR="00D85FD6">
        <w:t xml:space="preserve"> or 15.6 months</w:t>
      </w:r>
      <w:r w:rsidR="00C31583">
        <w:t xml:space="preserve">. This </w:t>
      </w:r>
      <w:r w:rsidR="00C84D23">
        <w:t xml:space="preserve">median age of </w:t>
      </w:r>
      <w:r w:rsidR="00C31583">
        <w:t xml:space="preserve">15.6 months </w:t>
      </w:r>
      <w:r w:rsidR="00C84D23">
        <w:t xml:space="preserve">for symptomatic diagnosis </w:t>
      </w:r>
      <w:r w:rsidR="00C31583">
        <w:t xml:space="preserve">was </w:t>
      </w:r>
      <w:r w:rsidR="00B309BB">
        <w:t xml:space="preserve">an increase from the 9.6 months </w:t>
      </w:r>
      <w:r w:rsidR="00C84D23">
        <w:t>used</w:t>
      </w:r>
      <w:r w:rsidR="00C31583">
        <w:t xml:space="preserve"> </w:t>
      </w:r>
      <w:r w:rsidR="00EC23B7">
        <w:t>in the 1737 DCAR</w:t>
      </w:r>
      <w:r w:rsidR="00C743ED">
        <w:t xml:space="preserve">. </w:t>
      </w:r>
      <w:r w:rsidR="00C70648">
        <w:t xml:space="preserve">These data were derived from </w:t>
      </w:r>
      <w:r w:rsidR="00192806">
        <w:t>SCD cases born in Australia</w:t>
      </w:r>
      <w:r w:rsidR="007859B5">
        <w:t xml:space="preserve">, </w:t>
      </w:r>
      <w:r w:rsidR="009F2EA3">
        <w:t xml:space="preserve">either children or adults, </w:t>
      </w:r>
      <w:r w:rsidR="00B36265">
        <w:t xml:space="preserve">and may not be comprehensive. The median </w:t>
      </w:r>
      <w:r w:rsidR="00D565C2">
        <w:t xml:space="preserve">current </w:t>
      </w:r>
      <w:r w:rsidR="00B36265">
        <w:t xml:space="preserve">age of the </w:t>
      </w:r>
      <w:r w:rsidR="00BF0D47">
        <w:t xml:space="preserve">cases included </w:t>
      </w:r>
      <w:r w:rsidR="001F6C78">
        <w:t>wa</w:t>
      </w:r>
      <w:r w:rsidR="00BF0D47">
        <w:t xml:space="preserve">s 15.0 years (IQR 7.6, 25.0) for those diagnosed at or after symptom onset, and </w:t>
      </w:r>
      <w:r w:rsidR="00820586">
        <w:t>12.1 years (IQR 7.1, 15.2) for those diagnosed through targeted testin</w:t>
      </w:r>
      <w:r w:rsidR="00820586" w:rsidRPr="000C61CC">
        <w:t xml:space="preserve">g. </w:t>
      </w:r>
      <w:r w:rsidR="008F30E8" w:rsidRPr="000C61CC">
        <w:t xml:space="preserve">It is unclear </w:t>
      </w:r>
      <w:r w:rsidR="000550AE" w:rsidRPr="000C61CC">
        <w:t>the degree to which clinical practice</w:t>
      </w:r>
      <w:r w:rsidR="00906C57" w:rsidRPr="000C61CC">
        <w:t>, or the rate of targeted testing</w:t>
      </w:r>
      <w:r w:rsidR="000550AE" w:rsidRPr="000C61CC">
        <w:t xml:space="preserve"> has changed </w:t>
      </w:r>
      <w:r w:rsidR="0018579F" w:rsidRPr="000C61CC">
        <w:t xml:space="preserve">since this cohort </w:t>
      </w:r>
      <w:r w:rsidR="00906C57" w:rsidRPr="000C61CC">
        <w:t xml:space="preserve">was born (given some participants </w:t>
      </w:r>
      <w:r w:rsidR="005A2DD0">
        <w:t>we</w:t>
      </w:r>
      <w:r w:rsidR="00906C57" w:rsidRPr="000C61CC">
        <w:t>re older than 25 years of age</w:t>
      </w:r>
      <w:r w:rsidR="003F42B9">
        <w:t xml:space="preserve">, and </w:t>
      </w:r>
      <w:r w:rsidR="00B722BF">
        <w:t xml:space="preserve">older cases </w:t>
      </w:r>
      <w:r w:rsidR="006D7BB1">
        <w:t>may</w:t>
      </w:r>
      <w:r w:rsidR="00B722BF">
        <w:t xml:space="preserve"> have been diagnosed after symptom onset</w:t>
      </w:r>
      <w:r w:rsidR="005A2DD0">
        <w:t xml:space="preserve"> rather</w:t>
      </w:r>
      <w:r w:rsidR="00B722BF">
        <w:t xml:space="preserve"> than by targeted testing</w:t>
      </w:r>
      <w:r w:rsidR="00906C57" w:rsidRPr="000C61CC">
        <w:t xml:space="preserve">). </w:t>
      </w:r>
    </w:p>
    <w:p w14:paraId="741F0F8D" w14:textId="65FDB5C5" w:rsidR="00F32793" w:rsidRDefault="00A634E2" w:rsidP="00463CBC">
      <w:pPr>
        <w:pStyle w:val="Heading5"/>
      </w:pPr>
      <w:r>
        <w:t xml:space="preserve">Performance </w:t>
      </w:r>
      <w:r w:rsidR="003F62D9">
        <w:t>of NBS for SCD</w:t>
      </w:r>
    </w:p>
    <w:p w14:paraId="433FA19C" w14:textId="507901A7" w:rsidR="009554E5" w:rsidRDefault="009554E5" w:rsidP="00031B5C">
      <w:r>
        <w:t xml:space="preserve">No new data on the accuracy of screening for SCD were collated for this FFP overview. </w:t>
      </w:r>
      <w:r w:rsidR="009D0F8C">
        <w:t>From DCAR 1737,</w:t>
      </w:r>
      <w:r w:rsidR="00E4782E">
        <w:t xml:space="preserve"> </w:t>
      </w:r>
      <w:r w:rsidR="001071E0">
        <w:t xml:space="preserve">the evidence suggests that </w:t>
      </w:r>
      <w:r w:rsidR="00E4782E">
        <w:t>NBS</w:t>
      </w:r>
      <w:r w:rsidR="001071E0">
        <w:t xml:space="preserve"> for SCD is likely to </w:t>
      </w:r>
      <w:r w:rsidR="00E4782E">
        <w:t xml:space="preserve">detect </w:t>
      </w:r>
      <w:r w:rsidR="00AE6368">
        <w:t xml:space="preserve">100% </w:t>
      </w:r>
      <w:r w:rsidR="00FE30ED">
        <w:t>of cases</w:t>
      </w:r>
      <w:r w:rsidR="0030048B">
        <w:t xml:space="preserve">, with only a </w:t>
      </w:r>
      <w:r w:rsidR="00E92E1A">
        <w:t xml:space="preserve">very </w:t>
      </w:r>
      <w:r w:rsidR="0030048B">
        <w:t>small number of “false positives” (</w:t>
      </w:r>
      <w:r w:rsidR="00A04F7C">
        <w:t>due to other haemoglobin abnormalities being detected)</w:t>
      </w:r>
      <w:r w:rsidR="00E4782E">
        <w:t xml:space="preserve">. </w:t>
      </w:r>
    </w:p>
    <w:p w14:paraId="64EB6E1E" w14:textId="54F47054" w:rsidR="00C72C8B" w:rsidRDefault="006A0D2B" w:rsidP="00C72C8B">
      <w:r>
        <w:t>Five studies were identified</w:t>
      </w:r>
      <w:r w:rsidDel="00BD2A46">
        <w:t xml:space="preserve"> </w:t>
      </w:r>
      <w:r w:rsidR="00BD2A46">
        <w:t xml:space="preserve">that </w:t>
      </w:r>
      <w:r>
        <w:t xml:space="preserve">provided an estimate of the sensitivity and specificity of </w:t>
      </w:r>
      <w:proofErr w:type="gramStart"/>
      <w:r>
        <w:t>first-tier</w:t>
      </w:r>
      <w:proofErr w:type="gramEnd"/>
      <w:r>
        <w:t xml:space="preserve"> SCD screening.</w:t>
      </w:r>
      <w:r w:rsidR="009871CC">
        <w:t xml:space="preserve"> T</w:t>
      </w:r>
      <w:r w:rsidR="00BA4920">
        <w:t>hree</w:t>
      </w:r>
      <w:r w:rsidR="009871CC">
        <w:t xml:space="preserve"> studies could report only presumptive sensitivity and specificity as</w:t>
      </w:r>
      <w:r w:rsidR="00CB19D1">
        <w:t xml:space="preserve"> not</w:t>
      </w:r>
      <w:r w:rsidR="009871CC">
        <w:t xml:space="preserve"> all babies were given second tier testing</w:t>
      </w:r>
      <w:r w:rsidR="00690046">
        <w:t xml:space="preserve"> (the absence of false negatives was presumed by the lack of children being diagnosed upon symptom onset </w:t>
      </w:r>
      <w:proofErr w:type="gramStart"/>
      <w:r w:rsidR="00690046">
        <w:t>at a later da</w:t>
      </w:r>
      <w:r w:rsidR="00200915">
        <w:t>te</w:t>
      </w:r>
      <w:proofErr w:type="gramEnd"/>
      <w:r w:rsidR="00200915">
        <w:t>)</w:t>
      </w:r>
      <w:r w:rsidR="009871CC">
        <w:t>. For SCD diagnosis</w:t>
      </w:r>
      <w:r w:rsidR="005908AD">
        <w:t xml:space="preserve"> overall</w:t>
      </w:r>
      <w:r w:rsidR="009871CC">
        <w:t>, sensitivity was 100%, and specificity ranged from &gt;99% to 100% across the studies</w:t>
      </w:r>
      <w:r w:rsidR="005908AD">
        <w:t xml:space="preserve"> (</w:t>
      </w:r>
      <w:fldSimple w:instr=" REF _Ref158108464 ">
        <w:r w:rsidR="007D770C">
          <w:t xml:space="preserve">Table </w:t>
        </w:r>
        <w:r w:rsidR="007D770C">
          <w:rPr>
            <w:noProof/>
          </w:rPr>
          <w:t>5</w:t>
        </w:r>
      </w:fldSimple>
      <w:r w:rsidR="005908AD">
        <w:t>)</w:t>
      </w:r>
      <w:r w:rsidR="009871CC">
        <w:t xml:space="preserve">. The overall GRADE for the accuracy of first-tier testing for SCD was moderate </w:t>
      </w:r>
      <w:r w:rsidR="00A844E5">
        <w:t xml:space="preserve">for </w:t>
      </w:r>
      <w:r w:rsidR="009871CC">
        <w:t>certainty, rated down due to the risk of bias, with t</w:t>
      </w:r>
      <w:r w:rsidR="002939AE">
        <w:t>hree</w:t>
      </w:r>
      <w:r w:rsidR="009871CC">
        <w:t xml:space="preserve"> out of five studies having verification bias. </w:t>
      </w:r>
      <w:bookmarkStart w:id="30" w:name="_Ref128572203"/>
      <w:r w:rsidR="00C72C8B">
        <w:br w:type="page"/>
      </w:r>
    </w:p>
    <w:p w14:paraId="23CE3224" w14:textId="6BF6666D" w:rsidR="005004BE" w:rsidRPr="004E0488" w:rsidRDefault="004E0488" w:rsidP="005004BE">
      <w:pPr>
        <w:pStyle w:val="Caption"/>
      </w:pPr>
      <w:bookmarkStart w:id="31" w:name="_Ref158108464"/>
      <w:r>
        <w:t xml:space="preserve">Table </w:t>
      </w:r>
      <w:r>
        <w:fldChar w:fldCharType="begin"/>
      </w:r>
      <w:r>
        <w:instrText>SEQ Table \* ARABIC</w:instrText>
      </w:r>
      <w:r>
        <w:fldChar w:fldCharType="separate"/>
      </w:r>
      <w:r w:rsidR="007D770C">
        <w:rPr>
          <w:noProof/>
        </w:rPr>
        <w:t>5</w:t>
      </w:r>
      <w:r>
        <w:fldChar w:fldCharType="end"/>
      </w:r>
      <w:bookmarkEnd w:id="30"/>
      <w:bookmarkEnd w:id="31"/>
      <w:r>
        <w:tab/>
        <w:t xml:space="preserve">Studies </w:t>
      </w:r>
      <w:r w:rsidR="00BF5511">
        <w:t>reporting the</w:t>
      </w:r>
      <w:r>
        <w:t xml:space="preserve"> sensitivity and specificity of NBS for SCD </w:t>
      </w:r>
    </w:p>
    <w:tbl>
      <w:tblPr>
        <w:tblStyle w:val="TableGrid"/>
        <w:tblW w:w="9161" w:type="dxa"/>
        <w:tblLayout w:type="fixed"/>
        <w:tblLook w:val="04A0" w:firstRow="1" w:lastRow="0" w:firstColumn="1" w:lastColumn="0" w:noHBand="0" w:noVBand="1"/>
      </w:tblPr>
      <w:tblGrid>
        <w:gridCol w:w="1413"/>
        <w:gridCol w:w="1984"/>
        <w:gridCol w:w="2127"/>
        <w:gridCol w:w="1417"/>
        <w:gridCol w:w="1418"/>
        <w:gridCol w:w="802"/>
      </w:tblGrid>
      <w:tr w:rsidR="005004BE" w14:paraId="145B80F5" w14:textId="77777777">
        <w:trPr>
          <w:tblHeader/>
        </w:trPr>
        <w:tc>
          <w:tcPr>
            <w:tcW w:w="1413" w:type="dxa"/>
          </w:tcPr>
          <w:p w14:paraId="386664A6" w14:textId="77777777" w:rsidR="005004BE" w:rsidRDefault="005004BE" w:rsidP="00966A31">
            <w:pPr>
              <w:pStyle w:val="In-tableHeading"/>
            </w:pPr>
            <w:r>
              <w:t>Study</w:t>
            </w:r>
          </w:p>
          <w:p w14:paraId="4B3003EA" w14:textId="77777777" w:rsidR="005004BE" w:rsidRPr="008E06E7" w:rsidRDefault="005004BE" w:rsidP="00966A31">
            <w:pPr>
              <w:pStyle w:val="In-tableHeading"/>
            </w:pPr>
            <w:r>
              <w:t>Population (n)</w:t>
            </w:r>
          </w:p>
        </w:tc>
        <w:tc>
          <w:tcPr>
            <w:tcW w:w="1984" w:type="dxa"/>
          </w:tcPr>
          <w:p w14:paraId="0C1314CF" w14:textId="77777777" w:rsidR="005004BE" w:rsidRDefault="005004BE" w:rsidP="00966A31">
            <w:pPr>
              <w:pStyle w:val="In-tableHeading"/>
            </w:pPr>
            <w:r>
              <w:t>1</w:t>
            </w:r>
            <w:r w:rsidRPr="004C14A4">
              <w:rPr>
                <w:vertAlign w:val="superscript"/>
              </w:rPr>
              <w:t>st</w:t>
            </w:r>
            <w:r>
              <w:t xml:space="preserve"> tier screen</w:t>
            </w:r>
          </w:p>
          <w:p w14:paraId="5311F2C9" w14:textId="77777777" w:rsidR="005004BE" w:rsidRDefault="005004BE" w:rsidP="00966A31">
            <w:pPr>
              <w:pStyle w:val="In-tableHeading"/>
            </w:pPr>
            <w:r>
              <w:t>1</w:t>
            </w:r>
            <w:r w:rsidRPr="004C14A4">
              <w:rPr>
                <w:vertAlign w:val="superscript"/>
              </w:rPr>
              <w:t>st</w:t>
            </w:r>
            <w:r>
              <w:t xml:space="preserve"> tier results</w:t>
            </w:r>
          </w:p>
        </w:tc>
        <w:tc>
          <w:tcPr>
            <w:tcW w:w="2127" w:type="dxa"/>
          </w:tcPr>
          <w:p w14:paraId="729BDB96" w14:textId="77777777" w:rsidR="005004BE" w:rsidRDefault="005004BE" w:rsidP="00966A31">
            <w:pPr>
              <w:pStyle w:val="In-tableHeading"/>
            </w:pPr>
            <w:r>
              <w:t>2</w:t>
            </w:r>
            <w:r w:rsidRPr="004C14A4">
              <w:rPr>
                <w:vertAlign w:val="superscript"/>
              </w:rPr>
              <w:t>nd</w:t>
            </w:r>
            <w:r>
              <w:t xml:space="preserve"> tier screen</w:t>
            </w:r>
          </w:p>
          <w:p w14:paraId="60441023" w14:textId="77777777" w:rsidR="005004BE" w:rsidRDefault="005004BE" w:rsidP="00966A31">
            <w:pPr>
              <w:pStyle w:val="In-tableHeading"/>
            </w:pPr>
            <w:r>
              <w:t>2</w:t>
            </w:r>
            <w:r w:rsidRPr="004C14A4">
              <w:rPr>
                <w:vertAlign w:val="superscript"/>
              </w:rPr>
              <w:t>nd</w:t>
            </w:r>
            <w:r>
              <w:t xml:space="preserve"> tier results</w:t>
            </w:r>
          </w:p>
        </w:tc>
        <w:tc>
          <w:tcPr>
            <w:tcW w:w="1417" w:type="dxa"/>
          </w:tcPr>
          <w:p w14:paraId="2E2BF84A" w14:textId="77777777" w:rsidR="005004BE" w:rsidRDefault="005004BE" w:rsidP="00966A31">
            <w:pPr>
              <w:pStyle w:val="In-tableHeading"/>
            </w:pPr>
            <w:r>
              <w:t>Sensitivity</w:t>
            </w:r>
          </w:p>
        </w:tc>
        <w:tc>
          <w:tcPr>
            <w:tcW w:w="1418" w:type="dxa"/>
          </w:tcPr>
          <w:p w14:paraId="67E10619" w14:textId="77777777" w:rsidR="005004BE" w:rsidRDefault="005004BE" w:rsidP="00966A31">
            <w:pPr>
              <w:pStyle w:val="In-tableHeading"/>
            </w:pPr>
            <w:r>
              <w:t>Specificity</w:t>
            </w:r>
          </w:p>
        </w:tc>
        <w:tc>
          <w:tcPr>
            <w:tcW w:w="802" w:type="dxa"/>
          </w:tcPr>
          <w:p w14:paraId="3EB3D768" w14:textId="483E1736" w:rsidR="005004BE" w:rsidRDefault="005004BE" w:rsidP="00966A31">
            <w:pPr>
              <w:pStyle w:val="In-tableHeading"/>
            </w:pPr>
            <w:r>
              <w:t>PPV</w:t>
            </w:r>
            <w:r>
              <w:br/>
              <w:t>/</w:t>
            </w:r>
            <w:proofErr w:type="spellStart"/>
            <w:r>
              <w:t>NPV</w:t>
            </w:r>
            <w:r w:rsidR="004E0488">
              <w:rPr>
                <w:vertAlign w:val="superscript"/>
              </w:rPr>
              <w:t>a</w:t>
            </w:r>
            <w:proofErr w:type="spellEnd"/>
          </w:p>
        </w:tc>
      </w:tr>
      <w:tr w:rsidR="005004BE" w14:paraId="514C3942" w14:textId="77777777">
        <w:trPr>
          <w:trHeight w:val="653"/>
        </w:trPr>
        <w:tc>
          <w:tcPr>
            <w:tcW w:w="1413" w:type="dxa"/>
            <w:vMerge w:val="restart"/>
          </w:tcPr>
          <w:p w14:paraId="156EF81F" w14:textId="798B2DCE" w:rsidR="005004BE" w:rsidRDefault="005004BE" w:rsidP="00966A31">
            <w:pPr>
              <w:pStyle w:val="TableText"/>
              <w:spacing w:before="0" w:after="0"/>
            </w:pPr>
            <w:r>
              <w:fldChar w:fldCharType="begin">
                <w:fldData xml:space="preserve">PEVuZE5vdGU+PENpdGU+PEF1dGhvcj5Gcm9tbWVsPC9BdXRob3I+PFllYXI+MjAxNDwvWWVhcj48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</w:fldData>
              </w:fldChar>
            </w:r>
            <w:r>
              <w:instrText xml:space="preserve"> ADDIN EN.CITE </w:instrText>
            </w:r>
            <w:r>
              <w:fldChar w:fldCharType="begin">
                <w:fldData xml:space="preserve">PEVuZE5vdGU+PENpdGU+PEF1dGhvcj5Gcm9tbWVsPC9BdXRob3I+PFllYXI+MjAxNDwvWWVhcj48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</w:fldData>
              </w:fldChar>
            </w:r>
            <w:r>
              <w:instrText xml:space="preserve"> ADDIN EN.CITE.DATA </w:instrText>
            </w:r>
            <w:r>
              <w:fldChar w:fldCharType="end"/>
            </w:r>
            <w:r>
              <w:fldChar w:fldCharType="separate"/>
            </w:r>
            <w:r>
              <w:rPr>
                <w:noProof/>
              </w:rPr>
              <w:t>(Frommel et al. 2014)</w:t>
            </w:r>
            <w:r>
              <w:fldChar w:fldCharType="end"/>
            </w:r>
            <w:r w:rsidR="00114D1C">
              <w:rPr>
                <w:rStyle w:val="FootnoteReference"/>
              </w:rPr>
              <w:footnoteReference w:id="17"/>
            </w:r>
          </w:p>
          <w:p w14:paraId="5D316AD1" w14:textId="77777777" w:rsidR="005004BE" w:rsidRDefault="005004BE" w:rsidP="00966A31">
            <w:pPr>
              <w:pStyle w:val="TableText"/>
              <w:spacing w:before="0" w:after="0"/>
            </w:pPr>
            <w:r>
              <w:t>Germany</w:t>
            </w:r>
          </w:p>
          <w:p w14:paraId="4BDBBE8C" w14:textId="37FAAB5E" w:rsidR="005004BE" w:rsidRDefault="005004BE" w:rsidP="00966A31">
            <w:pPr>
              <w:pStyle w:val="TableText"/>
              <w:spacing w:before="0" w:after="0"/>
              <w:ind w:right="-113"/>
            </w:pPr>
            <w:r>
              <w:t>N=34,08</w:t>
            </w:r>
            <w:r w:rsidR="00C23387">
              <w:t>4</w:t>
            </w:r>
            <w:r>
              <w:t xml:space="preserve"> newborns</w:t>
            </w:r>
          </w:p>
        </w:tc>
        <w:tc>
          <w:tcPr>
            <w:tcW w:w="1984" w:type="dxa"/>
          </w:tcPr>
          <w:p w14:paraId="4829ECE8" w14:textId="77777777" w:rsidR="005004BE" w:rsidRPr="0067529E" w:rsidRDefault="005004BE" w:rsidP="00966A31">
            <w:pPr>
              <w:pStyle w:val="TableText"/>
              <w:spacing w:before="0" w:after="0"/>
              <w:rPr>
                <w:b/>
              </w:rPr>
            </w:pPr>
            <w:r w:rsidRPr="0067529E">
              <w:rPr>
                <w:b/>
              </w:rPr>
              <w:t>HPLC</w:t>
            </w:r>
          </w:p>
        </w:tc>
        <w:tc>
          <w:tcPr>
            <w:tcW w:w="2127" w:type="dxa"/>
          </w:tcPr>
          <w:p w14:paraId="0B725747" w14:textId="77777777" w:rsidR="005004BE" w:rsidRPr="0067529E" w:rsidRDefault="005004BE" w:rsidP="00966A31">
            <w:pPr>
              <w:pStyle w:val="TableText"/>
              <w:spacing w:before="0" w:after="0"/>
              <w:rPr>
                <w:b/>
              </w:rPr>
            </w:pPr>
            <w:r w:rsidRPr="0067529E">
              <w:rPr>
                <w:b/>
              </w:rPr>
              <w:t xml:space="preserve">CE </w:t>
            </w:r>
          </w:p>
          <w:p w14:paraId="3C8AEDD9" w14:textId="77777777" w:rsidR="005004BE" w:rsidRDefault="005004BE" w:rsidP="00966A31">
            <w:pPr>
              <w:pStyle w:val="TableText"/>
              <w:spacing w:before="0" w:after="0"/>
            </w:pPr>
            <w:r>
              <w:t>If +</w:t>
            </w:r>
            <w:proofErr w:type="spellStart"/>
            <w:r>
              <w:t>ve</w:t>
            </w:r>
            <w:proofErr w:type="spellEnd"/>
            <w:r>
              <w:t>: genetic analysis</w:t>
            </w:r>
          </w:p>
        </w:tc>
        <w:tc>
          <w:tcPr>
            <w:tcW w:w="1417" w:type="dxa"/>
            <w:vMerge w:val="restart"/>
          </w:tcPr>
          <w:p w14:paraId="38D37A5F" w14:textId="77777777" w:rsidR="005004BE" w:rsidRPr="00996C43" w:rsidRDefault="005004BE" w:rsidP="00966A31">
            <w:pPr>
              <w:pStyle w:val="TableText"/>
              <w:spacing w:before="0" w:after="0"/>
              <w:rPr>
                <w:vertAlign w:val="superscript"/>
              </w:rPr>
            </w:pPr>
            <w:r>
              <w:t>100% (presumptive)</w:t>
            </w:r>
            <w:r>
              <w:rPr>
                <w:vertAlign w:val="superscript"/>
              </w:rPr>
              <w:t>a</w:t>
            </w:r>
          </w:p>
        </w:tc>
        <w:tc>
          <w:tcPr>
            <w:tcW w:w="1418" w:type="dxa"/>
            <w:vMerge w:val="restart"/>
          </w:tcPr>
          <w:p w14:paraId="240A4E81" w14:textId="77777777" w:rsidR="005004BE" w:rsidRPr="00996C43" w:rsidRDefault="005004BE" w:rsidP="00966A31">
            <w:pPr>
              <w:pStyle w:val="TableText"/>
              <w:spacing w:before="0" w:after="0"/>
              <w:rPr>
                <w:vertAlign w:val="superscript"/>
              </w:rPr>
            </w:pPr>
            <w:r>
              <w:t>100% (presumptive)</w:t>
            </w:r>
            <w:r>
              <w:rPr>
                <w:vertAlign w:val="superscript"/>
              </w:rPr>
              <w:t>a</w:t>
            </w:r>
          </w:p>
        </w:tc>
        <w:tc>
          <w:tcPr>
            <w:tcW w:w="802" w:type="dxa"/>
            <w:vMerge w:val="restart"/>
          </w:tcPr>
          <w:p w14:paraId="3A7262FC" w14:textId="77777777" w:rsidR="005004BE" w:rsidRDefault="005004BE" w:rsidP="00966A31">
            <w:pPr>
              <w:pStyle w:val="TableText"/>
              <w:spacing w:before="0" w:after="0"/>
            </w:pPr>
            <w:r>
              <w:t>100% / 100%</w:t>
            </w:r>
          </w:p>
        </w:tc>
      </w:tr>
      <w:tr w:rsidR="005004BE" w14:paraId="14AE1101" w14:textId="77777777">
        <w:trPr>
          <w:trHeight w:val="1397"/>
        </w:trPr>
        <w:tc>
          <w:tcPr>
            <w:tcW w:w="1413" w:type="dxa"/>
            <w:vMerge/>
          </w:tcPr>
          <w:p w14:paraId="743D7F67" w14:textId="77777777" w:rsidR="005004BE" w:rsidRPr="00A42D14" w:rsidRDefault="005004BE" w:rsidP="00966A31">
            <w:pPr>
              <w:pStyle w:val="TableText"/>
              <w:spacing w:before="0" w:after="0"/>
            </w:pPr>
          </w:p>
        </w:tc>
        <w:tc>
          <w:tcPr>
            <w:tcW w:w="1984" w:type="dxa"/>
          </w:tcPr>
          <w:p w14:paraId="764D77DE" w14:textId="77777777" w:rsidR="005004BE" w:rsidRDefault="005004BE" w:rsidP="00966A31">
            <w:pPr>
              <w:pStyle w:val="TableText"/>
              <w:spacing w:before="0" w:after="0"/>
            </w:pPr>
            <w:r>
              <w:t>14 SCD +</w:t>
            </w:r>
            <w:proofErr w:type="spellStart"/>
            <w:r>
              <w:t>ve</w:t>
            </w:r>
            <w:proofErr w:type="spellEnd"/>
          </w:p>
          <w:p w14:paraId="14FC7DC1" w14:textId="77777777" w:rsidR="005004BE" w:rsidRDefault="005004BE" w:rsidP="00966A31">
            <w:pPr>
              <w:pStyle w:val="TableText"/>
              <w:spacing w:before="0" w:after="0"/>
            </w:pPr>
            <w:r>
              <w:t>34,070 SCD -</w:t>
            </w:r>
            <w:proofErr w:type="spellStart"/>
            <w:r>
              <w:t>ve</w:t>
            </w:r>
            <w:proofErr w:type="spellEnd"/>
            <w:r>
              <w:t xml:space="preserve"> (including 236 heterozygous for Hb variants)</w:t>
            </w:r>
          </w:p>
        </w:tc>
        <w:tc>
          <w:tcPr>
            <w:tcW w:w="2127" w:type="dxa"/>
          </w:tcPr>
          <w:p w14:paraId="35712390" w14:textId="77777777" w:rsidR="005004BE" w:rsidRDefault="005004BE" w:rsidP="00966A31">
            <w:pPr>
              <w:pStyle w:val="TableText"/>
              <w:spacing w:before="0" w:after="0"/>
            </w:pPr>
            <w:r>
              <w:t>CE: 14 SCD +</w:t>
            </w:r>
            <w:proofErr w:type="spellStart"/>
            <w:r>
              <w:t>ve</w:t>
            </w:r>
            <w:proofErr w:type="spellEnd"/>
          </w:p>
          <w:p w14:paraId="506E2BF8" w14:textId="64F97308" w:rsidR="005004BE" w:rsidRDefault="005004BE" w:rsidP="00966A31">
            <w:pPr>
              <w:pStyle w:val="TableText"/>
              <w:spacing w:before="0" w:after="0"/>
            </w:pPr>
            <w:r>
              <w:t xml:space="preserve">Genetic: 13 SCD </w:t>
            </w:r>
            <w:r w:rsidR="005C2026">
              <w:t>+</w:t>
            </w:r>
            <w:proofErr w:type="spellStart"/>
            <w:r w:rsidR="005C2026">
              <w:t>ve</w:t>
            </w:r>
            <w:proofErr w:type="spellEnd"/>
          </w:p>
          <w:p w14:paraId="2D99AF13" w14:textId="77777777" w:rsidR="005004BE" w:rsidRDefault="005004BE" w:rsidP="00966A31">
            <w:pPr>
              <w:pStyle w:val="TableText"/>
              <w:spacing w:before="0" w:after="0"/>
            </w:pPr>
            <w:r>
              <w:t>1 SCD/ β-thalassaemia</w:t>
            </w:r>
          </w:p>
          <w:p w14:paraId="7BDE278B" w14:textId="77777777" w:rsidR="005004BE" w:rsidRDefault="005004BE" w:rsidP="00966A31">
            <w:pPr>
              <w:pStyle w:val="TableText"/>
              <w:spacing w:before="0" w:after="0"/>
            </w:pPr>
            <w:r>
              <w:t>No -</w:t>
            </w:r>
            <w:proofErr w:type="spellStart"/>
            <w:r>
              <w:t>ve</w:t>
            </w:r>
            <w:proofErr w:type="spellEnd"/>
            <w:r>
              <w:t xml:space="preserve"> babies known to have SCD. </w:t>
            </w:r>
          </w:p>
        </w:tc>
        <w:tc>
          <w:tcPr>
            <w:tcW w:w="1417" w:type="dxa"/>
            <w:vMerge/>
          </w:tcPr>
          <w:p w14:paraId="149FEFD1" w14:textId="77777777" w:rsidR="005004BE" w:rsidRDefault="005004BE" w:rsidP="00966A31">
            <w:pPr>
              <w:pStyle w:val="TableText"/>
              <w:spacing w:before="0" w:after="0"/>
            </w:pPr>
          </w:p>
        </w:tc>
        <w:tc>
          <w:tcPr>
            <w:tcW w:w="1418" w:type="dxa"/>
            <w:vMerge/>
          </w:tcPr>
          <w:p w14:paraId="56BFE331" w14:textId="77777777" w:rsidR="005004BE" w:rsidRDefault="005004BE" w:rsidP="00966A31">
            <w:pPr>
              <w:pStyle w:val="TableText"/>
              <w:spacing w:before="0" w:after="0"/>
            </w:pPr>
          </w:p>
        </w:tc>
        <w:tc>
          <w:tcPr>
            <w:tcW w:w="802" w:type="dxa"/>
            <w:vMerge/>
          </w:tcPr>
          <w:p w14:paraId="1A7BA678" w14:textId="77777777" w:rsidR="005004BE" w:rsidRDefault="005004BE" w:rsidP="00966A31">
            <w:pPr>
              <w:pStyle w:val="TableText"/>
              <w:spacing w:before="0" w:after="0"/>
            </w:pPr>
          </w:p>
        </w:tc>
      </w:tr>
      <w:tr w:rsidR="005004BE" w14:paraId="265255DA" w14:textId="77777777">
        <w:trPr>
          <w:trHeight w:val="1368"/>
        </w:trPr>
        <w:tc>
          <w:tcPr>
            <w:tcW w:w="1413" w:type="dxa"/>
            <w:vMerge w:val="restart"/>
          </w:tcPr>
          <w:p w14:paraId="74CF0ACF" w14:textId="16295601" w:rsidR="005004BE" w:rsidRDefault="005004BE" w:rsidP="00966A31">
            <w:pPr>
              <w:pStyle w:val="TableText"/>
              <w:spacing w:before="0" w:after="0"/>
            </w:pPr>
            <w:r>
              <w:fldChar w:fldCharType="begin"/>
            </w:r>
            <w:r>
              <w:instrText xml:space="preserve"> ADDIN EN.CITE &lt;EndNote&gt;&lt;Cite&gt;&lt;Author&gt;Campbell&lt;/Author&gt;&lt;Year&gt;1999&lt;/Year&gt;&lt;RecNum&gt;10&lt;/RecNum&gt;&lt;IDText&gt;969-75&lt;/IDText&gt;&lt;DisplayText&gt;(Campbell, Henthorn &amp;amp; Davies 1999)&lt;/DisplayText&gt;&lt;record&gt;&lt;rec-number&gt;10&lt;/rec-number&gt;&lt;foreign-keys&gt;&lt;key app="EN" db-id="p2fpwezd8trtaled22npdf09fsdtp5f5w5ar" timestamp="1663632377"&gt;10&lt;/key&gt;&lt;/foreign-keys&gt;&lt;ref-type name="Journal Article"&gt;17&lt;/ref-type&gt;&lt;contributors&gt;&lt;authors&gt;&lt;author&gt;Campbell, M.&lt;/author&gt;&lt;author&gt;Henthorn, J. S.&lt;/author&gt;&lt;author&gt;Davies, S. C.&lt;/author&gt;&lt;/authors&gt;&lt;/contributors&gt;&lt;auth-address&gt;Department of Haematology and Imperial College School of Medicine, Central Middlesex Hospital, Acton Lane, London NW10 7NS, UK.&lt;/auth-address&gt;&lt;titles&gt;&lt;title&gt;Evaluation of cation-exchange HPLC compared with isoelectric focusing for neonatal hemoglobinopathy screening&lt;/title&gt;&lt;secondary-title&gt;Clin Chem&lt;/secondary-title&gt;&lt;alt-title&gt;Clinical chemistry&lt;/alt-title&gt;&lt;/titles&gt;&lt;periodical&gt;&lt;full-title&gt;Clin Chem&lt;/full-title&gt;&lt;abbr-1&gt;Clinical chemistry&lt;/abbr-1&gt;&lt;/periodical&gt;&lt;alt-periodical&gt;&lt;full-title&gt;Clin Chem&lt;/full-title&gt;&lt;abbr-1&gt;Clinical chemistry&lt;/abbr-1&gt;&lt;/alt-periodical&gt;&lt;pages&gt;969-75&lt;/pages&gt;&lt;volume&gt;45&lt;/volume&gt;&lt;number&gt;7&lt;/number&gt;&lt;edition&gt;1999/07/01&lt;/edition&gt;&lt;keywords&gt;&lt;keyword&gt;Chromatography, High Pressure Liquid&lt;/keyword&gt;&lt;keyword&gt;Chromatography, Ion Exchange&lt;/keyword&gt;&lt;keyword&gt;Hemoglobinopathies/blood/*epidemiology&lt;/keyword&gt;&lt;keyword&gt;Humans&lt;/keyword&gt;&lt;keyword&gt;Infant, Newborn&lt;/keyword&gt;&lt;keyword&gt;Isoelectric Focusing&lt;/keyword&gt;&lt;keyword&gt;Neonatal Screening/*methods&lt;/keyword&gt;&lt;keyword&gt;Sensitivity and Specificity&lt;/keyword&gt;&lt;/keywords&gt;&lt;dates&gt;&lt;year&gt;1999&lt;/year&gt;&lt;pub-dates&gt;&lt;date&gt;Jul&lt;/date&gt;&lt;/pub-dates&gt;&lt;/dates&gt;&lt;isbn&gt;0009-9147 (Print)&amp;#xD;0009-9147&lt;/isbn&gt;&lt;accession-num&gt;10388471&lt;/accession-num&gt;&lt;urls&gt;&lt;/urls&gt;&lt;remote-database-provider&gt;NLM&lt;/remote-database-provider&gt;&lt;language&gt;eng&lt;/language&gt;&lt;/record&gt;&lt;/Cite&gt;&lt;/EndNote&gt;</w:instrText>
            </w:r>
            <w:r>
              <w:fldChar w:fldCharType="separate"/>
            </w:r>
            <w:r>
              <w:rPr>
                <w:noProof/>
              </w:rPr>
              <w:t>(Campbell, Henthorn &amp; Davies 1999)</w:t>
            </w:r>
            <w:r>
              <w:fldChar w:fldCharType="end"/>
            </w:r>
            <w:r w:rsidR="00025C85">
              <w:rPr>
                <w:rStyle w:val="FootnoteReference"/>
              </w:rPr>
              <w:footnoteReference w:id="18"/>
            </w:r>
          </w:p>
          <w:p w14:paraId="45DE90EC" w14:textId="77777777" w:rsidR="005004BE" w:rsidRDefault="005004BE" w:rsidP="00966A31">
            <w:pPr>
              <w:pStyle w:val="TableText"/>
              <w:spacing w:before="0" w:after="0"/>
            </w:pPr>
            <w:r>
              <w:t>UK</w:t>
            </w:r>
          </w:p>
          <w:p w14:paraId="066A92F7" w14:textId="77777777" w:rsidR="005004BE" w:rsidRPr="002A2C89" w:rsidRDefault="005004BE" w:rsidP="00966A31">
            <w:pPr>
              <w:pStyle w:val="TableText"/>
              <w:spacing w:before="0" w:after="0"/>
            </w:pPr>
            <w:r>
              <w:t>N=25,750 newborns</w:t>
            </w:r>
          </w:p>
        </w:tc>
        <w:tc>
          <w:tcPr>
            <w:tcW w:w="1984" w:type="dxa"/>
          </w:tcPr>
          <w:p w14:paraId="4194D06B" w14:textId="77777777" w:rsidR="005004BE" w:rsidRDefault="005004BE" w:rsidP="00966A31">
            <w:pPr>
              <w:pStyle w:val="TableText"/>
              <w:spacing w:before="0" w:after="0"/>
            </w:pPr>
            <w:r w:rsidRPr="0067529E">
              <w:rPr>
                <w:b/>
              </w:rPr>
              <w:t>HPLC</w:t>
            </w:r>
            <w:r>
              <w:t xml:space="preserve"> (on SCD program) </w:t>
            </w:r>
          </w:p>
        </w:tc>
        <w:tc>
          <w:tcPr>
            <w:tcW w:w="2127" w:type="dxa"/>
          </w:tcPr>
          <w:p w14:paraId="050C65AD" w14:textId="77777777" w:rsidR="005004BE" w:rsidRPr="0067529E" w:rsidRDefault="005004BE" w:rsidP="00966A31">
            <w:pPr>
              <w:pStyle w:val="TableText"/>
              <w:spacing w:before="0" w:after="0"/>
              <w:rPr>
                <w:b/>
              </w:rPr>
            </w:pPr>
            <w:r w:rsidRPr="0067529E">
              <w:rPr>
                <w:b/>
              </w:rPr>
              <w:t xml:space="preserve">IEF </w:t>
            </w:r>
          </w:p>
          <w:p w14:paraId="47A5584B" w14:textId="77777777" w:rsidR="005004BE" w:rsidRDefault="005004BE" w:rsidP="00966A31">
            <w:pPr>
              <w:pStyle w:val="TableText"/>
              <w:spacing w:before="0" w:after="0"/>
            </w:pPr>
            <w:r>
              <w:t xml:space="preserve">(Babies without </w:t>
            </w:r>
            <w:proofErr w:type="spellStart"/>
            <w:r>
              <w:t>HbA</w:t>
            </w:r>
            <w:proofErr w:type="spellEnd"/>
            <w:r>
              <w:t xml:space="preserve"> or with variant other than </w:t>
            </w:r>
            <w:proofErr w:type="spellStart"/>
            <w:r>
              <w:t>HbS</w:t>
            </w:r>
            <w:proofErr w:type="spellEnd"/>
            <w:r>
              <w:t xml:space="preserve"> or </w:t>
            </w:r>
            <w:proofErr w:type="spellStart"/>
            <w:r>
              <w:t>HbC</w:t>
            </w:r>
            <w:proofErr w:type="spellEnd"/>
            <w:r>
              <w:t xml:space="preserve"> were recalled for retesting at 6 weeks)</w:t>
            </w:r>
          </w:p>
        </w:tc>
        <w:tc>
          <w:tcPr>
            <w:tcW w:w="1417" w:type="dxa"/>
            <w:vMerge w:val="restart"/>
          </w:tcPr>
          <w:p w14:paraId="2D3902CC" w14:textId="77777777" w:rsidR="005004BE" w:rsidRDefault="005004BE" w:rsidP="00966A31">
            <w:pPr>
              <w:pStyle w:val="TableText"/>
              <w:spacing w:before="0" w:after="0"/>
            </w:pPr>
            <w:r>
              <w:t xml:space="preserve">SCD or </w:t>
            </w:r>
            <w:proofErr w:type="spellStart"/>
            <w:r>
              <w:t>HbS</w:t>
            </w:r>
            <w:proofErr w:type="spellEnd"/>
            <w:r>
              <w:t>/</w:t>
            </w:r>
            <w:proofErr w:type="spellStart"/>
            <w:r>
              <w:t>HbC</w:t>
            </w:r>
            <w:proofErr w:type="spellEnd"/>
            <w:r>
              <w:t xml:space="preserve"> carrier 100%</w:t>
            </w:r>
          </w:p>
        </w:tc>
        <w:tc>
          <w:tcPr>
            <w:tcW w:w="1418" w:type="dxa"/>
            <w:vMerge w:val="restart"/>
          </w:tcPr>
          <w:p w14:paraId="7F2D25DF" w14:textId="77777777" w:rsidR="005004BE" w:rsidRDefault="005004BE" w:rsidP="00966A31">
            <w:pPr>
              <w:pStyle w:val="TableText"/>
              <w:spacing w:before="0" w:after="0"/>
            </w:pPr>
            <w:r>
              <w:t xml:space="preserve">SCD or </w:t>
            </w:r>
            <w:proofErr w:type="spellStart"/>
            <w:r>
              <w:t>HbS</w:t>
            </w:r>
            <w:proofErr w:type="spellEnd"/>
            <w:r>
              <w:t>/</w:t>
            </w:r>
            <w:proofErr w:type="spellStart"/>
            <w:r>
              <w:t>HbC</w:t>
            </w:r>
            <w:proofErr w:type="spellEnd"/>
            <w:r>
              <w:t xml:space="preserve"> carrier 100%</w:t>
            </w:r>
          </w:p>
        </w:tc>
        <w:tc>
          <w:tcPr>
            <w:tcW w:w="802" w:type="dxa"/>
            <w:vMerge w:val="restart"/>
          </w:tcPr>
          <w:p w14:paraId="0212CD15" w14:textId="77777777" w:rsidR="005004BE" w:rsidRDefault="005004BE" w:rsidP="00966A31">
            <w:pPr>
              <w:pStyle w:val="TableText"/>
              <w:spacing w:before="0" w:after="0"/>
            </w:pPr>
            <w:r>
              <w:t>100% / 100%</w:t>
            </w:r>
          </w:p>
        </w:tc>
      </w:tr>
      <w:tr w:rsidR="005004BE" w14:paraId="423C20ED" w14:textId="77777777" w:rsidTr="007370AF">
        <w:trPr>
          <w:trHeight w:val="422"/>
        </w:trPr>
        <w:tc>
          <w:tcPr>
            <w:tcW w:w="1413" w:type="dxa"/>
            <w:vMerge/>
          </w:tcPr>
          <w:p w14:paraId="3FB46104" w14:textId="77777777" w:rsidR="005004BE" w:rsidRPr="00256371" w:rsidRDefault="005004BE" w:rsidP="00966A31">
            <w:pPr>
              <w:pStyle w:val="TableText"/>
              <w:spacing w:before="0" w:after="0"/>
            </w:pPr>
          </w:p>
        </w:tc>
        <w:tc>
          <w:tcPr>
            <w:tcW w:w="1984" w:type="dxa"/>
          </w:tcPr>
          <w:p w14:paraId="05FAB89D" w14:textId="313F7F00" w:rsidR="005004BE" w:rsidRDefault="005004BE" w:rsidP="00966A31">
            <w:pPr>
              <w:pStyle w:val="TableText"/>
              <w:spacing w:before="0" w:after="0"/>
            </w:pPr>
            <w:r>
              <w:t>32 SCD +</w:t>
            </w:r>
            <w:proofErr w:type="spellStart"/>
            <w:r>
              <w:t>ve</w:t>
            </w:r>
            <w:proofErr w:type="spellEnd"/>
          </w:p>
        </w:tc>
        <w:tc>
          <w:tcPr>
            <w:tcW w:w="2127" w:type="dxa"/>
          </w:tcPr>
          <w:p w14:paraId="7E89108F" w14:textId="6BF7F665" w:rsidR="005004BE" w:rsidRDefault="005004BE" w:rsidP="00966A31">
            <w:pPr>
              <w:pStyle w:val="TableText"/>
              <w:spacing w:before="0" w:after="0"/>
            </w:pPr>
            <w:r>
              <w:t>32 SCD +</w:t>
            </w:r>
            <w:proofErr w:type="spellStart"/>
            <w:r>
              <w:t>ve</w:t>
            </w:r>
            <w:proofErr w:type="spellEnd"/>
          </w:p>
        </w:tc>
        <w:tc>
          <w:tcPr>
            <w:tcW w:w="1417" w:type="dxa"/>
            <w:vMerge/>
          </w:tcPr>
          <w:p w14:paraId="6B4D409F" w14:textId="77777777" w:rsidR="005004BE" w:rsidRDefault="005004BE" w:rsidP="00966A31">
            <w:pPr>
              <w:pStyle w:val="TableText"/>
              <w:spacing w:before="0" w:after="0"/>
            </w:pPr>
          </w:p>
        </w:tc>
        <w:tc>
          <w:tcPr>
            <w:tcW w:w="1418" w:type="dxa"/>
            <w:vMerge/>
          </w:tcPr>
          <w:p w14:paraId="0DB50B93" w14:textId="77777777" w:rsidR="005004BE" w:rsidRDefault="005004BE" w:rsidP="00966A31">
            <w:pPr>
              <w:pStyle w:val="TableText"/>
              <w:spacing w:before="0" w:after="0"/>
            </w:pPr>
          </w:p>
        </w:tc>
        <w:tc>
          <w:tcPr>
            <w:tcW w:w="802" w:type="dxa"/>
            <w:vMerge/>
          </w:tcPr>
          <w:p w14:paraId="7589CAF5" w14:textId="77777777" w:rsidR="005004BE" w:rsidRDefault="005004BE" w:rsidP="00966A31">
            <w:pPr>
              <w:pStyle w:val="TableText"/>
              <w:spacing w:before="0" w:after="0"/>
            </w:pPr>
          </w:p>
        </w:tc>
      </w:tr>
      <w:tr w:rsidR="005004BE" w14:paraId="61EBEDA0" w14:textId="77777777">
        <w:trPr>
          <w:trHeight w:val="380"/>
        </w:trPr>
        <w:tc>
          <w:tcPr>
            <w:tcW w:w="1413" w:type="dxa"/>
            <w:vMerge w:val="restart"/>
          </w:tcPr>
          <w:p w14:paraId="17C7EAC2" w14:textId="4C29394C" w:rsidR="005004BE" w:rsidRDefault="005004BE" w:rsidP="00966A31">
            <w:pPr>
              <w:pStyle w:val="TableText"/>
              <w:spacing w:before="0" w:after="0"/>
            </w:pPr>
            <w:r>
              <w:fldChar w:fldCharType="begin">
                <w:fldData xml:space="preserve">PEVuZE5vdGU+PENpdGU+PEF1dGhvcj5HYXJjaWEtTW9yaW48L0F1dGhvcj48WWVhcj4yMDIwPC9Z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instrText xml:space="preserve"> ADDIN EN.CITE </w:instrText>
            </w:r>
            <w:r>
              <w:fldChar w:fldCharType="begin">
                <w:fldData xml:space="preserve">PEVuZE5vdGU+PENpdGU+PEF1dGhvcj5HYXJjaWEtTW9yaW48L0F1dGhvcj48WWVhcj4yMDIwPC9Z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instrText xml:space="preserve"> ADDIN EN.CITE.DATA </w:instrText>
            </w:r>
            <w:r>
              <w:fldChar w:fldCharType="end"/>
            </w:r>
            <w:r>
              <w:fldChar w:fldCharType="separate"/>
            </w:r>
            <w:r>
              <w:rPr>
                <w:noProof/>
              </w:rPr>
              <w:t>(Garcia-Morin et al. 2020)</w:t>
            </w:r>
            <w:r>
              <w:fldChar w:fldCharType="end"/>
            </w:r>
            <w:r w:rsidR="00025C85">
              <w:rPr>
                <w:rStyle w:val="FootnoteReference"/>
              </w:rPr>
              <w:footnoteReference w:id="19"/>
            </w:r>
          </w:p>
          <w:p w14:paraId="6B85D2F7" w14:textId="77777777" w:rsidR="005004BE" w:rsidRDefault="005004BE" w:rsidP="00966A31">
            <w:pPr>
              <w:pStyle w:val="TableText"/>
              <w:spacing w:before="0" w:after="0"/>
            </w:pPr>
            <w:r>
              <w:t>Spain</w:t>
            </w:r>
          </w:p>
          <w:p w14:paraId="07FB3A4E" w14:textId="77777777" w:rsidR="005004BE" w:rsidRPr="00EC4F67" w:rsidRDefault="005004BE" w:rsidP="00966A31">
            <w:pPr>
              <w:pStyle w:val="TableText"/>
              <w:spacing w:before="0" w:after="0"/>
              <w:rPr>
                <w:b/>
              </w:rPr>
            </w:pPr>
            <w:r w:rsidRPr="007678B2">
              <w:t>N=</w:t>
            </w:r>
            <w:r>
              <w:t>1,048,222 newborns</w:t>
            </w:r>
          </w:p>
        </w:tc>
        <w:tc>
          <w:tcPr>
            <w:tcW w:w="1984" w:type="dxa"/>
          </w:tcPr>
          <w:p w14:paraId="4BF87D74" w14:textId="77777777" w:rsidR="005004BE" w:rsidRPr="0067529E" w:rsidRDefault="005004BE" w:rsidP="00966A31">
            <w:pPr>
              <w:pStyle w:val="TableText"/>
              <w:spacing w:before="0" w:after="0"/>
              <w:rPr>
                <w:b/>
              </w:rPr>
            </w:pPr>
            <w:r w:rsidRPr="0067529E">
              <w:rPr>
                <w:b/>
              </w:rPr>
              <w:t>HPLC</w:t>
            </w:r>
          </w:p>
        </w:tc>
        <w:tc>
          <w:tcPr>
            <w:tcW w:w="2127" w:type="dxa"/>
          </w:tcPr>
          <w:p w14:paraId="16F1B10C" w14:textId="77777777" w:rsidR="005004BE" w:rsidRPr="0067529E" w:rsidRDefault="005004BE" w:rsidP="00966A31">
            <w:pPr>
              <w:pStyle w:val="TableText"/>
              <w:spacing w:before="0" w:after="0"/>
              <w:rPr>
                <w:b/>
              </w:rPr>
            </w:pPr>
            <w:r w:rsidRPr="0067529E">
              <w:rPr>
                <w:b/>
              </w:rPr>
              <w:t>HPLC after 2-3 months</w:t>
            </w:r>
          </w:p>
        </w:tc>
        <w:tc>
          <w:tcPr>
            <w:tcW w:w="1417" w:type="dxa"/>
            <w:vMerge w:val="restart"/>
          </w:tcPr>
          <w:p w14:paraId="5121CE09" w14:textId="77777777" w:rsidR="005004BE" w:rsidRPr="00996C43" w:rsidRDefault="005004BE" w:rsidP="00966A31">
            <w:pPr>
              <w:pStyle w:val="TableText"/>
              <w:spacing w:before="0" w:after="0"/>
              <w:rPr>
                <w:vertAlign w:val="superscript"/>
              </w:rPr>
            </w:pPr>
            <w:r>
              <w:t>100% (presumptive)</w:t>
            </w:r>
            <w:r>
              <w:rPr>
                <w:vertAlign w:val="superscript"/>
              </w:rPr>
              <w:t>a</w:t>
            </w:r>
          </w:p>
        </w:tc>
        <w:tc>
          <w:tcPr>
            <w:tcW w:w="1418" w:type="dxa"/>
            <w:vMerge w:val="restart"/>
          </w:tcPr>
          <w:p w14:paraId="18E9FD59" w14:textId="77777777" w:rsidR="005004BE" w:rsidRPr="00996C43" w:rsidRDefault="005004BE" w:rsidP="00966A31">
            <w:pPr>
              <w:pStyle w:val="TableText"/>
              <w:spacing w:before="0" w:after="0"/>
              <w:rPr>
                <w:vertAlign w:val="superscript"/>
              </w:rPr>
            </w:pPr>
            <w:r>
              <w:t>99.99% (presumptive)</w:t>
            </w:r>
            <w:r>
              <w:rPr>
                <w:vertAlign w:val="superscript"/>
              </w:rPr>
              <w:t>a</w:t>
            </w:r>
          </w:p>
        </w:tc>
        <w:tc>
          <w:tcPr>
            <w:tcW w:w="802" w:type="dxa"/>
            <w:vMerge w:val="restart"/>
          </w:tcPr>
          <w:p w14:paraId="7624194F" w14:textId="3A9B1DDE" w:rsidR="005004BE" w:rsidRDefault="000F0CAA" w:rsidP="00966A31">
            <w:pPr>
              <w:pStyle w:val="TableText"/>
              <w:spacing w:before="0" w:after="0"/>
            </w:pPr>
            <w:r>
              <w:t>96.9</w:t>
            </w:r>
            <w:r w:rsidR="005004BE">
              <w:t xml:space="preserve">% / 100% </w:t>
            </w:r>
          </w:p>
        </w:tc>
      </w:tr>
      <w:tr w:rsidR="005004BE" w14:paraId="553C07E6" w14:textId="77777777">
        <w:trPr>
          <w:trHeight w:val="838"/>
        </w:trPr>
        <w:tc>
          <w:tcPr>
            <w:tcW w:w="1413" w:type="dxa"/>
            <w:vMerge/>
          </w:tcPr>
          <w:p w14:paraId="3307EBC4" w14:textId="77777777" w:rsidR="005004BE" w:rsidRPr="00EF2A7D" w:rsidRDefault="005004BE" w:rsidP="00966A31">
            <w:pPr>
              <w:pStyle w:val="TableText"/>
              <w:spacing w:before="0" w:after="0"/>
            </w:pPr>
          </w:p>
        </w:tc>
        <w:tc>
          <w:tcPr>
            <w:tcW w:w="1984" w:type="dxa"/>
          </w:tcPr>
          <w:p w14:paraId="51EC9379" w14:textId="77777777" w:rsidR="005004BE" w:rsidRPr="004C14A4" w:rsidRDefault="005004BE" w:rsidP="00966A31">
            <w:pPr>
              <w:pStyle w:val="TableText"/>
              <w:spacing w:before="0" w:after="0"/>
              <w:rPr>
                <w:b/>
              </w:rPr>
            </w:pPr>
            <w:r>
              <w:t>197 possible SCD +</w:t>
            </w:r>
            <w:proofErr w:type="spellStart"/>
            <w:r>
              <w:t>ve</w:t>
            </w:r>
            <w:proofErr w:type="spellEnd"/>
          </w:p>
        </w:tc>
        <w:tc>
          <w:tcPr>
            <w:tcW w:w="2127" w:type="dxa"/>
          </w:tcPr>
          <w:p w14:paraId="7BE2578E" w14:textId="77777777" w:rsidR="005004BE" w:rsidRDefault="005004BE" w:rsidP="00966A31">
            <w:pPr>
              <w:pStyle w:val="TableText"/>
              <w:spacing w:before="0" w:after="0"/>
            </w:pPr>
            <w:r>
              <w:t>187 SCD +</w:t>
            </w:r>
            <w:proofErr w:type="spellStart"/>
            <w:r>
              <w:t>ve</w:t>
            </w:r>
            <w:proofErr w:type="spellEnd"/>
          </w:p>
          <w:p w14:paraId="3545D12E" w14:textId="77777777" w:rsidR="005004BE" w:rsidRDefault="005004BE" w:rsidP="00966A31">
            <w:pPr>
              <w:pStyle w:val="TableText"/>
              <w:spacing w:before="0" w:after="0"/>
            </w:pPr>
            <w:r>
              <w:t>10 false +</w:t>
            </w:r>
            <w:proofErr w:type="spellStart"/>
            <w:r>
              <w:t>ve</w:t>
            </w:r>
            <w:proofErr w:type="spellEnd"/>
            <w:r>
              <w:t xml:space="preserve"> (9 carriers, 1 benign condition)</w:t>
            </w:r>
          </w:p>
        </w:tc>
        <w:tc>
          <w:tcPr>
            <w:tcW w:w="1417" w:type="dxa"/>
            <w:vMerge/>
          </w:tcPr>
          <w:p w14:paraId="5276AF72" w14:textId="77777777" w:rsidR="005004BE" w:rsidRDefault="005004BE" w:rsidP="00966A31">
            <w:pPr>
              <w:pStyle w:val="TableText"/>
              <w:spacing w:before="0" w:after="0"/>
            </w:pPr>
          </w:p>
        </w:tc>
        <w:tc>
          <w:tcPr>
            <w:tcW w:w="1418" w:type="dxa"/>
            <w:vMerge/>
          </w:tcPr>
          <w:p w14:paraId="2E358B2C" w14:textId="77777777" w:rsidR="005004BE" w:rsidRDefault="005004BE" w:rsidP="00966A31">
            <w:pPr>
              <w:pStyle w:val="TableText"/>
              <w:spacing w:before="0" w:after="0"/>
            </w:pPr>
          </w:p>
        </w:tc>
        <w:tc>
          <w:tcPr>
            <w:tcW w:w="802" w:type="dxa"/>
            <w:vMerge/>
          </w:tcPr>
          <w:p w14:paraId="5728D9E5" w14:textId="77777777" w:rsidR="005004BE" w:rsidRDefault="005004BE" w:rsidP="00966A31">
            <w:pPr>
              <w:pStyle w:val="TableText"/>
              <w:spacing w:before="0" w:after="0"/>
            </w:pPr>
          </w:p>
        </w:tc>
      </w:tr>
      <w:tr w:rsidR="005004BE" w14:paraId="2B96E8F8" w14:textId="77777777">
        <w:trPr>
          <w:trHeight w:val="894"/>
        </w:trPr>
        <w:tc>
          <w:tcPr>
            <w:tcW w:w="1413" w:type="dxa"/>
            <w:vMerge w:val="restart"/>
          </w:tcPr>
          <w:p w14:paraId="7B07D6FF" w14:textId="67DE31E2" w:rsidR="005004BE" w:rsidRDefault="005004BE" w:rsidP="00966A31">
            <w:pPr>
              <w:pStyle w:val="TableText"/>
              <w:spacing w:before="0" w:after="0"/>
            </w:pPr>
            <w:r>
              <w:fldChar w:fldCharType="begin">
                <w:fldData xml:space="preserve">PEVuZE5vdGU+PENpdGU+PEF1dGhvcj5Mb2JpdHo8L0F1dGhvcj48WWVhcj4yMDE5PC9ZZWFyPjxS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</w:fldData>
              </w:fldChar>
            </w:r>
            <w:r>
              <w:instrText xml:space="preserve"> ADDIN EN.CITE </w:instrText>
            </w:r>
            <w:r>
              <w:fldChar w:fldCharType="begin">
                <w:fldData xml:space="preserve">PEVuZE5vdGU+PENpdGU+PEF1dGhvcj5Mb2JpdHo8L0F1dGhvcj48WWVhcj4yMDE5PC9ZZWFyPjxS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</w:fldData>
              </w:fldChar>
            </w:r>
            <w:r>
              <w:instrText xml:space="preserve"> ADDIN EN.CITE.DATA </w:instrText>
            </w:r>
            <w:r>
              <w:fldChar w:fldCharType="end"/>
            </w:r>
            <w:r>
              <w:fldChar w:fldCharType="separate"/>
            </w:r>
            <w:r>
              <w:rPr>
                <w:noProof/>
              </w:rPr>
              <w:t>(Lobitz et al. 2019)</w:t>
            </w:r>
            <w:r>
              <w:fldChar w:fldCharType="end"/>
            </w:r>
            <w:r w:rsidR="002705A0">
              <w:rPr>
                <w:rStyle w:val="FootnoteReference"/>
              </w:rPr>
              <w:footnoteReference w:id="20"/>
            </w:r>
          </w:p>
          <w:p w14:paraId="76CFE9AC" w14:textId="77777777" w:rsidR="005004BE" w:rsidRDefault="005004BE" w:rsidP="00966A31">
            <w:pPr>
              <w:pStyle w:val="TableText"/>
              <w:spacing w:before="0" w:after="0"/>
            </w:pPr>
            <w:r>
              <w:t>Germany</w:t>
            </w:r>
          </w:p>
          <w:p w14:paraId="21446133" w14:textId="77777777" w:rsidR="005004BE" w:rsidRPr="001820AC" w:rsidRDefault="005004BE" w:rsidP="00966A31">
            <w:pPr>
              <w:pStyle w:val="TableText"/>
              <w:spacing w:before="0" w:after="0"/>
            </w:pPr>
            <w:r>
              <w:t>N=29,079 newborns</w:t>
            </w:r>
          </w:p>
        </w:tc>
        <w:tc>
          <w:tcPr>
            <w:tcW w:w="1984" w:type="dxa"/>
          </w:tcPr>
          <w:p w14:paraId="5751A2CA" w14:textId="77777777" w:rsidR="005004BE" w:rsidRPr="0067529E" w:rsidRDefault="005004BE" w:rsidP="00966A31">
            <w:pPr>
              <w:pStyle w:val="TableText"/>
              <w:spacing w:before="0" w:after="0"/>
              <w:rPr>
                <w:b/>
              </w:rPr>
            </w:pPr>
            <w:r w:rsidRPr="0067529E">
              <w:rPr>
                <w:b/>
              </w:rPr>
              <w:t>ESI-MS/MS</w:t>
            </w:r>
          </w:p>
        </w:tc>
        <w:tc>
          <w:tcPr>
            <w:tcW w:w="2127" w:type="dxa"/>
          </w:tcPr>
          <w:p w14:paraId="71DF013D" w14:textId="77777777" w:rsidR="005004BE" w:rsidRPr="0067529E" w:rsidRDefault="005004BE" w:rsidP="00966A31">
            <w:pPr>
              <w:pStyle w:val="TableText"/>
              <w:spacing w:before="0" w:after="0"/>
              <w:rPr>
                <w:b/>
              </w:rPr>
            </w:pPr>
            <w:r w:rsidRPr="0067529E">
              <w:rPr>
                <w:b/>
              </w:rPr>
              <w:t xml:space="preserve">CE </w:t>
            </w:r>
            <w:r w:rsidRPr="0067529E">
              <w:t>(on all)</w:t>
            </w:r>
          </w:p>
          <w:p w14:paraId="133F638B" w14:textId="77777777" w:rsidR="005004BE" w:rsidRDefault="005004BE" w:rsidP="00966A31">
            <w:pPr>
              <w:pStyle w:val="TableText"/>
              <w:spacing w:before="0" w:after="0"/>
            </w:pPr>
            <w:r w:rsidRPr="0067529E">
              <w:rPr>
                <w:b/>
              </w:rPr>
              <w:t>Genetic testing</w:t>
            </w:r>
            <w:r>
              <w:t xml:space="preserve"> (those with suspected disease)</w:t>
            </w:r>
          </w:p>
        </w:tc>
        <w:tc>
          <w:tcPr>
            <w:tcW w:w="1417" w:type="dxa"/>
            <w:vMerge w:val="restart"/>
          </w:tcPr>
          <w:p w14:paraId="01DA9202" w14:textId="77777777" w:rsidR="005004BE" w:rsidRDefault="005004BE" w:rsidP="00966A31">
            <w:pPr>
              <w:pStyle w:val="TableText"/>
              <w:spacing w:before="0" w:after="0"/>
            </w:pPr>
            <w:r>
              <w:t>100%</w:t>
            </w:r>
          </w:p>
        </w:tc>
        <w:tc>
          <w:tcPr>
            <w:tcW w:w="1418" w:type="dxa"/>
            <w:vMerge w:val="restart"/>
          </w:tcPr>
          <w:p w14:paraId="39200748" w14:textId="77777777" w:rsidR="005004BE" w:rsidRDefault="005004BE" w:rsidP="00966A31">
            <w:pPr>
              <w:pStyle w:val="TableText"/>
              <w:spacing w:before="0" w:after="0"/>
            </w:pPr>
            <w:r>
              <w:t>100%</w:t>
            </w:r>
          </w:p>
        </w:tc>
        <w:tc>
          <w:tcPr>
            <w:tcW w:w="802" w:type="dxa"/>
            <w:vMerge w:val="restart"/>
          </w:tcPr>
          <w:p w14:paraId="1CC4239C" w14:textId="77777777" w:rsidR="005004BE" w:rsidRDefault="005004BE" w:rsidP="00966A31">
            <w:pPr>
              <w:pStyle w:val="TableText"/>
              <w:spacing w:before="0" w:after="0"/>
            </w:pPr>
            <w:r>
              <w:t>100% / 100%</w:t>
            </w:r>
          </w:p>
        </w:tc>
      </w:tr>
      <w:tr w:rsidR="005004BE" w14:paraId="2DEBDADC" w14:textId="77777777">
        <w:trPr>
          <w:trHeight w:val="301"/>
        </w:trPr>
        <w:tc>
          <w:tcPr>
            <w:tcW w:w="1413" w:type="dxa"/>
            <w:vMerge/>
          </w:tcPr>
          <w:p w14:paraId="57744F01" w14:textId="77777777" w:rsidR="005004BE" w:rsidRPr="00C26FFA" w:rsidRDefault="005004BE" w:rsidP="00966A31">
            <w:pPr>
              <w:pStyle w:val="TableText"/>
              <w:spacing w:before="0" w:after="0"/>
            </w:pPr>
          </w:p>
        </w:tc>
        <w:tc>
          <w:tcPr>
            <w:tcW w:w="1984" w:type="dxa"/>
          </w:tcPr>
          <w:p w14:paraId="2407BC32" w14:textId="77777777" w:rsidR="005004BE" w:rsidRDefault="005004BE" w:rsidP="00966A31">
            <w:pPr>
              <w:pStyle w:val="TableText"/>
              <w:spacing w:before="0" w:after="0"/>
            </w:pPr>
            <w:r>
              <w:t>7 suspected SCD +</w:t>
            </w:r>
            <w:proofErr w:type="spellStart"/>
            <w:r>
              <w:t>ve</w:t>
            </w:r>
            <w:proofErr w:type="spellEnd"/>
          </w:p>
        </w:tc>
        <w:tc>
          <w:tcPr>
            <w:tcW w:w="2127" w:type="dxa"/>
          </w:tcPr>
          <w:p w14:paraId="37FB4795" w14:textId="093866AA" w:rsidR="005004BE" w:rsidRDefault="005004BE" w:rsidP="00966A31">
            <w:pPr>
              <w:pStyle w:val="TableText"/>
              <w:spacing w:before="0" w:after="0"/>
            </w:pPr>
            <w:r>
              <w:t>7 SCD +</w:t>
            </w:r>
            <w:proofErr w:type="spellStart"/>
            <w:r>
              <w:t>ve</w:t>
            </w:r>
            <w:proofErr w:type="spellEnd"/>
          </w:p>
        </w:tc>
        <w:tc>
          <w:tcPr>
            <w:tcW w:w="1417" w:type="dxa"/>
            <w:vMerge/>
          </w:tcPr>
          <w:p w14:paraId="3DF5F3F3" w14:textId="77777777" w:rsidR="005004BE" w:rsidRDefault="005004BE" w:rsidP="00966A31">
            <w:pPr>
              <w:pStyle w:val="TableText"/>
              <w:spacing w:before="0" w:after="0"/>
            </w:pPr>
          </w:p>
        </w:tc>
        <w:tc>
          <w:tcPr>
            <w:tcW w:w="1418" w:type="dxa"/>
            <w:vMerge/>
          </w:tcPr>
          <w:p w14:paraId="1F9C7C6F" w14:textId="77777777" w:rsidR="005004BE" w:rsidRDefault="005004BE" w:rsidP="00966A31">
            <w:pPr>
              <w:pStyle w:val="TableText"/>
              <w:spacing w:before="0" w:after="0"/>
            </w:pPr>
          </w:p>
        </w:tc>
        <w:tc>
          <w:tcPr>
            <w:tcW w:w="802" w:type="dxa"/>
            <w:vMerge/>
          </w:tcPr>
          <w:p w14:paraId="515E68EB" w14:textId="77777777" w:rsidR="005004BE" w:rsidRDefault="005004BE" w:rsidP="00966A31">
            <w:pPr>
              <w:pStyle w:val="TableText"/>
              <w:spacing w:before="0" w:after="0"/>
            </w:pPr>
          </w:p>
        </w:tc>
      </w:tr>
      <w:tr w:rsidR="005004BE" w14:paraId="7BF50680" w14:textId="77777777" w:rsidTr="000D3212">
        <w:trPr>
          <w:trHeight w:val="609"/>
        </w:trPr>
        <w:tc>
          <w:tcPr>
            <w:tcW w:w="1413" w:type="dxa"/>
            <w:vMerge w:val="restart"/>
          </w:tcPr>
          <w:p w14:paraId="4C37FB72" w14:textId="0D6C9681" w:rsidR="005004BE" w:rsidRDefault="005004BE" w:rsidP="00966A31">
            <w:pPr>
              <w:pStyle w:val="TableText"/>
              <w:spacing w:before="0" w:after="0"/>
            </w:pPr>
            <w:r>
              <w:fldChar w:fldCharType="begin">
                <w:fldData xml:space="preserve">PEVuZE5vdGU+PENpdGU+PEF1dGhvcj5TdHJlZXRseTwvQXV0aG9yPjxZZWFyPjIwMTg8L1llYXI+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instrText xml:space="preserve"> ADDIN EN.CITE </w:instrText>
            </w:r>
            <w:r>
              <w:fldChar w:fldCharType="begin">
                <w:fldData xml:space="preserve">PEVuZE5vdGU+PENpdGU+PEF1dGhvcj5TdHJlZXRseTwvQXV0aG9yPjxZZWFyPjIwMTg8L1llYXI+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instrText xml:space="preserve"> ADDIN EN.CITE.DATA </w:instrText>
            </w:r>
            <w:r>
              <w:fldChar w:fldCharType="end"/>
            </w:r>
            <w:r>
              <w:fldChar w:fldCharType="separate"/>
            </w:r>
            <w:r>
              <w:rPr>
                <w:noProof/>
              </w:rPr>
              <w:t>(Streetly et al. 2018)</w:t>
            </w:r>
            <w:r>
              <w:fldChar w:fldCharType="end"/>
            </w:r>
            <w:r w:rsidR="00A55A18">
              <w:rPr>
                <w:rStyle w:val="FootnoteReference"/>
              </w:rPr>
              <w:footnoteReference w:id="21"/>
            </w:r>
          </w:p>
          <w:p w14:paraId="1AB60FDF" w14:textId="77777777" w:rsidR="005004BE" w:rsidRDefault="005004BE" w:rsidP="00966A31">
            <w:pPr>
              <w:pStyle w:val="TableText"/>
              <w:spacing w:before="0" w:after="0"/>
            </w:pPr>
            <w:r>
              <w:t>UK</w:t>
            </w:r>
          </w:p>
          <w:p w14:paraId="558B8E1D" w14:textId="5B32D352" w:rsidR="005004BE" w:rsidRPr="00275216" w:rsidRDefault="005004BE" w:rsidP="00966A31">
            <w:pPr>
              <w:pStyle w:val="TableText"/>
              <w:spacing w:before="0" w:after="0"/>
            </w:pPr>
            <w:r>
              <w:t>N=</w:t>
            </w:r>
            <w:r w:rsidR="000D3212">
              <w:t xml:space="preserve"> approximately 3.25 million </w:t>
            </w:r>
            <w:r w:rsidR="001B3484">
              <w:t>newborns</w:t>
            </w:r>
          </w:p>
        </w:tc>
        <w:tc>
          <w:tcPr>
            <w:tcW w:w="1984" w:type="dxa"/>
          </w:tcPr>
          <w:p w14:paraId="65D7DFE6" w14:textId="77777777" w:rsidR="005004BE" w:rsidRDefault="005004BE" w:rsidP="00966A31">
            <w:pPr>
              <w:pStyle w:val="TableText"/>
              <w:spacing w:before="0" w:after="0"/>
            </w:pPr>
            <w:r w:rsidRPr="0067529E">
              <w:rPr>
                <w:b/>
              </w:rPr>
              <w:t>Unspecified</w:t>
            </w:r>
            <w:r>
              <w:t xml:space="preserve"> (HPLC, CE, MS or IEF)</w:t>
            </w:r>
          </w:p>
        </w:tc>
        <w:tc>
          <w:tcPr>
            <w:tcW w:w="2127" w:type="dxa"/>
          </w:tcPr>
          <w:p w14:paraId="25B573F1" w14:textId="77777777" w:rsidR="005004BE" w:rsidRDefault="005004BE" w:rsidP="00966A31">
            <w:pPr>
              <w:pStyle w:val="TableText"/>
              <w:spacing w:before="0" w:after="0"/>
            </w:pPr>
            <w:r w:rsidRPr="0067529E">
              <w:rPr>
                <w:b/>
              </w:rPr>
              <w:t>Alternative</w:t>
            </w:r>
            <w:r>
              <w:t xml:space="preserve"> procedure using a different principle</w:t>
            </w:r>
          </w:p>
        </w:tc>
        <w:tc>
          <w:tcPr>
            <w:tcW w:w="1417" w:type="dxa"/>
            <w:vMerge w:val="restart"/>
          </w:tcPr>
          <w:p w14:paraId="3D2DA1EB" w14:textId="77777777" w:rsidR="005004BE" w:rsidRPr="00996C43" w:rsidRDefault="005004BE" w:rsidP="00966A31">
            <w:pPr>
              <w:pStyle w:val="TableText"/>
              <w:spacing w:before="0" w:after="0"/>
              <w:rPr>
                <w:vertAlign w:val="superscript"/>
              </w:rPr>
            </w:pPr>
            <w:r>
              <w:t>100% (presumptive)</w:t>
            </w:r>
            <w:r>
              <w:rPr>
                <w:vertAlign w:val="superscript"/>
              </w:rPr>
              <w:t>a</w:t>
            </w:r>
          </w:p>
        </w:tc>
        <w:tc>
          <w:tcPr>
            <w:tcW w:w="1418" w:type="dxa"/>
            <w:vMerge w:val="restart"/>
          </w:tcPr>
          <w:p w14:paraId="1AA98525" w14:textId="3B307C97" w:rsidR="005004BE" w:rsidRDefault="005004BE" w:rsidP="00966A31">
            <w:pPr>
              <w:pStyle w:val="TableText"/>
              <w:spacing w:before="0" w:after="0"/>
            </w:pPr>
            <w:r>
              <w:t xml:space="preserve">&gt;99% </w:t>
            </w:r>
            <w:r w:rsidR="000D3212">
              <w:t>(presumptive)</w:t>
            </w:r>
            <w:r w:rsidR="000D3212">
              <w:rPr>
                <w:vertAlign w:val="superscript"/>
              </w:rPr>
              <w:t xml:space="preserve"> a</w:t>
            </w:r>
          </w:p>
        </w:tc>
        <w:tc>
          <w:tcPr>
            <w:tcW w:w="802" w:type="dxa"/>
            <w:vMerge w:val="restart"/>
          </w:tcPr>
          <w:p w14:paraId="7465AEEF" w14:textId="2A0EBC63" w:rsidR="005004BE" w:rsidRDefault="00E54394" w:rsidP="00966A31">
            <w:pPr>
              <w:pStyle w:val="TableText"/>
              <w:spacing w:before="0" w:after="0"/>
            </w:pPr>
            <w:r>
              <w:t>9</w:t>
            </w:r>
            <w:r w:rsidR="00B53FFD">
              <w:t>8.0</w:t>
            </w:r>
            <w:r w:rsidR="005004BE">
              <w:t xml:space="preserve">% / 100% </w:t>
            </w:r>
          </w:p>
        </w:tc>
      </w:tr>
      <w:tr w:rsidR="005004BE" w14:paraId="358EAD33" w14:textId="77777777">
        <w:tc>
          <w:tcPr>
            <w:tcW w:w="1413" w:type="dxa"/>
            <w:vMerge/>
          </w:tcPr>
          <w:p w14:paraId="02074A20" w14:textId="77777777" w:rsidR="005004BE" w:rsidRPr="00275216" w:rsidRDefault="005004BE" w:rsidP="00966A31">
            <w:pPr>
              <w:pStyle w:val="TableText"/>
              <w:spacing w:before="0" w:after="0"/>
            </w:pPr>
          </w:p>
        </w:tc>
        <w:tc>
          <w:tcPr>
            <w:tcW w:w="1984" w:type="dxa"/>
          </w:tcPr>
          <w:p w14:paraId="6CB35735" w14:textId="77777777" w:rsidR="005004BE" w:rsidRDefault="005004BE" w:rsidP="00966A31">
            <w:pPr>
              <w:pStyle w:val="TableText"/>
              <w:spacing w:before="0" w:after="0"/>
            </w:pPr>
            <w:r>
              <w:t>1,447 SCD +</w:t>
            </w:r>
            <w:proofErr w:type="spellStart"/>
            <w:r>
              <w:t>ve</w:t>
            </w:r>
            <w:proofErr w:type="spellEnd"/>
          </w:p>
        </w:tc>
        <w:tc>
          <w:tcPr>
            <w:tcW w:w="2127" w:type="dxa"/>
          </w:tcPr>
          <w:p w14:paraId="37258531" w14:textId="77777777" w:rsidR="005004BE" w:rsidRDefault="005004BE" w:rsidP="00966A31">
            <w:pPr>
              <w:pStyle w:val="TableText"/>
              <w:spacing w:before="0" w:after="0"/>
            </w:pPr>
            <w:r>
              <w:t>1,427 SCD +</w:t>
            </w:r>
            <w:proofErr w:type="spellStart"/>
            <w:r>
              <w:t>ve</w:t>
            </w:r>
            <w:proofErr w:type="spellEnd"/>
          </w:p>
          <w:p w14:paraId="357379CD" w14:textId="77777777" w:rsidR="005004BE" w:rsidRDefault="005004BE" w:rsidP="00966A31">
            <w:pPr>
              <w:pStyle w:val="TableText"/>
              <w:spacing w:before="0" w:after="0"/>
            </w:pPr>
            <w:r>
              <w:t>20 false +</w:t>
            </w:r>
            <w:proofErr w:type="spellStart"/>
            <w:r>
              <w:t>ve</w:t>
            </w:r>
            <w:proofErr w:type="spellEnd"/>
            <w:r>
              <w:t xml:space="preserve"> (abnormal findings but clinically insignificant)</w:t>
            </w:r>
          </w:p>
        </w:tc>
        <w:tc>
          <w:tcPr>
            <w:tcW w:w="1417" w:type="dxa"/>
            <w:vMerge/>
          </w:tcPr>
          <w:p w14:paraId="2A146E83" w14:textId="77777777" w:rsidR="005004BE" w:rsidRDefault="005004BE" w:rsidP="00966A31">
            <w:pPr>
              <w:pStyle w:val="TableText"/>
              <w:spacing w:before="0" w:after="0"/>
            </w:pPr>
          </w:p>
        </w:tc>
        <w:tc>
          <w:tcPr>
            <w:tcW w:w="1418" w:type="dxa"/>
            <w:vMerge/>
          </w:tcPr>
          <w:p w14:paraId="6CE0648A" w14:textId="77777777" w:rsidR="005004BE" w:rsidRDefault="005004BE" w:rsidP="00966A31">
            <w:pPr>
              <w:pStyle w:val="TableText"/>
              <w:spacing w:before="0" w:after="0"/>
            </w:pPr>
          </w:p>
        </w:tc>
        <w:tc>
          <w:tcPr>
            <w:tcW w:w="802" w:type="dxa"/>
            <w:vMerge/>
          </w:tcPr>
          <w:p w14:paraId="777DF0E0" w14:textId="77777777" w:rsidR="005004BE" w:rsidRDefault="005004BE" w:rsidP="00966A31">
            <w:pPr>
              <w:pStyle w:val="TableText"/>
              <w:spacing w:before="0" w:after="0"/>
            </w:pPr>
          </w:p>
        </w:tc>
      </w:tr>
    </w:tbl>
    <w:p w14:paraId="3D973FB1" w14:textId="77777777" w:rsidR="005004BE" w:rsidRDefault="005004BE" w:rsidP="00966A31">
      <w:pPr>
        <w:pStyle w:val="TableFigureFooter"/>
        <w:spacing w:after="60"/>
        <w:contextualSpacing w:val="0"/>
      </w:pPr>
      <w:r>
        <w:t xml:space="preserve">CE = capillary electrophoresis; DNA = deoxyribonucleic acid; </w:t>
      </w:r>
      <w:r w:rsidRPr="00662EFC">
        <w:t xml:space="preserve">Hb = </w:t>
      </w:r>
      <w:r>
        <w:t xml:space="preserve">haemoglobin; </w:t>
      </w:r>
      <w:proofErr w:type="spellStart"/>
      <w:r>
        <w:t>HbA</w:t>
      </w:r>
      <w:proofErr w:type="spellEnd"/>
      <w:r>
        <w:t xml:space="preserve"> = adult haemoglobin; </w:t>
      </w:r>
      <w:proofErr w:type="spellStart"/>
      <w:r>
        <w:t>HbC</w:t>
      </w:r>
      <w:proofErr w:type="spellEnd"/>
      <w:r>
        <w:t xml:space="preserve"> = haemoglobin C; </w:t>
      </w:r>
      <w:proofErr w:type="spellStart"/>
      <w:r>
        <w:t>HbS</w:t>
      </w:r>
      <w:proofErr w:type="spellEnd"/>
      <w:r>
        <w:t xml:space="preserve"> = sickle haemoglobin; HPLC = high performance liquid chromatography; IEF = isoelectric focusing; ESI-MS/MS = Electrospray Ionization tandem mass spectrometry; NBS = newborn bloodspot screening; PPV = positive predictive value; Sβ = sickle beta-thalassaemia; SCD = sickle cell disease; SCT = sickle cell trait</w:t>
      </w:r>
    </w:p>
    <w:p w14:paraId="4685B2D0" w14:textId="07322038" w:rsidR="004E0488" w:rsidRPr="004E0488" w:rsidRDefault="004B6FA0" w:rsidP="00935DFB">
      <w:pPr>
        <w:pStyle w:val="TableFigureFooter"/>
      </w:pPr>
      <w:r>
        <w:t xml:space="preserve">a. </w:t>
      </w:r>
      <w:r w:rsidR="005004BE">
        <w:t>long term follow-up has not detected any additional cases</w:t>
      </w:r>
      <w:r w:rsidR="00C349FD">
        <w:t xml:space="preserve">; </w:t>
      </w:r>
      <w:r w:rsidR="00C53C1B" w:rsidRPr="00C53C1B">
        <w:t>PPV and NPV</w:t>
      </w:r>
      <w:r w:rsidR="004E0488">
        <w:rPr>
          <w:vertAlign w:val="superscript"/>
        </w:rPr>
        <w:t xml:space="preserve"> </w:t>
      </w:r>
      <w:r w:rsidR="00C53C1B">
        <w:t>c</w:t>
      </w:r>
      <w:r w:rsidR="004E0488">
        <w:t>alculated for the Australian setting</w:t>
      </w:r>
      <w:r w:rsidR="00E360E1">
        <w:t xml:space="preserve"> using a prevalence of 0.03%</w:t>
      </w:r>
      <w:r w:rsidR="004E0488">
        <w:t>.</w:t>
      </w:r>
    </w:p>
    <w:p w14:paraId="56250921" w14:textId="76EFCBFE" w:rsidR="00463CBC" w:rsidRDefault="00463CBC" w:rsidP="00463CBC">
      <w:pPr>
        <w:pStyle w:val="Heading5"/>
      </w:pPr>
      <w:bookmarkStart w:id="32" w:name="_Ref149571971"/>
      <w:r>
        <w:t xml:space="preserve">Change in </w:t>
      </w:r>
      <w:proofErr w:type="gramStart"/>
      <w:r>
        <w:t>management</w:t>
      </w:r>
      <w:bookmarkEnd w:id="32"/>
      <w:proofErr w:type="gramEnd"/>
    </w:p>
    <w:p w14:paraId="0572C10E" w14:textId="320505C7" w:rsidR="000E2DC3" w:rsidRDefault="000E2DC3" w:rsidP="000E2DC3">
      <w:r>
        <w:t xml:space="preserve">The key change in management that would be expected from </w:t>
      </w:r>
      <w:r w:rsidR="006D7BB1">
        <w:t xml:space="preserve">universal </w:t>
      </w:r>
      <w:r>
        <w:t xml:space="preserve">NBS </w:t>
      </w:r>
      <w:r w:rsidR="00577E35">
        <w:t xml:space="preserve">for SCD </w:t>
      </w:r>
      <w:r>
        <w:t>is earlier initiation of prophylactic treatment (such as antibiotics) and parental education</w:t>
      </w:r>
      <w:r w:rsidR="00C76FCB">
        <w:t xml:space="preserve"> to improve recognition of early symptoms</w:t>
      </w:r>
      <w:r>
        <w:t xml:space="preserve">, </w:t>
      </w:r>
      <w:r w:rsidR="00DA4CF8">
        <w:t xml:space="preserve">pneumococcal </w:t>
      </w:r>
      <w:r w:rsidR="00671074">
        <w:t>vaccination</w:t>
      </w:r>
      <w:r>
        <w:t xml:space="preserve"> </w:t>
      </w:r>
      <w:r w:rsidR="004E78D6">
        <w:t xml:space="preserve">appropriate for individuals with SCD </w:t>
      </w:r>
      <w:r>
        <w:t>and initiation of other treatments (such as hydroxyurea)</w:t>
      </w:r>
      <w:r w:rsidR="00D915E3">
        <w:t>,</w:t>
      </w:r>
      <w:r w:rsidR="00DA2261">
        <w:t xml:space="preserve"> pre-symptomatic extended blood group typing,</w:t>
      </w:r>
      <w:r>
        <w:t xml:space="preserve"> and surveillance (such as transcranial doppler) in a timely manner.</w:t>
      </w:r>
    </w:p>
    <w:p w14:paraId="33E2DA4F" w14:textId="1337989A" w:rsidR="003C1800" w:rsidRDefault="00D83F19" w:rsidP="000E2DC3">
      <w:r>
        <w:t>The DCAR 1737 did not</w:t>
      </w:r>
      <w:r w:rsidR="000E2DC3">
        <w:t xml:space="preserve"> identif</w:t>
      </w:r>
      <w:r>
        <w:t>y any studies</w:t>
      </w:r>
      <w:r w:rsidR="000E2DC3">
        <w:t xml:space="preserve"> additional to direct evidence studies that examined the timeliness of </w:t>
      </w:r>
      <w:r w:rsidR="00DF0BE7">
        <w:t>investigations/</w:t>
      </w:r>
      <w:r w:rsidR="000E2DC3">
        <w:t>treatment initiation based on diagnosis</w:t>
      </w:r>
      <w:r w:rsidR="003C1800">
        <w:t>. One explanation for this is that NBS screening for SCD and thalassemia is well established in other parts of the world, so there has been little comparative research on the associated changes in management for many decades.</w:t>
      </w:r>
    </w:p>
    <w:p w14:paraId="5587E9C4" w14:textId="17F25FA8" w:rsidR="00BE50BA" w:rsidRDefault="00BE50BA" w:rsidP="00854FDD">
      <w:pPr>
        <w:shd w:val="clear" w:color="auto" w:fill="FFFFFF" w:themeFill="background1"/>
      </w:pPr>
      <w:r>
        <w:t xml:space="preserve">In the absence of good quality </w:t>
      </w:r>
      <w:r w:rsidR="00882D0B">
        <w:t xml:space="preserve">evidence </w:t>
      </w:r>
      <w:r>
        <w:t xml:space="preserve">comparing the management strategies following NBS versus no NBS, </w:t>
      </w:r>
      <w:r w:rsidR="000707A5">
        <w:t xml:space="preserve">observational </w:t>
      </w:r>
      <w:r w:rsidR="00394BB6">
        <w:t xml:space="preserve">data from the </w:t>
      </w:r>
      <w:proofErr w:type="spellStart"/>
      <w:r w:rsidR="00394BB6">
        <w:t>HbR</w:t>
      </w:r>
      <w:proofErr w:type="spellEnd"/>
      <w:r w:rsidR="00394BB6">
        <w:t xml:space="preserve"> </w:t>
      </w:r>
      <w:r w:rsidR="005C0601">
        <w:t>we</w:t>
      </w:r>
      <w:r w:rsidR="00394BB6">
        <w:t xml:space="preserve">re reported. These data </w:t>
      </w:r>
      <w:r w:rsidR="00DC7A8C">
        <w:t>did</w:t>
      </w:r>
      <w:r w:rsidR="00394BB6">
        <w:t xml:space="preserve"> not </w:t>
      </w:r>
      <w:r w:rsidR="00F072C4">
        <w:t>include any</w:t>
      </w:r>
      <w:r w:rsidR="001E56BB">
        <w:t xml:space="preserve"> patients diagnosed through </w:t>
      </w:r>
      <w:r w:rsidR="00882D0B">
        <w:t xml:space="preserve">universal </w:t>
      </w:r>
      <w:r w:rsidR="00C569E2">
        <w:t>NBS but</w:t>
      </w:r>
      <w:r w:rsidR="00394BB6">
        <w:t xml:space="preserve"> show</w:t>
      </w:r>
      <w:r w:rsidR="00DC7A8C">
        <w:t>ed</w:t>
      </w:r>
      <w:r w:rsidR="00394BB6">
        <w:t xml:space="preserve"> the difference in</w:t>
      </w:r>
      <w:r w:rsidR="00260B89">
        <w:t xml:space="preserve"> the</w:t>
      </w:r>
      <w:r w:rsidR="00394BB6">
        <w:t xml:space="preserve"> types of management required when patients are diagnosed early through targeted testing, versus late diagnosis (at the point of symptoms). </w:t>
      </w:r>
      <w:r w:rsidR="00265C8D">
        <w:t>The</w:t>
      </w:r>
      <w:r w:rsidR="00265C8D" w:rsidDel="00882D0B">
        <w:t xml:space="preserve"> </w:t>
      </w:r>
      <w:proofErr w:type="spellStart"/>
      <w:r w:rsidR="00882D0B">
        <w:t>HbR</w:t>
      </w:r>
      <w:proofErr w:type="spellEnd"/>
      <w:r w:rsidR="00882D0B">
        <w:t xml:space="preserve"> </w:t>
      </w:r>
      <w:r w:rsidR="00265C8D">
        <w:t xml:space="preserve">data </w:t>
      </w:r>
      <w:r w:rsidR="00160900">
        <w:t>suggest</w:t>
      </w:r>
      <w:r w:rsidR="00882D0B">
        <w:t>ed</w:t>
      </w:r>
      <w:r w:rsidR="00160900">
        <w:t xml:space="preserve"> that those who </w:t>
      </w:r>
      <w:r w:rsidR="00882D0B">
        <w:t>we</w:t>
      </w:r>
      <w:r w:rsidR="00160900">
        <w:t>re diagnosed early (</w:t>
      </w:r>
      <w:r w:rsidR="00FE67AA">
        <w:t xml:space="preserve">with diagnosis at </w:t>
      </w:r>
      <w:r w:rsidR="002D3435">
        <w:t>median of 2 months old</w:t>
      </w:r>
      <w:r w:rsidR="00EE66DE">
        <w:t xml:space="preserve"> and</w:t>
      </w:r>
      <w:r w:rsidR="002D3435">
        <w:t xml:space="preserve"> </w:t>
      </w:r>
      <w:r w:rsidR="00160900">
        <w:t xml:space="preserve">prior to symptom onset) </w:t>
      </w:r>
      <w:r w:rsidR="00882D0B">
        <w:t>we</w:t>
      </w:r>
      <w:r w:rsidR="00160900">
        <w:t xml:space="preserve">re more likely to receive prophylactic antibiotics and </w:t>
      </w:r>
      <w:r w:rsidR="00882D0B">
        <w:t>we</w:t>
      </w:r>
      <w:r w:rsidR="00160900">
        <w:t xml:space="preserve">re more likely to have a </w:t>
      </w:r>
      <w:r w:rsidR="00CA4549">
        <w:t xml:space="preserve">transcranial </w:t>
      </w:r>
      <w:r w:rsidR="005D51B0">
        <w:t>D</w:t>
      </w:r>
      <w:r w:rsidR="00CA4549">
        <w:t>oppler performed</w:t>
      </w:r>
      <w:r w:rsidR="00D77303">
        <w:t xml:space="preserve"> to </w:t>
      </w:r>
      <w:r w:rsidR="00556C32">
        <w:t>predict the risk of stroke</w:t>
      </w:r>
      <w:r w:rsidR="002D3435">
        <w:t xml:space="preserve">, than those diagnosed </w:t>
      </w:r>
      <w:r w:rsidR="007225F2">
        <w:t xml:space="preserve">at or </w:t>
      </w:r>
      <w:r w:rsidR="003B6E40">
        <w:t>after symptom onset (</w:t>
      </w:r>
      <w:r w:rsidR="00FE67AA">
        <w:t xml:space="preserve">with diagnosis at </w:t>
      </w:r>
      <w:r w:rsidR="003B6E40">
        <w:t>median 1.3 years)</w:t>
      </w:r>
      <w:r w:rsidR="00CA4549">
        <w:t xml:space="preserve">. </w:t>
      </w:r>
      <w:r w:rsidR="05C153CE">
        <w:t xml:space="preserve">The differences in the management </w:t>
      </w:r>
      <w:r w:rsidR="00112183">
        <w:t xml:space="preserve">were statistically significant </w:t>
      </w:r>
      <w:r w:rsidR="5BCFDC2B">
        <w:t xml:space="preserve">between patients </w:t>
      </w:r>
      <w:r w:rsidR="00112183">
        <w:t xml:space="preserve">diagnosed early versus late, although this </w:t>
      </w:r>
      <w:r w:rsidR="00576262">
        <w:t>wa</w:t>
      </w:r>
      <w:r w:rsidR="00112183">
        <w:t>s not a comparison between the intervention and the comparator</w:t>
      </w:r>
      <w:r w:rsidR="5BCFDC2B">
        <w:t>.</w:t>
      </w:r>
    </w:p>
    <w:p w14:paraId="1FE7DE0F" w14:textId="78664EBB" w:rsidR="0085613E" w:rsidRDefault="0085613E" w:rsidP="0085613E">
      <w:pPr>
        <w:pStyle w:val="Caption"/>
      </w:pPr>
      <w:bookmarkStart w:id="33" w:name="_Ref128580396"/>
      <w:r>
        <w:t xml:space="preserve">Table </w:t>
      </w:r>
      <w:r>
        <w:fldChar w:fldCharType="begin"/>
      </w:r>
      <w:r>
        <w:instrText>SEQ Table \* ARABIC</w:instrText>
      </w:r>
      <w:r>
        <w:fldChar w:fldCharType="separate"/>
      </w:r>
      <w:r w:rsidR="007D770C">
        <w:rPr>
          <w:noProof/>
        </w:rPr>
        <w:t>6</w:t>
      </w:r>
      <w:r>
        <w:fldChar w:fldCharType="end"/>
      </w:r>
      <w:bookmarkEnd w:id="33"/>
      <w:r>
        <w:tab/>
      </w:r>
      <w:r w:rsidR="00584D8C">
        <w:t xml:space="preserve">Differences in management of SCD in patients diagnosed early (targeted testing) vs late (at </w:t>
      </w:r>
      <w:r w:rsidR="00FE4A1A">
        <w:t>symptom onset)</w:t>
      </w:r>
      <w:r w:rsidR="005B0D46">
        <w:t xml:space="preserve"> </w:t>
      </w:r>
    </w:p>
    <w:tbl>
      <w:tblPr>
        <w:tblStyle w:val="TableGrid"/>
        <w:tblW w:w="9209" w:type="dxa"/>
        <w:tblLook w:val="04A0" w:firstRow="1" w:lastRow="0" w:firstColumn="1" w:lastColumn="0" w:noHBand="0" w:noVBand="1"/>
        <w:tblCaption w:val="Table 8 Intervention rates for children diagnosed with haemoglobinopathies "/>
      </w:tblPr>
      <w:tblGrid>
        <w:gridCol w:w="2830"/>
        <w:gridCol w:w="2268"/>
        <w:gridCol w:w="2268"/>
        <w:gridCol w:w="1843"/>
      </w:tblGrid>
      <w:tr w:rsidR="00E044E3" w14:paraId="37D47CDB" w14:textId="12B951E4" w:rsidTr="007F3F49">
        <w:trPr>
          <w:trHeight w:val="375"/>
        </w:trPr>
        <w:tc>
          <w:tcPr>
            <w:tcW w:w="2830" w:type="dxa"/>
          </w:tcPr>
          <w:p w14:paraId="6E669F49" w14:textId="03FD4D59" w:rsidR="00E044E3" w:rsidRDefault="005D51B0" w:rsidP="00E044E3">
            <w:pPr>
              <w:pStyle w:val="TableHeading"/>
            </w:pPr>
            <w:r>
              <w:t>Change in management</w:t>
            </w:r>
          </w:p>
        </w:tc>
        <w:tc>
          <w:tcPr>
            <w:tcW w:w="2268" w:type="dxa"/>
          </w:tcPr>
          <w:p w14:paraId="100F58F6" w14:textId="1D27E28B" w:rsidR="00E044E3" w:rsidRPr="00FE4A1A" w:rsidRDefault="00E044E3" w:rsidP="00E044E3">
            <w:pPr>
              <w:pStyle w:val="TableHeading"/>
              <w:rPr>
                <w:highlight w:val="yellow"/>
              </w:rPr>
            </w:pPr>
            <w:r>
              <w:t>Diagnosed at or after symptom onset (n=57)</w:t>
            </w:r>
          </w:p>
        </w:tc>
        <w:tc>
          <w:tcPr>
            <w:tcW w:w="2268" w:type="dxa"/>
          </w:tcPr>
          <w:p w14:paraId="6A38FD53" w14:textId="644FA23B" w:rsidR="00E044E3" w:rsidRPr="00FE4A1A" w:rsidRDefault="00E044E3" w:rsidP="00E044E3">
            <w:pPr>
              <w:pStyle w:val="TableHeading"/>
            </w:pPr>
            <w:r>
              <w:t>Diagnosed before symptom onset (n=51)</w:t>
            </w:r>
          </w:p>
        </w:tc>
        <w:tc>
          <w:tcPr>
            <w:tcW w:w="1843" w:type="dxa"/>
          </w:tcPr>
          <w:p w14:paraId="6A87424F" w14:textId="613A383F" w:rsidR="00E044E3" w:rsidRPr="00FE4A1A" w:rsidRDefault="00F01723" w:rsidP="00E044E3">
            <w:pPr>
              <w:pStyle w:val="TableHeading"/>
            </w:pPr>
            <w:r>
              <w:t>p-value</w:t>
            </w:r>
          </w:p>
        </w:tc>
      </w:tr>
      <w:tr w:rsidR="007A7C0D" w14:paraId="2ACCBDB5" w14:textId="6207D086" w:rsidTr="007F3F49">
        <w:trPr>
          <w:trHeight w:val="278"/>
        </w:trPr>
        <w:tc>
          <w:tcPr>
            <w:tcW w:w="2830" w:type="dxa"/>
          </w:tcPr>
          <w:p w14:paraId="79E147F5" w14:textId="106D4373" w:rsidR="007A7C0D" w:rsidRDefault="00CF05D4" w:rsidP="0085613E">
            <w:pPr>
              <w:pStyle w:val="TableText"/>
            </w:pPr>
            <w:r>
              <w:t>Prophylactic antibiotics</w:t>
            </w:r>
          </w:p>
        </w:tc>
        <w:tc>
          <w:tcPr>
            <w:tcW w:w="2268" w:type="dxa"/>
          </w:tcPr>
          <w:p w14:paraId="5A6333F2" w14:textId="24FBE552" w:rsidR="007A7C0D" w:rsidRPr="00F01723" w:rsidRDefault="00F01723" w:rsidP="0085613E">
            <w:pPr>
              <w:pStyle w:val="TableText"/>
            </w:pPr>
            <w:r w:rsidRPr="00F01723">
              <w:t>27</w:t>
            </w:r>
            <w:r w:rsidR="00B41EB1">
              <w:t>/57</w:t>
            </w:r>
            <w:r w:rsidRPr="00F01723">
              <w:t xml:space="preserve"> (47.4%)</w:t>
            </w:r>
          </w:p>
        </w:tc>
        <w:tc>
          <w:tcPr>
            <w:tcW w:w="2268" w:type="dxa"/>
          </w:tcPr>
          <w:p w14:paraId="726978CD" w14:textId="00038CE9" w:rsidR="007A7C0D" w:rsidRPr="00F01723" w:rsidRDefault="00B41EB1" w:rsidP="0085613E">
            <w:pPr>
              <w:pStyle w:val="TableText"/>
            </w:pPr>
            <w:r>
              <w:t>34/51 (66.7%)</w:t>
            </w:r>
          </w:p>
        </w:tc>
        <w:tc>
          <w:tcPr>
            <w:tcW w:w="1843" w:type="dxa"/>
          </w:tcPr>
          <w:p w14:paraId="60D7A03C" w14:textId="31B25E32" w:rsidR="009A3010" w:rsidRPr="00FE4A1A" w:rsidRDefault="00B41EB1" w:rsidP="0085613E">
            <w:pPr>
              <w:pStyle w:val="TableText"/>
            </w:pPr>
            <w:r>
              <w:t>0.043</w:t>
            </w:r>
          </w:p>
        </w:tc>
      </w:tr>
      <w:tr w:rsidR="007A7C0D" w14:paraId="6F013F86" w14:textId="4B2B0BCB" w:rsidTr="007F3F49">
        <w:trPr>
          <w:trHeight w:val="291"/>
        </w:trPr>
        <w:tc>
          <w:tcPr>
            <w:tcW w:w="2830" w:type="dxa"/>
          </w:tcPr>
          <w:p w14:paraId="28BB2300" w14:textId="718E06CB" w:rsidR="007A7C0D" w:rsidRDefault="00B41EB1" w:rsidP="0085613E">
            <w:pPr>
              <w:pStyle w:val="TableText"/>
            </w:pPr>
            <w:r>
              <w:t>Hydroxyurea</w:t>
            </w:r>
          </w:p>
        </w:tc>
        <w:tc>
          <w:tcPr>
            <w:tcW w:w="2268" w:type="dxa"/>
          </w:tcPr>
          <w:p w14:paraId="17889D24" w14:textId="0D4ABBD3" w:rsidR="007A7C0D" w:rsidRPr="00271A23" w:rsidRDefault="00B41EB1" w:rsidP="0085613E">
            <w:pPr>
              <w:pStyle w:val="TableText"/>
            </w:pPr>
            <w:r w:rsidRPr="00271A23">
              <w:t>34/57 (59.7%)</w:t>
            </w:r>
          </w:p>
        </w:tc>
        <w:tc>
          <w:tcPr>
            <w:tcW w:w="2268" w:type="dxa"/>
          </w:tcPr>
          <w:p w14:paraId="324408A6" w14:textId="32B664C7" w:rsidR="007A7C0D" w:rsidRDefault="00B41EB1" w:rsidP="0085613E">
            <w:pPr>
              <w:pStyle w:val="TableText"/>
            </w:pPr>
            <w:r>
              <w:t>28/51 (</w:t>
            </w:r>
            <w:r w:rsidR="00875924">
              <w:t>54.9%)</w:t>
            </w:r>
          </w:p>
        </w:tc>
        <w:tc>
          <w:tcPr>
            <w:tcW w:w="1843" w:type="dxa"/>
          </w:tcPr>
          <w:p w14:paraId="4D703719" w14:textId="217D8823" w:rsidR="007A7C0D" w:rsidRDefault="00875924" w:rsidP="0085613E">
            <w:pPr>
              <w:pStyle w:val="TableText"/>
            </w:pPr>
            <w:r>
              <w:t>0.62</w:t>
            </w:r>
          </w:p>
        </w:tc>
      </w:tr>
      <w:tr w:rsidR="007A7C0D" w14:paraId="42FF6A37" w14:textId="4CB690B6" w:rsidTr="007F3F49">
        <w:trPr>
          <w:trHeight w:val="278"/>
        </w:trPr>
        <w:tc>
          <w:tcPr>
            <w:tcW w:w="2830" w:type="dxa"/>
          </w:tcPr>
          <w:p w14:paraId="0B28DCA0" w14:textId="278CF852" w:rsidR="007A7C0D" w:rsidRDefault="00875924" w:rsidP="0085613E">
            <w:pPr>
              <w:pStyle w:val="TableText"/>
            </w:pPr>
            <w:r>
              <w:t xml:space="preserve">Transcranial </w:t>
            </w:r>
            <w:r w:rsidR="005D51B0">
              <w:t>D</w:t>
            </w:r>
            <w:r>
              <w:t>oppler performed</w:t>
            </w:r>
          </w:p>
        </w:tc>
        <w:tc>
          <w:tcPr>
            <w:tcW w:w="2268" w:type="dxa"/>
          </w:tcPr>
          <w:p w14:paraId="7BF00BBE" w14:textId="70D9C269" w:rsidR="007A7C0D" w:rsidRPr="00271A23" w:rsidRDefault="00875924" w:rsidP="0085613E">
            <w:pPr>
              <w:pStyle w:val="TableText"/>
            </w:pPr>
            <w:r w:rsidRPr="00271A23">
              <w:t>31/55 (</w:t>
            </w:r>
            <w:r w:rsidR="001D6490" w:rsidRPr="00271A23">
              <w:t>56.4</w:t>
            </w:r>
            <w:r w:rsidRPr="00271A23">
              <w:t>%)</w:t>
            </w:r>
          </w:p>
        </w:tc>
        <w:tc>
          <w:tcPr>
            <w:tcW w:w="2268" w:type="dxa"/>
          </w:tcPr>
          <w:p w14:paraId="42CA516B" w14:textId="4CE0C587" w:rsidR="00E024D5" w:rsidRDefault="00914B91" w:rsidP="0085613E">
            <w:pPr>
              <w:pStyle w:val="TableText"/>
            </w:pPr>
            <w:r>
              <w:t>43/51 (84.3%)</w:t>
            </w:r>
          </w:p>
        </w:tc>
        <w:tc>
          <w:tcPr>
            <w:tcW w:w="1843" w:type="dxa"/>
          </w:tcPr>
          <w:p w14:paraId="12DA7F18" w14:textId="06C54E01" w:rsidR="004F5C2F" w:rsidRDefault="00914B91" w:rsidP="0085613E">
            <w:pPr>
              <w:pStyle w:val="TableText"/>
            </w:pPr>
            <w:r>
              <w:t>0.002</w:t>
            </w:r>
          </w:p>
        </w:tc>
      </w:tr>
      <w:tr w:rsidR="007A7C0D" w14:paraId="2176B54A" w14:textId="634A818D" w:rsidTr="007F3F49">
        <w:trPr>
          <w:trHeight w:val="291"/>
        </w:trPr>
        <w:tc>
          <w:tcPr>
            <w:tcW w:w="2830" w:type="dxa"/>
          </w:tcPr>
          <w:p w14:paraId="74C9CA56" w14:textId="03D3D536" w:rsidR="007A7C0D" w:rsidRDefault="00914B91" w:rsidP="0085613E">
            <w:pPr>
              <w:pStyle w:val="TableText"/>
            </w:pPr>
            <w:r>
              <w:t>Brain MRI performed</w:t>
            </w:r>
          </w:p>
        </w:tc>
        <w:tc>
          <w:tcPr>
            <w:tcW w:w="2268" w:type="dxa"/>
          </w:tcPr>
          <w:p w14:paraId="2ED44C0F" w14:textId="5E966766" w:rsidR="007A7C0D" w:rsidRPr="00271A23" w:rsidRDefault="009B3FC8" w:rsidP="0085613E">
            <w:pPr>
              <w:pStyle w:val="TableText"/>
            </w:pPr>
            <w:r w:rsidRPr="00271A23">
              <w:t>20/56 (35.7%)</w:t>
            </w:r>
          </w:p>
        </w:tc>
        <w:tc>
          <w:tcPr>
            <w:tcW w:w="2268" w:type="dxa"/>
          </w:tcPr>
          <w:p w14:paraId="7AB957B8" w14:textId="2AB9C6C7" w:rsidR="007A7C0D" w:rsidRDefault="00914B91" w:rsidP="0085613E">
            <w:pPr>
              <w:pStyle w:val="TableText"/>
            </w:pPr>
            <w:r>
              <w:t>14/51 (27.5%)</w:t>
            </w:r>
          </w:p>
        </w:tc>
        <w:tc>
          <w:tcPr>
            <w:tcW w:w="1843" w:type="dxa"/>
          </w:tcPr>
          <w:p w14:paraId="3C58E327" w14:textId="792FBA42" w:rsidR="007A7C0D" w:rsidRDefault="001D6490" w:rsidP="0085613E">
            <w:pPr>
              <w:pStyle w:val="TableText"/>
            </w:pPr>
            <w:r>
              <w:t>0.36</w:t>
            </w:r>
          </w:p>
        </w:tc>
      </w:tr>
      <w:tr w:rsidR="007A7C0D" w14:paraId="6C1E150C" w14:textId="390F1C58" w:rsidTr="007F3F49">
        <w:trPr>
          <w:trHeight w:val="278"/>
        </w:trPr>
        <w:tc>
          <w:tcPr>
            <w:tcW w:w="2830" w:type="dxa"/>
          </w:tcPr>
          <w:p w14:paraId="46B21583" w14:textId="1F4CDD8D" w:rsidR="007A7C0D" w:rsidRDefault="004E0761" w:rsidP="0085613E">
            <w:pPr>
              <w:pStyle w:val="TableText"/>
            </w:pPr>
            <w:r>
              <w:t>Age at first transfusion, years, median (IQR)</w:t>
            </w:r>
          </w:p>
        </w:tc>
        <w:tc>
          <w:tcPr>
            <w:tcW w:w="2268" w:type="dxa"/>
          </w:tcPr>
          <w:p w14:paraId="38F00C8B" w14:textId="5F148CE5" w:rsidR="007A7C0D" w:rsidRPr="00271A23" w:rsidRDefault="004E0761" w:rsidP="0085613E">
            <w:pPr>
              <w:pStyle w:val="TableText"/>
            </w:pPr>
            <w:r w:rsidRPr="00271A23">
              <w:t>5.0 (2.0, 7.0)</w:t>
            </w:r>
          </w:p>
        </w:tc>
        <w:tc>
          <w:tcPr>
            <w:tcW w:w="2268" w:type="dxa"/>
          </w:tcPr>
          <w:p w14:paraId="16D1A5F5" w14:textId="5A01ED88" w:rsidR="007A7C0D" w:rsidRDefault="004E0761" w:rsidP="0085613E">
            <w:pPr>
              <w:pStyle w:val="TableText"/>
            </w:pPr>
            <w:r>
              <w:t>5.0 (3.0, 7.0)</w:t>
            </w:r>
          </w:p>
        </w:tc>
        <w:tc>
          <w:tcPr>
            <w:tcW w:w="1843" w:type="dxa"/>
          </w:tcPr>
          <w:p w14:paraId="13BF3942" w14:textId="472F8BF7" w:rsidR="007A7C0D" w:rsidRDefault="004E0761" w:rsidP="0085613E">
            <w:pPr>
              <w:pStyle w:val="TableText"/>
            </w:pPr>
            <w:r>
              <w:t>0.67</w:t>
            </w:r>
          </w:p>
        </w:tc>
      </w:tr>
    </w:tbl>
    <w:p w14:paraId="072CBA60" w14:textId="4C8CEE8B" w:rsidR="0085613E" w:rsidRDefault="009A3010" w:rsidP="009A3010">
      <w:pPr>
        <w:pStyle w:val="Tablenotes"/>
      </w:pPr>
      <w:r>
        <w:t xml:space="preserve">IQR = interquartile range; </w:t>
      </w:r>
      <w:r w:rsidR="00271A23">
        <w:t xml:space="preserve">MRI = magnetic resonance imaging; </w:t>
      </w:r>
      <w:r>
        <w:t>SCD = sickle cell disease</w:t>
      </w:r>
    </w:p>
    <w:p w14:paraId="03FA373C" w14:textId="661F22FA" w:rsidR="003C3F2B" w:rsidRDefault="0019492F" w:rsidP="000A06BE">
      <w:pPr>
        <w:pStyle w:val="Tablenotes"/>
        <w:spacing w:after="240"/>
      </w:pPr>
      <w:r w:rsidRPr="0019492F">
        <w:t>Source: Australian Haemoglobinopath</w:t>
      </w:r>
      <w:r w:rsidR="00E2123D">
        <w:t>y</w:t>
      </w:r>
      <w:r w:rsidRPr="0019492F">
        <w:t xml:space="preserve"> Registry data </w:t>
      </w:r>
    </w:p>
    <w:p w14:paraId="458CF18D" w14:textId="55A8453A" w:rsidR="00463CBC" w:rsidRDefault="002A0FD3" w:rsidP="00A24E5C">
      <w:pPr>
        <w:pStyle w:val="Heading5"/>
      </w:pPr>
      <w:r>
        <w:t>Effectiveness of change in management</w:t>
      </w:r>
    </w:p>
    <w:p w14:paraId="0352BDB1" w14:textId="2FFF1B09" w:rsidR="00B31F29" w:rsidRDefault="00226704" w:rsidP="00854FDD">
      <w:pPr>
        <w:shd w:val="clear" w:color="auto" w:fill="FFFFFF" w:themeFill="background1"/>
      </w:pPr>
      <w:r>
        <w:t>The most directly applicable evidence</w:t>
      </w:r>
      <w:r w:rsidR="001C4F7A">
        <w:t xml:space="preserve"> assessing the health impact of early versus late diagnosis</w:t>
      </w:r>
      <w:r w:rsidR="00B31F29">
        <w:t xml:space="preserve"> came from the </w:t>
      </w:r>
      <w:proofErr w:type="spellStart"/>
      <w:r>
        <w:t>HbR</w:t>
      </w:r>
      <w:proofErr w:type="spellEnd"/>
      <w:r w:rsidR="00B31F29">
        <w:t xml:space="preserve">. </w:t>
      </w:r>
      <w:r w:rsidR="00427371">
        <w:t>Th</w:t>
      </w:r>
      <w:r w:rsidR="00FE67AA">
        <w:t xml:space="preserve">e </w:t>
      </w:r>
      <w:proofErr w:type="spellStart"/>
      <w:r w:rsidR="00FE67AA">
        <w:t>HbR</w:t>
      </w:r>
      <w:proofErr w:type="spellEnd"/>
      <w:r w:rsidR="00A5340C">
        <w:t xml:space="preserve"> data</w:t>
      </w:r>
      <w:r w:rsidR="00427371">
        <w:t xml:space="preserve"> compared the outcomes for those who were diagnosed </w:t>
      </w:r>
      <w:r w:rsidR="00850ACD">
        <w:t xml:space="preserve">at or after symptom onset, versus those diagnosed prior to symptom onset. </w:t>
      </w:r>
      <w:r w:rsidR="008B0D41">
        <w:t xml:space="preserve">The rates of complications were higher in the group diagnosed later, for nearly all </w:t>
      </w:r>
      <w:r w:rsidR="00D122D5">
        <w:t xml:space="preserve">outcomes, although the differences were too small to be statistically different. </w:t>
      </w:r>
      <w:r w:rsidR="00BA1B74">
        <w:t xml:space="preserve">A statistically significantly higher proportion of patients </w:t>
      </w:r>
      <w:r w:rsidR="002B6D98">
        <w:t>in the late diagnosis group had</w:t>
      </w:r>
      <w:r w:rsidR="0055774B">
        <w:t xml:space="preserve"> a </w:t>
      </w:r>
      <w:r w:rsidR="0055774B" w:rsidRPr="00544A7B">
        <w:t>history of sepsis</w:t>
      </w:r>
      <w:r w:rsidR="00226F4B" w:rsidRPr="00544A7B">
        <w:t xml:space="preserve"> and cholec</w:t>
      </w:r>
      <w:r w:rsidR="004659F6" w:rsidRPr="00544A7B">
        <w:t>ystectomy</w:t>
      </w:r>
      <w:r w:rsidR="004659F6">
        <w:t xml:space="preserve"> than </w:t>
      </w:r>
      <w:r w:rsidR="006F7E8E">
        <w:t>th</w:t>
      </w:r>
      <w:r w:rsidR="009E6140">
        <w:t xml:space="preserve">e </w:t>
      </w:r>
      <w:r w:rsidR="00B35E7D">
        <w:t>group diagnosed early</w:t>
      </w:r>
      <w:r w:rsidR="00D82FDC">
        <w:t>, although this was not a comparison between the intervention and the comparator</w:t>
      </w:r>
      <w:r w:rsidR="005E754D">
        <w:t xml:space="preserve">. There was also a non-significant trend towards </w:t>
      </w:r>
      <w:r w:rsidR="00785E9F">
        <w:t xml:space="preserve">a higher </w:t>
      </w:r>
      <w:r w:rsidR="00506209">
        <w:t xml:space="preserve">proportion of </w:t>
      </w:r>
      <w:r w:rsidR="00544A7B">
        <w:t xml:space="preserve">the late-diagnosed </w:t>
      </w:r>
      <w:r w:rsidR="00506209">
        <w:t>patients having had a splenectomy</w:t>
      </w:r>
      <w:r w:rsidR="00544A7B">
        <w:t xml:space="preserve"> (compared to those diagnosed early by targeted testing). </w:t>
      </w:r>
      <w:r w:rsidR="004659F6">
        <w:t xml:space="preserve"> </w:t>
      </w:r>
    </w:p>
    <w:p w14:paraId="41F7E399" w14:textId="77777777" w:rsidR="0053478C" w:rsidRPr="00A15A08" w:rsidRDefault="00C359DE" w:rsidP="00D122D5">
      <w:pPr>
        <w:pStyle w:val="Caption"/>
        <w:rPr>
          <w:rFonts w:ascii="Franklin Gothic Book" w:hAnsi="Franklin Gothic Book"/>
          <w:b w:val="0"/>
          <w:bCs w:val="0"/>
          <w:sz w:val="22"/>
          <w:szCs w:val="22"/>
        </w:rPr>
      </w:pPr>
      <w:r w:rsidRPr="00A15A08">
        <w:rPr>
          <w:rFonts w:ascii="Franklin Gothic Book" w:hAnsi="Franklin Gothic Book"/>
          <w:b w:val="0"/>
          <w:bCs w:val="0"/>
          <w:sz w:val="22"/>
          <w:szCs w:val="22"/>
        </w:rPr>
        <w:t>Over a 12</w:t>
      </w:r>
      <w:r w:rsidR="00D137FC" w:rsidRPr="00A15A08">
        <w:rPr>
          <w:rFonts w:ascii="Franklin Gothic Book" w:hAnsi="Franklin Gothic Book"/>
          <w:b w:val="0"/>
          <w:bCs w:val="0"/>
          <w:sz w:val="22"/>
          <w:szCs w:val="22"/>
        </w:rPr>
        <w:t>-</w:t>
      </w:r>
      <w:r w:rsidRPr="00A15A08">
        <w:rPr>
          <w:rFonts w:ascii="Franklin Gothic Book" w:hAnsi="Franklin Gothic Book"/>
          <w:b w:val="0"/>
          <w:bCs w:val="0"/>
          <w:sz w:val="22"/>
          <w:szCs w:val="22"/>
        </w:rPr>
        <w:t>month period, patients diagnos</w:t>
      </w:r>
      <w:r w:rsidR="0048788D" w:rsidRPr="00A15A08">
        <w:rPr>
          <w:rFonts w:ascii="Franklin Gothic Book" w:hAnsi="Franklin Gothic Book"/>
          <w:b w:val="0"/>
          <w:bCs w:val="0"/>
          <w:sz w:val="22"/>
          <w:szCs w:val="22"/>
        </w:rPr>
        <w:t>ed</w:t>
      </w:r>
      <w:r w:rsidRPr="00A15A08">
        <w:rPr>
          <w:rFonts w:ascii="Franklin Gothic Book" w:hAnsi="Franklin Gothic Book"/>
          <w:b w:val="0"/>
          <w:bCs w:val="0"/>
          <w:sz w:val="22"/>
          <w:szCs w:val="22"/>
        </w:rPr>
        <w:t xml:space="preserve"> at or after symptom onset had an average of 1.18 </w:t>
      </w:r>
      <w:r w:rsidR="00F15AA0" w:rsidRPr="00A15A08">
        <w:rPr>
          <w:rFonts w:ascii="Franklin Gothic Book" w:hAnsi="Franklin Gothic Book"/>
          <w:b w:val="0"/>
          <w:bCs w:val="0"/>
          <w:sz w:val="22"/>
          <w:szCs w:val="22"/>
        </w:rPr>
        <w:t>SCD</w:t>
      </w:r>
      <w:r w:rsidR="0074200D" w:rsidRPr="00A15A08">
        <w:rPr>
          <w:rFonts w:ascii="Franklin Gothic Book" w:hAnsi="Franklin Gothic Book"/>
          <w:b w:val="0"/>
          <w:bCs w:val="0"/>
          <w:sz w:val="22"/>
          <w:szCs w:val="22"/>
        </w:rPr>
        <w:t xml:space="preserve">-related </w:t>
      </w:r>
      <w:r w:rsidRPr="00A15A08">
        <w:rPr>
          <w:rFonts w:ascii="Franklin Gothic Book" w:hAnsi="Franklin Gothic Book"/>
          <w:b w:val="0"/>
          <w:bCs w:val="0"/>
          <w:sz w:val="22"/>
          <w:szCs w:val="22"/>
        </w:rPr>
        <w:t>presentations to the emergency department</w:t>
      </w:r>
      <w:r w:rsidR="00C01DC6" w:rsidRPr="00A15A08">
        <w:rPr>
          <w:rFonts w:ascii="Franklin Gothic Book" w:hAnsi="Franklin Gothic Book"/>
          <w:b w:val="0"/>
          <w:bCs w:val="0"/>
          <w:sz w:val="22"/>
          <w:szCs w:val="22"/>
        </w:rPr>
        <w:t xml:space="preserve"> (ED)</w:t>
      </w:r>
      <w:r w:rsidRPr="00A15A08">
        <w:rPr>
          <w:rFonts w:ascii="Franklin Gothic Book" w:hAnsi="Franklin Gothic Book"/>
          <w:b w:val="0"/>
          <w:bCs w:val="0"/>
          <w:sz w:val="22"/>
          <w:szCs w:val="22"/>
        </w:rPr>
        <w:t xml:space="preserve">, whereas </w:t>
      </w:r>
      <w:r w:rsidR="0003294E" w:rsidRPr="00A15A08">
        <w:rPr>
          <w:rFonts w:ascii="Franklin Gothic Book" w:hAnsi="Franklin Gothic Book"/>
          <w:b w:val="0"/>
          <w:bCs w:val="0"/>
          <w:sz w:val="22"/>
          <w:szCs w:val="22"/>
        </w:rPr>
        <w:t xml:space="preserve">those diagnosed early through targeted testing, had on average </w:t>
      </w:r>
      <w:r w:rsidR="001F5AA0" w:rsidRPr="00A15A08">
        <w:rPr>
          <w:rFonts w:ascii="Franklin Gothic Book" w:hAnsi="Franklin Gothic Book"/>
          <w:b w:val="0"/>
          <w:bCs w:val="0"/>
          <w:sz w:val="22"/>
          <w:szCs w:val="22"/>
        </w:rPr>
        <w:t xml:space="preserve">0.41 </w:t>
      </w:r>
      <w:r w:rsidR="00152C5C" w:rsidRPr="00A15A08">
        <w:rPr>
          <w:rFonts w:ascii="Franklin Gothic Book" w:hAnsi="Franklin Gothic Book"/>
          <w:b w:val="0"/>
          <w:bCs w:val="0"/>
          <w:sz w:val="22"/>
          <w:szCs w:val="22"/>
        </w:rPr>
        <w:t>SCD-related</w:t>
      </w:r>
      <w:r w:rsidR="006552A8" w:rsidRPr="00A15A08">
        <w:rPr>
          <w:rFonts w:ascii="Franklin Gothic Book" w:hAnsi="Franklin Gothic Book"/>
          <w:b w:val="0"/>
          <w:bCs w:val="0"/>
          <w:sz w:val="22"/>
          <w:szCs w:val="22"/>
        </w:rPr>
        <w:t xml:space="preserve"> </w:t>
      </w:r>
      <w:r w:rsidR="00157CE2" w:rsidRPr="00A15A08">
        <w:rPr>
          <w:rFonts w:ascii="Franklin Gothic Book" w:hAnsi="Franklin Gothic Book"/>
          <w:b w:val="0"/>
          <w:bCs w:val="0"/>
          <w:sz w:val="22"/>
          <w:szCs w:val="22"/>
        </w:rPr>
        <w:t xml:space="preserve">ED </w:t>
      </w:r>
      <w:r w:rsidR="001F5AA0" w:rsidRPr="00A15A08">
        <w:rPr>
          <w:rFonts w:ascii="Franklin Gothic Book" w:hAnsi="Franklin Gothic Book"/>
          <w:b w:val="0"/>
          <w:bCs w:val="0"/>
          <w:sz w:val="22"/>
          <w:szCs w:val="22"/>
        </w:rPr>
        <w:t>presentations</w:t>
      </w:r>
      <w:r w:rsidR="003A018E" w:rsidRPr="00A15A08">
        <w:rPr>
          <w:rFonts w:ascii="Franklin Gothic Book" w:hAnsi="Franklin Gothic Book"/>
          <w:b w:val="0"/>
          <w:bCs w:val="0"/>
          <w:sz w:val="22"/>
          <w:szCs w:val="22"/>
        </w:rPr>
        <w:t xml:space="preserve"> each year</w:t>
      </w:r>
      <w:r w:rsidR="001F5AA0" w:rsidRPr="00A15A08">
        <w:rPr>
          <w:rFonts w:ascii="Franklin Gothic Book" w:hAnsi="Franklin Gothic Book"/>
          <w:b w:val="0"/>
          <w:bCs w:val="0"/>
          <w:sz w:val="22"/>
          <w:szCs w:val="22"/>
        </w:rPr>
        <w:t xml:space="preserve">. </w:t>
      </w:r>
      <w:r w:rsidR="00336180" w:rsidRPr="00A15A08">
        <w:rPr>
          <w:rFonts w:ascii="Franklin Gothic Book" w:hAnsi="Franklin Gothic Book"/>
          <w:b w:val="0"/>
          <w:bCs w:val="0"/>
          <w:sz w:val="22"/>
          <w:szCs w:val="22"/>
        </w:rPr>
        <w:t xml:space="preserve">Nearly every instance of ED presentation was followed by hospital admission. </w:t>
      </w:r>
      <w:bookmarkStart w:id="34" w:name="_Ref149571786"/>
    </w:p>
    <w:p w14:paraId="11E89379" w14:textId="6DB8BD32" w:rsidR="00D122D5" w:rsidRDefault="00D122D5" w:rsidP="00D122D5">
      <w:pPr>
        <w:pStyle w:val="Caption"/>
      </w:pPr>
      <w:r>
        <w:t xml:space="preserve">Table </w:t>
      </w:r>
      <w:r>
        <w:fldChar w:fldCharType="begin"/>
      </w:r>
      <w:r>
        <w:instrText>SEQ Table \* ARABIC</w:instrText>
      </w:r>
      <w:r>
        <w:fldChar w:fldCharType="separate"/>
      </w:r>
      <w:r w:rsidR="007D770C">
        <w:rPr>
          <w:noProof/>
        </w:rPr>
        <w:t>7</w:t>
      </w:r>
      <w:r>
        <w:fldChar w:fldCharType="end"/>
      </w:r>
      <w:bookmarkEnd w:id="34"/>
      <w:r>
        <w:tab/>
      </w:r>
      <w:r w:rsidR="00183B21">
        <w:t xml:space="preserve">Complications due to SCD in those diagnosed after symptom onset or </w:t>
      </w:r>
      <w:r w:rsidR="00731E88">
        <w:t xml:space="preserve">due to targeted </w:t>
      </w:r>
      <w:proofErr w:type="gramStart"/>
      <w:r w:rsidR="00731E88">
        <w:t>testing</w:t>
      </w:r>
      <w:proofErr w:type="gramEnd"/>
    </w:p>
    <w:tbl>
      <w:tblPr>
        <w:tblStyle w:val="TableGrid"/>
        <w:tblW w:w="0" w:type="auto"/>
        <w:tblLook w:val="04A0" w:firstRow="1" w:lastRow="0" w:firstColumn="1" w:lastColumn="0" w:noHBand="0" w:noVBand="1"/>
      </w:tblPr>
      <w:tblGrid>
        <w:gridCol w:w="2830"/>
        <w:gridCol w:w="2268"/>
        <w:gridCol w:w="2268"/>
        <w:gridCol w:w="1650"/>
      </w:tblGrid>
      <w:tr w:rsidR="00596428" w14:paraId="58F1C656" w14:textId="77777777" w:rsidTr="000323E7">
        <w:tc>
          <w:tcPr>
            <w:tcW w:w="2830" w:type="dxa"/>
          </w:tcPr>
          <w:p w14:paraId="22703904" w14:textId="38E626F2" w:rsidR="00596428" w:rsidRPr="00596428" w:rsidRDefault="00596428" w:rsidP="00123729">
            <w:pPr>
              <w:pStyle w:val="Tabletext0"/>
              <w:jc w:val="left"/>
              <w:rPr>
                <w:b/>
                <w:bCs/>
              </w:rPr>
            </w:pPr>
            <w:r w:rsidRPr="00596428">
              <w:rPr>
                <w:b/>
                <w:bCs/>
              </w:rPr>
              <w:t xml:space="preserve">Complications in </w:t>
            </w:r>
            <w:r w:rsidR="00123729">
              <w:rPr>
                <w:b/>
                <w:bCs/>
              </w:rPr>
              <w:t>past</w:t>
            </w:r>
            <w:r w:rsidRPr="00596428">
              <w:rPr>
                <w:b/>
                <w:bCs/>
              </w:rPr>
              <w:t xml:space="preserve"> 12 months</w:t>
            </w:r>
          </w:p>
        </w:tc>
        <w:tc>
          <w:tcPr>
            <w:tcW w:w="2268" w:type="dxa"/>
          </w:tcPr>
          <w:p w14:paraId="464819FB" w14:textId="5D75EB88" w:rsidR="00596428" w:rsidRPr="00596428" w:rsidRDefault="00596428" w:rsidP="00123729">
            <w:pPr>
              <w:pStyle w:val="Tabletext0"/>
              <w:jc w:val="left"/>
              <w:rPr>
                <w:b/>
                <w:bCs/>
              </w:rPr>
            </w:pPr>
            <w:r w:rsidRPr="00596428">
              <w:rPr>
                <w:b/>
                <w:bCs/>
              </w:rPr>
              <w:t>Diagnosed at or after symptom onset (n=57)</w:t>
            </w:r>
          </w:p>
        </w:tc>
        <w:tc>
          <w:tcPr>
            <w:tcW w:w="2268" w:type="dxa"/>
          </w:tcPr>
          <w:p w14:paraId="57198F9E" w14:textId="6FB3833D" w:rsidR="00596428" w:rsidRPr="00596428" w:rsidRDefault="00596428" w:rsidP="00123729">
            <w:pPr>
              <w:pStyle w:val="Tabletext0"/>
              <w:jc w:val="left"/>
              <w:rPr>
                <w:b/>
                <w:bCs/>
              </w:rPr>
            </w:pPr>
            <w:r w:rsidRPr="00596428">
              <w:rPr>
                <w:b/>
                <w:bCs/>
              </w:rPr>
              <w:t>Diagnosed before symptom onset (n=5</w:t>
            </w:r>
            <w:r>
              <w:rPr>
                <w:b/>
                <w:bCs/>
              </w:rPr>
              <w:t>1</w:t>
            </w:r>
            <w:r w:rsidRPr="00596428">
              <w:rPr>
                <w:b/>
                <w:bCs/>
              </w:rPr>
              <w:t>)</w:t>
            </w:r>
          </w:p>
        </w:tc>
        <w:tc>
          <w:tcPr>
            <w:tcW w:w="1650" w:type="dxa"/>
          </w:tcPr>
          <w:p w14:paraId="0AA78DA6" w14:textId="2EFE5B03" w:rsidR="00596428" w:rsidRPr="00596428" w:rsidRDefault="00596428" w:rsidP="00123729">
            <w:pPr>
              <w:pStyle w:val="Tabletext0"/>
              <w:jc w:val="left"/>
              <w:rPr>
                <w:b/>
                <w:bCs/>
              </w:rPr>
            </w:pPr>
            <w:r w:rsidRPr="00596428">
              <w:rPr>
                <w:b/>
                <w:bCs/>
              </w:rPr>
              <w:t>p-value</w:t>
            </w:r>
          </w:p>
        </w:tc>
      </w:tr>
      <w:tr w:rsidR="00596428" w14:paraId="593A1915" w14:textId="77777777" w:rsidTr="000323E7">
        <w:tc>
          <w:tcPr>
            <w:tcW w:w="2830" w:type="dxa"/>
          </w:tcPr>
          <w:p w14:paraId="56C867A4" w14:textId="447D0E88" w:rsidR="00596428" w:rsidRDefault="009E7AC7" w:rsidP="00B579B4">
            <w:pPr>
              <w:pStyle w:val="Tabletext0"/>
              <w:jc w:val="left"/>
            </w:pPr>
            <w:r>
              <w:t>V</w:t>
            </w:r>
            <w:r w:rsidR="00553B3B">
              <w:t>aso-occlusive crisis</w:t>
            </w:r>
          </w:p>
        </w:tc>
        <w:tc>
          <w:tcPr>
            <w:tcW w:w="2268" w:type="dxa"/>
          </w:tcPr>
          <w:p w14:paraId="613CD0C6" w14:textId="5B2EB26B" w:rsidR="00596428" w:rsidRDefault="00553B3B" w:rsidP="00596428">
            <w:pPr>
              <w:pStyle w:val="Tabletext0"/>
            </w:pPr>
            <w:r>
              <w:t>49/57 (</w:t>
            </w:r>
            <w:r w:rsidR="004F475F">
              <w:t>86.0%)</w:t>
            </w:r>
          </w:p>
        </w:tc>
        <w:tc>
          <w:tcPr>
            <w:tcW w:w="2268" w:type="dxa"/>
          </w:tcPr>
          <w:p w14:paraId="75221FBB" w14:textId="478C291B" w:rsidR="00596428" w:rsidRDefault="004F475F" w:rsidP="00596428">
            <w:pPr>
              <w:pStyle w:val="Tabletext0"/>
            </w:pPr>
            <w:r>
              <w:t>40/51 (78.4%)</w:t>
            </w:r>
          </w:p>
        </w:tc>
        <w:tc>
          <w:tcPr>
            <w:tcW w:w="1650" w:type="dxa"/>
          </w:tcPr>
          <w:p w14:paraId="3928470A" w14:textId="32511B2B" w:rsidR="00596428" w:rsidRDefault="004F475F" w:rsidP="00596428">
            <w:pPr>
              <w:pStyle w:val="Tabletext0"/>
            </w:pPr>
            <w:r>
              <w:t>0.30</w:t>
            </w:r>
          </w:p>
        </w:tc>
      </w:tr>
      <w:tr w:rsidR="00596428" w14:paraId="317EDB3F" w14:textId="77777777" w:rsidTr="000323E7">
        <w:tc>
          <w:tcPr>
            <w:tcW w:w="2830" w:type="dxa"/>
          </w:tcPr>
          <w:p w14:paraId="24E11B4A" w14:textId="1F4ED9A8" w:rsidR="00596428" w:rsidRDefault="004F475F" w:rsidP="00596428">
            <w:pPr>
              <w:pStyle w:val="Tabletext0"/>
            </w:pPr>
            <w:r>
              <w:t>Splenic sequestration</w:t>
            </w:r>
          </w:p>
        </w:tc>
        <w:tc>
          <w:tcPr>
            <w:tcW w:w="2268" w:type="dxa"/>
          </w:tcPr>
          <w:p w14:paraId="6AE0A57F" w14:textId="68FC9015" w:rsidR="00596428" w:rsidRDefault="004F475F" w:rsidP="00596428">
            <w:pPr>
              <w:pStyle w:val="Tabletext0"/>
            </w:pPr>
            <w:r>
              <w:t>13/57 (22.8%)</w:t>
            </w:r>
          </w:p>
        </w:tc>
        <w:tc>
          <w:tcPr>
            <w:tcW w:w="2268" w:type="dxa"/>
          </w:tcPr>
          <w:p w14:paraId="4739DB25" w14:textId="5210D05E" w:rsidR="00596428" w:rsidRDefault="004F475F" w:rsidP="00596428">
            <w:pPr>
              <w:pStyle w:val="Tabletext0"/>
            </w:pPr>
            <w:r>
              <w:t>11/51 (</w:t>
            </w:r>
            <w:r w:rsidR="00FC1F6A">
              <w:t>21.6%)</w:t>
            </w:r>
          </w:p>
        </w:tc>
        <w:tc>
          <w:tcPr>
            <w:tcW w:w="1650" w:type="dxa"/>
          </w:tcPr>
          <w:p w14:paraId="1198E466" w14:textId="7C1F44E7" w:rsidR="00596428" w:rsidRDefault="00FC1F6A" w:rsidP="00596428">
            <w:pPr>
              <w:pStyle w:val="Tabletext0"/>
            </w:pPr>
            <w:r>
              <w:t>0.88</w:t>
            </w:r>
          </w:p>
        </w:tc>
      </w:tr>
      <w:tr w:rsidR="00596428" w14:paraId="067642B0" w14:textId="77777777" w:rsidTr="000323E7">
        <w:tc>
          <w:tcPr>
            <w:tcW w:w="2830" w:type="dxa"/>
          </w:tcPr>
          <w:p w14:paraId="6AADD095" w14:textId="528B2328" w:rsidR="00596428" w:rsidRDefault="001E4CD9" w:rsidP="00596428">
            <w:pPr>
              <w:pStyle w:val="Tabletext0"/>
            </w:pPr>
            <w:r>
              <w:t>Aplastic crisis</w:t>
            </w:r>
          </w:p>
        </w:tc>
        <w:tc>
          <w:tcPr>
            <w:tcW w:w="2268" w:type="dxa"/>
          </w:tcPr>
          <w:p w14:paraId="2927D606" w14:textId="3A391569" w:rsidR="00596428" w:rsidRDefault="001E4CD9" w:rsidP="00596428">
            <w:pPr>
              <w:pStyle w:val="Tabletext0"/>
            </w:pPr>
            <w:r>
              <w:t>4/57 (</w:t>
            </w:r>
            <w:r w:rsidR="006C64DD">
              <w:t>7.0%)</w:t>
            </w:r>
          </w:p>
        </w:tc>
        <w:tc>
          <w:tcPr>
            <w:tcW w:w="2268" w:type="dxa"/>
          </w:tcPr>
          <w:p w14:paraId="784A5B40" w14:textId="3678D6B5" w:rsidR="00596428" w:rsidRDefault="006C64DD" w:rsidP="00596428">
            <w:pPr>
              <w:pStyle w:val="Tabletext0"/>
            </w:pPr>
            <w:r>
              <w:t>3/51 (5.9%)</w:t>
            </w:r>
          </w:p>
        </w:tc>
        <w:tc>
          <w:tcPr>
            <w:tcW w:w="1650" w:type="dxa"/>
          </w:tcPr>
          <w:p w14:paraId="579B937F" w14:textId="3E3089CC" w:rsidR="00596428" w:rsidRDefault="00D1315B" w:rsidP="00596428">
            <w:pPr>
              <w:pStyle w:val="Tabletext0"/>
            </w:pPr>
            <w:r>
              <w:t>0.81</w:t>
            </w:r>
          </w:p>
        </w:tc>
      </w:tr>
      <w:tr w:rsidR="001E4CD9" w14:paraId="6D30150D" w14:textId="77777777" w:rsidTr="000323E7">
        <w:tc>
          <w:tcPr>
            <w:tcW w:w="2830" w:type="dxa"/>
          </w:tcPr>
          <w:p w14:paraId="2F37666D" w14:textId="37B7E774" w:rsidR="001E4CD9" w:rsidRDefault="00D1315B" w:rsidP="00596428">
            <w:pPr>
              <w:pStyle w:val="Tabletext0"/>
            </w:pPr>
            <w:r>
              <w:t>Stroke – silent</w:t>
            </w:r>
          </w:p>
        </w:tc>
        <w:tc>
          <w:tcPr>
            <w:tcW w:w="2268" w:type="dxa"/>
          </w:tcPr>
          <w:p w14:paraId="7B61223C" w14:textId="2CD93850" w:rsidR="001E4CD9" w:rsidRDefault="00D1315B" w:rsidP="00596428">
            <w:pPr>
              <w:pStyle w:val="Tabletext0"/>
            </w:pPr>
            <w:r>
              <w:t>1/57 (1.8%)</w:t>
            </w:r>
          </w:p>
        </w:tc>
        <w:tc>
          <w:tcPr>
            <w:tcW w:w="2268" w:type="dxa"/>
          </w:tcPr>
          <w:p w14:paraId="586B524E" w14:textId="1FBF433B" w:rsidR="001E4CD9" w:rsidRDefault="00D1315B" w:rsidP="00596428">
            <w:pPr>
              <w:pStyle w:val="Tabletext0"/>
            </w:pPr>
            <w:r>
              <w:t>0/51 (0.0%)</w:t>
            </w:r>
          </w:p>
        </w:tc>
        <w:tc>
          <w:tcPr>
            <w:tcW w:w="1650" w:type="dxa"/>
          </w:tcPr>
          <w:p w14:paraId="28415394" w14:textId="4C078BF4" w:rsidR="001E4CD9" w:rsidRDefault="00D1315B" w:rsidP="00596428">
            <w:pPr>
              <w:pStyle w:val="Tabletext0"/>
            </w:pPr>
            <w:r>
              <w:t>0.34</w:t>
            </w:r>
          </w:p>
        </w:tc>
      </w:tr>
      <w:tr w:rsidR="001E4CD9" w14:paraId="03829650" w14:textId="77777777" w:rsidTr="000323E7">
        <w:tc>
          <w:tcPr>
            <w:tcW w:w="2830" w:type="dxa"/>
          </w:tcPr>
          <w:p w14:paraId="679A0C17" w14:textId="01D7482C" w:rsidR="001E4CD9" w:rsidRDefault="00D1315B" w:rsidP="00596428">
            <w:pPr>
              <w:pStyle w:val="Tabletext0"/>
            </w:pPr>
            <w:r>
              <w:t>Stroke – overt, clinical</w:t>
            </w:r>
          </w:p>
        </w:tc>
        <w:tc>
          <w:tcPr>
            <w:tcW w:w="2268" w:type="dxa"/>
          </w:tcPr>
          <w:p w14:paraId="1BCECC50" w14:textId="2B63AC3A" w:rsidR="001E4CD9" w:rsidRDefault="008466D2" w:rsidP="00596428">
            <w:pPr>
              <w:pStyle w:val="Tabletext0"/>
            </w:pPr>
            <w:r>
              <w:t>0/57 (0.0%)</w:t>
            </w:r>
          </w:p>
        </w:tc>
        <w:tc>
          <w:tcPr>
            <w:tcW w:w="2268" w:type="dxa"/>
          </w:tcPr>
          <w:p w14:paraId="6780D980" w14:textId="78EFBDD3" w:rsidR="001E4CD9" w:rsidRDefault="008466D2" w:rsidP="00596428">
            <w:pPr>
              <w:pStyle w:val="Tabletext0"/>
            </w:pPr>
            <w:r>
              <w:t>0/51 (0.0%)</w:t>
            </w:r>
          </w:p>
        </w:tc>
        <w:tc>
          <w:tcPr>
            <w:tcW w:w="1650" w:type="dxa"/>
          </w:tcPr>
          <w:p w14:paraId="5524E56E" w14:textId="205230B4" w:rsidR="001E4CD9" w:rsidRDefault="008466D2" w:rsidP="00596428">
            <w:pPr>
              <w:pStyle w:val="Tabletext0"/>
            </w:pPr>
            <w:r>
              <w:t>-</w:t>
            </w:r>
          </w:p>
        </w:tc>
      </w:tr>
      <w:tr w:rsidR="008466D2" w14:paraId="770A6F4D" w14:textId="77777777" w:rsidTr="000323E7">
        <w:tc>
          <w:tcPr>
            <w:tcW w:w="2830" w:type="dxa"/>
          </w:tcPr>
          <w:p w14:paraId="51FA3B66" w14:textId="078E2144" w:rsidR="008466D2" w:rsidRDefault="008466D2" w:rsidP="00596428">
            <w:pPr>
              <w:pStyle w:val="Tabletext0"/>
            </w:pPr>
            <w:r>
              <w:t>Neurocognitive impairment</w:t>
            </w:r>
          </w:p>
        </w:tc>
        <w:tc>
          <w:tcPr>
            <w:tcW w:w="2268" w:type="dxa"/>
          </w:tcPr>
          <w:p w14:paraId="07C592B9" w14:textId="0DE05A46" w:rsidR="008466D2" w:rsidRDefault="00445AE1" w:rsidP="00596428">
            <w:pPr>
              <w:pStyle w:val="Tabletext0"/>
            </w:pPr>
            <w:r>
              <w:t>3/57 (5.3%)</w:t>
            </w:r>
          </w:p>
        </w:tc>
        <w:tc>
          <w:tcPr>
            <w:tcW w:w="2268" w:type="dxa"/>
          </w:tcPr>
          <w:p w14:paraId="419A6E71" w14:textId="4DBE7A3A" w:rsidR="008466D2" w:rsidRDefault="00445AE1" w:rsidP="00596428">
            <w:pPr>
              <w:pStyle w:val="Tabletext0"/>
            </w:pPr>
            <w:r>
              <w:t>3/51 (5.88%)</w:t>
            </w:r>
          </w:p>
        </w:tc>
        <w:tc>
          <w:tcPr>
            <w:tcW w:w="1650" w:type="dxa"/>
          </w:tcPr>
          <w:p w14:paraId="5C8BB778" w14:textId="68593A4A" w:rsidR="008466D2" w:rsidRDefault="00445AE1" w:rsidP="00596428">
            <w:pPr>
              <w:pStyle w:val="Tabletext0"/>
            </w:pPr>
            <w:r>
              <w:t>0.89</w:t>
            </w:r>
          </w:p>
        </w:tc>
      </w:tr>
      <w:tr w:rsidR="00553B3B" w14:paraId="0F6226E5" w14:textId="77777777" w:rsidTr="000323E7">
        <w:tc>
          <w:tcPr>
            <w:tcW w:w="2830" w:type="dxa"/>
          </w:tcPr>
          <w:p w14:paraId="6DCC0815" w14:textId="77777777" w:rsidR="00553B3B" w:rsidRDefault="00553B3B">
            <w:pPr>
              <w:pStyle w:val="In-tableHeading"/>
            </w:pPr>
            <w:r>
              <w:t xml:space="preserve">Medical history </w:t>
            </w:r>
          </w:p>
        </w:tc>
        <w:tc>
          <w:tcPr>
            <w:tcW w:w="2268" w:type="dxa"/>
          </w:tcPr>
          <w:p w14:paraId="475F097C" w14:textId="77777777" w:rsidR="00553B3B" w:rsidRDefault="00553B3B">
            <w:pPr>
              <w:pStyle w:val="In-tableHeading"/>
            </w:pPr>
            <w:r>
              <w:t>Diagnosed at or after symptom onset (n=57)</w:t>
            </w:r>
          </w:p>
        </w:tc>
        <w:tc>
          <w:tcPr>
            <w:tcW w:w="2268" w:type="dxa"/>
          </w:tcPr>
          <w:p w14:paraId="23FBBDA1" w14:textId="77777777" w:rsidR="00553B3B" w:rsidRDefault="00553B3B">
            <w:pPr>
              <w:pStyle w:val="In-tableHeading"/>
            </w:pPr>
            <w:r>
              <w:t>Diagnosed before symptom onset (n=52)</w:t>
            </w:r>
          </w:p>
        </w:tc>
        <w:tc>
          <w:tcPr>
            <w:tcW w:w="1650" w:type="dxa"/>
          </w:tcPr>
          <w:p w14:paraId="0BA68C54" w14:textId="77777777" w:rsidR="00553B3B" w:rsidRDefault="00553B3B">
            <w:pPr>
              <w:pStyle w:val="In-tableHeading"/>
            </w:pPr>
            <w:r>
              <w:t>p-value</w:t>
            </w:r>
          </w:p>
        </w:tc>
      </w:tr>
      <w:tr w:rsidR="00553B3B" w14:paraId="648ECC07" w14:textId="77777777" w:rsidTr="000323E7">
        <w:tc>
          <w:tcPr>
            <w:tcW w:w="2830" w:type="dxa"/>
          </w:tcPr>
          <w:p w14:paraId="437AD165" w14:textId="77777777" w:rsidR="00553B3B" w:rsidRDefault="00553B3B">
            <w:pPr>
              <w:pStyle w:val="Tabletext0"/>
            </w:pPr>
            <w:r>
              <w:t>History of sepsis</w:t>
            </w:r>
          </w:p>
        </w:tc>
        <w:tc>
          <w:tcPr>
            <w:tcW w:w="2268" w:type="dxa"/>
          </w:tcPr>
          <w:p w14:paraId="59BFDDFD" w14:textId="77777777" w:rsidR="00553B3B" w:rsidRDefault="00553B3B">
            <w:pPr>
              <w:pStyle w:val="Tabletext0"/>
            </w:pPr>
            <w:r>
              <w:t>17/54 (31.48%)</w:t>
            </w:r>
          </w:p>
        </w:tc>
        <w:tc>
          <w:tcPr>
            <w:tcW w:w="2268" w:type="dxa"/>
          </w:tcPr>
          <w:p w14:paraId="30B42BFF" w14:textId="77777777" w:rsidR="00553B3B" w:rsidRDefault="00553B3B">
            <w:pPr>
              <w:pStyle w:val="Tabletext0"/>
            </w:pPr>
            <w:r>
              <w:t>2/49 (4.08%)</w:t>
            </w:r>
          </w:p>
        </w:tc>
        <w:tc>
          <w:tcPr>
            <w:tcW w:w="1650" w:type="dxa"/>
          </w:tcPr>
          <w:p w14:paraId="0B089D7F" w14:textId="77777777" w:rsidR="00553B3B" w:rsidRDefault="00553B3B">
            <w:pPr>
              <w:pStyle w:val="Tabletext0"/>
            </w:pPr>
            <w:r>
              <w:t>&lt;0.001</w:t>
            </w:r>
          </w:p>
        </w:tc>
      </w:tr>
      <w:tr w:rsidR="00553B3B" w14:paraId="4D2D2617" w14:textId="77777777" w:rsidTr="000323E7">
        <w:tc>
          <w:tcPr>
            <w:tcW w:w="2830" w:type="dxa"/>
          </w:tcPr>
          <w:p w14:paraId="55361FE7" w14:textId="77777777" w:rsidR="00553B3B" w:rsidRDefault="00553B3B">
            <w:pPr>
              <w:pStyle w:val="Tabletext0"/>
            </w:pPr>
            <w:r>
              <w:t>History of dactylitis</w:t>
            </w:r>
          </w:p>
        </w:tc>
        <w:tc>
          <w:tcPr>
            <w:tcW w:w="2268" w:type="dxa"/>
          </w:tcPr>
          <w:p w14:paraId="1872C852" w14:textId="77777777" w:rsidR="00553B3B" w:rsidRDefault="00553B3B">
            <w:pPr>
              <w:pStyle w:val="Tabletext0"/>
            </w:pPr>
            <w:r>
              <w:t>12/47 (25.53%)</w:t>
            </w:r>
          </w:p>
        </w:tc>
        <w:tc>
          <w:tcPr>
            <w:tcW w:w="2268" w:type="dxa"/>
          </w:tcPr>
          <w:p w14:paraId="067BBEBF" w14:textId="77777777" w:rsidR="00553B3B" w:rsidRDefault="00553B3B">
            <w:pPr>
              <w:pStyle w:val="Tabletext0"/>
            </w:pPr>
            <w:r>
              <w:t>7/47 (14.89%)</w:t>
            </w:r>
          </w:p>
        </w:tc>
        <w:tc>
          <w:tcPr>
            <w:tcW w:w="1650" w:type="dxa"/>
          </w:tcPr>
          <w:p w14:paraId="54514767" w14:textId="77777777" w:rsidR="00553B3B" w:rsidRDefault="00553B3B">
            <w:pPr>
              <w:pStyle w:val="Tabletext0"/>
            </w:pPr>
            <w:r>
              <w:t>0.20</w:t>
            </w:r>
          </w:p>
        </w:tc>
      </w:tr>
      <w:tr w:rsidR="00553B3B" w14:paraId="40E661EA" w14:textId="77777777" w:rsidTr="000323E7">
        <w:tc>
          <w:tcPr>
            <w:tcW w:w="2830" w:type="dxa"/>
          </w:tcPr>
          <w:p w14:paraId="581B1ADE" w14:textId="77777777" w:rsidR="00553B3B" w:rsidRDefault="00553B3B">
            <w:pPr>
              <w:pStyle w:val="Tabletext0"/>
            </w:pPr>
            <w:r>
              <w:t>History of splenectomy</w:t>
            </w:r>
          </w:p>
        </w:tc>
        <w:tc>
          <w:tcPr>
            <w:tcW w:w="2268" w:type="dxa"/>
          </w:tcPr>
          <w:p w14:paraId="22E2A0AD" w14:textId="77777777" w:rsidR="00553B3B" w:rsidRDefault="00553B3B">
            <w:pPr>
              <w:pStyle w:val="Tabletext0"/>
            </w:pPr>
            <w:r>
              <w:t>15/57 (26.32%)</w:t>
            </w:r>
          </w:p>
        </w:tc>
        <w:tc>
          <w:tcPr>
            <w:tcW w:w="2268" w:type="dxa"/>
          </w:tcPr>
          <w:p w14:paraId="6B3AC125" w14:textId="77777777" w:rsidR="00553B3B" w:rsidRDefault="00553B3B">
            <w:pPr>
              <w:pStyle w:val="Tabletext0"/>
            </w:pPr>
            <w:r>
              <w:t>7/50 (14.00%)</w:t>
            </w:r>
          </w:p>
        </w:tc>
        <w:tc>
          <w:tcPr>
            <w:tcW w:w="1650" w:type="dxa"/>
          </w:tcPr>
          <w:p w14:paraId="4810A067" w14:textId="77777777" w:rsidR="00553B3B" w:rsidRDefault="00553B3B">
            <w:pPr>
              <w:pStyle w:val="Tabletext0"/>
            </w:pPr>
            <w:r>
              <w:t>0.12</w:t>
            </w:r>
          </w:p>
        </w:tc>
      </w:tr>
      <w:tr w:rsidR="00553B3B" w14:paraId="3DAE5947" w14:textId="77777777" w:rsidTr="000323E7">
        <w:tc>
          <w:tcPr>
            <w:tcW w:w="2830" w:type="dxa"/>
          </w:tcPr>
          <w:p w14:paraId="61472752" w14:textId="77777777" w:rsidR="00553B3B" w:rsidRDefault="00553B3B">
            <w:pPr>
              <w:pStyle w:val="Tabletext0"/>
            </w:pPr>
            <w:r>
              <w:t>History of cholecystectomy</w:t>
            </w:r>
          </w:p>
        </w:tc>
        <w:tc>
          <w:tcPr>
            <w:tcW w:w="2268" w:type="dxa"/>
          </w:tcPr>
          <w:p w14:paraId="01BC626A" w14:textId="77777777" w:rsidR="00553B3B" w:rsidRDefault="00553B3B">
            <w:pPr>
              <w:pStyle w:val="Tabletext0"/>
            </w:pPr>
            <w:r>
              <w:t>14/57 (24.56%)</w:t>
            </w:r>
          </w:p>
        </w:tc>
        <w:tc>
          <w:tcPr>
            <w:tcW w:w="2268" w:type="dxa"/>
          </w:tcPr>
          <w:p w14:paraId="33182605" w14:textId="77777777" w:rsidR="00553B3B" w:rsidRDefault="00553B3B">
            <w:pPr>
              <w:pStyle w:val="Tabletext0"/>
            </w:pPr>
            <w:r>
              <w:t>4/50 (8.00%)</w:t>
            </w:r>
          </w:p>
        </w:tc>
        <w:tc>
          <w:tcPr>
            <w:tcW w:w="1650" w:type="dxa"/>
          </w:tcPr>
          <w:p w14:paraId="4077596C" w14:textId="77777777" w:rsidR="00553B3B" w:rsidRDefault="00553B3B">
            <w:pPr>
              <w:pStyle w:val="Tabletext0"/>
            </w:pPr>
            <w:r>
              <w:t>0.022</w:t>
            </w:r>
          </w:p>
        </w:tc>
      </w:tr>
      <w:tr w:rsidR="00553B3B" w14:paraId="2F384695" w14:textId="77777777" w:rsidTr="000323E7">
        <w:tc>
          <w:tcPr>
            <w:tcW w:w="2830" w:type="dxa"/>
          </w:tcPr>
          <w:p w14:paraId="64A3D8D9" w14:textId="77777777" w:rsidR="00553B3B" w:rsidRDefault="00553B3B">
            <w:pPr>
              <w:pStyle w:val="Tabletext0"/>
            </w:pPr>
            <w:r>
              <w:t>Bone marrow/ peripheral blood stem</w:t>
            </w:r>
          </w:p>
        </w:tc>
        <w:tc>
          <w:tcPr>
            <w:tcW w:w="2268" w:type="dxa"/>
          </w:tcPr>
          <w:p w14:paraId="7CC2F7C9" w14:textId="77777777" w:rsidR="00553B3B" w:rsidRDefault="00553B3B">
            <w:pPr>
              <w:pStyle w:val="Tabletext0"/>
            </w:pPr>
            <w:r>
              <w:t>2/57 (3.51%)</w:t>
            </w:r>
          </w:p>
        </w:tc>
        <w:tc>
          <w:tcPr>
            <w:tcW w:w="2268" w:type="dxa"/>
          </w:tcPr>
          <w:p w14:paraId="5EA8DCFE" w14:textId="77777777" w:rsidR="00553B3B" w:rsidRDefault="00553B3B">
            <w:pPr>
              <w:pStyle w:val="Tabletext0"/>
            </w:pPr>
            <w:r>
              <w:t>1.51 (1.96%)</w:t>
            </w:r>
          </w:p>
        </w:tc>
        <w:tc>
          <w:tcPr>
            <w:tcW w:w="1650" w:type="dxa"/>
          </w:tcPr>
          <w:p w14:paraId="0F32E999" w14:textId="77777777" w:rsidR="00553B3B" w:rsidRDefault="00553B3B">
            <w:pPr>
              <w:pStyle w:val="Tabletext0"/>
            </w:pPr>
            <w:r>
              <w:t>0.63</w:t>
            </w:r>
          </w:p>
        </w:tc>
      </w:tr>
      <w:tr w:rsidR="00123729" w14:paraId="2D642009" w14:textId="77777777" w:rsidTr="000323E7">
        <w:tc>
          <w:tcPr>
            <w:tcW w:w="2830" w:type="dxa"/>
          </w:tcPr>
          <w:p w14:paraId="5B21F6FA" w14:textId="055794C5" w:rsidR="00123729" w:rsidRPr="00123729" w:rsidRDefault="007E4B75" w:rsidP="00123729">
            <w:pPr>
              <w:pStyle w:val="Tabletext0"/>
              <w:jc w:val="left"/>
              <w:rPr>
                <w:b/>
                <w:bCs/>
              </w:rPr>
            </w:pPr>
            <w:r>
              <w:rPr>
                <w:b/>
                <w:bCs/>
              </w:rPr>
              <w:t xml:space="preserve">Estimated </w:t>
            </w:r>
            <w:r w:rsidR="00DB2812">
              <w:rPr>
                <w:b/>
                <w:bCs/>
              </w:rPr>
              <w:t xml:space="preserve">SCD-related </w:t>
            </w:r>
            <w:r w:rsidR="00266F5E">
              <w:rPr>
                <w:b/>
                <w:bCs/>
              </w:rPr>
              <w:t xml:space="preserve">presentations to ED </w:t>
            </w:r>
            <w:r w:rsidR="00123729" w:rsidRPr="00123729">
              <w:rPr>
                <w:b/>
                <w:bCs/>
              </w:rPr>
              <w:t>in past 12 months</w:t>
            </w:r>
          </w:p>
        </w:tc>
        <w:tc>
          <w:tcPr>
            <w:tcW w:w="2268" w:type="dxa"/>
          </w:tcPr>
          <w:p w14:paraId="410CCD61" w14:textId="76871935" w:rsidR="00123729" w:rsidRPr="00123729" w:rsidRDefault="00123729" w:rsidP="00123729">
            <w:pPr>
              <w:pStyle w:val="Tabletext0"/>
              <w:jc w:val="left"/>
              <w:rPr>
                <w:b/>
                <w:bCs/>
              </w:rPr>
            </w:pPr>
            <w:r w:rsidRPr="00123729">
              <w:rPr>
                <w:b/>
                <w:bCs/>
              </w:rPr>
              <w:t>Diagnosed at or after symptom onset (n=57)</w:t>
            </w:r>
          </w:p>
        </w:tc>
        <w:tc>
          <w:tcPr>
            <w:tcW w:w="2268" w:type="dxa"/>
          </w:tcPr>
          <w:p w14:paraId="232FE60B" w14:textId="37DEECFB" w:rsidR="00123729" w:rsidRPr="00123729" w:rsidRDefault="00123729" w:rsidP="00123729">
            <w:pPr>
              <w:pStyle w:val="Tabletext0"/>
              <w:jc w:val="left"/>
              <w:rPr>
                <w:b/>
                <w:bCs/>
              </w:rPr>
            </w:pPr>
            <w:r w:rsidRPr="00123729">
              <w:rPr>
                <w:b/>
                <w:bCs/>
              </w:rPr>
              <w:t>Diagnosed before symptom onset (n=51)</w:t>
            </w:r>
          </w:p>
        </w:tc>
        <w:tc>
          <w:tcPr>
            <w:tcW w:w="1650" w:type="dxa"/>
          </w:tcPr>
          <w:p w14:paraId="7F990BBC" w14:textId="5B373423" w:rsidR="00123729" w:rsidRPr="00123729" w:rsidRDefault="00123729" w:rsidP="00123729">
            <w:pPr>
              <w:pStyle w:val="Tabletext0"/>
              <w:jc w:val="left"/>
              <w:rPr>
                <w:b/>
                <w:bCs/>
              </w:rPr>
            </w:pPr>
            <w:r w:rsidRPr="00123729">
              <w:rPr>
                <w:b/>
                <w:bCs/>
              </w:rPr>
              <w:t>p-value</w:t>
            </w:r>
          </w:p>
        </w:tc>
      </w:tr>
      <w:tr w:rsidR="00A96EA5" w14:paraId="468B89E3" w14:textId="77777777" w:rsidTr="000323E7">
        <w:tc>
          <w:tcPr>
            <w:tcW w:w="2830" w:type="dxa"/>
          </w:tcPr>
          <w:p w14:paraId="07641D12" w14:textId="3C407A06" w:rsidR="00A96EA5" w:rsidRPr="00123729" w:rsidRDefault="00A96EA5" w:rsidP="00123729">
            <w:pPr>
              <w:pStyle w:val="Tabletext0"/>
              <w:jc w:val="left"/>
            </w:pPr>
            <w:r>
              <w:t>0</w:t>
            </w:r>
          </w:p>
        </w:tc>
        <w:tc>
          <w:tcPr>
            <w:tcW w:w="2268" w:type="dxa"/>
          </w:tcPr>
          <w:p w14:paraId="26BBE460" w14:textId="0181D7F9" w:rsidR="00A96EA5" w:rsidRPr="00123729" w:rsidRDefault="00A96EA5" w:rsidP="00123729">
            <w:pPr>
              <w:pStyle w:val="Tabletext0"/>
              <w:jc w:val="left"/>
            </w:pPr>
            <w:r>
              <w:t>27/57 (47.4%)</w:t>
            </w:r>
          </w:p>
        </w:tc>
        <w:tc>
          <w:tcPr>
            <w:tcW w:w="2268" w:type="dxa"/>
          </w:tcPr>
          <w:p w14:paraId="1135107E" w14:textId="78B458B1" w:rsidR="00A96EA5" w:rsidRPr="00123729" w:rsidRDefault="00A96EA5" w:rsidP="00123729">
            <w:pPr>
              <w:pStyle w:val="Tabletext0"/>
              <w:jc w:val="left"/>
            </w:pPr>
            <w:r>
              <w:t>32/51 (62.8%)</w:t>
            </w:r>
          </w:p>
        </w:tc>
        <w:tc>
          <w:tcPr>
            <w:tcW w:w="1650" w:type="dxa"/>
            <w:vMerge w:val="restart"/>
          </w:tcPr>
          <w:p w14:paraId="3BC66E8A" w14:textId="572DD381" w:rsidR="00A96EA5" w:rsidRPr="00123729" w:rsidRDefault="00A96EA5" w:rsidP="00123729">
            <w:pPr>
              <w:pStyle w:val="Tabletext0"/>
              <w:jc w:val="left"/>
            </w:pPr>
            <w:r>
              <w:t>0.009</w:t>
            </w:r>
          </w:p>
        </w:tc>
      </w:tr>
      <w:tr w:rsidR="00A96EA5" w14:paraId="24623DAC" w14:textId="77777777" w:rsidTr="000323E7">
        <w:tc>
          <w:tcPr>
            <w:tcW w:w="2830" w:type="dxa"/>
          </w:tcPr>
          <w:p w14:paraId="6E8577DD" w14:textId="6DD4F0AF" w:rsidR="00A96EA5" w:rsidRDefault="00A96EA5" w:rsidP="00123729">
            <w:pPr>
              <w:pStyle w:val="Tabletext0"/>
              <w:jc w:val="left"/>
            </w:pPr>
            <w:r>
              <w:t>1</w:t>
            </w:r>
          </w:p>
        </w:tc>
        <w:tc>
          <w:tcPr>
            <w:tcW w:w="2268" w:type="dxa"/>
          </w:tcPr>
          <w:p w14:paraId="115453CC" w14:textId="67E3CD69" w:rsidR="00A96EA5" w:rsidRDefault="00A96EA5" w:rsidP="00123729">
            <w:pPr>
              <w:pStyle w:val="Tabletext0"/>
              <w:jc w:val="left"/>
            </w:pPr>
            <w:r>
              <w:t>12/57 (21.1%)</w:t>
            </w:r>
          </w:p>
        </w:tc>
        <w:tc>
          <w:tcPr>
            <w:tcW w:w="2268" w:type="dxa"/>
          </w:tcPr>
          <w:p w14:paraId="6B1F6BFC" w14:textId="6FCBD8FB" w:rsidR="00A96EA5" w:rsidRPr="00123729" w:rsidRDefault="00A96EA5" w:rsidP="00123729">
            <w:pPr>
              <w:pStyle w:val="Tabletext0"/>
              <w:jc w:val="left"/>
            </w:pPr>
            <w:r>
              <w:t>17/51 (33.3%)</w:t>
            </w:r>
          </w:p>
        </w:tc>
        <w:tc>
          <w:tcPr>
            <w:tcW w:w="1650" w:type="dxa"/>
            <w:vMerge/>
          </w:tcPr>
          <w:p w14:paraId="2F7E8933" w14:textId="77777777" w:rsidR="00A96EA5" w:rsidRPr="00123729" w:rsidRDefault="00A96EA5" w:rsidP="00123729">
            <w:pPr>
              <w:pStyle w:val="Tabletext0"/>
              <w:jc w:val="left"/>
            </w:pPr>
          </w:p>
        </w:tc>
      </w:tr>
      <w:tr w:rsidR="00A96EA5" w14:paraId="7F6EF486" w14:textId="77777777" w:rsidTr="000323E7">
        <w:tc>
          <w:tcPr>
            <w:tcW w:w="2830" w:type="dxa"/>
          </w:tcPr>
          <w:p w14:paraId="21811A75" w14:textId="1D225FF7" w:rsidR="00A96EA5" w:rsidRDefault="00A96EA5" w:rsidP="00123729">
            <w:pPr>
              <w:pStyle w:val="Tabletext0"/>
              <w:jc w:val="left"/>
            </w:pPr>
            <w:r>
              <w:t>2</w:t>
            </w:r>
          </w:p>
        </w:tc>
        <w:tc>
          <w:tcPr>
            <w:tcW w:w="2268" w:type="dxa"/>
          </w:tcPr>
          <w:p w14:paraId="70E0C3DB" w14:textId="262704DF" w:rsidR="00A96EA5" w:rsidRDefault="001F7E27" w:rsidP="00123729">
            <w:pPr>
              <w:pStyle w:val="Tabletext0"/>
              <w:jc w:val="left"/>
            </w:pPr>
            <w:r>
              <w:t>5</w:t>
            </w:r>
            <w:r w:rsidR="00A96EA5">
              <w:t>/57 (</w:t>
            </w:r>
            <w:r>
              <w:t>8.8%)</w:t>
            </w:r>
          </w:p>
        </w:tc>
        <w:tc>
          <w:tcPr>
            <w:tcW w:w="2268" w:type="dxa"/>
          </w:tcPr>
          <w:p w14:paraId="79C6A217" w14:textId="4E52A0EF" w:rsidR="00A96EA5" w:rsidRPr="00123729" w:rsidRDefault="001F7E27" w:rsidP="00123729">
            <w:pPr>
              <w:pStyle w:val="Tabletext0"/>
              <w:jc w:val="left"/>
            </w:pPr>
            <w:r>
              <w:t>2</w:t>
            </w:r>
            <w:r w:rsidR="00A96EA5">
              <w:t>/51 (</w:t>
            </w:r>
            <w:r>
              <w:t>3.9%)</w:t>
            </w:r>
          </w:p>
        </w:tc>
        <w:tc>
          <w:tcPr>
            <w:tcW w:w="1650" w:type="dxa"/>
            <w:vMerge/>
          </w:tcPr>
          <w:p w14:paraId="54453E2C" w14:textId="77777777" w:rsidR="00A96EA5" w:rsidRPr="00123729" w:rsidRDefault="00A96EA5" w:rsidP="00123729">
            <w:pPr>
              <w:pStyle w:val="Tabletext0"/>
              <w:jc w:val="left"/>
            </w:pPr>
          </w:p>
        </w:tc>
      </w:tr>
      <w:tr w:rsidR="00A96EA5" w14:paraId="2FFA70A1" w14:textId="77777777" w:rsidTr="000323E7">
        <w:tc>
          <w:tcPr>
            <w:tcW w:w="2830" w:type="dxa"/>
          </w:tcPr>
          <w:p w14:paraId="15214DA3" w14:textId="4AC839E8" w:rsidR="00A96EA5" w:rsidRDefault="00A96EA5" w:rsidP="00123729">
            <w:pPr>
              <w:pStyle w:val="Tabletext0"/>
              <w:jc w:val="left"/>
            </w:pPr>
            <w:r>
              <w:t>3</w:t>
            </w:r>
          </w:p>
        </w:tc>
        <w:tc>
          <w:tcPr>
            <w:tcW w:w="2268" w:type="dxa"/>
          </w:tcPr>
          <w:p w14:paraId="39AC1E56" w14:textId="36D23C94" w:rsidR="00A96EA5" w:rsidRDefault="001F7E27" w:rsidP="00123729">
            <w:pPr>
              <w:pStyle w:val="Tabletext0"/>
              <w:jc w:val="left"/>
            </w:pPr>
            <w:r>
              <w:t>8</w:t>
            </w:r>
            <w:r w:rsidR="00A96EA5">
              <w:t>/57 (</w:t>
            </w:r>
            <w:r>
              <w:t>14.0%)</w:t>
            </w:r>
          </w:p>
        </w:tc>
        <w:tc>
          <w:tcPr>
            <w:tcW w:w="2268" w:type="dxa"/>
          </w:tcPr>
          <w:p w14:paraId="1B14A4F5" w14:textId="28D25E1F" w:rsidR="00A96EA5" w:rsidRPr="00123729" w:rsidRDefault="001F7E27" w:rsidP="00123729">
            <w:pPr>
              <w:pStyle w:val="Tabletext0"/>
              <w:jc w:val="left"/>
            </w:pPr>
            <w:r>
              <w:t>0</w:t>
            </w:r>
            <w:r w:rsidR="00A96EA5">
              <w:t>/51 (</w:t>
            </w:r>
            <w:r>
              <w:t>0.0%)</w:t>
            </w:r>
          </w:p>
        </w:tc>
        <w:tc>
          <w:tcPr>
            <w:tcW w:w="1650" w:type="dxa"/>
            <w:vMerge/>
          </w:tcPr>
          <w:p w14:paraId="02090B12" w14:textId="77777777" w:rsidR="00A96EA5" w:rsidRPr="00123729" w:rsidRDefault="00A96EA5" w:rsidP="00123729">
            <w:pPr>
              <w:pStyle w:val="Tabletext0"/>
              <w:jc w:val="left"/>
            </w:pPr>
          </w:p>
        </w:tc>
      </w:tr>
      <w:tr w:rsidR="00A96EA5" w14:paraId="15DE1436" w14:textId="77777777" w:rsidTr="000323E7">
        <w:tc>
          <w:tcPr>
            <w:tcW w:w="2830" w:type="dxa"/>
          </w:tcPr>
          <w:p w14:paraId="44B70335" w14:textId="7E625571" w:rsidR="00A96EA5" w:rsidRDefault="00A96EA5" w:rsidP="00123729">
            <w:pPr>
              <w:pStyle w:val="Tabletext0"/>
              <w:jc w:val="left"/>
            </w:pPr>
            <w:r>
              <w:t>4</w:t>
            </w:r>
          </w:p>
        </w:tc>
        <w:tc>
          <w:tcPr>
            <w:tcW w:w="2268" w:type="dxa"/>
          </w:tcPr>
          <w:p w14:paraId="3C02D595" w14:textId="1FAAA3AE" w:rsidR="00A96EA5" w:rsidRDefault="000F2501" w:rsidP="00123729">
            <w:pPr>
              <w:pStyle w:val="Tabletext0"/>
              <w:jc w:val="left"/>
            </w:pPr>
            <w:r>
              <w:t>4</w:t>
            </w:r>
            <w:r w:rsidR="00A96EA5">
              <w:t>/57 (</w:t>
            </w:r>
            <w:r>
              <w:t>7.0%)</w:t>
            </w:r>
          </w:p>
        </w:tc>
        <w:tc>
          <w:tcPr>
            <w:tcW w:w="2268" w:type="dxa"/>
          </w:tcPr>
          <w:p w14:paraId="53C879FD" w14:textId="5296D3D5" w:rsidR="00A96EA5" w:rsidRPr="00123729" w:rsidRDefault="000F2501" w:rsidP="00123729">
            <w:pPr>
              <w:pStyle w:val="Tabletext0"/>
              <w:jc w:val="left"/>
            </w:pPr>
            <w:r>
              <w:t>0</w:t>
            </w:r>
            <w:r w:rsidR="00A96EA5">
              <w:t>/51 (</w:t>
            </w:r>
            <w:r>
              <w:t>0.0%)</w:t>
            </w:r>
          </w:p>
        </w:tc>
        <w:tc>
          <w:tcPr>
            <w:tcW w:w="1650" w:type="dxa"/>
            <w:vMerge/>
          </w:tcPr>
          <w:p w14:paraId="4CFCB5FA" w14:textId="77777777" w:rsidR="00A96EA5" w:rsidRPr="00123729" w:rsidRDefault="00A96EA5" w:rsidP="00123729">
            <w:pPr>
              <w:pStyle w:val="Tabletext0"/>
              <w:jc w:val="left"/>
            </w:pPr>
          </w:p>
        </w:tc>
      </w:tr>
      <w:tr w:rsidR="00A96EA5" w14:paraId="4C6BBD04" w14:textId="77777777" w:rsidTr="000323E7">
        <w:tc>
          <w:tcPr>
            <w:tcW w:w="2830" w:type="dxa"/>
          </w:tcPr>
          <w:p w14:paraId="337A818A" w14:textId="220D85E7" w:rsidR="00A96EA5" w:rsidRDefault="00A96EA5" w:rsidP="00123729">
            <w:pPr>
              <w:pStyle w:val="Tabletext0"/>
              <w:jc w:val="left"/>
            </w:pPr>
            <w:r>
              <w:t>5+</w:t>
            </w:r>
          </w:p>
        </w:tc>
        <w:tc>
          <w:tcPr>
            <w:tcW w:w="2268" w:type="dxa"/>
          </w:tcPr>
          <w:p w14:paraId="7DC86545" w14:textId="3B1105BF" w:rsidR="00A96EA5" w:rsidRDefault="000F2501" w:rsidP="00123729">
            <w:pPr>
              <w:pStyle w:val="Tabletext0"/>
              <w:jc w:val="left"/>
            </w:pPr>
            <w:r>
              <w:t>1</w:t>
            </w:r>
            <w:r w:rsidR="00A96EA5">
              <w:t>/57 (</w:t>
            </w:r>
            <w:r>
              <w:t>1.8%)</w:t>
            </w:r>
          </w:p>
        </w:tc>
        <w:tc>
          <w:tcPr>
            <w:tcW w:w="2268" w:type="dxa"/>
          </w:tcPr>
          <w:p w14:paraId="0BE1F59D" w14:textId="2A285F09" w:rsidR="00A96EA5" w:rsidRPr="00123729" w:rsidRDefault="000F2501" w:rsidP="00123729">
            <w:pPr>
              <w:pStyle w:val="Tabletext0"/>
              <w:jc w:val="left"/>
            </w:pPr>
            <w:r>
              <w:t>0</w:t>
            </w:r>
            <w:r w:rsidR="00A96EA5">
              <w:t>/51 (</w:t>
            </w:r>
            <w:r>
              <w:t>0.0%)</w:t>
            </w:r>
          </w:p>
        </w:tc>
        <w:tc>
          <w:tcPr>
            <w:tcW w:w="1650" w:type="dxa"/>
            <w:vMerge/>
          </w:tcPr>
          <w:p w14:paraId="76985116" w14:textId="77777777" w:rsidR="00A96EA5" w:rsidRPr="00123729" w:rsidRDefault="00A96EA5" w:rsidP="00123729">
            <w:pPr>
              <w:pStyle w:val="Tabletext0"/>
              <w:jc w:val="left"/>
            </w:pPr>
          </w:p>
        </w:tc>
      </w:tr>
      <w:tr w:rsidR="007E4B75" w14:paraId="335DF0A8" w14:textId="77777777" w:rsidTr="000323E7">
        <w:tc>
          <w:tcPr>
            <w:tcW w:w="2830" w:type="dxa"/>
          </w:tcPr>
          <w:p w14:paraId="733555DF" w14:textId="186D36E8" w:rsidR="007E4B75" w:rsidRPr="00B579B4" w:rsidRDefault="008E18A9" w:rsidP="00123729">
            <w:pPr>
              <w:pStyle w:val="Tabletext0"/>
              <w:jc w:val="left"/>
              <w:rPr>
                <w:b/>
              </w:rPr>
            </w:pPr>
            <w:r w:rsidRPr="00B579B4">
              <w:rPr>
                <w:b/>
              </w:rPr>
              <w:t xml:space="preserve">ED </w:t>
            </w:r>
            <w:r w:rsidR="000323E7" w:rsidRPr="00B579B4">
              <w:rPr>
                <w:b/>
              </w:rPr>
              <w:t xml:space="preserve">presentation </w:t>
            </w:r>
            <w:r w:rsidRPr="00B579B4">
              <w:rPr>
                <w:b/>
              </w:rPr>
              <w:t>not related to SCD</w:t>
            </w:r>
          </w:p>
        </w:tc>
        <w:tc>
          <w:tcPr>
            <w:tcW w:w="2268" w:type="dxa"/>
          </w:tcPr>
          <w:p w14:paraId="602C464B" w14:textId="37232D1D" w:rsidR="007E4B75" w:rsidRDefault="00DA39D6" w:rsidP="00123729">
            <w:pPr>
              <w:pStyle w:val="Tabletext0"/>
              <w:jc w:val="left"/>
            </w:pPr>
            <w:r>
              <w:t>9/30 (30.00</w:t>
            </w:r>
            <w:r w:rsidR="00953A24">
              <w:t>%</w:t>
            </w:r>
            <w:r>
              <w:t>)</w:t>
            </w:r>
          </w:p>
        </w:tc>
        <w:tc>
          <w:tcPr>
            <w:tcW w:w="2268" w:type="dxa"/>
          </w:tcPr>
          <w:p w14:paraId="1D9195DF" w14:textId="0D44DF24" w:rsidR="007E4B75" w:rsidRPr="00123729" w:rsidRDefault="00DA39D6" w:rsidP="00123729">
            <w:pPr>
              <w:pStyle w:val="Tabletext0"/>
              <w:jc w:val="left"/>
            </w:pPr>
            <w:r>
              <w:t xml:space="preserve">5/19 (26.3%) </w:t>
            </w:r>
          </w:p>
        </w:tc>
        <w:tc>
          <w:tcPr>
            <w:tcW w:w="1650" w:type="dxa"/>
          </w:tcPr>
          <w:p w14:paraId="752F51B1" w14:textId="14B5D9D2" w:rsidR="007E4B75" w:rsidRPr="00123729" w:rsidRDefault="00DA39D6" w:rsidP="00123729">
            <w:pPr>
              <w:pStyle w:val="Tabletext0"/>
              <w:jc w:val="left"/>
            </w:pPr>
            <w:r>
              <w:t>0.78</w:t>
            </w:r>
          </w:p>
        </w:tc>
      </w:tr>
      <w:tr w:rsidR="00F56B2D" w14:paraId="715DAFD9" w14:textId="77777777" w:rsidTr="000323E7">
        <w:tc>
          <w:tcPr>
            <w:tcW w:w="2830" w:type="dxa"/>
          </w:tcPr>
          <w:p w14:paraId="60B8B14E" w14:textId="6495C4C1" w:rsidR="00F56B2D" w:rsidRPr="00F56B2D" w:rsidRDefault="00F56B2D" w:rsidP="00F56B2D">
            <w:pPr>
              <w:pStyle w:val="Tabletext0"/>
              <w:jc w:val="left"/>
              <w:rPr>
                <w:b/>
                <w:bCs/>
              </w:rPr>
            </w:pPr>
            <w:r>
              <w:rPr>
                <w:b/>
                <w:bCs/>
              </w:rPr>
              <w:t>Estimated admissions to hospital in</w:t>
            </w:r>
            <w:r w:rsidRPr="00123729">
              <w:rPr>
                <w:b/>
                <w:bCs/>
              </w:rPr>
              <w:t xml:space="preserve"> past 12 months</w:t>
            </w:r>
            <w:r>
              <w:rPr>
                <w:b/>
                <w:bCs/>
              </w:rPr>
              <w:t xml:space="preserve"> (excluding planned transfusions)</w:t>
            </w:r>
          </w:p>
        </w:tc>
        <w:tc>
          <w:tcPr>
            <w:tcW w:w="2268" w:type="dxa"/>
          </w:tcPr>
          <w:p w14:paraId="2876D454" w14:textId="2AAC7E6B" w:rsidR="00F56B2D" w:rsidRPr="00F56B2D" w:rsidRDefault="00F56B2D" w:rsidP="00F56B2D">
            <w:pPr>
              <w:pStyle w:val="Tabletext0"/>
              <w:jc w:val="left"/>
              <w:rPr>
                <w:b/>
                <w:bCs/>
              </w:rPr>
            </w:pPr>
            <w:r w:rsidRPr="00123729">
              <w:rPr>
                <w:b/>
                <w:bCs/>
              </w:rPr>
              <w:t>Diagnosed at or after symptom onset (n=57)</w:t>
            </w:r>
          </w:p>
        </w:tc>
        <w:tc>
          <w:tcPr>
            <w:tcW w:w="2268" w:type="dxa"/>
          </w:tcPr>
          <w:p w14:paraId="71BC6FEE" w14:textId="367AA963" w:rsidR="00F56B2D" w:rsidRPr="00F56B2D" w:rsidRDefault="00F56B2D" w:rsidP="00F56B2D">
            <w:pPr>
              <w:pStyle w:val="Tabletext0"/>
              <w:jc w:val="left"/>
              <w:rPr>
                <w:b/>
                <w:bCs/>
              </w:rPr>
            </w:pPr>
            <w:r w:rsidRPr="00123729">
              <w:rPr>
                <w:b/>
                <w:bCs/>
              </w:rPr>
              <w:t>Diagnosed before symptom onset (n=51)</w:t>
            </w:r>
          </w:p>
        </w:tc>
        <w:tc>
          <w:tcPr>
            <w:tcW w:w="1650" w:type="dxa"/>
          </w:tcPr>
          <w:p w14:paraId="651F005C" w14:textId="1AC0FEA1" w:rsidR="00F56B2D" w:rsidRPr="00F56B2D" w:rsidRDefault="00F56B2D" w:rsidP="00F56B2D">
            <w:pPr>
              <w:pStyle w:val="Tabletext0"/>
              <w:jc w:val="left"/>
              <w:rPr>
                <w:b/>
                <w:bCs/>
              </w:rPr>
            </w:pPr>
            <w:r w:rsidRPr="00123729">
              <w:rPr>
                <w:b/>
                <w:bCs/>
              </w:rPr>
              <w:t>p-value</w:t>
            </w:r>
          </w:p>
        </w:tc>
      </w:tr>
      <w:tr w:rsidR="00BE76E8" w14:paraId="19359677" w14:textId="77777777" w:rsidTr="000323E7">
        <w:tc>
          <w:tcPr>
            <w:tcW w:w="2830" w:type="dxa"/>
          </w:tcPr>
          <w:p w14:paraId="322FFD49" w14:textId="78F51AC9" w:rsidR="00BE76E8" w:rsidRDefault="00BE76E8" w:rsidP="00F56B2D">
            <w:pPr>
              <w:pStyle w:val="Tabletext0"/>
              <w:jc w:val="left"/>
            </w:pPr>
            <w:r>
              <w:t>0</w:t>
            </w:r>
          </w:p>
        </w:tc>
        <w:tc>
          <w:tcPr>
            <w:tcW w:w="2268" w:type="dxa"/>
          </w:tcPr>
          <w:p w14:paraId="7614B142" w14:textId="219CAB50" w:rsidR="00BE76E8" w:rsidRDefault="00BE76E8" w:rsidP="00F56B2D">
            <w:pPr>
              <w:pStyle w:val="Tabletext0"/>
              <w:jc w:val="left"/>
            </w:pPr>
            <w:r>
              <w:t>26/57 (45.6%)</w:t>
            </w:r>
          </w:p>
        </w:tc>
        <w:tc>
          <w:tcPr>
            <w:tcW w:w="2268" w:type="dxa"/>
          </w:tcPr>
          <w:p w14:paraId="12E125B8" w14:textId="357BE461" w:rsidR="00BE76E8" w:rsidRDefault="00BE76E8" w:rsidP="00F56B2D">
            <w:pPr>
              <w:pStyle w:val="Tabletext0"/>
              <w:jc w:val="left"/>
            </w:pPr>
            <w:r>
              <w:t>35/51 (68.6%)</w:t>
            </w:r>
          </w:p>
        </w:tc>
        <w:tc>
          <w:tcPr>
            <w:tcW w:w="1650" w:type="dxa"/>
            <w:vMerge w:val="restart"/>
          </w:tcPr>
          <w:p w14:paraId="6270B751" w14:textId="3CD53D61" w:rsidR="00BE76E8" w:rsidRDefault="00BE76E8" w:rsidP="00F56B2D">
            <w:pPr>
              <w:pStyle w:val="Tabletext0"/>
              <w:jc w:val="left"/>
            </w:pPr>
            <w:r>
              <w:t>&lt;0.001</w:t>
            </w:r>
          </w:p>
        </w:tc>
      </w:tr>
      <w:tr w:rsidR="00BE76E8" w14:paraId="73618F40" w14:textId="77777777" w:rsidTr="000323E7">
        <w:tc>
          <w:tcPr>
            <w:tcW w:w="2830" w:type="dxa"/>
          </w:tcPr>
          <w:p w14:paraId="37DA0642" w14:textId="17736D2C" w:rsidR="00BE76E8" w:rsidRDefault="00BE76E8" w:rsidP="00F56B2D">
            <w:pPr>
              <w:pStyle w:val="Tabletext0"/>
              <w:jc w:val="left"/>
            </w:pPr>
            <w:r>
              <w:t>1</w:t>
            </w:r>
          </w:p>
        </w:tc>
        <w:tc>
          <w:tcPr>
            <w:tcW w:w="2268" w:type="dxa"/>
          </w:tcPr>
          <w:p w14:paraId="422EE034" w14:textId="76165D7F" w:rsidR="00BE76E8" w:rsidRDefault="00BE76E8" w:rsidP="00F56B2D">
            <w:pPr>
              <w:pStyle w:val="Tabletext0"/>
              <w:jc w:val="left"/>
            </w:pPr>
            <w:r>
              <w:t>10/57 (17.5%)</w:t>
            </w:r>
          </w:p>
        </w:tc>
        <w:tc>
          <w:tcPr>
            <w:tcW w:w="2268" w:type="dxa"/>
          </w:tcPr>
          <w:p w14:paraId="1B5BF6A5" w14:textId="67B3B552" w:rsidR="00BE76E8" w:rsidRDefault="00BE76E8" w:rsidP="00F56B2D">
            <w:pPr>
              <w:pStyle w:val="Tabletext0"/>
              <w:jc w:val="left"/>
            </w:pPr>
            <w:r>
              <w:t>15/51 (29.4%)</w:t>
            </w:r>
          </w:p>
        </w:tc>
        <w:tc>
          <w:tcPr>
            <w:tcW w:w="1650" w:type="dxa"/>
            <w:vMerge/>
          </w:tcPr>
          <w:p w14:paraId="3211E3EB" w14:textId="77777777" w:rsidR="00BE76E8" w:rsidRDefault="00BE76E8" w:rsidP="00F56B2D">
            <w:pPr>
              <w:pStyle w:val="Tabletext0"/>
              <w:jc w:val="left"/>
            </w:pPr>
          </w:p>
        </w:tc>
      </w:tr>
      <w:tr w:rsidR="00BE76E8" w14:paraId="30A88464" w14:textId="77777777" w:rsidTr="000323E7">
        <w:tc>
          <w:tcPr>
            <w:tcW w:w="2830" w:type="dxa"/>
          </w:tcPr>
          <w:p w14:paraId="00C18523" w14:textId="7C421018" w:rsidR="00BE76E8" w:rsidRDefault="00BE76E8" w:rsidP="00F56B2D">
            <w:pPr>
              <w:pStyle w:val="Tabletext0"/>
              <w:jc w:val="left"/>
            </w:pPr>
            <w:r>
              <w:t>2</w:t>
            </w:r>
          </w:p>
        </w:tc>
        <w:tc>
          <w:tcPr>
            <w:tcW w:w="2268" w:type="dxa"/>
          </w:tcPr>
          <w:p w14:paraId="1B1D3EFF" w14:textId="3D761C65" w:rsidR="00BE76E8" w:rsidRDefault="00BE76E8" w:rsidP="00F56B2D">
            <w:pPr>
              <w:pStyle w:val="Tabletext0"/>
              <w:jc w:val="left"/>
            </w:pPr>
            <w:r>
              <w:t>12/57 (21.1%)</w:t>
            </w:r>
          </w:p>
        </w:tc>
        <w:tc>
          <w:tcPr>
            <w:tcW w:w="2268" w:type="dxa"/>
          </w:tcPr>
          <w:p w14:paraId="4C0687B7" w14:textId="073ECA45" w:rsidR="00BE76E8" w:rsidRDefault="00BE76E8" w:rsidP="00F56B2D">
            <w:pPr>
              <w:pStyle w:val="Tabletext0"/>
              <w:jc w:val="left"/>
            </w:pPr>
            <w:r>
              <w:t>1/51 (2.0%)</w:t>
            </w:r>
          </w:p>
        </w:tc>
        <w:tc>
          <w:tcPr>
            <w:tcW w:w="1650" w:type="dxa"/>
            <w:vMerge/>
          </w:tcPr>
          <w:p w14:paraId="31915CF9" w14:textId="77777777" w:rsidR="00BE76E8" w:rsidRDefault="00BE76E8" w:rsidP="00F56B2D">
            <w:pPr>
              <w:pStyle w:val="Tabletext0"/>
              <w:jc w:val="left"/>
            </w:pPr>
          </w:p>
        </w:tc>
      </w:tr>
      <w:tr w:rsidR="00BE76E8" w14:paraId="13FE72BA" w14:textId="77777777" w:rsidTr="000323E7">
        <w:tc>
          <w:tcPr>
            <w:tcW w:w="2830" w:type="dxa"/>
          </w:tcPr>
          <w:p w14:paraId="4BEBB231" w14:textId="2F19CBEF" w:rsidR="00BE76E8" w:rsidRDefault="00BE76E8" w:rsidP="00F56B2D">
            <w:pPr>
              <w:pStyle w:val="Tabletext0"/>
              <w:jc w:val="left"/>
            </w:pPr>
            <w:r>
              <w:t>3</w:t>
            </w:r>
          </w:p>
        </w:tc>
        <w:tc>
          <w:tcPr>
            <w:tcW w:w="2268" w:type="dxa"/>
          </w:tcPr>
          <w:p w14:paraId="2C1FCEAE" w14:textId="58663CF8" w:rsidR="00BE76E8" w:rsidRDefault="00BE76E8" w:rsidP="00F56B2D">
            <w:pPr>
              <w:pStyle w:val="Tabletext0"/>
              <w:jc w:val="left"/>
            </w:pPr>
            <w:r>
              <w:t>6/57 (10.5%)</w:t>
            </w:r>
          </w:p>
        </w:tc>
        <w:tc>
          <w:tcPr>
            <w:tcW w:w="2268" w:type="dxa"/>
          </w:tcPr>
          <w:p w14:paraId="5B48AA9F" w14:textId="3035302C" w:rsidR="00BE76E8" w:rsidRDefault="00BE76E8" w:rsidP="00F56B2D">
            <w:pPr>
              <w:pStyle w:val="Tabletext0"/>
              <w:jc w:val="left"/>
            </w:pPr>
            <w:r>
              <w:t>0/51 (0.0%)</w:t>
            </w:r>
          </w:p>
        </w:tc>
        <w:tc>
          <w:tcPr>
            <w:tcW w:w="1650" w:type="dxa"/>
            <w:vMerge/>
          </w:tcPr>
          <w:p w14:paraId="0DC6858F" w14:textId="77777777" w:rsidR="00BE76E8" w:rsidRDefault="00BE76E8" w:rsidP="00F56B2D">
            <w:pPr>
              <w:pStyle w:val="Tabletext0"/>
              <w:jc w:val="left"/>
            </w:pPr>
          </w:p>
        </w:tc>
      </w:tr>
      <w:tr w:rsidR="00BE76E8" w14:paraId="50A2FB9D" w14:textId="77777777" w:rsidTr="000323E7">
        <w:tc>
          <w:tcPr>
            <w:tcW w:w="2830" w:type="dxa"/>
          </w:tcPr>
          <w:p w14:paraId="238410C1" w14:textId="0385D923" w:rsidR="00BE76E8" w:rsidRDefault="00BE76E8" w:rsidP="00F56B2D">
            <w:pPr>
              <w:pStyle w:val="Tabletext0"/>
              <w:jc w:val="left"/>
            </w:pPr>
            <w:r>
              <w:t>4</w:t>
            </w:r>
          </w:p>
        </w:tc>
        <w:tc>
          <w:tcPr>
            <w:tcW w:w="2268" w:type="dxa"/>
          </w:tcPr>
          <w:p w14:paraId="1C838505" w14:textId="0BCD336E" w:rsidR="00BE76E8" w:rsidRDefault="00BE76E8" w:rsidP="00F56B2D">
            <w:pPr>
              <w:pStyle w:val="Tabletext0"/>
              <w:jc w:val="left"/>
            </w:pPr>
            <w:r>
              <w:t>3/57 (5.3%)</w:t>
            </w:r>
          </w:p>
        </w:tc>
        <w:tc>
          <w:tcPr>
            <w:tcW w:w="2268" w:type="dxa"/>
          </w:tcPr>
          <w:p w14:paraId="7C92E089" w14:textId="1530A73A" w:rsidR="00BE76E8" w:rsidRDefault="00BE76E8" w:rsidP="00F56B2D">
            <w:pPr>
              <w:pStyle w:val="Tabletext0"/>
              <w:jc w:val="left"/>
            </w:pPr>
            <w:r>
              <w:t>0/51 (0.0%)</w:t>
            </w:r>
          </w:p>
        </w:tc>
        <w:tc>
          <w:tcPr>
            <w:tcW w:w="1650" w:type="dxa"/>
            <w:vMerge/>
          </w:tcPr>
          <w:p w14:paraId="29BCF22A" w14:textId="77777777" w:rsidR="00BE76E8" w:rsidRDefault="00BE76E8" w:rsidP="00F56B2D">
            <w:pPr>
              <w:pStyle w:val="Tabletext0"/>
              <w:jc w:val="left"/>
            </w:pPr>
          </w:p>
        </w:tc>
      </w:tr>
      <w:tr w:rsidR="00F56B2D" w14:paraId="3C8AD17F" w14:textId="77777777" w:rsidTr="000323E7">
        <w:tc>
          <w:tcPr>
            <w:tcW w:w="2830" w:type="dxa"/>
          </w:tcPr>
          <w:p w14:paraId="4AEDA987" w14:textId="147630BD" w:rsidR="00F56B2D" w:rsidRDefault="00F56B2D" w:rsidP="00F56B2D">
            <w:pPr>
              <w:pStyle w:val="Tabletext0"/>
              <w:jc w:val="left"/>
            </w:pPr>
            <w:r>
              <w:t>Other acute complication(s)</w:t>
            </w:r>
          </w:p>
        </w:tc>
        <w:tc>
          <w:tcPr>
            <w:tcW w:w="2268" w:type="dxa"/>
          </w:tcPr>
          <w:p w14:paraId="1A8D8174" w14:textId="260175A3" w:rsidR="00F56B2D" w:rsidRDefault="00F56B2D" w:rsidP="00F56B2D">
            <w:pPr>
              <w:pStyle w:val="Tabletext0"/>
              <w:jc w:val="left"/>
            </w:pPr>
            <w:r>
              <w:t>9/30 (30.00%)</w:t>
            </w:r>
          </w:p>
        </w:tc>
        <w:tc>
          <w:tcPr>
            <w:tcW w:w="2268" w:type="dxa"/>
          </w:tcPr>
          <w:p w14:paraId="41ABF7B6" w14:textId="210AB194" w:rsidR="00F56B2D" w:rsidRDefault="00F56B2D" w:rsidP="00F56B2D">
            <w:pPr>
              <w:pStyle w:val="Tabletext0"/>
              <w:jc w:val="left"/>
            </w:pPr>
            <w:r>
              <w:t xml:space="preserve">5/19 (26.3%) </w:t>
            </w:r>
          </w:p>
        </w:tc>
        <w:tc>
          <w:tcPr>
            <w:tcW w:w="1650" w:type="dxa"/>
          </w:tcPr>
          <w:p w14:paraId="7D4AE046" w14:textId="324B398F" w:rsidR="00F56B2D" w:rsidRDefault="00F56B2D" w:rsidP="00F56B2D">
            <w:pPr>
              <w:pStyle w:val="Tabletext0"/>
              <w:jc w:val="left"/>
            </w:pPr>
            <w:r>
              <w:t>0.78</w:t>
            </w:r>
          </w:p>
        </w:tc>
      </w:tr>
    </w:tbl>
    <w:p w14:paraId="1A531B58" w14:textId="506ABF34" w:rsidR="000A0103" w:rsidRDefault="000F2501" w:rsidP="00B579B4">
      <w:pPr>
        <w:pStyle w:val="Tablenotes0"/>
        <w:spacing w:after="0"/>
      </w:pPr>
      <w:r>
        <w:t>ED = emergency department</w:t>
      </w:r>
      <w:r w:rsidR="00F8721A">
        <w:t>; SCD = sickle cell disease</w:t>
      </w:r>
    </w:p>
    <w:p w14:paraId="4574C346" w14:textId="14FA8031" w:rsidR="00E1350F" w:rsidRDefault="00E1350F" w:rsidP="000A06BE">
      <w:pPr>
        <w:pStyle w:val="Tablenotes"/>
        <w:spacing w:before="0" w:after="240"/>
      </w:pPr>
      <w:r w:rsidRPr="0019492F">
        <w:t>Source: Australian Haemoglobinopath</w:t>
      </w:r>
      <w:r w:rsidR="00E2123D">
        <w:t>y</w:t>
      </w:r>
      <w:r w:rsidRPr="0019492F">
        <w:t xml:space="preserve"> Registry data </w:t>
      </w:r>
    </w:p>
    <w:p w14:paraId="7A50DEB5" w14:textId="4B8C2027" w:rsidR="00463CBC" w:rsidRDefault="001272A9" w:rsidP="009871CC">
      <w:r>
        <w:t xml:space="preserve">The </w:t>
      </w:r>
      <w:proofErr w:type="spellStart"/>
      <w:r>
        <w:t>HbR</w:t>
      </w:r>
      <w:proofErr w:type="spellEnd"/>
      <w:r>
        <w:t xml:space="preserve"> data </w:t>
      </w:r>
      <w:r w:rsidR="00D82FDC">
        <w:t>do not compare the intervention against the comparator, although</w:t>
      </w:r>
      <w:r>
        <w:t xml:space="preserve"> supplement the </w:t>
      </w:r>
      <w:r w:rsidR="008654A5">
        <w:t xml:space="preserve">evidence </w:t>
      </w:r>
      <w:r w:rsidR="00043708">
        <w:t xml:space="preserve">that </w:t>
      </w:r>
      <w:r w:rsidR="008654A5">
        <w:t xml:space="preserve">was used in DCAR 1737 to establish the effectiveness of the management and treatment strategies for </w:t>
      </w:r>
      <w:r w:rsidR="00B9189A">
        <w:t>babies</w:t>
      </w:r>
      <w:r w:rsidR="00B3789E">
        <w:t xml:space="preserve"> diagnosed early by NBS. Th</w:t>
      </w:r>
      <w:r w:rsidR="00282A58">
        <w:t>e DCAR’s</w:t>
      </w:r>
      <w:r w:rsidR="00B3789E">
        <w:t xml:space="preserve"> evidence came from a 2016 </w:t>
      </w:r>
      <w:r w:rsidR="003C5D2B">
        <w:t>SR</w:t>
      </w:r>
      <w:r w:rsidR="00B3789E" w:rsidDel="00282A58">
        <w:t xml:space="preserve"> </w:t>
      </w:r>
      <w:r w:rsidR="00282A58">
        <w:t xml:space="preserve">that </w:t>
      </w:r>
      <w:r w:rsidR="003C5D2B">
        <w:t>review</w:t>
      </w:r>
      <w:r w:rsidR="002F7B7B">
        <w:t>ed</w:t>
      </w:r>
      <w:r w:rsidR="003C5D2B">
        <w:t xml:space="preserve"> RCT evidence for</w:t>
      </w:r>
      <w:r w:rsidR="009775BA">
        <w:t xml:space="preserve"> effectiveness</w:t>
      </w:r>
      <w:r w:rsidR="003C5D2B">
        <w:t xml:space="preserve"> </w:t>
      </w:r>
      <w:r w:rsidR="0032577A">
        <w:t xml:space="preserve">for </w:t>
      </w:r>
      <w:r w:rsidR="003C5D2B">
        <w:t xml:space="preserve">the following </w:t>
      </w:r>
      <w:r w:rsidR="00F84653">
        <w:t xml:space="preserve">SCD </w:t>
      </w:r>
      <w:r w:rsidR="003C5D2B">
        <w:t>treatment comparisons</w:t>
      </w:r>
      <w:r w:rsidR="009775BA">
        <w:t>: antibiotic prophylaxis versus placebo or no prophylaxis</w:t>
      </w:r>
      <w:r w:rsidR="005D7A4A" w:rsidRPr="005D7A4A">
        <w:t xml:space="preserve"> </w:t>
      </w:r>
      <w:r w:rsidR="005D7A4A">
        <w:t>in children up to 5 years of age</w:t>
      </w:r>
      <w:r w:rsidR="009775BA">
        <w:t xml:space="preserve">; </w:t>
      </w:r>
      <w:r w:rsidR="005D7A4A">
        <w:t>antibiotic prophylaxis versus placebo or no prophylaxis</w:t>
      </w:r>
      <w:r w:rsidR="005D7A4A" w:rsidRPr="005D7A4A">
        <w:t xml:space="preserve"> </w:t>
      </w:r>
      <w:r w:rsidR="005D7A4A">
        <w:t xml:space="preserve">in children over 5 years of age; and </w:t>
      </w:r>
      <w:r w:rsidR="009775BA">
        <w:t>HU versus placebo</w:t>
      </w:r>
      <w:r w:rsidR="005D7A4A">
        <w:t xml:space="preserve"> in children.</w:t>
      </w:r>
    </w:p>
    <w:p w14:paraId="6CFF1B9D" w14:textId="260388C0" w:rsidR="00D70DC2" w:rsidRDefault="0047287D" w:rsidP="009871CC">
      <w:r>
        <w:t xml:space="preserve">The effectiveness of prophylactic penicillin was investigated in two RCTs in children </w:t>
      </w:r>
      <w:r w:rsidR="00055DD5">
        <w:t>aged 6 to 36 months</w:t>
      </w:r>
      <w:r>
        <w:t xml:space="preserve"> (total n = 447). One RCT (n= 215) compared oral penicillin with placebo, and the other</w:t>
      </w:r>
      <w:r w:rsidR="00D70DC2">
        <w:t xml:space="preserve"> RCT (n = 242) </w:t>
      </w:r>
      <w:r>
        <w:t xml:space="preserve">compared monthly penicillin injections with no prophylaxis. The trials were conducted </w:t>
      </w:r>
      <w:r w:rsidR="00D70DC2">
        <w:t xml:space="preserve">in the 1980s </w:t>
      </w:r>
      <w:r>
        <w:t>in the US</w:t>
      </w:r>
      <w:r w:rsidR="00D70DC2">
        <w:t xml:space="preserve">, </w:t>
      </w:r>
      <w:r>
        <w:t xml:space="preserve">and Jamaica respectively. The </w:t>
      </w:r>
      <w:r w:rsidR="00D70DC2">
        <w:t>US trial was ended prematurely, after four deaths occurred in the placebo arm. The difference in mortality between trial arms did not reach significance (OR 0.11; 95% CI 0.01, 2.11; p = 0.14). There were no deaths in the Jamaican trial</w:t>
      </w:r>
      <w:r w:rsidR="00055DD5">
        <w:t xml:space="preserve"> (followed for 5 years)</w:t>
      </w:r>
      <w:r w:rsidR="00D70DC2">
        <w:t xml:space="preserve">, and mortality overall was no different between those given penicillin and those who were not. </w:t>
      </w:r>
    </w:p>
    <w:p w14:paraId="2BB8334A" w14:textId="2FCC1426" w:rsidR="00D70DC2" w:rsidRDefault="00D70DC2" w:rsidP="009871CC">
      <w:r>
        <w:t>Pneumococcal infections were compared between arms in both RCTs.</w:t>
      </w:r>
      <w:r w:rsidR="00055DD5">
        <w:t xml:space="preserve"> The authors of the SR conducted an an</w:t>
      </w:r>
      <w:r w:rsidR="00656A1B">
        <w:t>a</w:t>
      </w:r>
      <w:r w:rsidR="00055DD5">
        <w:t>lysis of results from both trials, including available data from the early terminated US trial. The analysis found that</w:t>
      </w:r>
      <w:r>
        <w:t xml:space="preserve"> </w:t>
      </w:r>
      <w:r w:rsidR="00055DD5">
        <w:t>i</w:t>
      </w:r>
      <w:r>
        <w:t>nfection</w:t>
      </w:r>
      <w:r w:rsidR="00055DD5">
        <w:t xml:space="preserve"> rates</w:t>
      </w:r>
      <w:r>
        <w:t xml:space="preserve"> were </w:t>
      </w:r>
      <w:r w:rsidR="00055DD5">
        <w:t>lower</w:t>
      </w:r>
      <w:r>
        <w:t xml:space="preserve"> in the </w:t>
      </w:r>
      <w:r w:rsidR="00055DD5">
        <w:t>prophylaxis</w:t>
      </w:r>
      <w:r>
        <w:t xml:space="preserve"> arms </w:t>
      </w:r>
      <w:r w:rsidR="00055DD5">
        <w:t xml:space="preserve">compared to no prophylaxis. </w:t>
      </w:r>
      <w:r w:rsidR="00916FA4">
        <w:t xml:space="preserve">Results are summarised in </w:t>
      </w:r>
      <w:r w:rsidR="00916FA4">
        <w:fldChar w:fldCharType="begin"/>
      </w:r>
      <w:r w:rsidR="00916FA4">
        <w:instrText xml:space="preserve"> REF _Ref129272652 \h  \* MERGEFORMAT </w:instrText>
      </w:r>
      <w:r w:rsidR="00916FA4">
        <w:fldChar w:fldCharType="separate"/>
      </w:r>
      <w:r w:rsidR="007D770C" w:rsidRPr="00BF5BE2">
        <w:t xml:space="preserve">Table </w:t>
      </w:r>
      <w:r w:rsidR="007D770C">
        <w:rPr>
          <w:noProof/>
        </w:rPr>
        <w:t>8</w:t>
      </w:r>
      <w:r w:rsidR="00916FA4">
        <w:fldChar w:fldCharType="end"/>
      </w:r>
      <w:r w:rsidR="00916FA4">
        <w:t>.</w:t>
      </w:r>
    </w:p>
    <w:p w14:paraId="1BF12E5D" w14:textId="49030E5A" w:rsidR="00BF5BE2" w:rsidRPr="00BF5BE2" w:rsidRDefault="00BF5BE2" w:rsidP="00916FA4">
      <w:pPr>
        <w:pStyle w:val="Caption"/>
      </w:pPr>
      <w:bookmarkStart w:id="35" w:name="_Ref129272652"/>
      <w:r w:rsidRPr="00BF5BE2">
        <w:t xml:space="preserve">Table </w:t>
      </w:r>
      <w:r>
        <w:fldChar w:fldCharType="begin"/>
      </w:r>
      <w:r>
        <w:instrText>SEQ Table \* ARABIC</w:instrText>
      </w:r>
      <w:r>
        <w:fldChar w:fldCharType="separate"/>
      </w:r>
      <w:r w:rsidR="007D770C">
        <w:rPr>
          <w:noProof/>
        </w:rPr>
        <w:t>8</w:t>
      </w:r>
      <w:r>
        <w:fldChar w:fldCharType="end"/>
      </w:r>
      <w:bookmarkEnd w:id="35"/>
      <w:r w:rsidRPr="00BF5BE2">
        <w:tab/>
      </w:r>
      <w:r>
        <w:t>Comparison of pneumococcal infections</w:t>
      </w:r>
      <w:r w:rsidRPr="00BF5BE2">
        <w:t xml:space="preserve"> </w:t>
      </w:r>
      <w:r>
        <w:t xml:space="preserve">between children with SCD </w:t>
      </w:r>
      <w:r w:rsidR="00916FA4" w:rsidRPr="00BF5BE2">
        <w:t xml:space="preserve">&lt; 5 years of age </w:t>
      </w:r>
      <w:r w:rsidR="00916FA4">
        <w:t>who received</w:t>
      </w:r>
      <w:r>
        <w:t xml:space="preserve"> </w:t>
      </w:r>
      <w:r w:rsidRPr="00BF5BE2">
        <w:t xml:space="preserve">antibiotic prophylaxis </w:t>
      </w:r>
      <w:r w:rsidR="00916FA4">
        <w:t xml:space="preserve">and </w:t>
      </w:r>
      <w:r>
        <w:t>those who received</w:t>
      </w:r>
      <w:r w:rsidRPr="00BF5BE2">
        <w:t xml:space="preserve"> placebo or no prophylaxis </w:t>
      </w:r>
      <w:r w:rsidR="00496FB5">
        <w:fldChar w:fldCharType="begin"/>
      </w:r>
      <w:r w:rsidR="00496FB5">
        <w:instrText xml:space="preserve"> ADDIN EN.CITE &lt;EndNote&gt;&lt;Cite&gt;&lt;Author&gt;Meremikwu&lt;/Author&gt;&lt;Year&gt;2016&lt;/Year&gt;&lt;RecNum&gt;124&lt;/RecNum&gt;&lt;DisplayText&gt;(Meremikwu &amp;amp; Okomo 2016)&lt;/DisplayText&gt;&lt;record&gt;&lt;rec-number&gt;124&lt;/rec-number&gt;&lt;foreign-keys&gt;&lt;key app="EN" db-id="p2fpwezd8trtaled22npdf09fsdtp5f5w5ar" timestamp="1669680831"&gt;124&lt;/key&gt;&lt;/foreign-keys&gt;&lt;ref-type name="Journal Article"&gt;17&lt;/ref-type&gt;&lt;contributors&gt;&lt;authors&gt;&lt;author&gt;Meremikwu, M. M.&lt;/author&gt;&lt;author&gt;Okomo, U.&lt;/author&gt;&lt;/authors&gt;&lt;/contributors&gt;&lt;auth-address&gt;(Meremikwu) Department of Paediatrics, College of Medical Sciences, University of Calabar, Calabar, Nigeria&lt;/auth-address&gt;&lt;titles&gt;&lt;title&gt;Sickle cell disease&lt;/title&gt;&lt;secondary-title&gt;BMJ clinical evidence&lt;/secondary-title&gt;&lt;/titles&gt;&lt;periodical&gt;&lt;full-title&gt;BMJ clinical evidence&lt;/full-title&gt;&lt;/periodical&gt;&lt;number&gt;pagination&lt;/number&gt;&lt;keywords&gt;&lt;keyword&gt;antibiotic prophylaxis&lt;/keyword&gt;&lt;keyword&gt;blood transfusion&lt;/keyword&gt;&lt;keyword&gt;human&lt;/keyword&gt;&lt;keyword&gt;sickle cell anemia/pc [Prevention]&lt;/keyword&gt;&lt;keyword&gt;sickle cell anemia/th [Therapy]&lt;/keyword&gt;&lt;keyword&gt;hydroxyurea/dt [Drug Therapy]&lt;/keyword&gt;&lt;keyword&gt;Pneumococcus vaccine&lt;/keyword&gt;&lt;/keywords&gt;&lt;dates&gt;&lt;year&gt;2016&lt;/year&gt;&lt;/dates&gt;&lt;isbn&gt;1752-8526 (electronic)&amp;#xD;1752-8526&lt;/isbn&gt;&lt;accession-num&gt;621992341&lt;/accession-num&gt;&lt;work-type&gt;Review&lt;/work-type&gt;&lt;urls&gt;&lt;related-urls&gt;&lt;url&gt;https://ovidsp.ovid.com/ovidweb.cgi?T=JS&amp;amp;CSC=Y&amp;amp;NEWS=N&amp;amp;PAGE=fulltext&amp;amp;D=emed17&amp;amp;AN=621992341&lt;/url&gt;&lt;url&gt;https://librarysearch.adelaide.edu.au/openurl/61ADELAIDE_INST/61ADELAIDE_INST:UOFA?sid=OVID:embase&amp;amp;id=pmid:26808098&amp;amp;id=doi:&amp;amp;issn=1752-8526&amp;amp;isbn=&amp;amp;volume=2016&amp;amp;issue=&amp;amp;spage=&amp;amp;pages=&amp;amp;date=2016&amp;amp;title=BMJ+clinical+evidence&amp;amp;atitle=Sickle+cell+disease&amp;amp;aulast=Meremikwu&amp;amp;pid=%3Cauthor%3EMeremikwu+M.M.%3BOkomo+U.%3C%2Fauthor%3E%3CAN%3E621992341%3C%2FAN%3E%3CDT%3EReview%3C%2FDT%3E&lt;/url&gt;&lt;/related-urls&gt;&lt;/urls&gt;&lt;remote-database-name&gt;Embase&lt;/remote-database-name&gt;&lt;remote-database-provider&gt;Ovid Technologies&lt;/remote-database-provider&gt;&lt;language&gt;English&lt;/language&gt;&lt;/record&gt;&lt;/Cite&gt;&lt;/EndNote&gt;</w:instrText>
      </w:r>
      <w:r w:rsidR="00496FB5">
        <w:fldChar w:fldCharType="separate"/>
      </w:r>
      <w:r w:rsidR="00496FB5">
        <w:rPr>
          <w:noProof/>
        </w:rPr>
        <w:t>(Meremikwu &amp; Okomo 2016)</w:t>
      </w:r>
      <w:r w:rsidR="00496FB5">
        <w:fldChar w:fldCharType="end"/>
      </w:r>
      <w:r w:rsidR="0093078C" w:rsidRPr="0093078C">
        <w:rPr>
          <w:rStyle w:val="FootnoteReference"/>
          <w:b w:val="0"/>
          <w:bCs w:val="0"/>
        </w:rPr>
        <w:t xml:space="preserve"> </w:t>
      </w:r>
      <w:r w:rsidR="0093078C">
        <w:rPr>
          <w:rStyle w:val="FootnoteReference"/>
          <w:b w:val="0"/>
          <w:bCs w:val="0"/>
        </w:rPr>
        <w:footnoteReference w:id="22"/>
      </w:r>
    </w:p>
    <w:tbl>
      <w:tblPr>
        <w:tblStyle w:val="HealthConsult2"/>
        <w:tblW w:w="0" w:type="auto"/>
        <w:tblLook w:val="04A0" w:firstRow="1" w:lastRow="0" w:firstColumn="1" w:lastColumn="0" w:noHBand="0" w:noVBand="1"/>
        <w:tblCaption w:val="Table 9 Comparison of pneumococcal infections between children with SCD &lt; 5 years of age who received antibiotic prophylaxis and those who received placebo or no prophylaxis (Meremikwu &amp; Okomo 2016)"/>
      </w:tblPr>
      <w:tblGrid>
        <w:gridCol w:w="2689"/>
        <w:gridCol w:w="1842"/>
        <w:gridCol w:w="1843"/>
        <w:gridCol w:w="2488"/>
      </w:tblGrid>
      <w:tr w:rsidR="00BF5BE2" w:rsidRPr="00BF5BE2" w14:paraId="392E7F6A" w14:textId="77777777" w:rsidTr="00BF5BE2">
        <w:tc>
          <w:tcPr>
            <w:tcW w:w="2689" w:type="dxa"/>
          </w:tcPr>
          <w:p w14:paraId="3D70C129" w14:textId="15CDAAD8" w:rsidR="00BF5BE2" w:rsidRPr="00BF5BE2" w:rsidRDefault="00BF5BE2" w:rsidP="00BF5BE2">
            <w:pPr>
              <w:spacing w:after="60"/>
              <w:rPr>
                <w:rFonts w:ascii="Arial Narrow" w:hAnsi="Arial Narrow"/>
                <w:b/>
                <w:sz w:val="20"/>
              </w:rPr>
            </w:pPr>
            <w:r>
              <w:rPr>
                <w:rFonts w:ascii="Arial Narrow" w:hAnsi="Arial Narrow"/>
                <w:b/>
                <w:sz w:val="20"/>
              </w:rPr>
              <w:t xml:space="preserve">Total </w:t>
            </w:r>
            <w:r w:rsidRPr="00BF5BE2">
              <w:rPr>
                <w:rFonts w:ascii="Arial Narrow" w:hAnsi="Arial Narrow"/>
                <w:b/>
                <w:sz w:val="20"/>
              </w:rPr>
              <w:t>N</w:t>
            </w:r>
          </w:p>
        </w:tc>
        <w:tc>
          <w:tcPr>
            <w:tcW w:w="1842" w:type="dxa"/>
          </w:tcPr>
          <w:p w14:paraId="29AF2507" w14:textId="77777777" w:rsidR="00BF5BE2" w:rsidRPr="00BF5BE2" w:rsidRDefault="00BF5BE2" w:rsidP="00BF5BE2">
            <w:pPr>
              <w:spacing w:after="60"/>
              <w:rPr>
                <w:rFonts w:ascii="Arial Narrow" w:hAnsi="Arial Narrow"/>
                <w:b/>
                <w:sz w:val="20"/>
              </w:rPr>
            </w:pPr>
            <w:r w:rsidRPr="00BF5BE2">
              <w:rPr>
                <w:rFonts w:ascii="Arial Narrow" w:hAnsi="Arial Narrow"/>
                <w:b/>
                <w:sz w:val="20"/>
              </w:rPr>
              <w:t>Antibiotic prophylaxis</w:t>
            </w:r>
          </w:p>
        </w:tc>
        <w:tc>
          <w:tcPr>
            <w:tcW w:w="1843" w:type="dxa"/>
          </w:tcPr>
          <w:p w14:paraId="3F2C3CEF" w14:textId="77777777" w:rsidR="00BF5BE2" w:rsidRPr="00BF5BE2" w:rsidRDefault="00BF5BE2" w:rsidP="00BF5BE2">
            <w:pPr>
              <w:spacing w:after="60"/>
              <w:rPr>
                <w:rFonts w:ascii="Arial Narrow" w:hAnsi="Arial Narrow"/>
                <w:b/>
                <w:sz w:val="20"/>
              </w:rPr>
            </w:pPr>
            <w:r w:rsidRPr="00BF5BE2">
              <w:rPr>
                <w:rFonts w:ascii="Arial Narrow" w:hAnsi="Arial Narrow"/>
                <w:b/>
                <w:sz w:val="20"/>
              </w:rPr>
              <w:t>Placebo/ no prophylaxis</w:t>
            </w:r>
          </w:p>
        </w:tc>
        <w:tc>
          <w:tcPr>
            <w:tcW w:w="2488" w:type="dxa"/>
          </w:tcPr>
          <w:p w14:paraId="1F2A69EE" w14:textId="7D78A6D9" w:rsidR="00BF5BE2" w:rsidRPr="00BF5BE2" w:rsidRDefault="00BF5BE2" w:rsidP="00BF5BE2">
            <w:pPr>
              <w:spacing w:after="60"/>
              <w:rPr>
                <w:rFonts w:ascii="Arial Narrow" w:hAnsi="Arial Narrow"/>
                <w:b/>
                <w:sz w:val="20"/>
                <w:vertAlign w:val="superscript"/>
              </w:rPr>
            </w:pPr>
            <w:proofErr w:type="spellStart"/>
            <w:r w:rsidRPr="00BF5BE2">
              <w:rPr>
                <w:rFonts w:ascii="Arial Narrow" w:hAnsi="Arial Narrow"/>
                <w:b/>
                <w:sz w:val="20"/>
              </w:rPr>
              <w:t>Difference</w:t>
            </w:r>
            <w:r>
              <w:rPr>
                <w:rFonts w:ascii="Arial Narrow" w:hAnsi="Arial Narrow"/>
                <w:b/>
                <w:sz w:val="20"/>
                <w:vertAlign w:val="superscript"/>
              </w:rPr>
              <w:t>a</w:t>
            </w:r>
            <w:proofErr w:type="spellEnd"/>
          </w:p>
        </w:tc>
      </w:tr>
      <w:tr w:rsidR="00BF5BE2" w:rsidRPr="00BF5BE2" w14:paraId="19E30DE8" w14:textId="77777777" w:rsidTr="00BF5BE2">
        <w:tc>
          <w:tcPr>
            <w:tcW w:w="2689" w:type="dxa"/>
          </w:tcPr>
          <w:p w14:paraId="74FFC185" w14:textId="6DF484A8" w:rsidR="00BF5BE2" w:rsidRDefault="00BF5BE2" w:rsidP="00BF5BE2">
            <w:pPr>
              <w:spacing w:before="40" w:after="40"/>
              <w:rPr>
                <w:rFonts w:ascii="Arial Narrow" w:hAnsi="Arial Narrow"/>
                <w:sz w:val="20"/>
              </w:rPr>
            </w:pPr>
            <w:r w:rsidRPr="00BF5BE2">
              <w:rPr>
                <w:rFonts w:ascii="Arial Narrow" w:hAnsi="Arial Narrow"/>
                <w:sz w:val="20"/>
              </w:rPr>
              <w:t>457</w:t>
            </w:r>
            <w:r>
              <w:rPr>
                <w:rFonts w:ascii="Arial Narrow" w:hAnsi="Arial Narrow"/>
                <w:sz w:val="20"/>
              </w:rPr>
              <w:t xml:space="preserve"> </w:t>
            </w:r>
          </w:p>
          <w:p w14:paraId="28C44A88" w14:textId="6ECBE9AC" w:rsidR="00BF5BE2" w:rsidRPr="00BF5BE2" w:rsidRDefault="00BF5BE2" w:rsidP="00BF5BE2">
            <w:pPr>
              <w:pStyle w:val="Tabletext0"/>
              <w:jc w:val="left"/>
            </w:pPr>
            <w:r>
              <w:t>In combined analysis for Jamaican trial (John et al, 1984) and US trial (Gaston et al, 1986)</w:t>
            </w:r>
          </w:p>
        </w:tc>
        <w:tc>
          <w:tcPr>
            <w:tcW w:w="1842" w:type="dxa"/>
          </w:tcPr>
          <w:p w14:paraId="0D6C1468" w14:textId="5F19D084" w:rsidR="00BF5BE2" w:rsidRPr="00BF5BE2" w:rsidRDefault="00BF5BE2" w:rsidP="00BF5BE2">
            <w:pPr>
              <w:spacing w:before="40" w:after="40"/>
              <w:rPr>
                <w:rFonts w:ascii="Arial Narrow" w:hAnsi="Arial Narrow"/>
                <w:sz w:val="20"/>
              </w:rPr>
            </w:pPr>
            <w:r w:rsidRPr="00BF5BE2">
              <w:rPr>
                <w:rFonts w:ascii="Arial Narrow" w:hAnsi="Arial Narrow"/>
                <w:sz w:val="20"/>
              </w:rPr>
              <w:t xml:space="preserve">9 </w:t>
            </w:r>
            <w:r>
              <w:rPr>
                <w:rFonts w:ascii="Arial Narrow" w:hAnsi="Arial Narrow"/>
                <w:sz w:val="20"/>
              </w:rPr>
              <w:t xml:space="preserve">infections </w:t>
            </w:r>
            <w:r w:rsidRPr="00BF5BE2">
              <w:rPr>
                <w:rFonts w:ascii="Arial Narrow" w:hAnsi="Arial Narrow"/>
                <w:sz w:val="20"/>
              </w:rPr>
              <w:t>(9/248; 4%)</w:t>
            </w:r>
          </w:p>
        </w:tc>
        <w:tc>
          <w:tcPr>
            <w:tcW w:w="1843" w:type="dxa"/>
          </w:tcPr>
          <w:p w14:paraId="06579AD3" w14:textId="221AE966" w:rsidR="00BF5BE2" w:rsidRPr="00BF5BE2" w:rsidRDefault="00BF5BE2" w:rsidP="00BF5BE2">
            <w:pPr>
              <w:spacing w:before="40" w:after="40"/>
              <w:rPr>
                <w:rFonts w:ascii="Arial Narrow" w:hAnsi="Arial Narrow"/>
                <w:sz w:val="20"/>
              </w:rPr>
            </w:pPr>
            <w:r w:rsidRPr="00BF5BE2">
              <w:rPr>
                <w:rFonts w:ascii="Arial Narrow" w:hAnsi="Arial Narrow"/>
                <w:sz w:val="20"/>
              </w:rPr>
              <w:t xml:space="preserve">19 </w:t>
            </w:r>
            <w:r>
              <w:rPr>
                <w:rFonts w:ascii="Arial Narrow" w:hAnsi="Arial Narrow"/>
                <w:sz w:val="20"/>
              </w:rPr>
              <w:t xml:space="preserve">infections </w:t>
            </w:r>
            <w:r w:rsidRPr="00BF5BE2">
              <w:rPr>
                <w:rFonts w:ascii="Arial Narrow" w:hAnsi="Arial Narrow"/>
                <w:sz w:val="20"/>
              </w:rPr>
              <w:t>(19/209; 9%)</w:t>
            </w:r>
          </w:p>
        </w:tc>
        <w:tc>
          <w:tcPr>
            <w:tcW w:w="2488" w:type="dxa"/>
          </w:tcPr>
          <w:p w14:paraId="1ED90DB7" w14:textId="77777777" w:rsidR="00BF5BE2" w:rsidRDefault="00BF5BE2" w:rsidP="00BF5BE2">
            <w:pPr>
              <w:spacing w:before="40" w:after="40"/>
              <w:rPr>
                <w:rFonts w:ascii="Arial Narrow" w:hAnsi="Arial Narrow"/>
                <w:sz w:val="20"/>
              </w:rPr>
            </w:pPr>
            <w:r w:rsidRPr="00BF5BE2">
              <w:rPr>
                <w:rFonts w:ascii="Arial Narrow" w:hAnsi="Arial Narrow"/>
                <w:sz w:val="20"/>
              </w:rPr>
              <w:t>OR 0.37</w:t>
            </w:r>
            <w:r>
              <w:rPr>
                <w:rFonts w:ascii="Arial Narrow" w:hAnsi="Arial Narrow"/>
                <w:sz w:val="20"/>
              </w:rPr>
              <w:t xml:space="preserve"> (</w:t>
            </w:r>
            <w:r w:rsidRPr="00BF5BE2">
              <w:rPr>
                <w:rFonts w:ascii="Arial Narrow" w:hAnsi="Arial Narrow"/>
                <w:sz w:val="20"/>
              </w:rPr>
              <w:t>95% CI 0.16, 0.86</w:t>
            </w:r>
            <w:r>
              <w:rPr>
                <w:rFonts w:ascii="Arial Narrow" w:hAnsi="Arial Narrow"/>
                <w:sz w:val="20"/>
              </w:rPr>
              <w:t>)</w:t>
            </w:r>
          </w:p>
          <w:p w14:paraId="1ADDE925" w14:textId="77777777" w:rsidR="00BF5BE2" w:rsidRDefault="00BF5BE2" w:rsidP="00BF5BE2">
            <w:pPr>
              <w:spacing w:before="40" w:after="40"/>
              <w:rPr>
                <w:rFonts w:ascii="Arial Narrow" w:hAnsi="Arial Narrow"/>
                <w:sz w:val="20"/>
              </w:rPr>
            </w:pPr>
            <w:r w:rsidRPr="00BF5BE2">
              <w:rPr>
                <w:rFonts w:ascii="Arial Narrow" w:hAnsi="Arial Narrow"/>
                <w:sz w:val="20"/>
              </w:rPr>
              <w:t>p=0.02</w:t>
            </w:r>
          </w:p>
          <w:p w14:paraId="69DB373D" w14:textId="567504E6" w:rsidR="00BF5BE2" w:rsidRPr="00BF5BE2" w:rsidRDefault="00BF5BE2" w:rsidP="00BF5BE2">
            <w:pPr>
              <w:spacing w:before="40" w:after="40"/>
              <w:rPr>
                <w:rFonts w:ascii="Arial Narrow" w:hAnsi="Arial Narrow"/>
                <w:sz w:val="20"/>
              </w:rPr>
            </w:pPr>
            <w:r>
              <w:rPr>
                <w:rFonts w:ascii="Arial Narrow" w:hAnsi="Arial Narrow"/>
                <w:sz w:val="20"/>
              </w:rPr>
              <w:t xml:space="preserve">Heterogeneity: </w:t>
            </w:r>
            <w:r w:rsidRPr="00BF5BE2">
              <w:rPr>
                <w:rFonts w:ascii="Arial Narrow" w:hAnsi="Arial Narrow"/>
                <w:sz w:val="20"/>
              </w:rPr>
              <w:t>I</w:t>
            </w:r>
            <w:r w:rsidRPr="00BF5BE2">
              <w:rPr>
                <w:rFonts w:ascii="Arial Narrow" w:hAnsi="Arial Narrow"/>
                <w:sz w:val="20"/>
                <w:vertAlign w:val="superscript"/>
              </w:rPr>
              <w:t>2</w:t>
            </w:r>
            <w:r w:rsidRPr="00BF5BE2">
              <w:rPr>
                <w:rFonts w:ascii="Arial Narrow" w:hAnsi="Arial Narrow"/>
                <w:sz w:val="20"/>
              </w:rPr>
              <w:t>=69%</w:t>
            </w:r>
          </w:p>
        </w:tc>
      </w:tr>
    </w:tbl>
    <w:p w14:paraId="36994297" w14:textId="77777777" w:rsidR="00BF5BE2" w:rsidRPr="00BF5BE2" w:rsidRDefault="00BF5BE2" w:rsidP="000A06BE">
      <w:pPr>
        <w:tabs>
          <w:tab w:val="left" w:pos="284"/>
        </w:tabs>
        <w:spacing w:before="60" w:after="0" w:line="240" w:lineRule="auto"/>
        <w:rPr>
          <w:rFonts w:ascii="Arial Narrow" w:eastAsia="Times New Roman" w:hAnsi="Arial Narrow" w:cs="Arial"/>
          <w:snapToGrid w:val="0"/>
          <w:sz w:val="18"/>
          <w:lang w:eastAsia="en-AU"/>
        </w:rPr>
      </w:pPr>
      <w:r w:rsidRPr="00BF5BE2">
        <w:rPr>
          <w:rFonts w:ascii="Arial Narrow" w:eastAsia="Times New Roman" w:hAnsi="Arial Narrow" w:cs="Arial"/>
          <w:snapToGrid w:val="0"/>
          <w:sz w:val="18"/>
          <w:lang w:eastAsia="en-AU"/>
        </w:rPr>
        <w:t>CI = confidence interval; OR = odds ratio; RCT = randomised controlled trial; SCD = sickle cell disease</w:t>
      </w:r>
    </w:p>
    <w:p w14:paraId="309C755F" w14:textId="5ABC817A" w:rsidR="00BF5BE2" w:rsidRDefault="00BF5BE2" w:rsidP="000A06BE">
      <w:pPr>
        <w:pStyle w:val="Tablenotes0"/>
        <w:spacing w:before="0"/>
        <w:rPr>
          <w:snapToGrid w:val="0"/>
          <w:lang w:eastAsia="en-AU"/>
        </w:rPr>
      </w:pPr>
      <w:r w:rsidRPr="00BF5BE2">
        <w:rPr>
          <w:b/>
          <w:snapToGrid w:val="0"/>
          <w:lang w:eastAsia="en-AU"/>
        </w:rPr>
        <w:t>Notes:</w:t>
      </w:r>
      <w:r w:rsidRPr="00BF5BE2">
        <w:rPr>
          <w:snapToGrid w:val="0"/>
          <w:lang w:eastAsia="en-AU"/>
        </w:rPr>
        <w:t xml:space="preserve"> a. Combined analysis conducted by </w:t>
      </w:r>
      <w:proofErr w:type="spellStart"/>
      <w:r w:rsidRPr="00BF5BE2">
        <w:rPr>
          <w:snapToGrid w:val="0"/>
          <w:lang w:eastAsia="en-AU"/>
        </w:rPr>
        <w:t>Meremikwu</w:t>
      </w:r>
      <w:proofErr w:type="spellEnd"/>
      <w:r w:rsidRPr="00BF5BE2">
        <w:rPr>
          <w:snapToGrid w:val="0"/>
          <w:lang w:eastAsia="en-AU"/>
        </w:rPr>
        <w:t xml:space="preserve"> et al (2016) amongst children who were receiving pneumococcal vaccine</w:t>
      </w:r>
    </w:p>
    <w:p w14:paraId="6BE4373F" w14:textId="5B4DAF61" w:rsidR="00F84653" w:rsidRDefault="003E2E73" w:rsidP="009871CC">
      <w:r>
        <w:t>All children in the US trial had also been given the</w:t>
      </w:r>
      <w:r w:rsidR="003F227B">
        <w:t xml:space="preserve"> polysaccharide </w:t>
      </w:r>
      <w:r>
        <w:t>pneumococcal vaccine</w:t>
      </w:r>
      <w:r w:rsidR="00715A5A">
        <w:t xml:space="preserve"> (participants received the 14-valent pneumovax, which was substituted for the 23-valent vaccine when it became available)</w:t>
      </w:r>
      <w:r>
        <w:t>, whereas only half</w:t>
      </w:r>
      <w:r w:rsidR="00252BDF">
        <w:t xml:space="preserve"> of children </w:t>
      </w:r>
      <w:r>
        <w:t>i</w:t>
      </w:r>
      <w:r w:rsidR="00252BDF">
        <w:t xml:space="preserve">n the Jamaican trial received </w:t>
      </w:r>
      <w:r>
        <w:t>the</w:t>
      </w:r>
      <w:r w:rsidR="00252BDF">
        <w:t xml:space="preserve"> </w:t>
      </w:r>
      <w:r w:rsidR="00AD33A4">
        <w:t xml:space="preserve">14-valent </w:t>
      </w:r>
      <w:r w:rsidR="00585B32">
        <w:t>polysaccharide pneumococcal vaccine</w:t>
      </w:r>
      <w:r w:rsidR="00715A5A">
        <w:rPr>
          <w:rStyle w:val="FootnoteReference"/>
        </w:rPr>
        <w:footnoteReference w:id="23"/>
      </w:r>
      <w:r w:rsidR="00585B32">
        <w:t>.</w:t>
      </w:r>
      <w:r w:rsidR="00252BDF">
        <w:t xml:space="preserve"> A sub-group analysis</w:t>
      </w:r>
      <w:r w:rsidR="00252BDF" w:rsidRPr="00252BDF">
        <w:t xml:space="preserve"> </w:t>
      </w:r>
      <w:r>
        <w:t xml:space="preserve">performed by the SR authors found that </w:t>
      </w:r>
      <w:r w:rsidR="00252BDF">
        <w:t xml:space="preserve">this may have </w:t>
      </w:r>
      <w:r>
        <w:t>increased</w:t>
      </w:r>
      <w:r w:rsidR="00252BDF">
        <w:t xml:space="preserve"> the effect of the penicillin prophylaxis. For those who received the vaccin</w:t>
      </w:r>
      <w:r>
        <w:t>e</w:t>
      </w:r>
      <w:r w:rsidR="00252BDF">
        <w:t xml:space="preserve"> there was a significant reduction in pneumococcal infections amongst those who received penicillin compared with those who did</w:t>
      </w:r>
      <w:r w:rsidR="000E72B3">
        <w:t xml:space="preserve"> </w:t>
      </w:r>
      <w:r w:rsidR="00252BDF">
        <w:t>n</w:t>
      </w:r>
      <w:r w:rsidR="000E72B3">
        <w:t>o</w:t>
      </w:r>
      <w:r w:rsidR="00252BDF">
        <w:t>t (OR 0.41; 95% CI 0.17, 0.96; I</w:t>
      </w:r>
      <w:r w:rsidR="00252BDF">
        <w:rPr>
          <w:vertAlign w:val="superscript"/>
        </w:rPr>
        <w:t>2</w:t>
      </w:r>
      <w:r w:rsidR="00252BDF">
        <w:t xml:space="preserve"> = 76%)</w:t>
      </w:r>
      <w:r w:rsidR="000E72B3">
        <w:t>,</w:t>
      </w:r>
      <w:r w:rsidR="00252BDF">
        <w:t xml:space="preserve"> whereas for those who did not get the vaccine there was no significant difference between penicillin</w:t>
      </w:r>
      <w:r>
        <w:t xml:space="preserve"> and </w:t>
      </w:r>
      <w:r w:rsidR="00252BDF">
        <w:t>no penicillin arms</w:t>
      </w:r>
      <w:r>
        <w:t xml:space="preserve"> (OR 0.15; 95% CI 0.01, 3.28)</w:t>
      </w:r>
      <w:r w:rsidR="00252BDF">
        <w:t xml:space="preserve">. </w:t>
      </w:r>
      <w:r>
        <w:t xml:space="preserve">Clinical advice </w:t>
      </w:r>
      <w:r w:rsidR="00AE677E">
        <w:t xml:space="preserve">provided </w:t>
      </w:r>
      <w:r>
        <w:t xml:space="preserve">in the SR recommended that both penicillin prophylaxis and pneumococcal vaccination are given to </w:t>
      </w:r>
      <w:r w:rsidR="005F1F0D">
        <w:t>c</w:t>
      </w:r>
      <w:r>
        <w:t>hildren with SCD</w:t>
      </w:r>
      <w:r w:rsidR="005F1F0D">
        <w:t xml:space="preserve">. Where there is </w:t>
      </w:r>
      <w:r>
        <w:t xml:space="preserve">high incidence of </w:t>
      </w:r>
      <w:r w:rsidRPr="003E2E73">
        <w:rPr>
          <w:i/>
        </w:rPr>
        <w:t>S</w:t>
      </w:r>
      <w:r w:rsidR="000E72B3">
        <w:rPr>
          <w:i/>
        </w:rPr>
        <w:t>.</w:t>
      </w:r>
      <w:r w:rsidRPr="003E2E73">
        <w:rPr>
          <w:i/>
        </w:rPr>
        <w:t xml:space="preserve"> pneumoniae</w:t>
      </w:r>
      <w:r>
        <w:t xml:space="preserve"> </w:t>
      </w:r>
      <w:r w:rsidR="005F1F0D">
        <w:t xml:space="preserve">antibiotic </w:t>
      </w:r>
      <w:r>
        <w:t>resistance the effectiveness</w:t>
      </w:r>
      <w:r w:rsidDel="00282A58">
        <w:t xml:space="preserve"> </w:t>
      </w:r>
      <w:r w:rsidR="00282A58">
        <w:t xml:space="preserve">of </w:t>
      </w:r>
      <w:r>
        <w:t>penicillin prophylaxis can be reduced</w:t>
      </w:r>
      <w:r w:rsidR="005F1F0D">
        <w:t xml:space="preserve">, but pneumococcal vaccination can help prevent the infection to begin with. </w:t>
      </w:r>
    </w:p>
    <w:p w14:paraId="00FB94CC" w14:textId="3C1087C7" w:rsidR="00F84653" w:rsidRDefault="003E2E73" w:rsidP="009871CC">
      <w:r>
        <w:t>One RCT</w:t>
      </w:r>
      <w:r w:rsidR="00AE677E">
        <w:t xml:space="preserve"> conducted in the US</w:t>
      </w:r>
      <w:r>
        <w:t xml:space="preserve"> assessed penicillin prophylaxis compared with placebo in children older than 5 years. </w:t>
      </w:r>
      <w:r w:rsidR="00AE677E">
        <w:t xml:space="preserve">All children in the trial had previously been given antibiotic prophylaxis for 2 years or more. </w:t>
      </w:r>
      <w:r>
        <w:t xml:space="preserve">There was no difference in mortality between trial arms. </w:t>
      </w:r>
      <w:r w:rsidR="00AE677E">
        <w:t>There was no significant difference in the incidence of pneumococcal infections between arms (penicillin 2/201 [1%] versus placebo 4/199 [2%]; OR 0.49; 95% CI 0.09, 2.71; p = 0.41). A carry over effect of penicillin prophylaxis in the placebo arm could not be ruled out.</w:t>
      </w:r>
    </w:p>
    <w:p w14:paraId="7B5668E5" w14:textId="4E4E1459" w:rsidR="00AE677E" w:rsidRDefault="00F8175A" w:rsidP="009871CC">
      <w:r>
        <w:t>Hydro</w:t>
      </w:r>
      <w:r w:rsidR="003A53E7">
        <w:t>x</w:t>
      </w:r>
      <w:r>
        <w:t xml:space="preserve">yurea (HU) therapy was compared to placebo in three RCTs, conducted in Belgium (n = 25 children, age not specified), the US (the BABY HUG trial, n = 193 children aged 9 to 18 months), and India (n = 60 children aged 5 to 18 years). </w:t>
      </w:r>
      <w:r w:rsidR="00851272">
        <w:t xml:space="preserve">There were </w:t>
      </w:r>
      <w:proofErr w:type="gramStart"/>
      <w:r w:rsidR="00851272">
        <w:t>a number of</w:t>
      </w:r>
      <w:proofErr w:type="gramEnd"/>
      <w:r w:rsidR="00851272">
        <w:t xml:space="preserve"> outcomes compared in the SR: mortality</w:t>
      </w:r>
      <w:r w:rsidR="003A53E7">
        <w:t xml:space="preserve">, incidence of crisis (mean hospital stay, hospitalisation events, pain </w:t>
      </w:r>
      <w:r w:rsidR="00D31CFD">
        <w:t>–</w:t>
      </w:r>
      <w:r w:rsidR="003A53E7">
        <w:t xml:space="preserve"> all reports, pain alone, mean </w:t>
      </w:r>
      <w:r w:rsidR="00B802B4">
        <w:t>VOC</w:t>
      </w:r>
      <w:r w:rsidR="003A53E7">
        <w:t xml:space="preserve"> per patient), and disease related complications (number of blood transfusions, stroke, dactylitis, ACS, splenic sequestration). </w:t>
      </w:r>
    </w:p>
    <w:p w14:paraId="39CFB693" w14:textId="09F1D4BC" w:rsidR="00AE677E" w:rsidRDefault="003A53E7" w:rsidP="009871CC">
      <w:r>
        <w:t xml:space="preserve">The mortality rate was not different between those who received HU or placebo – there were no deaths in the two trials reporting this outcome. </w:t>
      </w:r>
    </w:p>
    <w:p w14:paraId="2CC3D1E0" w14:textId="727FC71A" w:rsidR="00AE677E" w:rsidRDefault="003A53E7" w:rsidP="009871CC">
      <w:r>
        <w:t xml:space="preserve">All measures of hospitalisation favoured HU over placebo, in that children </w:t>
      </w:r>
      <w:r w:rsidR="00C9497D">
        <w:t xml:space="preserve">administered </w:t>
      </w:r>
      <w:r>
        <w:t xml:space="preserve">HU </w:t>
      </w:r>
      <w:r w:rsidR="008F0A43">
        <w:t>experience</w:t>
      </w:r>
      <w:r w:rsidR="005C1CE1">
        <w:t>d</w:t>
      </w:r>
      <w:r w:rsidR="008F0A43">
        <w:t xml:space="preserve"> fewer hospital admissions and</w:t>
      </w:r>
      <w:r>
        <w:t xml:space="preserve"> spent less time in hospital.</w:t>
      </w:r>
      <w:r w:rsidR="000E6D70">
        <w:t xml:space="preserve"> </w:t>
      </w:r>
    </w:p>
    <w:p w14:paraId="0472CC92" w14:textId="4A812FA3" w:rsidR="00AE677E" w:rsidRDefault="00096027" w:rsidP="009871CC">
      <w:r>
        <w:t>Incidence</w:t>
      </w:r>
      <w:r w:rsidR="005C1CE1">
        <w:t>s</w:t>
      </w:r>
      <w:r>
        <w:t xml:space="preserve"> of crisis outcomes </w:t>
      </w:r>
      <w:r w:rsidR="003452B1">
        <w:t>were reported by the BA</w:t>
      </w:r>
      <w:r w:rsidR="005F1F0D">
        <w:t>B</w:t>
      </w:r>
      <w:r w:rsidR="003452B1">
        <w:t>Y HUG trial. All results but one favoured the children receiving HU, who experienced statistically significantly fewer pain</w:t>
      </w:r>
      <w:r w:rsidR="005A2556">
        <w:t>ful crisis</w:t>
      </w:r>
      <w:r w:rsidR="003452B1">
        <w:t xml:space="preserve"> events (alone or in conjunction with other symptoms), dactylitis, ACS, and transfusions than children who received placebo. The exception was incidence of splenic sequestration, which was similar between trial arms. The lower number of transfusions in children given </w:t>
      </w:r>
      <w:r w:rsidR="00640A03">
        <w:t xml:space="preserve">HU was supported by a second RCT, </w:t>
      </w:r>
      <w:r w:rsidR="003452B1">
        <w:t xml:space="preserve">which found similar results to BABY HUG. </w:t>
      </w:r>
      <w:r w:rsidR="00916FA4">
        <w:t xml:space="preserve">Results from the BABY HUG trial are summarised in </w:t>
      </w:r>
      <w:r w:rsidR="00916FA4">
        <w:fldChar w:fldCharType="begin"/>
      </w:r>
      <w:r w:rsidR="00916FA4">
        <w:instrText xml:space="preserve"> REF _Ref129272886 \h  \* MERGEFORMAT </w:instrText>
      </w:r>
      <w:r w:rsidR="00916FA4">
        <w:fldChar w:fldCharType="separate"/>
      </w:r>
      <w:r w:rsidR="007D770C" w:rsidRPr="007D770C">
        <w:t>Table 9</w:t>
      </w:r>
      <w:r w:rsidR="00916FA4">
        <w:fldChar w:fldCharType="end"/>
      </w:r>
      <w:r w:rsidR="005F1F0D">
        <w:t>.</w:t>
      </w:r>
    </w:p>
    <w:p w14:paraId="6D371782" w14:textId="53561235" w:rsidR="00916FA4" w:rsidRPr="00916FA4" w:rsidRDefault="00916FA4" w:rsidP="00916FA4">
      <w:pPr>
        <w:keepNext/>
        <w:spacing w:before="360" w:after="120" w:line="240" w:lineRule="auto"/>
        <w:rPr>
          <w:rFonts w:ascii="Arial Narrow" w:eastAsia="Times New Roman" w:hAnsi="Arial Narrow" w:cs="Times New Roman"/>
          <w:b/>
          <w:bCs/>
          <w:sz w:val="20"/>
          <w:szCs w:val="20"/>
        </w:rPr>
      </w:pPr>
      <w:bookmarkStart w:id="36" w:name="_Ref129272886"/>
      <w:r w:rsidRPr="00916FA4">
        <w:rPr>
          <w:rFonts w:ascii="Arial Narrow" w:eastAsia="Times New Roman" w:hAnsi="Arial Narrow" w:cs="Times New Roman"/>
          <w:b/>
          <w:bCs/>
          <w:sz w:val="20"/>
          <w:szCs w:val="20"/>
        </w:rPr>
        <w:t xml:space="preserve">Table </w:t>
      </w:r>
      <w:r w:rsidRPr="00916FA4">
        <w:rPr>
          <w:rFonts w:ascii="Arial Narrow" w:eastAsia="Times New Roman" w:hAnsi="Arial Narrow" w:cs="Times New Roman"/>
          <w:b/>
          <w:bCs/>
          <w:sz w:val="20"/>
          <w:szCs w:val="20"/>
        </w:rPr>
        <w:fldChar w:fldCharType="begin"/>
      </w:r>
      <w:r w:rsidRPr="00916FA4">
        <w:rPr>
          <w:rFonts w:ascii="Arial Narrow" w:eastAsia="Times New Roman" w:hAnsi="Arial Narrow" w:cs="Times New Roman"/>
          <w:b/>
          <w:bCs/>
          <w:sz w:val="20"/>
          <w:szCs w:val="20"/>
        </w:rPr>
        <w:instrText xml:space="preserve"> SEQ Table \* ARABIC </w:instrText>
      </w:r>
      <w:r w:rsidRPr="00916FA4">
        <w:rPr>
          <w:rFonts w:ascii="Arial Narrow" w:eastAsia="Times New Roman" w:hAnsi="Arial Narrow" w:cs="Times New Roman"/>
          <w:b/>
          <w:bCs/>
          <w:sz w:val="20"/>
          <w:szCs w:val="20"/>
        </w:rPr>
        <w:fldChar w:fldCharType="separate"/>
      </w:r>
      <w:r w:rsidR="007D770C">
        <w:rPr>
          <w:rFonts w:ascii="Arial Narrow" w:eastAsia="Times New Roman" w:hAnsi="Arial Narrow" w:cs="Times New Roman"/>
          <w:b/>
          <w:bCs/>
          <w:noProof/>
          <w:sz w:val="20"/>
          <w:szCs w:val="20"/>
        </w:rPr>
        <w:t>9</w:t>
      </w:r>
      <w:r w:rsidRPr="00916FA4">
        <w:rPr>
          <w:rFonts w:ascii="Arial Narrow" w:eastAsia="Times New Roman" w:hAnsi="Arial Narrow" w:cs="Times New Roman"/>
          <w:b/>
          <w:bCs/>
          <w:noProof/>
          <w:sz w:val="20"/>
          <w:szCs w:val="20"/>
        </w:rPr>
        <w:fldChar w:fldCharType="end"/>
      </w:r>
      <w:bookmarkEnd w:id="36"/>
      <w:r w:rsidRPr="00916FA4">
        <w:rPr>
          <w:rFonts w:ascii="Arial Narrow" w:eastAsia="Times New Roman" w:hAnsi="Arial Narrow" w:cs="Times New Roman"/>
          <w:b/>
          <w:bCs/>
          <w:sz w:val="20"/>
          <w:szCs w:val="20"/>
        </w:rPr>
        <w:t xml:space="preserve"> Summary of treatment outcomes for hydroxyurea compared with placebo for children with SCD </w:t>
      </w:r>
      <w:r>
        <w:rPr>
          <w:rFonts w:ascii="Arial Narrow" w:eastAsia="Times New Roman" w:hAnsi="Arial Narrow" w:cs="Times New Roman"/>
          <w:b/>
          <w:bCs/>
          <w:sz w:val="20"/>
          <w:szCs w:val="20"/>
        </w:rPr>
        <w:t>in the BABY HUG trial</w:t>
      </w:r>
      <w:r w:rsidR="00845D77">
        <w:rPr>
          <w:rFonts w:ascii="Arial Narrow" w:eastAsia="Times New Roman" w:hAnsi="Arial Narrow" w:cs="Times New Roman"/>
          <w:b/>
          <w:bCs/>
          <w:sz w:val="20"/>
          <w:szCs w:val="20"/>
        </w:rPr>
        <w:t xml:space="preserve"> (</w:t>
      </w:r>
      <w:proofErr w:type="spellStart"/>
      <w:r w:rsidR="00845D77" w:rsidRPr="00845D77">
        <w:rPr>
          <w:rFonts w:ascii="Arial Narrow" w:eastAsia="Times New Roman" w:hAnsi="Arial Narrow" w:cs="Times New Roman"/>
          <w:b/>
          <w:bCs/>
          <w:sz w:val="20"/>
          <w:szCs w:val="20"/>
        </w:rPr>
        <w:t>Meremikwu</w:t>
      </w:r>
      <w:proofErr w:type="spellEnd"/>
      <w:r w:rsidR="00845D77">
        <w:rPr>
          <w:rFonts w:ascii="Arial Narrow" w:eastAsia="Times New Roman" w:hAnsi="Arial Narrow" w:cs="Times New Roman"/>
          <w:b/>
          <w:bCs/>
          <w:sz w:val="20"/>
          <w:szCs w:val="20"/>
        </w:rPr>
        <w:t xml:space="preserve"> et al</w:t>
      </w:r>
      <w:r w:rsidR="00B20533">
        <w:rPr>
          <w:rFonts w:ascii="Arial Narrow" w:eastAsia="Times New Roman" w:hAnsi="Arial Narrow" w:cs="Times New Roman"/>
          <w:b/>
          <w:bCs/>
          <w:sz w:val="20"/>
          <w:szCs w:val="20"/>
        </w:rPr>
        <w:t>.</w:t>
      </w:r>
      <w:r w:rsidR="00845D77">
        <w:rPr>
          <w:rFonts w:ascii="Arial Narrow" w:eastAsia="Times New Roman" w:hAnsi="Arial Narrow" w:cs="Times New Roman"/>
          <w:b/>
          <w:bCs/>
          <w:sz w:val="20"/>
          <w:szCs w:val="20"/>
        </w:rPr>
        <w:t xml:space="preserve"> 2016)</w:t>
      </w:r>
      <w:r w:rsidR="00845D77" w:rsidRPr="00B579B4">
        <w:rPr>
          <w:rStyle w:val="FootnoteReference"/>
          <w:vertAlign w:val="baseline"/>
        </w:rPr>
        <w:t xml:space="preserve"> </w:t>
      </w:r>
    </w:p>
    <w:tbl>
      <w:tblPr>
        <w:tblStyle w:val="HealthConsult3"/>
        <w:tblW w:w="9067" w:type="dxa"/>
        <w:tblLook w:val="04A0" w:firstRow="1" w:lastRow="0" w:firstColumn="1" w:lastColumn="0" w:noHBand="0" w:noVBand="1"/>
        <w:tblCaption w:val="Table 10 Summary of treatment outcomes for hydroxyurea compared with placebo for children with SCD in the BABY HUG trial (Meremikwu &amp; Okomo 2016)"/>
      </w:tblPr>
      <w:tblGrid>
        <w:gridCol w:w="1702"/>
        <w:gridCol w:w="1614"/>
        <w:gridCol w:w="1843"/>
        <w:gridCol w:w="2349"/>
        <w:gridCol w:w="1559"/>
      </w:tblGrid>
      <w:tr w:rsidR="00916FA4" w:rsidRPr="00916FA4" w14:paraId="3808EA72" w14:textId="77777777" w:rsidTr="00916FA4">
        <w:tc>
          <w:tcPr>
            <w:tcW w:w="1702" w:type="dxa"/>
          </w:tcPr>
          <w:p w14:paraId="758DD3F5" w14:textId="6E80E1AB" w:rsidR="00916FA4" w:rsidRPr="00916FA4" w:rsidRDefault="00916FA4" w:rsidP="00916FA4">
            <w:pPr>
              <w:spacing w:after="60"/>
              <w:rPr>
                <w:rFonts w:ascii="Arial Narrow" w:hAnsi="Arial Narrow"/>
                <w:b/>
                <w:sz w:val="20"/>
              </w:rPr>
            </w:pPr>
            <w:r>
              <w:rPr>
                <w:rFonts w:ascii="Arial Narrow" w:hAnsi="Arial Narrow"/>
                <w:b/>
                <w:sz w:val="20"/>
              </w:rPr>
              <w:t>Outcome</w:t>
            </w:r>
          </w:p>
        </w:tc>
        <w:tc>
          <w:tcPr>
            <w:tcW w:w="1614" w:type="dxa"/>
          </w:tcPr>
          <w:p w14:paraId="47F4D117" w14:textId="77777777" w:rsidR="00916FA4" w:rsidRPr="00916FA4" w:rsidRDefault="00916FA4" w:rsidP="00916FA4">
            <w:pPr>
              <w:spacing w:after="60"/>
              <w:rPr>
                <w:rFonts w:ascii="Arial Narrow" w:hAnsi="Arial Narrow"/>
                <w:b/>
                <w:sz w:val="20"/>
              </w:rPr>
            </w:pPr>
            <w:r w:rsidRPr="00916FA4">
              <w:rPr>
                <w:rFonts w:ascii="Arial Narrow" w:hAnsi="Arial Narrow"/>
                <w:b/>
                <w:sz w:val="20"/>
              </w:rPr>
              <w:t>HU</w:t>
            </w:r>
          </w:p>
        </w:tc>
        <w:tc>
          <w:tcPr>
            <w:tcW w:w="1843" w:type="dxa"/>
          </w:tcPr>
          <w:p w14:paraId="16064B41" w14:textId="77777777" w:rsidR="00916FA4" w:rsidRPr="00916FA4" w:rsidRDefault="00916FA4" w:rsidP="00916FA4">
            <w:pPr>
              <w:spacing w:after="60"/>
              <w:rPr>
                <w:rFonts w:ascii="Arial Narrow" w:hAnsi="Arial Narrow"/>
                <w:b/>
                <w:sz w:val="20"/>
              </w:rPr>
            </w:pPr>
            <w:r w:rsidRPr="00916FA4">
              <w:rPr>
                <w:rFonts w:ascii="Arial Narrow" w:hAnsi="Arial Narrow"/>
                <w:b/>
                <w:sz w:val="20"/>
              </w:rPr>
              <w:t xml:space="preserve">Placebo </w:t>
            </w:r>
          </w:p>
        </w:tc>
        <w:tc>
          <w:tcPr>
            <w:tcW w:w="2349" w:type="dxa"/>
          </w:tcPr>
          <w:p w14:paraId="0A81C5AC" w14:textId="77777777" w:rsidR="00916FA4" w:rsidRPr="00916FA4" w:rsidRDefault="00916FA4" w:rsidP="00916FA4">
            <w:pPr>
              <w:spacing w:after="60"/>
              <w:rPr>
                <w:rFonts w:ascii="Arial Narrow" w:hAnsi="Arial Narrow"/>
                <w:b/>
                <w:sz w:val="20"/>
              </w:rPr>
            </w:pPr>
            <w:r w:rsidRPr="00916FA4">
              <w:rPr>
                <w:rFonts w:ascii="Arial Narrow" w:hAnsi="Arial Narrow"/>
                <w:b/>
                <w:sz w:val="20"/>
              </w:rPr>
              <w:t>Difference</w:t>
            </w:r>
          </w:p>
        </w:tc>
        <w:tc>
          <w:tcPr>
            <w:tcW w:w="1559" w:type="dxa"/>
          </w:tcPr>
          <w:p w14:paraId="2F890EC8" w14:textId="77777777" w:rsidR="00916FA4" w:rsidRPr="00916FA4" w:rsidRDefault="00916FA4" w:rsidP="00916FA4">
            <w:pPr>
              <w:spacing w:after="60"/>
              <w:rPr>
                <w:rFonts w:ascii="Arial Narrow" w:hAnsi="Arial Narrow"/>
                <w:b/>
                <w:sz w:val="20"/>
              </w:rPr>
            </w:pPr>
            <w:r w:rsidRPr="00916FA4">
              <w:rPr>
                <w:rFonts w:ascii="Arial Narrow" w:hAnsi="Arial Narrow"/>
                <w:b/>
                <w:sz w:val="20"/>
              </w:rPr>
              <w:t>Favoured arm</w:t>
            </w:r>
          </w:p>
        </w:tc>
      </w:tr>
      <w:tr w:rsidR="00916FA4" w:rsidRPr="00916FA4" w14:paraId="25317EE2" w14:textId="77777777" w:rsidTr="00916FA4">
        <w:tc>
          <w:tcPr>
            <w:tcW w:w="1702" w:type="dxa"/>
          </w:tcPr>
          <w:p w14:paraId="3A17C569" w14:textId="4CCFF804" w:rsidR="00916FA4" w:rsidRPr="00916FA4" w:rsidRDefault="00916FA4" w:rsidP="00916FA4">
            <w:pPr>
              <w:spacing w:before="40" w:after="40"/>
              <w:rPr>
                <w:rFonts w:ascii="Arial Narrow" w:hAnsi="Arial Narrow"/>
                <w:sz w:val="20"/>
              </w:rPr>
            </w:pPr>
            <w:r>
              <w:rPr>
                <w:rFonts w:ascii="Arial Narrow" w:hAnsi="Arial Narrow"/>
                <w:sz w:val="20"/>
              </w:rPr>
              <w:t>Hospitalisation</w:t>
            </w:r>
          </w:p>
        </w:tc>
        <w:tc>
          <w:tcPr>
            <w:tcW w:w="1614" w:type="dxa"/>
          </w:tcPr>
          <w:p w14:paraId="57A219A6"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232 events/69 children</w:t>
            </w:r>
          </w:p>
        </w:tc>
        <w:tc>
          <w:tcPr>
            <w:tcW w:w="1843" w:type="dxa"/>
          </w:tcPr>
          <w:p w14:paraId="00BED0A5"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324 events/84 children</w:t>
            </w:r>
          </w:p>
        </w:tc>
        <w:tc>
          <w:tcPr>
            <w:tcW w:w="2349" w:type="dxa"/>
          </w:tcPr>
          <w:p w14:paraId="2E7F34AB" w14:textId="77777777" w:rsidR="00916FA4" w:rsidRDefault="00916FA4" w:rsidP="00916FA4">
            <w:pPr>
              <w:spacing w:before="40" w:after="40"/>
              <w:rPr>
                <w:rFonts w:ascii="Arial Narrow" w:hAnsi="Arial Narrow"/>
                <w:sz w:val="20"/>
              </w:rPr>
            </w:pPr>
            <w:r w:rsidRPr="00916FA4">
              <w:rPr>
                <w:rFonts w:ascii="Arial Narrow" w:hAnsi="Arial Narrow"/>
                <w:sz w:val="20"/>
              </w:rPr>
              <w:t>HR 0.73</w:t>
            </w:r>
            <w:r>
              <w:rPr>
                <w:rFonts w:ascii="Arial Narrow" w:hAnsi="Arial Narrow"/>
                <w:sz w:val="20"/>
              </w:rPr>
              <w:t xml:space="preserve"> (</w:t>
            </w:r>
            <w:r w:rsidRPr="00916FA4">
              <w:rPr>
                <w:rFonts w:ascii="Arial Narrow" w:hAnsi="Arial Narrow"/>
                <w:sz w:val="20"/>
              </w:rPr>
              <w:t>95% CI 0.53, 1.00</w:t>
            </w:r>
            <w:r>
              <w:rPr>
                <w:rFonts w:ascii="Arial Narrow" w:hAnsi="Arial Narrow"/>
                <w:sz w:val="20"/>
              </w:rPr>
              <w:t>)</w:t>
            </w:r>
          </w:p>
          <w:p w14:paraId="33570D87" w14:textId="47E4C5A5" w:rsidR="00916FA4" w:rsidRPr="00916FA4" w:rsidRDefault="00916FA4" w:rsidP="00916FA4">
            <w:pPr>
              <w:spacing w:before="40" w:after="40"/>
              <w:rPr>
                <w:rFonts w:ascii="Arial Narrow" w:hAnsi="Arial Narrow"/>
                <w:sz w:val="20"/>
              </w:rPr>
            </w:pPr>
            <w:r w:rsidRPr="00916FA4">
              <w:rPr>
                <w:rFonts w:ascii="Arial Narrow" w:hAnsi="Arial Narrow"/>
                <w:sz w:val="20"/>
              </w:rPr>
              <w:t>p=0.05</w:t>
            </w:r>
          </w:p>
        </w:tc>
        <w:tc>
          <w:tcPr>
            <w:tcW w:w="1559" w:type="dxa"/>
          </w:tcPr>
          <w:p w14:paraId="2DAEC7BE"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03145000" w14:textId="77777777" w:rsidTr="00916FA4">
        <w:tc>
          <w:tcPr>
            <w:tcW w:w="1702" w:type="dxa"/>
          </w:tcPr>
          <w:p w14:paraId="0400369C"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Pain (all reports)</w:t>
            </w:r>
          </w:p>
        </w:tc>
        <w:tc>
          <w:tcPr>
            <w:tcW w:w="1614" w:type="dxa"/>
          </w:tcPr>
          <w:p w14:paraId="6833ED37"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177 events/62 children</w:t>
            </w:r>
          </w:p>
        </w:tc>
        <w:tc>
          <w:tcPr>
            <w:tcW w:w="1843" w:type="dxa"/>
          </w:tcPr>
          <w:p w14:paraId="2B204E7E"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375 events/75 children</w:t>
            </w:r>
          </w:p>
        </w:tc>
        <w:tc>
          <w:tcPr>
            <w:tcW w:w="2349" w:type="dxa"/>
          </w:tcPr>
          <w:p w14:paraId="6D3A2077" w14:textId="77777777" w:rsidR="00916FA4" w:rsidRDefault="00916FA4" w:rsidP="00916FA4">
            <w:pPr>
              <w:spacing w:before="40" w:after="40"/>
              <w:rPr>
                <w:rFonts w:ascii="Arial Narrow" w:hAnsi="Arial Narrow"/>
                <w:sz w:val="20"/>
              </w:rPr>
            </w:pPr>
            <w:r w:rsidRPr="00916FA4">
              <w:rPr>
                <w:rFonts w:ascii="Arial Narrow" w:hAnsi="Arial Narrow"/>
                <w:sz w:val="20"/>
              </w:rPr>
              <w:t xml:space="preserve">HR 0.59 </w:t>
            </w:r>
            <w:r>
              <w:rPr>
                <w:rFonts w:ascii="Arial Narrow" w:hAnsi="Arial Narrow"/>
                <w:sz w:val="20"/>
              </w:rPr>
              <w:t>(</w:t>
            </w:r>
            <w:r w:rsidRPr="00916FA4">
              <w:rPr>
                <w:rFonts w:ascii="Arial Narrow" w:hAnsi="Arial Narrow"/>
                <w:sz w:val="20"/>
              </w:rPr>
              <w:t>95%CI 0.42, 0.83</w:t>
            </w:r>
            <w:r>
              <w:rPr>
                <w:rFonts w:ascii="Arial Narrow" w:hAnsi="Arial Narrow"/>
                <w:sz w:val="20"/>
              </w:rPr>
              <w:t>)</w:t>
            </w:r>
          </w:p>
          <w:p w14:paraId="117006C0" w14:textId="04B34A68" w:rsidR="00916FA4" w:rsidRPr="00916FA4" w:rsidRDefault="00916FA4" w:rsidP="00916FA4">
            <w:pPr>
              <w:spacing w:before="40" w:after="40"/>
              <w:rPr>
                <w:rFonts w:ascii="Arial Narrow" w:hAnsi="Arial Narrow"/>
                <w:sz w:val="20"/>
              </w:rPr>
            </w:pPr>
            <w:r w:rsidRPr="00916FA4">
              <w:rPr>
                <w:rFonts w:ascii="Arial Narrow" w:hAnsi="Arial Narrow"/>
                <w:sz w:val="20"/>
              </w:rPr>
              <w:t>p=0.002</w:t>
            </w:r>
          </w:p>
        </w:tc>
        <w:tc>
          <w:tcPr>
            <w:tcW w:w="1559" w:type="dxa"/>
          </w:tcPr>
          <w:p w14:paraId="11BFB876"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0FA43167" w14:textId="77777777" w:rsidTr="00916FA4">
        <w:tc>
          <w:tcPr>
            <w:tcW w:w="1702" w:type="dxa"/>
          </w:tcPr>
          <w:p w14:paraId="6CEEDE5F"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Pain alone</w:t>
            </w:r>
          </w:p>
        </w:tc>
        <w:tc>
          <w:tcPr>
            <w:tcW w:w="1614" w:type="dxa"/>
          </w:tcPr>
          <w:p w14:paraId="7D56F27A"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63 events/37 children</w:t>
            </w:r>
          </w:p>
        </w:tc>
        <w:tc>
          <w:tcPr>
            <w:tcW w:w="1843" w:type="dxa"/>
          </w:tcPr>
          <w:p w14:paraId="0BA11CDF"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121 events/55 children</w:t>
            </w:r>
          </w:p>
        </w:tc>
        <w:tc>
          <w:tcPr>
            <w:tcW w:w="2349" w:type="dxa"/>
          </w:tcPr>
          <w:p w14:paraId="7C867A2F" w14:textId="77777777" w:rsidR="00916FA4" w:rsidRDefault="00916FA4" w:rsidP="00916FA4">
            <w:pPr>
              <w:spacing w:before="40" w:after="40"/>
              <w:rPr>
                <w:rFonts w:ascii="Arial Narrow" w:hAnsi="Arial Narrow"/>
                <w:sz w:val="20"/>
              </w:rPr>
            </w:pPr>
            <w:r w:rsidRPr="00916FA4">
              <w:rPr>
                <w:rFonts w:ascii="Arial Narrow" w:hAnsi="Arial Narrow"/>
                <w:sz w:val="20"/>
              </w:rPr>
              <w:t xml:space="preserve">HR 0.54 </w:t>
            </w:r>
            <w:r>
              <w:rPr>
                <w:rFonts w:ascii="Arial Narrow" w:hAnsi="Arial Narrow"/>
                <w:sz w:val="20"/>
              </w:rPr>
              <w:t>(</w:t>
            </w:r>
            <w:r w:rsidRPr="00916FA4">
              <w:rPr>
                <w:rFonts w:ascii="Arial Narrow" w:hAnsi="Arial Narrow"/>
                <w:sz w:val="20"/>
              </w:rPr>
              <w:t>95%CI 0.36, 0.83</w:t>
            </w:r>
            <w:r>
              <w:rPr>
                <w:rFonts w:ascii="Arial Narrow" w:hAnsi="Arial Narrow"/>
                <w:sz w:val="20"/>
              </w:rPr>
              <w:t>)</w:t>
            </w:r>
          </w:p>
          <w:p w14:paraId="3EDD55E1" w14:textId="29E976FC" w:rsidR="00916FA4" w:rsidRPr="00916FA4" w:rsidRDefault="00916FA4" w:rsidP="00916FA4">
            <w:pPr>
              <w:spacing w:before="40" w:after="40"/>
              <w:rPr>
                <w:rFonts w:ascii="Arial Narrow" w:hAnsi="Arial Narrow"/>
                <w:sz w:val="20"/>
              </w:rPr>
            </w:pPr>
            <w:r w:rsidRPr="00916FA4">
              <w:rPr>
                <w:rFonts w:ascii="Arial Narrow" w:hAnsi="Arial Narrow"/>
                <w:sz w:val="20"/>
              </w:rPr>
              <w:t>p=0.004</w:t>
            </w:r>
          </w:p>
        </w:tc>
        <w:tc>
          <w:tcPr>
            <w:tcW w:w="1559" w:type="dxa"/>
          </w:tcPr>
          <w:p w14:paraId="4C345B6D"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2B8501AA" w14:textId="77777777" w:rsidTr="00916FA4">
        <w:tc>
          <w:tcPr>
            <w:tcW w:w="1702" w:type="dxa"/>
          </w:tcPr>
          <w:p w14:paraId="7AE5D1FB" w14:textId="482715BF" w:rsidR="00916FA4" w:rsidRPr="00916FA4" w:rsidRDefault="00916FA4" w:rsidP="00916FA4">
            <w:pPr>
              <w:spacing w:before="40" w:after="40"/>
              <w:rPr>
                <w:rFonts w:ascii="Arial Narrow" w:hAnsi="Arial Narrow"/>
                <w:sz w:val="20"/>
              </w:rPr>
            </w:pPr>
            <w:r>
              <w:rPr>
                <w:rFonts w:ascii="Arial Narrow" w:hAnsi="Arial Narrow"/>
                <w:sz w:val="20"/>
              </w:rPr>
              <w:t>Blood transfusions</w:t>
            </w:r>
          </w:p>
        </w:tc>
        <w:tc>
          <w:tcPr>
            <w:tcW w:w="1614" w:type="dxa"/>
          </w:tcPr>
          <w:p w14:paraId="15772D26"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35 events/20 children</w:t>
            </w:r>
          </w:p>
        </w:tc>
        <w:tc>
          <w:tcPr>
            <w:tcW w:w="1843" w:type="dxa"/>
          </w:tcPr>
          <w:p w14:paraId="180BD570"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63 events /33 children</w:t>
            </w:r>
          </w:p>
        </w:tc>
        <w:tc>
          <w:tcPr>
            <w:tcW w:w="2349" w:type="dxa"/>
          </w:tcPr>
          <w:p w14:paraId="723C9ADD" w14:textId="77777777" w:rsidR="00916FA4" w:rsidRDefault="00916FA4" w:rsidP="00916FA4">
            <w:pPr>
              <w:spacing w:before="40" w:after="40"/>
              <w:rPr>
                <w:rFonts w:ascii="Arial Narrow" w:hAnsi="Arial Narrow"/>
                <w:sz w:val="20"/>
              </w:rPr>
            </w:pPr>
            <w:r w:rsidRPr="00916FA4">
              <w:rPr>
                <w:rFonts w:ascii="Arial Narrow" w:hAnsi="Arial Narrow"/>
                <w:sz w:val="20"/>
              </w:rPr>
              <w:t>HR 0.55</w:t>
            </w:r>
            <w:r>
              <w:rPr>
                <w:rFonts w:ascii="Arial Narrow" w:hAnsi="Arial Narrow"/>
                <w:sz w:val="20"/>
              </w:rPr>
              <w:t xml:space="preserve"> (</w:t>
            </w:r>
            <w:r w:rsidRPr="00916FA4">
              <w:rPr>
                <w:rFonts w:ascii="Arial Narrow" w:hAnsi="Arial Narrow"/>
                <w:sz w:val="20"/>
              </w:rPr>
              <w:t>95%CI 0.32, 0.96</w:t>
            </w:r>
            <w:r>
              <w:rPr>
                <w:rFonts w:ascii="Arial Narrow" w:hAnsi="Arial Narrow"/>
                <w:sz w:val="20"/>
              </w:rPr>
              <w:t>)</w:t>
            </w:r>
          </w:p>
          <w:p w14:paraId="1907D9DE" w14:textId="5029E4D5" w:rsidR="00916FA4" w:rsidRPr="00916FA4" w:rsidRDefault="00916FA4" w:rsidP="00916FA4">
            <w:pPr>
              <w:spacing w:before="40" w:after="40"/>
              <w:rPr>
                <w:rFonts w:ascii="Arial Narrow" w:hAnsi="Arial Narrow"/>
                <w:sz w:val="20"/>
              </w:rPr>
            </w:pPr>
            <w:r w:rsidRPr="00916FA4">
              <w:rPr>
                <w:rFonts w:ascii="Arial Narrow" w:hAnsi="Arial Narrow"/>
                <w:sz w:val="20"/>
              </w:rPr>
              <w:t>p=0.03</w:t>
            </w:r>
          </w:p>
        </w:tc>
        <w:tc>
          <w:tcPr>
            <w:tcW w:w="1559" w:type="dxa"/>
          </w:tcPr>
          <w:p w14:paraId="5D3DEB9E"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3752E11B" w14:textId="77777777" w:rsidTr="00916FA4">
        <w:tc>
          <w:tcPr>
            <w:tcW w:w="1702" w:type="dxa"/>
          </w:tcPr>
          <w:p w14:paraId="388ABA8D"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Dactylitis</w:t>
            </w:r>
          </w:p>
        </w:tc>
        <w:tc>
          <w:tcPr>
            <w:tcW w:w="1614" w:type="dxa"/>
          </w:tcPr>
          <w:p w14:paraId="183ACCBD"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24 events/14 children</w:t>
            </w:r>
          </w:p>
        </w:tc>
        <w:tc>
          <w:tcPr>
            <w:tcW w:w="1843" w:type="dxa"/>
          </w:tcPr>
          <w:p w14:paraId="22CD1D45"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123 events/42 children</w:t>
            </w:r>
          </w:p>
        </w:tc>
        <w:tc>
          <w:tcPr>
            <w:tcW w:w="2349" w:type="dxa"/>
          </w:tcPr>
          <w:p w14:paraId="7389E34E" w14:textId="77777777" w:rsidR="00916FA4" w:rsidRDefault="00916FA4" w:rsidP="00916FA4">
            <w:pPr>
              <w:spacing w:before="40" w:after="40"/>
              <w:rPr>
                <w:rFonts w:ascii="Arial Narrow" w:hAnsi="Arial Narrow"/>
                <w:sz w:val="20"/>
              </w:rPr>
            </w:pPr>
            <w:r w:rsidRPr="00916FA4">
              <w:rPr>
                <w:rFonts w:ascii="Arial Narrow" w:hAnsi="Arial Narrow"/>
                <w:sz w:val="20"/>
              </w:rPr>
              <w:t>HR 0.27</w:t>
            </w:r>
            <w:r>
              <w:rPr>
                <w:rFonts w:ascii="Arial Narrow" w:hAnsi="Arial Narrow"/>
                <w:sz w:val="20"/>
              </w:rPr>
              <w:t xml:space="preserve"> (</w:t>
            </w:r>
            <w:r w:rsidRPr="00916FA4">
              <w:rPr>
                <w:rFonts w:ascii="Arial Narrow" w:hAnsi="Arial Narrow"/>
                <w:sz w:val="20"/>
              </w:rPr>
              <w:t>95%CI 0.15, 0.50</w:t>
            </w:r>
            <w:r>
              <w:rPr>
                <w:rFonts w:ascii="Arial Narrow" w:hAnsi="Arial Narrow"/>
                <w:sz w:val="20"/>
              </w:rPr>
              <w:t>)</w:t>
            </w:r>
          </w:p>
          <w:p w14:paraId="31E892CB" w14:textId="5E1C021C" w:rsidR="00916FA4" w:rsidRPr="00916FA4" w:rsidRDefault="00916FA4" w:rsidP="00916FA4">
            <w:pPr>
              <w:spacing w:before="40" w:after="40"/>
              <w:rPr>
                <w:rFonts w:ascii="Arial Narrow" w:hAnsi="Arial Narrow"/>
                <w:sz w:val="20"/>
              </w:rPr>
            </w:pPr>
            <w:r w:rsidRPr="00916FA4">
              <w:rPr>
                <w:rFonts w:ascii="Arial Narrow" w:hAnsi="Arial Narrow"/>
                <w:sz w:val="20"/>
              </w:rPr>
              <w:t>p&lt;0.0001</w:t>
            </w:r>
          </w:p>
        </w:tc>
        <w:tc>
          <w:tcPr>
            <w:tcW w:w="1559" w:type="dxa"/>
          </w:tcPr>
          <w:p w14:paraId="42544E76"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055CD49E" w14:textId="77777777" w:rsidTr="00916FA4">
        <w:tc>
          <w:tcPr>
            <w:tcW w:w="1702" w:type="dxa"/>
          </w:tcPr>
          <w:p w14:paraId="6F29467C"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ACS</w:t>
            </w:r>
          </w:p>
        </w:tc>
        <w:tc>
          <w:tcPr>
            <w:tcW w:w="1614" w:type="dxa"/>
          </w:tcPr>
          <w:p w14:paraId="1FD1EAD1"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8 events/7 children</w:t>
            </w:r>
          </w:p>
        </w:tc>
        <w:tc>
          <w:tcPr>
            <w:tcW w:w="1843" w:type="dxa"/>
          </w:tcPr>
          <w:p w14:paraId="532A17A9"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27 events/18 children</w:t>
            </w:r>
          </w:p>
        </w:tc>
        <w:tc>
          <w:tcPr>
            <w:tcW w:w="2349" w:type="dxa"/>
          </w:tcPr>
          <w:p w14:paraId="4235784F" w14:textId="77777777" w:rsidR="00916FA4" w:rsidRDefault="00916FA4" w:rsidP="00916FA4">
            <w:pPr>
              <w:spacing w:before="40" w:after="40"/>
              <w:rPr>
                <w:rFonts w:ascii="Arial Narrow" w:hAnsi="Arial Narrow"/>
                <w:sz w:val="20"/>
              </w:rPr>
            </w:pPr>
            <w:r w:rsidRPr="00916FA4">
              <w:rPr>
                <w:rFonts w:ascii="Arial Narrow" w:hAnsi="Arial Narrow"/>
                <w:sz w:val="20"/>
              </w:rPr>
              <w:t>HR 0.36</w:t>
            </w:r>
            <w:r>
              <w:rPr>
                <w:rFonts w:ascii="Arial Narrow" w:hAnsi="Arial Narrow"/>
                <w:sz w:val="20"/>
              </w:rPr>
              <w:t xml:space="preserve"> (</w:t>
            </w:r>
            <w:r w:rsidRPr="00916FA4">
              <w:rPr>
                <w:rFonts w:ascii="Arial Narrow" w:hAnsi="Arial Narrow"/>
                <w:sz w:val="20"/>
              </w:rPr>
              <w:t>95%CI 0.15, 0.87</w:t>
            </w:r>
            <w:r>
              <w:rPr>
                <w:rFonts w:ascii="Arial Narrow" w:hAnsi="Arial Narrow"/>
                <w:sz w:val="20"/>
              </w:rPr>
              <w:t>)</w:t>
            </w:r>
          </w:p>
          <w:p w14:paraId="10DA9008" w14:textId="2C0B2274" w:rsidR="00916FA4" w:rsidRPr="00916FA4" w:rsidRDefault="00916FA4" w:rsidP="00916FA4">
            <w:pPr>
              <w:spacing w:before="40" w:after="40"/>
              <w:rPr>
                <w:rFonts w:ascii="Arial Narrow" w:hAnsi="Arial Narrow"/>
                <w:sz w:val="20"/>
              </w:rPr>
            </w:pPr>
            <w:r w:rsidRPr="00916FA4">
              <w:rPr>
                <w:rFonts w:ascii="Arial Narrow" w:hAnsi="Arial Narrow"/>
                <w:sz w:val="20"/>
              </w:rPr>
              <w:t>p=0.02</w:t>
            </w:r>
          </w:p>
        </w:tc>
        <w:tc>
          <w:tcPr>
            <w:tcW w:w="1559" w:type="dxa"/>
          </w:tcPr>
          <w:p w14:paraId="2BD42A05"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HU</w:t>
            </w:r>
          </w:p>
        </w:tc>
      </w:tr>
      <w:tr w:rsidR="00916FA4" w:rsidRPr="00916FA4" w14:paraId="6A12483B" w14:textId="77777777" w:rsidTr="00916FA4">
        <w:tc>
          <w:tcPr>
            <w:tcW w:w="1702" w:type="dxa"/>
          </w:tcPr>
          <w:p w14:paraId="46652A0F"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Splenic sequestration</w:t>
            </w:r>
          </w:p>
        </w:tc>
        <w:tc>
          <w:tcPr>
            <w:tcW w:w="1614" w:type="dxa"/>
          </w:tcPr>
          <w:p w14:paraId="7775262A"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12 events/8 children</w:t>
            </w:r>
          </w:p>
        </w:tc>
        <w:tc>
          <w:tcPr>
            <w:tcW w:w="1843" w:type="dxa"/>
          </w:tcPr>
          <w:p w14:paraId="64461E54"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12 events/9 children</w:t>
            </w:r>
          </w:p>
        </w:tc>
        <w:tc>
          <w:tcPr>
            <w:tcW w:w="2349" w:type="dxa"/>
          </w:tcPr>
          <w:p w14:paraId="65DE7272" w14:textId="77777777" w:rsidR="00916FA4" w:rsidRDefault="00916FA4" w:rsidP="00916FA4">
            <w:pPr>
              <w:spacing w:before="40" w:after="40"/>
              <w:rPr>
                <w:rFonts w:ascii="Arial Narrow" w:hAnsi="Arial Narrow"/>
                <w:sz w:val="20"/>
              </w:rPr>
            </w:pPr>
            <w:r w:rsidRPr="00916FA4">
              <w:rPr>
                <w:rFonts w:ascii="Arial Narrow" w:hAnsi="Arial Narrow"/>
                <w:sz w:val="20"/>
              </w:rPr>
              <w:t>HR 0.88</w:t>
            </w:r>
            <w:r>
              <w:rPr>
                <w:rFonts w:ascii="Arial Narrow" w:hAnsi="Arial Narrow"/>
                <w:sz w:val="20"/>
              </w:rPr>
              <w:t xml:space="preserve"> (</w:t>
            </w:r>
            <w:r w:rsidRPr="00916FA4">
              <w:rPr>
                <w:rFonts w:ascii="Arial Narrow" w:hAnsi="Arial Narrow"/>
                <w:sz w:val="20"/>
              </w:rPr>
              <w:t>95% CI 0.34, 2.27</w:t>
            </w:r>
            <w:r>
              <w:rPr>
                <w:rFonts w:ascii="Arial Narrow" w:hAnsi="Arial Narrow"/>
                <w:sz w:val="20"/>
              </w:rPr>
              <w:t>)</w:t>
            </w:r>
          </w:p>
          <w:p w14:paraId="71066D21" w14:textId="38386098" w:rsidR="00916FA4" w:rsidRPr="00916FA4" w:rsidRDefault="00916FA4" w:rsidP="00916FA4">
            <w:pPr>
              <w:spacing w:before="40" w:after="40"/>
              <w:rPr>
                <w:rFonts w:ascii="Arial Narrow" w:hAnsi="Arial Narrow"/>
                <w:sz w:val="20"/>
              </w:rPr>
            </w:pPr>
            <w:r w:rsidRPr="00916FA4">
              <w:rPr>
                <w:rFonts w:ascii="Arial Narrow" w:hAnsi="Arial Narrow"/>
                <w:sz w:val="20"/>
              </w:rPr>
              <w:t>p=0.79</w:t>
            </w:r>
          </w:p>
        </w:tc>
        <w:tc>
          <w:tcPr>
            <w:tcW w:w="1559" w:type="dxa"/>
          </w:tcPr>
          <w:p w14:paraId="1E958B6B" w14:textId="77777777" w:rsidR="00916FA4" w:rsidRPr="00916FA4" w:rsidRDefault="00916FA4" w:rsidP="00916FA4">
            <w:pPr>
              <w:spacing w:before="40" w:after="40"/>
              <w:rPr>
                <w:rFonts w:ascii="Arial Narrow" w:hAnsi="Arial Narrow"/>
                <w:sz w:val="20"/>
              </w:rPr>
            </w:pPr>
            <w:r w:rsidRPr="00916FA4">
              <w:rPr>
                <w:rFonts w:ascii="Arial Narrow" w:hAnsi="Arial Narrow"/>
                <w:sz w:val="20"/>
              </w:rPr>
              <w:t>None</w:t>
            </w:r>
          </w:p>
        </w:tc>
      </w:tr>
    </w:tbl>
    <w:p w14:paraId="5A6A00C2" w14:textId="16E7ED3D" w:rsidR="00916FA4" w:rsidRDefault="00916FA4" w:rsidP="005F1F0D">
      <w:pPr>
        <w:pStyle w:val="Tablenotes0"/>
        <w:rPr>
          <w:snapToGrid w:val="0"/>
          <w:lang w:eastAsia="en-AU"/>
        </w:rPr>
      </w:pPr>
      <w:r w:rsidRPr="00916FA4">
        <w:rPr>
          <w:snapToGrid w:val="0"/>
          <w:lang w:eastAsia="en-AU"/>
        </w:rPr>
        <w:t>ACS = acute chest syndrome; CI = confidence interval; HR = hazard ratio; HU = hydroxyurea; SCD = sickle cell disease</w:t>
      </w:r>
    </w:p>
    <w:p w14:paraId="0F14AC14" w14:textId="08026DFC" w:rsidR="003452B1" w:rsidRDefault="00640A03" w:rsidP="009871CC">
      <w:proofErr w:type="gramStart"/>
      <w:r>
        <w:t>Overall</w:t>
      </w:r>
      <w:proofErr w:type="gramEnd"/>
      <w:r>
        <w:t xml:space="preserve"> there are very few safety concerns, and significant effectiveness associated with </w:t>
      </w:r>
      <w:r w:rsidR="002C6458">
        <w:t xml:space="preserve">guideline-directed </w:t>
      </w:r>
      <w:r>
        <w:t xml:space="preserve">treatments for young children with SCD. HU was effective in reducing morbidity in children with </w:t>
      </w:r>
      <w:r w:rsidR="00BE0086">
        <w:t>SCD</w:t>
      </w:r>
      <w:r>
        <w:t>, but its effectiveness should be weighed against the safety concern of reduced absolute neutrophil count, which has the possibility of increasing the risk of infection. Children can be managed by adjustment of their HU dosage if side effects occur.</w:t>
      </w:r>
    </w:p>
    <w:p w14:paraId="01DE8AD4" w14:textId="60420D53" w:rsidR="005A2073" w:rsidRPr="00041448" w:rsidRDefault="005A2073" w:rsidP="009871CC">
      <w:r>
        <w:t xml:space="preserve">The </w:t>
      </w:r>
      <w:r w:rsidR="00D3706F">
        <w:t>evidence therefore demonstrate</w:t>
      </w:r>
      <w:r w:rsidR="00F47404">
        <w:t>d</w:t>
      </w:r>
      <w:r w:rsidR="00D3706F">
        <w:t xml:space="preserve"> that when cases of SCD are detected early, preventative strategies are available that improve health outcomes</w:t>
      </w:r>
      <w:r w:rsidR="009E7938">
        <w:t xml:space="preserve"> for those affected</w:t>
      </w:r>
      <w:r w:rsidR="008D7616">
        <w:t>, compared to starting treatment at a later time-</w:t>
      </w:r>
      <w:r w:rsidR="00977F96">
        <w:t>point</w:t>
      </w:r>
      <w:r w:rsidR="009E7938">
        <w:t xml:space="preserve">. </w:t>
      </w:r>
    </w:p>
    <w:p w14:paraId="457CAA99" w14:textId="6A30EEB7" w:rsidR="000268E5" w:rsidRDefault="00195588" w:rsidP="000268E5">
      <w:pPr>
        <w:pStyle w:val="Heading3"/>
      </w:pPr>
      <w:bookmarkStart w:id="37" w:name="_Toc149736395"/>
      <w:r>
        <w:t>Clinical utility summary</w:t>
      </w:r>
      <w:bookmarkEnd w:id="37"/>
      <w:r w:rsidR="000268E5">
        <w:t xml:space="preserve"> </w:t>
      </w:r>
    </w:p>
    <w:p w14:paraId="643DBCB4" w14:textId="70AE6B41" w:rsidR="00A91304" w:rsidRDefault="00195588" w:rsidP="009718A1">
      <w:r>
        <w:t>The</w:t>
      </w:r>
      <w:r w:rsidR="00177B89">
        <w:t>re</w:t>
      </w:r>
      <w:r>
        <w:t xml:space="preserve"> </w:t>
      </w:r>
      <w:r w:rsidR="00E2123D">
        <w:t>we</w:t>
      </w:r>
      <w:r>
        <w:t xml:space="preserve">re no prevalence </w:t>
      </w:r>
      <w:r w:rsidR="0010534C">
        <w:t xml:space="preserve">or </w:t>
      </w:r>
      <w:r>
        <w:t xml:space="preserve">incidence data for haemoglobinopathies in Australia. </w:t>
      </w:r>
      <w:r w:rsidR="00217FB0">
        <w:t xml:space="preserve">Two methods of estimating the incidence were provided </w:t>
      </w:r>
      <w:r w:rsidR="00D97FB3">
        <w:t>in DCAR 1737, based on laboratory input and data from Argent et al. 2012</w:t>
      </w:r>
      <w:r w:rsidR="00556956">
        <w:rPr>
          <w:rStyle w:val="FootnoteReference"/>
        </w:rPr>
        <w:footnoteReference w:id="24"/>
      </w:r>
      <w:r w:rsidR="00D97FB3">
        <w:t xml:space="preserve">). An additional estimate </w:t>
      </w:r>
      <w:r w:rsidR="00F47404">
        <w:t>wa</w:t>
      </w:r>
      <w:r w:rsidR="00D97FB3">
        <w:t xml:space="preserve">s </w:t>
      </w:r>
      <w:r w:rsidR="00E62A26">
        <w:t>calculated</w:t>
      </w:r>
      <w:r w:rsidR="00D97FB3">
        <w:t xml:space="preserve"> in this FFP overview, based on </w:t>
      </w:r>
      <w:r w:rsidR="00AF70AF">
        <w:t xml:space="preserve">the birth prevalence of SCD within Sub-Saharan-Africa, the </w:t>
      </w:r>
      <w:r w:rsidR="000F0847">
        <w:t xml:space="preserve">proportion of births in Australia to parents from Sub-Saharan-Africa, and the proportion of </w:t>
      </w:r>
      <w:r w:rsidR="009D1610">
        <w:t xml:space="preserve">SCD cases on the </w:t>
      </w:r>
      <w:proofErr w:type="spellStart"/>
      <w:r w:rsidR="009D1610">
        <w:t>HbR</w:t>
      </w:r>
      <w:proofErr w:type="spellEnd"/>
      <w:r w:rsidR="009D1610">
        <w:t xml:space="preserve"> </w:t>
      </w:r>
      <w:r w:rsidR="009D1A82">
        <w:t xml:space="preserve">with </w:t>
      </w:r>
      <w:r w:rsidR="009D1610">
        <w:t>Sub-</w:t>
      </w:r>
      <w:proofErr w:type="gramStart"/>
      <w:r w:rsidR="009D1610">
        <w:t>Saharan-African</w:t>
      </w:r>
      <w:proofErr w:type="gramEnd"/>
      <w:r w:rsidR="009D1610">
        <w:t xml:space="preserve"> </w:t>
      </w:r>
      <w:r w:rsidR="009D1A82">
        <w:t xml:space="preserve">ancestry </w:t>
      </w:r>
      <w:r w:rsidR="00D21203">
        <w:t>(see Section 5 for more information)</w:t>
      </w:r>
      <w:r w:rsidR="009D1610">
        <w:t xml:space="preserve">. This </w:t>
      </w:r>
      <w:r w:rsidR="008D6184">
        <w:t>provided</w:t>
      </w:r>
      <w:r w:rsidR="009D1610">
        <w:t xml:space="preserve"> a much higher estimate than </w:t>
      </w:r>
      <w:r w:rsidR="000168AD">
        <w:t xml:space="preserve">those </w:t>
      </w:r>
      <w:r w:rsidR="009D1610">
        <w:t>used</w:t>
      </w:r>
      <w:r w:rsidR="000168AD">
        <w:t xml:space="preserve"> in DCAR 1737</w:t>
      </w:r>
      <w:r w:rsidR="009D1610">
        <w:t xml:space="preserve"> (</w:t>
      </w:r>
      <w:r w:rsidR="00705B78">
        <w:t xml:space="preserve">34.2/100,000 rather than 0.53 or 8.6/100,000). </w:t>
      </w:r>
      <w:r w:rsidR="00ED2D1D">
        <w:t>However, uncertainty remained about the incidence of SCD in Australia.</w:t>
      </w:r>
    </w:p>
    <w:p w14:paraId="5F75E890" w14:textId="0DB6C9E2" w:rsidR="00C117F1" w:rsidRDefault="00931C09" w:rsidP="0064442F">
      <w:r>
        <w:t xml:space="preserve">Data from the </w:t>
      </w:r>
      <w:proofErr w:type="spellStart"/>
      <w:r>
        <w:t>HbR</w:t>
      </w:r>
      <w:proofErr w:type="spellEnd"/>
      <w:r>
        <w:t xml:space="preserve"> suggest</w:t>
      </w:r>
      <w:r w:rsidR="000168AD">
        <w:t>ed</w:t>
      </w:r>
      <w:r>
        <w:t xml:space="preserve"> that the current targeted testing approach in Australia only identifies </w:t>
      </w:r>
      <w:r w:rsidR="00622171">
        <w:t>47.7%</w:t>
      </w:r>
      <w:r>
        <w:t xml:space="preserve"> of cases of SCD</w:t>
      </w:r>
      <w:r w:rsidR="00A079AC">
        <w:t xml:space="preserve">, </w:t>
      </w:r>
      <w:r w:rsidR="00622171">
        <w:t xml:space="preserve">which </w:t>
      </w:r>
      <w:r w:rsidR="00367E53">
        <w:t>wa</w:t>
      </w:r>
      <w:r w:rsidR="00622171">
        <w:t xml:space="preserve">s lower than estimated in DCAR </w:t>
      </w:r>
      <w:r w:rsidR="00622171" w:rsidRPr="005B61F8">
        <w:t>1737 (</w:t>
      </w:r>
      <w:r w:rsidR="00247A0C" w:rsidRPr="005B61F8">
        <w:t>64</w:t>
      </w:r>
      <w:r w:rsidR="00304362" w:rsidRPr="005B61F8">
        <w:t xml:space="preserve">% to </w:t>
      </w:r>
      <w:r w:rsidR="00195588" w:rsidRPr="005B61F8">
        <w:t>99</w:t>
      </w:r>
      <w:r w:rsidR="00304362" w:rsidRPr="005B61F8">
        <w:t>%</w:t>
      </w:r>
      <w:r w:rsidR="003F52B8" w:rsidRPr="005B61F8">
        <w:rPr>
          <w:rStyle w:val="FootnoteReference"/>
        </w:rPr>
        <w:footnoteReference w:id="25"/>
      </w:r>
      <w:r w:rsidR="00622171" w:rsidRPr="005B61F8">
        <w:t>).</w:t>
      </w:r>
      <w:r w:rsidR="00622171">
        <w:t xml:space="preserve"> </w:t>
      </w:r>
      <w:r w:rsidR="005B61F8">
        <w:t>These changes suggest</w:t>
      </w:r>
      <w:r w:rsidR="007453DB">
        <w:t>ed</w:t>
      </w:r>
      <w:r w:rsidR="005B61F8">
        <w:t xml:space="preserve"> that </w:t>
      </w:r>
      <w:r w:rsidR="006B4FD7">
        <w:t xml:space="preserve">the current targeted testing approach may result in </w:t>
      </w:r>
      <w:r w:rsidR="003E04A7">
        <w:t>51</w:t>
      </w:r>
      <w:r w:rsidR="006B4FD7">
        <w:t xml:space="preserve"> </w:t>
      </w:r>
      <w:r w:rsidR="007828C9">
        <w:t xml:space="preserve">cases of SCD per </w:t>
      </w:r>
      <w:r w:rsidR="003E04A7">
        <w:t>year</w:t>
      </w:r>
      <w:r w:rsidR="006B4FD7">
        <w:t xml:space="preserve"> </w:t>
      </w:r>
      <w:r w:rsidR="000F5695">
        <w:t>being</w:t>
      </w:r>
      <w:r w:rsidR="006B4FD7">
        <w:t xml:space="preserve"> diagnosed </w:t>
      </w:r>
      <w:r w:rsidR="00D21AE3">
        <w:t>prior</w:t>
      </w:r>
      <w:r w:rsidR="006B4FD7">
        <w:t xml:space="preserve"> </w:t>
      </w:r>
      <w:r w:rsidR="007A1117">
        <w:t xml:space="preserve">to </w:t>
      </w:r>
      <w:r w:rsidR="006B4FD7">
        <w:t>symptom onset.</w:t>
      </w:r>
      <w:r w:rsidR="00510ECB">
        <w:t xml:space="preserve"> </w:t>
      </w:r>
      <w:r w:rsidR="003E04A7">
        <w:t xml:space="preserve">With the proposed addition of SCD to NBS, it is estimated that 106 cases per year </w:t>
      </w:r>
      <w:r w:rsidR="007453DB">
        <w:t xml:space="preserve">would </w:t>
      </w:r>
      <w:r w:rsidR="003E04A7">
        <w:t>be identified (</w:t>
      </w:r>
      <w:r w:rsidR="00C00614">
        <w:t>with an additional 5</w:t>
      </w:r>
      <w:r w:rsidR="00684CF5">
        <w:t>5</w:t>
      </w:r>
      <w:r w:rsidR="00C00614">
        <w:t xml:space="preserve"> being identified </w:t>
      </w:r>
      <w:r w:rsidR="00C61BFB">
        <w:t>s</w:t>
      </w:r>
      <w:r w:rsidR="00D5014E">
        <w:t>oon</w:t>
      </w:r>
      <w:r w:rsidR="00C61BFB">
        <w:t xml:space="preserve"> after birth</w:t>
      </w:r>
      <w:r w:rsidR="008E546F">
        <w:t xml:space="preserve">, rather than </w:t>
      </w:r>
      <w:r w:rsidR="00D5014E">
        <w:t>at or after the development of symptoms</w:t>
      </w:r>
      <w:r w:rsidR="008E546F">
        <w:t xml:space="preserve">). </w:t>
      </w:r>
      <w:r w:rsidR="0064442F">
        <w:t xml:space="preserve">The new estimates are provided in the unshaded cells in </w:t>
      </w:r>
      <w:r w:rsidR="00C117F1">
        <w:fldChar w:fldCharType="begin"/>
      </w:r>
      <w:r w:rsidR="00C117F1">
        <w:instrText xml:space="preserve"> REF _Ref128997597 \h </w:instrText>
      </w:r>
      <w:r w:rsidR="00C117F1">
        <w:fldChar w:fldCharType="separate"/>
      </w:r>
      <w:r w:rsidR="007D770C">
        <w:t xml:space="preserve">Table </w:t>
      </w:r>
      <w:r w:rsidR="007D770C">
        <w:rPr>
          <w:noProof/>
        </w:rPr>
        <w:t>10</w:t>
      </w:r>
      <w:r w:rsidR="00C117F1">
        <w:fldChar w:fldCharType="end"/>
      </w:r>
      <w:r w:rsidR="00C117F1">
        <w:t>.</w:t>
      </w:r>
      <w:r w:rsidR="00E92DFC">
        <w:t xml:space="preserve"> </w:t>
      </w:r>
    </w:p>
    <w:p w14:paraId="4967C656" w14:textId="7E82E037" w:rsidR="00C117F1" w:rsidRPr="0062672A" w:rsidRDefault="00C117F1" w:rsidP="00C117F1">
      <w:pPr>
        <w:pStyle w:val="Caption"/>
        <w:rPr>
          <w:vertAlign w:val="superscript"/>
        </w:rPr>
      </w:pPr>
      <w:bookmarkStart w:id="38" w:name="_Ref128997597"/>
      <w:r>
        <w:t xml:space="preserve">Table </w:t>
      </w:r>
      <w:r>
        <w:fldChar w:fldCharType="begin"/>
      </w:r>
      <w:r>
        <w:instrText>SEQ Table \* ARABIC</w:instrText>
      </w:r>
      <w:r>
        <w:fldChar w:fldCharType="separate"/>
      </w:r>
      <w:r w:rsidR="007D770C">
        <w:rPr>
          <w:noProof/>
        </w:rPr>
        <w:t>10</w:t>
      </w:r>
      <w:r>
        <w:fldChar w:fldCharType="end"/>
      </w:r>
      <w:bookmarkEnd w:id="38"/>
      <w:r>
        <w:tab/>
        <w:t xml:space="preserve">Incremental early diagnosis of SCD </w:t>
      </w:r>
      <w:r w:rsidR="007E4DD4">
        <w:t>per year (based on</w:t>
      </w:r>
      <w:r w:rsidR="008F1047">
        <w:t xml:space="preserve"> </w:t>
      </w:r>
      <w:r w:rsidR="00D05470">
        <w:t>310,922</w:t>
      </w:r>
      <w:r>
        <w:t xml:space="preserve"> newborns </w:t>
      </w:r>
      <w:r w:rsidR="00D05470">
        <w:t>expected to undergo NBS in</w:t>
      </w:r>
      <w:r w:rsidR="007E4DD4">
        <w:t xml:space="preserve"> 2023-</w:t>
      </w:r>
      <w:proofErr w:type="gramStart"/>
      <w:r w:rsidR="007E4DD4">
        <w:t>24)</w:t>
      </w:r>
      <w:r>
        <w:rPr>
          <w:vertAlign w:val="superscript"/>
        </w:rPr>
        <w:t>a</w:t>
      </w:r>
      <w:proofErr w:type="gramEnd"/>
    </w:p>
    <w:tbl>
      <w:tblPr>
        <w:tblStyle w:val="TableGrid"/>
        <w:tblW w:w="5000" w:type="pct"/>
        <w:tblLook w:val="04A0" w:firstRow="1" w:lastRow="0" w:firstColumn="1" w:lastColumn="0" w:noHBand="0" w:noVBand="1"/>
      </w:tblPr>
      <w:tblGrid>
        <w:gridCol w:w="1406"/>
        <w:gridCol w:w="1423"/>
        <w:gridCol w:w="918"/>
        <w:gridCol w:w="918"/>
        <w:gridCol w:w="920"/>
        <w:gridCol w:w="1143"/>
        <w:gridCol w:w="1143"/>
        <w:gridCol w:w="1145"/>
      </w:tblGrid>
      <w:tr w:rsidR="00C07ACD" w14:paraId="47EEAEE7" w14:textId="77777777" w:rsidTr="00B579B4">
        <w:trPr>
          <w:trHeight w:val="540"/>
        </w:trPr>
        <w:tc>
          <w:tcPr>
            <w:tcW w:w="780" w:type="pct"/>
            <w:vMerge w:val="restart"/>
          </w:tcPr>
          <w:p w14:paraId="2D30ABE8" w14:textId="77777777" w:rsidR="00C07ACD" w:rsidRDefault="00C07ACD">
            <w:pPr>
              <w:pStyle w:val="TableHeading"/>
            </w:pPr>
            <w:r>
              <w:t xml:space="preserve">Estimated incidence </w:t>
            </w:r>
          </w:p>
        </w:tc>
        <w:tc>
          <w:tcPr>
            <w:tcW w:w="789" w:type="pct"/>
            <w:vMerge w:val="restart"/>
          </w:tcPr>
          <w:p w14:paraId="3F3FB4E1" w14:textId="50C69C37" w:rsidR="00C07ACD" w:rsidRDefault="00C07ACD">
            <w:pPr>
              <w:pStyle w:val="TableHeading"/>
            </w:pPr>
            <w:r>
              <w:t>Diagnosed by NBS per year</w:t>
            </w:r>
          </w:p>
        </w:tc>
        <w:tc>
          <w:tcPr>
            <w:tcW w:w="1528" w:type="pct"/>
            <w:gridSpan w:val="3"/>
          </w:tcPr>
          <w:p w14:paraId="0A0AEE2A" w14:textId="77777777" w:rsidR="00C07ACD" w:rsidRPr="005B61F8" w:rsidRDefault="00C07ACD">
            <w:pPr>
              <w:pStyle w:val="TableHeading"/>
            </w:pPr>
            <w:r w:rsidRPr="005B61F8">
              <w:t xml:space="preserve">Diagnosed by </w:t>
            </w:r>
            <w:r>
              <w:t>targeted testing</w:t>
            </w:r>
          </w:p>
        </w:tc>
        <w:tc>
          <w:tcPr>
            <w:tcW w:w="1903" w:type="pct"/>
            <w:gridSpan w:val="3"/>
          </w:tcPr>
          <w:p w14:paraId="605F6D3D" w14:textId="77777777" w:rsidR="00C07ACD" w:rsidRPr="005B61F8" w:rsidRDefault="00C07ACD">
            <w:pPr>
              <w:pStyle w:val="TableHeading"/>
            </w:pPr>
            <w:r>
              <w:t>Incremental early diagnosis from NBS</w:t>
            </w:r>
          </w:p>
        </w:tc>
      </w:tr>
      <w:tr w:rsidR="00572B06" w14:paraId="66762B88" w14:textId="77777777">
        <w:trPr>
          <w:trHeight w:val="320"/>
        </w:trPr>
        <w:tc>
          <w:tcPr>
            <w:tcW w:w="780" w:type="pct"/>
            <w:vMerge/>
          </w:tcPr>
          <w:p w14:paraId="2AB8A36B" w14:textId="77777777" w:rsidR="00C07ACD" w:rsidRDefault="00C07ACD">
            <w:pPr>
              <w:pStyle w:val="TableHeading"/>
            </w:pPr>
          </w:p>
        </w:tc>
        <w:tc>
          <w:tcPr>
            <w:tcW w:w="789" w:type="pct"/>
            <w:vMerge/>
          </w:tcPr>
          <w:p w14:paraId="08620F00" w14:textId="77777777" w:rsidR="00C07ACD" w:rsidRDefault="00C07ACD">
            <w:pPr>
              <w:pStyle w:val="TableHeading"/>
            </w:pPr>
          </w:p>
        </w:tc>
        <w:tc>
          <w:tcPr>
            <w:tcW w:w="509" w:type="pct"/>
            <w:shd w:val="clear" w:color="auto" w:fill="auto"/>
          </w:tcPr>
          <w:p w14:paraId="34E61F49" w14:textId="77777777" w:rsidR="00C07ACD" w:rsidRPr="00B579B4" w:rsidRDefault="00C07ACD">
            <w:pPr>
              <w:pStyle w:val="TableHeading"/>
              <w:rPr>
                <w:vertAlign w:val="superscript"/>
              </w:rPr>
            </w:pPr>
            <w:r w:rsidRPr="00B579B4">
              <w:t>47.7%</w:t>
            </w:r>
            <w:r w:rsidRPr="00B579B4">
              <w:rPr>
                <w:vertAlign w:val="superscript"/>
              </w:rPr>
              <w:t>b</w:t>
            </w:r>
          </w:p>
        </w:tc>
        <w:tc>
          <w:tcPr>
            <w:tcW w:w="509" w:type="pct"/>
            <w:shd w:val="clear" w:color="auto" w:fill="B4C6E7" w:themeFill="accent5" w:themeFillTint="66"/>
          </w:tcPr>
          <w:p w14:paraId="7B4AF467" w14:textId="77777777" w:rsidR="00C07ACD" w:rsidRPr="00C07ACD" w:rsidRDefault="00C07ACD">
            <w:pPr>
              <w:pStyle w:val="TableHeading"/>
              <w:rPr>
                <w:bCs/>
              </w:rPr>
            </w:pPr>
            <w:r w:rsidRPr="00B579B4">
              <w:t>64%</w:t>
            </w:r>
            <w:r w:rsidRPr="00B579B4">
              <w:rPr>
                <w:vertAlign w:val="superscript"/>
              </w:rPr>
              <w:t>c</w:t>
            </w:r>
          </w:p>
        </w:tc>
        <w:tc>
          <w:tcPr>
            <w:tcW w:w="510" w:type="pct"/>
            <w:shd w:val="clear" w:color="auto" w:fill="B4C6E7" w:themeFill="accent5" w:themeFillTint="66"/>
          </w:tcPr>
          <w:p w14:paraId="058F1F2A" w14:textId="77777777" w:rsidR="00C07ACD" w:rsidRPr="00C07ACD" w:rsidRDefault="00C07ACD">
            <w:pPr>
              <w:pStyle w:val="TableHeading"/>
              <w:rPr>
                <w:bCs/>
              </w:rPr>
            </w:pPr>
            <w:r w:rsidRPr="00B579B4">
              <w:t>99%</w:t>
            </w:r>
            <w:r w:rsidRPr="00B579B4">
              <w:rPr>
                <w:vertAlign w:val="superscript"/>
              </w:rPr>
              <w:t>d</w:t>
            </w:r>
          </w:p>
        </w:tc>
        <w:tc>
          <w:tcPr>
            <w:tcW w:w="634" w:type="pct"/>
            <w:shd w:val="clear" w:color="auto" w:fill="auto"/>
          </w:tcPr>
          <w:p w14:paraId="5EAB3897" w14:textId="77777777" w:rsidR="00C07ACD" w:rsidRPr="00B579B4" w:rsidRDefault="00C07ACD">
            <w:pPr>
              <w:pStyle w:val="TableHeading"/>
            </w:pPr>
            <w:r w:rsidRPr="00B579B4">
              <w:t>52.3%</w:t>
            </w:r>
            <w:r w:rsidRPr="00B579B4">
              <w:rPr>
                <w:vertAlign w:val="superscript"/>
              </w:rPr>
              <w:t>b</w:t>
            </w:r>
          </w:p>
        </w:tc>
        <w:tc>
          <w:tcPr>
            <w:tcW w:w="634" w:type="pct"/>
            <w:shd w:val="clear" w:color="auto" w:fill="B4C6E7" w:themeFill="accent5" w:themeFillTint="66"/>
          </w:tcPr>
          <w:p w14:paraId="69A6EABF" w14:textId="77777777" w:rsidR="00C07ACD" w:rsidRPr="00B579B4" w:rsidRDefault="00C07ACD">
            <w:pPr>
              <w:pStyle w:val="TableHeading"/>
            </w:pPr>
            <w:r w:rsidRPr="00B579B4">
              <w:t>36%</w:t>
            </w:r>
            <w:r w:rsidRPr="00B579B4">
              <w:rPr>
                <w:vertAlign w:val="superscript"/>
              </w:rPr>
              <w:t>c</w:t>
            </w:r>
          </w:p>
        </w:tc>
        <w:tc>
          <w:tcPr>
            <w:tcW w:w="635" w:type="pct"/>
            <w:shd w:val="clear" w:color="auto" w:fill="B4C6E7" w:themeFill="accent5" w:themeFillTint="66"/>
          </w:tcPr>
          <w:p w14:paraId="43887ED3" w14:textId="77777777" w:rsidR="00C07ACD" w:rsidRPr="00B579B4" w:rsidRDefault="00C07ACD">
            <w:pPr>
              <w:pStyle w:val="TableHeading"/>
            </w:pPr>
            <w:r w:rsidRPr="00B579B4">
              <w:t>1%</w:t>
            </w:r>
            <w:r w:rsidRPr="00B579B4">
              <w:rPr>
                <w:vertAlign w:val="superscript"/>
              </w:rPr>
              <w:t>d</w:t>
            </w:r>
          </w:p>
        </w:tc>
      </w:tr>
      <w:tr w:rsidR="00572B06" w14:paraId="16A973DE" w14:textId="77777777" w:rsidTr="00374D3A">
        <w:tc>
          <w:tcPr>
            <w:tcW w:w="780" w:type="pct"/>
            <w:shd w:val="clear" w:color="auto" w:fill="B4C6E7" w:themeFill="accent5" w:themeFillTint="66"/>
          </w:tcPr>
          <w:p w14:paraId="5E70FA2A" w14:textId="77777777" w:rsidR="00C117F1" w:rsidRPr="00863B3C" w:rsidRDefault="00C117F1">
            <w:pPr>
              <w:pStyle w:val="Tabletext0"/>
              <w:rPr>
                <w:vertAlign w:val="superscript"/>
              </w:rPr>
            </w:pPr>
            <w:r>
              <w:t>0.53/100,000</w:t>
            </w:r>
            <w:r>
              <w:rPr>
                <w:vertAlign w:val="superscript"/>
              </w:rPr>
              <w:t>e</w:t>
            </w:r>
          </w:p>
        </w:tc>
        <w:tc>
          <w:tcPr>
            <w:tcW w:w="789" w:type="pct"/>
            <w:shd w:val="clear" w:color="auto" w:fill="B4C6E7" w:themeFill="accent5" w:themeFillTint="66"/>
          </w:tcPr>
          <w:p w14:paraId="2F39FD78" w14:textId="10A4F967" w:rsidR="00C117F1" w:rsidRDefault="009E5146">
            <w:pPr>
              <w:pStyle w:val="Tabletext0"/>
            </w:pPr>
            <w:r>
              <w:t>2</w:t>
            </w:r>
          </w:p>
        </w:tc>
        <w:tc>
          <w:tcPr>
            <w:tcW w:w="509" w:type="pct"/>
            <w:shd w:val="clear" w:color="auto" w:fill="auto"/>
          </w:tcPr>
          <w:p w14:paraId="5EBDA0C2" w14:textId="0E70AA75" w:rsidR="00C117F1" w:rsidRPr="00FC7A59" w:rsidRDefault="00F16997">
            <w:pPr>
              <w:pStyle w:val="Tabletext0"/>
            </w:pPr>
            <w:r>
              <w:t>1</w:t>
            </w:r>
          </w:p>
        </w:tc>
        <w:tc>
          <w:tcPr>
            <w:tcW w:w="509" w:type="pct"/>
            <w:shd w:val="clear" w:color="auto" w:fill="B4C6E7" w:themeFill="accent5" w:themeFillTint="66"/>
          </w:tcPr>
          <w:p w14:paraId="2BCD2D36" w14:textId="7B2ADBC6" w:rsidR="00C117F1" w:rsidRPr="005B61F8" w:rsidRDefault="001D49D3">
            <w:pPr>
              <w:pStyle w:val="Tabletext0"/>
            </w:pPr>
            <w:r>
              <w:t>1</w:t>
            </w:r>
          </w:p>
        </w:tc>
        <w:tc>
          <w:tcPr>
            <w:tcW w:w="510" w:type="pct"/>
            <w:shd w:val="clear" w:color="auto" w:fill="B4C6E7" w:themeFill="accent5" w:themeFillTint="66"/>
          </w:tcPr>
          <w:p w14:paraId="794C3852" w14:textId="090B4029" w:rsidR="00C117F1" w:rsidRPr="005B61F8" w:rsidRDefault="001D49D3">
            <w:pPr>
              <w:pStyle w:val="Tabletext0"/>
            </w:pPr>
            <w:r>
              <w:t>2</w:t>
            </w:r>
          </w:p>
        </w:tc>
        <w:tc>
          <w:tcPr>
            <w:tcW w:w="634" w:type="pct"/>
            <w:shd w:val="clear" w:color="auto" w:fill="auto"/>
          </w:tcPr>
          <w:p w14:paraId="7C199B78" w14:textId="4C2A137E" w:rsidR="00C117F1" w:rsidRPr="005B61F8" w:rsidRDefault="00987CE3">
            <w:pPr>
              <w:pStyle w:val="Tabletext0"/>
            </w:pPr>
            <w:r>
              <w:t>1</w:t>
            </w:r>
          </w:p>
        </w:tc>
        <w:tc>
          <w:tcPr>
            <w:tcW w:w="634" w:type="pct"/>
            <w:shd w:val="clear" w:color="auto" w:fill="B4C6E7" w:themeFill="accent5" w:themeFillTint="66"/>
          </w:tcPr>
          <w:p w14:paraId="7D6E4A31" w14:textId="76CCDEB6" w:rsidR="00C117F1" w:rsidRPr="005B61F8" w:rsidRDefault="002658AF">
            <w:pPr>
              <w:pStyle w:val="Tabletext0"/>
            </w:pPr>
            <w:r>
              <w:t>1</w:t>
            </w:r>
          </w:p>
        </w:tc>
        <w:tc>
          <w:tcPr>
            <w:tcW w:w="635" w:type="pct"/>
            <w:shd w:val="clear" w:color="auto" w:fill="B4C6E7" w:themeFill="accent5" w:themeFillTint="66"/>
          </w:tcPr>
          <w:p w14:paraId="0B2146E5" w14:textId="14277927" w:rsidR="00C117F1" w:rsidRPr="005B61F8" w:rsidRDefault="00C117F1">
            <w:pPr>
              <w:pStyle w:val="Tabletext0"/>
            </w:pPr>
            <w:r>
              <w:t>0</w:t>
            </w:r>
          </w:p>
        </w:tc>
      </w:tr>
      <w:tr w:rsidR="00572B06" w14:paraId="145B61F0" w14:textId="77777777" w:rsidTr="00374D3A">
        <w:tc>
          <w:tcPr>
            <w:tcW w:w="780" w:type="pct"/>
            <w:shd w:val="clear" w:color="auto" w:fill="B4C6E7" w:themeFill="accent5" w:themeFillTint="66"/>
          </w:tcPr>
          <w:p w14:paraId="7DCED9B8" w14:textId="77777777" w:rsidR="00C117F1" w:rsidRPr="00863B3C" w:rsidRDefault="00C117F1">
            <w:pPr>
              <w:pStyle w:val="Tabletext0"/>
              <w:rPr>
                <w:vertAlign w:val="superscript"/>
              </w:rPr>
            </w:pPr>
            <w:r>
              <w:t>8.6/100,000</w:t>
            </w:r>
            <w:r>
              <w:rPr>
                <w:vertAlign w:val="superscript"/>
              </w:rPr>
              <w:t>f</w:t>
            </w:r>
          </w:p>
        </w:tc>
        <w:tc>
          <w:tcPr>
            <w:tcW w:w="789" w:type="pct"/>
            <w:shd w:val="clear" w:color="auto" w:fill="B4C6E7" w:themeFill="accent5" w:themeFillTint="66"/>
          </w:tcPr>
          <w:p w14:paraId="03837264" w14:textId="4787B9ED" w:rsidR="00C117F1" w:rsidRDefault="00F16997">
            <w:pPr>
              <w:pStyle w:val="Tabletext0"/>
            </w:pPr>
            <w:r>
              <w:t>27</w:t>
            </w:r>
          </w:p>
        </w:tc>
        <w:tc>
          <w:tcPr>
            <w:tcW w:w="509" w:type="pct"/>
            <w:shd w:val="clear" w:color="auto" w:fill="auto"/>
          </w:tcPr>
          <w:p w14:paraId="64C81442" w14:textId="7813B0F0" w:rsidR="00C117F1" w:rsidRPr="00FC7A59" w:rsidRDefault="00987CE3">
            <w:pPr>
              <w:pStyle w:val="Tabletext0"/>
            </w:pPr>
            <w:r>
              <w:t>13</w:t>
            </w:r>
          </w:p>
        </w:tc>
        <w:tc>
          <w:tcPr>
            <w:tcW w:w="509" w:type="pct"/>
            <w:shd w:val="clear" w:color="auto" w:fill="B4C6E7" w:themeFill="accent5" w:themeFillTint="66"/>
          </w:tcPr>
          <w:p w14:paraId="6ABE0F13" w14:textId="355B9C1D" w:rsidR="00C117F1" w:rsidRPr="005B61F8" w:rsidRDefault="00987CE3">
            <w:pPr>
              <w:pStyle w:val="Tabletext0"/>
            </w:pPr>
            <w:r>
              <w:t>17</w:t>
            </w:r>
          </w:p>
        </w:tc>
        <w:tc>
          <w:tcPr>
            <w:tcW w:w="510" w:type="pct"/>
            <w:shd w:val="clear" w:color="auto" w:fill="B4C6E7" w:themeFill="accent5" w:themeFillTint="66"/>
          </w:tcPr>
          <w:p w14:paraId="185549B6" w14:textId="1A5B3727" w:rsidR="00C117F1" w:rsidRPr="005B61F8" w:rsidRDefault="00987CE3">
            <w:pPr>
              <w:pStyle w:val="Tabletext0"/>
            </w:pPr>
            <w:r>
              <w:t>27</w:t>
            </w:r>
          </w:p>
        </w:tc>
        <w:tc>
          <w:tcPr>
            <w:tcW w:w="634" w:type="pct"/>
            <w:shd w:val="clear" w:color="auto" w:fill="auto"/>
          </w:tcPr>
          <w:p w14:paraId="1AF97D9F" w14:textId="499703C1" w:rsidR="00C117F1" w:rsidRPr="005B61F8" w:rsidRDefault="005671F7">
            <w:pPr>
              <w:pStyle w:val="Tabletext0"/>
            </w:pPr>
            <w:r>
              <w:t>14</w:t>
            </w:r>
          </w:p>
        </w:tc>
        <w:tc>
          <w:tcPr>
            <w:tcW w:w="634" w:type="pct"/>
            <w:shd w:val="clear" w:color="auto" w:fill="B4C6E7" w:themeFill="accent5" w:themeFillTint="66"/>
          </w:tcPr>
          <w:p w14:paraId="70550092" w14:textId="2D16DD51" w:rsidR="00C117F1" w:rsidRPr="005B61F8" w:rsidRDefault="005671F7">
            <w:pPr>
              <w:pStyle w:val="Tabletext0"/>
            </w:pPr>
            <w:r>
              <w:t>10</w:t>
            </w:r>
          </w:p>
        </w:tc>
        <w:tc>
          <w:tcPr>
            <w:tcW w:w="635" w:type="pct"/>
            <w:shd w:val="clear" w:color="auto" w:fill="B4C6E7" w:themeFill="accent5" w:themeFillTint="66"/>
          </w:tcPr>
          <w:p w14:paraId="0803C9A5" w14:textId="61353122" w:rsidR="00C117F1" w:rsidRPr="005B61F8" w:rsidRDefault="005671F7">
            <w:pPr>
              <w:pStyle w:val="Tabletext0"/>
            </w:pPr>
            <w:r>
              <w:t>0</w:t>
            </w:r>
          </w:p>
        </w:tc>
      </w:tr>
      <w:tr w:rsidR="00572B06" w14:paraId="27AA0255" w14:textId="77777777" w:rsidTr="00374D3A">
        <w:tc>
          <w:tcPr>
            <w:tcW w:w="780" w:type="pct"/>
            <w:shd w:val="clear" w:color="auto" w:fill="auto"/>
          </w:tcPr>
          <w:p w14:paraId="10C8E0FF" w14:textId="77777777" w:rsidR="00C117F1" w:rsidRDefault="00C117F1">
            <w:pPr>
              <w:pStyle w:val="Tabletext0"/>
            </w:pPr>
            <w:r>
              <w:t>34.2/100,000</w:t>
            </w:r>
            <w:r>
              <w:rPr>
                <w:vertAlign w:val="superscript"/>
              </w:rPr>
              <w:t>g</w:t>
            </w:r>
          </w:p>
        </w:tc>
        <w:tc>
          <w:tcPr>
            <w:tcW w:w="789" w:type="pct"/>
            <w:shd w:val="clear" w:color="auto" w:fill="auto"/>
          </w:tcPr>
          <w:p w14:paraId="056C61F2" w14:textId="3F97C4EE" w:rsidR="00C117F1" w:rsidRDefault="006F3ECF">
            <w:pPr>
              <w:pStyle w:val="Tabletext0"/>
            </w:pPr>
            <w:r>
              <w:t>10</w:t>
            </w:r>
            <w:r w:rsidR="005D53F6">
              <w:t>6</w:t>
            </w:r>
          </w:p>
        </w:tc>
        <w:tc>
          <w:tcPr>
            <w:tcW w:w="509" w:type="pct"/>
            <w:shd w:val="clear" w:color="auto" w:fill="auto"/>
          </w:tcPr>
          <w:p w14:paraId="29F62315" w14:textId="7DB128AD" w:rsidR="00C117F1" w:rsidRPr="00FC7A59" w:rsidRDefault="00027D3F">
            <w:pPr>
              <w:pStyle w:val="Tabletext0"/>
            </w:pPr>
            <w:r>
              <w:t>51</w:t>
            </w:r>
          </w:p>
        </w:tc>
        <w:tc>
          <w:tcPr>
            <w:tcW w:w="509" w:type="pct"/>
            <w:shd w:val="clear" w:color="auto" w:fill="auto"/>
          </w:tcPr>
          <w:p w14:paraId="62ACAFDF" w14:textId="1126CF4D" w:rsidR="00C117F1" w:rsidRPr="005B61F8" w:rsidRDefault="00027D3F">
            <w:pPr>
              <w:pStyle w:val="Tabletext0"/>
            </w:pPr>
            <w:r>
              <w:t>68</w:t>
            </w:r>
          </w:p>
        </w:tc>
        <w:tc>
          <w:tcPr>
            <w:tcW w:w="510" w:type="pct"/>
            <w:shd w:val="clear" w:color="auto" w:fill="auto"/>
          </w:tcPr>
          <w:p w14:paraId="15E3F6A6" w14:textId="068A7979" w:rsidR="00C117F1" w:rsidRPr="005B61F8" w:rsidRDefault="00027D3F">
            <w:pPr>
              <w:pStyle w:val="Tabletext0"/>
            </w:pPr>
            <w:r>
              <w:t>105</w:t>
            </w:r>
          </w:p>
        </w:tc>
        <w:tc>
          <w:tcPr>
            <w:tcW w:w="634" w:type="pct"/>
            <w:shd w:val="clear" w:color="auto" w:fill="auto"/>
          </w:tcPr>
          <w:p w14:paraId="657A02B6" w14:textId="41D1C87A" w:rsidR="00C117F1" w:rsidRPr="005B61F8" w:rsidRDefault="008807D3">
            <w:pPr>
              <w:pStyle w:val="Tabletext0"/>
            </w:pPr>
            <w:r>
              <w:t>5</w:t>
            </w:r>
            <w:r w:rsidR="00351254">
              <w:t>5</w:t>
            </w:r>
          </w:p>
        </w:tc>
        <w:tc>
          <w:tcPr>
            <w:tcW w:w="634" w:type="pct"/>
            <w:shd w:val="clear" w:color="auto" w:fill="auto"/>
          </w:tcPr>
          <w:p w14:paraId="14C6FA1A" w14:textId="33A30DD8" w:rsidR="00C117F1" w:rsidRPr="005B61F8" w:rsidRDefault="00586158">
            <w:pPr>
              <w:pStyle w:val="Tabletext0"/>
            </w:pPr>
            <w:r>
              <w:t>38</w:t>
            </w:r>
          </w:p>
        </w:tc>
        <w:tc>
          <w:tcPr>
            <w:tcW w:w="635" w:type="pct"/>
            <w:shd w:val="clear" w:color="auto" w:fill="auto"/>
          </w:tcPr>
          <w:p w14:paraId="30758632" w14:textId="302ED066" w:rsidR="00C117F1" w:rsidRPr="005B61F8" w:rsidRDefault="00586158">
            <w:pPr>
              <w:pStyle w:val="Tabletext0"/>
            </w:pPr>
            <w:r>
              <w:t>1</w:t>
            </w:r>
          </w:p>
        </w:tc>
      </w:tr>
    </w:tbl>
    <w:p w14:paraId="40284C5F" w14:textId="77777777" w:rsidR="00C117F1" w:rsidRDefault="00C117F1" w:rsidP="00C117F1">
      <w:pPr>
        <w:pStyle w:val="Tablenotes0"/>
      </w:pPr>
      <w:r>
        <w:t>NBS = newborn bloodspot screening</w:t>
      </w:r>
    </w:p>
    <w:p w14:paraId="6506BC04" w14:textId="3222A9EC" w:rsidR="00C117F1" w:rsidRDefault="00C117F1" w:rsidP="00C117F1">
      <w:pPr>
        <w:pStyle w:val="Tablenotes0"/>
      </w:pPr>
      <w:r w:rsidRPr="00355B78">
        <w:rPr>
          <w:bCs/>
        </w:rPr>
        <w:t>Notes: a.</w:t>
      </w:r>
      <w:r>
        <w:t xml:space="preserve"> figures are rounded to whole numbers. </w:t>
      </w:r>
      <w:r w:rsidRPr="00B579B4">
        <w:rPr>
          <w:shd w:val="clear" w:color="auto" w:fill="B4C6E7" w:themeFill="accent5" w:themeFillTint="66"/>
        </w:rPr>
        <w:t>Shaded</w:t>
      </w:r>
      <w:r>
        <w:t xml:space="preserve"> cells </w:t>
      </w:r>
      <w:r w:rsidR="00F1723E">
        <w:t xml:space="preserve">use the incidence estimates and estimates of the proportion </w:t>
      </w:r>
      <w:r w:rsidR="00393DB4">
        <w:t>identified by targeted testing as presented in</w:t>
      </w:r>
      <w:r w:rsidR="00EF5BBF">
        <w:t xml:space="preserve"> DCAR 1737. Unshaded cells are new data.</w:t>
      </w:r>
    </w:p>
    <w:p w14:paraId="4E67C7AF" w14:textId="77777777" w:rsidR="00C117F1" w:rsidRDefault="00C117F1" w:rsidP="00C117F1">
      <w:pPr>
        <w:pStyle w:val="Tablenotes0"/>
        <w:rPr>
          <w:bCs/>
        </w:rPr>
      </w:pPr>
      <w:r w:rsidRPr="00355B78">
        <w:rPr>
          <w:bCs/>
        </w:rPr>
        <w:t xml:space="preserve">b. </w:t>
      </w:r>
      <w:r>
        <w:rPr>
          <w:bCs/>
        </w:rPr>
        <w:t xml:space="preserve">Source: </w:t>
      </w:r>
      <w:proofErr w:type="spellStart"/>
      <w:r>
        <w:rPr>
          <w:bCs/>
        </w:rPr>
        <w:t>HbR</w:t>
      </w:r>
      <w:proofErr w:type="spellEnd"/>
      <w:r>
        <w:rPr>
          <w:bCs/>
        </w:rPr>
        <w:t xml:space="preserve"> Brief report for MSAC (2023) (47.7% of SCD cases identified prior to symptoms)</w:t>
      </w:r>
    </w:p>
    <w:p w14:paraId="7E64636E" w14:textId="0645F094" w:rsidR="00C117F1" w:rsidRDefault="00C117F1" w:rsidP="00C117F1">
      <w:pPr>
        <w:pStyle w:val="Tablenotes0"/>
      </w:pPr>
      <w:r>
        <w:t xml:space="preserve">c. Source: </w:t>
      </w:r>
      <w:r>
        <w:fldChar w:fldCharType="begin"/>
      </w:r>
      <w:r>
        <w:instrText xml:space="preserve"> ADDIN EN.CITE &lt;EndNote&gt;&lt;Cite&gt;&lt;Author&gt;DHS&lt;/Author&gt;&lt;Year&gt;2002&lt;/Year&gt;&lt;RecNum&gt;162&lt;/RecNum&gt;&lt;DisplayText&gt;(DHS 2002)&lt;/DisplayText&gt;&lt;record&gt;&lt;rec-number&gt;162&lt;/rec-number&gt;&lt;foreign-keys&gt;&lt;key app="EN" db-id="p2fpwezd8trtaled22npdf09fsdtp5f5w5ar" timestamp="1681284646"&gt;162&lt;/key&gt;&lt;/foreign-keys&gt;&lt;ref-type name="Government Document"&gt;46&lt;/ref-type&gt;&lt;contributors&gt;&lt;authors&gt;&lt;author&gt;DHS, VIC&lt;/author&gt;&lt;/authors&gt;&lt;secondary-authors&gt;&lt;author&gt;Victoria, Public Health Group&lt;/author&gt;&lt;/secondary-authors&gt;&lt;/contributors&gt;&lt;titles&gt;&lt;title&gt;Beyond the Crystal Ball - The Epidemiology of Some Genetic Conditions in Victoria 2002&lt;/title&gt;&lt;/titles&gt;&lt;dates&gt;&lt;year&gt;2002&lt;/year&gt;&lt;/dates&gt;&lt;pub-location&gt;Victoria&lt;/pub-location&gt;&lt;publisher&gt;Rural and Regional Health and Aged Care Services Division&lt;/publisher&gt;&lt;urls&gt;&lt;related-urls&gt;&lt;url&gt;https://www.vgls.vic.gov.au/client/en_AU/vgls/search/detailnonmodal/ent:$002f$002fSD_ASSET$002f0$002fSD_ASSET:1160452/ada?qu=Human+genetics.&amp;amp;d=ent%3A%2F%2FSD_ASSET%2F0%2FSD_ASSET%3A1160452%7EASSET%7E131&amp;amp;ic=true&amp;amp;ps=300&amp;amp;h=8&lt;/url&gt;&lt;/related-urls&gt;&lt;/urls&gt;&lt;access-date&gt;12 April 2023&lt;/access-date&gt;&lt;/record&gt;&lt;/Cite&gt;&lt;/EndNote&gt;</w:instrText>
      </w:r>
      <w:r>
        <w:fldChar w:fldCharType="separate"/>
      </w:r>
      <w:r>
        <w:rPr>
          <w:noProof/>
        </w:rPr>
        <w:t>(DHS 2002)</w:t>
      </w:r>
      <w:r>
        <w:fldChar w:fldCharType="end"/>
      </w:r>
      <w:r>
        <w:t xml:space="preserve"> (64% of cases identified as at pregnancy)</w:t>
      </w:r>
      <w:r w:rsidR="00820D72">
        <w:rPr>
          <w:rStyle w:val="FootnoteReference"/>
        </w:rPr>
        <w:footnoteReference w:id="26"/>
      </w:r>
    </w:p>
    <w:p w14:paraId="6C477183" w14:textId="77777777" w:rsidR="00C117F1" w:rsidRPr="00355B78" w:rsidRDefault="00C117F1" w:rsidP="00C117F1">
      <w:pPr>
        <w:pStyle w:val="Tablenotes0"/>
        <w:rPr>
          <w:bCs/>
        </w:rPr>
      </w:pPr>
      <w:r>
        <w:t xml:space="preserve">d. </w:t>
      </w:r>
      <w:r w:rsidRPr="004B6622">
        <w:t>Source:</w:t>
      </w:r>
      <w:r>
        <w:t xml:space="preserve"> Expert opinion from Monash Medical Centre (99% of cases identified by targeted testing)</w:t>
      </w:r>
    </w:p>
    <w:p w14:paraId="0BDAA6DA" w14:textId="77777777" w:rsidR="00C117F1" w:rsidRDefault="00C117F1" w:rsidP="00C117F1">
      <w:pPr>
        <w:pStyle w:val="Tablenotes0"/>
      </w:pPr>
      <w:r>
        <w:t xml:space="preserve">e. </w:t>
      </w:r>
      <w:r w:rsidRPr="004B6622">
        <w:t>Source:</w:t>
      </w:r>
      <w:r>
        <w:t xml:space="preserve"> </w:t>
      </w:r>
      <w:r>
        <w:fldChar w:fldCharType="begin"/>
      </w:r>
      <w:r>
        <w:instrText xml:space="preserve"> ADDIN EN.CITE &lt;EndNote&gt;&lt;Cite&gt;&lt;Author&gt;Argent&lt;/Author&gt;&lt;Year&gt;2012&lt;/Year&gt;&lt;RecNum&gt;5&lt;/RecNum&gt;&lt;IDText&gt;356-60&lt;/IDText&gt;&lt;DisplayText&gt;(Argent et al. 2012)&lt;/DisplayText&gt;&lt;record&gt;&lt;rec-number&gt;5&lt;/rec-number&gt;&lt;foreign-keys&gt;&lt;key app="EN" db-id="p2fpwezd8trtaled22npdf09fsdtp5f5w5ar" timestamp="1663554348"&gt;5&lt;/key&gt;&lt;/foreign-keys&gt;&lt;ref-type name="Journal Article"&gt;17&lt;/ref-type&gt;&lt;contributors&gt;&lt;authors&gt;&lt;author&gt;Argent, E.&lt;/author&gt;&lt;author&gt;Emder, P.&lt;/author&gt;&lt;author&gt;Monagle, P.&lt;/author&gt;&lt;author&gt;Mowat, D.&lt;/author&gt;&lt;author&gt;Petterson, T.&lt;/author&gt;&lt;author&gt;Russell, S.&lt;/author&gt;&lt;author&gt;Sachdev, R.&lt;/author&gt;&lt;author&gt;Stone, C.&lt;/author&gt;&lt;author&gt;Ziegler, D. S.&lt;/author&gt;&lt;/authors&gt;&lt;/contributors&gt;&lt;auth-address&gt;Sydney Children&amp;apos;s Hospital, Randwick, Australia. elizabeth.argent@sesiahs.health.nsw.gov.au&lt;/auth-address&gt;&lt;titles&gt;&lt;title&gt;Australian Paediatric Surveillance Unit study of haemoglobinopathies in Australian children&lt;/title&gt;&lt;secondary-title&gt;J Paediatr Child Health&lt;/secondary-title&gt;&lt;/titles&gt;&lt;periodical&gt;&lt;full-title&gt;J Paediatr Child Health&lt;/full-title&gt;&lt;/periodical&gt;&lt;pages&gt;356-60&lt;/pages&gt;&lt;volume&gt;48&lt;/volume&gt;&lt;number&gt;4&lt;/number&gt;&lt;edition&gt;2011/12/14&lt;/edition&gt;&lt;keywords&gt;&lt;keyword&gt;Adolescent&lt;/keyword&gt;&lt;keyword&gt;Asia, Southeastern/ethnology&lt;/keyword&gt;&lt;keyword&gt;Australia/epidemiology&lt;/keyword&gt;&lt;keyword&gt;Child&lt;/keyword&gt;&lt;keyword&gt;Child, Preschool&lt;/keyword&gt;&lt;keyword&gt;Hemoglobinopathies/diagnosis/*epidemiology/ethnology&lt;/keyword&gt;&lt;keyword&gt;Humans&lt;/keyword&gt;&lt;keyword&gt;Incidence&lt;/keyword&gt;&lt;keyword&gt;Infant&lt;/keyword&gt;&lt;keyword&gt;Mass Screening&lt;/keyword&gt;&lt;keyword&gt;Middle East/ethnology&lt;/keyword&gt;&lt;keyword&gt;*Population Surveillance&lt;/keyword&gt;&lt;keyword&gt;Surveys and Questionnaires&lt;/keyword&gt;&lt;/keywords&gt;&lt;dates&gt;&lt;year&gt;2012&lt;/year&gt;&lt;pub-dates&gt;&lt;date&gt;Apr&lt;/date&gt;&lt;/pub-dates&gt;&lt;/dates&gt;&lt;isbn&gt;1440-1754 (Electronic)&amp;#xD;1034-4810 (Linking)&lt;/isbn&gt;&lt;accession-num&gt;22151185&lt;/accession-num&gt;&lt;urls&gt;&lt;related-urls&gt;&lt;url&gt;https://www.ncbi.nlm.nih.gov/pubmed/22151185&lt;/url&gt;&lt;/related-urls&gt;&lt;/urls&gt;&lt;electronic-resource-num&gt;10.1111/j.1440-1754.2011.02236.x&lt;/electronic-resource-num&gt;&lt;/record&gt;&lt;/Cite&gt;&lt;/EndNote&gt;</w:instrText>
      </w:r>
      <w:r>
        <w:fldChar w:fldCharType="separate"/>
      </w:r>
      <w:r>
        <w:rPr>
          <w:noProof/>
        </w:rPr>
        <w:t>(Argent et al. 2012)</w:t>
      </w:r>
      <w:r>
        <w:fldChar w:fldCharType="end"/>
      </w:r>
      <w:r>
        <w:t xml:space="preserve"> </w:t>
      </w:r>
    </w:p>
    <w:p w14:paraId="5E3FC133" w14:textId="77777777" w:rsidR="00C117F1" w:rsidRDefault="00C117F1" w:rsidP="00C117F1">
      <w:pPr>
        <w:pStyle w:val="Tablenotes0"/>
      </w:pPr>
      <w:r>
        <w:t xml:space="preserve">f.  Source: Based on data from </w:t>
      </w:r>
      <w:proofErr w:type="spellStart"/>
      <w:r>
        <w:t>PathWest</w:t>
      </w:r>
      <w:proofErr w:type="spellEnd"/>
    </w:p>
    <w:p w14:paraId="48C559C8" w14:textId="3405B936" w:rsidR="00C117F1" w:rsidRDefault="00C117F1" w:rsidP="0064442F">
      <w:pPr>
        <w:pStyle w:val="Tablenotes0"/>
      </w:pPr>
      <w:r>
        <w:t xml:space="preserve">g. Source: Estimated using data from </w:t>
      </w:r>
      <w:proofErr w:type="spellStart"/>
      <w:r>
        <w:t>Wastnedge</w:t>
      </w:r>
      <w:proofErr w:type="spellEnd"/>
      <w:r>
        <w:t xml:space="preserve"> et al. (2018), Australian Bureau of Statistics (2022), and </w:t>
      </w:r>
      <w:proofErr w:type="spellStart"/>
      <w:r>
        <w:t>HbR</w:t>
      </w:r>
      <w:proofErr w:type="spellEnd"/>
      <w:r>
        <w:t xml:space="preserve"> (2023)</w:t>
      </w:r>
    </w:p>
    <w:p w14:paraId="58C2E378" w14:textId="64376DDF" w:rsidR="004E1E30" w:rsidRDefault="008F4EEC" w:rsidP="00510ECB">
      <w:pPr>
        <w:rPr>
          <w:rStyle w:val="ui-provider"/>
        </w:rPr>
      </w:pPr>
      <w:r>
        <w:rPr>
          <w:rStyle w:val="ui-provider"/>
        </w:rPr>
        <w:t>E</w:t>
      </w:r>
      <w:r w:rsidR="000268E5">
        <w:rPr>
          <w:rStyle w:val="ui-provider"/>
        </w:rPr>
        <w:t xml:space="preserve">arly </w:t>
      </w:r>
      <w:r w:rsidR="000268E5" w:rsidRPr="009A5170">
        <w:rPr>
          <w:rStyle w:val="ui-provider"/>
        </w:rPr>
        <w:t xml:space="preserve">symptoms </w:t>
      </w:r>
      <w:r>
        <w:rPr>
          <w:rStyle w:val="ui-provider"/>
        </w:rPr>
        <w:t xml:space="preserve">occurring prior to diagnosis in those missed by targeted testing </w:t>
      </w:r>
      <w:r w:rsidR="000268E5" w:rsidRPr="009A5170">
        <w:rPr>
          <w:rStyle w:val="ui-provider"/>
        </w:rPr>
        <w:t>could be severe</w:t>
      </w:r>
      <w:r w:rsidR="00177B89">
        <w:rPr>
          <w:rStyle w:val="ui-provider"/>
        </w:rPr>
        <w:t>,</w:t>
      </w:r>
      <w:r w:rsidR="000268E5" w:rsidRPr="009A5170">
        <w:rPr>
          <w:rStyle w:val="ui-provider"/>
        </w:rPr>
        <w:t xml:space="preserve"> such as </w:t>
      </w:r>
      <w:r w:rsidR="008E12A1" w:rsidRPr="009A5170">
        <w:rPr>
          <w:rStyle w:val="ui-provider"/>
        </w:rPr>
        <w:t xml:space="preserve">a </w:t>
      </w:r>
      <w:proofErr w:type="spellStart"/>
      <w:r w:rsidR="005C62B4">
        <w:rPr>
          <w:rStyle w:val="ui-provider"/>
        </w:rPr>
        <w:t>vaso</w:t>
      </w:r>
      <w:proofErr w:type="spellEnd"/>
      <w:r w:rsidR="005C62B4">
        <w:rPr>
          <w:rStyle w:val="ui-provider"/>
        </w:rPr>
        <w:t xml:space="preserve">-occlusive crisis (VOC) </w:t>
      </w:r>
      <w:r w:rsidR="002C4289" w:rsidRPr="009A5170">
        <w:rPr>
          <w:rStyle w:val="ui-provider"/>
        </w:rPr>
        <w:t xml:space="preserve">leading to </w:t>
      </w:r>
      <w:r w:rsidR="000268E5" w:rsidRPr="009A5170">
        <w:rPr>
          <w:rStyle w:val="ui-provider"/>
        </w:rPr>
        <w:t>stroke</w:t>
      </w:r>
      <w:r w:rsidR="008E12A1" w:rsidRPr="009A5170">
        <w:rPr>
          <w:rStyle w:val="ui-provider"/>
        </w:rPr>
        <w:t xml:space="preserve"> or splenic sequestration</w:t>
      </w:r>
      <w:r w:rsidR="005A5B73">
        <w:rPr>
          <w:rStyle w:val="ui-provider"/>
        </w:rPr>
        <w:t>, or death</w:t>
      </w:r>
      <w:r w:rsidR="000268E5" w:rsidRPr="009A5170">
        <w:rPr>
          <w:rStyle w:val="ui-provider"/>
        </w:rPr>
        <w:t xml:space="preserve">. </w:t>
      </w:r>
      <w:proofErr w:type="spellStart"/>
      <w:r w:rsidR="00C96F8B">
        <w:rPr>
          <w:rStyle w:val="ui-provider"/>
        </w:rPr>
        <w:t>HbR</w:t>
      </w:r>
      <w:proofErr w:type="spellEnd"/>
      <w:r w:rsidR="00C96F8B">
        <w:rPr>
          <w:rStyle w:val="ui-provider"/>
        </w:rPr>
        <w:t xml:space="preserve"> data </w:t>
      </w:r>
      <w:r w:rsidR="00936FE1">
        <w:rPr>
          <w:rStyle w:val="ui-provider"/>
        </w:rPr>
        <w:t>show</w:t>
      </w:r>
      <w:r w:rsidR="00434944">
        <w:rPr>
          <w:rStyle w:val="ui-provider"/>
        </w:rPr>
        <w:t>ed</w:t>
      </w:r>
      <w:r w:rsidR="00FB443B">
        <w:rPr>
          <w:rStyle w:val="ui-provider"/>
        </w:rPr>
        <w:t xml:space="preserve"> that early diagnosis </w:t>
      </w:r>
      <w:r w:rsidR="00434944">
        <w:rPr>
          <w:rStyle w:val="ui-provider"/>
        </w:rPr>
        <w:t>wa</w:t>
      </w:r>
      <w:r w:rsidR="00FB443B">
        <w:rPr>
          <w:rStyle w:val="ui-provider"/>
        </w:rPr>
        <w:t xml:space="preserve">s associated with a higher proportion of patients receiving prophylactic antibiotics and having a transcranial </w:t>
      </w:r>
      <w:r w:rsidR="00434944">
        <w:rPr>
          <w:rStyle w:val="ui-provider"/>
        </w:rPr>
        <w:t>D</w:t>
      </w:r>
      <w:r w:rsidR="00FB443B">
        <w:rPr>
          <w:rStyle w:val="ui-provider"/>
        </w:rPr>
        <w:t>oppler performed to determine stroke risk</w:t>
      </w:r>
      <w:r w:rsidR="00CC318D">
        <w:rPr>
          <w:rStyle w:val="ui-provider"/>
        </w:rPr>
        <w:t xml:space="preserve"> (which can lead to intensification of treatment in those who require it)</w:t>
      </w:r>
      <w:r w:rsidR="00FB443B">
        <w:rPr>
          <w:rStyle w:val="ui-provider"/>
        </w:rPr>
        <w:t xml:space="preserve">. This </w:t>
      </w:r>
      <w:r w:rsidR="00D24677">
        <w:rPr>
          <w:rStyle w:val="ui-provider"/>
        </w:rPr>
        <w:t xml:space="preserve">reduces the likelihood of sepsis, </w:t>
      </w:r>
      <w:r w:rsidR="005C62B4">
        <w:rPr>
          <w:rStyle w:val="ui-provider"/>
        </w:rPr>
        <w:t>VOC</w:t>
      </w:r>
      <w:r w:rsidR="00D254F8">
        <w:rPr>
          <w:rStyle w:val="ui-provider"/>
        </w:rPr>
        <w:t xml:space="preserve">, and the requirement for </w:t>
      </w:r>
      <w:r w:rsidR="00C649E5">
        <w:rPr>
          <w:rStyle w:val="ui-provider"/>
        </w:rPr>
        <w:t xml:space="preserve">surgical procedures such as splenectomy and cholecystectomy (removal of the spleen and </w:t>
      </w:r>
      <w:r w:rsidR="003C16B5">
        <w:rPr>
          <w:rStyle w:val="ui-provider"/>
        </w:rPr>
        <w:t>gall bladder)</w:t>
      </w:r>
      <w:r w:rsidR="00C649E5">
        <w:rPr>
          <w:rStyle w:val="ui-provider"/>
        </w:rPr>
        <w:t>.</w:t>
      </w:r>
      <w:r w:rsidR="003C16B5">
        <w:rPr>
          <w:rStyle w:val="ui-provider"/>
        </w:rPr>
        <w:t xml:space="preserve"> </w:t>
      </w:r>
      <w:r w:rsidR="00072939">
        <w:rPr>
          <w:rStyle w:val="ui-provider"/>
        </w:rPr>
        <w:t xml:space="preserve">Although the </w:t>
      </w:r>
      <w:proofErr w:type="spellStart"/>
      <w:r w:rsidR="00072939">
        <w:rPr>
          <w:rStyle w:val="ui-provider"/>
        </w:rPr>
        <w:t>HbR</w:t>
      </w:r>
      <w:proofErr w:type="spellEnd"/>
      <w:r w:rsidR="00072939">
        <w:rPr>
          <w:rStyle w:val="ui-provider"/>
        </w:rPr>
        <w:t xml:space="preserve"> </w:t>
      </w:r>
      <w:r w:rsidR="009468B2">
        <w:rPr>
          <w:rStyle w:val="ui-provider"/>
        </w:rPr>
        <w:t xml:space="preserve">data </w:t>
      </w:r>
      <w:r w:rsidR="00072939">
        <w:rPr>
          <w:rStyle w:val="ui-provider"/>
        </w:rPr>
        <w:t xml:space="preserve">may </w:t>
      </w:r>
      <w:r w:rsidR="005E07EF">
        <w:rPr>
          <w:rStyle w:val="ui-provider"/>
        </w:rPr>
        <w:t>be biased, due to the different age of patients with SCD in the group diagnosed early (</w:t>
      </w:r>
      <w:r w:rsidR="007E01A6">
        <w:rPr>
          <w:rStyle w:val="ui-provider"/>
        </w:rPr>
        <w:t>median age 12,</w:t>
      </w:r>
      <w:r w:rsidR="003C595E">
        <w:rPr>
          <w:rStyle w:val="ui-provider"/>
        </w:rPr>
        <w:t xml:space="preserve"> IQR</w:t>
      </w:r>
      <w:r w:rsidR="00236E5D">
        <w:rPr>
          <w:rStyle w:val="ui-provider"/>
        </w:rPr>
        <w:t xml:space="preserve"> 7.1, 15.2</w:t>
      </w:r>
      <w:r w:rsidR="007E01A6">
        <w:rPr>
          <w:rStyle w:val="ui-provider"/>
        </w:rPr>
        <w:t>) versus late (median age 15</w:t>
      </w:r>
      <w:r w:rsidR="003C595E">
        <w:rPr>
          <w:rStyle w:val="ui-provider"/>
        </w:rPr>
        <w:t>, IQR 7.6, 25.0)</w:t>
      </w:r>
      <w:r w:rsidR="00236E5D">
        <w:rPr>
          <w:rStyle w:val="ui-provider"/>
        </w:rPr>
        <w:t>, the data suggest</w:t>
      </w:r>
      <w:r w:rsidR="009468B2">
        <w:rPr>
          <w:rStyle w:val="ui-provider"/>
        </w:rPr>
        <w:t>ed</w:t>
      </w:r>
      <w:r w:rsidR="00236E5D">
        <w:rPr>
          <w:rStyle w:val="ui-provider"/>
        </w:rPr>
        <w:t xml:space="preserve"> those in the targeted testing group had a </w:t>
      </w:r>
      <w:r w:rsidR="00B515C6">
        <w:rPr>
          <w:rStyle w:val="ui-provider"/>
        </w:rPr>
        <w:t xml:space="preserve">27.4% absolute risk reduction </w:t>
      </w:r>
      <w:r w:rsidR="009D75D6">
        <w:rPr>
          <w:rStyle w:val="ui-provider"/>
        </w:rPr>
        <w:t xml:space="preserve">of </w:t>
      </w:r>
      <w:r w:rsidR="00A16CC1">
        <w:rPr>
          <w:rStyle w:val="ui-provider"/>
        </w:rPr>
        <w:t>having sepsis</w:t>
      </w:r>
      <w:r w:rsidR="00A72E16">
        <w:rPr>
          <w:rStyle w:val="ui-provider"/>
        </w:rPr>
        <w:t xml:space="preserve"> </w:t>
      </w:r>
      <w:r w:rsidR="00DA4AC5">
        <w:rPr>
          <w:rStyle w:val="ui-provider"/>
        </w:rPr>
        <w:t xml:space="preserve">up to their </w:t>
      </w:r>
      <w:r w:rsidR="009D75D6">
        <w:rPr>
          <w:rStyle w:val="ui-provider"/>
        </w:rPr>
        <w:t xml:space="preserve">most recent </w:t>
      </w:r>
      <w:r w:rsidR="00062C29">
        <w:rPr>
          <w:rStyle w:val="ui-provider"/>
        </w:rPr>
        <w:t>date of review</w:t>
      </w:r>
      <w:r w:rsidR="00A16CC1">
        <w:rPr>
          <w:rStyle w:val="ui-provider"/>
        </w:rPr>
        <w:t>.</w:t>
      </w:r>
      <w:r w:rsidR="00A72E16">
        <w:rPr>
          <w:rStyle w:val="ui-provider"/>
        </w:rPr>
        <w:t xml:space="preserve"> </w:t>
      </w:r>
    </w:p>
    <w:p w14:paraId="7C94E16F" w14:textId="3D7EE50B" w:rsidR="004E1E30" w:rsidRDefault="00397968" w:rsidP="00510ECB">
      <w:pPr>
        <w:rPr>
          <w:rStyle w:val="ui-provider"/>
        </w:rPr>
      </w:pPr>
      <w:proofErr w:type="spellStart"/>
      <w:r>
        <w:rPr>
          <w:rStyle w:val="ui-provider"/>
        </w:rPr>
        <w:t>HbR</w:t>
      </w:r>
      <w:proofErr w:type="spellEnd"/>
      <w:r>
        <w:rPr>
          <w:rStyle w:val="ui-provider"/>
        </w:rPr>
        <w:t xml:space="preserve"> data comparing SCD cases diagnosed early vs late </w:t>
      </w:r>
      <w:r w:rsidR="0099148E">
        <w:rPr>
          <w:rStyle w:val="ui-provider"/>
        </w:rPr>
        <w:t>were</w:t>
      </w:r>
      <w:r>
        <w:rPr>
          <w:rStyle w:val="ui-provider"/>
        </w:rPr>
        <w:t xml:space="preserve"> used to construct a comparison of the intervention</w:t>
      </w:r>
      <w:r w:rsidR="0099148E">
        <w:rPr>
          <w:rStyle w:val="ui-provider"/>
        </w:rPr>
        <w:t xml:space="preserve"> (universal NBS)</w:t>
      </w:r>
      <w:r>
        <w:rPr>
          <w:rStyle w:val="ui-provider"/>
        </w:rPr>
        <w:t xml:space="preserve"> against the comparator</w:t>
      </w:r>
      <w:r w:rsidR="0099148E">
        <w:rPr>
          <w:rStyle w:val="ui-provider"/>
        </w:rPr>
        <w:t xml:space="preserve"> (no universal NBS)</w:t>
      </w:r>
      <w:r>
        <w:rPr>
          <w:rStyle w:val="ui-provider"/>
        </w:rPr>
        <w:t xml:space="preserve">. </w:t>
      </w:r>
      <w:r w:rsidR="00656D2E">
        <w:rPr>
          <w:rStyle w:val="ui-provider"/>
        </w:rPr>
        <w:t xml:space="preserve">Using the incidence of 34.2 per 100,000, </w:t>
      </w:r>
      <w:r w:rsidR="0035506B">
        <w:rPr>
          <w:rStyle w:val="ui-provider"/>
        </w:rPr>
        <w:t xml:space="preserve">it </w:t>
      </w:r>
      <w:r w:rsidR="001064A2">
        <w:rPr>
          <w:rStyle w:val="ui-provider"/>
        </w:rPr>
        <w:t>wa</w:t>
      </w:r>
      <w:r w:rsidR="0035506B">
        <w:rPr>
          <w:rStyle w:val="ui-provider"/>
        </w:rPr>
        <w:t>s estimated that</w:t>
      </w:r>
      <w:r w:rsidR="00A72E16">
        <w:rPr>
          <w:rStyle w:val="ui-provider"/>
        </w:rPr>
        <w:t xml:space="preserve"> NBS </w:t>
      </w:r>
      <w:r w:rsidR="0035506B">
        <w:rPr>
          <w:rStyle w:val="ui-provider"/>
        </w:rPr>
        <w:t xml:space="preserve">would </w:t>
      </w:r>
      <w:r w:rsidR="00D5280E">
        <w:rPr>
          <w:rStyle w:val="ui-provider"/>
        </w:rPr>
        <w:t xml:space="preserve">result in </w:t>
      </w:r>
      <w:r w:rsidR="00665095">
        <w:rPr>
          <w:rStyle w:val="ui-provider"/>
        </w:rPr>
        <w:t xml:space="preserve">an additional </w:t>
      </w:r>
      <w:r w:rsidR="00D5280E">
        <w:rPr>
          <w:rStyle w:val="ui-provider"/>
        </w:rPr>
        <w:t xml:space="preserve">55 cases per year being diagnosed </w:t>
      </w:r>
      <w:r w:rsidR="00665095">
        <w:rPr>
          <w:rStyle w:val="ui-provider"/>
        </w:rPr>
        <w:t>prior to symptom onset</w:t>
      </w:r>
      <w:r w:rsidR="00A72E16">
        <w:rPr>
          <w:rStyle w:val="ui-provider"/>
        </w:rPr>
        <w:t xml:space="preserve">, </w:t>
      </w:r>
      <w:r w:rsidR="0035506B">
        <w:rPr>
          <w:rStyle w:val="ui-provider"/>
        </w:rPr>
        <w:t>which</w:t>
      </w:r>
      <w:r w:rsidR="004F6BF6">
        <w:rPr>
          <w:rStyle w:val="ui-provider"/>
        </w:rPr>
        <w:t xml:space="preserve"> </w:t>
      </w:r>
      <w:r w:rsidR="00F85097">
        <w:rPr>
          <w:rStyle w:val="ui-provider"/>
        </w:rPr>
        <w:t>may</w:t>
      </w:r>
      <w:r w:rsidR="004F6BF6">
        <w:rPr>
          <w:rStyle w:val="ui-provider"/>
        </w:rPr>
        <w:t xml:space="preserve"> result in</w:t>
      </w:r>
      <w:r w:rsidR="00656D2E">
        <w:rPr>
          <w:rStyle w:val="ui-provider"/>
        </w:rPr>
        <w:t>:</w:t>
      </w:r>
      <w:r w:rsidR="004F6BF6">
        <w:rPr>
          <w:rStyle w:val="ui-provider"/>
        </w:rPr>
        <w:t xml:space="preserve"> </w:t>
      </w:r>
    </w:p>
    <w:p w14:paraId="2ABDB513" w14:textId="787A1DD0" w:rsidR="004E1E30" w:rsidRDefault="007851D3" w:rsidP="004E1E30">
      <w:pPr>
        <w:pStyle w:val="ListParagraph"/>
        <w:numPr>
          <w:ilvl w:val="0"/>
          <w:numId w:val="22"/>
        </w:numPr>
        <w:rPr>
          <w:rStyle w:val="ui-provider"/>
        </w:rPr>
      </w:pPr>
      <w:r>
        <w:rPr>
          <w:rStyle w:val="ui-provider"/>
        </w:rPr>
        <w:t>15</w:t>
      </w:r>
      <w:r w:rsidR="00A57AFE">
        <w:rPr>
          <w:rStyle w:val="ui-provider"/>
        </w:rPr>
        <w:t xml:space="preserve"> </w:t>
      </w:r>
      <w:r w:rsidR="00111D5A">
        <w:rPr>
          <w:rStyle w:val="ui-provider"/>
        </w:rPr>
        <w:t>cases of sepsis being avoided,</w:t>
      </w:r>
    </w:p>
    <w:p w14:paraId="2DA5AA4F" w14:textId="66FC21C0" w:rsidR="0098194D" w:rsidRDefault="007851D3" w:rsidP="004E1E30">
      <w:pPr>
        <w:pStyle w:val="ListParagraph"/>
        <w:numPr>
          <w:ilvl w:val="0"/>
          <w:numId w:val="22"/>
        </w:numPr>
        <w:rPr>
          <w:rStyle w:val="ui-provider"/>
        </w:rPr>
      </w:pPr>
      <w:r>
        <w:rPr>
          <w:rStyle w:val="ui-provider"/>
        </w:rPr>
        <w:t>9</w:t>
      </w:r>
      <w:r w:rsidR="0098194D">
        <w:rPr>
          <w:rStyle w:val="ui-provider"/>
        </w:rPr>
        <w:t xml:space="preserve"> cholecystectomies being avoided,</w:t>
      </w:r>
    </w:p>
    <w:p w14:paraId="63A2E538" w14:textId="17EC641D" w:rsidR="000535E7" w:rsidRDefault="007851D3" w:rsidP="004E1E30">
      <w:pPr>
        <w:pStyle w:val="ListParagraph"/>
        <w:numPr>
          <w:ilvl w:val="0"/>
          <w:numId w:val="22"/>
        </w:numPr>
        <w:rPr>
          <w:rStyle w:val="ui-provider"/>
        </w:rPr>
      </w:pPr>
      <w:r>
        <w:rPr>
          <w:rStyle w:val="ui-provider"/>
        </w:rPr>
        <w:t>7</w:t>
      </w:r>
      <w:r w:rsidR="000535E7">
        <w:rPr>
          <w:rStyle w:val="ui-provider"/>
        </w:rPr>
        <w:t xml:space="preserve"> splenectomies being avoided</w:t>
      </w:r>
      <w:r w:rsidR="00F12C56">
        <w:rPr>
          <w:rStyle w:val="ui-provider"/>
        </w:rPr>
        <w:t>,</w:t>
      </w:r>
    </w:p>
    <w:p w14:paraId="2977E094" w14:textId="36348860" w:rsidR="00B57179" w:rsidRDefault="007851D3" w:rsidP="004E1E30">
      <w:pPr>
        <w:pStyle w:val="ListParagraph"/>
        <w:numPr>
          <w:ilvl w:val="0"/>
          <w:numId w:val="22"/>
        </w:numPr>
        <w:rPr>
          <w:rStyle w:val="ui-provider"/>
        </w:rPr>
      </w:pPr>
      <w:r>
        <w:rPr>
          <w:rStyle w:val="ui-provider"/>
        </w:rPr>
        <w:t>4</w:t>
      </w:r>
      <w:r w:rsidR="0098194D">
        <w:rPr>
          <w:rStyle w:val="ui-provider"/>
        </w:rPr>
        <w:t xml:space="preserve"> </w:t>
      </w:r>
      <w:r w:rsidR="003823AC">
        <w:rPr>
          <w:rStyle w:val="ui-provider"/>
        </w:rPr>
        <w:t>V</w:t>
      </w:r>
      <w:r w:rsidR="0098194D">
        <w:rPr>
          <w:rStyle w:val="ui-provider"/>
        </w:rPr>
        <w:t>OCs being avoided</w:t>
      </w:r>
      <w:r w:rsidR="0021214B">
        <w:rPr>
          <w:rStyle w:val="ui-provider"/>
        </w:rPr>
        <w:t xml:space="preserve"> per year</w:t>
      </w:r>
      <w:r w:rsidR="0098194D">
        <w:rPr>
          <w:rStyle w:val="ui-provider"/>
        </w:rPr>
        <w:t xml:space="preserve">, </w:t>
      </w:r>
      <w:r w:rsidR="00B57179">
        <w:rPr>
          <w:rStyle w:val="ui-provider"/>
        </w:rPr>
        <w:t>and</w:t>
      </w:r>
    </w:p>
    <w:p w14:paraId="0BA7AFD9" w14:textId="4CA58B4C" w:rsidR="00462E29" w:rsidRDefault="007851D3" w:rsidP="009833DA">
      <w:pPr>
        <w:pStyle w:val="ListParagraph"/>
        <w:numPr>
          <w:ilvl w:val="0"/>
          <w:numId w:val="22"/>
        </w:numPr>
        <w:rPr>
          <w:rStyle w:val="ui-provider"/>
        </w:rPr>
      </w:pPr>
      <w:r>
        <w:rPr>
          <w:rStyle w:val="ui-provider"/>
        </w:rPr>
        <w:t>42</w:t>
      </w:r>
      <w:r w:rsidR="00B57179">
        <w:rPr>
          <w:rStyle w:val="ui-provider"/>
        </w:rPr>
        <w:t xml:space="preserve"> </w:t>
      </w:r>
      <w:r w:rsidR="003A503C">
        <w:rPr>
          <w:rStyle w:val="ui-provider"/>
        </w:rPr>
        <w:t>SCD-related</w:t>
      </w:r>
      <w:r w:rsidR="00B57179">
        <w:rPr>
          <w:rStyle w:val="ui-provider"/>
        </w:rPr>
        <w:t xml:space="preserve"> emergency department presentations avoided</w:t>
      </w:r>
      <w:r w:rsidR="0021214B">
        <w:rPr>
          <w:rStyle w:val="ui-provider"/>
        </w:rPr>
        <w:t xml:space="preserve"> per year</w:t>
      </w:r>
      <w:r w:rsidR="00B57179">
        <w:rPr>
          <w:rStyle w:val="ui-provider"/>
        </w:rPr>
        <w:t xml:space="preserve">. </w:t>
      </w:r>
      <w:r w:rsidR="00111D5A">
        <w:rPr>
          <w:rStyle w:val="ui-provider"/>
        </w:rPr>
        <w:t xml:space="preserve"> </w:t>
      </w:r>
    </w:p>
    <w:p w14:paraId="4A1E8094" w14:textId="67BCE31C" w:rsidR="009833DA" w:rsidRDefault="00462E29" w:rsidP="00462E29">
      <w:r>
        <w:rPr>
          <w:rStyle w:val="ui-provider"/>
        </w:rPr>
        <w:t xml:space="preserve">The calculations for </w:t>
      </w:r>
      <w:r w:rsidR="0054729E">
        <w:rPr>
          <w:rStyle w:val="ui-provider"/>
        </w:rPr>
        <w:t xml:space="preserve">the adverse events avoided are shown in </w:t>
      </w:r>
      <w:r w:rsidR="00B06D29">
        <w:rPr>
          <w:rStyle w:val="ui-provider"/>
        </w:rPr>
        <w:fldChar w:fldCharType="begin"/>
      </w:r>
      <w:r w:rsidR="00B06D29">
        <w:rPr>
          <w:rStyle w:val="ui-provider"/>
        </w:rPr>
        <w:instrText xml:space="preserve"> REF _Ref149056564 \h </w:instrText>
      </w:r>
      <w:r w:rsidR="00B06D29">
        <w:rPr>
          <w:rStyle w:val="ui-provider"/>
        </w:rPr>
      </w:r>
      <w:r w:rsidR="00B06D29">
        <w:rPr>
          <w:rStyle w:val="ui-provider"/>
        </w:rPr>
        <w:fldChar w:fldCharType="separate"/>
      </w:r>
      <w:r w:rsidR="007D770C">
        <w:t xml:space="preserve">Table </w:t>
      </w:r>
      <w:r w:rsidR="007D770C">
        <w:rPr>
          <w:noProof/>
        </w:rPr>
        <w:t>11</w:t>
      </w:r>
      <w:r w:rsidR="00B06D29">
        <w:rPr>
          <w:rStyle w:val="ui-provider"/>
        </w:rPr>
        <w:fldChar w:fldCharType="end"/>
      </w:r>
      <w:r w:rsidR="00B06D29">
        <w:rPr>
          <w:rStyle w:val="ui-provider"/>
        </w:rPr>
        <w:t xml:space="preserve"> (varying by estimated incidence</w:t>
      </w:r>
      <w:r w:rsidR="000D6A6A">
        <w:rPr>
          <w:rStyle w:val="ui-provider"/>
        </w:rPr>
        <w:t>)</w:t>
      </w:r>
      <w:r w:rsidR="00B06D29">
        <w:rPr>
          <w:rStyle w:val="ui-provider"/>
        </w:rPr>
        <w:t xml:space="preserve">. </w:t>
      </w:r>
    </w:p>
    <w:p w14:paraId="0F379565" w14:textId="64CC0395" w:rsidR="009833DA" w:rsidRPr="0062672A" w:rsidRDefault="009833DA" w:rsidP="009833DA">
      <w:pPr>
        <w:pStyle w:val="Caption"/>
        <w:rPr>
          <w:vertAlign w:val="superscript"/>
        </w:rPr>
      </w:pPr>
      <w:bookmarkStart w:id="39" w:name="_Ref149056564"/>
      <w:r>
        <w:t xml:space="preserve">Table </w:t>
      </w:r>
      <w:r>
        <w:fldChar w:fldCharType="begin"/>
      </w:r>
      <w:r>
        <w:instrText>SEQ Table \* ARABIC</w:instrText>
      </w:r>
      <w:r>
        <w:fldChar w:fldCharType="separate"/>
      </w:r>
      <w:r w:rsidR="007D770C">
        <w:rPr>
          <w:noProof/>
        </w:rPr>
        <w:t>11</w:t>
      </w:r>
      <w:r>
        <w:fldChar w:fldCharType="end"/>
      </w:r>
      <w:bookmarkEnd w:id="39"/>
      <w:r>
        <w:tab/>
      </w:r>
      <w:r w:rsidR="00A83F63">
        <w:t>Estimated number of a</w:t>
      </w:r>
      <w:r w:rsidR="00205154">
        <w:t xml:space="preserve">dverse events avoided due to </w:t>
      </w:r>
      <w:r w:rsidR="00AF7C0B">
        <w:t xml:space="preserve">universal </w:t>
      </w:r>
      <w:r w:rsidR="009C7A8B">
        <w:t>NBS rather than 47</w:t>
      </w:r>
      <w:r w:rsidR="0080245F">
        <w:t xml:space="preserve">.7% early diagnosis with targeted testing, </w:t>
      </w:r>
      <w:r>
        <w:t xml:space="preserve">per </w:t>
      </w:r>
      <w:r w:rsidR="00F450B5">
        <w:t>310,922</w:t>
      </w:r>
      <w:r>
        <w:t xml:space="preserve"> </w:t>
      </w:r>
      <w:proofErr w:type="spellStart"/>
      <w:proofErr w:type="gramStart"/>
      <w:r>
        <w:t>newborns</w:t>
      </w:r>
      <w:r>
        <w:rPr>
          <w:vertAlign w:val="superscript"/>
        </w:rPr>
        <w:t>a</w:t>
      </w:r>
      <w:proofErr w:type="spellEnd"/>
      <w:proofErr w:type="gramEnd"/>
    </w:p>
    <w:tbl>
      <w:tblPr>
        <w:tblStyle w:val="TableGrid"/>
        <w:tblW w:w="5000" w:type="pct"/>
        <w:tblLook w:val="04A0" w:firstRow="1" w:lastRow="0" w:firstColumn="1" w:lastColumn="0" w:noHBand="0" w:noVBand="1"/>
      </w:tblPr>
      <w:tblGrid>
        <w:gridCol w:w="1466"/>
        <w:gridCol w:w="983"/>
        <w:gridCol w:w="1089"/>
        <w:gridCol w:w="1001"/>
        <w:gridCol w:w="1491"/>
        <w:gridCol w:w="1493"/>
        <w:gridCol w:w="1493"/>
      </w:tblGrid>
      <w:tr w:rsidR="009436E6" w14:paraId="2E9FA94A" w14:textId="77777777" w:rsidTr="00DA4AC5">
        <w:tc>
          <w:tcPr>
            <w:tcW w:w="812" w:type="pct"/>
            <w:vMerge w:val="restart"/>
            <w:shd w:val="clear" w:color="auto" w:fill="FFFFFF" w:themeFill="background1"/>
          </w:tcPr>
          <w:p w14:paraId="627AEB55" w14:textId="4F7AE12A" w:rsidR="00904725" w:rsidRPr="008D7CDF" w:rsidRDefault="00904725" w:rsidP="00075BCA">
            <w:pPr>
              <w:pStyle w:val="Tabletext0"/>
              <w:jc w:val="left"/>
              <w:rPr>
                <w:b/>
                <w:bCs/>
                <w:vertAlign w:val="superscript"/>
              </w:rPr>
            </w:pPr>
            <w:r w:rsidRPr="000F7857">
              <w:rPr>
                <w:b/>
                <w:bCs/>
              </w:rPr>
              <w:t xml:space="preserve">Adverse </w:t>
            </w:r>
            <w:proofErr w:type="spellStart"/>
            <w:r w:rsidRPr="000F7857">
              <w:rPr>
                <w:b/>
                <w:bCs/>
              </w:rPr>
              <w:t>event</w:t>
            </w:r>
            <w:r w:rsidR="008D7CDF">
              <w:rPr>
                <w:b/>
                <w:bCs/>
                <w:vertAlign w:val="superscript"/>
              </w:rPr>
              <w:t>b</w:t>
            </w:r>
            <w:proofErr w:type="spellEnd"/>
          </w:p>
        </w:tc>
        <w:tc>
          <w:tcPr>
            <w:tcW w:w="545" w:type="pct"/>
            <w:vMerge w:val="restart"/>
            <w:shd w:val="clear" w:color="auto" w:fill="FFFFFF" w:themeFill="background1"/>
          </w:tcPr>
          <w:p w14:paraId="20A30455" w14:textId="17987566" w:rsidR="00904725" w:rsidRPr="000F7857" w:rsidRDefault="00904725" w:rsidP="00075BCA">
            <w:pPr>
              <w:pStyle w:val="Tabletext0"/>
              <w:jc w:val="left"/>
              <w:rPr>
                <w:b/>
                <w:bCs/>
              </w:rPr>
            </w:pPr>
            <w:r w:rsidRPr="000F7857">
              <w:rPr>
                <w:b/>
                <w:bCs/>
              </w:rPr>
              <w:t xml:space="preserve">Early diagnosis </w:t>
            </w:r>
          </w:p>
        </w:tc>
        <w:tc>
          <w:tcPr>
            <w:tcW w:w="604" w:type="pct"/>
            <w:vMerge w:val="restart"/>
            <w:shd w:val="clear" w:color="auto" w:fill="FFFFFF" w:themeFill="background1"/>
          </w:tcPr>
          <w:p w14:paraId="596CE712" w14:textId="4EDC93DC" w:rsidR="00904725" w:rsidRPr="000F7857" w:rsidRDefault="00904725" w:rsidP="00075BCA">
            <w:pPr>
              <w:pStyle w:val="Tabletext0"/>
              <w:jc w:val="left"/>
              <w:rPr>
                <w:b/>
                <w:bCs/>
              </w:rPr>
            </w:pPr>
            <w:r w:rsidRPr="000F7857">
              <w:rPr>
                <w:b/>
                <w:bCs/>
              </w:rPr>
              <w:t xml:space="preserve">Late diagnosis </w:t>
            </w:r>
          </w:p>
        </w:tc>
        <w:tc>
          <w:tcPr>
            <w:tcW w:w="555" w:type="pct"/>
            <w:vMerge w:val="restart"/>
            <w:shd w:val="clear" w:color="auto" w:fill="FFFFFF" w:themeFill="background1"/>
          </w:tcPr>
          <w:p w14:paraId="28E9EC4C" w14:textId="49739E2A" w:rsidR="00904725" w:rsidRPr="000F7857" w:rsidRDefault="00B9589E" w:rsidP="00075BCA">
            <w:pPr>
              <w:pStyle w:val="Tabletext0"/>
              <w:jc w:val="left"/>
              <w:rPr>
                <w:b/>
                <w:bCs/>
              </w:rPr>
            </w:pPr>
            <w:r w:rsidRPr="000F7857">
              <w:rPr>
                <w:b/>
                <w:bCs/>
              </w:rPr>
              <w:t>Absolute difference</w:t>
            </w:r>
          </w:p>
        </w:tc>
        <w:tc>
          <w:tcPr>
            <w:tcW w:w="2483" w:type="pct"/>
            <w:gridSpan w:val="3"/>
            <w:shd w:val="clear" w:color="auto" w:fill="FFFFFF" w:themeFill="background1"/>
          </w:tcPr>
          <w:p w14:paraId="35BFFEDF" w14:textId="3F7CBBBA" w:rsidR="00904725" w:rsidRPr="000F7857" w:rsidRDefault="00904725" w:rsidP="00075BCA">
            <w:pPr>
              <w:pStyle w:val="Tabletext0"/>
              <w:jc w:val="left"/>
              <w:rPr>
                <w:b/>
                <w:bCs/>
              </w:rPr>
            </w:pPr>
            <w:r w:rsidRPr="000F7857">
              <w:rPr>
                <w:b/>
                <w:bCs/>
              </w:rPr>
              <w:t>No</w:t>
            </w:r>
            <w:r w:rsidR="003F58C8" w:rsidRPr="000F7857">
              <w:rPr>
                <w:b/>
                <w:bCs/>
              </w:rPr>
              <w:t>.</w:t>
            </w:r>
            <w:r w:rsidRPr="000F7857">
              <w:rPr>
                <w:b/>
                <w:bCs/>
              </w:rPr>
              <w:t xml:space="preserve"> of </w:t>
            </w:r>
            <w:r w:rsidR="00D43E9C" w:rsidRPr="000F7857">
              <w:rPr>
                <w:b/>
                <w:bCs/>
              </w:rPr>
              <w:t>events</w:t>
            </w:r>
            <w:r w:rsidRPr="000F7857">
              <w:rPr>
                <w:b/>
                <w:bCs/>
              </w:rPr>
              <w:t xml:space="preserve"> avoided </w:t>
            </w:r>
            <w:r w:rsidR="003F58C8" w:rsidRPr="000F7857">
              <w:rPr>
                <w:b/>
                <w:bCs/>
              </w:rPr>
              <w:t>based on incremental early</w:t>
            </w:r>
            <w:r w:rsidR="007C41D4" w:rsidRPr="000F7857">
              <w:rPr>
                <w:b/>
                <w:bCs/>
              </w:rPr>
              <w:t xml:space="preserve"> SCD</w:t>
            </w:r>
            <w:r w:rsidR="003F58C8" w:rsidRPr="000F7857">
              <w:rPr>
                <w:b/>
                <w:bCs/>
              </w:rPr>
              <w:t xml:space="preserve"> diagnos</w:t>
            </w:r>
            <w:r w:rsidR="00313BB6" w:rsidRPr="000F7857">
              <w:rPr>
                <w:b/>
                <w:bCs/>
              </w:rPr>
              <w:t>e</w:t>
            </w:r>
            <w:r w:rsidR="003F58C8" w:rsidRPr="000F7857">
              <w:rPr>
                <w:b/>
                <w:bCs/>
              </w:rPr>
              <w:t>s (varying by incidence</w:t>
            </w:r>
            <w:r w:rsidR="00E72FC1" w:rsidRPr="000F7857">
              <w:rPr>
                <w:b/>
                <w:bCs/>
              </w:rPr>
              <w:t xml:space="preserve"> per 100,000</w:t>
            </w:r>
            <w:r w:rsidR="003F58C8" w:rsidRPr="000F7857">
              <w:rPr>
                <w:b/>
                <w:bCs/>
              </w:rPr>
              <w:t>)</w:t>
            </w:r>
          </w:p>
        </w:tc>
      </w:tr>
      <w:tr w:rsidR="00DA4AC5" w14:paraId="3E82F372" w14:textId="77777777" w:rsidTr="00DA4AC5">
        <w:tc>
          <w:tcPr>
            <w:tcW w:w="812" w:type="pct"/>
            <w:vMerge/>
            <w:shd w:val="clear" w:color="auto" w:fill="FFFFFF" w:themeFill="background1"/>
          </w:tcPr>
          <w:p w14:paraId="3E2E3820" w14:textId="6A339E0E" w:rsidR="00904725" w:rsidRPr="000F7857" w:rsidRDefault="00904725" w:rsidP="00075BCA">
            <w:pPr>
              <w:pStyle w:val="Tabletext0"/>
              <w:jc w:val="left"/>
              <w:rPr>
                <w:b/>
                <w:bCs/>
                <w:vertAlign w:val="superscript"/>
              </w:rPr>
            </w:pPr>
          </w:p>
        </w:tc>
        <w:tc>
          <w:tcPr>
            <w:tcW w:w="545" w:type="pct"/>
            <w:vMerge/>
            <w:shd w:val="clear" w:color="auto" w:fill="FFFFFF" w:themeFill="background1"/>
          </w:tcPr>
          <w:p w14:paraId="34910B75" w14:textId="38810727" w:rsidR="00904725" w:rsidRPr="000F7857" w:rsidRDefault="00904725" w:rsidP="00075BCA">
            <w:pPr>
              <w:pStyle w:val="Tabletext0"/>
              <w:jc w:val="left"/>
              <w:rPr>
                <w:b/>
                <w:bCs/>
              </w:rPr>
            </w:pPr>
          </w:p>
        </w:tc>
        <w:tc>
          <w:tcPr>
            <w:tcW w:w="604" w:type="pct"/>
            <w:vMerge/>
            <w:shd w:val="clear" w:color="auto" w:fill="FFFFFF" w:themeFill="background1"/>
          </w:tcPr>
          <w:p w14:paraId="0E2BFEF7" w14:textId="2D47F184" w:rsidR="00904725" w:rsidRPr="000F7857" w:rsidRDefault="00904725" w:rsidP="00075BCA">
            <w:pPr>
              <w:pStyle w:val="Tabletext0"/>
              <w:jc w:val="left"/>
              <w:rPr>
                <w:b/>
                <w:bCs/>
              </w:rPr>
            </w:pPr>
          </w:p>
        </w:tc>
        <w:tc>
          <w:tcPr>
            <w:tcW w:w="555" w:type="pct"/>
            <w:vMerge/>
            <w:shd w:val="clear" w:color="auto" w:fill="FFFFFF" w:themeFill="background1"/>
          </w:tcPr>
          <w:p w14:paraId="48E10D51" w14:textId="253332C2" w:rsidR="00904725" w:rsidRPr="000F7857" w:rsidRDefault="00904725" w:rsidP="00075BCA">
            <w:pPr>
              <w:pStyle w:val="Tabletext0"/>
              <w:jc w:val="left"/>
              <w:rPr>
                <w:b/>
                <w:bCs/>
              </w:rPr>
            </w:pPr>
          </w:p>
        </w:tc>
        <w:tc>
          <w:tcPr>
            <w:tcW w:w="827" w:type="pct"/>
            <w:shd w:val="clear" w:color="auto" w:fill="FFFFFF" w:themeFill="background1"/>
          </w:tcPr>
          <w:p w14:paraId="7CC8B01E" w14:textId="524B8BDF" w:rsidR="00904725" w:rsidRPr="0076654E" w:rsidRDefault="00026620" w:rsidP="00075BCA">
            <w:pPr>
              <w:pStyle w:val="Tabletext0"/>
              <w:jc w:val="left"/>
            </w:pPr>
            <w:r>
              <w:t>1 case</w:t>
            </w:r>
            <w:r w:rsidR="00CD0FCD" w:rsidRPr="0076654E">
              <w:t xml:space="preserve"> (incidence 0.53)</w:t>
            </w:r>
          </w:p>
        </w:tc>
        <w:tc>
          <w:tcPr>
            <w:tcW w:w="828" w:type="pct"/>
            <w:shd w:val="clear" w:color="auto" w:fill="FFFFFF" w:themeFill="background1"/>
          </w:tcPr>
          <w:p w14:paraId="3A196AFB" w14:textId="1EF46D48" w:rsidR="00904725" w:rsidRPr="0076654E" w:rsidRDefault="00DE4328" w:rsidP="00075BCA">
            <w:pPr>
              <w:pStyle w:val="Tabletext0"/>
              <w:jc w:val="left"/>
            </w:pPr>
            <w:r>
              <w:t>14</w:t>
            </w:r>
            <w:r w:rsidR="00D43E9C" w:rsidRPr="0076654E">
              <w:t xml:space="preserve"> cases</w:t>
            </w:r>
            <w:r w:rsidR="00E72FC1" w:rsidRPr="0076654E">
              <w:t xml:space="preserve"> (</w:t>
            </w:r>
            <w:r w:rsidR="00CD0FCD" w:rsidRPr="0076654E">
              <w:t>incidence 8.6)</w:t>
            </w:r>
          </w:p>
        </w:tc>
        <w:tc>
          <w:tcPr>
            <w:tcW w:w="828" w:type="pct"/>
            <w:shd w:val="clear" w:color="auto" w:fill="FFFFFF" w:themeFill="background1"/>
          </w:tcPr>
          <w:p w14:paraId="7C29F13A" w14:textId="6938FEB1" w:rsidR="00904725" w:rsidRPr="0076654E" w:rsidRDefault="00DE4328" w:rsidP="00075BCA">
            <w:pPr>
              <w:pStyle w:val="Tabletext0"/>
              <w:jc w:val="left"/>
            </w:pPr>
            <w:r>
              <w:t>55</w:t>
            </w:r>
            <w:r w:rsidR="00075BCA" w:rsidRPr="0076654E">
              <w:t xml:space="preserve"> cases</w:t>
            </w:r>
            <w:r w:rsidR="003F58C8" w:rsidRPr="0076654E">
              <w:t xml:space="preserve"> (incidence </w:t>
            </w:r>
            <w:r w:rsidR="00E72FC1" w:rsidRPr="0076654E">
              <w:t>34.2)</w:t>
            </w:r>
          </w:p>
        </w:tc>
      </w:tr>
      <w:tr w:rsidR="00DA4AC5" w14:paraId="458936D8" w14:textId="77777777" w:rsidTr="00DA4AC5">
        <w:tc>
          <w:tcPr>
            <w:tcW w:w="812" w:type="pct"/>
            <w:shd w:val="clear" w:color="auto" w:fill="auto"/>
          </w:tcPr>
          <w:p w14:paraId="40C23BF3" w14:textId="7DE6E5A1" w:rsidR="009436E6" w:rsidRDefault="009436E6" w:rsidP="009436E6">
            <w:pPr>
              <w:pStyle w:val="Tabletext0"/>
            </w:pPr>
            <w:r>
              <w:t>Sepsis</w:t>
            </w:r>
          </w:p>
        </w:tc>
        <w:tc>
          <w:tcPr>
            <w:tcW w:w="545" w:type="pct"/>
          </w:tcPr>
          <w:p w14:paraId="48D0C85D" w14:textId="033F02DD" w:rsidR="009436E6" w:rsidRDefault="009436E6" w:rsidP="009436E6">
            <w:pPr>
              <w:pStyle w:val="Tabletext0"/>
            </w:pPr>
            <w:r>
              <w:t>4.08%</w:t>
            </w:r>
          </w:p>
        </w:tc>
        <w:tc>
          <w:tcPr>
            <w:tcW w:w="604" w:type="pct"/>
            <w:shd w:val="clear" w:color="auto" w:fill="auto"/>
          </w:tcPr>
          <w:p w14:paraId="7682A374" w14:textId="1FF06F60" w:rsidR="009436E6" w:rsidRDefault="009436E6" w:rsidP="009436E6">
            <w:pPr>
              <w:pStyle w:val="Tabletext0"/>
            </w:pPr>
            <w:r>
              <w:t>31.48%</w:t>
            </w:r>
          </w:p>
        </w:tc>
        <w:tc>
          <w:tcPr>
            <w:tcW w:w="555" w:type="pct"/>
            <w:shd w:val="clear" w:color="auto" w:fill="auto"/>
          </w:tcPr>
          <w:p w14:paraId="0CC5929A" w14:textId="41B8218D" w:rsidR="009436E6" w:rsidRPr="00FC7A59" w:rsidRDefault="009436E6" w:rsidP="009436E6">
            <w:pPr>
              <w:pStyle w:val="Tabletext0"/>
            </w:pPr>
            <w:r>
              <w:t>27.40%</w:t>
            </w:r>
          </w:p>
        </w:tc>
        <w:tc>
          <w:tcPr>
            <w:tcW w:w="827" w:type="pct"/>
            <w:shd w:val="clear" w:color="auto" w:fill="auto"/>
          </w:tcPr>
          <w:p w14:paraId="1295E25C" w14:textId="7948C0BC" w:rsidR="009436E6" w:rsidRPr="005B61F8" w:rsidRDefault="00C07D75" w:rsidP="009436E6">
            <w:pPr>
              <w:pStyle w:val="Tabletext0"/>
            </w:pPr>
            <w:r>
              <w:t>0</w:t>
            </w:r>
          </w:p>
        </w:tc>
        <w:tc>
          <w:tcPr>
            <w:tcW w:w="828" w:type="pct"/>
            <w:shd w:val="clear" w:color="auto" w:fill="auto"/>
          </w:tcPr>
          <w:p w14:paraId="1B1990AE" w14:textId="41E105D6" w:rsidR="009436E6" w:rsidRPr="005B61F8" w:rsidRDefault="00C07D75" w:rsidP="009436E6">
            <w:pPr>
              <w:pStyle w:val="Tabletext0"/>
            </w:pPr>
            <w:r>
              <w:t>4</w:t>
            </w:r>
          </w:p>
        </w:tc>
        <w:tc>
          <w:tcPr>
            <w:tcW w:w="828" w:type="pct"/>
            <w:shd w:val="clear" w:color="auto" w:fill="auto"/>
          </w:tcPr>
          <w:p w14:paraId="3ED031F6" w14:textId="0863E033" w:rsidR="009436E6" w:rsidRPr="005B61F8" w:rsidRDefault="00C07D75" w:rsidP="009436E6">
            <w:pPr>
              <w:pStyle w:val="Tabletext0"/>
            </w:pPr>
            <w:r>
              <w:t>15</w:t>
            </w:r>
          </w:p>
        </w:tc>
      </w:tr>
      <w:tr w:rsidR="00DA4AC5" w14:paraId="472201DE" w14:textId="77777777" w:rsidTr="00DA4AC5">
        <w:tc>
          <w:tcPr>
            <w:tcW w:w="812" w:type="pct"/>
            <w:shd w:val="clear" w:color="auto" w:fill="auto"/>
          </w:tcPr>
          <w:p w14:paraId="1753A4B9" w14:textId="26BDC96C" w:rsidR="009436E6" w:rsidRDefault="009436E6" w:rsidP="009436E6">
            <w:pPr>
              <w:pStyle w:val="Tabletext0"/>
            </w:pPr>
            <w:r>
              <w:t>Cholecystectomy</w:t>
            </w:r>
          </w:p>
        </w:tc>
        <w:tc>
          <w:tcPr>
            <w:tcW w:w="545" w:type="pct"/>
          </w:tcPr>
          <w:p w14:paraId="7EE31C1A" w14:textId="56E9FABC" w:rsidR="009436E6" w:rsidRDefault="009436E6" w:rsidP="009436E6">
            <w:pPr>
              <w:pStyle w:val="Tabletext0"/>
            </w:pPr>
            <w:r>
              <w:t>8.00%</w:t>
            </w:r>
          </w:p>
        </w:tc>
        <w:tc>
          <w:tcPr>
            <w:tcW w:w="604" w:type="pct"/>
            <w:shd w:val="clear" w:color="auto" w:fill="auto"/>
          </w:tcPr>
          <w:p w14:paraId="69BA1BE9" w14:textId="65ED79C2" w:rsidR="009436E6" w:rsidRDefault="009436E6" w:rsidP="009436E6">
            <w:pPr>
              <w:pStyle w:val="Tabletext0"/>
            </w:pPr>
            <w:r>
              <w:t>24.56%</w:t>
            </w:r>
          </w:p>
        </w:tc>
        <w:tc>
          <w:tcPr>
            <w:tcW w:w="555" w:type="pct"/>
            <w:shd w:val="clear" w:color="auto" w:fill="auto"/>
          </w:tcPr>
          <w:p w14:paraId="23CDAD43" w14:textId="46A440AA" w:rsidR="009436E6" w:rsidRDefault="009436E6" w:rsidP="009436E6">
            <w:pPr>
              <w:pStyle w:val="Tabletext0"/>
            </w:pPr>
            <w:r>
              <w:t>16.56%</w:t>
            </w:r>
          </w:p>
        </w:tc>
        <w:tc>
          <w:tcPr>
            <w:tcW w:w="827" w:type="pct"/>
            <w:shd w:val="clear" w:color="auto" w:fill="auto"/>
          </w:tcPr>
          <w:p w14:paraId="247CA13C" w14:textId="2651A31C" w:rsidR="009436E6" w:rsidRDefault="009436E6" w:rsidP="009436E6">
            <w:pPr>
              <w:pStyle w:val="Tabletext0"/>
            </w:pPr>
            <w:r>
              <w:t>0</w:t>
            </w:r>
          </w:p>
        </w:tc>
        <w:tc>
          <w:tcPr>
            <w:tcW w:w="828" w:type="pct"/>
            <w:shd w:val="clear" w:color="auto" w:fill="auto"/>
          </w:tcPr>
          <w:p w14:paraId="5C422F9F" w14:textId="184DA34A" w:rsidR="009436E6" w:rsidRDefault="00C07D75" w:rsidP="009436E6">
            <w:pPr>
              <w:pStyle w:val="Tabletext0"/>
            </w:pPr>
            <w:r>
              <w:t>2</w:t>
            </w:r>
          </w:p>
        </w:tc>
        <w:tc>
          <w:tcPr>
            <w:tcW w:w="828" w:type="pct"/>
            <w:shd w:val="clear" w:color="auto" w:fill="auto"/>
          </w:tcPr>
          <w:p w14:paraId="7229C2C5" w14:textId="18A5DBD1" w:rsidR="009436E6" w:rsidRDefault="00D9514C" w:rsidP="009436E6">
            <w:pPr>
              <w:pStyle w:val="Tabletext0"/>
            </w:pPr>
            <w:r>
              <w:t>9</w:t>
            </w:r>
          </w:p>
        </w:tc>
      </w:tr>
      <w:tr w:rsidR="00790538" w14:paraId="53EB8DC2" w14:textId="77777777" w:rsidTr="00DA4AC5">
        <w:tc>
          <w:tcPr>
            <w:tcW w:w="812" w:type="pct"/>
            <w:shd w:val="clear" w:color="auto" w:fill="auto"/>
          </w:tcPr>
          <w:p w14:paraId="30A32640" w14:textId="5396AC0A" w:rsidR="00790538" w:rsidRDefault="00330104" w:rsidP="009436E6">
            <w:pPr>
              <w:pStyle w:val="Tabletext0"/>
            </w:pPr>
            <w:r>
              <w:t>Splenectomy</w:t>
            </w:r>
          </w:p>
        </w:tc>
        <w:tc>
          <w:tcPr>
            <w:tcW w:w="545" w:type="pct"/>
          </w:tcPr>
          <w:p w14:paraId="7DFF3DE3" w14:textId="08756801" w:rsidR="00790538" w:rsidRDefault="000F31BA" w:rsidP="009436E6">
            <w:pPr>
              <w:pStyle w:val="Tabletext0"/>
            </w:pPr>
            <w:r>
              <w:t>14.00%</w:t>
            </w:r>
          </w:p>
        </w:tc>
        <w:tc>
          <w:tcPr>
            <w:tcW w:w="604" w:type="pct"/>
            <w:shd w:val="clear" w:color="auto" w:fill="auto"/>
          </w:tcPr>
          <w:p w14:paraId="43F62919" w14:textId="7F6200FA" w:rsidR="00790538" w:rsidRDefault="00295839" w:rsidP="009436E6">
            <w:pPr>
              <w:pStyle w:val="Tabletext0"/>
            </w:pPr>
            <w:r>
              <w:t>26.32%</w:t>
            </w:r>
          </w:p>
        </w:tc>
        <w:tc>
          <w:tcPr>
            <w:tcW w:w="555" w:type="pct"/>
            <w:shd w:val="clear" w:color="auto" w:fill="auto"/>
          </w:tcPr>
          <w:p w14:paraId="559372D5" w14:textId="0C026D81" w:rsidR="00790538" w:rsidRDefault="00305151" w:rsidP="009436E6">
            <w:pPr>
              <w:pStyle w:val="Tabletext0"/>
            </w:pPr>
            <w:r>
              <w:t>12.32%</w:t>
            </w:r>
          </w:p>
        </w:tc>
        <w:tc>
          <w:tcPr>
            <w:tcW w:w="827" w:type="pct"/>
            <w:shd w:val="clear" w:color="auto" w:fill="auto"/>
          </w:tcPr>
          <w:p w14:paraId="14A92B8D" w14:textId="542F92BA" w:rsidR="00790538" w:rsidRDefault="00305151" w:rsidP="009436E6">
            <w:pPr>
              <w:pStyle w:val="Tabletext0"/>
            </w:pPr>
            <w:r>
              <w:t>0</w:t>
            </w:r>
          </w:p>
        </w:tc>
        <w:tc>
          <w:tcPr>
            <w:tcW w:w="828" w:type="pct"/>
            <w:shd w:val="clear" w:color="auto" w:fill="auto"/>
          </w:tcPr>
          <w:p w14:paraId="38F86F5A" w14:textId="6B4227D2" w:rsidR="00790538" w:rsidRDefault="00257EC4" w:rsidP="009436E6">
            <w:pPr>
              <w:pStyle w:val="Tabletext0"/>
            </w:pPr>
            <w:r>
              <w:t>2</w:t>
            </w:r>
          </w:p>
        </w:tc>
        <w:tc>
          <w:tcPr>
            <w:tcW w:w="828" w:type="pct"/>
            <w:shd w:val="clear" w:color="auto" w:fill="auto"/>
          </w:tcPr>
          <w:p w14:paraId="2DD4B334" w14:textId="63FE9CBF" w:rsidR="00790538" w:rsidRDefault="00257EC4" w:rsidP="009436E6">
            <w:pPr>
              <w:pStyle w:val="Tabletext0"/>
            </w:pPr>
            <w:r>
              <w:t>7</w:t>
            </w:r>
          </w:p>
        </w:tc>
      </w:tr>
      <w:tr w:rsidR="00DA4AC5" w14:paraId="2A5E6DD1" w14:textId="77777777" w:rsidTr="00DA4AC5">
        <w:tc>
          <w:tcPr>
            <w:tcW w:w="812" w:type="pct"/>
            <w:shd w:val="clear" w:color="auto" w:fill="auto"/>
          </w:tcPr>
          <w:p w14:paraId="387E43C6" w14:textId="6D3EBA4C" w:rsidR="009436E6" w:rsidRDefault="00CD0FCD" w:rsidP="000F7857">
            <w:pPr>
              <w:pStyle w:val="Tabletext0"/>
              <w:jc w:val="left"/>
            </w:pPr>
            <w:r>
              <w:t>VOC</w:t>
            </w:r>
            <w:r w:rsidR="00381CEF">
              <w:t xml:space="preserve"> </w:t>
            </w:r>
            <w:r w:rsidR="000F7857">
              <w:t>per</w:t>
            </w:r>
            <w:r w:rsidR="00381CEF">
              <w:t xml:space="preserve"> 12 months</w:t>
            </w:r>
          </w:p>
        </w:tc>
        <w:tc>
          <w:tcPr>
            <w:tcW w:w="545" w:type="pct"/>
          </w:tcPr>
          <w:p w14:paraId="5EFADFD7" w14:textId="44DC7B3C" w:rsidR="009436E6" w:rsidRDefault="00381CEF" w:rsidP="009436E6">
            <w:pPr>
              <w:pStyle w:val="Tabletext0"/>
            </w:pPr>
            <w:r>
              <w:t>78.4%</w:t>
            </w:r>
          </w:p>
        </w:tc>
        <w:tc>
          <w:tcPr>
            <w:tcW w:w="604" w:type="pct"/>
            <w:shd w:val="clear" w:color="auto" w:fill="auto"/>
          </w:tcPr>
          <w:p w14:paraId="596A1DEF" w14:textId="06F40BAF" w:rsidR="009436E6" w:rsidRDefault="00381CEF" w:rsidP="009436E6">
            <w:pPr>
              <w:pStyle w:val="Tabletext0"/>
            </w:pPr>
            <w:r>
              <w:t>86</w:t>
            </w:r>
            <w:r w:rsidR="00EC036C">
              <w:t>.0</w:t>
            </w:r>
            <w:r>
              <w:t>%</w:t>
            </w:r>
          </w:p>
        </w:tc>
        <w:tc>
          <w:tcPr>
            <w:tcW w:w="555" w:type="pct"/>
            <w:shd w:val="clear" w:color="auto" w:fill="auto"/>
          </w:tcPr>
          <w:p w14:paraId="570B4A11" w14:textId="6CD489A3" w:rsidR="009436E6" w:rsidRDefault="006B6D40" w:rsidP="009436E6">
            <w:pPr>
              <w:pStyle w:val="Tabletext0"/>
            </w:pPr>
            <w:r>
              <w:t>7.6%</w:t>
            </w:r>
          </w:p>
        </w:tc>
        <w:tc>
          <w:tcPr>
            <w:tcW w:w="827" w:type="pct"/>
            <w:shd w:val="clear" w:color="auto" w:fill="auto"/>
          </w:tcPr>
          <w:p w14:paraId="67254BC2" w14:textId="30B12229" w:rsidR="009436E6" w:rsidRDefault="006B6D40" w:rsidP="009436E6">
            <w:pPr>
              <w:pStyle w:val="Tabletext0"/>
            </w:pPr>
            <w:r>
              <w:t>0</w:t>
            </w:r>
          </w:p>
        </w:tc>
        <w:tc>
          <w:tcPr>
            <w:tcW w:w="828" w:type="pct"/>
            <w:shd w:val="clear" w:color="auto" w:fill="auto"/>
          </w:tcPr>
          <w:p w14:paraId="1CD84CA9" w14:textId="749EA384" w:rsidR="009436E6" w:rsidRDefault="006C62B8" w:rsidP="009436E6">
            <w:pPr>
              <w:pStyle w:val="Tabletext0"/>
            </w:pPr>
            <w:r>
              <w:t>1</w:t>
            </w:r>
          </w:p>
        </w:tc>
        <w:tc>
          <w:tcPr>
            <w:tcW w:w="828" w:type="pct"/>
            <w:shd w:val="clear" w:color="auto" w:fill="auto"/>
          </w:tcPr>
          <w:p w14:paraId="3101BA8D" w14:textId="561C3F39" w:rsidR="009436E6" w:rsidRDefault="006C62B8" w:rsidP="009436E6">
            <w:pPr>
              <w:pStyle w:val="Tabletext0"/>
            </w:pPr>
            <w:r>
              <w:t>4</w:t>
            </w:r>
          </w:p>
        </w:tc>
      </w:tr>
      <w:tr w:rsidR="00DA4AC5" w14:paraId="3D3853AD" w14:textId="77777777" w:rsidTr="00DA4AC5">
        <w:tc>
          <w:tcPr>
            <w:tcW w:w="812" w:type="pct"/>
            <w:shd w:val="clear" w:color="auto" w:fill="auto"/>
          </w:tcPr>
          <w:p w14:paraId="36D1FAF5" w14:textId="449EADB8" w:rsidR="0058769A" w:rsidRDefault="003A503C" w:rsidP="000F7857">
            <w:pPr>
              <w:pStyle w:val="Tabletext0"/>
              <w:jc w:val="left"/>
            </w:pPr>
            <w:r>
              <w:t xml:space="preserve">SCD-related </w:t>
            </w:r>
            <w:r w:rsidR="001F5AA0">
              <w:t xml:space="preserve">ED presentations </w:t>
            </w:r>
            <w:r w:rsidR="000F7857">
              <w:t xml:space="preserve">per </w:t>
            </w:r>
            <w:r w:rsidR="001F5AA0">
              <w:t>12 months</w:t>
            </w:r>
          </w:p>
        </w:tc>
        <w:tc>
          <w:tcPr>
            <w:tcW w:w="545" w:type="pct"/>
          </w:tcPr>
          <w:p w14:paraId="30954D91" w14:textId="26BFE923" w:rsidR="0058769A" w:rsidRDefault="005A15FE" w:rsidP="009436E6">
            <w:pPr>
              <w:pStyle w:val="Tabletext0"/>
            </w:pPr>
            <w:r>
              <w:t>Mean 0.41</w:t>
            </w:r>
          </w:p>
        </w:tc>
        <w:tc>
          <w:tcPr>
            <w:tcW w:w="604" w:type="pct"/>
            <w:shd w:val="clear" w:color="auto" w:fill="auto"/>
          </w:tcPr>
          <w:p w14:paraId="6ACD6EDE" w14:textId="0BF16105" w:rsidR="0058769A" w:rsidRDefault="005A15FE" w:rsidP="009436E6">
            <w:pPr>
              <w:pStyle w:val="Tabletext0"/>
            </w:pPr>
            <w:r>
              <w:t>Mean 1.18</w:t>
            </w:r>
          </w:p>
        </w:tc>
        <w:tc>
          <w:tcPr>
            <w:tcW w:w="555" w:type="pct"/>
            <w:shd w:val="clear" w:color="auto" w:fill="auto"/>
          </w:tcPr>
          <w:p w14:paraId="66232784" w14:textId="63EA8F45" w:rsidR="0058769A" w:rsidRDefault="00F71353" w:rsidP="009436E6">
            <w:pPr>
              <w:pStyle w:val="Tabletext0"/>
            </w:pPr>
            <w:r>
              <w:t>0.76</w:t>
            </w:r>
          </w:p>
        </w:tc>
        <w:tc>
          <w:tcPr>
            <w:tcW w:w="827" w:type="pct"/>
            <w:shd w:val="clear" w:color="auto" w:fill="auto"/>
          </w:tcPr>
          <w:p w14:paraId="6DAFF04E" w14:textId="036E2677" w:rsidR="0058769A" w:rsidRDefault="004E33DB" w:rsidP="009436E6">
            <w:pPr>
              <w:pStyle w:val="Tabletext0"/>
            </w:pPr>
            <w:r>
              <w:t>1</w:t>
            </w:r>
          </w:p>
        </w:tc>
        <w:tc>
          <w:tcPr>
            <w:tcW w:w="828" w:type="pct"/>
            <w:shd w:val="clear" w:color="auto" w:fill="auto"/>
          </w:tcPr>
          <w:p w14:paraId="11A2DC1F" w14:textId="49B7A696" w:rsidR="0058769A" w:rsidRDefault="004E33DB" w:rsidP="009436E6">
            <w:pPr>
              <w:pStyle w:val="Tabletext0"/>
            </w:pPr>
            <w:r>
              <w:t>11</w:t>
            </w:r>
          </w:p>
        </w:tc>
        <w:tc>
          <w:tcPr>
            <w:tcW w:w="828" w:type="pct"/>
            <w:shd w:val="clear" w:color="auto" w:fill="auto"/>
          </w:tcPr>
          <w:p w14:paraId="2FE34770" w14:textId="0A9419FD" w:rsidR="0058769A" w:rsidRDefault="004E33DB" w:rsidP="009436E6">
            <w:pPr>
              <w:pStyle w:val="Tabletext0"/>
            </w:pPr>
            <w:r>
              <w:t>42</w:t>
            </w:r>
          </w:p>
        </w:tc>
      </w:tr>
    </w:tbl>
    <w:p w14:paraId="3C09DEB3" w14:textId="25E2AA43" w:rsidR="009833DA" w:rsidRDefault="005B1FC6" w:rsidP="009833DA">
      <w:pPr>
        <w:pStyle w:val="Tablenotes0"/>
      </w:pPr>
      <w:r>
        <w:t xml:space="preserve">ED = emergency department; </w:t>
      </w:r>
      <w:r w:rsidR="009833DA">
        <w:t>NBS = newborn bloodspot screening</w:t>
      </w:r>
      <w:r>
        <w:t xml:space="preserve">; SCD = sickle cell disease; VOC = </w:t>
      </w:r>
      <w:proofErr w:type="spellStart"/>
      <w:r>
        <w:t>vaso</w:t>
      </w:r>
      <w:proofErr w:type="spellEnd"/>
      <w:r>
        <w:t>-occlusive crisis</w:t>
      </w:r>
    </w:p>
    <w:p w14:paraId="61B157E3" w14:textId="77777777" w:rsidR="009833DA" w:rsidRPr="00356808" w:rsidRDefault="009833DA" w:rsidP="009833DA">
      <w:pPr>
        <w:pStyle w:val="Tablenotes0"/>
        <w:rPr>
          <w:bCs/>
        </w:rPr>
      </w:pPr>
      <w:r w:rsidRPr="00356808">
        <w:rPr>
          <w:bCs/>
        </w:rPr>
        <w:t>Notes: a. figures are rounded to whole numbers</w:t>
      </w:r>
    </w:p>
    <w:p w14:paraId="6B8577A7" w14:textId="0B4789DE" w:rsidR="009833DA" w:rsidRPr="00356808" w:rsidRDefault="009833DA" w:rsidP="009833DA">
      <w:pPr>
        <w:pStyle w:val="Tablenotes0"/>
        <w:rPr>
          <w:bCs/>
        </w:rPr>
      </w:pPr>
      <w:r w:rsidRPr="00356808">
        <w:rPr>
          <w:bCs/>
        </w:rPr>
        <w:t xml:space="preserve">b. Source: </w:t>
      </w:r>
      <w:proofErr w:type="spellStart"/>
      <w:r w:rsidR="008D7CDF" w:rsidRPr="00356808">
        <w:rPr>
          <w:bCs/>
        </w:rPr>
        <w:t>HbR</w:t>
      </w:r>
      <w:proofErr w:type="spellEnd"/>
      <w:r w:rsidR="008D7CDF" w:rsidRPr="00356808">
        <w:rPr>
          <w:bCs/>
        </w:rPr>
        <w:t xml:space="preserve"> </w:t>
      </w:r>
      <w:r w:rsidR="00ED70D2" w:rsidRPr="00356808">
        <w:rPr>
          <w:bCs/>
        </w:rPr>
        <w:t>Brief report for MSAC (2023)</w:t>
      </w:r>
    </w:p>
    <w:p w14:paraId="7A4C39DA" w14:textId="0E3AAEBF" w:rsidR="009833DA" w:rsidRDefault="009833DA" w:rsidP="009833DA">
      <w:pPr>
        <w:pStyle w:val="Tablenotes0"/>
      </w:pPr>
      <w:r w:rsidRPr="00356808">
        <w:rPr>
          <w:bCs/>
        </w:rPr>
        <w:t>c.</w:t>
      </w:r>
      <w:r>
        <w:t xml:space="preserve"> </w:t>
      </w:r>
      <w:r w:rsidRPr="004B6622">
        <w:t>Source:</w:t>
      </w:r>
      <w:r>
        <w:t xml:space="preserve"> </w:t>
      </w:r>
      <w:r w:rsidR="00ED70D2">
        <w:fldChar w:fldCharType="begin"/>
      </w:r>
      <w:r w:rsidR="00ED70D2">
        <w:instrText xml:space="preserve"> ADDIN EN.CITE &lt;EndNote&gt;&lt;Cite&gt;&lt;Author&gt;Argent&lt;/Author&gt;&lt;Year&gt;2012&lt;/Year&gt;&lt;RecNum&gt;5&lt;/RecNum&gt;&lt;IDText&gt;356-60&lt;/IDText&gt;&lt;DisplayText&gt;(Argent et al. 2012)&lt;/DisplayText&gt;&lt;record&gt;&lt;rec-number&gt;5&lt;/rec-number&gt;&lt;foreign-keys&gt;&lt;key app="EN" db-id="p2fpwezd8trtaled22npdf09fsdtp5f5w5ar" timestamp="1663554348"&gt;5&lt;/key&gt;&lt;/foreign-keys&gt;&lt;ref-type name="Journal Article"&gt;17&lt;/ref-type&gt;&lt;contributors&gt;&lt;authors&gt;&lt;author&gt;Argent, E.&lt;/author&gt;&lt;author&gt;Emder, P.&lt;/author&gt;&lt;author&gt;Monagle, P.&lt;/author&gt;&lt;author&gt;Mowat, D.&lt;/author&gt;&lt;author&gt;Petterson, T.&lt;/author&gt;&lt;author&gt;Russell, S.&lt;/author&gt;&lt;author&gt;Sachdev, R.&lt;/author&gt;&lt;author&gt;Stone, C.&lt;/author&gt;&lt;author&gt;Ziegler, D. S.&lt;/author&gt;&lt;/authors&gt;&lt;/contributors&gt;&lt;auth-address&gt;Sydney Children&amp;apos;s Hospital, Randwick, Australia. elizabeth.argent@sesiahs.health.nsw.gov.au&lt;/auth-address&gt;&lt;titles&gt;&lt;title&gt;Australian Paediatric Surveillance Unit study of haemoglobinopathies in Australian children&lt;/title&gt;&lt;secondary-title&gt;J Paediatr Child Health&lt;/secondary-title&gt;&lt;/titles&gt;&lt;periodical&gt;&lt;full-title&gt;J Paediatr Child Health&lt;/full-title&gt;&lt;/periodical&gt;&lt;pages&gt;356-60&lt;/pages&gt;&lt;volume&gt;48&lt;/volume&gt;&lt;number&gt;4&lt;/number&gt;&lt;edition&gt;2011/12/14&lt;/edition&gt;&lt;keywords&gt;&lt;keyword&gt;Adolescent&lt;/keyword&gt;&lt;keyword&gt;Asia, Southeastern/ethnology&lt;/keyword&gt;&lt;keyword&gt;Australia/epidemiology&lt;/keyword&gt;&lt;keyword&gt;Child&lt;/keyword&gt;&lt;keyword&gt;Child, Preschool&lt;/keyword&gt;&lt;keyword&gt;Hemoglobinopathies/diagnosis/*epidemiology/ethnology&lt;/keyword&gt;&lt;keyword&gt;Humans&lt;/keyword&gt;&lt;keyword&gt;Incidence&lt;/keyword&gt;&lt;keyword&gt;Infant&lt;/keyword&gt;&lt;keyword&gt;Mass Screening&lt;/keyword&gt;&lt;keyword&gt;Middle East/ethnology&lt;/keyword&gt;&lt;keyword&gt;*Population Surveillance&lt;/keyword&gt;&lt;keyword&gt;Surveys and Questionnaires&lt;/keyword&gt;&lt;/keywords&gt;&lt;dates&gt;&lt;year&gt;2012&lt;/year&gt;&lt;pub-dates&gt;&lt;date&gt;Apr&lt;/date&gt;&lt;/pub-dates&gt;&lt;/dates&gt;&lt;isbn&gt;1440-1754 (Electronic)&amp;#xD;1034-4810 (Linking)&lt;/isbn&gt;&lt;accession-num&gt;22151185&lt;/accession-num&gt;&lt;urls&gt;&lt;related-urls&gt;&lt;url&gt;https://www.ncbi.nlm.nih.gov/pubmed/22151185&lt;/url&gt;&lt;/related-urls&gt;&lt;/urls&gt;&lt;electronic-resource-num&gt;10.1111/j.1440-1754.2011.02236.x&lt;/electronic-resource-num&gt;&lt;/record&gt;&lt;/Cite&gt;&lt;/EndNote&gt;</w:instrText>
      </w:r>
      <w:r w:rsidR="00ED70D2">
        <w:fldChar w:fldCharType="separate"/>
      </w:r>
      <w:r w:rsidR="00ED70D2">
        <w:rPr>
          <w:noProof/>
        </w:rPr>
        <w:t>(Argent et al. 2012)</w:t>
      </w:r>
      <w:r w:rsidR="00ED70D2">
        <w:fldChar w:fldCharType="end"/>
      </w:r>
    </w:p>
    <w:p w14:paraId="59544785" w14:textId="77777777" w:rsidR="009833DA" w:rsidRDefault="009833DA" w:rsidP="009833DA">
      <w:pPr>
        <w:pStyle w:val="Tablenotes0"/>
      </w:pPr>
      <w:r>
        <w:t xml:space="preserve">d. Source: Based on data from </w:t>
      </w:r>
      <w:proofErr w:type="spellStart"/>
      <w:proofErr w:type="gramStart"/>
      <w:r>
        <w:t>PathWest</w:t>
      </w:r>
      <w:proofErr w:type="spellEnd"/>
      <w:proofErr w:type="gramEnd"/>
    </w:p>
    <w:p w14:paraId="18A292D8" w14:textId="738D6EB8" w:rsidR="00FA5D3B" w:rsidRDefault="009833DA" w:rsidP="0062672A">
      <w:pPr>
        <w:pStyle w:val="Tablenotes0"/>
      </w:pPr>
      <w:r>
        <w:t xml:space="preserve">e. Source: </w:t>
      </w:r>
      <w:r>
        <w:fldChar w:fldCharType="begin"/>
      </w:r>
      <w:r>
        <w:instrText xml:space="preserve"> ADDIN EN.CITE &lt;EndNote&gt;&lt;Cite&gt;&lt;Author&gt;DHS&lt;/Author&gt;&lt;Year&gt;2002&lt;/Year&gt;&lt;RecNum&gt;162&lt;/RecNum&gt;&lt;DisplayText&gt;(DHS 2002)&lt;/DisplayText&gt;&lt;record&gt;&lt;rec-number&gt;162&lt;/rec-number&gt;&lt;foreign-keys&gt;&lt;key app="EN" db-id="p2fpwezd8trtaled22npdf09fsdtp5f5w5ar" timestamp="1681284646"&gt;162&lt;/key&gt;&lt;/foreign-keys&gt;&lt;ref-type name="Government Document"&gt;46&lt;/ref-type&gt;&lt;contributors&gt;&lt;authors&gt;&lt;author&gt;DHS, VIC&lt;/author&gt;&lt;/authors&gt;&lt;secondary-authors&gt;&lt;author&gt;Victoria, Public Health Group&lt;/author&gt;&lt;/secondary-authors&gt;&lt;/contributors&gt;&lt;titles&gt;&lt;title&gt;Beyond the Crystal Ball - The Epidemiology of Some Genetic Conditions in Victoria 2002&lt;/title&gt;&lt;/titles&gt;&lt;dates&gt;&lt;year&gt;2002&lt;/year&gt;&lt;/dates&gt;&lt;pub-location&gt;Victoria&lt;/pub-location&gt;&lt;publisher&gt;Rural and Regional Health and Aged Care Services Division&lt;/publisher&gt;&lt;urls&gt;&lt;related-urls&gt;&lt;url&gt;https://www.vgls.vic.gov.au/client/en_AU/vgls/search/detailnonmodal/ent:$002f$002fSD_ASSET$002f0$002fSD_ASSET:1160452/ada?qu=Human+genetics.&amp;amp;d=ent%3A%2F%2FSD_ASSET%2F0%2FSD_ASSET%3A1160452%7EASSET%7E131&amp;amp;ic=true&amp;amp;ps=300&amp;amp;h=8&lt;/url&gt;&lt;/related-urls&gt;&lt;/urls&gt;&lt;access-date&gt;12 April 2023&lt;/access-date&gt;&lt;/record&gt;&lt;/Cite&gt;&lt;/EndNote&gt;</w:instrText>
      </w:r>
      <w:r>
        <w:fldChar w:fldCharType="separate"/>
      </w:r>
      <w:r>
        <w:rPr>
          <w:noProof/>
        </w:rPr>
        <w:t>(DHS 2002)</w:t>
      </w:r>
      <w:r>
        <w:fldChar w:fldCharType="end"/>
      </w:r>
      <w:r>
        <w:t xml:space="preserve"> (64% of cases identified as at pregnanc</w:t>
      </w:r>
      <w:r w:rsidR="00F67BAA">
        <w:t>y)</w:t>
      </w:r>
    </w:p>
    <w:p w14:paraId="213924C6" w14:textId="11D5654C" w:rsidR="00772829" w:rsidRPr="000268E5" w:rsidRDefault="00772829" w:rsidP="000268E5">
      <w:pPr>
        <w:pStyle w:val="Heading3"/>
      </w:pPr>
      <w:bookmarkStart w:id="40" w:name="_Toc149736396"/>
      <w:r w:rsidRPr="000268E5">
        <w:t>Clinical claim</w:t>
      </w:r>
      <w:bookmarkEnd w:id="40"/>
    </w:p>
    <w:p w14:paraId="15019D56" w14:textId="3875CCD6" w:rsidR="00604DB0" w:rsidRDefault="00604DB0" w:rsidP="007475FE">
      <w:r>
        <w:t xml:space="preserve">The clinical claim is that early diagnosis (due to </w:t>
      </w:r>
      <w:r w:rsidR="0095711E">
        <w:t xml:space="preserve">universal </w:t>
      </w:r>
      <w:r>
        <w:t xml:space="preserve">NBS) and early intervention, education and genetic counselling are superior to </w:t>
      </w:r>
      <w:r w:rsidR="0095711E">
        <w:t>late diagnosis (without universal NBS). There was no explicit claim regarding the comparative safety of adding SCD to the NBS programs.</w:t>
      </w:r>
    </w:p>
    <w:p w14:paraId="3E9EFC4F" w14:textId="4F2E6B8E" w:rsidR="007E6ABC" w:rsidRDefault="007E6ABC" w:rsidP="007475FE">
      <w:r>
        <w:t>The evidence support</w:t>
      </w:r>
      <w:r w:rsidR="00AB24FA">
        <w:t>ed</w:t>
      </w:r>
      <w:r>
        <w:t xml:space="preserve"> the clinical claim that </w:t>
      </w:r>
      <w:r w:rsidR="00AB24FA">
        <w:t xml:space="preserve">universal </w:t>
      </w:r>
      <w:r>
        <w:t xml:space="preserve">NBS for SCD has superior effectiveness </w:t>
      </w:r>
      <w:r w:rsidR="00770710">
        <w:t xml:space="preserve">compared </w:t>
      </w:r>
      <w:r>
        <w:t xml:space="preserve">to no </w:t>
      </w:r>
      <w:r w:rsidR="00AB24FA">
        <w:t xml:space="preserve">universal </w:t>
      </w:r>
      <w:r>
        <w:t>NBS for SCD</w:t>
      </w:r>
      <w:r w:rsidR="00770710">
        <w:t xml:space="preserve"> (targeted testing </w:t>
      </w:r>
      <w:r w:rsidR="00E4312B">
        <w:t>for those at high risk, and diagnosis upon symptom onset for those at general risk or those at high risk missed by targeted testing)</w:t>
      </w:r>
      <w:r w:rsidR="00DF5484">
        <w:t xml:space="preserve">. </w:t>
      </w:r>
    </w:p>
    <w:p w14:paraId="1BFBF007" w14:textId="3C373DD0" w:rsidR="007475FE" w:rsidRPr="00B237B8" w:rsidRDefault="007475FE" w:rsidP="007475FE">
      <w:r w:rsidRPr="00B237B8">
        <w:t>The use of NBS for SCD (early diagnosis) results in noninferior safety compared with no NBS (late diagnosis).</w:t>
      </w:r>
    </w:p>
    <w:p w14:paraId="0D09C9E4" w14:textId="0E0C199C" w:rsidR="00772829" w:rsidRPr="00CE28E3" w:rsidRDefault="00C36633" w:rsidP="002A18BE">
      <w:pPr>
        <w:pStyle w:val="Heading2"/>
        <w:numPr>
          <w:ilvl w:val="0"/>
          <w:numId w:val="0"/>
        </w:numPr>
      </w:pPr>
      <w:bookmarkStart w:id="41" w:name="_Ref149558184"/>
      <w:bookmarkStart w:id="42" w:name="_Toc149736397"/>
      <w:r>
        <w:t>1</w:t>
      </w:r>
      <w:r w:rsidR="00521918">
        <w:t>3</w:t>
      </w:r>
      <w:r>
        <w:t>.</w:t>
      </w:r>
      <w:r>
        <w:tab/>
      </w:r>
      <w:r w:rsidR="00772829" w:rsidRPr="00CE28E3">
        <w:t>Economic evaluation</w:t>
      </w:r>
      <w:bookmarkEnd w:id="41"/>
      <w:bookmarkEnd w:id="42"/>
    </w:p>
    <w:p w14:paraId="18005B10" w14:textId="768E3F91" w:rsidR="004A386A" w:rsidRDefault="0089715F" w:rsidP="00AC3CA4">
      <w:r>
        <w:t xml:space="preserve">The economic analysis presented in the 1737 DCAR was a </w:t>
      </w:r>
      <w:r w:rsidR="003030FF">
        <w:t>cost-effectiveness analysis</w:t>
      </w:r>
      <w:r w:rsidR="004A386A">
        <w:t xml:space="preserve"> (CEA)</w:t>
      </w:r>
      <w:r w:rsidR="003030FF">
        <w:t xml:space="preserve"> that</w:t>
      </w:r>
      <w:r>
        <w:t xml:space="preserve"> reported the incremental cost for an </w:t>
      </w:r>
      <w:r w:rsidR="003030FF">
        <w:t>additional</w:t>
      </w:r>
      <w:r>
        <w:t xml:space="preserve"> </w:t>
      </w:r>
      <w:r w:rsidR="00BD747C" w:rsidRPr="00BD747C">
        <w:t xml:space="preserve">early diagnosis of </w:t>
      </w:r>
      <w:r w:rsidR="00BD747C">
        <w:t xml:space="preserve">a </w:t>
      </w:r>
      <w:r w:rsidR="00BD747C" w:rsidRPr="00BD747C">
        <w:t>clinically significant case</w:t>
      </w:r>
      <w:r w:rsidR="00BD747C">
        <w:t xml:space="preserve">. </w:t>
      </w:r>
      <w:r w:rsidR="00CE6982">
        <w:t xml:space="preserve">A cost-utility analysis </w:t>
      </w:r>
      <w:r w:rsidR="004A386A">
        <w:t xml:space="preserve">(CUA) </w:t>
      </w:r>
      <w:r w:rsidR="00CE6982">
        <w:t xml:space="preserve">was unable to be presented due to </w:t>
      </w:r>
      <w:r w:rsidR="00940327" w:rsidRPr="00940327">
        <w:t>insufficient evidence available to translate the incremental benefit of these changes into patient-relevant outcomes</w:t>
      </w:r>
      <w:r w:rsidR="006A2344">
        <w:t xml:space="preserve"> and quality-adjusted life years gained</w:t>
      </w:r>
      <w:r w:rsidR="00940327" w:rsidRPr="00940327">
        <w:t>.</w:t>
      </w:r>
      <w:r w:rsidR="006A2344">
        <w:t xml:space="preserve"> </w:t>
      </w:r>
    </w:p>
    <w:p w14:paraId="520A8F2A" w14:textId="6FB9CB49" w:rsidR="0089715F" w:rsidRDefault="008F35A0" w:rsidP="00AC3CA4">
      <w:r>
        <w:t>T</w:t>
      </w:r>
      <w:r w:rsidR="00750239">
        <w:t xml:space="preserve">he additional data </w:t>
      </w:r>
      <w:r w:rsidR="00FC62EE">
        <w:t xml:space="preserve">from the </w:t>
      </w:r>
      <w:proofErr w:type="spellStart"/>
      <w:r w:rsidR="00FC62EE">
        <w:t>HbR</w:t>
      </w:r>
      <w:proofErr w:type="spellEnd"/>
      <w:r w:rsidR="00FC62EE">
        <w:t xml:space="preserve"> </w:t>
      </w:r>
      <w:r w:rsidR="00750239">
        <w:t xml:space="preserve">may provide evidence </w:t>
      </w:r>
      <w:r w:rsidR="00750239" w:rsidRPr="00750239">
        <w:t>of a change in management and improved health outcomes</w:t>
      </w:r>
      <w:r w:rsidR="006C30F1">
        <w:t xml:space="preserve"> in an Australian dataset</w:t>
      </w:r>
      <w:r w:rsidR="00FE38E0">
        <w:t xml:space="preserve">, noting the limitations </w:t>
      </w:r>
      <w:r w:rsidR="001152E0">
        <w:t xml:space="preserve">of these data described </w:t>
      </w:r>
      <w:r w:rsidR="00DE1B3C">
        <w:t>in ‘</w:t>
      </w:r>
      <w:r w:rsidR="00FB0A37">
        <w:fldChar w:fldCharType="begin"/>
      </w:r>
      <w:r w:rsidR="00FB0A37">
        <w:instrText xml:space="preserve"> REF _Ref149728312 \h </w:instrText>
      </w:r>
      <w:r w:rsidR="00FB0A37">
        <w:fldChar w:fldCharType="separate"/>
      </w:r>
      <w:r w:rsidR="007D770C">
        <w:t>10.</w:t>
      </w:r>
      <w:r w:rsidR="007D770C">
        <w:tab/>
      </w:r>
      <w:r w:rsidR="007D770C" w:rsidRPr="00CE28E3">
        <w:t>Characteristics of the evidence base</w:t>
      </w:r>
      <w:r w:rsidR="00FB0A37">
        <w:fldChar w:fldCharType="end"/>
      </w:r>
      <w:r w:rsidR="00DE1B3C">
        <w:t>’</w:t>
      </w:r>
      <w:r w:rsidR="00D50282">
        <w:t xml:space="preserve">. </w:t>
      </w:r>
      <w:r w:rsidR="00725DCE">
        <w:t xml:space="preserve">Given that </w:t>
      </w:r>
      <w:r w:rsidR="005222B1">
        <w:t>t</w:t>
      </w:r>
      <w:r w:rsidR="00CE6982" w:rsidRPr="00CE6982">
        <w:t xml:space="preserve">he CEA </w:t>
      </w:r>
      <w:r w:rsidR="00D50282">
        <w:t xml:space="preserve">presented in the 1737 DCAR </w:t>
      </w:r>
      <w:r w:rsidR="00D80085">
        <w:t>can</w:t>
      </w:r>
      <w:r w:rsidR="00CE6982" w:rsidRPr="00CE6982">
        <w:t>not easily be extended to a CUA</w:t>
      </w:r>
      <w:r w:rsidR="006A2344">
        <w:t xml:space="preserve">, </w:t>
      </w:r>
      <w:r w:rsidR="00725DCE">
        <w:t>the MSAC Executive considered that</w:t>
      </w:r>
      <w:r w:rsidR="008E67DB">
        <w:t xml:space="preserve">, under revised assumptions regarding the test cost, </w:t>
      </w:r>
      <w:r w:rsidR="00DB4B16" w:rsidRPr="00DB4B16">
        <w:t xml:space="preserve">if the costing were sufficiently low then the financial cost of screening may </w:t>
      </w:r>
      <w:r w:rsidR="00A04A30">
        <w:t xml:space="preserve">not justify </w:t>
      </w:r>
      <w:r w:rsidR="00DB4B16" w:rsidRPr="00DB4B16">
        <w:t xml:space="preserve">the cost of a second DCAR </w:t>
      </w:r>
      <w:r w:rsidR="00182928">
        <w:t xml:space="preserve">to conduct a CUA </w:t>
      </w:r>
      <w:r w:rsidR="003121DA">
        <w:t>(</w:t>
      </w:r>
      <w:r w:rsidR="009A3821">
        <w:t>MSAC Executive</w:t>
      </w:r>
      <w:r w:rsidR="00AE5A9D">
        <w:t>,</w:t>
      </w:r>
      <w:r w:rsidR="0080410F">
        <w:t xml:space="preserve"> </w:t>
      </w:r>
      <w:r w:rsidR="00AE5A9D">
        <w:t xml:space="preserve">22 </w:t>
      </w:r>
      <w:r w:rsidR="0080410F">
        <w:t xml:space="preserve">September </w:t>
      </w:r>
      <w:r w:rsidR="00AE5A9D">
        <w:t>2023</w:t>
      </w:r>
      <w:r w:rsidR="003121DA">
        <w:t>)</w:t>
      </w:r>
      <w:r w:rsidR="00DB4B16" w:rsidRPr="00DB4B16">
        <w:t>.</w:t>
      </w:r>
    </w:p>
    <w:p w14:paraId="5E76C0A5" w14:textId="35BDEFA7" w:rsidR="00984E73" w:rsidRDefault="00A47274" w:rsidP="00AC3CA4">
      <w:r>
        <w:t>On this basis, t</w:t>
      </w:r>
      <w:r w:rsidR="00984E73">
        <w:t xml:space="preserve">he </w:t>
      </w:r>
      <w:r w:rsidR="00EB302A">
        <w:t xml:space="preserve">1737 DCAR </w:t>
      </w:r>
      <w:r w:rsidR="00984E73">
        <w:t>economic evaluation was updated to reflect the following changes:</w:t>
      </w:r>
    </w:p>
    <w:p w14:paraId="0C19F106" w14:textId="08AA7DAA" w:rsidR="00465C21" w:rsidRDefault="00465C21" w:rsidP="00465C21">
      <w:pPr>
        <w:pStyle w:val="ListParagraph"/>
        <w:numPr>
          <w:ilvl w:val="0"/>
          <w:numId w:val="27"/>
        </w:numPr>
      </w:pPr>
      <w:r>
        <w:t>First-tier test method was changed to ESI-MS/MS, with a test cost of $</w:t>
      </w:r>
      <w:r w:rsidR="009F27B1">
        <w:t>2.00</w:t>
      </w:r>
      <w:r>
        <w:t xml:space="preserve"> per screen (</w:t>
      </w:r>
      <w:r w:rsidR="00F472E6">
        <w:t>previously</w:t>
      </w:r>
      <w:r w:rsidR="00704176">
        <w:t xml:space="preserve"> </w:t>
      </w:r>
      <w:r>
        <w:t>MALDI-TOF</w:t>
      </w:r>
      <w:r w:rsidR="00704176">
        <w:t xml:space="preserve"> at a cost of</w:t>
      </w:r>
      <w:r>
        <w:t xml:space="preserve"> $10 per screen)</w:t>
      </w:r>
    </w:p>
    <w:p w14:paraId="6085C6B1" w14:textId="78050625" w:rsidR="00A03494" w:rsidRDefault="008B6330" w:rsidP="00984E73">
      <w:pPr>
        <w:pStyle w:val="ListParagraph"/>
        <w:numPr>
          <w:ilvl w:val="0"/>
          <w:numId w:val="27"/>
        </w:numPr>
      </w:pPr>
      <w:r>
        <w:t>The comparator reflect</w:t>
      </w:r>
      <w:r w:rsidR="00A00469">
        <w:t>ed</w:t>
      </w:r>
      <w:r>
        <w:t xml:space="preserve"> the secondary comparison presented previously (</w:t>
      </w:r>
      <w:proofErr w:type="gramStart"/>
      <w:r>
        <w:t>i.e.</w:t>
      </w:r>
      <w:proofErr w:type="gramEnd"/>
      <w:r>
        <w:t xml:space="preserve"> a mix of </w:t>
      </w:r>
      <w:r w:rsidR="004650FF">
        <w:t xml:space="preserve">parental, prenatal, neonatal and no screening), however the proportion of cases identified through targeted </w:t>
      </w:r>
      <w:r w:rsidR="00ED0F3D">
        <w:t xml:space="preserve">testing </w:t>
      </w:r>
      <w:r w:rsidR="00B8143E">
        <w:t xml:space="preserve">activities was reduced </w:t>
      </w:r>
      <w:r w:rsidR="001E5296">
        <w:t xml:space="preserve">to 47.7% </w:t>
      </w:r>
      <w:r w:rsidR="00B8143E">
        <w:t xml:space="preserve">based on </w:t>
      </w:r>
      <w:proofErr w:type="spellStart"/>
      <w:r w:rsidR="00B8143E">
        <w:t>HbR</w:t>
      </w:r>
      <w:proofErr w:type="spellEnd"/>
      <w:r w:rsidR="00B8143E">
        <w:t xml:space="preserve"> data</w:t>
      </w:r>
      <w:r w:rsidR="001E5296">
        <w:t xml:space="preserve"> (99% previously)</w:t>
      </w:r>
    </w:p>
    <w:p w14:paraId="03094167" w14:textId="08096477" w:rsidR="00465C21" w:rsidRDefault="00465C21" w:rsidP="00465C21">
      <w:pPr>
        <w:pStyle w:val="ListParagraph"/>
        <w:numPr>
          <w:ilvl w:val="0"/>
          <w:numId w:val="27"/>
        </w:numPr>
      </w:pPr>
      <w:r>
        <w:t xml:space="preserve">Increased age with symptomatic diagnosis (15.6 months), based on </w:t>
      </w:r>
      <w:proofErr w:type="spellStart"/>
      <w:r>
        <w:t>HbR</w:t>
      </w:r>
      <w:proofErr w:type="spellEnd"/>
      <w:r>
        <w:t xml:space="preserve"> data </w:t>
      </w:r>
      <w:r w:rsidR="00206CCA">
        <w:t>(</w:t>
      </w:r>
      <w:proofErr w:type="spellStart"/>
      <w:r w:rsidR="00206CCA" w:rsidRPr="00206CCA">
        <w:rPr>
          <w:bCs/>
        </w:rPr>
        <w:t>HbR</w:t>
      </w:r>
      <w:proofErr w:type="spellEnd"/>
      <w:r w:rsidR="00206CCA" w:rsidRPr="00206CCA">
        <w:rPr>
          <w:bCs/>
        </w:rPr>
        <w:t xml:space="preserve"> Brief report for MSAC (2023)</w:t>
      </w:r>
      <w:r w:rsidR="00206CCA">
        <w:t>)</w:t>
      </w:r>
      <w:r>
        <w:t xml:space="preserve"> (previously 9.6 months)</w:t>
      </w:r>
    </w:p>
    <w:p w14:paraId="151EC059" w14:textId="5A6C607B" w:rsidR="00465C21" w:rsidRPr="006D618B" w:rsidRDefault="00465C21" w:rsidP="00465C21">
      <w:pPr>
        <w:pStyle w:val="ListParagraph"/>
        <w:numPr>
          <w:ilvl w:val="0"/>
          <w:numId w:val="27"/>
        </w:numPr>
      </w:pPr>
      <w:r w:rsidRPr="006D618B">
        <w:t xml:space="preserve">Updated use and costs of additional treatment and monitoring associated with earlier diagnosis, based on </w:t>
      </w:r>
      <w:r w:rsidR="00C670F5" w:rsidRPr="006D618B">
        <w:t xml:space="preserve">unpublished data from the </w:t>
      </w:r>
      <w:proofErr w:type="spellStart"/>
      <w:r w:rsidR="00C670F5" w:rsidRPr="006D618B">
        <w:t>HbR</w:t>
      </w:r>
      <w:proofErr w:type="spellEnd"/>
      <w:r w:rsidR="009C51B5" w:rsidRPr="006D618B">
        <w:t xml:space="preserve">. </w:t>
      </w:r>
    </w:p>
    <w:p w14:paraId="1187F8FA" w14:textId="238F11D3" w:rsidR="001E5296" w:rsidRDefault="001E5296" w:rsidP="00984E73">
      <w:pPr>
        <w:pStyle w:val="ListParagraph"/>
        <w:numPr>
          <w:ilvl w:val="0"/>
          <w:numId w:val="27"/>
        </w:numPr>
      </w:pPr>
      <w:r>
        <w:t>Alternate SCD incidence estimates applied</w:t>
      </w:r>
      <w:r w:rsidR="002A22CA">
        <w:t xml:space="preserve"> (34.2 per 100,000</w:t>
      </w:r>
      <w:r w:rsidR="00B66846">
        <w:t xml:space="preserve">, as per </w:t>
      </w:r>
      <w:r w:rsidR="00B66846">
        <w:fldChar w:fldCharType="begin"/>
      </w:r>
      <w:r w:rsidR="00B66846">
        <w:instrText xml:space="preserve"> REF _Ref149567772 \h </w:instrText>
      </w:r>
      <w:r w:rsidR="00B66846">
        <w:fldChar w:fldCharType="separate"/>
      </w:r>
      <w:r w:rsidR="007D770C" w:rsidRPr="00CE28E3">
        <w:t>Table</w:t>
      </w:r>
      <w:r w:rsidR="007D770C">
        <w:t> </w:t>
      </w:r>
      <w:r w:rsidR="007D770C">
        <w:rPr>
          <w:noProof/>
        </w:rPr>
        <w:t>2</w:t>
      </w:r>
      <w:r w:rsidR="00B66846">
        <w:fldChar w:fldCharType="end"/>
      </w:r>
      <w:r w:rsidR="00B66846">
        <w:t>,</w:t>
      </w:r>
      <w:r w:rsidR="002A22CA">
        <w:t xml:space="preserve"> </w:t>
      </w:r>
      <w:r w:rsidR="00280B9C">
        <w:t xml:space="preserve">previously </w:t>
      </w:r>
      <w:r w:rsidR="002A22CA">
        <w:t>7.1 per 100,000)</w:t>
      </w:r>
    </w:p>
    <w:p w14:paraId="4A63B3E0" w14:textId="7874E6D3" w:rsidR="009D7C79" w:rsidRDefault="00C21120" w:rsidP="009D7C79">
      <w:r>
        <w:t xml:space="preserve">Based on MSAC advice that information </w:t>
      </w:r>
      <w:r w:rsidR="00280B9C">
        <w:t xml:space="preserve">for its reconsideration </w:t>
      </w:r>
      <w:r>
        <w:t xml:space="preserve">could be </w:t>
      </w:r>
      <w:r w:rsidRPr="006B18BF">
        <w:t>provided for SCD alone</w:t>
      </w:r>
      <w:r w:rsidR="009C5A2F">
        <w:t xml:space="preserve"> (</w:t>
      </w:r>
      <w:r w:rsidR="00D2237C">
        <w:t>1737 PSD, p</w:t>
      </w:r>
      <w:r w:rsidR="00EF36F5">
        <w:t>8)</w:t>
      </w:r>
      <w:r>
        <w:t>, β</w:t>
      </w:r>
      <w:r w:rsidR="00B66846">
        <w:noBreakHyphen/>
      </w:r>
      <w:r>
        <w:t>thalassemia cases and haemoglobinopathy carriers have been removed from the analysis</w:t>
      </w:r>
      <w:r w:rsidR="00645031">
        <w:t xml:space="preserve"> as their inclusion</w:t>
      </w:r>
      <w:r w:rsidR="00C44D7B">
        <w:t xml:space="preserve"> affect</w:t>
      </w:r>
      <w:r w:rsidR="00645031">
        <w:t>s</w:t>
      </w:r>
      <w:r w:rsidR="00C44D7B">
        <w:t xml:space="preserve"> interpretation of absolute costs and outcomes across model arms</w:t>
      </w:r>
      <w:r w:rsidR="00645031">
        <w:t>.</w:t>
      </w:r>
      <w:r w:rsidR="003E7925">
        <w:t xml:space="preserve"> </w:t>
      </w:r>
      <w:r w:rsidR="009C7009" w:rsidRPr="009C7009">
        <w:t xml:space="preserve">Minor errors in the cost </w:t>
      </w:r>
      <w:r w:rsidR="004A5752">
        <w:t>of</w:t>
      </w:r>
      <w:r w:rsidR="009C7009" w:rsidRPr="009C7009">
        <w:t xml:space="preserve"> SCD monitoring and prophylaxis </w:t>
      </w:r>
      <w:r w:rsidR="004A5752">
        <w:t xml:space="preserve">in cases </w:t>
      </w:r>
      <w:r w:rsidR="009C7009" w:rsidRPr="009C7009">
        <w:t xml:space="preserve">identified and missed through </w:t>
      </w:r>
      <w:r w:rsidR="004A5752">
        <w:t xml:space="preserve">universal </w:t>
      </w:r>
      <w:r w:rsidR="009C7009" w:rsidRPr="009C7009">
        <w:t>NBS were also corrected.</w:t>
      </w:r>
    </w:p>
    <w:p w14:paraId="03685F66" w14:textId="28959389" w:rsidR="00ED71B3" w:rsidRDefault="00FF0408" w:rsidP="00AC3CA4">
      <w:r w:rsidRPr="00FF0408">
        <w:t xml:space="preserve">A stepped approach was used to generate the </w:t>
      </w:r>
      <w:r w:rsidR="006440CE">
        <w:t xml:space="preserve">updated </w:t>
      </w:r>
      <w:r w:rsidRPr="00FF0408">
        <w:t>base case analysis</w:t>
      </w:r>
      <w:r w:rsidR="005006FD">
        <w:t>,</w:t>
      </w:r>
      <w:r w:rsidRPr="00FF0408">
        <w:t xml:space="preserve"> </w:t>
      </w:r>
      <w:r w:rsidR="00ED71B3">
        <w:t>which</w:t>
      </w:r>
      <w:r w:rsidRPr="00FF0408">
        <w:t xml:space="preserve"> incorporated </w:t>
      </w:r>
      <w:r w:rsidR="00E438FE">
        <w:t>the key changes</w:t>
      </w:r>
      <w:r w:rsidRPr="00FF0408">
        <w:t xml:space="preserve"> separately to distinguish their respective effect on the results</w:t>
      </w:r>
      <w:r w:rsidR="00396AC6">
        <w:t xml:space="preserve"> presented to MSAC </w:t>
      </w:r>
      <w:r w:rsidR="00352FA4">
        <w:t xml:space="preserve">in the 1737 DCAR </w:t>
      </w:r>
      <w:r w:rsidR="00396AC6">
        <w:t>previously</w:t>
      </w:r>
      <w:r w:rsidRPr="00FF0408">
        <w:t>.</w:t>
      </w:r>
      <w:r>
        <w:t xml:space="preserve"> </w:t>
      </w:r>
    </w:p>
    <w:p w14:paraId="0A4609C9" w14:textId="4EB869AD" w:rsidR="00AC3CA4" w:rsidRDefault="00AC3CA4" w:rsidP="00AC3CA4">
      <w:r w:rsidRPr="00353979">
        <w:t xml:space="preserve">A summary of the key components of the economic evaluation is presented in </w:t>
      </w:r>
      <w:r>
        <w:fldChar w:fldCharType="begin"/>
      </w:r>
      <w:r>
        <w:instrText xml:space="preserve"> REF _Ref69725820 \h </w:instrText>
      </w:r>
      <w:r>
        <w:fldChar w:fldCharType="separate"/>
      </w:r>
      <w:r w:rsidR="007D770C" w:rsidRPr="00CE28E3">
        <w:t>Table</w:t>
      </w:r>
      <w:r w:rsidR="007D770C">
        <w:t> </w:t>
      </w:r>
      <w:r w:rsidR="007D770C">
        <w:rPr>
          <w:noProof/>
        </w:rPr>
        <w:t>12</w:t>
      </w:r>
      <w:r>
        <w:fldChar w:fldCharType="end"/>
      </w:r>
      <w:r w:rsidRPr="00353979">
        <w:t>.</w:t>
      </w:r>
    </w:p>
    <w:p w14:paraId="0A6C21B5" w14:textId="57DD8D0D" w:rsidR="008206C9" w:rsidRPr="00CE28E3" w:rsidRDefault="008206C9" w:rsidP="008206C9">
      <w:pPr>
        <w:pStyle w:val="Caption"/>
        <w:tabs>
          <w:tab w:val="left" w:pos="1134"/>
        </w:tabs>
        <w:ind w:left="1134" w:hanging="1134"/>
      </w:pPr>
      <w:bookmarkStart w:id="43"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7D770C">
        <w:rPr>
          <w:noProof/>
        </w:rPr>
        <w:t>12</w:t>
      </w:r>
      <w:r w:rsidRPr="00CE28E3">
        <w:rPr>
          <w:noProof/>
        </w:rPr>
        <w:fldChar w:fldCharType="end"/>
      </w:r>
      <w:bookmarkEnd w:id="43"/>
      <w:r w:rsidRPr="00CE28E3">
        <w:tab/>
        <w:t xml:space="preserve">Summary of the economic evaluation </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AC3CA4" w:rsidRPr="00CE28E3" w14:paraId="1965C385" w14:textId="77777777" w:rsidTr="003F09BF">
        <w:trPr>
          <w:cnfStyle w:val="100000000000" w:firstRow="1" w:lastRow="0" w:firstColumn="0" w:lastColumn="0" w:oddVBand="0" w:evenVBand="0" w:oddHBand="0" w:evenHBand="0" w:firstRowFirstColumn="0" w:firstRowLastColumn="0" w:lastRowFirstColumn="0" w:lastRowLastColumn="0"/>
          <w:tblHeader/>
        </w:trPr>
        <w:tc>
          <w:tcPr>
            <w:tcW w:w="1285" w:type="pct"/>
          </w:tcPr>
          <w:p w14:paraId="5170CC52" w14:textId="77777777" w:rsidR="00AC3CA4" w:rsidRPr="000449D1" w:rsidRDefault="00AC3CA4" w:rsidP="003F09BF">
            <w:pPr>
              <w:pStyle w:val="TableHeading"/>
            </w:pPr>
            <w:bookmarkStart w:id="44" w:name="Title_Table5"/>
            <w:bookmarkStart w:id="45" w:name="_Hlk68276446"/>
            <w:bookmarkEnd w:id="44"/>
            <w:r w:rsidRPr="000449D1">
              <w:t>Component</w:t>
            </w:r>
          </w:p>
        </w:tc>
        <w:tc>
          <w:tcPr>
            <w:tcW w:w="3715" w:type="pct"/>
          </w:tcPr>
          <w:p w14:paraId="6F5B374F" w14:textId="77777777" w:rsidR="00AC3CA4" w:rsidRPr="000449D1" w:rsidRDefault="00AC3CA4" w:rsidP="003F09BF">
            <w:pPr>
              <w:pStyle w:val="TableHeading"/>
            </w:pPr>
            <w:r w:rsidRPr="000449D1">
              <w:t>Description</w:t>
            </w:r>
          </w:p>
        </w:tc>
      </w:tr>
      <w:tr w:rsidR="00AC3CA4" w:rsidRPr="000449D1" w14:paraId="2B961039" w14:textId="77777777" w:rsidTr="00AD1B88">
        <w:tc>
          <w:tcPr>
            <w:tcW w:w="1285" w:type="pct"/>
            <w:shd w:val="clear" w:color="auto" w:fill="B4C6E7" w:themeFill="accent5" w:themeFillTint="66"/>
          </w:tcPr>
          <w:p w14:paraId="700A757E" w14:textId="77777777" w:rsidR="00AC3CA4" w:rsidRPr="000449D1" w:rsidRDefault="00AC3CA4" w:rsidP="003F09BF">
            <w:pPr>
              <w:pStyle w:val="TableText"/>
              <w:keepNext/>
            </w:pPr>
            <w:r w:rsidRPr="000449D1">
              <w:t>Perspective</w:t>
            </w:r>
          </w:p>
        </w:tc>
        <w:tc>
          <w:tcPr>
            <w:tcW w:w="3715" w:type="pct"/>
            <w:shd w:val="clear" w:color="auto" w:fill="B4C6E7" w:themeFill="accent5" w:themeFillTint="66"/>
          </w:tcPr>
          <w:p w14:paraId="5C4A5B1B" w14:textId="77777777" w:rsidR="00AC3CA4" w:rsidRPr="000449D1" w:rsidRDefault="00AC3CA4" w:rsidP="003F09BF">
            <w:pPr>
              <w:pStyle w:val="TableText"/>
              <w:keepNext/>
            </w:pPr>
            <w:r w:rsidRPr="00353979">
              <w:t>Health care system perspective</w:t>
            </w:r>
          </w:p>
        </w:tc>
      </w:tr>
      <w:tr w:rsidR="00AC3CA4" w:rsidRPr="000449D1" w14:paraId="0A256C04" w14:textId="77777777" w:rsidTr="00AD1B88">
        <w:trPr>
          <w:tblHeader/>
        </w:trPr>
        <w:tc>
          <w:tcPr>
            <w:tcW w:w="1285" w:type="pct"/>
            <w:shd w:val="clear" w:color="auto" w:fill="B4C6E7" w:themeFill="accent5" w:themeFillTint="66"/>
          </w:tcPr>
          <w:p w14:paraId="36F92663" w14:textId="77777777" w:rsidR="00AC3CA4" w:rsidRPr="000449D1" w:rsidRDefault="00AC3CA4" w:rsidP="003F09BF">
            <w:pPr>
              <w:pStyle w:val="TableText"/>
              <w:keepNext/>
            </w:pPr>
            <w:r w:rsidRPr="000449D1">
              <w:t>Population</w:t>
            </w:r>
          </w:p>
        </w:tc>
        <w:tc>
          <w:tcPr>
            <w:tcW w:w="3715" w:type="pct"/>
            <w:shd w:val="clear" w:color="auto" w:fill="B4C6E7" w:themeFill="accent5" w:themeFillTint="66"/>
          </w:tcPr>
          <w:p w14:paraId="0F4268FA" w14:textId="77777777" w:rsidR="00AC3CA4" w:rsidRDefault="00AC3CA4" w:rsidP="003F09BF">
            <w:pPr>
              <w:pStyle w:val="TableText"/>
              <w:keepNext/>
              <w:rPr>
                <w:rFonts w:cs="Courier New"/>
              </w:rPr>
            </w:pPr>
            <w:r w:rsidRPr="007B0E29">
              <w:rPr>
                <w:rFonts w:cs="Courier New"/>
              </w:rPr>
              <w:t>Newborn testing: All newborns</w:t>
            </w:r>
            <w:r>
              <w:rPr>
                <w:rFonts w:cs="Courier New"/>
              </w:rPr>
              <w:t xml:space="preserve"> born in </w:t>
            </w:r>
            <w:proofErr w:type="gramStart"/>
            <w:r>
              <w:rPr>
                <w:rFonts w:cs="Courier New"/>
              </w:rPr>
              <w:t>Australia</w:t>
            </w:r>
            <w:proofErr w:type="gramEnd"/>
          </w:p>
          <w:p w14:paraId="01C1FD77" w14:textId="39E0A261" w:rsidR="00AC3CA4" w:rsidRPr="000449D1" w:rsidRDefault="00AC3CA4" w:rsidP="003F09BF">
            <w:pPr>
              <w:pStyle w:val="TableText"/>
              <w:keepNext/>
            </w:pPr>
            <w:r w:rsidRPr="007B0E29">
              <w:rPr>
                <w:rFonts w:cs="Courier New"/>
              </w:rPr>
              <w:t xml:space="preserve">Cascade testing: Immediate family members of </w:t>
            </w:r>
            <w:r>
              <w:rPr>
                <w:rFonts w:cs="Courier New"/>
              </w:rPr>
              <w:t>affected</w:t>
            </w:r>
            <w:r w:rsidRPr="007B0E29">
              <w:rPr>
                <w:rFonts w:cs="Courier New"/>
              </w:rPr>
              <w:t xml:space="preserve"> and carrier newborns</w:t>
            </w:r>
          </w:p>
        </w:tc>
      </w:tr>
      <w:tr w:rsidR="00AC3CA4" w:rsidRPr="000449D1" w14:paraId="3BAD21AC" w14:textId="77777777" w:rsidTr="003F09BF">
        <w:tc>
          <w:tcPr>
            <w:tcW w:w="1285" w:type="pct"/>
          </w:tcPr>
          <w:p w14:paraId="58AD8841" w14:textId="77777777" w:rsidR="00AC3CA4" w:rsidRPr="000449D1" w:rsidRDefault="00AC3CA4" w:rsidP="003F09BF">
            <w:pPr>
              <w:pStyle w:val="TableText"/>
              <w:keepNext/>
            </w:pPr>
            <w:r w:rsidRPr="000449D1">
              <w:t>Comparator</w:t>
            </w:r>
          </w:p>
        </w:tc>
        <w:tc>
          <w:tcPr>
            <w:tcW w:w="3715" w:type="pct"/>
          </w:tcPr>
          <w:p w14:paraId="06B72904" w14:textId="553ECD28" w:rsidR="00AC3CA4" w:rsidRPr="000449D1" w:rsidRDefault="00AC3CA4" w:rsidP="003F09BF">
            <w:pPr>
              <w:pStyle w:val="TableText"/>
              <w:keepNext/>
            </w:pPr>
            <w:r w:rsidRPr="008719C7">
              <w:t xml:space="preserve">Targeted testing </w:t>
            </w:r>
            <w:r w:rsidR="003D1FAD">
              <w:t xml:space="preserve">available </w:t>
            </w:r>
            <w:r w:rsidR="008D6464">
              <w:t xml:space="preserve">(including parental, </w:t>
            </w:r>
            <w:proofErr w:type="spellStart"/>
            <w:proofErr w:type="gramStart"/>
            <w:r w:rsidR="008D6464">
              <w:t>fetal</w:t>
            </w:r>
            <w:proofErr w:type="spellEnd"/>
            <w:proofErr w:type="gramEnd"/>
            <w:r w:rsidR="008D6464">
              <w:t xml:space="preserve"> and </w:t>
            </w:r>
            <w:r w:rsidR="006E2C1A">
              <w:t>neonatal)</w:t>
            </w:r>
            <w:r w:rsidRPr="008719C7">
              <w:t xml:space="preserve"> along with symptomatic identification of disease in cases missed through targeted testing</w:t>
            </w:r>
          </w:p>
        </w:tc>
      </w:tr>
      <w:tr w:rsidR="00AC3CA4" w:rsidRPr="000449D1" w14:paraId="530B293F" w14:textId="77777777" w:rsidTr="00AD1B88">
        <w:tc>
          <w:tcPr>
            <w:tcW w:w="1285" w:type="pct"/>
            <w:shd w:val="clear" w:color="auto" w:fill="B4C6E7" w:themeFill="accent5" w:themeFillTint="66"/>
          </w:tcPr>
          <w:p w14:paraId="7BF18531" w14:textId="77777777" w:rsidR="00AC3CA4" w:rsidRPr="000449D1" w:rsidRDefault="00AC3CA4" w:rsidP="003F09BF">
            <w:pPr>
              <w:pStyle w:val="TableText"/>
              <w:keepNext/>
            </w:pPr>
            <w:r w:rsidRPr="000449D1">
              <w:t>Type(s) of analysis</w:t>
            </w:r>
          </w:p>
        </w:tc>
        <w:tc>
          <w:tcPr>
            <w:tcW w:w="3715" w:type="pct"/>
            <w:shd w:val="clear" w:color="auto" w:fill="B4C6E7" w:themeFill="accent5" w:themeFillTint="66"/>
          </w:tcPr>
          <w:p w14:paraId="7B8FB477" w14:textId="77777777" w:rsidR="00AC3CA4" w:rsidRPr="000449D1" w:rsidRDefault="00AC3CA4" w:rsidP="003F09BF">
            <w:pPr>
              <w:pStyle w:val="TableText"/>
              <w:keepNext/>
            </w:pPr>
            <w:r>
              <w:rPr>
                <w:rFonts w:cs="Courier New"/>
              </w:rPr>
              <w:t>C</w:t>
            </w:r>
            <w:r w:rsidRPr="000449D1">
              <w:rPr>
                <w:rFonts w:cs="Courier New"/>
              </w:rPr>
              <w:t>ost-effectiveness analysis</w:t>
            </w:r>
          </w:p>
        </w:tc>
      </w:tr>
      <w:tr w:rsidR="00AC3CA4" w:rsidRPr="000449D1" w14:paraId="5231AC04" w14:textId="77777777" w:rsidTr="00AD1B88">
        <w:tc>
          <w:tcPr>
            <w:tcW w:w="1285" w:type="pct"/>
            <w:shd w:val="clear" w:color="auto" w:fill="B4C6E7" w:themeFill="accent5" w:themeFillTint="66"/>
          </w:tcPr>
          <w:p w14:paraId="6E3A4501" w14:textId="77777777" w:rsidR="00AC3CA4" w:rsidRPr="000449D1" w:rsidRDefault="00AC3CA4" w:rsidP="003F09BF">
            <w:pPr>
              <w:pStyle w:val="TableText"/>
              <w:keepNext/>
            </w:pPr>
            <w:r w:rsidRPr="000449D1">
              <w:t>Outcomes</w:t>
            </w:r>
          </w:p>
        </w:tc>
        <w:tc>
          <w:tcPr>
            <w:tcW w:w="3715" w:type="pct"/>
            <w:shd w:val="clear" w:color="auto" w:fill="B4C6E7" w:themeFill="accent5" w:themeFillTint="66"/>
          </w:tcPr>
          <w:p w14:paraId="26BD9609" w14:textId="5AB3445B" w:rsidR="00AC3CA4" w:rsidRPr="00D2712B" w:rsidRDefault="00BD747C" w:rsidP="00D2712B">
            <w:pPr>
              <w:pStyle w:val="TableText"/>
              <w:keepNext/>
              <w:rPr>
                <w:rFonts w:cs="Courier New"/>
              </w:rPr>
            </w:pPr>
            <w:r>
              <w:rPr>
                <w:rFonts w:cs="Courier New"/>
              </w:rPr>
              <w:t>Additional early diagnosis of clinically significant cases</w:t>
            </w:r>
          </w:p>
        </w:tc>
      </w:tr>
      <w:tr w:rsidR="00AC3CA4" w:rsidRPr="000449D1" w14:paraId="6BC33FCA" w14:textId="77777777" w:rsidTr="003F09BF">
        <w:tc>
          <w:tcPr>
            <w:tcW w:w="1285" w:type="pct"/>
          </w:tcPr>
          <w:p w14:paraId="56A0F0A4" w14:textId="77777777" w:rsidR="00AC3CA4" w:rsidRPr="000449D1" w:rsidRDefault="00AC3CA4" w:rsidP="003F09BF">
            <w:pPr>
              <w:pStyle w:val="TableText"/>
              <w:keepNext/>
            </w:pPr>
            <w:r w:rsidRPr="000449D1">
              <w:t>Time horizon</w:t>
            </w:r>
          </w:p>
        </w:tc>
        <w:tc>
          <w:tcPr>
            <w:tcW w:w="3715" w:type="pct"/>
          </w:tcPr>
          <w:p w14:paraId="773C9F96" w14:textId="1201C891" w:rsidR="00AC3CA4" w:rsidRPr="000449D1" w:rsidRDefault="00AC3CA4" w:rsidP="003F09BF">
            <w:pPr>
              <w:pStyle w:val="TableText"/>
              <w:keepNext/>
              <w:rPr>
                <w:rFonts w:cs="Courier New"/>
              </w:rPr>
            </w:pPr>
            <w:r>
              <w:t>Age at diagnosis through symptomatic identification only</w:t>
            </w:r>
            <w:r w:rsidRPr="713059EB">
              <w:rPr>
                <w:rFonts w:cs="Courier New"/>
              </w:rPr>
              <w:t xml:space="preserve"> (</w:t>
            </w:r>
            <w:r w:rsidR="006E2C1A">
              <w:rPr>
                <w:rFonts w:cs="Courier New"/>
              </w:rPr>
              <w:t>median 15.6 months</w:t>
            </w:r>
            <w:r w:rsidRPr="713059EB">
              <w:rPr>
                <w:rFonts w:cs="Courier New"/>
              </w:rPr>
              <w:t>)</w:t>
            </w:r>
          </w:p>
        </w:tc>
      </w:tr>
      <w:tr w:rsidR="00AC3CA4" w:rsidRPr="000449D1" w14:paraId="75888F83" w14:textId="77777777" w:rsidTr="00AD1B88">
        <w:tc>
          <w:tcPr>
            <w:tcW w:w="1285" w:type="pct"/>
            <w:shd w:val="clear" w:color="auto" w:fill="B4C6E7" w:themeFill="accent5" w:themeFillTint="66"/>
          </w:tcPr>
          <w:p w14:paraId="3C7323CA" w14:textId="77777777" w:rsidR="00AC3CA4" w:rsidRPr="000449D1" w:rsidRDefault="00AC3CA4" w:rsidP="003F09BF">
            <w:pPr>
              <w:pStyle w:val="TableText"/>
              <w:keepNext/>
            </w:pPr>
            <w:r w:rsidRPr="000449D1">
              <w:t>Computational method</w:t>
            </w:r>
          </w:p>
        </w:tc>
        <w:tc>
          <w:tcPr>
            <w:tcW w:w="3715" w:type="pct"/>
            <w:shd w:val="clear" w:color="auto" w:fill="B4C6E7" w:themeFill="accent5" w:themeFillTint="66"/>
          </w:tcPr>
          <w:p w14:paraId="2830DC85" w14:textId="77777777" w:rsidR="00AC3CA4" w:rsidRPr="000449D1" w:rsidRDefault="00AC3CA4" w:rsidP="003F09BF">
            <w:pPr>
              <w:pStyle w:val="TableText"/>
              <w:keepNext/>
            </w:pPr>
            <w:r w:rsidRPr="00353979">
              <w:t>Decision tree analysis</w:t>
            </w:r>
          </w:p>
        </w:tc>
      </w:tr>
      <w:tr w:rsidR="00AC3CA4" w:rsidRPr="000449D1" w14:paraId="7ECDAD19" w14:textId="77777777" w:rsidTr="0075161B">
        <w:tc>
          <w:tcPr>
            <w:tcW w:w="1285" w:type="pct"/>
            <w:tcBorders>
              <w:bottom w:val="single" w:sz="4" w:space="0" w:color="auto"/>
            </w:tcBorders>
          </w:tcPr>
          <w:p w14:paraId="12F69372" w14:textId="77777777" w:rsidR="00AC3CA4" w:rsidRPr="000449D1" w:rsidRDefault="00AC3CA4" w:rsidP="003F09BF">
            <w:pPr>
              <w:pStyle w:val="TableText"/>
              <w:keepNext/>
            </w:pPr>
            <w:r w:rsidRPr="000449D1">
              <w:t>Generation of the base case</w:t>
            </w:r>
          </w:p>
        </w:tc>
        <w:tc>
          <w:tcPr>
            <w:tcW w:w="3715" w:type="pct"/>
            <w:tcBorders>
              <w:bottom w:val="single" w:sz="4" w:space="0" w:color="auto"/>
            </w:tcBorders>
          </w:tcPr>
          <w:p w14:paraId="188343D3" w14:textId="5B555370" w:rsidR="00AC3CA4" w:rsidRPr="000449D1" w:rsidRDefault="00AC3CA4" w:rsidP="003F09BF">
            <w:pPr>
              <w:pStyle w:val="TableText"/>
              <w:keepNext/>
            </w:pPr>
            <w:r w:rsidRPr="00353979">
              <w:t xml:space="preserve">Modelled stepped analysis, incorporating </w:t>
            </w:r>
            <w:r w:rsidR="005B6A48">
              <w:t xml:space="preserve">the </w:t>
            </w:r>
            <w:r w:rsidR="00435DFF">
              <w:t xml:space="preserve">key </w:t>
            </w:r>
            <w:r w:rsidR="005B6A48">
              <w:t xml:space="preserve">changes </w:t>
            </w:r>
            <w:r w:rsidRPr="00353979">
              <w:t>separately to distinguish the effect of each of these on the results.</w:t>
            </w:r>
          </w:p>
        </w:tc>
      </w:tr>
      <w:tr w:rsidR="00AC3CA4" w:rsidRPr="000449D1" w14:paraId="5364FC06" w14:textId="77777777" w:rsidTr="0075161B">
        <w:tc>
          <w:tcPr>
            <w:tcW w:w="1285" w:type="pct"/>
            <w:tcBorders>
              <w:bottom w:val="nil"/>
            </w:tcBorders>
          </w:tcPr>
          <w:p w14:paraId="337681CF" w14:textId="77777777" w:rsidR="00AC3CA4" w:rsidRPr="000449D1" w:rsidRDefault="00AC3CA4" w:rsidP="003F09BF">
            <w:pPr>
              <w:pStyle w:val="TableText"/>
              <w:keepNext/>
            </w:pPr>
            <w:r w:rsidRPr="000449D1">
              <w:t>Transition probabilities</w:t>
            </w:r>
          </w:p>
        </w:tc>
        <w:tc>
          <w:tcPr>
            <w:tcW w:w="3715" w:type="pct"/>
            <w:tcBorders>
              <w:bottom w:val="nil"/>
            </w:tcBorders>
          </w:tcPr>
          <w:p w14:paraId="645EA110" w14:textId="2C0EDD85" w:rsidR="00AC3CA4" w:rsidRDefault="00AC3CA4" w:rsidP="003F09BF">
            <w:pPr>
              <w:pStyle w:val="TableText"/>
              <w:keepNext/>
              <w:rPr>
                <w:rFonts w:cs="Courier New"/>
              </w:rPr>
            </w:pPr>
            <w:r>
              <w:rPr>
                <w:rFonts w:cs="Courier New"/>
              </w:rPr>
              <w:t xml:space="preserve">Incidence of haemoglobinopathy: </w:t>
            </w:r>
            <w:r w:rsidR="005B6A48" w:rsidRPr="005B6A48">
              <w:rPr>
                <w:rFonts w:cs="Courier New"/>
              </w:rPr>
              <w:t>Derived assuming the birth prevalence of SCD in Sub-Saharan</w:t>
            </w:r>
            <w:r w:rsidR="0096517F">
              <w:rPr>
                <w:rFonts w:cs="Courier New"/>
              </w:rPr>
              <w:t xml:space="preserve"> </w:t>
            </w:r>
            <w:r w:rsidR="005B6A48" w:rsidRPr="005B6A48">
              <w:rPr>
                <w:rFonts w:cs="Courier New"/>
              </w:rPr>
              <w:t>Africa, the number of births in Australia to people from Sub-Saharan</w:t>
            </w:r>
            <w:r w:rsidR="0096517F">
              <w:rPr>
                <w:rFonts w:cs="Courier New"/>
              </w:rPr>
              <w:t xml:space="preserve"> </w:t>
            </w:r>
            <w:r w:rsidR="005B6A48" w:rsidRPr="005B6A48">
              <w:rPr>
                <w:rFonts w:cs="Courier New"/>
              </w:rPr>
              <w:t xml:space="preserve">Africa and the proportion of cases from the </w:t>
            </w:r>
            <w:proofErr w:type="spellStart"/>
            <w:r w:rsidR="005B6A48" w:rsidRPr="005B6A48">
              <w:rPr>
                <w:rFonts w:cs="Courier New"/>
              </w:rPr>
              <w:t>HbR</w:t>
            </w:r>
            <w:proofErr w:type="spellEnd"/>
            <w:r w:rsidR="005B6A48" w:rsidRPr="005B6A48">
              <w:rPr>
                <w:rFonts w:cs="Courier New"/>
              </w:rPr>
              <w:t xml:space="preserve"> from Sub-Saharan</w:t>
            </w:r>
            <w:r w:rsidR="0096517F">
              <w:rPr>
                <w:rFonts w:cs="Courier New"/>
              </w:rPr>
              <w:t xml:space="preserve"> </w:t>
            </w:r>
            <w:r w:rsidR="005B6A48" w:rsidRPr="005B6A48">
              <w:rPr>
                <w:rFonts w:cs="Courier New"/>
              </w:rPr>
              <w:t>Africa</w:t>
            </w:r>
            <w:r w:rsidR="00A36226">
              <w:rPr>
                <w:rFonts w:cs="Courier New"/>
              </w:rPr>
              <w:t xml:space="preserve"> (</w:t>
            </w:r>
            <w:r w:rsidR="00A36226">
              <w:rPr>
                <w:rFonts w:cs="Courier New"/>
              </w:rPr>
              <w:fldChar w:fldCharType="begin"/>
            </w:r>
            <w:r w:rsidR="00A36226">
              <w:rPr>
                <w:rFonts w:cs="Courier New"/>
              </w:rPr>
              <w:instrText xml:space="preserve"> REF _Ref149567772 \h </w:instrText>
            </w:r>
            <w:r w:rsidR="00966A31">
              <w:rPr>
                <w:rFonts w:cs="Courier New"/>
              </w:rPr>
              <w:instrText xml:space="preserve"> \* MERGEFORMAT </w:instrText>
            </w:r>
            <w:r w:rsidR="00A36226">
              <w:rPr>
                <w:rFonts w:cs="Courier New"/>
              </w:rPr>
            </w:r>
            <w:r w:rsidR="00A36226">
              <w:rPr>
                <w:rFonts w:cs="Courier New"/>
              </w:rPr>
              <w:fldChar w:fldCharType="separate"/>
            </w:r>
            <w:r w:rsidR="007D770C" w:rsidRPr="00CE28E3">
              <w:t>Table</w:t>
            </w:r>
            <w:r w:rsidR="007D770C">
              <w:t> 2</w:t>
            </w:r>
            <w:r w:rsidR="00A36226">
              <w:rPr>
                <w:rFonts w:cs="Courier New"/>
              </w:rPr>
              <w:fldChar w:fldCharType="end"/>
            </w:r>
            <w:r w:rsidR="00A36226">
              <w:rPr>
                <w:rFonts w:cs="Courier New"/>
              </w:rPr>
              <w:t>)</w:t>
            </w:r>
            <w:r w:rsidR="005B6A48" w:rsidRPr="005B6A48">
              <w:rPr>
                <w:rFonts w:cs="Courier New"/>
              </w:rPr>
              <w:t>.</w:t>
            </w:r>
          </w:p>
          <w:p w14:paraId="1FDBEECD" w14:textId="44F0E8C6" w:rsidR="00AC3CA4" w:rsidRPr="000449D1" w:rsidRDefault="00AC3CA4" w:rsidP="0075161B">
            <w:pPr>
              <w:pStyle w:val="TableText"/>
              <w:keepNext/>
            </w:pPr>
            <w:r>
              <w:rPr>
                <w:rFonts w:cs="Courier New"/>
              </w:rPr>
              <w:t>C</w:t>
            </w:r>
            <w:r w:rsidR="000C1379">
              <w:rPr>
                <w:rFonts w:cs="Courier New"/>
              </w:rPr>
              <w:t>ases identified through c</w:t>
            </w:r>
            <w:r>
              <w:rPr>
                <w:rFonts w:cs="Courier New"/>
              </w:rPr>
              <w:t xml:space="preserve">urrent targeted testing: </w:t>
            </w:r>
            <w:proofErr w:type="spellStart"/>
            <w:r w:rsidR="000C1379">
              <w:rPr>
                <w:rFonts w:cs="Courier New"/>
              </w:rPr>
              <w:t>HbR</w:t>
            </w:r>
            <w:proofErr w:type="spellEnd"/>
            <w:r w:rsidR="000C1379">
              <w:rPr>
                <w:rFonts w:cs="Courier New"/>
              </w:rPr>
              <w:t xml:space="preserve"> data</w:t>
            </w:r>
            <w:r w:rsidR="00DE36AE">
              <w:rPr>
                <w:rFonts w:cs="Courier New"/>
              </w:rPr>
              <w:t xml:space="preserve"> (‘</w:t>
            </w:r>
            <w:r w:rsidR="00DE36AE">
              <w:rPr>
                <w:rFonts w:cs="Courier New"/>
              </w:rPr>
              <w:fldChar w:fldCharType="begin"/>
            </w:r>
            <w:r w:rsidR="00DE36AE">
              <w:rPr>
                <w:rFonts w:cs="Courier New"/>
              </w:rPr>
              <w:instrText xml:space="preserve"> REF _Ref149314623 \h </w:instrText>
            </w:r>
            <w:r w:rsidR="00966A31">
              <w:rPr>
                <w:rFonts w:cs="Courier New"/>
              </w:rPr>
              <w:instrText xml:space="preserve"> \* MERGEFORMAT </w:instrText>
            </w:r>
            <w:r w:rsidR="00DE36AE">
              <w:rPr>
                <w:rFonts w:cs="Courier New"/>
              </w:rPr>
            </w:r>
            <w:r w:rsidR="00DE36AE">
              <w:rPr>
                <w:rFonts w:cs="Courier New"/>
              </w:rPr>
              <w:fldChar w:fldCharType="separate"/>
            </w:r>
            <w:r w:rsidR="007D770C">
              <w:t>Performance of current testing strategies</w:t>
            </w:r>
            <w:r w:rsidR="00DE36AE">
              <w:rPr>
                <w:rFonts w:cs="Courier New"/>
              </w:rPr>
              <w:fldChar w:fldCharType="end"/>
            </w:r>
            <w:r w:rsidR="00DE36AE">
              <w:rPr>
                <w:rFonts w:cs="Courier New"/>
              </w:rPr>
              <w:t>’)</w:t>
            </w:r>
          </w:p>
        </w:tc>
      </w:tr>
      <w:tr w:rsidR="0075161B" w:rsidRPr="000449D1" w14:paraId="75C3EDF2" w14:textId="77777777" w:rsidTr="0075161B">
        <w:tc>
          <w:tcPr>
            <w:tcW w:w="1285" w:type="pct"/>
            <w:tcBorders>
              <w:top w:val="nil"/>
            </w:tcBorders>
          </w:tcPr>
          <w:p w14:paraId="0A10CCA2" w14:textId="77777777" w:rsidR="0075161B" w:rsidRPr="000449D1" w:rsidRDefault="0075161B" w:rsidP="003F09BF">
            <w:pPr>
              <w:pStyle w:val="TableText"/>
              <w:keepNext/>
            </w:pPr>
          </w:p>
        </w:tc>
        <w:tc>
          <w:tcPr>
            <w:tcW w:w="3715" w:type="pct"/>
            <w:tcBorders>
              <w:top w:val="nil"/>
            </w:tcBorders>
            <w:shd w:val="clear" w:color="auto" w:fill="B4C6E7" w:themeFill="accent5" w:themeFillTint="66"/>
          </w:tcPr>
          <w:p w14:paraId="3C9C36AC" w14:textId="77777777" w:rsidR="0075161B" w:rsidRDefault="0075161B" w:rsidP="0075161B">
            <w:pPr>
              <w:pStyle w:val="TableText"/>
              <w:keepNext/>
              <w:rPr>
                <w:rFonts w:cs="Courier New"/>
              </w:rPr>
            </w:pPr>
            <w:r>
              <w:rPr>
                <w:rFonts w:cs="Courier New"/>
              </w:rPr>
              <w:t xml:space="preserve">Test performance: Performance of first-tier screening (100%) was as based on reported evidence. Second tier screening was assumed to have 100% sensitivity and specificity. </w:t>
            </w:r>
          </w:p>
          <w:p w14:paraId="418711D5" w14:textId="4FEA278B" w:rsidR="0075161B" w:rsidRDefault="0075161B" w:rsidP="0075161B">
            <w:pPr>
              <w:pStyle w:val="TableText"/>
              <w:keepNext/>
              <w:rPr>
                <w:rFonts w:cs="Courier New"/>
              </w:rPr>
            </w:pPr>
            <w:r>
              <w:rPr>
                <w:rFonts w:cs="Courier New"/>
              </w:rPr>
              <w:t>Yield of cascade screening: Mendelian inheritance was assumed and varied by newborn status.</w:t>
            </w:r>
          </w:p>
        </w:tc>
      </w:tr>
      <w:tr w:rsidR="00AC3CA4" w:rsidRPr="000449D1" w14:paraId="62B183E8" w14:textId="77777777" w:rsidTr="003F09BF">
        <w:tc>
          <w:tcPr>
            <w:tcW w:w="1285" w:type="pct"/>
          </w:tcPr>
          <w:p w14:paraId="64254BF1" w14:textId="77777777" w:rsidR="00AC3CA4" w:rsidRPr="000449D1" w:rsidRDefault="00AC3CA4" w:rsidP="003F09BF">
            <w:pPr>
              <w:pStyle w:val="TableText"/>
              <w:keepNext/>
            </w:pPr>
            <w:r w:rsidRPr="000449D1">
              <w:t>Discount rate</w:t>
            </w:r>
          </w:p>
        </w:tc>
        <w:tc>
          <w:tcPr>
            <w:tcW w:w="3715" w:type="pct"/>
          </w:tcPr>
          <w:p w14:paraId="05DF4D9F" w14:textId="792279BF" w:rsidR="00AC3CA4" w:rsidRPr="000449D1" w:rsidRDefault="006E2C1A" w:rsidP="003F09BF">
            <w:pPr>
              <w:pStyle w:val="TableText"/>
              <w:keepNext/>
            </w:pPr>
            <w:r>
              <w:t>5% per annum</w:t>
            </w:r>
          </w:p>
        </w:tc>
      </w:tr>
      <w:tr w:rsidR="00AC3CA4" w:rsidRPr="000449D1" w14:paraId="1FB6BEBB" w14:textId="77777777" w:rsidTr="00AD1B88">
        <w:tc>
          <w:tcPr>
            <w:tcW w:w="1285" w:type="pct"/>
            <w:shd w:val="clear" w:color="auto" w:fill="B4C6E7" w:themeFill="accent5" w:themeFillTint="66"/>
          </w:tcPr>
          <w:p w14:paraId="4F1E4F7F" w14:textId="77777777" w:rsidR="00AC3CA4" w:rsidRPr="000449D1" w:rsidRDefault="00AC3CA4" w:rsidP="003F09BF">
            <w:pPr>
              <w:pStyle w:val="TableText"/>
              <w:keepNext/>
            </w:pPr>
            <w:r w:rsidRPr="000449D1">
              <w:t>Software</w:t>
            </w:r>
          </w:p>
        </w:tc>
        <w:tc>
          <w:tcPr>
            <w:tcW w:w="3715" w:type="pct"/>
            <w:shd w:val="clear" w:color="auto" w:fill="B4C6E7" w:themeFill="accent5" w:themeFillTint="66"/>
          </w:tcPr>
          <w:p w14:paraId="58DC8A69" w14:textId="77777777" w:rsidR="00AC3CA4" w:rsidRPr="000449D1" w:rsidRDefault="00AC3CA4" w:rsidP="003F09BF">
            <w:pPr>
              <w:pStyle w:val="TableText"/>
              <w:keepNext/>
            </w:pPr>
            <w:r w:rsidRPr="000449D1">
              <w:t>Excel</w:t>
            </w:r>
          </w:p>
        </w:tc>
      </w:tr>
    </w:tbl>
    <w:p w14:paraId="7BBD7568" w14:textId="77777777" w:rsidR="004B580A" w:rsidRDefault="004B580A" w:rsidP="004B580A">
      <w:pPr>
        <w:pStyle w:val="TableFigureFooter"/>
      </w:pPr>
      <w:bookmarkStart w:id="46" w:name="_Hlk68276459"/>
      <w:bookmarkEnd w:id="45"/>
      <w:r>
        <w:t xml:space="preserve">Note: </w:t>
      </w:r>
      <w:r w:rsidRPr="004B580A">
        <w:rPr>
          <w:shd w:val="clear" w:color="auto" w:fill="B4C6E7" w:themeFill="accent5" w:themeFillTint="66"/>
        </w:rPr>
        <w:t>Shaded</w:t>
      </w:r>
      <w:r>
        <w:t xml:space="preserve"> cells depict those elements that are unchanged from the previous DCAR.</w:t>
      </w:r>
    </w:p>
    <w:p w14:paraId="40BFC494" w14:textId="5CD23538" w:rsidR="00AC3CA4" w:rsidRDefault="0068554C" w:rsidP="00AC3CA4">
      <w:pPr>
        <w:pStyle w:val="TableFigureFooter"/>
      </w:pPr>
      <w:proofErr w:type="spellStart"/>
      <w:r>
        <w:t>HbR</w:t>
      </w:r>
      <w:proofErr w:type="spellEnd"/>
      <w:r>
        <w:t xml:space="preserve"> = </w:t>
      </w:r>
      <w:r w:rsidR="00C150E7" w:rsidRPr="00C150E7">
        <w:t>Australian Haemoglobinopathy Registry</w:t>
      </w:r>
      <w:r w:rsidR="00C150E7">
        <w:t>;</w:t>
      </w:r>
      <w:r w:rsidR="00C150E7" w:rsidRPr="00C150E7">
        <w:t xml:space="preserve"> </w:t>
      </w:r>
      <w:r w:rsidR="00AC3CA4">
        <w:t>NBS = newborn bloodspot screening; SCD = sickle cell disease</w:t>
      </w:r>
    </w:p>
    <w:bookmarkEnd w:id="46"/>
    <w:p w14:paraId="74C60362" w14:textId="45E779F3" w:rsidR="002136F2" w:rsidRDefault="00D93054" w:rsidP="00AC3CA4">
      <w:r>
        <w:t>A</w:t>
      </w:r>
      <w:r w:rsidR="00821853" w:rsidRPr="00821853">
        <w:t>n expert consulted during preparation of the assessment</w:t>
      </w:r>
      <w:r w:rsidR="00821853">
        <w:t xml:space="preserve"> advised that </w:t>
      </w:r>
      <w:r w:rsidR="0073622C">
        <w:t>ESI-MS/MS would be the most appropriate test method</w:t>
      </w:r>
      <w:r w:rsidR="008E36A2">
        <w:t xml:space="preserve"> to assume for first-tier screening</w:t>
      </w:r>
      <w:r w:rsidR="002E3846">
        <w:t xml:space="preserve"> of SCD in Australia</w:t>
      </w:r>
      <w:r w:rsidR="008E36A2">
        <w:t xml:space="preserve">, however that the cost per screen would vary depending on whether the </w:t>
      </w:r>
      <w:r w:rsidR="00DB0EAC">
        <w:t xml:space="preserve">respective laboratories do or do not have the current capacity </w:t>
      </w:r>
      <w:r w:rsidR="004A7D4E">
        <w:t>(in terms of instrumentation</w:t>
      </w:r>
      <w:r>
        <w:t xml:space="preserve"> and staff) </w:t>
      </w:r>
      <w:r w:rsidR="00DB0EAC">
        <w:t xml:space="preserve">to </w:t>
      </w:r>
      <w:r w:rsidR="004A7D4E">
        <w:t>incorporate additional testing</w:t>
      </w:r>
      <w:r>
        <w:t xml:space="preserve">. Where </w:t>
      </w:r>
      <w:r w:rsidR="00A26DB6">
        <w:t xml:space="preserve">there is capacity, </w:t>
      </w:r>
      <w:r w:rsidR="00655D89">
        <w:t>the expert</w:t>
      </w:r>
      <w:r w:rsidR="00A26DB6">
        <w:t xml:space="preserve"> advised that test costs would be up to $2</w:t>
      </w:r>
      <w:r w:rsidR="00924B94">
        <w:t xml:space="preserve"> per newborn screened</w:t>
      </w:r>
      <w:r w:rsidR="00A26DB6">
        <w:t xml:space="preserve">, including </w:t>
      </w:r>
      <w:r w:rsidR="00004E1F" w:rsidRPr="00004E1F">
        <w:t>instrument amortisation and staff time</w:t>
      </w:r>
      <w:r w:rsidR="00004E1F">
        <w:t>.</w:t>
      </w:r>
    </w:p>
    <w:p w14:paraId="5F8C8CB6" w14:textId="52ABA5E5" w:rsidR="005817F7" w:rsidRDefault="00D538F3" w:rsidP="00AC3CA4">
      <w:r>
        <w:t xml:space="preserve">In the instance where laboratories do not have the capacity, </w:t>
      </w:r>
      <w:r w:rsidR="00655D89">
        <w:t>the expert advised</w:t>
      </w:r>
      <w:r>
        <w:t xml:space="preserve"> </w:t>
      </w:r>
      <w:r w:rsidR="00012EB7">
        <w:t xml:space="preserve">additional costs of instrumentation, maintenance and staff </w:t>
      </w:r>
      <w:r w:rsidR="000A2A27">
        <w:t>would need to be considered</w:t>
      </w:r>
      <w:r w:rsidR="0024146D">
        <w:t xml:space="preserve">. This would </w:t>
      </w:r>
      <w:r w:rsidR="00EE09EA">
        <w:t>result</w:t>
      </w:r>
      <w:r w:rsidR="0024146D">
        <w:t xml:space="preserve"> </w:t>
      </w:r>
      <w:r w:rsidR="00EE09EA">
        <w:t>in a variable</w:t>
      </w:r>
      <w:r w:rsidR="000A2A27">
        <w:t xml:space="preserve"> cost per </w:t>
      </w:r>
      <w:r w:rsidR="00A23CED">
        <w:t xml:space="preserve">first tier ESI-MS/MS </w:t>
      </w:r>
      <w:r w:rsidR="000A2A27">
        <w:t xml:space="preserve">test </w:t>
      </w:r>
      <w:r w:rsidR="00EE09EA">
        <w:t>based</w:t>
      </w:r>
      <w:r w:rsidR="000A2A27">
        <w:t xml:space="preserve"> on the number of </w:t>
      </w:r>
      <w:r w:rsidR="00E454F2">
        <w:t xml:space="preserve">tests performed </w:t>
      </w:r>
      <w:r w:rsidR="00D70D65">
        <w:t>at each site per</w:t>
      </w:r>
      <w:r w:rsidR="00E454F2">
        <w:t xml:space="preserve"> year. </w:t>
      </w:r>
      <w:r w:rsidR="008D4C9E">
        <w:t>For a laboratory operating 100,000 tests per year, the cost per test was estimated as $4.30</w:t>
      </w:r>
      <w:r w:rsidR="009621AE">
        <w:rPr>
          <w:rStyle w:val="FootnoteReference"/>
        </w:rPr>
        <w:footnoteReference w:id="27"/>
      </w:r>
      <w:r w:rsidR="00F754AF">
        <w:t xml:space="preserve">. </w:t>
      </w:r>
      <w:proofErr w:type="gramStart"/>
      <w:r w:rsidR="00F754AF">
        <w:t>However</w:t>
      </w:r>
      <w:proofErr w:type="gramEnd"/>
      <w:r w:rsidR="00F754AF">
        <w:t xml:space="preserve"> where fewer tests were performed</w:t>
      </w:r>
      <w:r w:rsidR="000D26F9">
        <w:t>, the cost per test was estimated to be higher (e.g. $13.50</w:t>
      </w:r>
      <w:r w:rsidR="000D26F9">
        <w:rPr>
          <w:rStyle w:val="FootnoteReference"/>
        </w:rPr>
        <w:footnoteReference w:id="28"/>
      </w:r>
      <w:r w:rsidR="000D26F9">
        <w:t xml:space="preserve"> for a laboratory running 22,000 test</w:t>
      </w:r>
      <w:r w:rsidR="00BD3716">
        <w:t>s</w:t>
      </w:r>
      <w:r w:rsidR="000D26F9">
        <w:t xml:space="preserve"> per year).</w:t>
      </w:r>
      <w:r w:rsidR="00804EA7">
        <w:t xml:space="preserve"> </w:t>
      </w:r>
      <w:r w:rsidR="006C5B05">
        <w:t xml:space="preserve">Using this information, and </w:t>
      </w:r>
      <w:r w:rsidR="00C13673">
        <w:t>projections of</w:t>
      </w:r>
      <w:r w:rsidR="009602F7">
        <w:t xml:space="preserve"> the number of births nationally </w:t>
      </w:r>
      <w:r w:rsidR="003E6CCC">
        <w:t xml:space="preserve">in </w:t>
      </w:r>
      <w:r w:rsidR="009602F7">
        <w:t>2023</w:t>
      </w:r>
      <w:r w:rsidR="003E6CCC">
        <w:t xml:space="preserve"> </w:t>
      </w:r>
      <w:r w:rsidR="00CC5E1E">
        <w:t>(estimated in the 1737 DCAR</w:t>
      </w:r>
      <w:r w:rsidR="007D684C">
        <w:t>, Figure 12B</w:t>
      </w:r>
      <w:r w:rsidR="00CC5E1E">
        <w:t xml:space="preserve">), </w:t>
      </w:r>
      <w:r w:rsidR="001906A2">
        <w:t>a</w:t>
      </w:r>
      <w:r w:rsidR="00DA411B">
        <w:t xml:space="preserve"> weighted</w:t>
      </w:r>
      <w:r w:rsidR="001906A2">
        <w:t xml:space="preserve"> average </w:t>
      </w:r>
      <w:r w:rsidR="00FF7B86">
        <w:t>($</w:t>
      </w:r>
      <w:r w:rsidR="00CE2FFB">
        <w:t>7.09</w:t>
      </w:r>
      <w:r w:rsidR="00FF7B86">
        <w:t>) and median ($8.</w:t>
      </w:r>
      <w:r w:rsidR="00C13673">
        <w:t>2</w:t>
      </w:r>
      <w:r w:rsidR="00FF7B86">
        <w:t xml:space="preserve">3) </w:t>
      </w:r>
      <w:r w:rsidR="001906A2">
        <w:t xml:space="preserve">cost </w:t>
      </w:r>
      <w:r w:rsidR="007D684C">
        <w:t>were estimated</w:t>
      </w:r>
      <w:r w:rsidR="00770567">
        <w:t xml:space="preserve"> </w:t>
      </w:r>
      <w:r w:rsidR="00804EA7">
        <w:t>(</w:t>
      </w:r>
      <w:r w:rsidR="00F654D4">
        <w:t xml:space="preserve">‘Approach 1’, </w:t>
      </w:r>
      <w:r w:rsidR="00804EA7">
        <w:fldChar w:fldCharType="begin"/>
      </w:r>
      <w:r w:rsidR="00804EA7">
        <w:instrText xml:space="preserve"> REF _Ref149235936 \h </w:instrText>
      </w:r>
      <w:r w:rsidR="00804EA7">
        <w:fldChar w:fldCharType="separate"/>
      </w:r>
      <w:r w:rsidR="007D770C" w:rsidRPr="00CE28E3">
        <w:t>Table</w:t>
      </w:r>
      <w:r w:rsidR="007D770C">
        <w:t> </w:t>
      </w:r>
      <w:r w:rsidR="007D770C">
        <w:rPr>
          <w:noProof/>
        </w:rPr>
        <w:t>13</w:t>
      </w:r>
      <w:r w:rsidR="00804EA7">
        <w:fldChar w:fldCharType="end"/>
      </w:r>
      <w:r w:rsidR="00804EA7">
        <w:t xml:space="preserve">) </w:t>
      </w:r>
      <w:r w:rsidR="00770567">
        <w:t xml:space="preserve">to account for </w:t>
      </w:r>
      <w:r w:rsidR="00760FF2">
        <w:t>the number of tests performed per site</w:t>
      </w:r>
      <w:r w:rsidR="00541AA3">
        <w:t xml:space="preserve">, assuming no labs have the current capacity to accommodate SCD screening. </w:t>
      </w:r>
      <w:r w:rsidR="00073588">
        <w:t xml:space="preserve">Alternate estimates based on population projections </w:t>
      </w:r>
      <w:r w:rsidR="007A6C51">
        <w:t xml:space="preserve">published by the ABS </w:t>
      </w:r>
      <w:r w:rsidR="00CC5E1E">
        <w:t xml:space="preserve">have </w:t>
      </w:r>
      <w:r w:rsidR="00073588">
        <w:t xml:space="preserve">also </w:t>
      </w:r>
      <w:r w:rsidR="00CC5E1E">
        <w:t>been estimated</w:t>
      </w:r>
      <w:r w:rsidR="00CD6D64">
        <w:t xml:space="preserve"> </w:t>
      </w:r>
      <w:r w:rsidR="00F654D4">
        <w:t>(‘Approach 2’,</w:t>
      </w:r>
      <w:r w:rsidR="00F654D4" w:rsidRPr="00F654D4">
        <w:t xml:space="preserve"> </w:t>
      </w:r>
      <w:r w:rsidR="00F654D4">
        <w:fldChar w:fldCharType="begin"/>
      </w:r>
      <w:r w:rsidR="00F654D4">
        <w:instrText xml:space="preserve"> REF _Ref149235936 \h </w:instrText>
      </w:r>
      <w:r w:rsidR="00F654D4">
        <w:fldChar w:fldCharType="separate"/>
      </w:r>
      <w:r w:rsidR="007D770C" w:rsidRPr="00CE28E3">
        <w:t>Table</w:t>
      </w:r>
      <w:r w:rsidR="007D770C">
        <w:t> </w:t>
      </w:r>
      <w:r w:rsidR="007D770C">
        <w:rPr>
          <w:noProof/>
        </w:rPr>
        <w:t>13</w:t>
      </w:r>
      <w:r w:rsidR="00F654D4">
        <w:fldChar w:fldCharType="end"/>
      </w:r>
      <w:r w:rsidR="00F654D4">
        <w:t xml:space="preserve">) </w:t>
      </w:r>
      <w:r w:rsidR="00CD6D64">
        <w:t xml:space="preserve">(noting that, as per DCAR 1737, the currently available ABS population projections </w:t>
      </w:r>
      <w:r w:rsidR="00AE46F4">
        <w:t>a</w:t>
      </w:r>
      <w:r w:rsidR="00AF1470">
        <w:t>re substantially</w:t>
      </w:r>
      <w:r w:rsidR="00AE46F4">
        <w:t xml:space="preserve"> higher than</w:t>
      </w:r>
      <w:r w:rsidR="00AF1470">
        <w:t xml:space="preserve"> the number of registered births</w:t>
      </w:r>
      <w:r w:rsidR="00AE46F4">
        <w:t xml:space="preserve"> observed</w:t>
      </w:r>
      <w:r w:rsidR="00AF1470">
        <w:t>).</w:t>
      </w:r>
    </w:p>
    <w:p w14:paraId="67477AE0" w14:textId="5B09D9B1" w:rsidR="008206C9" w:rsidRPr="00CE28E3" w:rsidRDefault="008206C9" w:rsidP="008206C9">
      <w:pPr>
        <w:pStyle w:val="Caption"/>
        <w:tabs>
          <w:tab w:val="left" w:pos="1134"/>
        </w:tabs>
        <w:ind w:left="1134" w:hanging="1134"/>
      </w:pPr>
      <w:bookmarkStart w:id="47" w:name="_Ref149235936"/>
      <w:bookmarkStart w:id="48" w:name="_Ref149570622"/>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7D770C">
        <w:rPr>
          <w:noProof/>
        </w:rPr>
        <w:t>13</w:t>
      </w:r>
      <w:r w:rsidRPr="00CE28E3">
        <w:rPr>
          <w:noProof/>
        </w:rPr>
        <w:fldChar w:fldCharType="end"/>
      </w:r>
      <w:bookmarkEnd w:id="47"/>
      <w:r w:rsidRPr="00CE28E3">
        <w:tab/>
      </w:r>
      <w:r w:rsidR="00220FBC">
        <w:t xml:space="preserve">Estimated cost per </w:t>
      </w:r>
      <w:r w:rsidR="00A23CED">
        <w:t xml:space="preserve">first tier </w:t>
      </w:r>
      <w:r w:rsidR="00E53FEE">
        <w:t xml:space="preserve">ESI-MS/MS </w:t>
      </w:r>
      <w:r w:rsidR="00220FBC">
        <w:t>test</w:t>
      </w:r>
      <w:r w:rsidR="00045C86">
        <w:t xml:space="preserve"> assuming sites require additional instrumentation and </w:t>
      </w:r>
      <w:proofErr w:type="gramStart"/>
      <w:r w:rsidR="00045C86">
        <w:t>staff</w:t>
      </w:r>
      <w:bookmarkEnd w:id="48"/>
      <w:proofErr w:type="gramEnd"/>
    </w:p>
    <w:tbl>
      <w:tblPr>
        <w:tblStyle w:val="TableGrid1"/>
        <w:tblW w:w="5000" w:type="pct"/>
        <w:tblLayout w:type="fixed"/>
        <w:tblLook w:val="04A0" w:firstRow="1" w:lastRow="0" w:firstColumn="1" w:lastColumn="0" w:noHBand="0" w:noVBand="1"/>
      </w:tblPr>
      <w:tblGrid>
        <w:gridCol w:w="2547"/>
        <w:gridCol w:w="1747"/>
        <w:gridCol w:w="1938"/>
        <w:gridCol w:w="1700"/>
        <w:gridCol w:w="1084"/>
      </w:tblGrid>
      <w:tr w:rsidR="00B9740E" w:rsidRPr="00DA529C" w14:paraId="443B9AA0" w14:textId="77777777" w:rsidTr="00114ABC">
        <w:trPr>
          <w:cnfStyle w:val="100000000000" w:firstRow="1" w:lastRow="0" w:firstColumn="0" w:lastColumn="0" w:oddVBand="0" w:evenVBand="0" w:oddHBand="0" w:evenHBand="0" w:firstRowFirstColumn="0" w:firstRowLastColumn="0" w:lastRowFirstColumn="0" w:lastRowLastColumn="0"/>
          <w:trHeight w:val="300"/>
        </w:trPr>
        <w:tc>
          <w:tcPr>
            <w:tcW w:w="1412" w:type="pct"/>
            <w:noWrap/>
            <w:hideMark/>
          </w:tcPr>
          <w:p w14:paraId="426E35B9" w14:textId="77777777" w:rsidR="00DA529C" w:rsidRPr="00DA529C" w:rsidRDefault="00DA529C" w:rsidP="00DA529C">
            <w:pPr>
              <w:pStyle w:val="TableHeading"/>
              <w:rPr>
                <w:rFonts w:eastAsiaTheme="minorHAnsi" w:cstheme="minorBidi"/>
                <w:lang w:eastAsia="en-US"/>
              </w:rPr>
            </w:pPr>
            <w:r w:rsidRPr="00DA529C">
              <w:rPr>
                <w:rFonts w:eastAsiaTheme="minorHAnsi" w:cstheme="minorBidi"/>
                <w:lang w:eastAsia="en-US"/>
              </w:rPr>
              <w:t xml:space="preserve">Screening Laboratory </w:t>
            </w:r>
          </w:p>
        </w:tc>
        <w:tc>
          <w:tcPr>
            <w:tcW w:w="969" w:type="pct"/>
            <w:noWrap/>
            <w:hideMark/>
          </w:tcPr>
          <w:p w14:paraId="190FC06B" w14:textId="468B562A" w:rsidR="00DA529C" w:rsidRPr="00DA529C" w:rsidRDefault="00DA529C" w:rsidP="00DA529C">
            <w:pPr>
              <w:pStyle w:val="TableHeading"/>
            </w:pPr>
            <w:r w:rsidRPr="00DA529C">
              <w:t>No</w:t>
            </w:r>
            <w:r w:rsidR="00DB593D">
              <w:t>.</w:t>
            </w:r>
            <w:r w:rsidRPr="00DA529C">
              <w:t xml:space="preserve"> screened </w:t>
            </w:r>
            <w:r w:rsidR="003D52C3">
              <w:t>per site (%)</w:t>
            </w:r>
          </w:p>
        </w:tc>
        <w:tc>
          <w:tcPr>
            <w:tcW w:w="1075" w:type="pct"/>
            <w:noWrap/>
            <w:hideMark/>
          </w:tcPr>
          <w:p w14:paraId="47B286F1" w14:textId="59920BD5" w:rsidR="00DA529C" w:rsidRPr="00DA529C" w:rsidRDefault="0065396E" w:rsidP="00DA529C">
            <w:pPr>
              <w:pStyle w:val="TableHeading"/>
            </w:pPr>
            <w:r>
              <w:t>C</w:t>
            </w:r>
            <w:r w:rsidR="00DA529C" w:rsidRPr="00DA529C">
              <w:t xml:space="preserve">hange in </w:t>
            </w:r>
            <w:r>
              <w:t>newborns</w:t>
            </w:r>
            <w:r w:rsidR="00DA529C" w:rsidRPr="00DA529C">
              <w:t xml:space="preserve"> screened</w:t>
            </w:r>
            <w:r>
              <w:t xml:space="preserve"> </w:t>
            </w:r>
            <w:r w:rsidRPr="0065396E">
              <w:rPr>
                <w:vertAlign w:val="superscript"/>
              </w:rPr>
              <w:t>a</w:t>
            </w:r>
          </w:p>
        </w:tc>
        <w:tc>
          <w:tcPr>
            <w:tcW w:w="943" w:type="pct"/>
            <w:noWrap/>
            <w:hideMark/>
          </w:tcPr>
          <w:p w14:paraId="26EFAAB6" w14:textId="296CBE76" w:rsidR="00DA529C" w:rsidRPr="00DA529C" w:rsidRDefault="00354377" w:rsidP="00DA529C">
            <w:pPr>
              <w:pStyle w:val="TableHeading"/>
            </w:pPr>
            <w:r>
              <w:t>Estimated r</w:t>
            </w:r>
            <w:r w:rsidR="00DA529C" w:rsidRPr="00DA529C">
              <w:t>eduction in cost</w:t>
            </w:r>
            <w:r w:rsidR="0065396E">
              <w:t xml:space="preserve"> </w:t>
            </w:r>
            <w:r w:rsidR="0065396E" w:rsidRPr="0065396E">
              <w:rPr>
                <w:vertAlign w:val="superscript"/>
              </w:rPr>
              <w:t>b</w:t>
            </w:r>
          </w:p>
        </w:tc>
        <w:tc>
          <w:tcPr>
            <w:tcW w:w="601" w:type="pct"/>
            <w:noWrap/>
            <w:hideMark/>
          </w:tcPr>
          <w:p w14:paraId="5374D5D1" w14:textId="7AB59C1E" w:rsidR="00DA529C" w:rsidRPr="00DA529C" w:rsidRDefault="00DA529C" w:rsidP="00DA529C">
            <w:pPr>
              <w:pStyle w:val="TableHeading"/>
            </w:pPr>
            <w:r w:rsidRPr="00DA529C">
              <w:t xml:space="preserve">Cost per </w:t>
            </w:r>
            <w:r w:rsidR="0065396E">
              <w:t>test</w:t>
            </w:r>
          </w:p>
        </w:tc>
      </w:tr>
      <w:tr w:rsidR="00073588" w:rsidRPr="00AD3055" w14:paraId="6AA89141" w14:textId="77777777">
        <w:trPr>
          <w:trHeight w:val="300"/>
        </w:trPr>
        <w:tc>
          <w:tcPr>
            <w:tcW w:w="5000" w:type="pct"/>
            <w:gridSpan w:val="5"/>
            <w:noWrap/>
          </w:tcPr>
          <w:p w14:paraId="5538447F" w14:textId="6C33745B" w:rsidR="00073588" w:rsidRPr="00DA529C" w:rsidRDefault="007D736D">
            <w:pPr>
              <w:pStyle w:val="TableText"/>
              <w:keepNext/>
            </w:pPr>
            <w:r>
              <w:t xml:space="preserve">Approach 1: </w:t>
            </w:r>
            <w:r w:rsidR="006E6B8E">
              <w:t xml:space="preserve">Proportions of </w:t>
            </w:r>
            <w:r w:rsidR="00AE0915">
              <w:t>newborns</w:t>
            </w:r>
            <w:r w:rsidR="006E6B8E">
              <w:t xml:space="preserve"> screened per site, based on </w:t>
            </w:r>
            <w:r w:rsidR="00073588">
              <w:t>ABS registered births</w:t>
            </w:r>
            <w:r w:rsidR="00593FF5">
              <w:t xml:space="preserve"> by </w:t>
            </w:r>
            <w:r w:rsidR="00876068">
              <w:t>s</w:t>
            </w:r>
            <w:r w:rsidR="00593FF5">
              <w:t>tate</w:t>
            </w:r>
            <w:r w:rsidR="00876068">
              <w:t xml:space="preserve"> or territory of registration</w:t>
            </w:r>
            <w:r w:rsidR="00073588">
              <w:t xml:space="preserve"> 2022</w:t>
            </w:r>
            <w:r w:rsidR="00CA0D5B" w:rsidRPr="00CA0D5B">
              <w:rPr>
                <w:vertAlign w:val="superscript"/>
              </w:rPr>
              <w:t>c</w:t>
            </w:r>
            <w:r w:rsidR="006E6B8E">
              <w:t xml:space="preserve">, </w:t>
            </w:r>
            <w:r w:rsidR="00646E7B">
              <w:t xml:space="preserve">applied to </w:t>
            </w:r>
            <w:r w:rsidR="004946F6">
              <w:t xml:space="preserve">national </w:t>
            </w:r>
            <w:r w:rsidR="0082662F">
              <w:t xml:space="preserve">projections </w:t>
            </w:r>
            <w:r w:rsidR="001A4FB0">
              <w:t xml:space="preserve">of </w:t>
            </w:r>
            <w:r w:rsidR="001E789C">
              <w:t xml:space="preserve">the </w:t>
            </w:r>
            <w:r w:rsidR="001A4FB0">
              <w:t xml:space="preserve">registered births per year, </w:t>
            </w:r>
            <w:r w:rsidR="001E789C">
              <w:t>2023</w:t>
            </w:r>
            <w:r w:rsidR="004946F6">
              <w:t>,</w:t>
            </w:r>
            <w:r w:rsidR="001E789C">
              <w:t xml:space="preserve"> </w:t>
            </w:r>
            <w:r w:rsidR="00C93036">
              <w:t xml:space="preserve">estimated in </w:t>
            </w:r>
            <w:r w:rsidR="007D1790">
              <w:t>DCAR 1737</w:t>
            </w:r>
            <w:r w:rsidR="00315E7D">
              <w:t xml:space="preserve"> (Figure 12B)</w:t>
            </w:r>
          </w:p>
        </w:tc>
      </w:tr>
      <w:tr w:rsidR="00861808" w:rsidRPr="00DA529C" w14:paraId="68EB83ED" w14:textId="77777777" w:rsidTr="00114ABC">
        <w:trPr>
          <w:trHeight w:val="300"/>
        </w:trPr>
        <w:tc>
          <w:tcPr>
            <w:tcW w:w="1412" w:type="pct"/>
            <w:noWrap/>
            <w:hideMark/>
          </w:tcPr>
          <w:p w14:paraId="5FD951A3" w14:textId="172AD8C3" w:rsidR="00861808" w:rsidRPr="00DA529C" w:rsidRDefault="00114ABC" w:rsidP="00861808">
            <w:pPr>
              <w:pStyle w:val="TableText"/>
              <w:keepNext/>
            </w:pPr>
            <w:r>
              <w:t xml:space="preserve">NSW (screens newborns in </w:t>
            </w:r>
            <w:r w:rsidR="00861808" w:rsidRPr="00DA529C">
              <w:t xml:space="preserve">ACT </w:t>
            </w:r>
            <w:r>
              <w:t>and</w:t>
            </w:r>
            <w:r w:rsidR="00861808" w:rsidRPr="00DA529C">
              <w:t xml:space="preserve"> NSW</w:t>
            </w:r>
            <w:r>
              <w:t>)</w:t>
            </w:r>
          </w:p>
        </w:tc>
        <w:tc>
          <w:tcPr>
            <w:tcW w:w="969" w:type="pct"/>
            <w:noWrap/>
            <w:hideMark/>
          </w:tcPr>
          <w:p w14:paraId="2F1DD10D" w14:textId="5FFD06C8" w:rsidR="00861808" w:rsidRPr="00DA529C" w:rsidRDefault="00861808" w:rsidP="00861808">
            <w:pPr>
              <w:pStyle w:val="TableText"/>
              <w:keepNext/>
              <w:jc w:val="center"/>
            </w:pPr>
            <w:r w:rsidRPr="009642EE">
              <w:t>106,279 (34.0%)</w:t>
            </w:r>
          </w:p>
        </w:tc>
        <w:tc>
          <w:tcPr>
            <w:tcW w:w="1075" w:type="pct"/>
            <w:noWrap/>
            <w:hideMark/>
          </w:tcPr>
          <w:p w14:paraId="25E9BCB6" w14:textId="7BA10668" w:rsidR="00861808" w:rsidRPr="00DA529C" w:rsidRDefault="00861808" w:rsidP="00861808">
            <w:pPr>
              <w:pStyle w:val="TableText"/>
              <w:keepNext/>
              <w:jc w:val="center"/>
              <w:rPr>
                <w:rFonts w:eastAsiaTheme="minorHAnsi" w:cstheme="minorBidi"/>
                <w:lang w:eastAsia="en-US"/>
              </w:rPr>
            </w:pPr>
            <w:r w:rsidRPr="009642EE">
              <w:t>383.1%</w:t>
            </w:r>
          </w:p>
        </w:tc>
        <w:tc>
          <w:tcPr>
            <w:tcW w:w="943" w:type="pct"/>
            <w:noWrap/>
            <w:hideMark/>
          </w:tcPr>
          <w:p w14:paraId="12F9558E" w14:textId="1ED67493" w:rsidR="00861808" w:rsidRPr="00DA529C" w:rsidRDefault="00861808" w:rsidP="00861808">
            <w:pPr>
              <w:pStyle w:val="TableText"/>
              <w:keepNext/>
              <w:jc w:val="center"/>
              <w:rPr>
                <w:rFonts w:eastAsiaTheme="minorHAnsi" w:cstheme="minorBidi"/>
                <w:lang w:eastAsia="en-US"/>
              </w:rPr>
            </w:pPr>
            <w:r w:rsidRPr="009642EE">
              <w:t>73.6%</w:t>
            </w:r>
          </w:p>
        </w:tc>
        <w:tc>
          <w:tcPr>
            <w:tcW w:w="601" w:type="pct"/>
            <w:noWrap/>
            <w:hideMark/>
          </w:tcPr>
          <w:p w14:paraId="0253EE59" w14:textId="34B22C4F" w:rsidR="00861808" w:rsidRPr="00DA529C" w:rsidRDefault="00861808" w:rsidP="00861808">
            <w:pPr>
              <w:pStyle w:val="TableText"/>
              <w:keepNext/>
              <w:jc w:val="right"/>
              <w:rPr>
                <w:rFonts w:eastAsiaTheme="minorHAnsi" w:cstheme="minorBidi"/>
                <w:lang w:eastAsia="en-US"/>
              </w:rPr>
            </w:pPr>
            <w:r w:rsidRPr="009642EE">
              <w:t>$3.56</w:t>
            </w:r>
          </w:p>
        </w:tc>
      </w:tr>
      <w:tr w:rsidR="00CE2FFB" w:rsidRPr="00DA529C" w14:paraId="018D423E" w14:textId="77777777" w:rsidTr="00114ABC">
        <w:trPr>
          <w:trHeight w:val="300"/>
        </w:trPr>
        <w:tc>
          <w:tcPr>
            <w:tcW w:w="1412" w:type="pct"/>
            <w:noWrap/>
            <w:hideMark/>
          </w:tcPr>
          <w:p w14:paraId="2E3112C3" w14:textId="09AA4AE1" w:rsidR="00CE2FFB" w:rsidRPr="00DA529C" w:rsidRDefault="00CE2FFB" w:rsidP="00CE2FFB">
            <w:pPr>
              <w:pStyle w:val="TableText"/>
              <w:keepNext/>
              <w:rPr>
                <w:rFonts w:eastAsiaTheme="minorHAnsi" w:cstheme="minorBidi"/>
                <w:lang w:eastAsia="en-US"/>
              </w:rPr>
            </w:pPr>
            <w:r w:rsidRPr="00DA529C">
              <w:rPr>
                <w:rFonts w:eastAsiaTheme="minorHAnsi" w:cstheme="minorBidi"/>
                <w:lang w:eastAsia="en-US"/>
              </w:rPr>
              <w:t>VIC</w:t>
            </w:r>
            <w:r w:rsidR="00114ABC">
              <w:rPr>
                <w:rFonts w:eastAsiaTheme="minorHAnsi" w:cstheme="minorBidi"/>
                <w:lang w:eastAsia="en-US"/>
              </w:rPr>
              <w:t xml:space="preserve"> </w:t>
            </w:r>
            <w:r w:rsidR="00114ABC">
              <w:t>(screens newborns in VIC)</w:t>
            </w:r>
          </w:p>
        </w:tc>
        <w:tc>
          <w:tcPr>
            <w:tcW w:w="969" w:type="pct"/>
            <w:noWrap/>
            <w:hideMark/>
          </w:tcPr>
          <w:p w14:paraId="2BA99064" w14:textId="01DC79AD" w:rsidR="00CE2FFB" w:rsidRPr="00DA529C" w:rsidRDefault="00CE2FFB" w:rsidP="00CE2FFB">
            <w:pPr>
              <w:pStyle w:val="TableText"/>
              <w:keepNext/>
              <w:jc w:val="center"/>
            </w:pPr>
            <w:r w:rsidRPr="006A3A37">
              <w:t>79,280 (25.3%)</w:t>
            </w:r>
          </w:p>
        </w:tc>
        <w:tc>
          <w:tcPr>
            <w:tcW w:w="1075" w:type="pct"/>
            <w:noWrap/>
            <w:hideMark/>
          </w:tcPr>
          <w:p w14:paraId="23152618" w14:textId="34491A3C" w:rsidR="00CE2FFB" w:rsidRPr="00DA529C" w:rsidRDefault="00CE2FFB" w:rsidP="00CE2FFB">
            <w:pPr>
              <w:pStyle w:val="TableText"/>
              <w:keepNext/>
              <w:jc w:val="center"/>
              <w:rPr>
                <w:rFonts w:eastAsiaTheme="minorHAnsi" w:cstheme="minorBidi"/>
                <w:lang w:eastAsia="en-US"/>
              </w:rPr>
            </w:pPr>
            <w:r w:rsidRPr="006A3A37">
              <w:t>260.4%</w:t>
            </w:r>
          </w:p>
        </w:tc>
        <w:tc>
          <w:tcPr>
            <w:tcW w:w="943" w:type="pct"/>
            <w:noWrap/>
            <w:hideMark/>
          </w:tcPr>
          <w:p w14:paraId="7D63316B" w14:textId="1BC393D0" w:rsidR="00CE2FFB" w:rsidRPr="00DA529C" w:rsidRDefault="00CE2FFB" w:rsidP="00CE2FFB">
            <w:pPr>
              <w:pStyle w:val="TableText"/>
              <w:keepNext/>
              <w:jc w:val="center"/>
              <w:rPr>
                <w:rFonts w:eastAsiaTheme="minorHAnsi" w:cstheme="minorBidi"/>
                <w:lang w:eastAsia="en-US"/>
              </w:rPr>
            </w:pPr>
            <w:r w:rsidRPr="006A3A37">
              <w:t>50.0%</w:t>
            </w:r>
          </w:p>
        </w:tc>
        <w:tc>
          <w:tcPr>
            <w:tcW w:w="601" w:type="pct"/>
            <w:noWrap/>
            <w:hideMark/>
          </w:tcPr>
          <w:p w14:paraId="616BD9BE" w14:textId="5E720E29" w:rsidR="00CE2FFB" w:rsidRPr="00DA529C" w:rsidRDefault="00CE2FFB" w:rsidP="00CE2FFB">
            <w:pPr>
              <w:pStyle w:val="TableText"/>
              <w:keepNext/>
              <w:jc w:val="right"/>
              <w:rPr>
                <w:rFonts w:eastAsiaTheme="minorHAnsi" w:cstheme="minorBidi"/>
                <w:lang w:eastAsia="en-US"/>
              </w:rPr>
            </w:pPr>
            <w:r w:rsidRPr="006A3A37">
              <w:t>$6.74</w:t>
            </w:r>
          </w:p>
        </w:tc>
      </w:tr>
      <w:tr w:rsidR="00CE2FFB" w:rsidRPr="00DA529C" w14:paraId="02BDFF6C" w14:textId="77777777" w:rsidTr="00114ABC">
        <w:trPr>
          <w:trHeight w:val="315"/>
        </w:trPr>
        <w:tc>
          <w:tcPr>
            <w:tcW w:w="1412" w:type="pct"/>
            <w:noWrap/>
            <w:hideMark/>
          </w:tcPr>
          <w:p w14:paraId="2332ED70" w14:textId="0BA76DBE" w:rsidR="00CE2FFB" w:rsidRPr="00DA529C" w:rsidRDefault="00114ABC" w:rsidP="00CE2FFB">
            <w:pPr>
              <w:pStyle w:val="TableText"/>
              <w:keepNext/>
              <w:rPr>
                <w:rFonts w:eastAsiaTheme="minorHAnsi" w:cstheme="minorBidi"/>
                <w:lang w:eastAsia="en-US"/>
              </w:rPr>
            </w:pPr>
            <w:r>
              <w:rPr>
                <w:rFonts w:eastAsiaTheme="minorHAnsi" w:cstheme="minorBidi"/>
                <w:lang w:eastAsia="en-US"/>
              </w:rPr>
              <w:t xml:space="preserve">SA </w:t>
            </w:r>
            <w:r>
              <w:t xml:space="preserve">(screens newborns in </w:t>
            </w:r>
            <w:r w:rsidR="00CE2FFB" w:rsidRPr="00DA529C">
              <w:rPr>
                <w:rFonts w:eastAsiaTheme="minorHAnsi" w:cstheme="minorBidi"/>
                <w:lang w:eastAsia="en-US"/>
              </w:rPr>
              <w:t>SA</w:t>
            </w:r>
            <w:r>
              <w:rPr>
                <w:rFonts w:eastAsiaTheme="minorHAnsi" w:cstheme="minorBidi"/>
                <w:lang w:eastAsia="en-US"/>
              </w:rPr>
              <w:t>,</w:t>
            </w:r>
            <w:r w:rsidR="00CE2FFB">
              <w:rPr>
                <w:rFonts w:eastAsiaTheme="minorHAnsi" w:cstheme="minorBidi"/>
                <w:lang w:eastAsia="en-US"/>
              </w:rPr>
              <w:t xml:space="preserve"> TAS</w:t>
            </w:r>
            <w:r>
              <w:rPr>
                <w:rFonts w:eastAsiaTheme="minorHAnsi" w:cstheme="minorBidi"/>
                <w:lang w:eastAsia="en-US"/>
              </w:rPr>
              <w:t xml:space="preserve"> and half of those from NT)</w:t>
            </w:r>
          </w:p>
        </w:tc>
        <w:tc>
          <w:tcPr>
            <w:tcW w:w="969" w:type="pct"/>
            <w:noWrap/>
            <w:hideMark/>
          </w:tcPr>
          <w:p w14:paraId="73CB9BE8" w14:textId="119D76DA" w:rsidR="00CE2FFB" w:rsidRPr="00DA529C" w:rsidRDefault="00CE2FFB" w:rsidP="00CE2FFB">
            <w:pPr>
              <w:pStyle w:val="TableText"/>
              <w:keepNext/>
              <w:jc w:val="center"/>
            </w:pPr>
            <w:r w:rsidRPr="006A3A37">
              <w:t>27,876 (8.9%)</w:t>
            </w:r>
          </w:p>
        </w:tc>
        <w:tc>
          <w:tcPr>
            <w:tcW w:w="1075" w:type="pct"/>
            <w:noWrap/>
            <w:hideMark/>
          </w:tcPr>
          <w:p w14:paraId="6528FDCA" w14:textId="53E574B6" w:rsidR="00CE2FFB" w:rsidRPr="00DA529C" w:rsidRDefault="00CE2FFB" w:rsidP="00CE2FFB">
            <w:pPr>
              <w:pStyle w:val="TableText"/>
              <w:keepNext/>
              <w:jc w:val="center"/>
              <w:rPr>
                <w:rFonts w:eastAsiaTheme="minorHAnsi" w:cstheme="minorBidi"/>
                <w:lang w:eastAsia="en-US"/>
              </w:rPr>
            </w:pPr>
            <w:r w:rsidRPr="006A3A37">
              <w:t>26.7%</w:t>
            </w:r>
          </w:p>
        </w:tc>
        <w:tc>
          <w:tcPr>
            <w:tcW w:w="943" w:type="pct"/>
            <w:noWrap/>
            <w:hideMark/>
          </w:tcPr>
          <w:p w14:paraId="709D2332" w14:textId="3DA9B102" w:rsidR="00CE2FFB" w:rsidRPr="00DA529C" w:rsidRDefault="00CE2FFB" w:rsidP="00CE2FFB">
            <w:pPr>
              <w:pStyle w:val="TableText"/>
              <w:keepNext/>
              <w:jc w:val="center"/>
              <w:rPr>
                <w:rFonts w:eastAsiaTheme="minorHAnsi" w:cstheme="minorBidi"/>
                <w:lang w:eastAsia="en-US"/>
              </w:rPr>
            </w:pPr>
            <w:r w:rsidRPr="006A3A37">
              <w:t>5.1%</w:t>
            </w:r>
          </w:p>
        </w:tc>
        <w:tc>
          <w:tcPr>
            <w:tcW w:w="601" w:type="pct"/>
            <w:noWrap/>
            <w:hideMark/>
          </w:tcPr>
          <w:p w14:paraId="575C15D2" w14:textId="1FE9FC38" w:rsidR="00CE2FFB" w:rsidRPr="00DA529C" w:rsidRDefault="00CE2FFB" w:rsidP="00CE2FFB">
            <w:pPr>
              <w:pStyle w:val="TableText"/>
              <w:keepNext/>
              <w:jc w:val="right"/>
              <w:rPr>
                <w:rFonts w:eastAsiaTheme="minorHAnsi" w:cstheme="minorBidi"/>
                <w:lang w:eastAsia="en-US"/>
              </w:rPr>
            </w:pPr>
            <w:r w:rsidRPr="006A3A37">
              <w:t>$12.81</w:t>
            </w:r>
          </w:p>
        </w:tc>
      </w:tr>
      <w:tr w:rsidR="00861808" w:rsidRPr="00DA529C" w14:paraId="2FDEDE0D" w14:textId="77777777" w:rsidTr="00114ABC">
        <w:trPr>
          <w:trHeight w:val="300"/>
        </w:trPr>
        <w:tc>
          <w:tcPr>
            <w:tcW w:w="1412" w:type="pct"/>
            <w:noWrap/>
            <w:hideMark/>
          </w:tcPr>
          <w:p w14:paraId="4DFC7573" w14:textId="77DF6083" w:rsidR="00861808" w:rsidRPr="00DA529C" w:rsidRDefault="00114ABC" w:rsidP="00861808">
            <w:pPr>
              <w:pStyle w:val="TableText"/>
              <w:keepNext/>
              <w:rPr>
                <w:rFonts w:eastAsiaTheme="minorHAnsi" w:cstheme="minorBidi"/>
                <w:lang w:eastAsia="en-US"/>
              </w:rPr>
            </w:pPr>
            <w:r>
              <w:rPr>
                <w:rFonts w:eastAsiaTheme="minorHAnsi" w:cstheme="minorBidi"/>
                <w:lang w:eastAsia="en-US"/>
              </w:rPr>
              <w:t>QLD (screens QLD and h</w:t>
            </w:r>
            <w:r w:rsidR="00861808" w:rsidRPr="00DA529C">
              <w:rPr>
                <w:rFonts w:eastAsiaTheme="minorHAnsi" w:cstheme="minorBidi"/>
                <w:lang w:eastAsia="en-US"/>
              </w:rPr>
              <w:t xml:space="preserve">alf of </w:t>
            </w:r>
            <w:r>
              <w:rPr>
                <w:rFonts w:eastAsiaTheme="minorHAnsi" w:cstheme="minorBidi"/>
                <w:lang w:eastAsia="en-US"/>
              </w:rPr>
              <w:t xml:space="preserve">those from </w:t>
            </w:r>
            <w:r w:rsidR="00861808" w:rsidRPr="00DA529C">
              <w:rPr>
                <w:rFonts w:eastAsiaTheme="minorHAnsi" w:cstheme="minorBidi"/>
                <w:lang w:eastAsia="en-US"/>
              </w:rPr>
              <w:t>NT</w:t>
            </w:r>
            <w:r>
              <w:rPr>
                <w:rFonts w:eastAsiaTheme="minorHAnsi" w:cstheme="minorBidi"/>
                <w:lang w:eastAsia="en-US"/>
              </w:rPr>
              <w:t>)</w:t>
            </w:r>
          </w:p>
        </w:tc>
        <w:tc>
          <w:tcPr>
            <w:tcW w:w="969" w:type="pct"/>
            <w:noWrap/>
            <w:hideMark/>
          </w:tcPr>
          <w:p w14:paraId="6932A4DA" w14:textId="6BFC033E" w:rsidR="00861808" w:rsidRPr="00DA529C" w:rsidRDefault="00861808" w:rsidP="00861808">
            <w:pPr>
              <w:pStyle w:val="TableText"/>
              <w:keepNext/>
              <w:jc w:val="center"/>
            </w:pPr>
            <w:r w:rsidRPr="009642EE">
              <w:t>66,704 (21.3%)</w:t>
            </w:r>
          </w:p>
        </w:tc>
        <w:tc>
          <w:tcPr>
            <w:tcW w:w="1075" w:type="pct"/>
            <w:noWrap/>
            <w:hideMark/>
          </w:tcPr>
          <w:p w14:paraId="56EB3B80" w14:textId="53562548" w:rsidR="00861808" w:rsidRPr="00DA529C" w:rsidRDefault="00861808" w:rsidP="00861808">
            <w:pPr>
              <w:pStyle w:val="TableText"/>
              <w:keepNext/>
              <w:jc w:val="center"/>
              <w:rPr>
                <w:rFonts w:eastAsiaTheme="minorHAnsi" w:cstheme="minorBidi"/>
                <w:lang w:eastAsia="en-US"/>
              </w:rPr>
            </w:pPr>
            <w:r w:rsidRPr="009642EE">
              <w:t>203.2%</w:t>
            </w:r>
          </w:p>
        </w:tc>
        <w:tc>
          <w:tcPr>
            <w:tcW w:w="943" w:type="pct"/>
            <w:noWrap/>
            <w:hideMark/>
          </w:tcPr>
          <w:p w14:paraId="19568474" w14:textId="1A08D421" w:rsidR="00861808" w:rsidRPr="00DA529C" w:rsidRDefault="00861808" w:rsidP="00861808">
            <w:pPr>
              <w:pStyle w:val="TableText"/>
              <w:keepNext/>
              <w:jc w:val="center"/>
              <w:rPr>
                <w:rFonts w:eastAsiaTheme="minorHAnsi" w:cstheme="minorBidi"/>
                <w:lang w:eastAsia="en-US"/>
              </w:rPr>
            </w:pPr>
            <w:r w:rsidRPr="009642EE">
              <w:t>39.1%</w:t>
            </w:r>
          </w:p>
        </w:tc>
        <w:tc>
          <w:tcPr>
            <w:tcW w:w="601" w:type="pct"/>
            <w:noWrap/>
            <w:hideMark/>
          </w:tcPr>
          <w:p w14:paraId="27241FA6" w14:textId="2FE57280" w:rsidR="00861808" w:rsidRPr="00DA529C" w:rsidRDefault="00861808" w:rsidP="00861808">
            <w:pPr>
              <w:pStyle w:val="TableText"/>
              <w:keepNext/>
              <w:jc w:val="right"/>
              <w:rPr>
                <w:rFonts w:eastAsiaTheme="minorHAnsi" w:cstheme="minorBidi"/>
                <w:lang w:eastAsia="en-US"/>
              </w:rPr>
            </w:pPr>
            <w:r w:rsidRPr="009642EE">
              <w:t>$8.23</w:t>
            </w:r>
          </w:p>
        </w:tc>
      </w:tr>
      <w:tr w:rsidR="00861808" w:rsidRPr="00DA529C" w14:paraId="7FDD50C1" w14:textId="77777777" w:rsidTr="00114ABC">
        <w:trPr>
          <w:trHeight w:val="300"/>
        </w:trPr>
        <w:tc>
          <w:tcPr>
            <w:tcW w:w="1412" w:type="pct"/>
            <w:noWrap/>
            <w:hideMark/>
          </w:tcPr>
          <w:p w14:paraId="13F95BC9" w14:textId="6AE25AA9" w:rsidR="00861808" w:rsidRPr="00DA529C" w:rsidRDefault="00861808" w:rsidP="00861808">
            <w:pPr>
              <w:pStyle w:val="TableText"/>
              <w:keepNext/>
              <w:rPr>
                <w:rFonts w:eastAsiaTheme="minorHAnsi" w:cstheme="minorBidi"/>
                <w:lang w:eastAsia="en-US"/>
              </w:rPr>
            </w:pPr>
            <w:r w:rsidRPr="00DA529C">
              <w:rPr>
                <w:rFonts w:eastAsiaTheme="minorHAnsi" w:cstheme="minorBidi"/>
                <w:lang w:eastAsia="en-US"/>
              </w:rPr>
              <w:t>WA</w:t>
            </w:r>
            <w:r w:rsidR="00114ABC">
              <w:rPr>
                <w:rFonts w:eastAsiaTheme="minorHAnsi" w:cstheme="minorBidi"/>
                <w:lang w:eastAsia="en-US"/>
              </w:rPr>
              <w:t xml:space="preserve"> </w:t>
            </w:r>
            <w:r w:rsidR="00114ABC">
              <w:t>(screens newborns in WA)</w:t>
            </w:r>
          </w:p>
        </w:tc>
        <w:tc>
          <w:tcPr>
            <w:tcW w:w="969" w:type="pct"/>
            <w:noWrap/>
            <w:hideMark/>
          </w:tcPr>
          <w:p w14:paraId="6042F74C" w14:textId="422C8895" w:rsidR="00861808" w:rsidRPr="00DA529C" w:rsidRDefault="00861808" w:rsidP="00861808">
            <w:pPr>
              <w:pStyle w:val="TableText"/>
              <w:keepNext/>
              <w:jc w:val="center"/>
            </w:pPr>
            <w:r w:rsidRPr="009642EE">
              <w:t>32,752 (10.5%)</w:t>
            </w:r>
          </w:p>
        </w:tc>
        <w:tc>
          <w:tcPr>
            <w:tcW w:w="1075" w:type="pct"/>
            <w:noWrap/>
            <w:hideMark/>
          </w:tcPr>
          <w:p w14:paraId="0416112E" w14:textId="7ED4E7F1" w:rsidR="00861808" w:rsidRPr="00DA529C" w:rsidRDefault="00861808" w:rsidP="00861808">
            <w:pPr>
              <w:pStyle w:val="TableText"/>
              <w:keepNext/>
              <w:jc w:val="center"/>
              <w:rPr>
                <w:rFonts w:eastAsiaTheme="minorHAnsi" w:cstheme="minorBidi"/>
                <w:lang w:eastAsia="en-US"/>
              </w:rPr>
            </w:pPr>
            <w:r w:rsidRPr="009642EE">
              <w:t>48.9%</w:t>
            </w:r>
          </w:p>
        </w:tc>
        <w:tc>
          <w:tcPr>
            <w:tcW w:w="943" w:type="pct"/>
            <w:noWrap/>
            <w:hideMark/>
          </w:tcPr>
          <w:p w14:paraId="5D9DBAC5" w14:textId="61405A3D" w:rsidR="00861808" w:rsidRPr="00DA529C" w:rsidRDefault="00861808" w:rsidP="00861808">
            <w:pPr>
              <w:pStyle w:val="TableText"/>
              <w:keepNext/>
              <w:jc w:val="center"/>
              <w:rPr>
                <w:rFonts w:eastAsiaTheme="minorHAnsi" w:cstheme="minorBidi"/>
                <w:lang w:eastAsia="en-US"/>
              </w:rPr>
            </w:pPr>
            <w:r w:rsidRPr="009642EE">
              <w:t>9.4%</w:t>
            </w:r>
          </w:p>
        </w:tc>
        <w:tc>
          <w:tcPr>
            <w:tcW w:w="601" w:type="pct"/>
            <w:noWrap/>
            <w:hideMark/>
          </w:tcPr>
          <w:p w14:paraId="07130617" w14:textId="3AF5D351" w:rsidR="00861808" w:rsidRPr="00DA529C" w:rsidRDefault="00861808" w:rsidP="00861808">
            <w:pPr>
              <w:pStyle w:val="TableText"/>
              <w:keepNext/>
              <w:jc w:val="right"/>
              <w:rPr>
                <w:rFonts w:eastAsiaTheme="minorHAnsi" w:cstheme="minorBidi"/>
                <w:lang w:eastAsia="en-US"/>
              </w:rPr>
            </w:pPr>
            <w:r w:rsidRPr="009642EE">
              <w:t>$12.23</w:t>
            </w:r>
          </w:p>
        </w:tc>
      </w:tr>
      <w:tr w:rsidR="00861808" w:rsidRPr="00DA529C" w14:paraId="16845916" w14:textId="77777777" w:rsidTr="00114ABC">
        <w:trPr>
          <w:trHeight w:val="300"/>
        </w:trPr>
        <w:tc>
          <w:tcPr>
            <w:tcW w:w="1412" w:type="pct"/>
            <w:tcBorders>
              <w:bottom w:val="single" w:sz="4" w:space="0" w:color="auto"/>
            </w:tcBorders>
            <w:noWrap/>
            <w:hideMark/>
          </w:tcPr>
          <w:p w14:paraId="6870095A" w14:textId="77777777" w:rsidR="00861808" w:rsidRPr="00DA529C" w:rsidRDefault="00861808" w:rsidP="00861808">
            <w:pPr>
              <w:pStyle w:val="TableText"/>
              <w:keepNext/>
              <w:rPr>
                <w:rFonts w:eastAsiaTheme="minorHAnsi" w:cstheme="minorBidi"/>
                <w:lang w:eastAsia="en-US"/>
              </w:rPr>
            </w:pPr>
            <w:r w:rsidRPr="00DA529C">
              <w:rPr>
                <w:rFonts w:eastAsiaTheme="minorHAnsi" w:cstheme="minorBidi"/>
                <w:lang w:eastAsia="en-US"/>
              </w:rPr>
              <w:t>Median</w:t>
            </w:r>
            <w:r>
              <w:rPr>
                <w:rFonts w:eastAsiaTheme="minorHAnsi" w:cstheme="minorBidi"/>
                <w:lang w:eastAsia="en-US"/>
              </w:rPr>
              <w:t xml:space="preserve"> no. samples tested</w:t>
            </w:r>
          </w:p>
        </w:tc>
        <w:tc>
          <w:tcPr>
            <w:tcW w:w="969" w:type="pct"/>
            <w:tcBorders>
              <w:bottom w:val="single" w:sz="4" w:space="0" w:color="auto"/>
            </w:tcBorders>
            <w:noWrap/>
            <w:hideMark/>
          </w:tcPr>
          <w:p w14:paraId="2D23AAAC" w14:textId="1D193BF9" w:rsidR="00861808" w:rsidRPr="00DA529C" w:rsidRDefault="00861808" w:rsidP="00861808">
            <w:pPr>
              <w:pStyle w:val="TableText"/>
              <w:keepNext/>
              <w:jc w:val="center"/>
            </w:pPr>
            <w:r w:rsidRPr="009642EE">
              <w:t>66,704</w:t>
            </w:r>
          </w:p>
        </w:tc>
        <w:tc>
          <w:tcPr>
            <w:tcW w:w="1075" w:type="pct"/>
            <w:tcBorders>
              <w:bottom w:val="single" w:sz="4" w:space="0" w:color="auto"/>
            </w:tcBorders>
            <w:noWrap/>
            <w:hideMark/>
          </w:tcPr>
          <w:p w14:paraId="4C574E51" w14:textId="2D4C37D3" w:rsidR="00861808" w:rsidRPr="00DA529C" w:rsidRDefault="00861808" w:rsidP="00861808">
            <w:pPr>
              <w:pStyle w:val="TableText"/>
              <w:keepNext/>
              <w:jc w:val="center"/>
            </w:pPr>
            <w:r w:rsidRPr="009642EE">
              <w:t>203.2%</w:t>
            </w:r>
          </w:p>
        </w:tc>
        <w:tc>
          <w:tcPr>
            <w:tcW w:w="943" w:type="pct"/>
            <w:tcBorders>
              <w:bottom w:val="single" w:sz="4" w:space="0" w:color="auto"/>
            </w:tcBorders>
            <w:noWrap/>
            <w:hideMark/>
          </w:tcPr>
          <w:p w14:paraId="4C645E5B" w14:textId="6FBADAC6" w:rsidR="00861808" w:rsidRPr="00DA529C" w:rsidRDefault="00861808" w:rsidP="00861808">
            <w:pPr>
              <w:pStyle w:val="TableText"/>
              <w:keepNext/>
              <w:jc w:val="center"/>
              <w:rPr>
                <w:rFonts w:eastAsiaTheme="minorHAnsi" w:cstheme="minorBidi"/>
                <w:lang w:eastAsia="en-US"/>
              </w:rPr>
            </w:pPr>
            <w:r w:rsidRPr="009642EE">
              <w:t>39.1%</w:t>
            </w:r>
          </w:p>
        </w:tc>
        <w:tc>
          <w:tcPr>
            <w:tcW w:w="601" w:type="pct"/>
            <w:tcBorders>
              <w:bottom w:val="single" w:sz="4" w:space="0" w:color="auto"/>
            </w:tcBorders>
            <w:noWrap/>
            <w:hideMark/>
          </w:tcPr>
          <w:p w14:paraId="4184963C" w14:textId="20DB9A72" w:rsidR="00861808" w:rsidRPr="00DA529C" w:rsidRDefault="00861808" w:rsidP="00861808">
            <w:pPr>
              <w:pStyle w:val="TableText"/>
              <w:keepNext/>
              <w:jc w:val="right"/>
              <w:rPr>
                <w:rFonts w:eastAsiaTheme="minorHAnsi" w:cstheme="minorBidi"/>
                <w:lang w:eastAsia="en-US"/>
              </w:rPr>
            </w:pPr>
            <w:r w:rsidRPr="009642EE">
              <w:t>$8.23</w:t>
            </w:r>
          </w:p>
        </w:tc>
      </w:tr>
      <w:tr w:rsidR="00861808" w:rsidRPr="00DA529C" w14:paraId="670F6C36" w14:textId="77777777" w:rsidTr="00114ABC">
        <w:trPr>
          <w:trHeight w:val="315"/>
        </w:trPr>
        <w:tc>
          <w:tcPr>
            <w:tcW w:w="1412" w:type="pct"/>
            <w:tcBorders>
              <w:bottom w:val="double" w:sz="4" w:space="0" w:color="auto"/>
              <w:right w:val="nil"/>
            </w:tcBorders>
            <w:noWrap/>
            <w:hideMark/>
          </w:tcPr>
          <w:p w14:paraId="6E5A59EF" w14:textId="77777777" w:rsidR="00861808" w:rsidRPr="00DA529C" w:rsidRDefault="00861808" w:rsidP="00861808">
            <w:pPr>
              <w:pStyle w:val="TableText"/>
              <w:keepNext/>
              <w:rPr>
                <w:rFonts w:eastAsiaTheme="minorHAnsi" w:cstheme="minorBidi"/>
                <w:lang w:eastAsia="en-US"/>
              </w:rPr>
            </w:pPr>
            <w:r>
              <w:rPr>
                <w:rFonts w:eastAsiaTheme="minorHAnsi" w:cstheme="minorBidi"/>
                <w:lang w:eastAsia="en-US"/>
              </w:rPr>
              <w:t>Weighted average</w:t>
            </w:r>
          </w:p>
        </w:tc>
        <w:tc>
          <w:tcPr>
            <w:tcW w:w="969" w:type="pct"/>
            <w:tcBorders>
              <w:left w:val="nil"/>
              <w:bottom w:val="double" w:sz="4" w:space="0" w:color="auto"/>
              <w:right w:val="nil"/>
            </w:tcBorders>
            <w:noWrap/>
            <w:hideMark/>
          </w:tcPr>
          <w:p w14:paraId="1B3927D4" w14:textId="77777777" w:rsidR="00861808" w:rsidRPr="00DA529C" w:rsidRDefault="00861808" w:rsidP="00861808">
            <w:pPr>
              <w:pStyle w:val="TableText"/>
              <w:keepNext/>
            </w:pPr>
          </w:p>
        </w:tc>
        <w:tc>
          <w:tcPr>
            <w:tcW w:w="1075" w:type="pct"/>
            <w:tcBorders>
              <w:left w:val="nil"/>
              <w:bottom w:val="double" w:sz="4" w:space="0" w:color="auto"/>
              <w:right w:val="nil"/>
            </w:tcBorders>
            <w:noWrap/>
            <w:hideMark/>
          </w:tcPr>
          <w:p w14:paraId="7AB9A92F" w14:textId="77777777" w:rsidR="00861808" w:rsidRPr="00DA529C" w:rsidRDefault="00861808" w:rsidP="00861808">
            <w:pPr>
              <w:pStyle w:val="TableText"/>
              <w:keepNext/>
            </w:pPr>
          </w:p>
        </w:tc>
        <w:tc>
          <w:tcPr>
            <w:tcW w:w="943" w:type="pct"/>
            <w:tcBorders>
              <w:left w:val="nil"/>
              <w:bottom w:val="double" w:sz="4" w:space="0" w:color="auto"/>
            </w:tcBorders>
            <w:noWrap/>
            <w:hideMark/>
          </w:tcPr>
          <w:p w14:paraId="3F9C609E" w14:textId="77777777" w:rsidR="00861808" w:rsidRPr="00DA529C" w:rsidRDefault="00861808" w:rsidP="00861808">
            <w:pPr>
              <w:pStyle w:val="TableText"/>
              <w:keepNext/>
            </w:pPr>
          </w:p>
        </w:tc>
        <w:tc>
          <w:tcPr>
            <w:tcW w:w="601" w:type="pct"/>
            <w:tcBorders>
              <w:bottom w:val="double" w:sz="4" w:space="0" w:color="auto"/>
            </w:tcBorders>
            <w:noWrap/>
            <w:hideMark/>
          </w:tcPr>
          <w:p w14:paraId="6D3360A4" w14:textId="2C66CFA9" w:rsidR="00861808" w:rsidRPr="00DA529C" w:rsidRDefault="00861808" w:rsidP="00861808">
            <w:pPr>
              <w:pStyle w:val="TableText"/>
              <w:keepNext/>
              <w:jc w:val="right"/>
            </w:pPr>
            <w:r w:rsidRPr="009642EE">
              <w:t>$</w:t>
            </w:r>
            <w:r w:rsidR="00CE2FFB">
              <w:t>7.09</w:t>
            </w:r>
          </w:p>
        </w:tc>
      </w:tr>
      <w:tr w:rsidR="007C71DB" w:rsidRPr="00AD3055" w14:paraId="3B1EB75C" w14:textId="77777777" w:rsidTr="00BC3471">
        <w:trPr>
          <w:trHeight w:val="300"/>
        </w:trPr>
        <w:tc>
          <w:tcPr>
            <w:tcW w:w="5000" w:type="pct"/>
            <w:gridSpan w:val="5"/>
            <w:tcBorders>
              <w:top w:val="double" w:sz="4" w:space="0" w:color="auto"/>
            </w:tcBorders>
            <w:noWrap/>
          </w:tcPr>
          <w:p w14:paraId="61920D8D" w14:textId="6D60FBAD" w:rsidR="007C71DB" w:rsidRPr="00DA529C" w:rsidRDefault="007D736D" w:rsidP="00AD3055">
            <w:pPr>
              <w:pStyle w:val="TableText"/>
              <w:keepNext/>
            </w:pPr>
            <w:r>
              <w:t>A</w:t>
            </w:r>
            <w:r w:rsidR="00AB5D94">
              <w:t>pproach</w:t>
            </w:r>
            <w:r>
              <w:t xml:space="preserve"> 2</w:t>
            </w:r>
            <w:r w:rsidR="00AB5D94">
              <w:t xml:space="preserve">: </w:t>
            </w:r>
            <w:r w:rsidR="007C71DB">
              <w:t xml:space="preserve">ABS population projections </w:t>
            </w:r>
            <w:r w:rsidR="00D404F4">
              <w:t>(Series B)</w:t>
            </w:r>
            <w:r w:rsidR="007C71DB">
              <w:t xml:space="preserve"> </w:t>
            </w:r>
            <w:r w:rsidR="009D11AB">
              <w:t>of persons in Australia, age 0, in 2023</w:t>
            </w:r>
            <w:r w:rsidR="003409DF" w:rsidRPr="003409DF">
              <w:rPr>
                <w:vertAlign w:val="superscript"/>
              </w:rPr>
              <w:t>d</w:t>
            </w:r>
          </w:p>
        </w:tc>
      </w:tr>
      <w:tr w:rsidR="00114ABC" w:rsidRPr="00DA529C" w14:paraId="579A0C21" w14:textId="77777777" w:rsidTr="00114ABC">
        <w:trPr>
          <w:trHeight w:val="300"/>
        </w:trPr>
        <w:tc>
          <w:tcPr>
            <w:tcW w:w="1412" w:type="pct"/>
            <w:noWrap/>
            <w:hideMark/>
          </w:tcPr>
          <w:p w14:paraId="3DA7D4F3" w14:textId="14282721" w:rsidR="00114ABC" w:rsidRPr="00DA529C" w:rsidRDefault="00114ABC" w:rsidP="00114ABC">
            <w:pPr>
              <w:pStyle w:val="TableText"/>
              <w:keepNext/>
            </w:pPr>
            <w:r>
              <w:t xml:space="preserve">NSW (screens newborns in </w:t>
            </w:r>
            <w:r w:rsidRPr="00DA529C">
              <w:t xml:space="preserve">ACT </w:t>
            </w:r>
            <w:r>
              <w:t>and</w:t>
            </w:r>
            <w:r w:rsidRPr="00DA529C">
              <w:t xml:space="preserve"> NSW</w:t>
            </w:r>
            <w:r>
              <w:t>)</w:t>
            </w:r>
          </w:p>
        </w:tc>
        <w:tc>
          <w:tcPr>
            <w:tcW w:w="969" w:type="pct"/>
            <w:noWrap/>
            <w:hideMark/>
          </w:tcPr>
          <w:p w14:paraId="6AA14C89" w14:textId="78680E82" w:rsidR="00114ABC" w:rsidRPr="00DA529C" w:rsidRDefault="00114ABC" w:rsidP="00114ABC">
            <w:pPr>
              <w:pStyle w:val="TableText"/>
              <w:keepNext/>
              <w:jc w:val="center"/>
            </w:pPr>
            <w:r w:rsidRPr="00DA529C">
              <w:t>121,224</w:t>
            </w:r>
            <w:r>
              <w:t xml:space="preserve"> (34.3%)</w:t>
            </w:r>
          </w:p>
        </w:tc>
        <w:tc>
          <w:tcPr>
            <w:tcW w:w="1075" w:type="pct"/>
            <w:noWrap/>
            <w:hideMark/>
          </w:tcPr>
          <w:p w14:paraId="6F50B9FA" w14:textId="092E2F4E"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451.0</w:t>
            </w:r>
            <w:r>
              <w:rPr>
                <w:rFonts w:eastAsiaTheme="minorHAnsi" w:cstheme="minorBidi"/>
                <w:lang w:eastAsia="en-US"/>
              </w:rPr>
              <w:t>%</w:t>
            </w:r>
          </w:p>
        </w:tc>
        <w:tc>
          <w:tcPr>
            <w:tcW w:w="943" w:type="pct"/>
            <w:noWrap/>
            <w:hideMark/>
          </w:tcPr>
          <w:p w14:paraId="06FB9027" w14:textId="718AA1CE"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86.7</w:t>
            </w:r>
            <w:r>
              <w:rPr>
                <w:rFonts w:eastAsiaTheme="minorHAnsi" w:cstheme="minorBidi"/>
                <w:lang w:eastAsia="en-US"/>
              </w:rPr>
              <w:t>%</w:t>
            </w:r>
          </w:p>
        </w:tc>
        <w:tc>
          <w:tcPr>
            <w:tcW w:w="601" w:type="pct"/>
            <w:noWrap/>
            <w:hideMark/>
          </w:tcPr>
          <w:p w14:paraId="7BD5E408" w14:textId="77777777" w:rsidR="00114ABC" w:rsidRPr="00DA529C" w:rsidRDefault="00114ABC" w:rsidP="00114ABC">
            <w:pPr>
              <w:pStyle w:val="TableText"/>
              <w:keepNext/>
              <w:jc w:val="right"/>
              <w:rPr>
                <w:rFonts w:eastAsiaTheme="minorHAnsi" w:cstheme="minorBidi"/>
                <w:lang w:eastAsia="en-US"/>
              </w:rPr>
            </w:pPr>
            <w:r w:rsidRPr="00DA529C">
              <w:rPr>
                <w:rFonts w:eastAsiaTheme="minorHAnsi" w:cstheme="minorBidi"/>
                <w:lang w:eastAsia="en-US"/>
              </w:rPr>
              <w:t>$2.00</w:t>
            </w:r>
          </w:p>
        </w:tc>
      </w:tr>
      <w:tr w:rsidR="00114ABC" w:rsidRPr="00DA529C" w14:paraId="370B08BB" w14:textId="77777777" w:rsidTr="00114ABC">
        <w:trPr>
          <w:trHeight w:val="300"/>
        </w:trPr>
        <w:tc>
          <w:tcPr>
            <w:tcW w:w="1412" w:type="pct"/>
            <w:noWrap/>
            <w:hideMark/>
          </w:tcPr>
          <w:p w14:paraId="4BD02654" w14:textId="1FC1BDA1" w:rsidR="00114ABC" w:rsidRPr="00DA529C" w:rsidRDefault="00114ABC" w:rsidP="00114ABC">
            <w:pPr>
              <w:pStyle w:val="TableText"/>
              <w:keepNext/>
              <w:rPr>
                <w:rFonts w:eastAsiaTheme="minorHAnsi" w:cstheme="minorBidi"/>
                <w:lang w:eastAsia="en-US"/>
              </w:rPr>
            </w:pPr>
            <w:r w:rsidRPr="00DA529C">
              <w:rPr>
                <w:rFonts w:eastAsiaTheme="minorHAnsi" w:cstheme="minorBidi"/>
                <w:lang w:eastAsia="en-US"/>
              </w:rPr>
              <w:t>VIC</w:t>
            </w:r>
            <w:r>
              <w:rPr>
                <w:rFonts w:eastAsiaTheme="minorHAnsi" w:cstheme="minorBidi"/>
                <w:lang w:eastAsia="en-US"/>
              </w:rPr>
              <w:t xml:space="preserve"> </w:t>
            </w:r>
            <w:r>
              <w:t>(screens newborns in VIC)</w:t>
            </w:r>
          </w:p>
        </w:tc>
        <w:tc>
          <w:tcPr>
            <w:tcW w:w="969" w:type="pct"/>
            <w:noWrap/>
            <w:hideMark/>
          </w:tcPr>
          <w:p w14:paraId="0B5B4447" w14:textId="0B7C76A6" w:rsidR="00114ABC" w:rsidRPr="00DA529C" w:rsidRDefault="00114ABC" w:rsidP="00114ABC">
            <w:pPr>
              <w:pStyle w:val="TableText"/>
              <w:keepNext/>
              <w:jc w:val="center"/>
            </w:pPr>
            <w:r w:rsidRPr="006A75A4">
              <w:t>94,567 (26.8%)</w:t>
            </w:r>
          </w:p>
        </w:tc>
        <w:tc>
          <w:tcPr>
            <w:tcW w:w="1075" w:type="pct"/>
            <w:noWrap/>
            <w:hideMark/>
          </w:tcPr>
          <w:p w14:paraId="72215EAF" w14:textId="7F3A4326" w:rsidR="00114ABC" w:rsidRPr="00DA529C" w:rsidRDefault="00114ABC" w:rsidP="00114ABC">
            <w:pPr>
              <w:pStyle w:val="TableText"/>
              <w:keepNext/>
              <w:jc w:val="center"/>
              <w:rPr>
                <w:rFonts w:eastAsiaTheme="minorHAnsi" w:cstheme="minorBidi"/>
                <w:lang w:eastAsia="en-US"/>
              </w:rPr>
            </w:pPr>
            <w:r w:rsidRPr="006A75A4">
              <w:t>329.9%</w:t>
            </w:r>
          </w:p>
        </w:tc>
        <w:tc>
          <w:tcPr>
            <w:tcW w:w="943" w:type="pct"/>
            <w:noWrap/>
            <w:hideMark/>
          </w:tcPr>
          <w:p w14:paraId="053A4B66" w14:textId="1DCC9437" w:rsidR="00114ABC" w:rsidRPr="00DA529C" w:rsidRDefault="00114ABC" w:rsidP="00114ABC">
            <w:pPr>
              <w:pStyle w:val="TableText"/>
              <w:keepNext/>
              <w:jc w:val="center"/>
              <w:rPr>
                <w:rFonts w:eastAsiaTheme="minorHAnsi" w:cstheme="minorBidi"/>
                <w:lang w:eastAsia="en-US"/>
              </w:rPr>
            </w:pPr>
            <w:r w:rsidRPr="006A75A4">
              <w:t>63.4%</w:t>
            </w:r>
          </w:p>
        </w:tc>
        <w:tc>
          <w:tcPr>
            <w:tcW w:w="601" w:type="pct"/>
            <w:noWrap/>
            <w:hideMark/>
          </w:tcPr>
          <w:p w14:paraId="286B4A38" w14:textId="6B3E3A53" w:rsidR="00114ABC" w:rsidRPr="00DA529C" w:rsidRDefault="00114ABC" w:rsidP="00114ABC">
            <w:pPr>
              <w:pStyle w:val="TableText"/>
              <w:keepNext/>
              <w:jc w:val="right"/>
              <w:rPr>
                <w:rFonts w:eastAsiaTheme="minorHAnsi" w:cstheme="minorBidi"/>
                <w:lang w:eastAsia="en-US"/>
              </w:rPr>
            </w:pPr>
            <w:r w:rsidRPr="006A75A4">
              <w:t>$4.94</w:t>
            </w:r>
          </w:p>
        </w:tc>
      </w:tr>
      <w:tr w:rsidR="00114ABC" w:rsidRPr="00DA529C" w14:paraId="2520C534" w14:textId="77777777" w:rsidTr="00114ABC">
        <w:trPr>
          <w:trHeight w:val="315"/>
        </w:trPr>
        <w:tc>
          <w:tcPr>
            <w:tcW w:w="1412" w:type="pct"/>
            <w:noWrap/>
            <w:hideMark/>
          </w:tcPr>
          <w:p w14:paraId="3D5AC53A" w14:textId="6CD7FB61" w:rsidR="00114ABC" w:rsidRPr="00DA529C" w:rsidRDefault="00114ABC" w:rsidP="00114ABC">
            <w:pPr>
              <w:pStyle w:val="TableText"/>
              <w:keepNext/>
              <w:rPr>
                <w:rFonts w:eastAsiaTheme="minorHAnsi" w:cstheme="minorBidi"/>
                <w:lang w:eastAsia="en-US"/>
              </w:rPr>
            </w:pPr>
            <w:r>
              <w:rPr>
                <w:rFonts w:eastAsiaTheme="minorHAnsi" w:cstheme="minorBidi"/>
                <w:lang w:eastAsia="en-US"/>
              </w:rPr>
              <w:t xml:space="preserve">SA </w:t>
            </w:r>
            <w:r>
              <w:t xml:space="preserve">(screens newborns in </w:t>
            </w:r>
            <w:r w:rsidRPr="00DA529C">
              <w:rPr>
                <w:rFonts w:eastAsiaTheme="minorHAnsi" w:cstheme="minorBidi"/>
                <w:lang w:eastAsia="en-US"/>
              </w:rPr>
              <w:t>SA</w:t>
            </w:r>
            <w:r>
              <w:rPr>
                <w:rFonts w:eastAsiaTheme="minorHAnsi" w:cstheme="minorBidi"/>
                <w:lang w:eastAsia="en-US"/>
              </w:rPr>
              <w:t>, TAS and half of those from NT)</w:t>
            </w:r>
          </w:p>
        </w:tc>
        <w:tc>
          <w:tcPr>
            <w:tcW w:w="969" w:type="pct"/>
            <w:noWrap/>
            <w:hideMark/>
          </w:tcPr>
          <w:p w14:paraId="5E4D0CFF" w14:textId="22F0C277" w:rsidR="00114ABC" w:rsidRPr="00DA529C" w:rsidRDefault="00114ABC" w:rsidP="00114ABC">
            <w:pPr>
              <w:pStyle w:val="TableText"/>
              <w:keepNext/>
              <w:jc w:val="center"/>
            </w:pPr>
            <w:r w:rsidRPr="006A75A4">
              <w:t>28,956 (8.2%)</w:t>
            </w:r>
          </w:p>
        </w:tc>
        <w:tc>
          <w:tcPr>
            <w:tcW w:w="1075" w:type="pct"/>
            <w:noWrap/>
            <w:hideMark/>
          </w:tcPr>
          <w:p w14:paraId="75152B92" w14:textId="6C8EAA72" w:rsidR="00114ABC" w:rsidRPr="00DA529C" w:rsidRDefault="00114ABC" w:rsidP="00114ABC">
            <w:pPr>
              <w:pStyle w:val="TableText"/>
              <w:keepNext/>
              <w:jc w:val="center"/>
              <w:rPr>
                <w:rFonts w:eastAsiaTheme="minorHAnsi" w:cstheme="minorBidi"/>
                <w:lang w:eastAsia="en-US"/>
              </w:rPr>
            </w:pPr>
            <w:r w:rsidRPr="006A75A4">
              <w:t>31.6%</w:t>
            </w:r>
          </w:p>
        </w:tc>
        <w:tc>
          <w:tcPr>
            <w:tcW w:w="943" w:type="pct"/>
            <w:noWrap/>
            <w:hideMark/>
          </w:tcPr>
          <w:p w14:paraId="483576CD" w14:textId="4F6294D7" w:rsidR="00114ABC" w:rsidRPr="00DA529C" w:rsidRDefault="00114ABC" w:rsidP="00114ABC">
            <w:pPr>
              <w:pStyle w:val="TableText"/>
              <w:keepNext/>
              <w:jc w:val="center"/>
              <w:rPr>
                <w:rFonts w:eastAsiaTheme="minorHAnsi" w:cstheme="minorBidi"/>
                <w:lang w:eastAsia="en-US"/>
              </w:rPr>
            </w:pPr>
            <w:r w:rsidRPr="006A75A4">
              <w:t>6.1%</w:t>
            </w:r>
          </w:p>
        </w:tc>
        <w:tc>
          <w:tcPr>
            <w:tcW w:w="601" w:type="pct"/>
            <w:noWrap/>
            <w:hideMark/>
          </w:tcPr>
          <w:p w14:paraId="461B6C91" w14:textId="340B07B7" w:rsidR="00114ABC" w:rsidRPr="00DA529C" w:rsidRDefault="00114ABC" w:rsidP="00114ABC">
            <w:pPr>
              <w:pStyle w:val="TableText"/>
              <w:keepNext/>
              <w:jc w:val="right"/>
              <w:rPr>
                <w:rFonts w:eastAsiaTheme="minorHAnsi" w:cstheme="minorBidi"/>
                <w:lang w:eastAsia="en-US"/>
              </w:rPr>
            </w:pPr>
            <w:r w:rsidRPr="006A75A4">
              <w:t>$12.68</w:t>
            </w:r>
          </w:p>
        </w:tc>
      </w:tr>
      <w:tr w:rsidR="00114ABC" w:rsidRPr="00DA529C" w14:paraId="32FF9375" w14:textId="77777777" w:rsidTr="00114ABC">
        <w:trPr>
          <w:trHeight w:val="300"/>
        </w:trPr>
        <w:tc>
          <w:tcPr>
            <w:tcW w:w="1412" w:type="pct"/>
            <w:noWrap/>
            <w:hideMark/>
          </w:tcPr>
          <w:p w14:paraId="753A1D26" w14:textId="35EDC01D" w:rsidR="00114ABC" w:rsidRPr="00DA529C" w:rsidRDefault="00114ABC" w:rsidP="00114ABC">
            <w:pPr>
              <w:pStyle w:val="TableText"/>
              <w:keepNext/>
              <w:rPr>
                <w:rFonts w:eastAsiaTheme="minorHAnsi" w:cstheme="minorBidi"/>
                <w:lang w:eastAsia="en-US"/>
              </w:rPr>
            </w:pPr>
            <w:r>
              <w:rPr>
                <w:rFonts w:eastAsiaTheme="minorHAnsi" w:cstheme="minorBidi"/>
                <w:lang w:eastAsia="en-US"/>
              </w:rPr>
              <w:t>QLD (screens QLD and h</w:t>
            </w:r>
            <w:r w:rsidRPr="00DA529C">
              <w:rPr>
                <w:rFonts w:eastAsiaTheme="minorHAnsi" w:cstheme="minorBidi"/>
                <w:lang w:eastAsia="en-US"/>
              </w:rPr>
              <w:t xml:space="preserve">alf of </w:t>
            </w:r>
            <w:r>
              <w:rPr>
                <w:rFonts w:eastAsiaTheme="minorHAnsi" w:cstheme="minorBidi"/>
                <w:lang w:eastAsia="en-US"/>
              </w:rPr>
              <w:t xml:space="preserve">those from </w:t>
            </w:r>
            <w:r w:rsidRPr="00DA529C">
              <w:rPr>
                <w:rFonts w:eastAsiaTheme="minorHAnsi" w:cstheme="minorBidi"/>
                <w:lang w:eastAsia="en-US"/>
              </w:rPr>
              <w:t>NT</w:t>
            </w:r>
            <w:r>
              <w:rPr>
                <w:rFonts w:eastAsiaTheme="minorHAnsi" w:cstheme="minorBidi"/>
                <w:lang w:eastAsia="en-US"/>
              </w:rPr>
              <w:t>)</w:t>
            </w:r>
          </w:p>
        </w:tc>
        <w:tc>
          <w:tcPr>
            <w:tcW w:w="969" w:type="pct"/>
            <w:noWrap/>
            <w:hideMark/>
          </w:tcPr>
          <w:p w14:paraId="517D4306" w14:textId="186E53B4" w:rsidR="00114ABC" w:rsidRPr="00DA529C" w:rsidRDefault="00114ABC" w:rsidP="00114ABC">
            <w:pPr>
              <w:pStyle w:val="TableText"/>
              <w:keepNext/>
              <w:jc w:val="center"/>
            </w:pPr>
            <w:r w:rsidRPr="00DA529C">
              <w:t xml:space="preserve">72,877 </w:t>
            </w:r>
            <w:r>
              <w:t>(</w:t>
            </w:r>
            <w:r w:rsidRPr="00DA529C">
              <w:t>20.6%</w:t>
            </w:r>
            <w:r>
              <w:t>)</w:t>
            </w:r>
          </w:p>
        </w:tc>
        <w:tc>
          <w:tcPr>
            <w:tcW w:w="1075" w:type="pct"/>
            <w:noWrap/>
            <w:hideMark/>
          </w:tcPr>
          <w:p w14:paraId="6DAA5D7C" w14:textId="0FF307F4"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231.3</w:t>
            </w:r>
            <w:r>
              <w:rPr>
                <w:rFonts w:eastAsiaTheme="minorHAnsi" w:cstheme="minorBidi"/>
                <w:lang w:eastAsia="en-US"/>
              </w:rPr>
              <w:t>%</w:t>
            </w:r>
          </w:p>
        </w:tc>
        <w:tc>
          <w:tcPr>
            <w:tcW w:w="943" w:type="pct"/>
            <w:noWrap/>
            <w:hideMark/>
          </w:tcPr>
          <w:p w14:paraId="3BD14C1E" w14:textId="6DAAE280"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44.5</w:t>
            </w:r>
            <w:r>
              <w:rPr>
                <w:rFonts w:eastAsiaTheme="minorHAnsi" w:cstheme="minorBidi"/>
                <w:lang w:eastAsia="en-US"/>
              </w:rPr>
              <w:t>%</w:t>
            </w:r>
          </w:p>
        </w:tc>
        <w:tc>
          <w:tcPr>
            <w:tcW w:w="601" w:type="pct"/>
            <w:noWrap/>
            <w:hideMark/>
          </w:tcPr>
          <w:p w14:paraId="6761EE4B" w14:textId="77777777" w:rsidR="00114ABC" w:rsidRPr="00DA529C" w:rsidRDefault="00114ABC" w:rsidP="00114ABC">
            <w:pPr>
              <w:pStyle w:val="TableText"/>
              <w:keepNext/>
              <w:jc w:val="right"/>
              <w:rPr>
                <w:rFonts w:eastAsiaTheme="minorHAnsi" w:cstheme="minorBidi"/>
                <w:lang w:eastAsia="en-US"/>
              </w:rPr>
            </w:pPr>
            <w:r w:rsidRPr="00DA529C">
              <w:rPr>
                <w:rFonts w:eastAsiaTheme="minorHAnsi" w:cstheme="minorBidi"/>
                <w:lang w:eastAsia="en-US"/>
              </w:rPr>
              <w:t>$7.50</w:t>
            </w:r>
          </w:p>
        </w:tc>
      </w:tr>
      <w:tr w:rsidR="00114ABC" w:rsidRPr="00DA529C" w14:paraId="62A4F4AC" w14:textId="77777777" w:rsidTr="00114ABC">
        <w:trPr>
          <w:trHeight w:val="300"/>
        </w:trPr>
        <w:tc>
          <w:tcPr>
            <w:tcW w:w="1412" w:type="pct"/>
            <w:noWrap/>
            <w:hideMark/>
          </w:tcPr>
          <w:p w14:paraId="11C8ABAD" w14:textId="1B324A0F" w:rsidR="00114ABC" w:rsidRPr="00DA529C" w:rsidRDefault="00114ABC" w:rsidP="00114ABC">
            <w:pPr>
              <w:pStyle w:val="TableText"/>
              <w:keepNext/>
              <w:rPr>
                <w:rFonts w:eastAsiaTheme="minorHAnsi" w:cstheme="minorBidi"/>
                <w:lang w:eastAsia="en-US"/>
              </w:rPr>
            </w:pPr>
            <w:r w:rsidRPr="00DA529C">
              <w:rPr>
                <w:rFonts w:eastAsiaTheme="minorHAnsi" w:cstheme="minorBidi"/>
                <w:lang w:eastAsia="en-US"/>
              </w:rPr>
              <w:t>WA</w:t>
            </w:r>
            <w:r>
              <w:rPr>
                <w:rFonts w:eastAsiaTheme="minorHAnsi" w:cstheme="minorBidi"/>
                <w:lang w:eastAsia="en-US"/>
              </w:rPr>
              <w:t xml:space="preserve"> </w:t>
            </w:r>
            <w:r>
              <w:t>(screens newborns in WA)</w:t>
            </w:r>
          </w:p>
        </w:tc>
        <w:tc>
          <w:tcPr>
            <w:tcW w:w="969" w:type="pct"/>
            <w:noWrap/>
            <w:hideMark/>
          </w:tcPr>
          <w:p w14:paraId="5A6EB9DA" w14:textId="483C05C2" w:rsidR="00114ABC" w:rsidRPr="00DA529C" w:rsidRDefault="00114ABC" w:rsidP="00114ABC">
            <w:pPr>
              <w:pStyle w:val="TableText"/>
              <w:keepNext/>
              <w:jc w:val="center"/>
            </w:pPr>
            <w:r w:rsidRPr="00DA529C">
              <w:t xml:space="preserve">35,801 </w:t>
            </w:r>
            <w:r>
              <w:t>(</w:t>
            </w:r>
            <w:r w:rsidRPr="00DA529C">
              <w:t>10.1%</w:t>
            </w:r>
            <w:r>
              <w:t>)</w:t>
            </w:r>
          </w:p>
        </w:tc>
        <w:tc>
          <w:tcPr>
            <w:tcW w:w="1075" w:type="pct"/>
            <w:noWrap/>
            <w:hideMark/>
          </w:tcPr>
          <w:p w14:paraId="05E1DA07" w14:textId="7984CF6A"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62.7</w:t>
            </w:r>
            <w:r>
              <w:rPr>
                <w:rFonts w:eastAsiaTheme="minorHAnsi" w:cstheme="minorBidi"/>
                <w:lang w:eastAsia="en-US"/>
              </w:rPr>
              <w:t>%</w:t>
            </w:r>
          </w:p>
        </w:tc>
        <w:tc>
          <w:tcPr>
            <w:tcW w:w="943" w:type="pct"/>
            <w:noWrap/>
            <w:hideMark/>
          </w:tcPr>
          <w:p w14:paraId="4475F16B" w14:textId="4FC04BEC" w:rsidR="00114ABC" w:rsidRPr="00DA529C" w:rsidRDefault="00114ABC" w:rsidP="00114ABC">
            <w:pPr>
              <w:pStyle w:val="TableText"/>
              <w:keepNext/>
              <w:jc w:val="center"/>
              <w:rPr>
                <w:rFonts w:eastAsiaTheme="minorHAnsi" w:cstheme="minorBidi"/>
                <w:lang w:eastAsia="en-US"/>
              </w:rPr>
            </w:pPr>
            <w:r w:rsidRPr="00DA529C">
              <w:rPr>
                <w:rFonts w:eastAsiaTheme="minorHAnsi" w:cstheme="minorBidi"/>
                <w:lang w:eastAsia="en-US"/>
              </w:rPr>
              <w:t>12.1</w:t>
            </w:r>
            <w:r>
              <w:rPr>
                <w:rFonts w:eastAsiaTheme="minorHAnsi" w:cstheme="minorBidi"/>
                <w:lang w:eastAsia="en-US"/>
              </w:rPr>
              <w:t>%</w:t>
            </w:r>
          </w:p>
        </w:tc>
        <w:tc>
          <w:tcPr>
            <w:tcW w:w="601" w:type="pct"/>
            <w:noWrap/>
            <w:hideMark/>
          </w:tcPr>
          <w:p w14:paraId="7BBB7C85" w14:textId="77777777" w:rsidR="00114ABC" w:rsidRPr="00DA529C" w:rsidRDefault="00114ABC" w:rsidP="00114ABC">
            <w:pPr>
              <w:pStyle w:val="TableText"/>
              <w:keepNext/>
              <w:jc w:val="right"/>
              <w:rPr>
                <w:rFonts w:eastAsiaTheme="minorHAnsi" w:cstheme="minorBidi"/>
                <w:lang w:eastAsia="en-US"/>
              </w:rPr>
            </w:pPr>
            <w:r w:rsidRPr="00DA529C">
              <w:rPr>
                <w:rFonts w:eastAsiaTheme="minorHAnsi" w:cstheme="minorBidi"/>
                <w:lang w:eastAsia="en-US"/>
              </w:rPr>
              <w:t>$11.87</w:t>
            </w:r>
          </w:p>
        </w:tc>
      </w:tr>
      <w:tr w:rsidR="00B9740E" w:rsidRPr="00DA529C" w14:paraId="09E225AD" w14:textId="77777777" w:rsidTr="00114ABC">
        <w:trPr>
          <w:trHeight w:val="300"/>
        </w:trPr>
        <w:tc>
          <w:tcPr>
            <w:tcW w:w="1412" w:type="pct"/>
            <w:tcBorders>
              <w:bottom w:val="single" w:sz="4" w:space="0" w:color="auto"/>
            </w:tcBorders>
            <w:noWrap/>
            <w:hideMark/>
          </w:tcPr>
          <w:p w14:paraId="6D4B5C26" w14:textId="0721E9BE" w:rsidR="00DA529C" w:rsidRPr="00DA529C" w:rsidRDefault="00DA529C" w:rsidP="00DA529C">
            <w:pPr>
              <w:pStyle w:val="TableText"/>
              <w:keepNext/>
              <w:rPr>
                <w:rFonts w:eastAsiaTheme="minorHAnsi" w:cstheme="minorBidi"/>
                <w:lang w:eastAsia="en-US"/>
              </w:rPr>
            </w:pPr>
            <w:r w:rsidRPr="00DA529C">
              <w:rPr>
                <w:rFonts w:eastAsiaTheme="minorHAnsi" w:cstheme="minorBidi"/>
                <w:lang w:eastAsia="en-US"/>
              </w:rPr>
              <w:t>Median</w:t>
            </w:r>
            <w:r w:rsidR="00524ACF">
              <w:rPr>
                <w:rFonts w:eastAsiaTheme="minorHAnsi" w:cstheme="minorBidi"/>
                <w:lang w:eastAsia="en-US"/>
              </w:rPr>
              <w:t xml:space="preserve"> no. </w:t>
            </w:r>
            <w:r w:rsidR="00B9740E">
              <w:rPr>
                <w:rFonts w:eastAsiaTheme="minorHAnsi" w:cstheme="minorBidi"/>
                <w:lang w:eastAsia="en-US"/>
              </w:rPr>
              <w:t>samples tested</w:t>
            </w:r>
          </w:p>
        </w:tc>
        <w:tc>
          <w:tcPr>
            <w:tcW w:w="969" w:type="pct"/>
            <w:tcBorders>
              <w:bottom w:val="single" w:sz="4" w:space="0" w:color="auto"/>
            </w:tcBorders>
            <w:noWrap/>
            <w:hideMark/>
          </w:tcPr>
          <w:p w14:paraId="7F1B0CB2" w14:textId="0D968ABA" w:rsidR="00DA529C" w:rsidRPr="00DA529C" w:rsidRDefault="00DA529C" w:rsidP="003D52C3">
            <w:pPr>
              <w:pStyle w:val="TableText"/>
              <w:keepNext/>
              <w:jc w:val="center"/>
            </w:pPr>
            <w:r w:rsidRPr="00DA529C">
              <w:t>72,877</w:t>
            </w:r>
          </w:p>
        </w:tc>
        <w:tc>
          <w:tcPr>
            <w:tcW w:w="1075" w:type="pct"/>
            <w:tcBorders>
              <w:bottom w:val="single" w:sz="4" w:space="0" w:color="auto"/>
            </w:tcBorders>
            <w:noWrap/>
            <w:hideMark/>
          </w:tcPr>
          <w:p w14:paraId="133B09C7" w14:textId="7716030D" w:rsidR="00DA529C" w:rsidRPr="00DA529C" w:rsidRDefault="00DA529C" w:rsidP="003D52C3">
            <w:pPr>
              <w:pStyle w:val="TableText"/>
              <w:keepNext/>
              <w:jc w:val="center"/>
            </w:pPr>
            <w:r w:rsidRPr="00DA529C">
              <w:t>231.3</w:t>
            </w:r>
            <w:r w:rsidR="0065396E">
              <w:t>%</w:t>
            </w:r>
          </w:p>
        </w:tc>
        <w:tc>
          <w:tcPr>
            <w:tcW w:w="943" w:type="pct"/>
            <w:tcBorders>
              <w:bottom w:val="single" w:sz="4" w:space="0" w:color="auto"/>
            </w:tcBorders>
            <w:noWrap/>
            <w:hideMark/>
          </w:tcPr>
          <w:p w14:paraId="5AF2E2AB" w14:textId="1F2D8DA7" w:rsidR="00DA529C" w:rsidRPr="00DA529C" w:rsidRDefault="00DA529C" w:rsidP="003D52C3">
            <w:pPr>
              <w:pStyle w:val="TableText"/>
              <w:keepNext/>
              <w:jc w:val="center"/>
              <w:rPr>
                <w:rFonts w:eastAsiaTheme="minorHAnsi" w:cstheme="minorBidi"/>
                <w:lang w:eastAsia="en-US"/>
              </w:rPr>
            </w:pPr>
            <w:r w:rsidRPr="00DA529C">
              <w:rPr>
                <w:rFonts w:eastAsiaTheme="minorHAnsi" w:cstheme="minorBidi"/>
                <w:lang w:eastAsia="en-US"/>
              </w:rPr>
              <w:t>44.5</w:t>
            </w:r>
            <w:r w:rsidR="0065396E">
              <w:rPr>
                <w:rFonts w:eastAsiaTheme="minorHAnsi" w:cstheme="minorBidi"/>
                <w:lang w:eastAsia="en-US"/>
              </w:rPr>
              <w:t>%</w:t>
            </w:r>
          </w:p>
        </w:tc>
        <w:tc>
          <w:tcPr>
            <w:tcW w:w="601" w:type="pct"/>
            <w:noWrap/>
            <w:hideMark/>
          </w:tcPr>
          <w:p w14:paraId="32EEAFFC" w14:textId="77777777" w:rsidR="00DA529C" w:rsidRPr="00DA529C" w:rsidRDefault="00DA529C" w:rsidP="003D52C3">
            <w:pPr>
              <w:pStyle w:val="TableText"/>
              <w:keepNext/>
              <w:jc w:val="right"/>
              <w:rPr>
                <w:rFonts w:eastAsiaTheme="minorHAnsi" w:cstheme="minorBidi"/>
                <w:lang w:eastAsia="en-US"/>
              </w:rPr>
            </w:pPr>
            <w:r w:rsidRPr="00DA529C">
              <w:rPr>
                <w:rFonts w:eastAsiaTheme="minorHAnsi" w:cstheme="minorBidi"/>
                <w:lang w:eastAsia="en-US"/>
              </w:rPr>
              <w:t>$7.50</w:t>
            </w:r>
          </w:p>
        </w:tc>
      </w:tr>
      <w:tr w:rsidR="00B9740E" w:rsidRPr="00DA529C" w14:paraId="152B1A87" w14:textId="77777777" w:rsidTr="00114ABC">
        <w:trPr>
          <w:trHeight w:val="315"/>
        </w:trPr>
        <w:tc>
          <w:tcPr>
            <w:tcW w:w="1412" w:type="pct"/>
            <w:tcBorders>
              <w:right w:val="nil"/>
            </w:tcBorders>
            <w:noWrap/>
            <w:hideMark/>
          </w:tcPr>
          <w:p w14:paraId="43CC0A21" w14:textId="774AD9E8" w:rsidR="00DA529C" w:rsidRPr="00DA529C" w:rsidRDefault="003D52C3" w:rsidP="00DA529C">
            <w:pPr>
              <w:pStyle w:val="TableText"/>
              <w:keepNext/>
              <w:rPr>
                <w:rFonts w:eastAsiaTheme="minorHAnsi" w:cstheme="minorBidi"/>
                <w:lang w:eastAsia="en-US"/>
              </w:rPr>
            </w:pPr>
            <w:r>
              <w:rPr>
                <w:rFonts w:eastAsiaTheme="minorHAnsi" w:cstheme="minorBidi"/>
                <w:lang w:eastAsia="en-US"/>
              </w:rPr>
              <w:t>Weighted average</w:t>
            </w:r>
          </w:p>
        </w:tc>
        <w:tc>
          <w:tcPr>
            <w:tcW w:w="969" w:type="pct"/>
            <w:tcBorders>
              <w:left w:val="nil"/>
              <w:right w:val="nil"/>
            </w:tcBorders>
            <w:noWrap/>
            <w:hideMark/>
          </w:tcPr>
          <w:p w14:paraId="05AD7B3E" w14:textId="53613595" w:rsidR="00DA529C" w:rsidRPr="00DA529C" w:rsidRDefault="00DA529C" w:rsidP="00DA529C">
            <w:pPr>
              <w:pStyle w:val="TableText"/>
              <w:keepNext/>
            </w:pPr>
          </w:p>
        </w:tc>
        <w:tc>
          <w:tcPr>
            <w:tcW w:w="1075" w:type="pct"/>
            <w:tcBorders>
              <w:left w:val="nil"/>
              <w:right w:val="nil"/>
            </w:tcBorders>
            <w:noWrap/>
            <w:hideMark/>
          </w:tcPr>
          <w:p w14:paraId="057D56C2" w14:textId="77777777" w:rsidR="00DA529C" w:rsidRPr="00DA529C" w:rsidRDefault="00DA529C" w:rsidP="00DA529C">
            <w:pPr>
              <w:pStyle w:val="TableText"/>
              <w:keepNext/>
            </w:pPr>
          </w:p>
        </w:tc>
        <w:tc>
          <w:tcPr>
            <w:tcW w:w="943" w:type="pct"/>
            <w:tcBorders>
              <w:left w:val="nil"/>
            </w:tcBorders>
            <w:noWrap/>
            <w:hideMark/>
          </w:tcPr>
          <w:p w14:paraId="34761509" w14:textId="77777777" w:rsidR="00DA529C" w:rsidRPr="00DA529C" w:rsidRDefault="00DA529C" w:rsidP="00DA529C">
            <w:pPr>
              <w:pStyle w:val="TableText"/>
              <w:keepNext/>
            </w:pPr>
          </w:p>
        </w:tc>
        <w:tc>
          <w:tcPr>
            <w:tcW w:w="601" w:type="pct"/>
            <w:noWrap/>
            <w:hideMark/>
          </w:tcPr>
          <w:p w14:paraId="3111DBD4" w14:textId="64BF7E3A" w:rsidR="00DA529C" w:rsidRPr="00DA529C" w:rsidRDefault="00DA529C" w:rsidP="003D52C3">
            <w:pPr>
              <w:pStyle w:val="TableText"/>
              <w:keepNext/>
              <w:jc w:val="right"/>
            </w:pPr>
            <w:r w:rsidRPr="00DA529C">
              <w:t>$5.</w:t>
            </w:r>
            <w:r w:rsidR="00CE2FFB">
              <w:t>8</w:t>
            </w:r>
            <w:r w:rsidRPr="00DA529C">
              <w:t>0</w:t>
            </w:r>
          </w:p>
        </w:tc>
      </w:tr>
    </w:tbl>
    <w:p w14:paraId="79546320" w14:textId="24F0DC12" w:rsidR="0065396E" w:rsidRDefault="0024585F" w:rsidP="0065396E">
      <w:pPr>
        <w:pStyle w:val="TableFigureFooter"/>
      </w:pPr>
      <w:r w:rsidRPr="0065396E">
        <w:t xml:space="preserve">Note: Based on the information provided by the expert consulted, with an increase in the no. of newborns screened of 354.5% (from </w:t>
      </w:r>
      <w:r w:rsidR="0065396E" w:rsidRPr="0065396E">
        <w:t>22,000 to 100,000), the cost per test reduced by 68.1% (from $13.50 to $4.30). The cost per test was assumed to have a minimum cost of $2.00 (no lower than the cost per test assuming laboratories have current capacity to test).</w:t>
      </w:r>
    </w:p>
    <w:p w14:paraId="779F399D" w14:textId="22C1A144" w:rsidR="00DA529C" w:rsidRDefault="0065396E" w:rsidP="0065396E">
      <w:pPr>
        <w:pStyle w:val="TableFigureFooter"/>
      </w:pPr>
      <w:r w:rsidRPr="0065396E">
        <w:rPr>
          <w:vertAlign w:val="superscript"/>
        </w:rPr>
        <w:t>a</w:t>
      </w:r>
      <w:r>
        <w:t xml:space="preserve"> Relative to 22,000</w:t>
      </w:r>
    </w:p>
    <w:p w14:paraId="279E594A" w14:textId="060241DD" w:rsidR="0065396E" w:rsidRDefault="0065396E" w:rsidP="0065396E">
      <w:pPr>
        <w:pStyle w:val="TableFigureFooter"/>
      </w:pPr>
      <w:r w:rsidRPr="0065396E">
        <w:rPr>
          <w:vertAlign w:val="superscript"/>
        </w:rPr>
        <w:t>b</w:t>
      </w:r>
      <w:r>
        <w:t xml:space="preserve"> Relative to $13.50</w:t>
      </w:r>
      <w:r w:rsidR="00354377">
        <w:t xml:space="preserve">. </w:t>
      </w:r>
      <w:r w:rsidR="00F66D5E">
        <w:t>Calculated as the change in newborns screened / 3</w:t>
      </w:r>
      <w:r w:rsidR="003F346D">
        <w:t>5</w:t>
      </w:r>
      <w:r w:rsidR="00F66D5E">
        <w:t xml:space="preserve">4.5% × </w:t>
      </w:r>
      <w:r w:rsidR="00E46EA2">
        <w:t>68.1%</w:t>
      </w:r>
    </w:p>
    <w:p w14:paraId="08E26F49" w14:textId="39E89C67" w:rsidR="00CA0D5B" w:rsidRDefault="00CA0D5B" w:rsidP="0065396E">
      <w:pPr>
        <w:pStyle w:val="TableFigureFooter"/>
      </w:pPr>
      <w:r w:rsidRPr="001A7337">
        <w:rPr>
          <w:vertAlign w:val="superscript"/>
        </w:rPr>
        <w:t>c</w:t>
      </w:r>
      <w:r>
        <w:t xml:space="preserve"> </w:t>
      </w:r>
      <w:r w:rsidR="001A7337" w:rsidRPr="00483CDC">
        <w:t>Australian Bureau of Statistics [ABS] 202</w:t>
      </w:r>
      <w:r w:rsidR="001A7337">
        <w:t>3</w:t>
      </w:r>
      <w:r w:rsidR="001A7337" w:rsidRPr="00483CDC">
        <w:t xml:space="preserve">, Births, Australia. Commonwealth of Australia, Canberra, viewed </w:t>
      </w:r>
      <w:r w:rsidR="001A7337">
        <w:t>30 October</w:t>
      </w:r>
      <w:r w:rsidR="001A7337" w:rsidRPr="00483CDC">
        <w:t xml:space="preserve"> 2023</w:t>
      </w:r>
      <w:r w:rsidR="001A7337">
        <w:t xml:space="preserve">. Available from: </w:t>
      </w:r>
      <w:hyperlink r:id="rId9" w:history="1">
        <w:r w:rsidR="001A7337" w:rsidRPr="00DA4850">
          <w:rPr>
            <w:rStyle w:val="Hyperlink"/>
          </w:rPr>
          <w:t>https://www.abs.gov.au/statistics/people/population/births-australia/latest-release</w:t>
        </w:r>
      </w:hyperlink>
      <w:r w:rsidR="001A7337">
        <w:t>.</w:t>
      </w:r>
    </w:p>
    <w:p w14:paraId="167398B3" w14:textId="3F54E763" w:rsidR="003409DF" w:rsidRDefault="003409DF" w:rsidP="0065396E">
      <w:pPr>
        <w:pStyle w:val="TableFigureFooter"/>
      </w:pPr>
      <w:r w:rsidRPr="006424EF">
        <w:rPr>
          <w:vertAlign w:val="superscript"/>
        </w:rPr>
        <w:t>d</w:t>
      </w:r>
      <w:r>
        <w:t xml:space="preserve"> </w:t>
      </w:r>
      <w:r w:rsidRPr="003409DF">
        <w:t xml:space="preserve">Australian Bureau of Statistics </w:t>
      </w:r>
      <w:r w:rsidR="00075059">
        <w:t xml:space="preserve">[ABS] </w:t>
      </w:r>
      <w:r w:rsidRPr="003409DF">
        <w:t xml:space="preserve">(2018) </w:t>
      </w:r>
      <w:r w:rsidR="006424EF" w:rsidRPr="006424EF">
        <w:rPr>
          <w:lang w:val="en-GB"/>
        </w:rPr>
        <w:t>Population Projections by Region, 2017-2066</w:t>
      </w:r>
      <w:r w:rsidRPr="003409DF">
        <w:t>, age 0 [Data Explorer], accessed 30 October 2023.</w:t>
      </w:r>
      <w:r w:rsidR="006424EF">
        <w:t xml:space="preserve"> Available from: </w:t>
      </w:r>
      <w:hyperlink r:id="rId10" w:history="1">
        <w:r w:rsidR="004C7378" w:rsidRPr="00DB518D">
          <w:rPr>
            <w:rStyle w:val="Hyperlink"/>
          </w:rPr>
          <w:t>https://explore.data.abs.gov.au/vis?fs[0]=People%2C0%7C</w:t>
        </w:r>
        <w:r w:rsidR="00D31CFD" w:rsidRPr="00DB518D">
          <w:rPr>
            <w:rStyle w:val="Hyperlink"/>
          </w:rPr>
          <w:t>p</w:t>
        </w:r>
        <w:r w:rsidR="004C7378" w:rsidRPr="00DB518D">
          <w:rPr>
            <w:rStyle w:val="Hyperlink"/>
          </w:rPr>
          <w:t>opulation%23POPULATION%23&amp;pg=20&amp;fc=People&amp;df[ds]=PEOPLE_TOPICS&amp;df[id]=POP_PROJ_REGION_2012_2061&amp;df[ag]=ABS&amp;df[vs]=1.0.0&amp;pd=2022%2C2026&amp;dq=8%2B7%2B6%2B5%2B4%2B3%2B2%2B1.3.0.2.2.2.2.A&amp;ly[cl]=TIME_PERIOD&amp;ly[rw]=REGION</w:t>
        </w:r>
      </w:hyperlink>
      <w:r w:rsidR="004C7378">
        <w:t xml:space="preserve"> </w:t>
      </w:r>
    </w:p>
    <w:p w14:paraId="2A009895" w14:textId="2450FADA" w:rsidR="005817F7" w:rsidRDefault="00587D37" w:rsidP="00C70B40">
      <w:r>
        <w:t>The extent of current laborator</w:t>
      </w:r>
      <w:r w:rsidR="00B631EE">
        <w:t>y</w:t>
      </w:r>
      <w:r>
        <w:t xml:space="preserve"> capacity to </w:t>
      </w:r>
      <w:r w:rsidR="0077252C">
        <w:t>accommodate proposed SCD screening</w:t>
      </w:r>
      <w:r w:rsidR="00C70B40">
        <w:t xml:space="preserve"> </w:t>
      </w:r>
      <w:r w:rsidR="00802AB5">
        <w:t xml:space="preserve">was unavailable for the assessment and </w:t>
      </w:r>
      <w:r w:rsidR="003C0AF6">
        <w:t>will need to be determined by each</w:t>
      </w:r>
      <w:r w:rsidR="00751E98">
        <w:t xml:space="preserve"> </w:t>
      </w:r>
      <w:r w:rsidR="007D0681">
        <w:t>laboratory</w:t>
      </w:r>
      <w:r w:rsidR="0077252C">
        <w:t xml:space="preserve">. </w:t>
      </w:r>
      <w:r w:rsidR="005F6823">
        <w:t>The base case estimates assume</w:t>
      </w:r>
      <w:r w:rsidR="00A23CED">
        <w:t>d</w:t>
      </w:r>
      <w:r w:rsidR="005F6823">
        <w:t xml:space="preserve"> an average test cost of $</w:t>
      </w:r>
      <w:r w:rsidR="007B5AAF">
        <w:t>2.00</w:t>
      </w:r>
      <w:r w:rsidR="006119ED">
        <w:t xml:space="preserve">, </w:t>
      </w:r>
      <w:r w:rsidR="00B67948">
        <w:t>given this reflect</w:t>
      </w:r>
      <w:r w:rsidR="00A23CED">
        <w:t>ed</w:t>
      </w:r>
      <w:r w:rsidR="00B67948">
        <w:t xml:space="preserve"> the </w:t>
      </w:r>
      <w:r w:rsidR="001C4869">
        <w:t>incremental cost of introducing SCD screening</w:t>
      </w:r>
      <w:r w:rsidR="00BB4E3E">
        <w:t xml:space="preserve"> (</w:t>
      </w:r>
      <w:r w:rsidR="00556E01">
        <w:t>excluding any costs to increase capacity)</w:t>
      </w:r>
      <w:r w:rsidR="00192782">
        <w:t xml:space="preserve">, however </w:t>
      </w:r>
      <w:r w:rsidR="009338CB">
        <w:t xml:space="preserve">sensitivity analyses </w:t>
      </w:r>
      <w:r w:rsidR="00A23CED">
        <w:t>we</w:t>
      </w:r>
      <w:r w:rsidR="009338CB">
        <w:t>re presented assuming alternate costings</w:t>
      </w:r>
      <w:r w:rsidR="0045231E">
        <w:t xml:space="preserve"> that also account for </w:t>
      </w:r>
      <w:r w:rsidR="0080061E">
        <w:t xml:space="preserve">additional </w:t>
      </w:r>
      <w:r w:rsidR="0045231E">
        <w:t>instrument</w:t>
      </w:r>
      <w:r w:rsidR="0080061E">
        <w:t>s</w:t>
      </w:r>
      <w:r w:rsidR="0045231E">
        <w:t xml:space="preserve"> and staff</w:t>
      </w:r>
      <w:r w:rsidR="009338CB">
        <w:t>.</w:t>
      </w:r>
    </w:p>
    <w:p w14:paraId="1CB1A58F" w14:textId="43D70754" w:rsidR="00DB2996" w:rsidRDefault="00AC3CA4" w:rsidP="00AC3CA4">
      <w:r w:rsidRPr="009A7628">
        <w:t xml:space="preserve">The results of </w:t>
      </w:r>
      <w:r>
        <w:t>the</w:t>
      </w:r>
      <w:r w:rsidRPr="009A7628">
        <w:t xml:space="preserve"> stepped analysis </w:t>
      </w:r>
      <w:r>
        <w:t>to generate</w:t>
      </w:r>
      <w:r w:rsidRPr="009A7628">
        <w:t xml:space="preserve"> the </w:t>
      </w:r>
      <w:r w:rsidR="00F24442">
        <w:t xml:space="preserve">updated </w:t>
      </w:r>
      <w:r w:rsidRPr="009A7628">
        <w:t xml:space="preserve">base case economic evaluation </w:t>
      </w:r>
      <w:r w:rsidR="009A68EB">
        <w:t>are</w:t>
      </w:r>
      <w:r w:rsidR="009A68EB" w:rsidRPr="009A7628">
        <w:t xml:space="preserve"> </w:t>
      </w:r>
      <w:r w:rsidRPr="009A7628">
        <w:t>presented in</w:t>
      </w:r>
      <w:r>
        <w:t xml:space="preserve"> </w:t>
      </w:r>
      <w:r>
        <w:fldChar w:fldCharType="begin"/>
      </w:r>
      <w:r>
        <w:instrText xml:space="preserve"> REF _Ref69725876 \h </w:instrText>
      </w:r>
      <w:r>
        <w:fldChar w:fldCharType="separate"/>
      </w:r>
      <w:r w:rsidR="007D770C" w:rsidRPr="00CE28E3">
        <w:t>Table</w:t>
      </w:r>
      <w:r w:rsidR="007D770C">
        <w:t> </w:t>
      </w:r>
      <w:r w:rsidR="007D770C">
        <w:rPr>
          <w:noProof/>
        </w:rPr>
        <w:t>14</w:t>
      </w:r>
      <w:r>
        <w:fldChar w:fldCharType="end"/>
      </w:r>
      <w:r>
        <w:t xml:space="preserve">. </w:t>
      </w:r>
      <w:r w:rsidR="009A4F81">
        <w:t xml:space="preserve">The resulting ICER was sensitive to most of the changes </w:t>
      </w:r>
      <w:r w:rsidR="00880EDF">
        <w:t>made (excluding minor model updates). Incidence of SCD, test cost and impact of targeted testing remain</w:t>
      </w:r>
      <w:r w:rsidR="00F31E95">
        <w:t>ed</w:t>
      </w:r>
      <w:r w:rsidR="00880EDF">
        <w:t xml:space="preserve"> the key drivers of the analysis</w:t>
      </w:r>
      <w:r w:rsidR="00D73FA8">
        <w:t>, as they were in the 1737 DCAR</w:t>
      </w:r>
      <w:r w:rsidR="00880EDF">
        <w:t>.</w:t>
      </w:r>
      <w:r w:rsidR="00904A7E">
        <w:t xml:space="preserve"> </w:t>
      </w:r>
    </w:p>
    <w:p w14:paraId="22792A4F" w14:textId="5ACE5211" w:rsidR="00AC3CA4" w:rsidRPr="00CE28E3" w:rsidRDefault="00AC3CA4" w:rsidP="00AC3CA4">
      <w:pPr>
        <w:pStyle w:val="Caption"/>
      </w:pPr>
      <w:bookmarkStart w:id="49" w:name="_Ref69725876"/>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7D770C">
        <w:rPr>
          <w:noProof/>
        </w:rPr>
        <w:t>14</w:t>
      </w:r>
      <w:r w:rsidRPr="00CE28E3">
        <w:rPr>
          <w:noProof/>
        </w:rPr>
        <w:fldChar w:fldCharType="end"/>
      </w:r>
      <w:bookmarkEnd w:id="49"/>
      <w:r w:rsidRPr="00CE28E3">
        <w:t xml:space="preserve"> </w:t>
      </w:r>
      <w:r w:rsidRPr="00CE28E3">
        <w:tab/>
      </w:r>
      <w:r w:rsidRPr="00CF5200">
        <w:t>Results of the stepped economic analysis</w:t>
      </w:r>
      <w:r w:rsidRPr="00CF5200" w:rsidDel="00CF5200">
        <w:t xml:space="preserve"> </w:t>
      </w:r>
    </w:p>
    <w:tbl>
      <w:tblPr>
        <w:tblStyle w:val="TableGrid21"/>
        <w:tblW w:w="5000" w:type="pct"/>
        <w:tblInd w:w="0" w:type="dxa"/>
        <w:tblLayout w:type="fixed"/>
        <w:tblLook w:val="04A0" w:firstRow="1" w:lastRow="0" w:firstColumn="1" w:lastColumn="0" w:noHBand="0" w:noVBand="1"/>
        <w:tblCaption w:val="Results of the stepped economic analyses"/>
        <w:tblDescription w:val="Results of the stepped economic analysis"/>
      </w:tblPr>
      <w:tblGrid>
        <w:gridCol w:w="3964"/>
        <w:gridCol w:w="1684"/>
        <w:gridCol w:w="1684"/>
        <w:gridCol w:w="1684"/>
      </w:tblGrid>
      <w:tr w:rsidR="009814C1" w14:paraId="6FEBA61A" w14:textId="77777777" w:rsidTr="009814C1">
        <w:trPr>
          <w:cantSplit/>
          <w:trHeight w:val="20"/>
          <w:tblHeader/>
        </w:trPr>
        <w:tc>
          <w:tcPr>
            <w:tcW w:w="2198" w:type="pct"/>
            <w:tcBorders>
              <w:left w:val="single" w:sz="4" w:space="0" w:color="auto"/>
              <w:right w:val="single" w:sz="4" w:space="0" w:color="auto"/>
            </w:tcBorders>
            <w:vAlign w:val="center"/>
            <w:hideMark/>
          </w:tcPr>
          <w:p w14:paraId="11FF81AE" w14:textId="77777777" w:rsidR="009814C1" w:rsidRDefault="009814C1" w:rsidP="00966A31">
            <w:pPr>
              <w:spacing w:before="0"/>
              <w:rPr>
                <w:rFonts w:ascii="Arial Narrow" w:eastAsiaTheme="majorEastAsia" w:hAnsi="Arial Narrow"/>
                <w:b/>
                <w:szCs w:val="24"/>
                <w:lang w:val="en-US"/>
              </w:rPr>
            </w:pPr>
            <w:bookmarkStart w:id="50" w:name="_Hlk68276562"/>
          </w:p>
        </w:tc>
        <w:tc>
          <w:tcPr>
            <w:tcW w:w="934" w:type="pct"/>
            <w:tcBorders>
              <w:top w:val="single" w:sz="4" w:space="0" w:color="auto"/>
              <w:left w:val="single" w:sz="4" w:space="0" w:color="auto"/>
              <w:bottom w:val="single" w:sz="4" w:space="0" w:color="auto"/>
              <w:right w:val="single" w:sz="4" w:space="0" w:color="auto"/>
            </w:tcBorders>
            <w:noWrap/>
            <w:hideMark/>
          </w:tcPr>
          <w:p w14:paraId="121EB406" w14:textId="77777777" w:rsidR="009814C1" w:rsidRDefault="009814C1" w:rsidP="00966A31">
            <w:pPr>
              <w:pStyle w:val="In-tableHeading"/>
              <w:jc w:val="center"/>
              <w:rPr>
                <w:lang w:eastAsia="en-US"/>
              </w:rPr>
            </w:pPr>
            <w:r>
              <w:rPr>
                <w:lang w:eastAsia="en-US"/>
              </w:rPr>
              <w:t>Universal NBS</w:t>
            </w:r>
          </w:p>
        </w:tc>
        <w:tc>
          <w:tcPr>
            <w:tcW w:w="934" w:type="pct"/>
            <w:tcBorders>
              <w:top w:val="single" w:sz="4" w:space="0" w:color="auto"/>
              <w:left w:val="single" w:sz="4" w:space="0" w:color="auto"/>
              <w:bottom w:val="single" w:sz="4" w:space="0" w:color="auto"/>
              <w:right w:val="single" w:sz="4" w:space="0" w:color="auto"/>
            </w:tcBorders>
            <w:noWrap/>
            <w:hideMark/>
          </w:tcPr>
          <w:p w14:paraId="3EED0C6B" w14:textId="77777777" w:rsidR="009814C1" w:rsidRDefault="009814C1" w:rsidP="00966A31">
            <w:pPr>
              <w:pStyle w:val="In-tableHeading"/>
              <w:jc w:val="center"/>
              <w:rPr>
                <w:lang w:eastAsia="en-US"/>
              </w:rPr>
            </w:pPr>
            <w:r>
              <w:rPr>
                <w:lang w:eastAsia="en-US"/>
              </w:rPr>
              <w:t>No Universal NBS</w:t>
            </w:r>
          </w:p>
        </w:tc>
        <w:tc>
          <w:tcPr>
            <w:tcW w:w="934" w:type="pct"/>
            <w:tcBorders>
              <w:top w:val="single" w:sz="4" w:space="0" w:color="auto"/>
              <w:left w:val="single" w:sz="4" w:space="0" w:color="auto"/>
              <w:bottom w:val="single" w:sz="4" w:space="0" w:color="auto"/>
              <w:right w:val="single" w:sz="4" w:space="0" w:color="auto"/>
            </w:tcBorders>
            <w:noWrap/>
            <w:hideMark/>
          </w:tcPr>
          <w:p w14:paraId="27022E3A" w14:textId="77777777" w:rsidR="009814C1" w:rsidRDefault="009814C1" w:rsidP="00966A31">
            <w:pPr>
              <w:pStyle w:val="In-tableHeading"/>
              <w:jc w:val="center"/>
              <w:rPr>
                <w:lang w:eastAsia="en-US"/>
              </w:rPr>
            </w:pPr>
            <w:r>
              <w:rPr>
                <w:lang w:eastAsia="en-US"/>
              </w:rPr>
              <w:t>Increment</w:t>
            </w:r>
          </w:p>
        </w:tc>
      </w:tr>
      <w:tr w:rsidR="00450662" w14:paraId="313CDAAC" w14:textId="77777777" w:rsidTr="00450662">
        <w:trPr>
          <w:cantSplit/>
          <w:trHeight w:val="20"/>
        </w:trPr>
        <w:tc>
          <w:tcPr>
            <w:tcW w:w="5000" w:type="pct"/>
            <w:gridSpan w:val="4"/>
            <w:tcBorders>
              <w:top w:val="nil"/>
              <w:left w:val="single" w:sz="4" w:space="0" w:color="auto"/>
              <w:bottom w:val="single" w:sz="4" w:space="0" w:color="auto"/>
              <w:right w:val="single" w:sz="4" w:space="0" w:color="auto"/>
            </w:tcBorders>
            <w:noWrap/>
            <w:hideMark/>
          </w:tcPr>
          <w:p w14:paraId="3B22E90B" w14:textId="32BC53F8" w:rsidR="00450662" w:rsidRPr="00EB56EC" w:rsidRDefault="00EB56EC" w:rsidP="00966A31">
            <w:pPr>
              <w:pStyle w:val="TableText"/>
              <w:keepNext/>
              <w:spacing w:before="0" w:after="0"/>
              <w:rPr>
                <w:b/>
                <w:bCs/>
                <w:lang w:eastAsia="en-AU"/>
              </w:rPr>
            </w:pPr>
            <w:r w:rsidRPr="00EB56EC">
              <w:rPr>
                <w:b/>
                <w:bCs/>
                <w:lang w:eastAsia="en-AU"/>
              </w:rPr>
              <w:t xml:space="preserve">ICER presented in 1737 </w:t>
            </w:r>
            <w:proofErr w:type="gramStart"/>
            <w:r w:rsidRPr="00EB56EC">
              <w:rPr>
                <w:b/>
                <w:bCs/>
                <w:lang w:eastAsia="en-AU"/>
              </w:rPr>
              <w:t>DCAR</w:t>
            </w:r>
            <w:proofErr w:type="gramEnd"/>
            <w:r w:rsidR="008349E2">
              <w:rPr>
                <w:b/>
                <w:bCs/>
                <w:lang w:eastAsia="en-AU"/>
              </w:rPr>
              <w:t xml:space="preserve"> </w:t>
            </w:r>
          </w:p>
          <w:p w14:paraId="3A04F177" w14:textId="1C8C7650" w:rsidR="009814C1" w:rsidRPr="00EB56EC" w:rsidRDefault="009814C1" w:rsidP="00966A31">
            <w:pPr>
              <w:pStyle w:val="TableText"/>
              <w:keepNext/>
              <w:spacing w:before="0" w:after="0"/>
              <w:rPr>
                <w:b/>
                <w:lang w:eastAsia="en-AU"/>
              </w:rPr>
            </w:pPr>
            <w:r>
              <w:rPr>
                <w:lang w:eastAsia="en-AU"/>
              </w:rPr>
              <w:t xml:space="preserve">Step 6, </w:t>
            </w:r>
            <w:r w:rsidRPr="008349E2">
              <w:rPr>
                <w:lang w:eastAsia="en-AU"/>
              </w:rPr>
              <w:t xml:space="preserve">Table </w:t>
            </w:r>
            <w:r w:rsidR="008349E2" w:rsidRPr="008349E2">
              <w:rPr>
                <w:lang w:eastAsia="en-AU"/>
              </w:rPr>
              <w:t>1</w:t>
            </w:r>
            <w:r w:rsidR="008349E2">
              <w:rPr>
                <w:lang w:eastAsia="en-AU"/>
              </w:rPr>
              <w:t>5</w:t>
            </w:r>
            <w:r>
              <w:rPr>
                <w:lang w:eastAsia="en-AU"/>
              </w:rPr>
              <w:t xml:space="preserve"> of the 1737 </w:t>
            </w:r>
            <w:r w:rsidR="008349E2">
              <w:rPr>
                <w:lang w:eastAsia="en-AU"/>
              </w:rPr>
              <w:t xml:space="preserve">PSD, </w:t>
            </w:r>
            <w:r w:rsidR="00435DFF">
              <w:rPr>
                <w:lang w:eastAsia="en-AU"/>
              </w:rPr>
              <w:t>universal NBS identifies SCD</w:t>
            </w:r>
            <w:r w:rsidR="008349E2">
              <w:rPr>
                <w:lang w:eastAsia="en-AU"/>
              </w:rPr>
              <w:t xml:space="preserve"> only,</w:t>
            </w:r>
            <w:r w:rsidR="001E496F">
              <w:rPr>
                <w:lang w:eastAsia="en-AU"/>
              </w:rPr>
              <w:t xml:space="preserve"> </w:t>
            </w:r>
            <w:r w:rsidR="00EB56EC">
              <w:rPr>
                <w:lang w:eastAsia="en-AU"/>
              </w:rPr>
              <w:t>compar</w:t>
            </w:r>
            <w:r w:rsidR="008349E2">
              <w:rPr>
                <w:lang w:eastAsia="en-AU"/>
              </w:rPr>
              <w:t>ed t</w:t>
            </w:r>
            <w:r w:rsidR="00EB56EC">
              <w:rPr>
                <w:lang w:eastAsia="en-AU"/>
              </w:rPr>
              <w:t xml:space="preserve">o symptomatic </w:t>
            </w:r>
            <w:r w:rsidR="00AA79DC">
              <w:rPr>
                <w:lang w:eastAsia="en-AU"/>
              </w:rPr>
              <w:t>presentation</w:t>
            </w:r>
            <w:r w:rsidR="00D323D4">
              <w:rPr>
                <w:lang w:eastAsia="en-AU"/>
              </w:rPr>
              <w:t>. Step 6 included the incorporation of targeted testing, screening performance, NBS uptake, cost of prophylactic treatments and monitoring, and the incorporation of cascade testing.</w:t>
            </w:r>
          </w:p>
        </w:tc>
      </w:tr>
      <w:tr w:rsidR="009814C1" w14:paraId="77824044" w14:textId="77777777" w:rsidTr="009814C1">
        <w:trPr>
          <w:cantSplit/>
          <w:trHeight w:val="20"/>
        </w:trPr>
        <w:tc>
          <w:tcPr>
            <w:tcW w:w="2198" w:type="pct"/>
            <w:tcBorders>
              <w:top w:val="nil"/>
              <w:left w:val="single" w:sz="4" w:space="0" w:color="auto"/>
              <w:bottom w:val="nil"/>
              <w:right w:val="single" w:sz="4" w:space="0" w:color="auto"/>
            </w:tcBorders>
            <w:noWrap/>
            <w:hideMark/>
          </w:tcPr>
          <w:p w14:paraId="069DCCEF" w14:textId="77777777" w:rsidR="00450662" w:rsidRDefault="00450662" w:rsidP="00966A31">
            <w:pPr>
              <w:pStyle w:val="TableText"/>
              <w:keepNext/>
              <w:spacing w:before="0" w:after="0"/>
              <w:rPr>
                <w:b/>
                <w:lang w:eastAsia="en-AU"/>
              </w:rPr>
            </w:pPr>
            <w:r>
              <w:rPr>
                <w:lang w:eastAsia="en-AU"/>
              </w:rPr>
              <w:t>Costs</w:t>
            </w:r>
          </w:p>
        </w:tc>
        <w:tc>
          <w:tcPr>
            <w:tcW w:w="934" w:type="pct"/>
            <w:tcBorders>
              <w:top w:val="nil"/>
              <w:left w:val="single" w:sz="4" w:space="0" w:color="auto"/>
              <w:bottom w:val="nil"/>
              <w:right w:val="single" w:sz="4" w:space="0" w:color="auto"/>
            </w:tcBorders>
            <w:noWrap/>
          </w:tcPr>
          <w:p w14:paraId="6ECB9522" w14:textId="77777777" w:rsidR="00450662" w:rsidRDefault="00450662" w:rsidP="00966A31">
            <w:pPr>
              <w:pStyle w:val="TableText"/>
              <w:keepNext/>
              <w:spacing w:before="0" w:after="0"/>
              <w:jc w:val="right"/>
              <w:rPr>
                <w:lang w:eastAsia="en-AU"/>
              </w:rPr>
            </w:pPr>
            <w:r w:rsidRPr="00C42163">
              <w:t>$10.35</w:t>
            </w:r>
          </w:p>
        </w:tc>
        <w:tc>
          <w:tcPr>
            <w:tcW w:w="934" w:type="pct"/>
            <w:tcBorders>
              <w:top w:val="nil"/>
              <w:left w:val="single" w:sz="4" w:space="0" w:color="auto"/>
              <w:bottom w:val="nil"/>
              <w:right w:val="single" w:sz="4" w:space="0" w:color="auto"/>
            </w:tcBorders>
            <w:noWrap/>
          </w:tcPr>
          <w:p w14:paraId="13252EEB" w14:textId="77777777" w:rsidR="00450662" w:rsidRDefault="00450662" w:rsidP="00966A31">
            <w:pPr>
              <w:pStyle w:val="TableText"/>
              <w:keepNext/>
              <w:spacing w:before="0" w:after="0"/>
              <w:jc w:val="right"/>
              <w:rPr>
                <w:lang w:eastAsia="en-AU"/>
              </w:rPr>
            </w:pPr>
            <w:r w:rsidRPr="00C42163">
              <w:t>$0.33</w:t>
            </w:r>
          </w:p>
        </w:tc>
        <w:tc>
          <w:tcPr>
            <w:tcW w:w="934" w:type="pct"/>
            <w:tcBorders>
              <w:top w:val="nil"/>
              <w:left w:val="single" w:sz="4" w:space="0" w:color="auto"/>
              <w:bottom w:val="nil"/>
              <w:right w:val="single" w:sz="4" w:space="0" w:color="auto"/>
            </w:tcBorders>
            <w:shd w:val="clear" w:color="auto" w:fill="auto"/>
            <w:noWrap/>
          </w:tcPr>
          <w:p w14:paraId="1485A0B3" w14:textId="77777777" w:rsidR="00450662" w:rsidRDefault="00450662" w:rsidP="00966A31">
            <w:pPr>
              <w:pStyle w:val="TableText"/>
              <w:keepNext/>
              <w:spacing w:before="0" w:after="0"/>
              <w:jc w:val="right"/>
              <w:rPr>
                <w:lang w:eastAsia="en-AU"/>
              </w:rPr>
            </w:pPr>
            <w:r w:rsidRPr="00C42163">
              <w:t>$10.02</w:t>
            </w:r>
          </w:p>
        </w:tc>
      </w:tr>
      <w:tr w:rsidR="009814C1" w14:paraId="0D1DAD0A" w14:textId="77777777" w:rsidTr="009814C1">
        <w:trPr>
          <w:cantSplit/>
          <w:trHeight w:val="20"/>
        </w:trPr>
        <w:tc>
          <w:tcPr>
            <w:tcW w:w="2198" w:type="pct"/>
            <w:tcBorders>
              <w:top w:val="nil"/>
              <w:left w:val="single" w:sz="4" w:space="0" w:color="auto"/>
              <w:bottom w:val="single" w:sz="4" w:space="0" w:color="auto"/>
              <w:right w:val="single" w:sz="4" w:space="0" w:color="auto"/>
            </w:tcBorders>
            <w:noWrap/>
            <w:hideMark/>
          </w:tcPr>
          <w:p w14:paraId="5AE873D4" w14:textId="77777777" w:rsidR="00450662" w:rsidRDefault="00450662" w:rsidP="00966A31">
            <w:pPr>
              <w:pStyle w:val="TableText"/>
              <w:keepNext/>
              <w:spacing w:before="0" w:after="0"/>
              <w:rPr>
                <w:b/>
                <w:lang w:eastAsia="en-AU"/>
              </w:rPr>
            </w:pPr>
            <w:r>
              <w:rPr>
                <w:lang w:eastAsia="en-AU"/>
              </w:rPr>
              <w:t>Early diagnosis of affected cases</w:t>
            </w:r>
          </w:p>
        </w:tc>
        <w:tc>
          <w:tcPr>
            <w:tcW w:w="934" w:type="pct"/>
            <w:tcBorders>
              <w:top w:val="nil"/>
              <w:left w:val="single" w:sz="4" w:space="0" w:color="auto"/>
              <w:bottom w:val="single" w:sz="4" w:space="0" w:color="auto"/>
              <w:right w:val="single" w:sz="4" w:space="0" w:color="auto"/>
            </w:tcBorders>
            <w:noWrap/>
          </w:tcPr>
          <w:p w14:paraId="22B06110" w14:textId="77777777" w:rsidR="00450662" w:rsidRDefault="00450662" w:rsidP="00966A31">
            <w:pPr>
              <w:pStyle w:val="TableText"/>
              <w:keepNext/>
              <w:spacing w:before="0" w:after="0"/>
              <w:jc w:val="right"/>
              <w:rPr>
                <w:lang w:eastAsia="en-AU"/>
              </w:rPr>
            </w:pPr>
            <w:r w:rsidRPr="00C42163">
              <w:t>0.00007</w:t>
            </w:r>
          </w:p>
        </w:tc>
        <w:tc>
          <w:tcPr>
            <w:tcW w:w="934" w:type="pct"/>
            <w:tcBorders>
              <w:top w:val="nil"/>
              <w:left w:val="single" w:sz="4" w:space="0" w:color="auto"/>
              <w:bottom w:val="single" w:sz="4" w:space="0" w:color="auto"/>
              <w:right w:val="single" w:sz="4" w:space="0" w:color="auto"/>
            </w:tcBorders>
            <w:noWrap/>
          </w:tcPr>
          <w:p w14:paraId="63885C81" w14:textId="77777777" w:rsidR="00450662" w:rsidRDefault="00450662" w:rsidP="00966A31">
            <w:pPr>
              <w:pStyle w:val="TableText"/>
              <w:keepNext/>
              <w:spacing w:before="0" w:after="0"/>
              <w:jc w:val="right"/>
              <w:rPr>
                <w:lang w:eastAsia="en-AU"/>
              </w:rPr>
            </w:pPr>
            <w:r w:rsidRPr="00C42163">
              <w:t>0.00000</w:t>
            </w:r>
          </w:p>
        </w:tc>
        <w:tc>
          <w:tcPr>
            <w:tcW w:w="934" w:type="pct"/>
            <w:tcBorders>
              <w:top w:val="nil"/>
              <w:left w:val="single" w:sz="4" w:space="0" w:color="auto"/>
              <w:bottom w:val="single" w:sz="4" w:space="0" w:color="auto"/>
              <w:right w:val="single" w:sz="4" w:space="0" w:color="auto"/>
            </w:tcBorders>
            <w:shd w:val="clear" w:color="auto" w:fill="auto"/>
            <w:noWrap/>
          </w:tcPr>
          <w:p w14:paraId="0151BBD3" w14:textId="77777777" w:rsidR="00450662" w:rsidRDefault="00450662" w:rsidP="00966A31">
            <w:pPr>
              <w:pStyle w:val="TableText"/>
              <w:keepNext/>
              <w:spacing w:before="0" w:after="0"/>
              <w:jc w:val="right"/>
              <w:rPr>
                <w:b/>
                <w:lang w:eastAsia="en-AU"/>
              </w:rPr>
            </w:pPr>
            <w:r w:rsidRPr="00C42163">
              <w:t>0.00007</w:t>
            </w:r>
          </w:p>
        </w:tc>
      </w:tr>
      <w:tr w:rsidR="009814C1" w:rsidRPr="003A4178" w14:paraId="48F4BB65" w14:textId="77777777" w:rsidTr="009814C1">
        <w:trPr>
          <w:cantSplit/>
          <w:trHeight w:val="20"/>
        </w:trPr>
        <w:tc>
          <w:tcPr>
            <w:tcW w:w="2198" w:type="pct"/>
            <w:tcBorders>
              <w:top w:val="single" w:sz="4" w:space="0" w:color="auto"/>
              <w:left w:val="single" w:sz="4" w:space="0" w:color="auto"/>
              <w:bottom w:val="single" w:sz="4" w:space="0" w:color="auto"/>
              <w:right w:val="single" w:sz="4" w:space="0" w:color="auto"/>
            </w:tcBorders>
            <w:noWrap/>
            <w:hideMark/>
          </w:tcPr>
          <w:p w14:paraId="46840B6F" w14:textId="77777777" w:rsidR="00450662" w:rsidRDefault="00450662" w:rsidP="00966A31">
            <w:pPr>
              <w:pStyle w:val="TableText"/>
              <w:spacing w:before="0" w:after="0"/>
              <w:rPr>
                <w:b/>
                <w:lang w:eastAsia="en-AU"/>
              </w:rPr>
            </w:pPr>
            <w:r>
              <w:rPr>
                <w:b/>
                <w:lang w:eastAsia="en-AU"/>
              </w:rPr>
              <w:t xml:space="preserve">ICER </w:t>
            </w:r>
          </w:p>
        </w:tc>
        <w:tc>
          <w:tcPr>
            <w:tcW w:w="934" w:type="pct"/>
            <w:tcBorders>
              <w:top w:val="single" w:sz="4" w:space="0" w:color="auto"/>
              <w:left w:val="single" w:sz="4" w:space="0" w:color="auto"/>
              <w:bottom w:val="single" w:sz="4" w:space="0" w:color="auto"/>
              <w:right w:val="nil"/>
            </w:tcBorders>
            <w:noWrap/>
          </w:tcPr>
          <w:p w14:paraId="52B78102" w14:textId="77777777" w:rsidR="00450662" w:rsidRPr="003A4178" w:rsidRDefault="00450662" w:rsidP="00966A31">
            <w:pPr>
              <w:pStyle w:val="TableText"/>
              <w:spacing w:before="0" w:after="0"/>
              <w:jc w:val="right"/>
              <w:rPr>
                <w:b/>
                <w:lang w:eastAsia="en-AU"/>
              </w:rPr>
            </w:pPr>
          </w:p>
        </w:tc>
        <w:tc>
          <w:tcPr>
            <w:tcW w:w="934" w:type="pct"/>
            <w:tcBorders>
              <w:top w:val="single" w:sz="4" w:space="0" w:color="auto"/>
              <w:left w:val="nil"/>
              <w:bottom w:val="single" w:sz="4" w:space="0" w:color="auto"/>
              <w:right w:val="single" w:sz="4" w:space="0" w:color="auto"/>
            </w:tcBorders>
            <w:noWrap/>
          </w:tcPr>
          <w:p w14:paraId="64DD01D7" w14:textId="77777777" w:rsidR="00450662" w:rsidRPr="003A4178" w:rsidRDefault="00450662" w:rsidP="00966A31">
            <w:pPr>
              <w:pStyle w:val="TableText"/>
              <w:spacing w:before="0" w:after="0"/>
              <w:jc w:val="right"/>
              <w:rPr>
                <w:b/>
                <w:lang w:eastAsia="en-AU"/>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tcPr>
          <w:p w14:paraId="0D9C8653" w14:textId="77777777" w:rsidR="00450662" w:rsidRPr="001272D6" w:rsidRDefault="00450662" w:rsidP="00966A31">
            <w:pPr>
              <w:pStyle w:val="TableText"/>
              <w:spacing w:before="0" w:after="0"/>
              <w:jc w:val="right"/>
              <w:rPr>
                <w:b/>
                <w:lang w:eastAsia="en-AU"/>
              </w:rPr>
            </w:pPr>
            <w:r w:rsidRPr="00F34ECF">
              <w:rPr>
                <w:b/>
              </w:rPr>
              <w:t>$141,338</w:t>
            </w:r>
          </w:p>
        </w:tc>
      </w:tr>
      <w:tr w:rsidR="00672079" w14:paraId="0CC2AF93" w14:textId="77777777">
        <w:trPr>
          <w:cantSplit/>
          <w:trHeight w:val="20"/>
        </w:trPr>
        <w:tc>
          <w:tcPr>
            <w:tcW w:w="5000" w:type="pct"/>
            <w:gridSpan w:val="4"/>
            <w:tcBorders>
              <w:top w:val="nil"/>
              <w:left w:val="single" w:sz="4" w:space="0" w:color="auto"/>
              <w:bottom w:val="single" w:sz="4" w:space="0" w:color="auto"/>
              <w:right w:val="single" w:sz="4" w:space="0" w:color="auto"/>
            </w:tcBorders>
            <w:noWrap/>
            <w:hideMark/>
          </w:tcPr>
          <w:p w14:paraId="342BD8FF" w14:textId="0333B796" w:rsidR="00672079" w:rsidRPr="0043309C" w:rsidRDefault="00672079" w:rsidP="00966A31">
            <w:pPr>
              <w:pStyle w:val="TableText"/>
              <w:keepNext/>
              <w:spacing w:before="0" w:after="0"/>
              <w:rPr>
                <w:lang w:eastAsia="en-AU"/>
              </w:rPr>
            </w:pPr>
            <w:r w:rsidRPr="0043309C">
              <w:rPr>
                <w:rFonts w:cs="Courier New"/>
                <w:b/>
                <w:lang w:eastAsia="en-AU"/>
              </w:rPr>
              <w:t xml:space="preserve">Step </w:t>
            </w:r>
            <w:r w:rsidR="00AA263B" w:rsidRPr="0043309C">
              <w:rPr>
                <w:rFonts w:cs="Courier New"/>
                <w:b/>
                <w:lang w:eastAsia="en-AU"/>
              </w:rPr>
              <w:t>1</w:t>
            </w:r>
            <w:r w:rsidRPr="0043309C">
              <w:rPr>
                <w:b/>
              </w:rPr>
              <w:t xml:space="preserve"> – Minor model updates</w:t>
            </w:r>
          </w:p>
          <w:p w14:paraId="35549D17" w14:textId="3A8DC720" w:rsidR="00672079" w:rsidRPr="0043309C" w:rsidRDefault="00A920CE" w:rsidP="00966A31">
            <w:pPr>
              <w:pStyle w:val="TableText"/>
              <w:keepNext/>
              <w:spacing w:before="0" w:after="0"/>
              <w:rPr>
                <w:rFonts w:cs="Courier New"/>
                <w:bCs/>
                <w:lang w:eastAsia="en-AU"/>
              </w:rPr>
            </w:pPr>
            <w:r w:rsidRPr="0043309C">
              <w:rPr>
                <w:rFonts w:cs="Courier New"/>
                <w:bCs/>
                <w:lang w:eastAsia="en-AU"/>
              </w:rPr>
              <w:t xml:space="preserve">Based on MSAC advice that information could be provided for SCD alone, β-thalassemia cases and haemoglobinopathy carriers </w:t>
            </w:r>
            <w:r w:rsidR="002C4E05" w:rsidRPr="0043309C">
              <w:rPr>
                <w:rFonts w:cs="Courier New"/>
                <w:bCs/>
                <w:lang w:eastAsia="en-AU"/>
              </w:rPr>
              <w:t>were</w:t>
            </w:r>
            <w:r w:rsidRPr="0043309C">
              <w:rPr>
                <w:rFonts w:cs="Courier New"/>
                <w:bCs/>
                <w:lang w:eastAsia="en-AU"/>
              </w:rPr>
              <w:t xml:space="preserve"> removed from the analysis. </w:t>
            </w:r>
            <w:r w:rsidR="00212153" w:rsidRPr="0043309C">
              <w:rPr>
                <w:rFonts w:cs="Courier New"/>
                <w:bCs/>
                <w:lang w:eastAsia="en-AU"/>
              </w:rPr>
              <w:t>Minor errors in the cost of SCD monitoring and prophylaxis in cases identified and missed through universal NBS were also corrected.</w:t>
            </w:r>
          </w:p>
          <w:p w14:paraId="1130809D" w14:textId="273EA814" w:rsidR="00672079" w:rsidRPr="00687DA5" w:rsidRDefault="00672079" w:rsidP="00966A31">
            <w:pPr>
              <w:pStyle w:val="TableText"/>
              <w:keepNext/>
              <w:spacing w:before="0" w:after="0"/>
              <w:rPr>
                <w:rFonts w:cs="Courier New"/>
                <w:bCs/>
                <w:lang w:eastAsia="en-AU"/>
              </w:rPr>
            </w:pPr>
            <w:r w:rsidRPr="0043309C">
              <w:rPr>
                <w:rFonts w:cs="Courier New"/>
                <w:bCs/>
                <w:lang w:eastAsia="en-AU"/>
              </w:rPr>
              <w:t xml:space="preserve">The average age at symptomatic diagnosis was updated (from 8.4 months to 15.6 months) based on data from the </w:t>
            </w:r>
            <w:proofErr w:type="spellStart"/>
            <w:r w:rsidRPr="0043309C">
              <w:rPr>
                <w:rFonts w:cs="Courier New"/>
                <w:bCs/>
                <w:lang w:eastAsia="en-AU"/>
              </w:rPr>
              <w:t>HbR</w:t>
            </w:r>
            <w:proofErr w:type="spellEnd"/>
            <w:r w:rsidRPr="0043309C">
              <w:rPr>
                <w:rFonts w:cs="Courier New"/>
                <w:bCs/>
                <w:lang w:eastAsia="en-AU"/>
              </w:rPr>
              <w:t xml:space="preserve"> in Australian-born SCD patients included in the registry. This increased the duration of additional treatments (prophylactic antibiotics and hydroxyurea) and ongoing disease management resources in the additional patients diagnosed with SCD before symptom development through universal NBS. Some costs were updated or added based on </w:t>
            </w:r>
            <w:r w:rsidR="009C51B5" w:rsidRPr="0043309C">
              <w:t xml:space="preserve">unpublished data from the </w:t>
            </w:r>
            <w:proofErr w:type="spellStart"/>
            <w:r w:rsidR="009C51B5" w:rsidRPr="0043309C">
              <w:t>HbR.</w:t>
            </w:r>
            <w:r w:rsidR="00687DA5" w:rsidRPr="00D709D1">
              <w:rPr>
                <w:vertAlign w:val="superscript"/>
              </w:rPr>
              <w:t>a</w:t>
            </w:r>
            <w:proofErr w:type="spellEnd"/>
          </w:p>
        </w:tc>
      </w:tr>
      <w:tr w:rsidR="009267E8" w14:paraId="6C586BAE" w14:textId="77777777">
        <w:trPr>
          <w:cantSplit/>
          <w:trHeight w:val="20"/>
        </w:trPr>
        <w:tc>
          <w:tcPr>
            <w:tcW w:w="2198" w:type="pct"/>
            <w:tcBorders>
              <w:top w:val="nil"/>
              <w:left w:val="single" w:sz="4" w:space="0" w:color="auto"/>
              <w:bottom w:val="nil"/>
              <w:right w:val="single" w:sz="4" w:space="0" w:color="auto"/>
            </w:tcBorders>
            <w:noWrap/>
            <w:hideMark/>
          </w:tcPr>
          <w:p w14:paraId="23D65825" w14:textId="77777777" w:rsidR="009267E8" w:rsidRDefault="009267E8" w:rsidP="00966A31">
            <w:pPr>
              <w:pStyle w:val="TableText"/>
              <w:keepNext/>
              <w:spacing w:before="0" w:after="0"/>
              <w:rPr>
                <w:b/>
                <w:lang w:eastAsia="en-AU"/>
              </w:rPr>
            </w:pPr>
            <w:r>
              <w:rPr>
                <w:lang w:eastAsia="en-AU"/>
              </w:rPr>
              <w:t>Costs</w:t>
            </w:r>
          </w:p>
        </w:tc>
        <w:tc>
          <w:tcPr>
            <w:tcW w:w="934" w:type="pct"/>
            <w:tcBorders>
              <w:top w:val="nil"/>
              <w:left w:val="single" w:sz="4" w:space="0" w:color="auto"/>
              <w:bottom w:val="nil"/>
              <w:right w:val="single" w:sz="4" w:space="0" w:color="auto"/>
            </w:tcBorders>
            <w:noWrap/>
          </w:tcPr>
          <w:p w14:paraId="710050B1" w14:textId="00B97D5F" w:rsidR="009267E8" w:rsidRDefault="009267E8" w:rsidP="00966A31">
            <w:pPr>
              <w:pStyle w:val="TableText"/>
              <w:keepNext/>
              <w:spacing w:before="0" w:after="0"/>
              <w:jc w:val="right"/>
              <w:rPr>
                <w:lang w:eastAsia="en-AU"/>
              </w:rPr>
            </w:pPr>
            <w:r w:rsidRPr="00FB645C">
              <w:t>$10.12</w:t>
            </w:r>
          </w:p>
        </w:tc>
        <w:tc>
          <w:tcPr>
            <w:tcW w:w="934" w:type="pct"/>
            <w:tcBorders>
              <w:top w:val="nil"/>
              <w:left w:val="single" w:sz="4" w:space="0" w:color="auto"/>
              <w:bottom w:val="nil"/>
              <w:right w:val="single" w:sz="4" w:space="0" w:color="auto"/>
            </w:tcBorders>
            <w:noWrap/>
          </w:tcPr>
          <w:p w14:paraId="34247A8E" w14:textId="3972F2CF" w:rsidR="009267E8" w:rsidRDefault="009267E8" w:rsidP="00966A31">
            <w:pPr>
              <w:pStyle w:val="TableText"/>
              <w:keepNext/>
              <w:spacing w:before="0" w:after="0"/>
              <w:jc w:val="right"/>
              <w:rPr>
                <w:lang w:eastAsia="en-AU"/>
              </w:rPr>
            </w:pPr>
            <w:r w:rsidRPr="00FB645C">
              <w:t>$0.07</w:t>
            </w:r>
          </w:p>
        </w:tc>
        <w:tc>
          <w:tcPr>
            <w:tcW w:w="934" w:type="pct"/>
            <w:tcBorders>
              <w:top w:val="nil"/>
              <w:left w:val="single" w:sz="4" w:space="0" w:color="auto"/>
              <w:bottom w:val="nil"/>
              <w:right w:val="single" w:sz="4" w:space="0" w:color="auto"/>
            </w:tcBorders>
            <w:shd w:val="clear" w:color="auto" w:fill="auto"/>
            <w:noWrap/>
          </w:tcPr>
          <w:p w14:paraId="767E74EC" w14:textId="00F44DFA" w:rsidR="009267E8" w:rsidRDefault="009267E8" w:rsidP="00966A31">
            <w:pPr>
              <w:pStyle w:val="TableText"/>
              <w:keepNext/>
              <w:spacing w:before="0" w:after="0"/>
              <w:jc w:val="right"/>
              <w:rPr>
                <w:lang w:eastAsia="en-AU"/>
              </w:rPr>
            </w:pPr>
            <w:r w:rsidRPr="00FB645C">
              <w:t>$10.05</w:t>
            </w:r>
          </w:p>
        </w:tc>
      </w:tr>
      <w:tr w:rsidR="009267E8" w14:paraId="7DC89FBC" w14:textId="77777777">
        <w:trPr>
          <w:cantSplit/>
          <w:trHeight w:val="20"/>
        </w:trPr>
        <w:tc>
          <w:tcPr>
            <w:tcW w:w="2198" w:type="pct"/>
            <w:tcBorders>
              <w:top w:val="nil"/>
              <w:left w:val="single" w:sz="4" w:space="0" w:color="auto"/>
              <w:bottom w:val="single" w:sz="4" w:space="0" w:color="auto"/>
              <w:right w:val="single" w:sz="4" w:space="0" w:color="auto"/>
            </w:tcBorders>
            <w:noWrap/>
            <w:hideMark/>
          </w:tcPr>
          <w:p w14:paraId="1727EC6C" w14:textId="77777777" w:rsidR="009267E8" w:rsidRDefault="009267E8" w:rsidP="00966A31">
            <w:pPr>
              <w:pStyle w:val="TableText"/>
              <w:keepNext/>
              <w:spacing w:before="0" w:after="0"/>
              <w:rPr>
                <w:b/>
                <w:lang w:eastAsia="en-AU"/>
              </w:rPr>
            </w:pPr>
            <w:r>
              <w:rPr>
                <w:lang w:eastAsia="en-AU"/>
              </w:rPr>
              <w:t>Early diagnosis of affected cases</w:t>
            </w:r>
          </w:p>
        </w:tc>
        <w:tc>
          <w:tcPr>
            <w:tcW w:w="934" w:type="pct"/>
            <w:tcBorders>
              <w:top w:val="nil"/>
              <w:left w:val="single" w:sz="4" w:space="0" w:color="auto"/>
              <w:bottom w:val="single" w:sz="4" w:space="0" w:color="auto"/>
              <w:right w:val="single" w:sz="4" w:space="0" w:color="auto"/>
            </w:tcBorders>
            <w:noWrap/>
          </w:tcPr>
          <w:p w14:paraId="71A5A899" w14:textId="7C2EA3B0" w:rsidR="009267E8" w:rsidRDefault="009267E8" w:rsidP="00966A31">
            <w:pPr>
              <w:pStyle w:val="TableText"/>
              <w:keepNext/>
              <w:spacing w:before="0" w:after="0"/>
              <w:jc w:val="right"/>
              <w:rPr>
                <w:lang w:eastAsia="en-AU"/>
              </w:rPr>
            </w:pPr>
            <w:r w:rsidRPr="00FB645C">
              <w:t>0.00007</w:t>
            </w:r>
          </w:p>
        </w:tc>
        <w:tc>
          <w:tcPr>
            <w:tcW w:w="934" w:type="pct"/>
            <w:tcBorders>
              <w:top w:val="nil"/>
              <w:left w:val="single" w:sz="4" w:space="0" w:color="auto"/>
              <w:bottom w:val="single" w:sz="4" w:space="0" w:color="auto"/>
              <w:right w:val="single" w:sz="4" w:space="0" w:color="auto"/>
            </w:tcBorders>
            <w:noWrap/>
          </w:tcPr>
          <w:p w14:paraId="7B41ECB7" w14:textId="5B0863AC" w:rsidR="009267E8" w:rsidRDefault="009267E8" w:rsidP="00966A31">
            <w:pPr>
              <w:pStyle w:val="TableText"/>
              <w:keepNext/>
              <w:spacing w:before="0" w:after="0"/>
              <w:jc w:val="right"/>
              <w:rPr>
                <w:lang w:eastAsia="en-AU"/>
              </w:rPr>
            </w:pPr>
            <w:r w:rsidRPr="00FB645C">
              <w:t>0.00000</w:t>
            </w:r>
          </w:p>
        </w:tc>
        <w:tc>
          <w:tcPr>
            <w:tcW w:w="934" w:type="pct"/>
            <w:tcBorders>
              <w:top w:val="nil"/>
              <w:left w:val="single" w:sz="4" w:space="0" w:color="auto"/>
              <w:bottom w:val="single" w:sz="4" w:space="0" w:color="auto"/>
              <w:right w:val="single" w:sz="4" w:space="0" w:color="auto"/>
            </w:tcBorders>
            <w:shd w:val="clear" w:color="auto" w:fill="auto"/>
            <w:noWrap/>
          </w:tcPr>
          <w:p w14:paraId="2B23217E" w14:textId="3B857D36" w:rsidR="009267E8" w:rsidRDefault="009267E8" w:rsidP="00966A31">
            <w:pPr>
              <w:pStyle w:val="TableText"/>
              <w:keepNext/>
              <w:spacing w:before="0" w:after="0"/>
              <w:jc w:val="right"/>
              <w:rPr>
                <w:b/>
                <w:lang w:eastAsia="en-AU"/>
              </w:rPr>
            </w:pPr>
            <w:r w:rsidRPr="00FB645C">
              <w:t>0.00007</w:t>
            </w:r>
          </w:p>
        </w:tc>
      </w:tr>
      <w:tr w:rsidR="009267E8" w:rsidRPr="003A4178" w14:paraId="317205D2" w14:textId="77777777">
        <w:trPr>
          <w:cantSplit/>
          <w:trHeight w:val="20"/>
        </w:trPr>
        <w:tc>
          <w:tcPr>
            <w:tcW w:w="2198" w:type="pct"/>
            <w:tcBorders>
              <w:top w:val="single" w:sz="4" w:space="0" w:color="auto"/>
              <w:left w:val="single" w:sz="4" w:space="0" w:color="auto"/>
              <w:bottom w:val="single" w:sz="4" w:space="0" w:color="auto"/>
              <w:right w:val="single" w:sz="4" w:space="0" w:color="auto"/>
            </w:tcBorders>
            <w:noWrap/>
            <w:hideMark/>
          </w:tcPr>
          <w:p w14:paraId="14A4DBA5" w14:textId="77777777" w:rsidR="009267E8" w:rsidRDefault="009267E8" w:rsidP="00966A31">
            <w:pPr>
              <w:pStyle w:val="TableText"/>
              <w:spacing w:before="0" w:after="0"/>
              <w:rPr>
                <w:b/>
                <w:lang w:eastAsia="en-AU"/>
              </w:rPr>
            </w:pPr>
            <w:r>
              <w:rPr>
                <w:b/>
                <w:lang w:eastAsia="en-AU"/>
              </w:rPr>
              <w:t xml:space="preserve">ICER </w:t>
            </w:r>
          </w:p>
        </w:tc>
        <w:tc>
          <w:tcPr>
            <w:tcW w:w="934" w:type="pct"/>
            <w:tcBorders>
              <w:top w:val="single" w:sz="4" w:space="0" w:color="auto"/>
              <w:left w:val="single" w:sz="4" w:space="0" w:color="auto"/>
              <w:bottom w:val="single" w:sz="4" w:space="0" w:color="auto"/>
              <w:right w:val="nil"/>
            </w:tcBorders>
            <w:noWrap/>
          </w:tcPr>
          <w:p w14:paraId="138B1599" w14:textId="77777777" w:rsidR="009267E8" w:rsidRPr="003A4178" w:rsidRDefault="009267E8" w:rsidP="00966A31">
            <w:pPr>
              <w:pStyle w:val="TableText"/>
              <w:spacing w:before="0" w:after="0"/>
              <w:jc w:val="right"/>
              <w:rPr>
                <w:b/>
                <w:lang w:eastAsia="en-AU"/>
              </w:rPr>
            </w:pPr>
          </w:p>
        </w:tc>
        <w:tc>
          <w:tcPr>
            <w:tcW w:w="934" w:type="pct"/>
            <w:tcBorders>
              <w:top w:val="single" w:sz="4" w:space="0" w:color="auto"/>
              <w:left w:val="nil"/>
              <w:bottom w:val="single" w:sz="4" w:space="0" w:color="auto"/>
              <w:right w:val="single" w:sz="4" w:space="0" w:color="auto"/>
            </w:tcBorders>
            <w:noWrap/>
          </w:tcPr>
          <w:p w14:paraId="59C83B17" w14:textId="77777777" w:rsidR="009267E8" w:rsidRPr="003A4178" w:rsidRDefault="009267E8" w:rsidP="00966A31">
            <w:pPr>
              <w:pStyle w:val="TableText"/>
              <w:spacing w:before="0" w:after="0"/>
              <w:jc w:val="right"/>
              <w:rPr>
                <w:b/>
                <w:lang w:eastAsia="en-AU"/>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tcPr>
          <w:p w14:paraId="718FB725" w14:textId="1B63F77C" w:rsidR="009267E8" w:rsidRPr="009267E8" w:rsidRDefault="009267E8" w:rsidP="00966A31">
            <w:pPr>
              <w:pStyle w:val="TableText"/>
              <w:spacing w:before="0" w:after="0"/>
              <w:jc w:val="right"/>
              <w:rPr>
                <w:b/>
                <w:bCs/>
                <w:lang w:eastAsia="en-AU"/>
              </w:rPr>
            </w:pPr>
            <w:r w:rsidRPr="009267E8">
              <w:rPr>
                <w:b/>
                <w:bCs/>
              </w:rPr>
              <w:t>$141,707</w:t>
            </w:r>
          </w:p>
        </w:tc>
      </w:tr>
      <w:tr w:rsidR="009814C1" w14:paraId="29011449" w14:textId="77777777">
        <w:trPr>
          <w:cantSplit/>
          <w:trHeight w:val="20"/>
        </w:trPr>
        <w:tc>
          <w:tcPr>
            <w:tcW w:w="5000" w:type="pct"/>
            <w:gridSpan w:val="4"/>
            <w:tcBorders>
              <w:top w:val="nil"/>
              <w:left w:val="single" w:sz="4" w:space="0" w:color="auto"/>
              <w:bottom w:val="single" w:sz="4" w:space="0" w:color="auto"/>
              <w:right w:val="single" w:sz="4" w:space="0" w:color="auto"/>
            </w:tcBorders>
            <w:noWrap/>
            <w:hideMark/>
          </w:tcPr>
          <w:p w14:paraId="70FDB390" w14:textId="1124723E" w:rsidR="009814C1" w:rsidRDefault="009814C1" w:rsidP="00966A31">
            <w:pPr>
              <w:pStyle w:val="TableText"/>
              <w:keepNext/>
              <w:spacing w:before="0" w:after="0"/>
              <w:rPr>
                <w:lang w:eastAsia="en-AU"/>
              </w:rPr>
            </w:pPr>
            <w:r w:rsidRPr="008C1F18">
              <w:rPr>
                <w:rFonts w:cs="Courier New"/>
                <w:b/>
                <w:lang w:eastAsia="en-AU"/>
              </w:rPr>
              <w:t xml:space="preserve">Step </w:t>
            </w:r>
            <w:r w:rsidR="00D519DE">
              <w:rPr>
                <w:rFonts w:cs="Courier New"/>
                <w:b/>
                <w:lang w:eastAsia="en-AU"/>
              </w:rPr>
              <w:t>2</w:t>
            </w:r>
            <w:r w:rsidRPr="008C1F18">
              <w:rPr>
                <w:b/>
              </w:rPr>
              <w:t xml:space="preserve"> – </w:t>
            </w:r>
            <w:r w:rsidR="0020755A">
              <w:rPr>
                <w:rFonts w:cs="Courier New"/>
                <w:b/>
                <w:lang w:eastAsia="en-AU"/>
              </w:rPr>
              <w:t>Updated test method and cost</w:t>
            </w:r>
            <w:r>
              <w:rPr>
                <w:rFonts w:cs="Courier New"/>
                <w:b/>
                <w:lang w:eastAsia="en-AU"/>
              </w:rPr>
              <w:t xml:space="preserve">. </w:t>
            </w:r>
          </w:p>
          <w:p w14:paraId="4FDE94D8" w14:textId="354401F4" w:rsidR="009814C1" w:rsidRPr="009814C1" w:rsidRDefault="00F679DE" w:rsidP="00966A31">
            <w:pPr>
              <w:pStyle w:val="TableText"/>
              <w:keepNext/>
              <w:spacing w:before="0" w:after="0"/>
              <w:rPr>
                <w:rFonts w:cs="Courier New"/>
                <w:bCs/>
                <w:lang w:eastAsia="en-AU"/>
              </w:rPr>
            </w:pPr>
            <w:r>
              <w:rPr>
                <w:rFonts w:cs="Courier New"/>
                <w:bCs/>
                <w:lang w:eastAsia="en-AU"/>
              </w:rPr>
              <w:t xml:space="preserve">The test method </w:t>
            </w:r>
            <w:r w:rsidR="002D4F45">
              <w:rPr>
                <w:rFonts w:cs="Courier New"/>
                <w:bCs/>
                <w:lang w:eastAsia="en-AU"/>
              </w:rPr>
              <w:t xml:space="preserve">was updated </w:t>
            </w:r>
            <w:r w:rsidR="00CA1A82">
              <w:rPr>
                <w:rFonts w:cs="Courier New"/>
                <w:bCs/>
                <w:lang w:eastAsia="en-AU"/>
              </w:rPr>
              <w:t xml:space="preserve">from MALDI-TOF to ESI-MS/MS </w:t>
            </w:r>
            <w:r w:rsidR="002D4F45">
              <w:rPr>
                <w:rFonts w:cs="Courier New"/>
                <w:bCs/>
                <w:lang w:eastAsia="en-AU"/>
              </w:rPr>
              <w:t xml:space="preserve">based on </w:t>
            </w:r>
            <w:r w:rsidR="001D4B34" w:rsidRPr="001D4B34">
              <w:rPr>
                <w:rFonts w:cs="Courier New"/>
                <w:bCs/>
                <w:lang w:eastAsia="en-AU"/>
              </w:rPr>
              <w:t>expert consult</w:t>
            </w:r>
            <w:r w:rsidR="001D4B34">
              <w:rPr>
                <w:rFonts w:cs="Courier New"/>
                <w:bCs/>
                <w:lang w:eastAsia="en-AU"/>
              </w:rPr>
              <w:t>ation</w:t>
            </w:r>
            <w:r w:rsidR="00CA1A82">
              <w:rPr>
                <w:rFonts w:cs="Courier New"/>
                <w:bCs/>
                <w:lang w:eastAsia="en-AU"/>
              </w:rPr>
              <w:t>. The cost per test was also reduced from $10.00 per screen to $</w:t>
            </w:r>
            <w:r w:rsidR="00462F62">
              <w:rPr>
                <w:rFonts w:cs="Courier New"/>
                <w:bCs/>
                <w:lang w:eastAsia="en-AU"/>
              </w:rPr>
              <w:t>2.00</w:t>
            </w:r>
            <w:r w:rsidR="00CA1A82">
              <w:rPr>
                <w:rFonts w:cs="Courier New"/>
                <w:bCs/>
                <w:lang w:eastAsia="en-AU"/>
              </w:rPr>
              <w:t>.</w:t>
            </w:r>
            <w:r w:rsidR="00A64A2B">
              <w:rPr>
                <w:rFonts w:cs="Courier New"/>
                <w:bCs/>
                <w:lang w:eastAsia="en-AU"/>
              </w:rPr>
              <w:t xml:space="preserve"> As </w:t>
            </w:r>
            <w:r w:rsidR="008C3B6B">
              <w:rPr>
                <w:rFonts w:cs="Courier New"/>
                <w:bCs/>
                <w:lang w:eastAsia="en-AU"/>
              </w:rPr>
              <w:t>performance of testing is unchanged in this step (100% sensitivity, 99.99% specificity)</w:t>
            </w:r>
            <w:r w:rsidR="003F5701">
              <w:rPr>
                <w:rFonts w:cs="Courier New"/>
                <w:bCs/>
                <w:lang w:eastAsia="en-AU"/>
              </w:rPr>
              <w:t>, only the incremental costs change.</w:t>
            </w:r>
          </w:p>
        </w:tc>
      </w:tr>
      <w:tr w:rsidR="008031F1" w14:paraId="19153035" w14:textId="77777777">
        <w:trPr>
          <w:cantSplit/>
          <w:trHeight w:val="20"/>
        </w:trPr>
        <w:tc>
          <w:tcPr>
            <w:tcW w:w="2198" w:type="pct"/>
            <w:tcBorders>
              <w:top w:val="nil"/>
              <w:left w:val="single" w:sz="4" w:space="0" w:color="auto"/>
              <w:bottom w:val="nil"/>
              <w:right w:val="single" w:sz="4" w:space="0" w:color="auto"/>
            </w:tcBorders>
            <w:noWrap/>
            <w:hideMark/>
          </w:tcPr>
          <w:p w14:paraId="29740AFD" w14:textId="77777777" w:rsidR="008031F1" w:rsidRDefault="008031F1" w:rsidP="00966A31">
            <w:pPr>
              <w:pStyle w:val="TableText"/>
              <w:keepNext/>
              <w:spacing w:before="0" w:after="0"/>
              <w:rPr>
                <w:b/>
                <w:lang w:eastAsia="en-AU"/>
              </w:rPr>
            </w:pPr>
            <w:r>
              <w:rPr>
                <w:lang w:eastAsia="en-AU"/>
              </w:rPr>
              <w:t>Costs</w:t>
            </w:r>
          </w:p>
        </w:tc>
        <w:tc>
          <w:tcPr>
            <w:tcW w:w="934" w:type="pct"/>
            <w:tcBorders>
              <w:top w:val="nil"/>
              <w:left w:val="single" w:sz="4" w:space="0" w:color="auto"/>
              <w:bottom w:val="nil"/>
              <w:right w:val="single" w:sz="4" w:space="0" w:color="auto"/>
            </w:tcBorders>
            <w:noWrap/>
          </w:tcPr>
          <w:p w14:paraId="63D656E9" w14:textId="1F7A5D82" w:rsidR="008031F1" w:rsidRDefault="008031F1" w:rsidP="00966A31">
            <w:pPr>
              <w:pStyle w:val="TableText"/>
              <w:keepNext/>
              <w:spacing w:before="0" w:after="0"/>
              <w:jc w:val="right"/>
              <w:rPr>
                <w:lang w:eastAsia="en-AU"/>
              </w:rPr>
            </w:pPr>
            <w:r w:rsidRPr="007B371C">
              <w:t>$2.18</w:t>
            </w:r>
          </w:p>
        </w:tc>
        <w:tc>
          <w:tcPr>
            <w:tcW w:w="934" w:type="pct"/>
            <w:tcBorders>
              <w:top w:val="nil"/>
              <w:left w:val="single" w:sz="4" w:space="0" w:color="auto"/>
              <w:bottom w:val="nil"/>
              <w:right w:val="single" w:sz="4" w:space="0" w:color="auto"/>
            </w:tcBorders>
            <w:noWrap/>
          </w:tcPr>
          <w:p w14:paraId="30D12208" w14:textId="3295AA72" w:rsidR="008031F1" w:rsidRDefault="008031F1" w:rsidP="00966A31">
            <w:pPr>
              <w:pStyle w:val="TableText"/>
              <w:keepNext/>
              <w:spacing w:before="0" w:after="0"/>
              <w:jc w:val="right"/>
              <w:rPr>
                <w:lang w:eastAsia="en-AU"/>
              </w:rPr>
            </w:pPr>
            <w:r w:rsidRPr="007B371C">
              <w:t>$0.07</w:t>
            </w:r>
          </w:p>
        </w:tc>
        <w:tc>
          <w:tcPr>
            <w:tcW w:w="934" w:type="pct"/>
            <w:tcBorders>
              <w:top w:val="nil"/>
              <w:left w:val="single" w:sz="4" w:space="0" w:color="auto"/>
              <w:bottom w:val="nil"/>
              <w:right w:val="single" w:sz="4" w:space="0" w:color="auto"/>
            </w:tcBorders>
            <w:shd w:val="clear" w:color="auto" w:fill="auto"/>
            <w:noWrap/>
          </w:tcPr>
          <w:p w14:paraId="62134A45" w14:textId="6F641F97" w:rsidR="008031F1" w:rsidRDefault="008031F1" w:rsidP="00966A31">
            <w:pPr>
              <w:pStyle w:val="TableText"/>
              <w:keepNext/>
              <w:spacing w:before="0" w:after="0"/>
              <w:jc w:val="right"/>
              <w:rPr>
                <w:lang w:eastAsia="en-AU"/>
              </w:rPr>
            </w:pPr>
            <w:r w:rsidRPr="007B371C">
              <w:t>$2.11</w:t>
            </w:r>
          </w:p>
        </w:tc>
      </w:tr>
      <w:tr w:rsidR="008031F1" w14:paraId="65A10634" w14:textId="77777777">
        <w:trPr>
          <w:cantSplit/>
          <w:trHeight w:val="20"/>
        </w:trPr>
        <w:tc>
          <w:tcPr>
            <w:tcW w:w="2198" w:type="pct"/>
            <w:tcBorders>
              <w:top w:val="nil"/>
              <w:left w:val="single" w:sz="4" w:space="0" w:color="auto"/>
              <w:bottom w:val="single" w:sz="4" w:space="0" w:color="auto"/>
              <w:right w:val="single" w:sz="4" w:space="0" w:color="auto"/>
            </w:tcBorders>
            <w:noWrap/>
            <w:hideMark/>
          </w:tcPr>
          <w:p w14:paraId="5CE70D63" w14:textId="77777777" w:rsidR="008031F1" w:rsidRDefault="008031F1" w:rsidP="00966A31">
            <w:pPr>
              <w:pStyle w:val="TableText"/>
              <w:keepNext/>
              <w:spacing w:before="0" w:after="0"/>
              <w:rPr>
                <w:b/>
                <w:lang w:eastAsia="en-AU"/>
              </w:rPr>
            </w:pPr>
            <w:r>
              <w:rPr>
                <w:lang w:eastAsia="en-AU"/>
              </w:rPr>
              <w:t>Early diagnosis of affected cases</w:t>
            </w:r>
          </w:p>
        </w:tc>
        <w:tc>
          <w:tcPr>
            <w:tcW w:w="934" w:type="pct"/>
            <w:tcBorders>
              <w:top w:val="nil"/>
              <w:left w:val="single" w:sz="4" w:space="0" w:color="auto"/>
              <w:bottom w:val="single" w:sz="4" w:space="0" w:color="auto"/>
              <w:right w:val="single" w:sz="4" w:space="0" w:color="auto"/>
            </w:tcBorders>
            <w:noWrap/>
          </w:tcPr>
          <w:p w14:paraId="26F96848" w14:textId="3E74F284" w:rsidR="008031F1" w:rsidRDefault="008031F1" w:rsidP="00966A31">
            <w:pPr>
              <w:pStyle w:val="TableText"/>
              <w:keepNext/>
              <w:spacing w:before="0" w:after="0"/>
              <w:jc w:val="right"/>
              <w:rPr>
                <w:lang w:eastAsia="en-AU"/>
              </w:rPr>
            </w:pPr>
            <w:r w:rsidRPr="007B371C">
              <w:t>0.00007</w:t>
            </w:r>
          </w:p>
        </w:tc>
        <w:tc>
          <w:tcPr>
            <w:tcW w:w="934" w:type="pct"/>
            <w:tcBorders>
              <w:top w:val="nil"/>
              <w:left w:val="single" w:sz="4" w:space="0" w:color="auto"/>
              <w:bottom w:val="single" w:sz="4" w:space="0" w:color="auto"/>
              <w:right w:val="single" w:sz="4" w:space="0" w:color="auto"/>
            </w:tcBorders>
            <w:noWrap/>
          </w:tcPr>
          <w:p w14:paraId="4922596A" w14:textId="3AA75098" w:rsidR="008031F1" w:rsidRDefault="008031F1" w:rsidP="00966A31">
            <w:pPr>
              <w:pStyle w:val="TableText"/>
              <w:keepNext/>
              <w:spacing w:before="0" w:after="0"/>
              <w:jc w:val="right"/>
              <w:rPr>
                <w:lang w:eastAsia="en-AU"/>
              </w:rPr>
            </w:pPr>
            <w:r w:rsidRPr="007B371C">
              <w:t>0.00000</w:t>
            </w:r>
          </w:p>
        </w:tc>
        <w:tc>
          <w:tcPr>
            <w:tcW w:w="934" w:type="pct"/>
            <w:tcBorders>
              <w:top w:val="nil"/>
              <w:left w:val="single" w:sz="4" w:space="0" w:color="auto"/>
              <w:bottom w:val="single" w:sz="4" w:space="0" w:color="auto"/>
              <w:right w:val="single" w:sz="4" w:space="0" w:color="auto"/>
            </w:tcBorders>
            <w:shd w:val="clear" w:color="auto" w:fill="auto"/>
            <w:noWrap/>
          </w:tcPr>
          <w:p w14:paraId="45CD0762" w14:textId="02DEAEF0" w:rsidR="008031F1" w:rsidRDefault="008031F1" w:rsidP="00966A31">
            <w:pPr>
              <w:pStyle w:val="TableText"/>
              <w:keepNext/>
              <w:spacing w:before="0" w:after="0"/>
              <w:jc w:val="right"/>
              <w:rPr>
                <w:b/>
                <w:lang w:eastAsia="en-AU"/>
              </w:rPr>
            </w:pPr>
            <w:r w:rsidRPr="007B371C">
              <w:t>0.00007</w:t>
            </w:r>
          </w:p>
        </w:tc>
      </w:tr>
      <w:tr w:rsidR="008031F1" w:rsidRPr="003A4178" w14:paraId="06AD9F4A" w14:textId="77777777">
        <w:trPr>
          <w:cantSplit/>
          <w:trHeight w:val="20"/>
        </w:trPr>
        <w:tc>
          <w:tcPr>
            <w:tcW w:w="2198" w:type="pct"/>
            <w:tcBorders>
              <w:top w:val="single" w:sz="4" w:space="0" w:color="auto"/>
              <w:left w:val="single" w:sz="4" w:space="0" w:color="auto"/>
              <w:bottom w:val="single" w:sz="4" w:space="0" w:color="auto"/>
              <w:right w:val="single" w:sz="4" w:space="0" w:color="auto"/>
            </w:tcBorders>
            <w:noWrap/>
            <w:hideMark/>
          </w:tcPr>
          <w:p w14:paraId="6D77DD4B" w14:textId="77777777" w:rsidR="008031F1" w:rsidRDefault="008031F1" w:rsidP="00966A31">
            <w:pPr>
              <w:pStyle w:val="TableText"/>
              <w:spacing w:before="0" w:after="0"/>
              <w:rPr>
                <w:b/>
                <w:lang w:eastAsia="en-AU"/>
              </w:rPr>
            </w:pPr>
            <w:r>
              <w:rPr>
                <w:b/>
                <w:lang w:eastAsia="en-AU"/>
              </w:rPr>
              <w:t xml:space="preserve">ICER </w:t>
            </w:r>
          </w:p>
        </w:tc>
        <w:tc>
          <w:tcPr>
            <w:tcW w:w="934" w:type="pct"/>
            <w:tcBorders>
              <w:top w:val="single" w:sz="4" w:space="0" w:color="auto"/>
              <w:left w:val="single" w:sz="4" w:space="0" w:color="auto"/>
              <w:bottom w:val="single" w:sz="4" w:space="0" w:color="auto"/>
              <w:right w:val="nil"/>
            </w:tcBorders>
            <w:noWrap/>
          </w:tcPr>
          <w:p w14:paraId="2A716F5F" w14:textId="77777777" w:rsidR="008031F1" w:rsidRPr="003A4178" w:rsidRDefault="008031F1" w:rsidP="00966A31">
            <w:pPr>
              <w:pStyle w:val="TableText"/>
              <w:spacing w:before="0" w:after="0"/>
              <w:jc w:val="right"/>
              <w:rPr>
                <w:b/>
                <w:lang w:eastAsia="en-AU"/>
              </w:rPr>
            </w:pPr>
          </w:p>
        </w:tc>
        <w:tc>
          <w:tcPr>
            <w:tcW w:w="934" w:type="pct"/>
            <w:tcBorders>
              <w:top w:val="single" w:sz="4" w:space="0" w:color="auto"/>
              <w:left w:val="nil"/>
              <w:bottom w:val="single" w:sz="4" w:space="0" w:color="auto"/>
              <w:right w:val="single" w:sz="4" w:space="0" w:color="auto"/>
            </w:tcBorders>
            <w:noWrap/>
          </w:tcPr>
          <w:p w14:paraId="5CCA635B" w14:textId="77777777" w:rsidR="008031F1" w:rsidRPr="003A4178" w:rsidRDefault="008031F1" w:rsidP="00966A31">
            <w:pPr>
              <w:pStyle w:val="TableText"/>
              <w:spacing w:before="0" w:after="0"/>
              <w:jc w:val="right"/>
              <w:rPr>
                <w:b/>
                <w:lang w:eastAsia="en-AU"/>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tcPr>
          <w:p w14:paraId="5B527DB6" w14:textId="2E17AE8A" w:rsidR="008031F1" w:rsidRPr="005F4984" w:rsidRDefault="008031F1" w:rsidP="00966A31">
            <w:pPr>
              <w:pStyle w:val="TableText"/>
              <w:spacing w:before="0" w:after="0"/>
              <w:jc w:val="right"/>
              <w:rPr>
                <w:b/>
                <w:bCs/>
                <w:lang w:eastAsia="en-AU"/>
              </w:rPr>
            </w:pPr>
            <w:r w:rsidRPr="005F4984">
              <w:rPr>
                <w:b/>
                <w:bCs/>
              </w:rPr>
              <w:t>$29,707</w:t>
            </w:r>
          </w:p>
        </w:tc>
      </w:tr>
      <w:tr w:rsidR="0020755A" w14:paraId="02EE0C96" w14:textId="77777777">
        <w:trPr>
          <w:cantSplit/>
          <w:trHeight w:val="20"/>
        </w:trPr>
        <w:tc>
          <w:tcPr>
            <w:tcW w:w="5000" w:type="pct"/>
            <w:gridSpan w:val="4"/>
            <w:tcBorders>
              <w:top w:val="nil"/>
              <w:left w:val="single" w:sz="4" w:space="0" w:color="auto"/>
              <w:bottom w:val="single" w:sz="4" w:space="0" w:color="auto"/>
              <w:right w:val="single" w:sz="4" w:space="0" w:color="auto"/>
            </w:tcBorders>
            <w:noWrap/>
            <w:hideMark/>
          </w:tcPr>
          <w:p w14:paraId="0D1AF7D2" w14:textId="378C0ADB" w:rsidR="0020755A" w:rsidRDefault="0020755A" w:rsidP="00966A31">
            <w:pPr>
              <w:pStyle w:val="TableText"/>
              <w:keepNext/>
              <w:spacing w:before="0" w:after="0"/>
              <w:rPr>
                <w:lang w:eastAsia="en-AU"/>
              </w:rPr>
            </w:pPr>
            <w:r w:rsidRPr="008C1F18">
              <w:rPr>
                <w:rFonts w:cs="Courier New"/>
                <w:b/>
                <w:lang w:eastAsia="en-AU"/>
              </w:rPr>
              <w:t xml:space="preserve">Step </w:t>
            </w:r>
            <w:r>
              <w:rPr>
                <w:rFonts w:cs="Courier New"/>
                <w:b/>
                <w:lang w:eastAsia="en-AU"/>
              </w:rPr>
              <w:t>3</w:t>
            </w:r>
            <w:r w:rsidRPr="008C1F18">
              <w:rPr>
                <w:b/>
              </w:rPr>
              <w:t xml:space="preserve"> – </w:t>
            </w:r>
            <w:r>
              <w:rPr>
                <w:b/>
              </w:rPr>
              <w:t xml:space="preserve">Incorporate </w:t>
            </w:r>
            <w:r w:rsidR="00542EA4">
              <w:rPr>
                <w:b/>
              </w:rPr>
              <w:t xml:space="preserve">targeted </w:t>
            </w:r>
            <w:proofErr w:type="gramStart"/>
            <w:r w:rsidR="00542EA4">
              <w:rPr>
                <w:b/>
              </w:rPr>
              <w:t>testing</w:t>
            </w:r>
            <w:proofErr w:type="gramEnd"/>
          </w:p>
          <w:p w14:paraId="5EA1DED2" w14:textId="4DB315EF" w:rsidR="0020755A" w:rsidRPr="009814C1" w:rsidRDefault="0021532A" w:rsidP="00966A31">
            <w:pPr>
              <w:pStyle w:val="TableText"/>
              <w:keepNext/>
              <w:spacing w:before="0" w:after="0"/>
              <w:rPr>
                <w:rFonts w:cs="Courier New"/>
                <w:bCs/>
                <w:lang w:eastAsia="en-AU"/>
              </w:rPr>
            </w:pPr>
            <w:r>
              <w:rPr>
                <w:rFonts w:cs="Courier New"/>
                <w:bCs/>
                <w:lang w:eastAsia="en-AU"/>
              </w:rPr>
              <w:t xml:space="preserve">The impact of targeted testing (including </w:t>
            </w:r>
            <w:r w:rsidR="003B60DB">
              <w:rPr>
                <w:rFonts w:cs="Courier New"/>
                <w:bCs/>
                <w:lang w:eastAsia="en-AU"/>
              </w:rPr>
              <w:t xml:space="preserve">parental, </w:t>
            </w:r>
            <w:proofErr w:type="gramStart"/>
            <w:r>
              <w:rPr>
                <w:rFonts w:cs="Courier New"/>
                <w:bCs/>
                <w:lang w:eastAsia="en-AU"/>
              </w:rPr>
              <w:t>prenatal</w:t>
            </w:r>
            <w:proofErr w:type="gramEnd"/>
            <w:r w:rsidR="003B60DB">
              <w:rPr>
                <w:rFonts w:cs="Courier New"/>
                <w:bCs/>
                <w:lang w:eastAsia="en-AU"/>
              </w:rPr>
              <w:t xml:space="preserve"> and neonatal testing) was included. Data from the </w:t>
            </w:r>
            <w:proofErr w:type="spellStart"/>
            <w:r w:rsidR="003B60DB">
              <w:rPr>
                <w:rFonts w:cs="Courier New"/>
                <w:bCs/>
                <w:lang w:eastAsia="en-AU"/>
              </w:rPr>
              <w:t>HbR</w:t>
            </w:r>
            <w:proofErr w:type="spellEnd"/>
            <w:r w:rsidR="003B60DB">
              <w:rPr>
                <w:rFonts w:cs="Courier New"/>
                <w:bCs/>
                <w:lang w:eastAsia="en-AU"/>
              </w:rPr>
              <w:t xml:space="preserve"> </w:t>
            </w:r>
            <w:r w:rsidR="001D1B44">
              <w:rPr>
                <w:rFonts w:cs="Courier New"/>
                <w:bCs/>
                <w:lang w:eastAsia="en-AU"/>
              </w:rPr>
              <w:t xml:space="preserve">reported that of Australian-born SCD patients included in the registry, </w:t>
            </w:r>
            <w:r w:rsidR="00063D1C">
              <w:rPr>
                <w:rFonts w:cs="Courier New"/>
                <w:bCs/>
                <w:lang w:eastAsia="en-AU"/>
              </w:rPr>
              <w:t>52/109 (47.7%) w</w:t>
            </w:r>
            <w:r w:rsidR="006A2EED">
              <w:rPr>
                <w:rFonts w:cs="Courier New"/>
                <w:bCs/>
                <w:lang w:eastAsia="en-AU"/>
              </w:rPr>
              <w:t xml:space="preserve">ere diagnosed before development of symptoms, and so this </w:t>
            </w:r>
            <w:r w:rsidR="008310AB">
              <w:rPr>
                <w:rFonts w:cs="Courier New"/>
                <w:bCs/>
                <w:lang w:eastAsia="en-AU"/>
              </w:rPr>
              <w:t>wa</w:t>
            </w:r>
            <w:r w:rsidR="006A2EED">
              <w:rPr>
                <w:rFonts w:cs="Courier New"/>
                <w:bCs/>
                <w:lang w:eastAsia="en-AU"/>
              </w:rPr>
              <w:t xml:space="preserve">s used </w:t>
            </w:r>
            <w:r w:rsidR="002D7D76">
              <w:rPr>
                <w:rFonts w:cs="Courier New"/>
                <w:bCs/>
                <w:lang w:eastAsia="en-AU"/>
              </w:rPr>
              <w:t xml:space="preserve">to inform </w:t>
            </w:r>
            <w:r w:rsidR="00FB389A">
              <w:rPr>
                <w:rFonts w:cs="Courier New"/>
                <w:bCs/>
                <w:lang w:eastAsia="en-AU"/>
              </w:rPr>
              <w:t xml:space="preserve">the proportion </w:t>
            </w:r>
            <w:r w:rsidR="00063D1C">
              <w:rPr>
                <w:rFonts w:cs="Courier New"/>
                <w:bCs/>
                <w:lang w:eastAsia="en-AU"/>
              </w:rPr>
              <w:t>identified through current targeted testing processes.</w:t>
            </w:r>
            <w:r w:rsidR="002616DF">
              <w:rPr>
                <w:rFonts w:cs="Courier New"/>
                <w:bCs/>
                <w:lang w:eastAsia="en-AU"/>
              </w:rPr>
              <w:t xml:space="preserve"> </w:t>
            </w:r>
            <w:r w:rsidR="00F52BF7">
              <w:rPr>
                <w:rFonts w:cs="Courier New"/>
                <w:bCs/>
                <w:lang w:eastAsia="en-AU"/>
              </w:rPr>
              <w:t xml:space="preserve">A slight reduction in the absolute cost following universal NBS was observed due to </w:t>
            </w:r>
            <w:r w:rsidR="00F95300">
              <w:rPr>
                <w:rFonts w:cs="Courier New"/>
                <w:bCs/>
                <w:lang w:eastAsia="en-AU"/>
              </w:rPr>
              <w:t xml:space="preserve">targeted testing </w:t>
            </w:r>
            <w:r w:rsidR="00204E10">
              <w:rPr>
                <w:rFonts w:cs="Courier New"/>
                <w:bCs/>
                <w:lang w:eastAsia="en-AU"/>
              </w:rPr>
              <w:t>reducing</w:t>
            </w:r>
            <w:r w:rsidR="00F95300">
              <w:rPr>
                <w:rFonts w:cs="Courier New"/>
                <w:bCs/>
                <w:lang w:eastAsia="en-AU"/>
              </w:rPr>
              <w:t xml:space="preserve"> the </w:t>
            </w:r>
            <w:r w:rsidR="00204E10">
              <w:rPr>
                <w:rFonts w:cs="Courier New"/>
                <w:bCs/>
                <w:lang w:eastAsia="en-AU"/>
              </w:rPr>
              <w:t xml:space="preserve">number of </w:t>
            </w:r>
            <w:r w:rsidR="00150E4C">
              <w:rPr>
                <w:rFonts w:cs="Courier New"/>
                <w:bCs/>
                <w:lang w:eastAsia="en-AU"/>
              </w:rPr>
              <w:t xml:space="preserve">second tier </w:t>
            </w:r>
            <w:r w:rsidR="007475C3">
              <w:rPr>
                <w:rFonts w:cs="Courier New"/>
                <w:bCs/>
                <w:lang w:eastAsia="en-AU"/>
              </w:rPr>
              <w:t xml:space="preserve">and cascade </w:t>
            </w:r>
            <w:r w:rsidR="00EA5683">
              <w:rPr>
                <w:rFonts w:cs="Courier New"/>
                <w:bCs/>
                <w:lang w:eastAsia="en-AU"/>
              </w:rPr>
              <w:t xml:space="preserve">tests </w:t>
            </w:r>
            <w:r w:rsidR="00452620">
              <w:rPr>
                <w:rFonts w:cs="Courier New"/>
                <w:bCs/>
                <w:lang w:eastAsia="en-AU"/>
              </w:rPr>
              <w:t>assumed</w:t>
            </w:r>
            <w:r w:rsidR="007475C3">
              <w:rPr>
                <w:rFonts w:cs="Courier New"/>
                <w:bCs/>
                <w:lang w:eastAsia="en-AU"/>
              </w:rPr>
              <w:t>.</w:t>
            </w:r>
          </w:p>
        </w:tc>
      </w:tr>
      <w:tr w:rsidR="00B041F9" w14:paraId="483110AB" w14:textId="77777777">
        <w:trPr>
          <w:cantSplit/>
          <w:trHeight w:val="20"/>
        </w:trPr>
        <w:tc>
          <w:tcPr>
            <w:tcW w:w="2198" w:type="pct"/>
            <w:tcBorders>
              <w:top w:val="nil"/>
              <w:left w:val="single" w:sz="4" w:space="0" w:color="auto"/>
              <w:bottom w:val="nil"/>
              <w:right w:val="single" w:sz="4" w:space="0" w:color="auto"/>
            </w:tcBorders>
            <w:noWrap/>
            <w:hideMark/>
          </w:tcPr>
          <w:p w14:paraId="0165985C" w14:textId="77777777" w:rsidR="00B041F9" w:rsidRDefault="00B041F9" w:rsidP="00966A31">
            <w:pPr>
              <w:pStyle w:val="TableText"/>
              <w:keepNext/>
              <w:spacing w:before="0" w:after="0"/>
              <w:rPr>
                <w:b/>
                <w:lang w:eastAsia="en-AU"/>
              </w:rPr>
            </w:pPr>
            <w:r>
              <w:rPr>
                <w:lang w:eastAsia="en-AU"/>
              </w:rPr>
              <w:t>Costs</w:t>
            </w:r>
          </w:p>
        </w:tc>
        <w:tc>
          <w:tcPr>
            <w:tcW w:w="934" w:type="pct"/>
            <w:tcBorders>
              <w:top w:val="nil"/>
              <w:left w:val="single" w:sz="4" w:space="0" w:color="auto"/>
              <w:bottom w:val="nil"/>
              <w:right w:val="single" w:sz="4" w:space="0" w:color="auto"/>
            </w:tcBorders>
            <w:noWrap/>
          </w:tcPr>
          <w:p w14:paraId="3192A7F0" w14:textId="2B919C5C" w:rsidR="00B041F9" w:rsidRDefault="00B041F9" w:rsidP="00966A31">
            <w:pPr>
              <w:pStyle w:val="TableText"/>
              <w:keepNext/>
              <w:spacing w:before="0" w:after="0"/>
              <w:jc w:val="right"/>
              <w:rPr>
                <w:lang w:eastAsia="en-AU"/>
              </w:rPr>
            </w:pPr>
            <w:r w:rsidRPr="007E2FCD">
              <w:t>$2.17</w:t>
            </w:r>
          </w:p>
        </w:tc>
        <w:tc>
          <w:tcPr>
            <w:tcW w:w="934" w:type="pct"/>
            <w:tcBorders>
              <w:top w:val="nil"/>
              <w:left w:val="single" w:sz="4" w:space="0" w:color="auto"/>
              <w:bottom w:val="nil"/>
              <w:right w:val="single" w:sz="4" w:space="0" w:color="auto"/>
            </w:tcBorders>
            <w:noWrap/>
          </w:tcPr>
          <w:p w14:paraId="62417A98" w14:textId="7FEEA099" w:rsidR="00B041F9" w:rsidRDefault="00B041F9" w:rsidP="00966A31">
            <w:pPr>
              <w:pStyle w:val="TableText"/>
              <w:keepNext/>
              <w:spacing w:before="0" w:after="0"/>
              <w:jc w:val="right"/>
              <w:rPr>
                <w:lang w:eastAsia="en-AU"/>
              </w:rPr>
            </w:pPr>
            <w:r w:rsidRPr="007E2FCD">
              <w:t>$0.13</w:t>
            </w:r>
          </w:p>
        </w:tc>
        <w:tc>
          <w:tcPr>
            <w:tcW w:w="934" w:type="pct"/>
            <w:tcBorders>
              <w:top w:val="nil"/>
              <w:left w:val="single" w:sz="4" w:space="0" w:color="auto"/>
              <w:bottom w:val="nil"/>
              <w:right w:val="single" w:sz="4" w:space="0" w:color="auto"/>
            </w:tcBorders>
            <w:shd w:val="clear" w:color="auto" w:fill="auto"/>
            <w:noWrap/>
          </w:tcPr>
          <w:p w14:paraId="0509132B" w14:textId="48918468" w:rsidR="00B041F9" w:rsidRDefault="00B041F9" w:rsidP="00966A31">
            <w:pPr>
              <w:pStyle w:val="TableText"/>
              <w:keepNext/>
              <w:spacing w:before="0" w:after="0"/>
              <w:jc w:val="right"/>
              <w:rPr>
                <w:lang w:eastAsia="en-AU"/>
              </w:rPr>
            </w:pPr>
            <w:r w:rsidRPr="007E2FCD">
              <w:t>$2.04</w:t>
            </w:r>
          </w:p>
        </w:tc>
      </w:tr>
      <w:tr w:rsidR="00B041F9" w14:paraId="0A027572" w14:textId="77777777">
        <w:trPr>
          <w:cantSplit/>
          <w:trHeight w:val="20"/>
        </w:trPr>
        <w:tc>
          <w:tcPr>
            <w:tcW w:w="2198" w:type="pct"/>
            <w:tcBorders>
              <w:top w:val="nil"/>
              <w:left w:val="single" w:sz="4" w:space="0" w:color="auto"/>
              <w:bottom w:val="single" w:sz="4" w:space="0" w:color="auto"/>
              <w:right w:val="single" w:sz="4" w:space="0" w:color="auto"/>
            </w:tcBorders>
            <w:noWrap/>
            <w:hideMark/>
          </w:tcPr>
          <w:p w14:paraId="1D5944DE" w14:textId="77777777" w:rsidR="00B041F9" w:rsidRDefault="00B041F9" w:rsidP="00966A31">
            <w:pPr>
              <w:pStyle w:val="TableText"/>
              <w:keepNext/>
              <w:spacing w:before="0" w:after="0"/>
              <w:rPr>
                <w:b/>
                <w:lang w:eastAsia="en-AU"/>
              </w:rPr>
            </w:pPr>
            <w:r>
              <w:rPr>
                <w:lang w:eastAsia="en-AU"/>
              </w:rPr>
              <w:t>Early diagnosis of affected cases</w:t>
            </w:r>
          </w:p>
        </w:tc>
        <w:tc>
          <w:tcPr>
            <w:tcW w:w="934" w:type="pct"/>
            <w:tcBorders>
              <w:top w:val="nil"/>
              <w:left w:val="single" w:sz="4" w:space="0" w:color="auto"/>
              <w:bottom w:val="single" w:sz="4" w:space="0" w:color="auto"/>
              <w:right w:val="single" w:sz="4" w:space="0" w:color="auto"/>
            </w:tcBorders>
            <w:noWrap/>
          </w:tcPr>
          <w:p w14:paraId="04B3BCD6" w14:textId="229815FC" w:rsidR="00B041F9" w:rsidRDefault="00B041F9" w:rsidP="00966A31">
            <w:pPr>
              <w:pStyle w:val="TableText"/>
              <w:keepNext/>
              <w:spacing w:before="0" w:after="0"/>
              <w:jc w:val="right"/>
              <w:rPr>
                <w:lang w:eastAsia="en-AU"/>
              </w:rPr>
            </w:pPr>
            <w:r w:rsidRPr="007E2FCD">
              <w:t>0.00007</w:t>
            </w:r>
          </w:p>
        </w:tc>
        <w:tc>
          <w:tcPr>
            <w:tcW w:w="934" w:type="pct"/>
            <w:tcBorders>
              <w:top w:val="nil"/>
              <w:left w:val="single" w:sz="4" w:space="0" w:color="auto"/>
              <w:bottom w:val="single" w:sz="4" w:space="0" w:color="auto"/>
              <w:right w:val="single" w:sz="4" w:space="0" w:color="auto"/>
            </w:tcBorders>
            <w:noWrap/>
          </w:tcPr>
          <w:p w14:paraId="7E601C74" w14:textId="1AC1D8A2" w:rsidR="00B041F9" w:rsidRDefault="00B041F9" w:rsidP="00966A31">
            <w:pPr>
              <w:pStyle w:val="TableText"/>
              <w:keepNext/>
              <w:spacing w:before="0" w:after="0"/>
              <w:jc w:val="right"/>
              <w:rPr>
                <w:lang w:eastAsia="en-AU"/>
              </w:rPr>
            </w:pPr>
            <w:r w:rsidRPr="007E2FCD">
              <w:t>0.00003</w:t>
            </w:r>
          </w:p>
        </w:tc>
        <w:tc>
          <w:tcPr>
            <w:tcW w:w="934" w:type="pct"/>
            <w:tcBorders>
              <w:top w:val="nil"/>
              <w:left w:val="single" w:sz="4" w:space="0" w:color="auto"/>
              <w:bottom w:val="single" w:sz="4" w:space="0" w:color="auto"/>
              <w:right w:val="single" w:sz="4" w:space="0" w:color="auto"/>
            </w:tcBorders>
            <w:shd w:val="clear" w:color="auto" w:fill="auto"/>
            <w:noWrap/>
          </w:tcPr>
          <w:p w14:paraId="48308F9E" w14:textId="3BFE2A4D" w:rsidR="00B041F9" w:rsidRDefault="00B041F9" w:rsidP="00966A31">
            <w:pPr>
              <w:pStyle w:val="TableText"/>
              <w:keepNext/>
              <w:spacing w:before="0" w:after="0"/>
              <w:jc w:val="right"/>
              <w:rPr>
                <w:b/>
                <w:lang w:eastAsia="en-AU"/>
              </w:rPr>
            </w:pPr>
            <w:r w:rsidRPr="007E2FCD">
              <w:t>0.00004</w:t>
            </w:r>
          </w:p>
        </w:tc>
      </w:tr>
      <w:tr w:rsidR="00B041F9" w:rsidRPr="003A4178" w14:paraId="6C513176" w14:textId="77777777">
        <w:trPr>
          <w:cantSplit/>
          <w:trHeight w:val="20"/>
        </w:trPr>
        <w:tc>
          <w:tcPr>
            <w:tcW w:w="2198" w:type="pct"/>
            <w:tcBorders>
              <w:top w:val="single" w:sz="4" w:space="0" w:color="auto"/>
              <w:left w:val="single" w:sz="4" w:space="0" w:color="auto"/>
              <w:bottom w:val="single" w:sz="4" w:space="0" w:color="auto"/>
              <w:right w:val="single" w:sz="4" w:space="0" w:color="auto"/>
            </w:tcBorders>
            <w:noWrap/>
            <w:hideMark/>
          </w:tcPr>
          <w:p w14:paraId="1B60501D" w14:textId="77777777" w:rsidR="00B041F9" w:rsidRDefault="00B041F9" w:rsidP="00966A31">
            <w:pPr>
              <w:pStyle w:val="TableText"/>
              <w:spacing w:before="0" w:after="0"/>
              <w:rPr>
                <w:b/>
                <w:lang w:eastAsia="en-AU"/>
              </w:rPr>
            </w:pPr>
            <w:r>
              <w:rPr>
                <w:b/>
                <w:lang w:eastAsia="en-AU"/>
              </w:rPr>
              <w:t xml:space="preserve">ICER </w:t>
            </w:r>
          </w:p>
        </w:tc>
        <w:tc>
          <w:tcPr>
            <w:tcW w:w="934" w:type="pct"/>
            <w:tcBorders>
              <w:top w:val="single" w:sz="4" w:space="0" w:color="auto"/>
              <w:left w:val="single" w:sz="4" w:space="0" w:color="auto"/>
              <w:bottom w:val="single" w:sz="4" w:space="0" w:color="auto"/>
              <w:right w:val="nil"/>
            </w:tcBorders>
            <w:noWrap/>
          </w:tcPr>
          <w:p w14:paraId="58EE16C4" w14:textId="77777777" w:rsidR="00B041F9" w:rsidRPr="003A4178" w:rsidRDefault="00B041F9" w:rsidP="00966A31">
            <w:pPr>
              <w:pStyle w:val="TableText"/>
              <w:spacing w:before="0" w:after="0"/>
              <w:jc w:val="right"/>
              <w:rPr>
                <w:b/>
                <w:lang w:eastAsia="en-AU"/>
              </w:rPr>
            </w:pPr>
          </w:p>
        </w:tc>
        <w:tc>
          <w:tcPr>
            <w:tcW w:w="934" w:type="pct"/>
            <w:tcBorders>
              <w:top w:val="single" w:sz="4" w:space="0" w:color="auto"/>
              <w:left w:val="nil"/>
              <w:bottom w:val="single" w:sz="4" w:space="0" w:color="auto"/>
              <w:right w:val="single" w:sz="4" w:space="0" w:color="auto"/>
            </w:tcBorders>
            <w:noWrap/>
          </w:tcPr>
          <w:p w14:paraId="40EC39D1" w14:textId="77777777" w:rsidR="00B041F9" w:rsidRPr="003A4178" w:rsidRDefault="00B041F9" w:rsidP="00966A31">
            <w:pPr>
              <w:pStyle w:val="TableText"/>
              <w:spacing w:before="0" w:after="0"/>
              <w:jc w:val="right"/>
              <w:rPr>
                <w:b/>
                <w:lang w:eastAsia="en-AU"/>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tcPr>
          <w:p w14:paraId="4172CDE2" w14:textId="5AE09B50" w:rsidR="00B041F9" w:rsidRPr="00B041F9" w:rsidRDefault="00B041F9" w:rsidP="00966A31">
            <w:pPr>
              <w:pStyle w:val="TableText"/>
              <w:spacing w:before="0" w:after="0"/>
              <w:jc w:val="right"/>
              <w:rPr>
                <w:b/>
                <w:bCs/>
                <w:lang w:eastAsia="en-AU"/>
              </w:rPr>
            </w:pPr>
            <w:r w:rsidRPr="00B041F9">
              <w:rPr>
                <w:b/>
                <w:bCs/>
              </w:rPr>
              <w:t>$54,980</w:t>
            </w:r>
          </w:p>
        </w:tc>
      </w:tr>
      <w:tr w:rsidR="00542EA4" w14:paraId="3254EE86" w14:textId="77777777">
        <w:trPr>
          <w:cantSplit/>
          <w:trHeight w:val="20"/>
        </w:trPr>
        <w:tc>
          <w:tcPr>
            <w:tcW w:w="5000" w:type="pct"/>
            <w:gridSpan w:val="4"/>
            <w:tcBorders>
              <w:top w:val="nil"/>
              <w:left w:val="single" w:sz="4" w:space="0" w:color="auto"/>
              <w:bottom w:val="single" w:sz="4" w:space="0" w:color="auto"/>
              <w:right w:val="single" w:sz="4" w:space="0" w:color="auto"/>
            </w:tcBorders>
            <w:noWrap/>
            <w:hideMark/>
          </w:tcPr>
          <w:p w14:paraId="7D9DD17B" w14:textId="256B0CCC" w:rsidR="00542EA4" w:rsidRDefault="00542EA4" w:rsidP="00966A31">
            <w:pPr>
              <w:pStyle w:val="TableText"/>
              <w:keepNext/>
              <w:spacing w:before="0" w:after="0"/>
              <w:rPr>
                <w:lang w:eastAsia="en-AU"/>
              </w:rPr>
            </w:pPr>
            <w:r w:rsidRPr="008C1F18">
              <w:rPr>
                <w:rFonts w:cs="Courier New"/>
                <w:b/>
                <w:lang w:eastAsia="en-AU"/>
              </w:rPr>
              <w:t xml:space="preserve">Step </w:t>
            </w:r>
            <w:r w:rsidR="00D519DE">
              <w:rPr>
                <w:rFonts w:cs="Courier New"/>
                <w:b/>
                <w:lang w:eastAsia="en-AU"/>
              </w:rPr>
              <w:t>4</w:t>
            </w:r>
            <w:r w:rsidRPr="008C1F18">
              <w:rPr>
                <w:b/>
              </w:rPr>
              <w:t xml:space="preserve"> – </w:t>
            </w:r>
            <w:r>
              <w:rPr>
                <w:b/>
              </w:rPr>
              <w:t>Update SCD incidence</w:t>
            </w:r>
          </w:p>
          <w:p w14:paraId="2A7A567E" w14:textId="290E6CDF" w:rsidR="00542EA4" w:rsidRPr="009814C1" w:rsidRDefault="0011677F" w:rsidP="00966A31">
            <w:pPr>
              <w:pStyle w:val="TableText"/>
              <w:keepNext/>
              <w:spacing w:before="0" w:after="0"/>
              <w:rPr>
                <w:rFonts w:cs="Courier New"/>
                <w:bCs/>
                <w:lang w:eastAsia="en-AU"/>
              </w:rPr>
            </w:pPr>
            <w:r>
              <w:rPr>
                <w:rFonts w:cs="Courier New"/>
                <w:bCs/>
                <w:lang w:eastAsia="en-AU"/>
              </w:rPr>
              <w:t>Incidence was</w:t>
            </w:r>
            <w:r w:rsidR="00460A49">
              <w:rPr>
                <w:rFonts w:cs="Courier New"/>
                <w:bCs/>
                <w:lang w:eastAsia="en-AU"/>
              </w:rPr>
              <w:t xml:space="preserve"> increased from 7.1 per 100,000 (</w:t>
            </w:r>
            <w:proofErr w:type="spellStart"/>
            <w:r w:rsidR="00460A49">
              <w:rPr>
                <w:rFonts w:cs="Courier New"/>
                <w:bCs/>
                <w:lang w:eastAsia="en-AU"/>
              </w:rPr>
              <w:t>Pathwest</w:t>
            </w:r>
            <w:proofErr w:type="spellEnd"/>
            <w:r w:rsidR="00460A49">
              <w:rPr>
                <w:rFonts w:cs="Courier New"/>
                <w:bCs/>
                <w:lang w:eastAsia="en-AU"/>
              </w:rPr>
              <w:t xml:space="preserve">: 2.5/35,000) to 34.2 per 100,000 based on the </w:t>
            </w:r>
            <w:r w:rsidR="00460A49" w:rsidRPr="005B6A48">
              <w:rPr>
                <w:rFonts w:cs="Courier New"/>
              </w:rPr>
              <w:t>birth prevalence of SCD in Sub-Saharan</w:t>
            </w:r>
            <w:r w:rsidR="00EA5683">
              <w:rPr>
                <w:rFonts w:cs="Courier New"/>
              </w:rPr>
              <w:t xml:space="preserve"> </w:t>
            </w:r>
            <w:r w:rsidR="00460A49" w:rsidRPr="005B6A48">
              <w:rPr>
                <w:rFonts w:cs="Courier New"/>
              </w:rPr>
              <w:t>Africa, the number of births in Australia to people from Sub-Saharan</w:t>
            </w:r>
            <w:r w:rsidR="00266B38">
              <w:rPr>
                <w:rFonts w:cs="Courier New"/>
              </w:rPr>
              <w:t xml:space="preserve"> </w:t>
            </w:r>
            <w:r w:rsidR="00460A49" w:rsidRPr="005B6A48">
              <w:rPr>
                <w:rFonts w:cs="Courier New"/>
              </w:rPr>
              <w:t xml:space="preserve">Africa and the proportion of cases from the </w:t>
            </w:r>
            <w:proofErr w:type="spellStart"/>
            <w:r w:rsidR="00460A49" w:rsidRPr="005B6A48">
              <w:rPr>
                <w:rFonts w:cs="Courier New"/>
              </w:rPr>
              <w:t>HbR</w:t>
            </w:r>
            <w:proofErr w:type="spellEnd"/>
            <w:r w:rsidR="00460A49" w:rsidRPr="005B6A48">
              <w:rPr>
                <w:rFonts w:cs="Courier New"/>
              </w:rPr>
              <w:t xml:space="preserve"> from Sub-Saharan</w:t>
            </w:r>
            <w:r w:rsidR="00266B38">
              <w:rPr>
                <w:rFonts w:cs="Courier New"/>
              </w:rPr>
              <w:t xml:space="preserve"> </w:t>
            </w:r>
            <w:r w:rsidR="00460A49" w:rsidRPr="005B6A48">
              <w:rPr>
                <w:rFonts w:cs="Courier New"/>
              </w:rPr>
              <w:t>Africa.</w:t>
            </w:r>
            <w:r w:rsidR="00012CAC">
              <w:rPr>
                <w:rFonts w:cs="Courier New"/>
              </w:rPr>
              <w:t xml:space="preserve"> </w:t>
            </w:r>
          </w:p>
        </w:tc>
      </w:tr>
      <w:tr w:rsidR="004644B3" w14:paraId="76341316" w14:textId="77777777">
        <w:trPr>
          <w:cantSplit/>
          <w:trHeight w:val="20"/>
        </w:trPr>
        <w:tc>
          <w:tcPr>
            <w:tcW w:w="2198" w:type="pct"/>
            <w:tcBorders>
              <w:top w:val="nil"/>
              <w:left w:val="single" w:sz="4" w:space="0" w:color="auto"/>
              <w:bottom w:val="nil"/>
              <w:right w:val="single" w:sz="4" w:space="0" w:color="auto"/>
            </w:tcBorders>
            <w:noWrap/>
            <w:hideMark/>
          </w:tcPr>
          <w:p w14:paraId="7F4F60D8" w14:textId="77777777" w:rsidR="004644B3" w:rsidRDefault="004644B3" w:rsidP="00966A31">
            <w:pPr>
              <w:pStyle w:val="TableText"/>
              <w:keepNext/>
              <w:spacing w:before="0" w:after="0"/>
              <w:rPr>
                <w:b/>
                <w:lang w:eastAsia="en-AU"/>
              </w:rPr>
            </w:pPr>
            <w:r>
              <w:rPr>
                <w:lang w:eastAsia="en-AU"/>
              </w:rPr>
              <w:t>Costs</w:t>
            </w:r>
          </w:p>
        </w:tc>
        <w:tc>
          <w:tcPr>
            <w:tcW w:w="934" w:type="pct"/>
            <w:tcBorders>
              <w:top w:val="nil"/>
              <w:left w:val="single" w:sz="4" w:space="0" w:color="auto"/>
              <w:bottom w:val="nil"/>
              <w:right w:val="single" w:sz="4" w:space="0" w:color="auto"/>
            </w:tcBorders>
            <w:noWrap/>
          </w:tcPr>
          <w:p w14:paraId="23433A54" w14:textId="4F4D3EFF" w:rsidR="004644B3" w:rsidRDefault="004644B3" w:rsidP="00966A31">
            <w:pPr>
              <w:pStyle w:val="TableText"/>
              <w:keepNext/>
              <w:spacing w:before="0" w:after="0"/>
              <w:jc w:val="right"/>
              <w:rPr>
                <w:lang w:eastAsia="en-AU"/>
              </w:rPr>
            </w:pPr>
            <w:r w:rsidRPr="00F461D6">
              <w:t>$2.69</w:t>
            </w:r>
          </w:p>
        </w:tc>
        <w:tc>
          <w:tcPr>
            <w:tcW w:w="934" w:type="pct"/>
            <w:tcBorders>
              <w:top w:val="nil"/>
              <w:left w:val="single" w:sz="4" w:space="0" w:color="auto"/>
              <w:bottom w:val="nil"/>
              <w:right w:val="single" w:sz="4" w:space="0" w:color="auto"/>
            </w:tcBorders>
            <w:noWrap/>
          </w:tcPr>
          <w:p w14:paraId="652165BB" w14:textId="1D29FB7D" w:rsidR="004644B3" w:rsidRDefault="004644B3" w:rsidP="00966A31">
            <w:pPr>
              <w:pStyle w:val="TableText"/>
              <w:keepNext/>
              <w:spacing w:before="0" w:after="0"/>
              <w:jc w:val="right"/>
              <w:rPr>
                <w:lang w:eastAsia="en-AU"/>
              </w:rPr>
            </w:pPr>
            <w:r w:rsidRPr="00F461D6">
              <w:t>$0.50</w:t>
            </w:r>
          </w:p>
        </w:tc>
        <w:tc>
          <w:tcPr>
            <w:tcW w:w="934" w:type="pct"/>
            <w:tcBorders>
              <w:top w:val="nil"/>
              <w:left w:val="single" w:sz="4" w:space="0" w:color="auto"/>
              <w:bottom w:val="nil"/>
              <w:right w:val="single" w:sz="4" w:space="0" w:color="auto"/>
            </w:tcBorders>
            <w:shd w:val="clear" w:color="auto" w:fill="auto"/>
            <w:noWrap/>
          </w:tcPr>
          <w:p w14:paraId="4D48A022" w14:textId="488F0682" w:rsidR="004644B3" w:rsidRDefault="004644B3" w:rsidP="00966A31">
            <w:pPr>
              <w:pStyle w:val="TableText"/>
              <w:keepNext/>
              <w:spacing w:before="0" w:after="0"/>
              <w:jc w:val="right"/>
              <w:rPr>
                <w:lang w:eastAsia="en-AU"/>
              </w:rPr>
            </w:pPr>
            <w:r w:rsidRPr="00F461D6">
              <w:t>$2.18</w:t>
            </w:r>
          </w:p>
        </w:tc>
      </w:tr>
      <w:tr w:rsidR="004644B3" w14:paraId="429E8BA7" w14:textId="77777777">
        <w:trPr>
          <w:cantSplit/>
          <w:trHeight w:val="20"/>
        </w:trPr>
        <w:tc>
          <w:tcPr>
            <w:tcW w:w="2198" w:type="pct"/>
            <w:tcBorders>
              <w:top w:val="nil"/>
              <w:left w:val="single" w:sz="4" w:space="0" w:color="auto"/>
              <w:bottom w:val="single" w:sz="4" w:space="0" w:color="auto"/>
              <w:right w:val="single" w:sz="4" w:space="0" w:color="auto"/>
            </w:tcBorders>
            <w:noWrap/>
            <w:hideMark/>
          </w:tcPr>
          <w:p w14:paraId="46CD31EC" w14:textId="77777777" w:rsidR="004644B3" w:rsidRDefault="004644B3" w:rsidP="00966A31">
            <w:pPr>
              <w:pStyle w:val="TableText"/>
              <w:keepNext/>
              <w:spacing w:before="0" w:after="0"/>
              <w:rPr>
                <w:b/>
                <w:lang w:eastAsia="en-AU"/>
              </w:rPr>
            </w:pPr>
            <w:r>
              <w:rPr>
                <w:lang w:eastAsia="en-AU"/>
              </w:rPr>
              <w:t>Early diagnosis of affected cases</w:t>
            </w:r>
          </w:p>
        </w:tc>
        <w:tc>
          <w:tcPr>
            <w:tcW w:w="934" w:type="pct"/>
            <w:tcBorders>
              <w:top w:val="nil"/>
              <w:left w:val="single" w:sz="4" w:space="0" w:color="auto"/>
              <w:bottom w:val="single" w:sz="4" w:space="0" w:color="auto"/>
              <w:right w:val="single" w:sz="4" w:space="0" w:color="auto"/>
            </w:tcBorders>
            <w:noWrap/>
          </w:tcPr>
          <w:p w14:paraId="4900F92F" w14:textId="5A491046" w:rsidR="004644B3" w:rsidRDefault="004644B3" w:rsidP="00966A31">
            <w:pPr>
              <w:pStyle w:val="TableText"/>
              <w:keepNext/>
              <w:spacing w:before="0" w:after="0"/>
              <w:jc w:val="right"/>
              <w:rPr>
                <w:lang w:eastAsia="en-AU"/>
              </w:rPr>
            </w:pPr>
            <w:r w:rsidRPr="00F461D6">
              <w:t>0.00034</w:t>
            </w:r>
          </w:p>
        </w:tc>
        <w:tc>
          <w:tcPr>
            <w:tcW w:w="934" w:type="pct"/>
            <w:tcBorders>
              <w:top w:val="nil"/>
              <w:left w:val="single" w:sz="4" w:space="0" w:color="auto"/>
              <w:bottom w:val="single" w:sz="4" w:space="0" w:color="auto"/>
              <w:right w:val="single" w:sz="4" w:space="0" w:color="auto"/>
            </w:tcBorders>
            <w:noWrap/>
          </w:tcPr>
          <w:p w14:paraId="456460BB" w14:textId="2D3C18A7" w:rsidR="004644B3" w:rsidRDefault="004644B3" w:rsidP="00966A31">
            <w:pPr>
              <w:pStyle w:val="TableText"/>
              <w:keepNext/>
              <w:spacing w:before="0" w:after="0"/>
              <w:jc w:val="right"/>
              <w:rPr>
                <w:lang w:eastAsia="en-AU"/>
              </w:rPr>
            </w:pPr>
            <w:r w:rsidRPr="00F461D6">
              <w:t>0.00016</w:t>
            </w:r>
          </w:p>
        </w:tc>
        <w:tc>
          <w:tcPr>
            <w:tcW w:w="934" w:type="pct"/>
            <w:tcBorders>
              <w:top w:val="nil"/>
              <w:left w:val="single" w:sz="4" w:space="0" w:color="auto"/>
              <w:bottom w:val="single" w:sz="4" w:space="0" w:color="auto"/>
              <w:right w:val="single" w:sz="4" w:space="0" w:color="auto"/>
            </w:tcBorders>
            <w:shd w:val="clear" w:color="auto" w:fill="auto"/>
            <w:noWrap/>
          </w:tcPr>
          <w:p w14:paraId="36DFCBE9" w14:textId="6171003E" w:rsidR="004644B3" w:rsidRDefault="004644B3" w:rsidP="00966A31">
            <w:pPr>
              <w:pStyle w:val="TableText"/>
              <w:keepNext/>
              <w:spacing w:before="0" w:after="0"/>
              <w:jc w:val="right"/>
              <w:rPr>
                <w:b/>
                <w:lang w:eastAsia="en-AU"/>
              </w:rPr>
            </w:pPr>
            <w:r w:rsidRPr="00F461D6">
              <w:t>0.00018</w:t>
            </w:r>
          </w:p>
        </w:tc>
      </w:tr>
      <w:tr w:rsidR="004644B3" w:rsidRPr="003A4178" w14:paraId="207D3B9B" w14:textId="77777777">
        <w:trPr>
          <w:cantSplit/>
          <w:trHeight w:val="20"/>
        </w:trPr>
        <w:tc>
          <w:tcPr>
            <w:tcW w:w="2198" w:type="pct"/>
            <w:tcBorders>
              <w:top w:val="single" w:sz="4" w:space="0" w:color="auto"/>
              <w:left w:val="single" w:sz="4" w:space="0" w:color="auto"/>
              <w:bottom w:val="single" w:sz="4" w:space="0" w:color="auto"/>
              <w:right w:val="single" w:sz="4" w:space="0" w:color="auto"/>
            </w:tcBorders>
            <w:noWrap/>
            <w:hideMark/>
          </w:tcPr>
          <w:p w14:paraId="57604F9F" w14:textId="77777777" w:rsidR="004644B3" w:rsidRDefault="004644B3" w:rsidP="00966A31">
            <w:pPr>
              <w:pStyle w:val="TableText"/>
              <w:spacing w:before="0" w:after="0"/>
              <w:rPr>
                <w:b/>
                <w:lang w:eastAsia="en-AU"/>
              </w:rPr>
            </w:pPr>
            <w:r>
              <w:rPr>
                <w:b/>
                <w:lang w:eastAsia="en-AU"/>
              </w:rPr>
              <w:t xml:space="preserve">ICER </w:t>
            </w:r>
          </w:p>
        </w:tc>
        <w:tc>
          <w:tcPr>
            <w:tcW w:w="934" w:type="pct"/>
            <w:tcBorders>
              <w:top w:val="single" w:sz="4" w:space="0" w:color="auto"/>
              <w:left w:val="single" w:sz="4" w:space="0" w:color="auto"/>
              <w:bottom w:val="single" w:sz="4" w:space="0" w:color="auto"/>
              <w:right w:val="nil"/>
            </w:tcBorders>
            <w:noWrap/>
          </w:tcPr>
          <w:p w14:paraId="24DB6B51" w14:textId="77777777" w:rsidR="004644B3" w:rsidRPr="003A4178" w:rsidRDefault="004644B3" w:rsidP="00966A31">
            <w:pPr>
              <w:pStyle w:val="TableText"/>
              <w:spacing w:before="0" w:after="0"/>
              <w:jc w:val="right"/>
              <w:rPr>
                <w:b/>
                <w:lang w:eastAsia="en-AU"/>
              </w:rPr>
            </w:pPr>
          </w:p>
        </w:tc>
        <w:tc>
          <w:tcPr>
            <w:tcW w:w="934" w:type="pct"/>
            <w:tcBorders>
              <w:top w:val="single" w:sz="4" w:space="0" w:color="auto"/>
              <w:left w:val="nil"/>
              <w:bottom w:val="single" w:sz="4" w:space="0" w:color="auto"/>
              <w:right w:val="single" w:sz="4" w:space="0" w:color="auto"/>
            </w:tcBorders>
            <w:noWrap/>
          </w:tcPr>
          <w:p w14:paraId="10B0D320" w14:textId="77777777" w:rsidR="004644B3" w:rsidRPr="003A4178" w:rsidRDefault="004644B3" w:rsidP="00966A31">
            <w:pPr>
              <w:pStyle w:val="TableText"/>
              <w:spacing w:before="0" w:after="0"/>
              <w:jc w:val="right"/>
              <w:rPr>
                <w:b/>
                <w:lang w:eastAsia="en-AU"/>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tcPr>
          <w:p w14:paraId="6AA03E27" w14:textId="35E75A57" w:rsidR="004644B3" w:rsidRPr="004644B3" w:rsidRDefault="004644B3" w:rsidP="00966A31">
            <w:pPr>
              <w:pStyle w:val="TableText"/>
              <w:spacing w:before="0" w:after="0"/>
              <w:jc w:val="right"/>
              <w:rPr>
                <w:b/>
                <w:bCs/>
                <w:lang w:eastAsia="en-AU"/>
              </w:rPr>
            </w:pPr>
            <w:r w:rsidRPr="004644B3">
              <w:rPr>
                <w:b/>
                <w:bCs/>
              </w:rPr>
              <w:t>$12,280</w:t>
            </w:r>
          </w:p>
        </w:tc>
      </w:tr>
    </w:tbl>
    <w:p w14:paraId="740ACBFA" w14:textId="50C0D603" w:rsidR="00AC3CA4" w:rsidRDefault="00C51F77" w:rsidP="00AC3CA4">
      <w:pPr>
        <w:pStyle w:val="TableFigureFooter"/>
      </w:pPr>
      <w:r w:rsidRPr="009E2530">
        <w:t xml:space="preserve">ESI-MS/MS = </w:t>
      </w:r>
      <w:r w:rsidRPr="006B3900">
        <w:t xml:space="preserve">Electrospray Ionization </w:t>
      </w:r>
      <w:r>
        <w:t xml:space="preserve">tandem </w:t>
      </w:r>
      <w:r w:rsidRPr="006B3900">
        <w:t>mass spectrometry</w:t>
      </w:r>
      <w:r>
        <w:t>;</w:t>
      </w:r>
      <w:r w:rsidRPr="009E2530">
        <w:t xml:space="preserve"> </w:t>
      </w:r>
      <w:proofErr w:type="spellStart"/>
      <w:r w:rsidR="00C150E7">
        <w:t>HbR</w:t>
      </w:r>
      <w:proofErr w:type="spellEnd"/>
      <w:r w:rsidR="00C150E7">
        <w:t xml:space="preserve"> = </w:t>
      </w:r>
      <w:r w:rsidR="00C150E7" w:rsidRPr="00C150E7">
        <w:t>Australian Haemoglobinopathy Registry</w:t>
      </w:r>
      <w:r w:rsidR="00C150E7">
        <w:t>;</w:t>
      </w:r>
      <w:r w:rsidR="00C150E7" w:rsidRPr="00C150E7">
        <w:t xml:space="preserve"> </w:t>
      </w:r>
      <w:r w:rsidR="00AC3CA4" w:rsidRPr="001F2860">
        <w:t>ICER = incremental cost-effectiveness ratio</w:t>
      </w:r>
      <w:r w:rsidR="00AC3CA4">
        <w:t xml:space="preserve">; </w:t>
      </w:r>
      <w:r w:rsidR="00070B84" w:rsidRPr="006B3900">
        <w:t>MALDI-TOF = Matrix Assisted Laser Desorption/Ionization time-of-flight mass spectrometry</w:t>
      </w:r>
      <w:r w:rsidR="00070B84">
        <w:t xml:space="preserve">; </w:t>
      </w:r>
      <w:r w:rsidR="00AC3CA4">
        <w:t>SCD = sickle cell disease.</w:t>
      </w:r>
    </w:p>
    <w:p w14:paraId="023D432D" w14:textId="207B1094" w:rsidR="00AC3CA4" w:rsidRPr="001F2860" w:rsidRDefault="00687DA5" w:rsidP="00AC3CA4">
      <w:pPr>
        <w:pStyle w:val="TableFigureFooter"/>
      </w:pPr>
      <w:proofErr w:type="spellStart"/>
      <w:proofErr w:type="gramStart"/>
      <w:r>
        <w:rPr>
          <w:vertAlign w:val="superscript"/>
        </w:rPr>
        <w:t>a</w:t>
      </w:r>
      <w:proofErr w:type="spellEnd"/>
      <w:proofErr w:type="gramEnd"/>
      <w:r w:rsidR="009338CB">
        <w:t xml:space="preserve"> </w:t>
      </w:r>
      <w:r w:rsidR="00CA3133">
        <w:t>Annual cost and uptake of antibiotic prophylaxis were updated, hydroxyurea cost was added and additional monitoring (vitamin D and abdominal ultrasound) was applied annually.</w:t>
      </w:r>
    </w:p>
    <w:p w14:paraId="34B1E940" w14:textId="469FC393" w:rsidR="00AC3CA4" w:rsidRDefault="00AC3CA4" w:rsidP="00AC3CA4">
      <w:bookmarkStart w:id="51" w:name="_Ref69726321"/>
      <w:bookmarkEnd w:id="50"/>
      <w:r w:rsidRPr="00570A8C">
        <w:t>The key drivers of the model are presented in</w:t>
      </w:r>
      <w:r>
        <w:t xml:space="preserve"> </w:t>
      </w:r>
      <w:r>
        <w:fldChar w:fldCharType="begin"/>
      </w:r>
      <w:r>
        <w:instrText xml:space="preserve"> REF _Ref129793097 \h </w:instrText>
      </w:r>
      <w:r>
        <w:fldChar w:fldCharType="separate"/>
      </w:r>
      <w:r w:rsidR="007D770C" w:rsidRPr="00CE28E3">
        <w:t>Table</w:t>
      </w:r>
      <w:r w:rsidR="007D770C">
        <w:t> </w:t>
      </w:r>
      <w:r w:rsidR="007D770C">
        <w:rPr>
          <w:noProof/>
        </w:rPr>
        <w:t>15</w:t>
      </w:r>
      <w:r>
        <w:fldChar w:fldCharType="end"/>
      </w:r>
      <w:r w:rsidRPr="00570A8C">
        <w:t>.</w:t>
      </w:r>
      <w:r w:rsidR="008D7763">
        <w:t xml:space="preserve"> The values chosen for each of these parameters were associated with considerable uncertainty, and the ICER was sensitive to changes in these estimates.</w:t>
      </w:r>
    </w:p>
    <w:p w14:paraId="284E005D" w14:textId="2CCCC965" w:rsidR="00AC3CA4" w:rsidRPr="00CE28E3" w:rsidRDefault="00AC3CA4" w:rsidP="00AC3CA4">
      <w:pPr>
        <w:pStyle w:val="Caption"/>
      </w:pPr>
      <w:bookmarkStart w:id="52" w:name="_Ref129793097"/>
      <w:r w:rsidRPr="00CE28E3">
        <w:t>Table</w:t>
      </w:r>
      <w:r>
        <w:t> </w:t>
      </w:r>
      <w:r>
        <w:fldChar w:fldCharType="begin"/>
      </w:r>
      <w:r>
        <w:instrText>SEQ Table \* ARABIC</w:instrText>
      </w:r>
      <w:r>
        <w:fldChar w:fldCharType="separate"/>
      </w:r>
      <w:r w:rsidR="007D770C">
        <w:rPr>
          <w:noProof/>
        </w:rPr>
        <w:t>15</w:t>
      </w:r>
      <w:r>
        <w:fldChar w:fldCharType="end"/>
      </w:r>
      <w:bookmarkEnd w:id="51"/>
      <w:bookmarkEnd w:id="52"/>
      <w:r w:rsidRPr="00CE28E3">
        <w:tab/>
        <w:t>Key drivers of the model</w:t>
      </w:r>
    </w:p>
    <w:tbl>
      <w:tblPr>
        <w:tblStyle w:val="TableGrid1"/>
        <w:tblW w:w="5000" w:type="pct"/>
        <w:tblLayout w:type="fixed"/>
        <w:tblCellMar>
          <w:left w:w="28" w:type="dxa"/>
          <w:right w:w="28" w:type="dxa"/>
        </w:tblCellMar>
        <w:tblLook w:val="04A0" w:firstRow="1" w:lastRow="0" w:firstColumn="1" w:lastColumn="0" w:noHBand="0" w:noVBand="1"/>
        <w:tblCaption w:val="Key drivers of the model"/>
        <w:tblDescription w:val="Key drivers of the model"/>
      </w:tblPr>
      <w:tblGrid>
        <w:gridCol w:w="1272"/>
        <w:gridCol w:w="4394"/>
        <w:gridCol w:w="3350"/>
      </w:tblGrid>
      <w:tr w:rsidR="00AC3CA4" w:rsidRPr="003B04D8" w14:paraId="5CA9816E" w14:textId="77777777" w:rsidTr="00C303B9">
        <w:trPr>
          <w:cnfStyle w:val="100000000000" w:firstRow="1" w:lastRow="0" w:firstColumn="0" w:lastColumn="0" w:oddVBand="0" w:evenVBand="0" w:oddHBand="0" w:evenHBand="0" w:firstRowFirstColumn="0" w:firstRowLastColumn="0" w:lastRowFirstColumn="0" w:lastRowLastColumn="0"/>
          <w:tblHeader/>
        </w:trPr>
        <w:tc>
          <w:tcPr>
            <w:tcW w:w="705" w:type="pct"/>
            <w:shd w:val="clear" w:color="auto" w:fill="auto"/>
            <w:vAlign w:val="center"/>
          </w:tcPr>
          <w:p w14:paraId="5370A788" w14:textId="77777777" w:rsidR="00AC3CA4" w:rsidRPr="003B04D8" w:rsidRDefault="00AC3CA4" w:rsidP="003B04D8">
            <w:pPr>
              <w:spacing w:before="0" w:after="0"/>
              <w:rPr>
                <w:rFonts w:ascii="Arial Narrow" w:hAnsi="Arial Narrow"/>
                <w:b/>
                <w:bCs/>
                <w:color w:val="000000"/>
              </w:rPr>
            </w:pPr>
            <w:bookmarkStart w:id="53" w:name="Title_Table10" w:colFirst="0" w:colLast="0"/>
            <w:bookmarkStart w:id="54" w:name="_Hlk68276626"/>
            <w:r w:rsidRPr="003B04D8">
              <w:rPr>
                <w:rFonts w:ascii="Arial Narrow" w:hAnsi="Arial Narrow"/>
                <w:b/>
                <w:bCs/>
                <w:color w:val="000000"/>
              </w:rPr>
              <w:t>Description</w:t>
            </w:r>
          </w:p>
        </w:tc>
        <w:tc>
          <w:tcPr>
            <w:tcW w:w="2437" w:type="pct"/>
            <w:shd w:val="clear" w:color="auto" w:fill="auto"/>
            <w:vAlign w:val="center"/>
          </w:tcPr>
          <w:p w14:paraId="23D7EBA4" w14:textId="77777777" w:rsidR="00AC3CA4" w:rsidRPr="003B04D8" w:rsidRDefault="00AC3CA4" w:rsidP="003B04D8">
            <w:pPr>
              <w:spacing w:before="0" w:after="0"/>
              <w:jc w:val="center"/>
              <w:rPr>
                <w:rFonts w:ascii="Arial Narrow" w:hAnsi="Arial Narrow"/>
                <w:b/>
                <w:bCs/>
                <w:color w:val="000000"/>
              </w:rPr>
            </w:pPr>
            <w:r w:rsidRPr="003B04D8">
              <w:rPr>
                <w:rFonts w:ascii="Arial Narrow" w:hAnsi="Arial Narrow"/>
                <w:b/>
                <w:bCs/>
                <w:color w:val="000000"/>
              </w:rPr>
              <w:t>Method/Value</w:t>
            </w:r>
          </w:p>
        </w:tc>
        <w:tc>
          <w:tcPr>
            <w:tcW w:w="1858" w:type="pct"/>
            <w:shd w:val="clear" w:color="auto" w:fill="auto"/>
            <w:vAlign w:val="center"/>
          </w:tcPr>
          <w:p w14:paraId="2D77C740" w14:textId="77777777" w:rsidR="00AC3CA4" w:rsidRPr="003B04D8" w:rsidRDefault="00AC3CA4" w:rsidP="003B04D8">
            <w:pPr>
              <w:spacing w:before="0" w:after="0"/>
              <w:jc w:val="center"/>
              <w:rPr>
                <w:rFonts w:ascii="Arial Narrow" w:hAnsi="Arial Narrow"/>
                <w:b/>
                <w:bCs/>
                <w:color w:val="000000"/>
              </w:rPr>
            </w:pPr>
            <w:r w:rsidRPr="003B04D8">
              <w:rPr>
                <w:rFonts w:ascii="Arial Narrow" w:hAnsi="Arial Narrow"/>
                <w:b/>
                <w:bCs/>
                <w:color w:val="000000"/>
              </w:rPr>
              <w:t>Impact</w:t>
            </w:r>
          </w:p>
          <w:p w14:paraId="67239F77" w14:textId="408AF0AD" w:rsidR="00AC3CA4" w:rsidRPr="003B04D8" w:rsidRDefault="00AC3CA4" w:rsidP="003B04D8">
            <w:pPr>
              <w:spacing w:before="0" w:after="0"/>
              <w:jc w:val="center"/>
              <w:rPr>
                <w:rFonts w:ascii="Arial Narrow" w:hAnsi="Arial Narrow"/>
                <w:b/>
                <w:bCs/>
                <w:color w:val="000000"/>
              </w:rPr>
            </w:pPr>
            <w:r w:rsidRPr="003B04D8">
              <w:rPr>
                <w:rFonts w:ascii="Arial Narrow" w:hAnsi="Arial Narrow"/>
                <w:b/>
                <w:bCs/>
                <w:color w:val="000000"/>
              </w:rPr>
              <w:t>Base case: $</w:t>
            </w:r>
            <w:r w:rsidR="00A81E22" w:rsidRPr="003B04D8">
              <w:rPr>
                <w:rFonts w:ascii="Arial Narrow" w:hAnsi="Arial Narrow"/>
                <w:b/>
                <w:bCs/>
                <w:color w:val="000000"/>
              </w:rPr>
              <w:t>12,280</w:t>
            </w:r>
            <w:r w:rsidRPr="003B04D8">
              <w:rPr>
                <w:rFonts w:ascii="Arial Narrow" w:hAnsi="Arial Narrow"/>
                <w:b/>
                <w:bCs/>
                <w:color w:val="000000"/>
              </w:rPr>
              <w:t xml:space="preserve"> per additional case of SCD identified earlier</w:t>
            </w:r>
          </w:p>
        </w:tc>
      </w:tr>
      <w:tr w:rsidR="002725B1" w:rsidRPr="00CE28E3" w14:paraId="3C3B8E3A" w14:textId="77777777">
        <w:tc>
          <w:tcPr>
            <w:tcW w:w="705" w:type="pct"/>
            <w:shd w:val="clear" w:color="auto" w:fill="auto"/>
            <w:vAlign w:val="center"/>
          </w:tcPr>
          <w:p w14:paraId="7C90D2D8" w14:textId="77777777" w:rsidR="002725B1" w:rsidRPr="00CE28E3" w:rsidRDefault="002725B1">
            <w:pPr>
              <w:pStyle w:val="TableText"/>
              <w:jc w:val="center"/>
              <w:rPr>
                <w:lang w:val="en-US"/>
              </w:rPr>
            </w:pPr>
            <w:r>
              <w:rPr>
                <w:lang w:val="en-US"/>
              </w:rPr>
              <w:t>Incidence</w:t>
            </w:r>
          </w:p>
        </w:tc>
        <w:tc>
          <w:tcPr>
            <w:tcW w:w="2437" w:type="pct"/>
            <w:shd w:val="clear" w:color="auto" w:fill="auto"/>
            <w:vAlign w:val="center"/>
          </w:tcPr>
          <w:p w14:paraId="5AF5B5C8" w14:textId="35442CCA" w:rsidR="002725B1" w:rsidRPr="00CE28E3" w:rsidRDefault="002725B1">
            <w:pPr>
              <w:pStyle w:val="TableText"/>
              <w:rPr>
                <w:lang w:val="en-US"/>
              </w:rPr>
            </w:pPr>
            <w:r>
              <w:rPr>
                <w:lang w:val="en-US"/>
              </w:rPr>
              <w:t xml:space="preserve">The incidence of SCD modelled was 32.4 per 100,000. This was derived </w:t>
            </w:r>
            <w:r>
              <w:rPr>
                <w:rFonts w:cs="Courier New"/>
                <w:bCs/>
              </w:rPr>
              <w:t xml:space="preserve">from the </w:t>
            </w:r>
            <w:r w:rsidRPr="005B6A48">
              <w:rPr>
                <w:rFonts w:cs="Courier New"/>
              </w:rPr>
              <w:t>birth prevalence of SCD in Sub-Saharan-Africa, the number of births in Australia to people from Sub-Saharan</w:t>
            </w:r>
            <w:r w:rsidR="00204DF4">
              <w:rPr>
                <w:rFonts w:cs="Courier New"/>
              </w:rPr>
              <w:t xml:space="preserve"> </w:t>
            </w:r>
            <w:r w:rsidRPr="005B6A48">
              <w:rPr>
                <w:rFonts w:cs="Courier New"/>
              </w:rPr>
              <w:t xml:space="preserve">Africa and the proportion of cases </w:t>
            </w:r>
            <w:r>
              <w:rPr>
                <w:rFonts w:cs="Courier New"/>
              </w:rPr>
              <w:t>in</w:t>
            </w:r>
            <w:r w:rsidRPr="005B6A48">
              <w:rPr>
                <w:rFonts w:cs="Courier New"/>
              </w:rPr>
              <w:t xml:space="preserve"> the </w:t>
            </w:r>
            <w:proofErr w:type="spellStart"/>
            <w:r w:rsidRPr="005B6A48">
              <w:rPr>
                <w:rFonts w:cs="Courier New"/>
              </w:rPr>
              <w:t>HbR</w:t>
            </w:r>
            <w:proofErr w:type="spellEnd"/>
            <w:r w:rsidRPr="005B6A48">
              <w:rPr>
                <w:rFonts w:cs="Courier New"/>
              </w:rPr>
              <w:t xml:space="preserve"> from Sub-Saharan</w:t>
            </w:r>
            <w:r w:rsidR="00204DF4">
              <w:rPr>
                <w:rFonts w:cs="Courier New"/>
              </w:rPr>
              <w:t xml:space="preserve"> </w:t>
            </w:r>
            <w:r w:rsidRPr="005B6A48">
              <w:rPr>
                <w:rFonts w:cs="Courier New"/>
              </w:rPr>
              <w:t>Africa</w:t>
            </w:r>
            <w:r>
              <w:rPr>
                <w:rFonts w:cs="Courier New"/>
              </w:rPr>
              <w:t xml:space="preserve"> (</w:t>
            </w:r>
            <w:r>
              <w:rPr>
                <w:rFonts w:cs="Courier New"/>
              </w:rPr>
              <w:fldChar w:fldCharType="begin"/>
            </w:r>
            <w:r>
              <w:rPr>
                <w:rFonts w:cs="Courier New"/>
              </w:rPr>
              <w:instrText xml:space="preserve"> REF _Ref149567772 \h </w:instrText>
            </w:r>
            <w:r w:rsidR="00966A31">
              <w:rPr>
                <w:rFonts w:cs="Courier New"/>
              </w:rPr>
              <w:instrText xml:space="preserve"> \* MERGEFORMAT </w:instrText>
            </w:r>
            <w:r>
              <w:rPr>
                <w:rFonts w:cs="Courier New"/>
              </w:rPr>
            </w:r>
            <w:r>
              <w:rPr>
                <w:rFonts w:cs="Courier New"/>
              </w:rPr>
              <w:fldChar w:fldCharType="separate"/>
            </w:r>
            <w:r w:rsidR="007D770C" w:rsidRPr="00CE28E3">
              <w:t>Table</w:t>
            </w:r>
            <w:r w:rsidR="007D770C">
              <w:t> 2</w:t>
            </w:r>
            <w:r>
              <w:rPr>
                <w:rFonts w:cs="Courier New"/>
              </w:rPr>
              <w:fldChar w:fldCharType="end"/>
            </w:r>
            <w:r>
              <w:rPr>
                <w:rFonts w:cs="Courier New"/>
              </w:rPr>
              <w:t>)</w:t>
            </w:r>
            <w:r w:rsidRPr="005B6A48">
              <w:rPr>
                <w:rFonts w:cs="Courier New"/>
              </w:rPr>
              <w:t>.</w:t>
            </w:r>
            <w:r>
              <w:rPr>
                <w:rFonts w:cs="Courier New"/>
              </w:rPr>
              <w:t xml:space="preserve"> </w:t>
            </w:r>
            <w:r w:rsidR="008655E3">
              <w:rPr>
                <w:rFonts w:cs="Courier New"/>
              </w:rPr>
              <w:t xml:space="preserve">The applicability of this estimate </w:t>
            </w:r>
            <w:r w:rsidR="00204DF4">
              <w:rPr>
                <w:rFonts w:cs="Courier New"/>
              </w:rPr>
              <w:t>wa</w:t>
            </w:r>
            <w:r w:rsidR="008655E3">
              <w:rPr>
                <w:rFonts w:cs="Courier New"/>
              </w:rPr>
              <w:t xml:space="preserve">s uncertain as </w:t>
            </w:r>
            <w:r w:rsidR="008655E3">
              <w:t xml:space="preserve">patterns of migration (and the reasons for migration) can differ largely over time. </w:t>
            </w:r>
            <w:r w:rsidR="008655E3">
              <w:rPr>
                <w:rFonts w:cs="Courier New"/>
              </w:rPr>
              <w:t>F</w:t>
            </w:r>
            <w:r w:rsidRPr="00012CAC">
              <w:rPr>
                <w:rFonts w:cs="Courier New"/>
              </w:rPr>
              <w:t xml:space="preserve">or comparison birth prevalence through the UK NBS program was estimated to be 39 per 100,000 </w:t>
            </w:r>
            <w:proofErr w:type="spellStart"/>
            <w:r w:rsidRPr="00012CAC">
              <w:rPr>
                <w:rFonts w:cs="Courier New"/>
              </w:rPr>
              <w:t>births</w:t>
            </w:r>
            <w:r w:rsidR="00A6654E" w:rsidRPr="00A6654E">
              <w:rPr>
                <w:rFonts w:cs="Courier New"/>
                <w:vertAlign w:val="superscript"/>
              </w:rPr>
              <w:t>a</w:t>
            </w:r>
            <w:proofErr w:type="spellEnd"/>
            <w:r w:rsidRPr="00012CAC">
              <w:rPr>
                <w:rFonts w:cs="Courier New"/>
              </w:rPr>
              <w:t>.</w:t>
            </w:r>
            <w:r>
              <w:rPr>
                <w:rFonts w:cs="Courier New"/>
              </w:rPr>
              <w:t xml:space="preserve"> Published data on incidence in Australia have limited </w:t>
            </w:r>
            <w:r>
              <w:t xml:space="preserve">applicability to the current setting due to their age. Contemporary estimates provided by </w:t>
            </w:r>
            <w:proofErr w:type="spellStart"/>
            <w:r>
              <w:t>PathWest</w:t>
            </w:r>
            <w:proofErr w:type="spellEnd"/>
            <w:r>
              <w:t xml:space="preserve"> suggested incidence in the range 5.7−8.6 per 100,000.</w:t>
            </w:r>
          </w:p>
        </w:tc>
        <w:tc>
          <w:tcPr>
            <w:tcW w:w="1858" w:type="pct"/>
            <w:shd w:val="clear" w:color="auto" w:fill="auto"/>
            <w:vAlign w:val="center"/>
          </w:tcPr>
          <w:p w14:paraId="1F4BA9AD" w14:textId="77777777" w:rsidR="002725B1" w:rsidRDefault="002725B1">
            <w:pPr>
              <w:pStyle w:val="TableText"/>
              <w:rPr>
                <w:lang w:val="en-US"/>
              </w:rPr>
            </w:pPr>
            <w:r w:rsidRPr="00947089">
              <w:rPr>
                <w:lang w:val="en-US"/>
              </w:rPr>
              <w:t xml:space="preserve">High, </w:t>
            </w:r>
            <w:r>
              <w:rPr>
                <w:lang w:val="en-US"/>
              </w:rPr>
              <w:t xml:space="preserve">likely </w:t>
            </w:r>
            <w:proofErr w:type="spellStart"/>
            <w:r>
              <w:rPr>
                <w:lang w:val="en-US"/>
              </w:rPr>
              <w:t>favours</w:t>
            </w:r>
            <w:proofErr w:type="spellEnd"/>
            <w:r>
              <w:rPr>
                <w:lang w:val="en-US"/>
              </w:rPr>
              <w:t xml:space="preserve"> universal NBS.</w:t>
            </w:r>
          </w:p>
          <w:p w14:paraId="34B91A87" w14:textId="77777777" w:rsidR="002725B1" w:rsidRPr="00947089" w:rsidRDefault="002725B1">
            <w:pPr>
              <w:pStyle w:val="TableText"/>
              <w:rPr>
                <w:lang w:val="en-US"/>
              </w:rPr>
            </w:pPr>
            <w:r>
              <w:rPr>
                <w:lang w:val="en-US"/>
              </w:rPr>
              <w:t>Reducing the incidence to 5.7 per 100,000 and 8.6 per 100,000 increased the ICER to $68,643 and $45,835, respectively.</w:t>
            </w:r>
          </w:p>
        </w:tc>
      </w:tr>
      <w:tr w:rsidR="00AC3CA4" w:rsidRPr="00CE28E3" w14:paraId="06AF0F25" w14:textId="77777777" w:rsidTr="00C303B9">
        <w:tc>
          <w:tcPr>
            <w:tcW w:w="705" w:type="pct"/>
            <w:shd w:val="clear" w:color="auto" w:fill="auto"/>
            <w:vAlign w:val="center"/>
          </w:tcPr>
          <w:p w14:paraId="6DD733B2" w14:textId="2F09C13B" w:rsidR="00AC3CA4" w:rsidRPr="00CE28E3" w:rsidRDefault="00AA3021" w:rsidP="003F09BF">
            <w:pPr>
              <w:pStyle w:val="TableText"/>
              <w:jc w:val="center"/>
              <w:rPr>
                <w:lang w:val="en-US"/>
              </w:rPr>
            </w:pPr>
            <w:r>
              <w:rPr>
                <w:lang w:val="en-US"/>
              </w:rPr>
              <w:t>Cases identified through current targeted testing</w:t>
            </w:r>
          </w:p>
        </w:tc>
        <w:tc>
          <w:tcPr>
            <w:tcW w:w="2437" w:type="pct"/>
            <w:shd w:val="clear" w:color="auto" w:fill="auto"/>
            <w:vAlign w:val="center"/>
          </w:tcPr>
          <w:p w14:paraId="73E73297" w14:textId="6F5D3500" w:rsidR="00AC3CA4" w:rsidRPr="00CE28E3" w:rsidRDefault="00AA3021" w:rsidP="003F09BF">
            <w:pPr>
              <w:pStyle w:val="TableText"/>
              <w:rPr>
                <w:lang w:val="en-US"/>
              </w:rPr>
            </w:pPr>
            <w:r>
              <w:rPr>
                <w:lang w:val="en-US"/>
              </w:rPr>
              <w:t xml:space="preserve">47.7% based on an analysis of Australian-born SCD patients in the </w:t>
            </w:r>
            <w:proofErr w:type="spellStart"/>
            <w:r>
              <w:rPr>
                <w:lang w:val="en-US"/>
              </w:rPr>
              <w:t>HbR</w:t>
            </w:r>
            <w:proofErr w:type="spellEnd"/>
            <w:r>
              <w:rPr>
                <w:lang w:val="en-US"/>
              </w:rPr>
              <w:t xml:space="preserve"> who </w:t>
            </w:r>
            <w:r w:rsidR="00C31CA0">
              <w:rPr>
                <w:lang w:val="en-US"/>
              </w:rPr>
              <w:t>had their diagnosis prior to development of symptoms</w:t>
            </w:r>
            <w:r w:rsidR="0006541B">
              <w:rPr>
                <w:lang w:val="en-US"/>
              </w:rPr>
              <w:t xml:space="preserve"> (52/109)</w:t>
            </w:r>
            <w:r w:rsidR="00C31CA0">
              <w:rPr>
                <w:lang w:val="en-US"/>
              </w:rPr>
              <w:t xml:space="preserve">. </w:t>
            </w:r>
            <w:r w:rsidR="00D568C0">
              <w:rPr>
                <w:lang w:val="en-US"/>
              </w:rPr>
              <w:t xml:space="preserve">As described in </w:t>
            </w:r>
            <w:r w:rsidR="005E0B1C">
              <w:rPr>
                <w:lang w:val="en-US"/>
              </w:rPr>
              <w:t>‘</w:t>
            </w:r>
            <w:r w:rsidR="00DE36AE">
              <w:rPr>
                <w:highlight w:val="yellow"/>
                <w:lang w:val="en-US"/>
              </w:rPr>
              <w:fldChar w:fldCharType="begin"/>
            </w:r>
            <w:r w:rsidR="00DE36AE">
              <w:rPr>
                <w:lang w:val="en-US"/>
              </w:rPr>
              <w:instrText xml:space="preserve"> REF _Ref149314623 \h </w:instrText>
            </w:r>
            <w:r w:rsidR="00966A31">
              <w:rPr>
                <w:highlight w:val="yellow"/>
                <w:lang w:val="en-US"/>
              </w:rPr>
              <w:instrText xml:space="preserve"> \* MERGEFORMAT </w:instrText>
            </w:r>
            <w:r w:rsidR="00DE36AE">
              <w:rPr>
                <w:highlight w:val="yellow"/>
                <w:lang w:val="en-US"/>
              </w:rPr>
            </w:r>
            <w:r w:rsidR="00DE36AE">
              <w:rPr>
                <w:highlight w:val="yellow"/>
                <w:lang w:val="en-US"/>
              </w:rPr>
              <w:fldChar w:fldCharType="separate"/>
            </w:r>
            <w:r w:rsidR="007D770C">
              <w:t>Performance of current testing strategies</w:t>
            </w:r>
            <w:r w:rsidR="00DE36AE">
              <w:rPr>
                <w:highlight w:val="yellow"/>
                <w:lang w:val="en-US"/>
              </w:rPr>
              <w:fldChar w:fldCharType="end"/>
            </w:r>
            <w:r w:rsidR="005E0B1C">
              <w:rPr>
                <w:lang w:val="en-US"/>
              </w:rPr>
              <w:t>’</w:t>
            </w:r>
            <w:r w:rsidR="00D568C0">
              <w:rPr>
                <w:lang w:val="en-US"/>
              </w:rPr>
              <w:t xml:space="preserve">, </w:t>
            </w:r>
            <w:r w:rsidR="005503D1">
              <w:rPr>
                <w:lang w:val="en-US"/>
              </w:rPr>
              <w:t xml:space="preserve">due to </w:t>
            </w:r>
            <w:r w:rsidR="002B78E0">
              <w:rPr>
                <w:lang w:val="en-US"/>
              </w:rPr>
              <w:t>concerns regarding the comprehensiveness and</w:t>
            </w:r>
            <w:r w:rsidR="009B792C">
              <w:rPr>
                <w:lang w:val="en-US"/>
              </w:rPr>
              <w:t xml:space="preserve"> age</w:t>
            </w:r>
            <w:r w:rsidR="005503D1">
              <w:rPr>
                <w:lang w:val="en-US"/>
              </w:rPr>
              <w:t xml:space="preserve"> of </w:t>
            </w:r>
            <w:r w:rsidR="009A2F16">
              <w:rPr>
                <w:lang w:val="en-US"/>
              </w:rPr>
              <w:t xml:space="preserve">the </w:t>
            </w:r>
            <w:r w:rsidR="005503D1">
              <w:rPr>
                <w:lang w:val="en-US"/>
              </w:rPr>
              <w:t xml:space="preserve">patients included in the </w:t>
            </w:r>
            <w:proofErr w:type="spellStart"/>
            <w:r w:rsidR="005503D1">
              <w:rPr>
                <w:lang w:val="en-US"/>
              </w:rPr>
              <w:t>HbR</w:t>
            </w:r>
            <w:proofErr w:type="spellEnd"/>
            <w:r w:rsidR="009B792C">
              <w:rPr>
                <w:lang w:val="en-US"/>
              </w:rPr>
              <w:t xml:space="preserve">, </w:t>
            </w:r>
            <w:r w:rsidR="001E1E61">
              <w:rPr>
                <w:lang w:val="en-US"/>
              </w:rPr>
              <w:t>the</w:t>
            </w:r>
            <w:r w:rsidR="00630FAE">
              <w:rPr>
                <w:lang w:val="en-US"/>
              </w:rPr>
              <w:t>se estimates are likely associated with a high degree of uncertainty.</w:t>
            </w:r>
            <w:r w:rsidR="002F2399">
              <w:rPr>
                <w:lang w:val="en-US"/>
              </w:rPr>
              <w:t xml:space="preserve"> Expert advice provided during the preparation of DCAR 1737 </w:t>
            </w:r>
            <w:r w:rsidR="00066062">
              <w:rPr>
                <w:lang w:val="en-US"/>
              </w:rPr>
              <w:t>suggested that most cases (95</w:t>
            </w:r>
            <w:r w:rsidR="00FF2BD5">
              <w:rPr>
                <w:lang w:val="en-US"/>
              </w:rPr>
              <w:t>–</w:t>
            </w:r>
            <w:r w:rsidR="00066062">
              <w:rPr>
                <w:lang w:val="en-US"/>
              </w:rPr>
              <w:t xml:space="preserve">99%) were identified through existing </w:t>
            </w:r>
            <w:r w:rsidR="00003A26">
              <w:rPr>
                <w:lang w:val="en-US"/>
              </w:rPr>
              <w:t>practices.</w:t>
            </w:r>
          </w:p>
        </w:tc>
        <w:tc>
          <w:tcPr>
            <w:tcW w:w="1858" w:type="pct"/>
            <w:shd w:val="clear" w:color="auto" w:fill="auto"/>
            <w:vAlign w:val="center"/>
          </w:tcPr>
          <w:p w14:paraId="69387A38" w14:textId="77777777" w:rsidR="00762DE4" w:rsidRDefault="00BF0ECB" w:rsidP="00762DE4">
            <w:pPr>
              <w:pStyle w:val="TableText"/>
              <w:rPr>
                <w:lang w:val="en-US"/>
              </w:rPr>
            </w:pPr>
            <w:r w:rsidRPr="00762DE4">
              <w:rPr>
                <w:lang w:val="en-US"/>
              </w:rPr>
              <w:t>High</w:t>
            </w:r>
            <w:r>
              <w:rPr>
                <w:lang w:val="en-US"/>
              </w:rPr>
              <w:t>, uncertain direction of bias</w:t>
            </w:r>
            <w:r w:rsidR="00762DE4">
              <w:rPr>
                <w:lang w:val="en-US"/>
              </w:rPr>
              <w:t>.</w:t>
            </w:r>
          </w:p>
          <w:p w14:paraId="3DA1E3DB" w14:textId="64851A0F" w:rsidR="00762DE4" w:rsidRPr="00762DE4" w:rsidRDefault="00762DE4" w:rsidP="00762DE4">
            <w:pPr>
              <w:pStyle w:val="TableText"/>
              <w:rPr>
                <w:lang w:val="en-US"/>
              </w:rPr>
            </w:pPr>
            <w:r>
              <w:rPr>
                <w:lang w:val="en-US"/>
              </w:rPr>
              <w:t>Reducing the proportion to 25%, reduce</w:t>
            </w:r>
            <w:r w:rsidR="00876E4D">
              <w:rPr>
                <w:lang w:val="en-US"/>
              </w:rPr>
              <w:t>d</w:t>
            </w:r>
            <w:r>
              <w:rPr>
                <w:lang w:val="en-US"/>
              </w:rPr>
              <w:t xml:space="preserve"> the ICER to $</w:t>
            </w:r>
            <w:r w:rsidR="008D2A0D">
              <w:rPr>
                <w:lang w:val="en-US"/>
              </w:rPr>
              <w:t>8,867</w:t>
            </w:r>
            <w:r>
              <w:rPr>
                <w:lang w:val="en-US"/>
              </w:rPr>
              <w:t xml:space="preserve">, whereas increasing it to 75% </w:t>
            </w:r>
            <w:r w:rsidR="004F1E57">
              <w:rPr>
                <w:lang w:val="en-US"/>
              </w:rPr>
              <w:t>increase</w:t>
            </w:r>
            <w:r w:rsidR="00876E4D">
              <w:rPr>
                <w:lang w:val="en-US"/>
              </w:rPr>
              <w:t>d</w:t>
            </w:r>
            <w:r w:rsidR="004F1E57">
              <w:rPr>
                <w:lang w:val="en-US"/>
              </w:rPr>
              <w:t xml:space="preserve"> </w:t>
            </w:r>
            <w:r w:rsidR="00EB7D2C">
              <w:rPr>
                <w:lang w:val="en-US"/>
              </w:rPr>
              <w:t xml:space="preserve">the ICER </w:t>
            </w:r>
            <w:r w:rsidR="004F1E57">
              <w:rPr>
                <w:lang w:val="en-US"/>
              </w:rPr>
              <w:t>to $</w:t>
            </w:r>
            <w:r w:rsidR="00F95C86">
              <w:rPr>
                <w:lang w:val="en-US"/>
              </w:rPr>
              <w:t>24,587</w:t>
            </w:r>
            <w:r w:rsidR="004F1E57">
              <w:rPr>
                <w:lang w:val="en-US"/>
              </w:rPr>
              <w:t>.</w:t>
            </w:r>
            <w:r w:rsidR="00FF2BD5">
              <w:rPr>
                <w:lang w:val="en-US"/>
              </w:rPr>
              <w:t xml:space="preserve"> Further increases to 95%</w:t>
            </w:r>
            <w:r w:rsidR="00FD1D97">
              <w:rPr>
                <w:lang w:val="en-US"/>
              </w:rPr>
              <w:t xml:space="preserve"> increased the ICER to $118,903</w:t>
            </w:r>
            <w:r w:rsidR="00FD1D97">
              <w:t>.</w:t>
            </w:r>
          </w:p>
        </w:tc>
      </w:tr>
      <w:bookmarkEnd w:id="53"/>
      <w:tr w:rsidR="00AC3CA4" w:rsidRPr="00CE28E3" w14:paraId="4E780A97" w14:textId="77777777" w:rsidTr="00C303B9">
        <w:tc>
          <w:tcPr>
            <w:tcW w:w="705" w:type="pct"/>
            <w:shd w:val="clear" w:color="auto" w:fill="auto"/>
            <w:vAlign w:val="center"/>
          </w:tcPr>
          <w:p w14:paraId="36095C96" w14:textId="77777777" w:rsidR="00AC3CA4" w:rsidRPr="00CE28E3" w:rsidRDefault="00AC3CA4" w:rsidP="003F09BF">
            <w:pPr>
              <w:pStyle w:val="TableText"/>
              <w:jc w:val="center"/>
              <w:rPr>
                <w:lang w:val="en-US"/>
              </w:rPr>
            </w:pPr>
            <w:r>
              <w:rPr>
                <w:lang w:val="en-US"/>
              </w:rPr>
              <w:t>Cost of first-tier screening</w:t>
            </w:r>
          </w:p>
        </w:tc>
        <w:tc>
          <w:tcPr>
            <w:tcW w:w="2437" w:type="pct"/>
            <w:shd w:val="clear" w:color="auto" w:fill="auto"/>
            <w:vAlign w:val="center"/>
          </w:tcPr>
          <w:p w14:paraId="2031C069" w14:textId="454AD88E" w:rsidR="00AC3CA4" w:rsidRPr="00CE28E3" w:rsidRDefault="00AC3CA4" w:rsidP="003F09BF">
            <w:pPr>
              <w:pStyle w:val="TableText"/>
              <w:rPr>
                <w:lang w:val="en-US"/>
              </w:rPr>
            </w:pPr>
            <w:r w:rsidRPr="009B690B">
              <w:rPr>
                <w:lang w:val="en-US"/>
              </w:rPr>
              <w:t xml:space="preserve">The </w:t>
            </w:r>
            <w:r w:rsidRPr="002217EE">
              <w:rPr>
                <w:lang w:val="en-US"/>
              </w:rPr>
              <w:t>base case assume</w:t>
            </w:r>
            <w:r w:rsidR="00BC480F">
              <w:rPr>
                <w:lang w:val="en-US"/>
              </w:rPr>
              <w:t>d</w:t>
            </w:r>
            <w:r w:rsidRPr="002217EE">
              <w:rPr>
                <w:lang w:val="en-US"/>
              </w:rPr>
              <w:t xml:space="preserve"> first-tier screening </w:t>
            </w:r>
            <w:r w:rsidR="00092B26" w:rsidRPr="002217EE">
              <w:rPr>
                <w:lang w:val="en-US"/>
              </w:rPr>
              <w:t>test cost of $</w:t>
            </w:r>
            <w:r w:rsidR="002C7A50" w:rsidRPr="002217EE">
              <w:rPr>
                <w:lang w:val="en-US"/>
              </w:rPr>
              <w:t>2.00</w:t>
            </w:r>
            <w:r w:rsidR="008B267B" w:rsidRPr="002217EE">
              <w:rPr>
                <w:lang w:val="en-US"/>
              </w:rPr>
              <w:t xml:space="preserve">, based on the </w:t>
            </w:r>
            <w:r w:rsidR="00B94B96" w:rsidRPr="002217EE">
              <w:rPr>
                <w:lang w:val="en-US"/>
              </w:rPr>
              <w:t>incremental cost of introducing SCD screening</w:t>
            </w:r>
            <w:r w:rsidR="00BC480F">
              <w:rPr>
                <w:lang w:val="en-US"/>
              </w:rPr>
              <w:t xml:space="preserve"> using ESI-MS/MS</w:t>
            </w:r>
            <w:r w:rsidR="00B94B96" w:rsidRPr="002217EE">
              <w:rPr>
                <w:lang w:val="en-US"/>
              </w:rPr>
              <w:t xml:space="preserve">, assuming </w:t>
            </w:r>
            <w:r w:rsidR="00623967" w:rsidRPr="002217EE">
              <w:rPr>
                <w:lang w:val="en-US"/>
              </w:rPr>
              <w:t>costs of</w:t>
            </w:r>
            <w:r w:rsidR="008B267B" w:rsidRPr="002217EE">
              <w:rPr>
                <w:lang w:val="en-US"/>
              </w:rPr>
              <w:t xml:space="preserve"> </w:t>
            </w:r>
            <w:r w:rsidR="00D37243" w:rsidRPr="002217EE">
              <w:rPr>
                <w:lang w:val="en-US"/>
              </w:rPr>
              <w:t>additional instrumentation and staff to expand NBS</w:t>
            </w:r>
            <w:r w:rsidR="00623967" w:rsidRPr="002217EE">
              <w:rPr>
                <w:lang w:val="en-US"/>
              </w:rPr>
              <w:t xml:space="preserve"> are not required</w:t>
            </w:r>
            <w:r w:rsidR="002217EE" w:rsidRPr="002217EE">
              <w:rPr>
                <w:lang w:val="en-US"/>
              </w:rPr>
              <w:t>/included.</w:t>
            </w:r>
            <w:r w:rsidR="00FE7F06" w:rsidRPr="002217EE">
              <w:rPr>
                <w:lang w:val="en-US"/>
              </w:rPr>
              <w:t xml:space="preserve"> </w:t>
            </w:r>
            <w:r w:rsidR="001B1EE2">
              <w:rPr>
                <w:lang w:val="en-US"/>
              </w:rPr>
              <w:t>Figures</w:t>
            </w:r>
            <w:r w:rsidR="001B1EE2" w:rsidRPr="002217EE">
              <w:rPr>
                <w:lang w:val="en-US"/>
              </w:rPr>
              <w:t xml:space="preserve"> </w:t>
            </w:r>
            <w:r w:rsidR="002217EE" w:rsidRPr="002217EE">
              <w:rPr>
                <w:lang w:val="en-US"/>
              </w:rPr>
              <w:t>w</w:t>
            </w:r>
            <w:r w:rsidR="001B1EE2">
              <w:rPr>
                <w:lang w:val="en-US"/>
              </w:rPr>
              <w:t>ere</w:t>
            </w:r>
            <w:r w:rsidR="002217EE" w:rsidRPr="002217EE">
              <w:rPr>
                <w:lang w:val="en-US"/>
              </w:rPr>
              <w:t xml:space="preserve"> based on estimates provided by </w:t>
            </w:r>
            <w:r w:rsidR="003D41B5" w:rsidRPr="002217EE">
              <w:rPr>
                <w:lang w:val="en-US"/>
              </w:rPr>
              <w:t>an expert consulted during the preparation of the assessment</w:t>
            </w:r>
            <w:r w:rsidR="00D37243" w:rsidRPr="002217EE">
              <w:rPr>
                <w:lang w:val="en-US"/>
              </w:rPr>
              <w:t>.</w:t>
            </w:r>
          </w:p>
        </w:tc>
        <w:tc>
          <w:tcPr>
            <w:tcW w:w="1858" w:type="pct"/>
            <w:shd w:val="clear" w:color="auto" w:fill="auto"/>
            <w:vAlign w:val="center"/>
          </w:tcPr>
          <w:p w14:paraId="266EE8BC" w14:textId="77777777" w:rsidR="00AC3CA4" w:rsidRDefault="00AC3CA4" w:rsidP="0007484A">
            <w:pPr>
              <w:pStyle w:val="TableText"/>
              <w:rPr>
                <w:lang w:val="en-US"/>
              </w:rPr>
            </w:pPr>
            <w:r>
              <w:rPr>
                <w:lang w:val="en-US"/>
              </w:rPr>
              <w:t xml:space="preserve">High, </w:t>
            </w:r>
            <w:r w:rsidR="0007484A">
              <w:rPr>
                <w:lang w:val="en-US"/>
              </w:rPr>
              <w:t>uncertain direction of bias</w:t>
            </w:r>
            <w:r>
              <w:rPr>
                <w:lang w:val="en-US"/>
              </w:rPr>
              <w:t>.</w:t>
            </w:r>
          </w:p>
          <w:p w14:paraId="4BD89279" w14:textId="6362874A" w:rsidR="00C303B9" w:rsidRPr="0018590E" w:rsidRDefault="00C303B9" w:rsidP="0007484A">
            <w:pPr>
              <w:pStyle w:val="TableText"/>
              <w:rPr>
                <w:lang w:val="en-US"/>
              </w:rPr>
            </w:pPr>
            <w:r>
              <w:rPr>
                <w:lang w:val="en-US"/>
              </w:rPr>
              <w:t xml:space="preserve">Assuming no laboratories </w:t>
            </w:r>
            <w:r w:rsidR="00DD2212">
              <w:rPr>
                <w:lang w:val="en-US"/>
              </w:rPr>
              <w:t xml:space="preserve">currently </w:t>
            </w:r>
            <w:r>
              <w:rPr>
                <w:lang w:val="en-US"/>
              </w:rPr>
              <w:t xml:space="preserve">have the capacity </w:t>
            </w:r>
            <w:r w:rsidR="00DD2212">
              <w:rPr>
                <w:lang w:val="en-US"/>
              </w:rPr>
              <w:t xml:space="preserve">to accommodate </w:t>
            </w:r>
            <w:r w:rsidR="000A0916">
              <w:rPr>
                <w:lang w:val="en-US"/>
              </w:rPr>
              <w:t xml:space="preserve">SCD screening </w:t>
            </w:r>
            <w:r w:rsidR="00DF0290">
              <w:rPr>
                <w:lang w:val="en-US"/>
              </w:rPr>
              <w:t xml:space="preserve">(average </w:t>
            </w:r>
            <w:r w:rsidR="00733957">
              <w:rPr>
                <w:lang w:val="en-US"/>
              </w:rPr>
              <w:t>cost per screen of $</w:t>
            </w:r>
            <w:r w:rsidR="00BE7A8E">
              <w:rPr>
                <w:lang w:val="en-US"/>
              </w:rPr>
              <w:t>7.09</w:t>
            </w:r>
            <w:r w:rsidR="00733957">
              <w:rPr>
                <w:lang w:val="en-US"/>
              </w:rPr>
              <w:t>)</w:t>
            </w:r>
            <w:r>
              <w:rPr>
                <w:lang w:val="en-US"/>
              </w:rPr>
              <w:t xml:space="preserve"> increase</w:t>
            </w:r>
            <w:r w:rsidR="00AA7BB7">
              <w:rPr>
                <w:lang w:val="en-US"/>
              </w:rPr>
              <w:t>d</w:t>
            </w:r>
            <w:r>
              <w:rPr>
                <w:lang w:val="en-US"/>
              </w:rPr>
              <w:t xml:space="preserve"> the ICER to $</w:t>
            </w:r>
            <w:r w:rsidR="00BE7A8E">
              <w:rPr>
                <w:lang w:val="en-US"/>
              </w:rPr>
              <w:t>40,257</w:t>
            </w:r>
            <w:r>
              <w:rPr>
                <w:lang w:val="en-US"/>
              </w:rPr>
              <w:t>.</w:t>
            </w:r>
            <w:r w:rsidR="000236F8">
              <w:rPr>
                <w:lang w:val="en-US"/>
              </w:rPr>
              <w:t xml:space="preserve"> </w:t>
            </w:r>
          </w:p>
        </w:tc>
      </w:tr>
    </w:tbl>
    <w:p w14:paraId="6F272F0C" w14:textId="044762EB" w:rsidR="00AC3CA4" w:rsidRPr="009B690B" w:rsidRDefault="00E12BFA" w:rsidP="00AC3CA4">
      <w:pPr>
        <w:pStyle w:val="TableFigureFooter"/>
      </w:pPr>
      <w:bookmarkStart w:id="55" w:name="_Hlk68276635"/>
      <w:bookmarkEnd w:id="54"/>
      <w:r>
        <w:rPr>
          <w:rFonts w:eastAsia="Calibri"/>
        </w:rPr>
        <w:t xml:space="preserve">ESI-MS/MS = </w:t>
      </w:r>
      <w:r w:rsidR="006F69AC">
        <w:rPr>
          <w:rFonts w:eastAsia="Calibri"/>
        </w:rPr>
        <w:t>e</w:t>
      </w:r>
      <w:r w:rsidRPr="00E12BFA">
        <w:rPr>
          <w:rFonts w:eastAsia="Calibri"/>
        </w:rPr>
        <w:t xml:space="preserve">lectrospray </w:t>
      </w:r>
      <w:r w:rsidR="006F69AC">
        <w:rPr>
          <w:rFonts w:eastAsia="Calibri"/>
        </w:rPr>
        <w:t>i</w:t>
      </w:r>
      <w:r w:rsidRPr="00E12BFA">
        <w:rPr>
          <w:rFonts w:eastAsia="Calibri"/>
        </w:rPr>
        <w:t>onisation tandem mass spectrometry</w:t>
      </w:r>
      <w:r>
        <w:rPr>
          <w:rFonts w:eastAsia="Calibri"/>
        </w:rPr>
        <w:t>;</w:t>
      </w:r>
      <w:r w:rsidRPr="00E12BFA">
        <w:rPr>
          <w:rFonts w:eastAsia="Calibri"/>
        </w:rPr>
        <w:t xml:space="preserve"> </w:t>
      </w:r>
      <w:proofErr w:type="spellStart"/>
      <w:r w:rsidR="00C150E7">
        <w:t>HbR</w:t>
      </w:r>
      <w:proofErr w:type="spellEnd"/>
      <w:r w:rsidR="00C150E7">
        <w:t xml:space="preserve"> = </w:t>
      </w:r>
      <w:r w:rsidR="00C150E7" w:rsidRPr="00C150E7">
        <w:t>Australian Haemoglobinopathy Registry</w:t>
      </w:r>
      <w:r w:rsidR="00C150E7">
        <w:t>;</w:t>
      </w:r>
      <w:r w:rsidR="00C150E7" w:rsidRPr="00C150E7">
        <w:t xml:space="preserve"> </w:t>
      </w:r>
      <w:r w:rsidR="00AC3CA4" w:rsidRPr="00CE28E3">
        <w:t xml:space="preserve">ICER = incremental cost-effectiveness </w:t>
      </w:r>
      <w:r w:rsidR="00AC3CA4" w:rsidRPr="009B690B">
        <w:t>ratio</w:t>
      </w:r>
      <w:r w:rsidR="00AC3CA4">
        <w:t>; SCD = sickle cell disease.</w:t>
      </w:r>
    </w:p>
    <w:bookmarkEnd w:id="55"/>
    <w:p w14:paraId="06B82AD6" w14:textId="7288475F" w:rsidR="00A6654E" w:rsidRPr="009B690B" w:rsidRDefault="00A6654E" w:rsidP="00AC3CA4">
      <w:pPr>
        <w:pStyle w:val="TableFigureFooter"/>
      </w:pPr>
      <w:r>
        <w:rPr>
          <w:vertAlign w:val="superscript"/>
        </w:rPr>
        <w:t>a</w:t>
      </w:r>
      <w:r>
        <w:t xml:space="preserve"> </w:t>
      </w:r>
      <w:r w:rsidRPr="000C7F72">
        <w:t xml:space="preserve">Streetly, A, Sisodia, R, Dick, M, </w:t>
      </w:r>
      <w:proofErr w:type="spellStart"/>
      <w:r w:rsidRPr="000C7F72">
        <w:t>Latinovic</w:t>
      </w:r>
      <w:proofErr w:type="spellEnd"/>
      <w:r w:rsidRPr="000C7F72">
        <w:t xml:space="preserve">, R, Hounsell, K &amp; </w:t>
      </w:r>
      <w:proofErr w:type="spellStart"/>
      <w:r w:rsidRPr="000C7F72">
        <w:t>Dormandy</w:t>
      </w:r>
      <w:proofErr w:type="spellEnd"/>
      <w:r w:rsidRPr="000C7F72">
        <w:t xml:space="preserve">, E 2018, </w:t>
      </w:r>
      <w:r w:rsidR="00D31CFD">
        <w:t>‘</w:t>
      </w:r>
      <w:r w:rsidRPr="000C7F72">
        <w:t>Evaluation of newborn sickle cell screening programme in England: 2010-2016</w:t>
      </w:r>
      <w:r w:rsidR="00D31CFD">
        <w:t>’</w:t>
      </w:r>
      <w:r w:rsidRPr="000C7F72">
        <w:t>, Archives of disease in childhood, vol. 103(7), 01 Jul, pp. 648-653.</w:t>
      </w:r>
    </w:p>
    <w:p w14:paraId="4D44C5A3" w14:textId="65F4ABD1" w:rsidR="00AC3CA4" w:rsidRDefault="00AC3CA4" w:rsidP="00AC3CA4">
      <w:r w:rsidRPr="00CE28E3">
        <w:t xml:space="preserve">The results of key sensitivity analyses </w:t>
      </w:r>
      <w:r>
        <w:t xml:space="preserve">are presented in </w:t>
      </w:r>
      <w:r>
        <w:fldChar w:fldCharType="begin"/>
      </w:r>
      <w:r>
        <w:instrText xml:space="preserve"> REF _Ref69726347 \h </w:instrText>
      </w:r>
      <w:r>
        <w:fldChar w:fldCharType="separate"/>
      </w:r>
      <w:r w:rsidR="007D770C" w:rsidRPr="00CE28E3">
        <w:t>Table</w:t>
      </w:r>
      <w:r w:rsidR="007D770C">
        <w:t> </w:t>
      </w:r>
      <w:r w:rsidR="007D770C">
        <w:rPr>
          <w:noProof/>
        </w:rPr>
        <w:t>16</w:t>
      </w:r>
      <w:r>
        <w:fldChar w:fldCharType="end"/>
      </w:r>
      <w:r w:rsidRPr="00CE28E3">
        <w:t xml:space="preserve">. </w:t>
      </w:r>
    </w:p>
    <w:p w14:paraId="625ED5CE" w14:textId="0906C297" w:rsidR="00AC3CA4" w:rsidRDefault="00AC3CA4" w:rsidP="00AC3CA4">
      <w:pPr>
        <w:pStyle w:val="Caption"/>
      </w:pPr>
      <w:bookmarkStart w:id="56" w:name="_Ref69726347"/>
      <w:r w:rsidRPr="00CE28E3">
        <w:t>Table</w:t>
      </w:r>
      <w:r>
        <w:t> </w:t>
      </w:r>
      <w:r>
        <w:fldChar w:fldCharType="begin"/>
      </w:r>
      <w:r>
        <w:instrText>SEQ Table \* ARABIC</w:instrText>
      </w:r>
      <w:r>
        <w:fldChar w:fldCharType="separate"/>
      </w:r>
      <w:r w:rsidR="007D770C">
        <w:rPr>
          <w:noProof/>
        </w:rPr>
        <w:t>16</w:t>
      </w:r>
      <w:r>
        <w:fldChar w:fldCharType="end"/>
      </w:r>
      <w:bookmarkEnd w:id="56"/>
      <w:r w:rsidRPr="00CE28E3">
        <w:tab/>
      </w:r>
      <w:r>
        <w:t>Results of key s</w:t>
      </w:r>
      <w:r w:rsidRPr="00CE28E3">
        <w:t>ensitivity analyses</w:t>
      </w:r>
      <w:r w:rsidR="00823D36">
        <w:t xml:space="preserve"> (ICERs in terms of cost per early diagnosis of an affected case)</w:t>
      </w:r>
    </w:p>
    <w:tbl>
      <w:tblPr>
        <w:tblStyle w:val="TableGrid1"/>
        <w:tblW w:w="5000" w:type="pct"/>
        <w:tblLayout w:type="fixed"/>
        <w:tblLook w:val="04A0" w:firstRow="1" w:lastRow="0" w:firstColumn="1" w:lastColumn="0" w:noHBand="0" w:noVBand="1"/>
        <w:tblCaption w:val="Results of key sensitivity analyses, primary comparison (symptomatic identification only)"/>
        <w:tblDescription w:val="Results of key sensitivity analyses, primary comparison (symptomatic identification only)"/>
      </w:tblPr>
      <w:tblGrid>
        <w:gridCol w:w="4107"/>
        <w:gridCol w:w="1275"/>
        <w:gridCol w:w="1275"/>
        <w:gridCol w:w="1277"/>
        <w:gridCol w:w="1082"/>
      </w:tblGrid>
      <w:tr w:rsidR="00AC3CA4" w:rsidRPr="002D2A94" w14:paraId="54C54D2E" w14:textId="77777777" w:rsidTr="00464F35">
        <w:trPr>
          <w:cnfStyle w:val="100000000000" w:firstRow="1" w:lastRow="0" w:firstColumn="0" w:lastColumn="0" w:oddVBand="0" w:evenVBand="0" w:oddHBand="0" w:evenHBand="0" w:firstRowFirstColumn="0" w:firstRowLastColumn="0" w:lastRowFirstColumn="0" w:lastRowLastColumn="0"/>
          <w:trHeight w:val="279"/>
          <w:tblHeader/>
        </w:trPr>
        <w:tc>
          <w:tcPr>
            <w:tcW w:w="2278" w:type="pct"/>
            <w:shd w:val="clear" w:color="auto" w:fill="auto"/>
            <w:noWrap/>
            <w:vAlign w:val="center"/>
            <w:hideMark/>
          </w:tcPr>
          <w:p w14:paraId="6B3D26A3" w14:textId="77777777" w:rsidR="00AC3CA4" w:rsidRPr="002D2A94" w:rsidRDefault="00AC3CA4" w:rsidP="003F09BF">
            <w:pPr>
              <w:spacing w:before="0" w:after="0"/>
              <w:rPr>
                <w:rFonts w:ascii="Arial Narrow" w:hAnsi="Arial Narrow"/>
                <w:b/>
                <w:bCs/>
                <w:color w:val="000000"/>
              </w:rPr>
            </w:pPr>
            <w:bookmarkStart w:id="57" w:name="_Hlk68276759"/>
          </w:p>
        </w:tc>
        <w:tc>
          <w:tcPr>
            <w:tcW w:w="707" w:type="pct"/>
            <w:tcBorders>
              <w:right w:val="single" w:sz="4" w:space="0" w:color="auto"/>
            </w:tcBorders>
            <w:shd w:val="clear" w:color="auto" w:fill="auto"/>
            <w:noWrap/>
            <w:vAlign w:val="center"/>
            <w:hideMark/>
          </w:tcPr>
          <w:p w14:paraId="24001D26" w14:textId="77777777" w:rsidR="00AC3CA4" w:rsidRPr="002D2A94" w:rsidRDefault="00AC3CA4" w:rsidP="00464F35">
            <w:pPr>
              <w:spacing w:before="0" w:after="0"/>
              <w:jc w:val="center"/>
              <w:rPr>
                <w:rFonts w:ascii="Arial Narrow" w:hAnsi="Arial Narrow"/>
                <w:b/>
                <w:bCs/>
                <w:color w:val="000000"/>
              </w:rPr>
            </w:pPr>
            <w:r w:rsidRPr="002D2A94">
              <w:rPr>
                <w:rFonts w:ascii="Arial Narrow" w:hAnsi="Arial Narrow"/>
                <w:b/>
                <w:bCs/>
                <w:color w:val="000000"/>
              </w:rPr>
              <w:t>Inc. cost</w:t>
            </w:r>
          </w:p>
        </w:tc>
        <w:tc>
          <w:tcPr>
            <w:tcW w:w="707" w:type="pct"/>
            <w:tcBorders>
              <w:left w:val="single" w:sz="4" w:space="0" w:color="auto"/>
              <w:right w:val="single" w:sz="4" w:space="0" w:color="auto"/>
            </w:tcBorders>
            <w:shd w:val="clear" w:color="auto" w:fill="auto"/>
            <w:noWrap/>
            <w:vAlign w:val="center"/>
            <w:hideMark/>
          </w:tcPr>
          <w:p w14:paraId="336AFDDE" w14:textId="77777777" w:rsidR="00AC3CA4" w:rsidRPr="002D2A94" w:rsidRDefault="00AC3CA4" w:rsidP="00464F35">
            <w:pPr>
              <w:spacing w:before="0" w:after="0"/>
              <w:jc w:val="center"/>
              <w:rPr>
                <w:rFonts w:ascii="Arial Narrow" w:hAnsi="Arial Narrow"/>
                <w:b/>
                <w:bCs/>
                <w:color w:val="000000"/>
              </w:rPr>
            </w:pPr>
            <w:r w:rsidRPr="002D2A94">
              <w:rPr>
                <w:rFonts w:ascii="Arial Narrow" w:hAnsi="Arial Narrow"/>
                <w:b/>
                <w:bCs/>
                <w:color w:val="000000"/>
              </w:rPr>
              <w:t>Inc. effect</w:t>
            </w:r>
          </w:p>
        </w:tc>
        <w:tc>
          <w:tcPr>
            <w:tcW w:w="708" w:type="pct"/>
            <w:tcBorders>
              <w:left w:val="single" w:sz="4" w:space="0" w:color="auto"/>
              <w:right w:val="single" w:sz="4" w:space="0" w:color="auto"/>
            </w:tcBorders>
            <w:shd w:val="clear" w:color="auto" w:fill="auto"/>
            <w:noWrap/>
            <w:vAlign w:val="center"/>
            <w:hideMark/>
          </w:tcPr>
          <w:p w14:paraId="2A99F6EE" w14:textId="77777777" w:rsidR="00AC3CA4" w:rsidRPr="002D2A94" w:rsidRDefault="00AC3CA4" w:rsidP="00464F35">
            <w:pPr>
              <w:spacing w:before="0" w:after="0"/>
              <w:jc w:val="center"/>
              <w:rPr>
                <w:rFonts w:ascii="Arial Narrow" w:hAnsi="Arial Narrow"/>
                <w:b/>
                <w:bCs/>
                <w:color w:val="000000"/>
              </w:rPr>
            </w:pPr>
            <w:r w:rsidRPr="002D2A94">
              <w:rPr>
                <w:rFonts w:ascii="Arial Narrow" w:hAnsi="Arial Narrow"/>
                <w:b/>
                <w:bCs/>
                <w:color w:val="000000"/>
              </w:rPr>
              <w:t>ICER</w:t>
            </w:r>
          </w:p>
        </w:tc>
        <w:tc>
          <w:tcPr>
            <w:tcW w:w="600" w:type="pct"/>
            <w:tcBorders>
              <w:left w:val="single" w:sz="4" w:space="0" w:color="auto"/>
              <w:right w:val="single" w:sz="4" w:space="0" w:color="auto"/>
            </w:tcBorders>
            <w:vAlign w:val="center"/>
          </w:tcPr>
          <w:p w14:paraId="6FA2D4A9" w14:textId="77777777" w:rsidR="00AC3CA4" w:rsidRPr="002D2A94" w:rsidRDefault="00AC3CA4" w:rsidP="00464F35">
            <w:pPr>
              <w:spacing w:before="0" w:after="0"/>
              <w:jc w:val="center"/>
              <w:rPr>
                <w:rFonts w:ascii="Arial Narrow" w:hAnsi="Arial Narrow"/>
                <w:b/>
                <w:bCs/>
                <w:color w:val="000000"/>
              </w:rPr>
            </w:pPr>
            <w:r>
              <w:rPr>
                <w:rFonts w:ascii="Arial Narrow" w:hAnsi="Arial Narrow"/>
                <w:b/>
                <w:bCs/>
                <w:color w:val="000000"/>
              </w:rPr>
              <w:t>% change</w:t>
            </w:r>
          </w:p>
        </w:tc>
      </w:tr>
      <w:tr w:rsidR="008D691C" w:rsidRPr="002D2A94" w14:paraId="647D90B7" w14:textId="77777777" w:rsidTr="00464F35">
        <w:trPr>
          <w:cnfStyle w:val="100000000000" w:firstRow="1" w:lastRow="0" w:firstColumn="0" w:lastColumn="0" w:oddVBand="0" w:evenVBand="0" w:oddHBand="0" w:evenHBand="0" w:firstRowFirstColumn="0" w:firstRowLastColumn="0" w:lastRowFirstColumn="0" w:lastRowLastColumn="0"/>
          <w:trHeight w:val="279"/>
          <w:tblHeader/>
        </w:trPr>
        <w:tc>
          <w:tcPr>
            <w:tcW w:w="2278" w:type="pct"/>
            <w:shd w:val="clear" w:color="auto" w:fill="auto"/>
            <w:noWrap/>
            <w:vAlign w:val="center"/>
            <w:hideMark/>
          </w:tcPr>
          <w:p w14:paraId="302ECC3B" w14:textId="77777777" w:rsidR="008D691C" w:rsidRPr="002D2A94" w:rsidRDefault="008D691C" w:rsidP="008D691C">
            <w:pPr>
              <w:spacing w:before="0" w:after="0"/>
              <w:rPr>
                <w:rFonts w:ascii="Arial Narrow" w:hAnsi="Arial Narrow"/>
                <w:b/>
                <w:bCs/>
                <w:color w:val="000000"/>
              </w:rPr>
            </w:pPr>
            <w:r>
              <w:rPr>
                <w:rFonts w:ascii="Arial Narrow" w:hAnsi="Arial Narrow"/>
                <w:b/>
                <w:bCs/>
                <w:color w:val="000000"/>
              </w:rPr>
              <w:t>Base-case</w:t>
            </w:r>
          </w:p>
        </w:tc>
        <w:tc>
          <w:tcPr>
            <w:tcW w:w="707" w:type="pct"/>
            <w:tcBorders>
              <w:right w:val="single" w:sz="4" w:space="0" w:color="auto"/>
            </w:tcBorders>
            <w:shd w:val="clear" w:color="auto" w:fill="auto"/>
            <w:noWrap/>
          </w:tcPr>
          <w:p w14:paraId="0E5DCA34" w14:textId="7540E6F5" w:rsidR="008D691C" w:rsidRPr="008D691C" w:rsidRDefault="008D691C" w:rsidP="008D691C">
            <w:pPr>
              <w:pStyle w:val="Tabletext0"/>
              <w:keepNext/>
              <w:jc w:val="right"/>
              <w:rPr>
                <w:b/>
                <w:bCs/>
              </w:rPr>
            </w:pPr>
            <w:r w:rsidRPr="008D691C">
              <w:rPr>
                <w:b/>
                <w:bCs/>
              </w:rPr>
              <w:t>$2.18</w:t>
            </w:r>
          </w:p>
        </w:tc>
        <w:tc>
          <w:tcPr>
            <w:tcW w:w="707" w:type="pct"/>
            <w:tcBorders>
              <w:left w:val="single" w:sz="4" w:space="0" w:color="auto"/>
              <w:right w:val="single" w:sz="4" w:space="0" w:color="auto"/>
            </w:tcBorders>
            <w:shd w:val="clear" w:color="auto" w:fill="auto"/>
            <w:noWrap/>
          </w:tcPr>
          <w:p w14:paraId="3F22ED67" w14:textId="6F8CC562" w:rsidR="008D691C" w:rsidRPr="008D691C" w:rsidRDefault="008D691C" w:rsidP="008D691C">
            <w:pPr>
              <w:pStyle w:val="Tabletext0"/>
              <w:keepNext/>
              <w:jc w:val="right"/>
              <w:rPr>
                <w:b/>
                <w:bCs/>
              </w:rPr>
            </w:pPr>
            <w:r w:rsidRPr="008D691C">
              <w:rPr>
                <w:b/>
                <w:bCs/>
              </w:rPr>
              <w:t>0.00018</w:t>
            </w:r>
          </w:p>
        </w:tc>
        <w:tc>
          <w:tcPr>
            <w:tcW w:w="708" w:type="pct"/>
            <w:tcBorders>
              <w:left w:val="single" w:sz="4" w:space="0" w:color="auto"/>
              <w:right w:val="single" w:sz="4" w:space="0" w:color="auto"/>
            </w:tcBorders>
            <w:shd w:val="clear" w:color="auto" w:fill="auto"/>
            <w:noWrap/>
          </w:tcPr>
          <w:p w14:paraId="39FA7151" w14:textId="0B3DB26A" w:rsidR="008D691C" w:rsidRPr="008D691C" w:rsidRDefault="008D691C" w:rsidP="008D691C">
            <w:pPr>
              <w:pStyle w:val="Tabletext0"/>
              <w:keepNext/>
              <w:jc w:val="right"/>
              <w:rPr>
                <w:b/>
                <w:bCs/>
              </w:rPr>
            </w:pPr>
            <w:r w:rsidRPr="008D691C">
              <w:rPr>
                <w:b/>
                <w:bCs/>
              </w:rPr>
              <w:t>$12,280</w:t>
            </w:r>
          </w:p>
        </w:tc>
        <w:tc>
          <w:tcPr>
            <w:tcW w:w="600" w:type="pct"/>
            <w:tcBorders>
              <w:left w:val="single" w:sz="4" w:space="0" w:color="auto"/>
              <w:right w:val="single" w:sz="4" w:space="0" w:color="auto"/>
            </w:tcBorders>
            <w:vAlign w:val="center"/>
          </w:tcPr>
          <w:p w14:paraId="57DA15A7" w14:textId="77777777" w:rsidR="008D691C" w:rsidRPr="00E57210" w:rsidRDefault="008D691C" w:rsidP="008D691C">
            <w:pPr>
              <w:pStyle w:val="Tabletext0"/>
              <w:keepNext/>
              <w:jc w:val="right"/>
              <w:rPr>
                <w:b/>
              </w:rPr>
            </w:pPr>
            <w:r>
              <w:rPr>
                <w:b/>
              </w:rPr>
              <w:t>−</w:t>
            </w:r>
          </w:p>
        </w:tc>
      </w:tr>
      <w:tr w:rsidR="00AC3CA4" w:rsidRPr="007522F3" w14:paraId="00D02DC1" w14:textId="77777777" w:rsidTr="003F09BF">
        <w:trPr>
          <w:trHeight w:val="279"/>
        </w:trPr>
        <w:tc>
          <w:tcPr>
            <w:tcW w:w="5000" w:type="pct"/>
            <w:gridSpan w:val="5"/>
            <w:shd w:val="clear" w:color="auto" w:fill="auto"/>
            <w:noWrap/>
            <w:vAlign w:val="center"/>
            <w:hideMark/>
          </w:tcPr>
          <w:p w14:paraId="4025AFA5" w14:textId="126CAB55" w:rsidR="00AC3CA4" w:rsidRPr="00C8178A" w:rsidRDefault="00DB08B2" w:rsidP="00C8178A">
            <w:pPr>
              <w:pStyle w:val="TableText"/>
              <w:keepNext/>
              <w:rPr>
                <w:b/>
              </w:rPr>
            </w:pPr>
            <w:r>
              <w:rPr>
                <w:b/>
              </w:rPr>
              <w:t xml:space="preserve">Cost of </w:t>
            </w:r>
            <w:r w:rsidR="002F405E">
              <w:rPr>
                <w:b/>
              </w:rPr>
              <w:t>ESI-MS/MS f</w:t>
            </w:r>
            <w:r w:rsidR="00AC3CA4" w:rsidRPr="00C8178A">
              <w:rPr>
                <w:b/>
              </w:rPr>
              <w:t>irst-tier screening test (base case: $</w:t>
            </w:r>
            <w:r w:rsidR="003D5BA7" w:rsidRPr="00C8178A">
              <w:rPr>
                <w:b/>
              </w:rPr>
              <w:t>2.00</w:t>
            </w:r>
            <w:r w:rsidR="00AC3CA4" w:rsidRPr="00C8178A">
              <w:rPr>
                <w:b/>
              </w:rPr>
              <w:t>)</w:t>
            </w:r>
          </w:p>
        </w:tc>
      </w:tr>
      <w:tr w:rsidR="00401459" w:rsidRPr="002D2A94" w14:paraId="14B7263F" w14:textId="77777777" w:rsidTr="00464F35">
        <w:trPr>
          <w:trHeight w:val="279"/>
        </w:trPr>
        <w:tc>
          <w:tcPr>
            <w:tcW w:w="2278" w:type="pct"/>
            <w:shd w:val="clear" w:color="auto" w:fill="auto"/>
            <w:noWrap/>
          </w:tcPr>
          <w:p w14:paraId="4D77EC4D" w14:textId="41F80699" w:rsidR="00401459" w:rsidRPr="0003061A" w:rsidRDefault="00401459" w:rsidP="00C8178A">
            <w:pPr>
              <w:pStyle w:val="TableText"/>
              <w:keepNext/>
            </w:pPr>
            <w:r>
              <w:t>$4.30</w:t>
            </w:r>
          </w:p>
        </w:tc>
        <w:tc>
          <w:tcPr>
            <w:tcW w:w="707" w:type="pct"/>
            <w:tcBorders>
              <w:right w:val="single" w:sz="4" w:space="0" w:color="auto"/>
            </w:tcBorders>
            <w:shd w:val="clear" w:color="auto" w:fill="auto"/>
            <w:noWrap/>
          </w:tcPr>
          <w:p w14:paraId="0CB11FBE" w14:textId="4E72A16E" w:rsidR="00401459" w:rsidRPr="002D2A94" w:rsidRDefault="00401459" w:rsidP="00C8178A">
            <w:pPr>
              <w:pStyle w:val="TableText"/>
              <w:keepNext/>
              <w:jc w:val="right"/>
            </w:pPr>
            <w:r w:rsidRPr="00794A79">
              <w:t>$4.43</w:t>
            </w:r>
          </w:p>
        </w:tc>
        <w:tc>
          <w:tcPr>
            <w:tcW w:w="707" w:type="pct"/>
            <w:tcBorders>
              <w:left w:val="single" w:sz="4" w:space="0" w:color="auto"/>
              <w:right w:val="single" w:sz="4" w:space="0" w:color="auto"/>
            </w:tcBorders>
            <w:shd w:val="clear" w:color="auto" w:fill="auto"/>
            <w:noWrap/>
          </w:tcPr>
          <w:p w14:paraId="021B6BD5" w14:textId="1EA7CF21" w:rsidR="00401459" w:rsidRPr="002D2A94" w:rsidRDefault="00401459" w:rsidP="00C8178A">
            <w:pPr>
              <w:pStyle w:val="TableText"/>
              <w:keepNext/>
              <w:jc w:val="right"/>
            </w:pPr>
            <w:r w:rsidRPr="00794A79">
              <w:t>0.00018</w:t>
            </w:r>
          </w:p>
        </w:tc>
        <w:tc>
          <w:tcPr>
            <w:tcW w:w="708" w:type="pct"/>
            <w:tcBorders>
              <w:left w:val="single" w:sz="4" w:space="0" w:color="auto"/>
              <w:right w:val="single" w:sz="4" w:space="0" w:color="auto"/>
            </w:tcBorders>
            <w:shd w:val="clear" w:color="auto" w:fill="auto"/>
            <w:noWrap/>
          </w:tcPr>
          <w:p w14:paraId="71047982" w14:textId="26C1FA7C" w:rsidR="00401459" w:rsidRPr="002D2A94" w:rsidRDefault="00401459" w:rsidP="00C8178A">
            <w:pPr>
              <w:pStyle w:val="TableText"/>
              <w:keepNext/>
              <w:jc w:val="right"/>
            </w:pPr>
            <w:r w:rsidRPr="00794A79">
              <w:t>$24,922</w:t>
            </w:r>
          </w:p>
        </w:tc>
        <w:tc>
          <w:tcPr>
            <w:tcW w:w="600" w:type="pct"/>
            <w:tcBorders>
              <w:left w:val="single" w:sz="4" w:space="0" w:color="auto"/>
              <w:right w:val="single" w:sz="4" w:space="0" w:color="auto"/>
            </w:tcBorders>
          </w:tcPr>
          <w:p w14:paraId="53B653BC" w14:textId="7AB3242F" w:rsidR="00401459" w:rsidRPr="002D2A94" w:rsidRDefault="00401459" w:rsidP="00C8178A">
            <w:pPr>
              <w:pStyle w:val="TableText"/>
              <w:keepNext/>
              <w:jc w:val="right"/>
            </w:pPr>
            <w:r w:rsidRPr="00794A79">
              <w:t>103%</w:t>
            </w:r>
          </w:p>
        </w:tc>
      </w:tr>
      <w:tr w:rsidR="003017A7" w:rsidRPr="002D2A94" w14:paraId="221CDDEB" w14:textId="77777777" w:rsidTr="00464F35">
        <w:trPr>
          <w:trHeight w:val="279"/>
        </w:trPr>
        <w:tc>
          <w:tcPr>
            <w:tcW w:w="2278" w:type="pct"/>
            <w:shd w:val="clear" w:color="auto" w:fill="auto"/>
            <w:noWrap/>
          </w:tcPr>
          <w:p w14:paraId="5142F549" w14:textId="70D7BD6B" w:rsidR="003017A7" w:rsidRPr="0003061A" w:rsidRDefault="003017A7" w:rsidP="003017A7">
            <w:pPr>
              <w:pStyle w:val="TableText"/>
              <w:keepNext/>
            </w:pPr>
            <w:r>
              <w:t>$7.09</w:t>
            </w:r>
          </w:p>
        </w:tc>
        <w:tc>
          <w:tcPr>
            <w:tcW w:w="707" w:type="pct"/>
            <w:tcBorders>
              <w:right w:val="single" w:sz="4" w:space="0" w:color="auto"/>
            </w:tcBorders>
            <w:shd w:val="clear" w:color="auto" w:fill="auto"/>
            <w:noWrap/>
          </w:tcPr>
          <w:p w14:paraId="10C8C66B" w14:textId="65E4B57A" w:rsidR="003017A7" w:rsidRPr="002D2A94" w:rsidRDefault="003017A7" w:rsidP="003017A7">
            <w:pPr>
              <w:pStyle w:val="TableText"/>
              <w:keepNext/>
              <w:jc w:val="right"/>
            </w:pPr>
            <w:r w:rsidRPr="00C33694">
              <w:t>$7.15</w:t>
            </w:r>
          </w:p>
        </w:tc>
        <w:tc>
          <w:tcPr>
            <w:tcW w:w="707" w:type="pct"/>
            <w:tcBorders>
              <w:left w:val="single" w:sz="4" w:space="0" w:color="auto"/>
              <w:right w:val="single" w:sz="4" w:space="0" w:color="auto"/>
            </w:tcBorders>
            <w:shd w:val="clear" w:color="auto" w:fill="auto"/>
            <w:noWrap/>
          </w:tcPr>
          <w:p w14:paraId="0170A2A2" w14:textId="7F024F9E" w:rsidR="003017A7" w:rsidRPr="002D2A94" w:rsidRDefault="003017A7" w:rsidP="003017A7">
            <w:pPr>
              <w:pStyle w:val="TableText"/>
              <w:keepNext/>
              <w:jc w:val="right"/>
            </w:pPr>
            <w:r w:rsidRPr="00C33694">
              <w:t>0.00018</w:t>
            </w:r>
          </w:p>
        </w:tc>
        <w:tc>
          <w:tcPr>
            <w:tcW w:w="708" w:type="pct"/>
            <w:tcBorders>
              <w:left w:val="single" w:sz="4" w:space="0" w:color="auto"/>
              <w:right w:val="single" w:sz="4" w:space="0" w:color="auto"/>
            </w:tcBorders>
            <w:shd w:val="clear" w:color="auto" w:fill="auto"/>
            <w:noWrap/>
          </w:tcPr>
          <w:p w14:paraId="591BD753" w14:textId="4498C487" w:rsidR="003017A7" w:rsidRPr="002D2A94" w:rsidRDefault="003017A7" w:rsidP="003017A7">
            <w:pPr>
              <w:pStyle w:val="TableText"/>
              <w:keepNext/>
              <w:jc w:val="right"/>
            </w:pPr>
            <w:r w:rsidRPr="00C33694">
              <w:t>$40,257</w:t>
            </w:r>
          </w:p>
        </w:tc>
        <w:tc>
          <w:tcPr>
            <w:tcW w:w="600" w:type="pct"/>
            <w:tcBorders>
              <w:left w:val="single" w:sz="4" w:space="0" w:color="auto"/>
              <w:right w:val="single" w:sz="4" w:space="0" w:color="auto"/>
            </w:tcBorders>
          </w:tcPr>
          <w:p w14:paraId="1C206705" w14:textId="3DDF8E26" w:rsidR="003017A7" w:rsidRPr="002D2A94" w:rsidRDefault="003017A7" w:rsidP="003017A7">
            <w:pPr>
              <w:pStyle w:val="TableText"/>
              <w:keepNext/>
              <w:jc w:val="right"/>
            </w:pPr>
            <w:r w:rsidRPr="00C33694">
              <w:t>228%</w:t>
            </w:r>
          </w:p>
        </w:tc>
      </w:tr>
      <w:tr w:rsidR="00270CC5" w:rsidRPr="002D2A94" w14:paraId="23300DA4" w14:textId="77777777" w:rsidTr="00464F35">
        <w:trPr>
          <w:trHeight w:val="279"/>
        </w:trPr>
        <w:tc>
          <w:tcPr>
            <w:tcW w:w="2278" w:type="pct"/>
            <w:shd w:val="clear" w:color="auto" w:fill="auto"/>
            <w:noWrap/>
          </w:tcPr>
          <w:p w14:paraId="401C0DD0" w14:textId="734DEF10" w:rsidR="00270CC5" w:rsidRPr="002D2A94" w:rsidRDefault="00270CC5" w:rsidP="00C8178A">
            <w:pPr>
              <w:pStyle w:val="TableText"/>
              <w:keepNext/>
            </w:pPr>
            <w:r>
              <w:t>$8.23</w:t>
            </w:r>
          </w:p>
        </w:tc>
        <w:tc>
          <w:tcPr>
            <w:tcW w:w="707" w:type="pct"/>
            <w:tcBorders>
              <w:right w:val="single" w:sz="4" w:space="0" w:color="auto"/>
            </w:tcBorders>
            <w:shd w:val="clear" w:color="auto" w:fill="auto"/>
            <w:noWrap/>
          </w:tcPr>
          <w:p w14:paraId="0F4AC67F" w14:textId="46954B00" w:rsidR="00270CC5" w:rsidRPr="002D2A94" w:rsidRDefault="00270CC5" w:rsidP="00C8178A">
            <w:pPr>
              <w:pStyle w:val="TableText"/>
              <w:keepNext/>
              <w:jc w:val="right"/>
            </w:pPr>
            <w:r w:rsidRPr="00D81994">
              <w:t>$8.26</w:t>
            </w:r>
          </w:p>
        </w:tc>
        <w:tc>
          <w:tcPr>
            <w:tcW w:w="707" w:type="pct"/>
            <w:tcBorders>
              <w:left w:val="single" w:sz="4" w:space="0" w:color="auto"/>
              <w:right w:val="single" w:sz="4" w:space="0" w:color="auto"/>
            </w:tcBorders>
            <w:shd w:val="clear" w:color="auto" w:fill="auto"/>
            <w:noWrap/>
          </w:tcPr>
          <w:p w14:paraId="42ADB91F" w14:textId="6DA7F8AA" w:rsidR="00270CC5" w:rsidRPr="000F704A" w:rsidRDefault="00270CC5" w:rsidP="00C8178A">
            <w:pPr>
              <w:pStyle w:val="TableText"/>
              <w:keepNext/>
              <w:jc w:val="right"/>
            </w:pPr>
            <w:r w:rsidRPr="00D81994">
              <w:t>0.00018</w:t>
            </w:r>
          </w:p>
        </w:tc>
        <w:tc>
          <w:tcPr>
            <w:tcW w:w="708" w:type="pct"/>
            <w:tcBorders>
              <w:left w:val="single" w:sz="4" w:space="0" w:color="auto"/>
              <w:right w:val="single" w:sz="4" w:space="0" w:color="auto"/>
            </w:tcBorders>
            <w:shd w:val="clear" w:color="auto" w:fill="auto"/>
            <w:noWrap/>
          </w:tcPr>
          <w:p w14:paraId="1DA3C2F0" w14:textId="511E3BE9" w:rsidR="00270CC5" w:rsidRPr="002D2A94" w:rsidRDefault="00270CC5" w:rsidP="00C8178A">
            <w:pPr>
              <w:pStyle w:val="TableText"/>
              <w:keepNext/>
              <w:jc w:val="right"/>
            </w:pPr>
            <w:r w:rsidRPr="00D81994">
              <w:t>$46,523</w:t>
            </w:r>
          </w:p>
        </w:tc>
        <w:tc>
          <w:tcPr>
            <w:tcW w:w="600" w:type="pct"/>
            <w:tcBorders>
              <w:left w:val="single" w:sz="4" w:space="0" w:color="auto"/>
              <w:right w:val="single" w:sz="4" w:space="0" w:color="auto"/>
            </w:tcBorders>
          </w:tcPr>
          <w:p w14:paraId="2E7A4183" w14:textId="192D959C" w:rsidR="00270CC5" w:rsidRPr="002D2A94" w:rsidRDefault="00270CC5" w:rsidP="00C8178A">
            <w:pPr>
              <w:pStyle w:val="TableText"/>
              <w:keepNext/>
              <w:jc w:val="right"/>
            </w:pPr>
            <w:r w:rsidRPr="00D81994">
              <w:t>279%</w:t>
            </w:r>
          </w:p>
        </w:tc>
      </w:tr>
      <w:tr w:rsidR="00401459" w:rsidRPr="002D2A94" w14:paraId="4CD8B4BF" w14:textId="77777777" w:rsidTr="00464F35">
        <w:trPr>
          <w:trHeight w:val="279"/>
        </w:trPr>
        <w:tc>
          <w:tcPr>
            <w:tcW w:w="2278" w:type="pct"/>
            <w:shd w:val="clear" w:color="auto" w:fill="auto"/>
            <w:noWrap/>
          </w:tcPr>
          <w:p w14:paraId="05881842" w14:textId="2D9DE886" w:rsidR="00401459" w:rsidRPr="00294FF2" w:rsidRDefault="00401459" w:rsidP="00C8178A">
            <w:pPr>
              <w:pStyle w:val="TableText"/>
              <w:keepNext/>
            </w:pPr>
            <w:r>
              <w:t>$13.50</w:t>
            </w:r>
          </w:p>
        </w:tc>
        <w:tc>
          <w:tcPr>
            <w:tcW w:w="707" w:type="pct"/>
            <w:tcBorders>
              <w:right w:val="single" w:sz="4" w:space="0" w:color="auto"/>
            </w:tcBorders>
            <w:shd w:val="clear" w:color="auto" w:fill="auto"/>
            <w:noWrap/>
          </w:tcPr>
          <w:p w14:paraId="511760FC" w14:textId="3C8317A9" w:rsidR="00401459" w:rsidRPr="00C3184D" w:rsidRDefault="00401459" w:rsidP="00C8178A">
            <w:pPr>
              <w:pStyle w:val="TableText"/>
              <w:keepNext/>
              <w:jc w:val="right"/>
            </w:pPr>
            <w:r w:rsidRPr="00794A79">
              <w:t>$13.41</w:t>
            </w:r>
          </w:p>
        </w:tc>
        <w:tc>
          <w:tcPr>
            <w:tcW w:w="707" w:type="pct"/>
            <w:tcBorders>
              <w:left w:val="single" w:sz="4" w:space="0" w:color="auto"/>
              <w:right w:val="single" w:sz="4" w:space="0" w:color="auto"/>
            </w:tcBorders>
            <w:shd w:val="clear" w:color="auto" w:fill="auto"/>
            <w:noWrap/>
          </w:tcPr>
          <w:p w14:paraId="08F0888E" w14:textId="143FD1DB" w:rsidR="00401459" w:rsidRPr="00C3184D" w:rsidRDefault="00401459" w:rsidP="00C8178A">
            <w:pPr>
              <w:pStyle w:val="TableText"/>
              <w:keepNext/>
              <w:jc w:val="right"/>
            </w:pPr>
            <w:r w:rsidRPr="00794A79">
              <w:t>0.00018</w:t>
            </w:r>
          </w:p>
        </w:tc>
        <w:tc>
          <w:tcPr>
            <w:tcW w:w="708" w:type="pct"/>
            <w:tcBorders>
              <w:left w:val="single" w:sz="4" w:space="0" w:color="auto"/>
              <w:right w:val="single" w:sz="4" w:space="0" w:color="auto"/>
            </w:tcBorders>
            <w:shd w:val="clear" w:color="auto" w:fill="auto"/>
            <w:noWrap/>
          </w:tcPr>
          <w:p w14:paraId="0EB35D5F" w14:textId="2E2DDB69" w:rsidR="00401459" w:rsidRPr="00C3184D" w:rsidRDefault="00401459" w:rsidP="00C8178A">
            <w:pPr>
              <w:pStyle w:val="TableText"/>
              <w:keepNext/>
              <w:jc w:val="right"/>
            </w:pPr>
            <w:r w:rsidRPr="00794A79">
              <w:t>$75,490</w:t>
            </w:r>
          </w:p>
        </w:tc>
        <w:tc>
          <w:tcPr>
            <w:tcW w:w="600" w:type="pct"/>
            <w:tcBorders>
              <w:left w:val="single" w:sz="4" w:space="0" w:color="auto"/>
              <w:right w:val="single" w:sz="4" w:space="0" w:color="auto"/>
            </w:tcBorders>
          </w:tcPr>
          <w:p w14:paraId="1211B851" w14:textId="30B3D3A4" w:rsidR="00401459" w:rsidRPr="00C3184D" w:rsidRDefault="00401459" w:rsidP="00C8178A">
            <w:pPr>
              <w:pStyle w:val="TableText"/>
              <w:keepNext/>
              <w:jc w:val="right"/>
            </w:pPr>
            <w:r w:rsidRPr="00794A79">
              <w:t>515%</w:t>
            </w:r>
          </w:p>
        </w:tc>
      </w:tr>
      <w:tr w:rsidR="00AC3CA4" w:rsidRPr="00294FF2" w14:paraId="3FE3AEB8" w14:textId="77777777" w:rsidTr="003F09BF">
        <w:trPr>
          <w:trHeight w:val="279"/>
        </w:trPr>
        <w:tc>
          <w:tcPr>
            <w:tcW w:w="5000" w:type="pct"/>
            <w:gridSpan w:val="5"/>
            <w:shd w:val="clear" w:color="auto" w:fill="auto"/>
            <w:noWrap/>
            <w:vAlign w:val="center"/>
            <w:hideMark/>
          </w:tcPr>
          <w:p w14:paraId="309ADB81" w14:textId="16B414D0" w:rsidR="00AC3CA4" w:rsidRPr="00C8178A" w:rsidRDefault="00A36F67" w:rsidP="00C8178A">
            <w:pPr>
              <w:pStyle w:val="TableText"/>
              <w:keepNext/>
              <w:rPr>
                <w:b/>
              </w:rPr>
            </w:pPr>
            <w:r w:rsidRPr="00C8178A">
              <w:rPr>
                <w:b/>
              </w:rPr>
              <w:t>SCD</w:t>
            </w:r>
            <w:r w:rsidR="00AC3CA4" w:rsidRPr="00C8178A">
              <w:rPr>
                <w:b/>
              </w:rPr>
              <w:t xml:space="preserve"> incidence</w:t>
            </w:r>
            <w:r w:rsidRPr="00C8178A">
              <w:rPr>
                <w:b/>
              </w:rPr>
              <w:t xml:space="preserve"> </w:t>
            </w:r>
            <w:r w:rsidR="00AC3CA4" w:rsidRPr="00C8178A">
              <w:rPr>
                <w:b/>
              </w:rPr>
              <w:t xml:space="preserve">(base case: </w:t>
            </w:r>
            <w:r w:rsidRPr="00C8178A">
              <w:rPr>
                <w:b/>
              </w:rPr>
              <w:t>34.2 per 100,000)</w:t>
            </w:r>
          </w:p>
        </w:tc>
      </w:tr>
      <w:tr w:rsidR="0069030B" w:rsidRPr="002D2A94" w14:paraId="4980AFEF" w14:textId="77777777" w:rsidTr="00464F35">
        <w:trPr>
          <w:trHeight w:val="279"/>
        </w:trPr>
        <w:tc>
          <w:tcPr>
            <w:tcW w:w="2278" w:type="pct"/>
            <w:shd w:val="clear" w:color="auto" w:fill="auto"/>
            <w:noWrap/>
          </w:tcPr>
          <w:p w14:paraId="1CB28DEE" w14:textId="0BE1206C" w:rsidR="0069030B" w:rsidRPr="0003061A" w:rsidRDefault="0069030B" w:rsidP="00C8178A">
            <w:pPr>
              <w:pStyle w:val="TableText"/>
              <w:keepNext/>
            </w:pPr>
            <w:r>
              <w:t>0.53 per 100,000</w:t>
            </w:r>
            <w:r w:rsidR="00143C51">
              <w:t xml:space="preserve"> births</w:t>
            </w:r>
          </w:p>
        </w:tc>
        <w:tc>
          <w:tcPr>
            <w:tcW w:w="707" w:type="pct"/>
            <w:tcBorders>
              <w:right w:val="single" w:sz="4" w:space="0" w:color="auto"/>
            </w:tcBorders>
            <w:shd w:val="clear" w:color="auto" w:fill="auto"/>
            <w:noWrap/>
          </w:tcPr>
          <w:p w14:paraId="08FBA913" w14:textId="6BC94D93" w:rsidR="0069030B" w:rsidRPr="002D2A94" w:rsidRDefault="0069030B" w:rsidP="00C8178A">
            <w:pPr>
              <w:pStyle w:val="TableText"/>
              <w:keepNext/>
              <w:jc w:val="right"/>
            </w:pPr>
            <w:r w:rsidRPr="00B82537">
              <w:t>$2.00</w:t>
            </w:r>
          </w:p>
        </w:tc>
        <w:tc>
          <w:tcPr>
            <w:tcW w:w="707" w:type="pct"/>
            <w:tcBorders>
              <w:left w:val="single" w:sz="4" w:space="0" w:color="auto"/>
              <w:right w:val="single" w:sz="4" w:space="0" w:color="auto"/>
            </w:tcBorders>
            <w:shd w:val="clear" w:color="auto" w:fill="auto"/>
            <w:noWrap/>
          </w:tcPr>
          <w:p w14:paraId="3991E790" w14:textId="5786DD67" w:rsidR="0069030B" w:rsidRPr="002D2A94" w:rsidRDefault="0069030B" w:rsidP="00C8178A">
            <w:pPr>
              <w:pStyle w:val="TableText"/>
              <w:keepNext/>
              <w:jc w:val="right"/>
            </w:pPr>
            <w:r w:rsidRPr="00B82537">
              <w:t>0.00000</w:t>
            </w:r>
          </w:p>
        </w:tc>
        <w:tc>
          <w:tcPr>
            <w:tcW w:w="708" w:type="pct"/>
            <w:tcBorders>
              <w:left w:val="single" w:sz="4" w:space="0" w:color="auto"/>
              <w:right w:val="single" w:sz="4" w:space="0" w:color="auto"/>
            </w:tcBorders>
            <w:shd w:val="clear" w:color="auto" w:fill="auto"/>
            <w:noWrap/>
          </w:tcPr>
          <w:p w14:paraId="2D6D58DA" w14:textId="55DACD27" w:rsidR="0069030B" w:rsidRPr="002D2A94" w:rsidRDefault="0069030B" w:rsidP="00C8178A">
            <w:pPr>
              <w:pStyle w:val="TableText"/>
              <w:keepNext/>
              <w:jc w:val="right"/>
            </w:pPr>
            <w:r w:rsidRPr="00B82537">
              <w:t>$728,409</w:t>
            </w:r>
          </w:p>
        </w:tc>
        <w:tc>
          <w:tcPr>
            <w:tcW w:w="600" w:type="pct"/>
            <w:tcBorders>
              <w:left w:val="single" w:sz="4" w:space="0" w:color="auto"/>
              <w:right w:val="single" w:sz="4" w:space="0" w:color="auto"/>
            </w:tcBorders>
          </w:tcPr>
          <w:p w14:paraId="56F67F5B" w14:textId="200553C2" w:rsidR="0069030B" w:rsidRPr="002D2A94" w:rsidRDefault="0069030B" w:rsidP="00C8178A">
            <w:pPr>
              <w:pStyle w:val="TableText"/>
              <w:keepNext/>
              <w:jc w:val="right"/>
            </w:pPr>
            <w:r w:rsidRPr="00B82537">
              <w:t>5832%</w:t>
            </w:r>
          </w:p>
        </w:tc>
      </w:tr>
      <w:tr w:rsidR="0069030B" w:rsidRPr="002D2A94" w14:paraId="23A3654D" w14:textId="77777777" w:rsidTr="00464F35">
        <w:trPr>
          <w:trHeight w:val="279"/>
        </w:trPr>
        <w:tc>
          <w:tcPr>
            <w:tcW w:w="2278" w:type="pct"/>
            <w:shd w:val="clear" w:color="auto" w:fill="auto"/>
            <w:noWrap/>
          </w:tcPr>
          <w:p w14:paraId="0CBF0E07" w14:textId="600B5D58" w:rsidR="0069030B" w:rsidRDefault="0069030B" w:rsidP="00C8178A">
            <w:pPr>
              <w:pStyle w:val="TableText"/>
              <w:keepNext/>
            </w:pPr>
            <w:r>
              <w:t>5.7 per 100,000</w:t>
            </w:r>
            <w:r w:rsidR="00143C51">
              <w:t xml:space="preserve"> births</w:t>
            </w:r>
          </w:p>
        </w:tc>
        <w:tc>
          <w:tcPr>
            <w:tcW w:w="707" w:type="pct"/>
            <w:tcBorders>
              <w:right w:val="single" w:sz="4" w:space="0" w:color="auto"/>
            </w:tcBorders>
            <w:shd w:val="clear" w:color="auto" w:fill="auto"/>
            <w:noWrap/>
          </w:tcPr>
          <w:p w14:paraId="1889D114" w14:textId="2E5B83EE" w:rsidR="0069030B" w:rsidRPr="001026F1" w:rsidRDefault="0069030B" w:rsidP="00C8178A">
            <w:pPr>
              <w:pStyle w:val="TableText"/>
              <w:keepNext/>
              <w:jc w:val="right"/>
            </w:pPr>
            <w:r w:rsidRPr="00B82537">
              <w:t>$2.03</w:t>
            </w:r>
          </w:p>
        </w:tc>
        <w:tc>
          <w:tcPr>
            <w:tcW w:w="707" w:type="pct"/>
            <w:tcBorders>
              <w:left w:val="single" w:sz="4" w:space="0" w:color="auto"/>
              <w:right w:val="single" w:sz="4" w:space="0" w:color="auto"/>
            </w:tcBorders>
            <w:shd w:val="clear" w:color="auto" w:fill="auto"/>
            <w:noWrap/>
          </w:tcPr>
          <w:p w14:paraId="7A269805" w14:textId="624E65BA" w:rsidR="0069030B" w:rsidRPr="001026F1" w:rsidRDefault="0069030B" w:rsidP="00C8178A">
            <w:pPr>
              <w:pStyle w:val="TableText"/>
              <w:keepNext/>
              <w:jc w:val="right"/>
            </w:pPr>
            <w:r w:rsidRPr="00B82537">
              <w:t>0.00003</w:t>
            </w:r>
          </w:p>
        </w:tc>
        <w:tc>
          <w:tcPr>
            <w:tcW w:w="708" w:type="pct"/>
            <w:tcBorders>
              <w:left w:val="single" w:sz="4" w:space="0" w:color="auto"/>
              <w:right w:val="single" w:sz="4" w:space="0" w:color="auto"/>
            </w:tcBorders>
            <w:shd w:val="clear" w:color="auto" w:fill="auto"/>
            <w:noWrap/>
          </w:tcPr>
          <w:p w14:paraId="35A2FB04" w14:textId="74B1D3CE" w:rsidR="0069030B" w:rsidRPr="001026F1" w:rsidRDefault="0069030B" w:rsidP="00C8178A">
            <w:pPr>
              <w:pStyle w:val="TableText"/>
              <w:keepNext/>
              <w:jc w:val="right"/>
            </w:pPr>
            <w:r w:rsidRPr="00B82537">
              <w:t>$68,643</w:t>
            </w:r>
          </w:p>
        </w:tc>
        <w:tc>
          <w:tcPr>
            <w:tcW w:w="600" w:type="pct"/>
            <w:tcBorders>
              <w:left w:val="single" w:sz="4" w:space="0" w:color="auto"/>
              <w:right w:val="single" w:sz="4" w:space="0" w:color="auto"/>
            </w:tcBorders>
          </w:tcPr>
          <w:p w14:paraId="4884A464" w14:textId="5358758D" w:rsidR="0069030B" w:rsidRPr="002D2A94" w:rsidRDefault="0069030B" w:rsidP="00C8178A">
            <w:pPr>
              <w:pStyle w:val="TableText"/>
              <w:keepNext/>
              <w:jc w:val="right"/>
            </w:pPr>
            <w:r w:rsidRPr="00B82537">
              <w:t>459%</w:t>
            </w:r>
          </w:p>
        </w:tc>
      </w:tr>
      <w:tr w:rsidR="0069030B" w:rsidRPr="002D2A94" w14:paraId="75B0FAB0" w14:textId="77777777" w:rsidTr="00464F35">
        <w:trPr>
          <w:trHeight w:val="279"/>
        </w:trPr>
        <w:tc>
          <w:tcPr>
            <w:tcW w:w="2278" w:type="pct"/>
            <w:shd w:val="clear" w:color="auto" w:fill="auto"/>
            <w:noWrap/>
          </w:tcPr>
          <w:p w14:paraId="68EA308C" w14:textId="143E6FA8" w:rsidR="0069030B" w:rsidRPr="0003061A" w:rsidRDefault="0069030B" w:rsidP="00C8178A">
            <w:pPr>
              <w:pStyle w:val="TableText"/>
              <w:keepNext/>
            </w:pPr>
            <w:r>
              <w:t>8.6 per 100,000</w:t>
            </w:r>
            <w:r w:rsidR="00143C51">
              <w:t xml:space="preserve"> births</w:t>
            </w:r>
          </w:p>
        </w:tc>
        <w:tc>
          <w:tcPr>
            <w:tcW w:w="707" w:type="pct"/>
            <w:tcBorders>
              <w:right w:val="single" w:sz="4" w:space="0" w:color="auto"/>
            </w:tcBorders>
            <w:shd w:val="clear" w:color="auto" w:fill="auto"/>
            <w:noWrap/>
          </w:tcPr>
          <w:p w14:paraId="7B556B0F" w14:textId="0B86E31A" w:rsidR="0069030B" w:rsidRPr="002D2A94" w:rsidRDefault="0069030B" w:rsidP="00C8178A">
            <w:pPr>
              <w:pStyle w:val="TableText"/>
              <w:keepNext/>
              <w:jc w:val="right"/>
            </w:pPr>
            <w:r w:rsidRPr="00B82537">
              <w:t>$2.05</w:t>
            </w:r>
          </w:p>
        </w:tc>
        <w:tc>
          <w:tcPr>
            <w:tcW w:w="707" w:type="pct"/>
            <w:tcBorders>
              <w:left w:val="single" w:sz="4" w:space="0" w:color="auto"/>
              <w:right w:val="single" w:sz="4" w:space="0" w:color="auto"/>
            </w:tcBorders>
            <w:shd w:val="clear" w:color="auto" w:fill="auto"/>
            <w:noWrap/>
          </w:tcPr>
          <w:p w14:paraId="16F9167D" w14:textId="645B1885" w:rsidR="0069030B" w:rsidRPr="002D2A94" w:rsidRDefault="0069030B" w:rsidP="00C8178A">
            <w:pPr>
              <w:pStyle w:val="TableText"/>
              <w:keepNext/>
              <w:jc w:val="right"/>
            </w:pPr>
            <w:r w:rsidRPr="00B82537">
              <w:t>0.00004</w:t>
            </w:r>
          </w:p>
        </w:tc>
        <w:tc>
          <w:tcPr>
            <w:tcW w:w="708" w:type="pct"/>
            <w:tcBorders>
              <w:left w:val="single" w:sz="4" w:space="0" w:color="auto"/>
              <w:right w:val="single" w:sz="4" w:space="0" w:color="auto"/>
            </w:tcBorders>
            <w:shd w:val="clear" w:color="auto" w:fill="auto"/>
            <w:noWrap/>
          </w:tcPr>
          <w:p w14:paraId="6CE06C95" w14:textId="49F75889" w:rsidR="0069030B" w:rsidRPr="002D2A94" w:rsidRDefault="0069030B" w:rsidP="00C8178A">
            <w:pPr>
              <w:pStyle w:val="TableText"/>
              <w:keepNext/>
              <w:jc w:val="right"/>
            </w:pPr>
            <w:r w:rsidRPr="00B82537">
              <w:t>$45,835</w:t>
            </w:r>
          </w:p>
        </w:tc>
        <w:tc>
          <w:tcPr>
            <w:tcW w:w="600" w:type="pct"/>
            <w:tcBorders>
              <w:left w:val="single" w:sz="4" w:space="0" w:color="auto"/>
              <w:right w:val="single" w:sz="4" w:space="0" w:color="auto"/>
            </w:tcBorders>
          </w:tcPr>
          <w:p w14:paraId="78B292A7" w14:textId="43BC517D" w:rsidR="0069030B" w:rsidRPr="002D2A94" w:rsidRDefault="0069030B" w:rsidP="00C8178A">
            <w:pPr>
              <w:pStyle w:val="TableText"/>
              <w:keepNext/>
              <w:jc w:val="right"/>
            </w:pPr>
            <w:r w:rsidRPr="00B82537">
              <w:t>273%</w:t>
            </w:r>
          </w:p>
        </w:tc>
      </w:tr>
      <w:tr w:rsidR="001A38D3" w:rsidRPr="00294FF2" w14:paraId="751F7710" w14:textId="77777777">
        <w:trPr>
          <w:trHeight w:val="279"/>
        </w:trPr>
        <w:tc>
          <w:tcPr>
            <w:tcW w:w="5000" w:type="pct"/>
            <w:gridSpan w:val="5"/>
            <w:shd w:val="clear" w:color="auto" w:fill="auto"/>
            <w:noWrap/>
            <w:vAlign w:val="center"/>
            <w:hideMark/>
          </w:tcPr>
          <w:p w14:paraId="7E754D32" w14:textId="1A65F26D" w:rsidR="001A38D3" w:rsidRPr="00C8178A" w:rsidRDefault="00986CF2" w:rsidP="00C8178A">
            <w:pPr>
              <w:pStyle w:val="TableText"/>
              <w:keepNext/>
              <w:rPr>
                <w:b/>
              </w:rPr>
            </w:pPr>
            <w:r w:rsidRPr="00C8178A">
              <w:rPr>
                <w:b/>
              </w:rPr>
              <w:t>Proportion of cases identified through targeted testing (</w:t>
            </w:r>
            <w:r w:rsidR="00462653">
              <w:rPr>
                <w:b/>
              </w:rPr>
              <w:t xml:space="preserve">base case: </w:t>
            </w:r>
            <w:r w:rsidRPr="00C8178A">
              <w:rPr>
                <w:b/>
              </w:rPr>
              <w:t>47.7%)</w:t>
            </w:r>
          </w:p>
        </w:tc>
      </w:tr>
      <w:tr w:rsidR="00050982" w:rsidRPr="002D2A94" w14:paraId="55D933D9" w14:textId="77777777" w:rsidTr="00464F35">
        <w:trPr>
          <w:trHeight w:val="279"/>
        </w:trPr>
        <w:tc>
          <w:tcPr>
            <w:tcW w:w="2278" w:type="pct"/>
            <w:shd w:val="clear" w:color="auto" w:fill="auto"/>
            <w:noWrap/>
          </w:tcPr>
          <w:p w14:paraId="403C2076" w14:textId="0860AB28" w:rsidR="00050982" w:rsidRDefault="00050982" w:rsidP="00C8178A">
            <w:pPr>
              <w:pStyle w:val="TableText"/>
              <w:keepNext/>
            </w:pPr>
            <w:r>
              <w:t>0%</w:t>
            </w:r>
          </w:p>
        </w:tc>
        <w:tc>
          <w:tcPr>
            <w:tcW w:w="707" w:type="pct"/>
            <w:tcBorders>
              <w:right w:val="single" w:sz="4" w:space="0" w:color="auto"/>
            </w:tcBorders>
            <w:shd w:val="clear" w:color="auto" w:fill="auto"/>
            <w:noWrap/>
          </w:tcPr>
          <w:p w14:paraId="5DB615E6" w14:textId="3DDB00AC" w:rsidR="00050982" w:rsidRPr="004712F7" w:rsidRDefault="00050982" w:rsidP="00C8178A">
            <w:pPr>
              <w:pStyle w:val="TableText"/>
              <w:keepNext/>
              <w:jc w:val="right"/>
            </w:pPr>
            <w:r w:rsidRPr="00124110">
              <w:t>$2.34</w:t>
            </w:r>
          </w:p>
        </w:tc>
        <w:tc>
          <w:tcPr>
            <w:tcW w:w="707" w:type="pct"/>
            <w:tcBorders>
              <w:left w:val="single" w:sz="4" w:space="0" w:color="auto"/>
              <w:right w:val="single" w:sz="4" w:space="0" w:color="auto"/>
            </w:tcBorders>
            <w:shd w:val="clear" w:color="auto" w:fill="auto"/>
            <w:noWrap/>
          </w:tcPr>
          <w:p w14:paraId="2D72F9E3" w14:textId="70F482EE" w:rsidR="00050982" w:rsidRPr="004712F7" w:rsidRDefault="00050982" w:rsidP="00C8178A">
            <w:pPr>
              <w:pStyle w:val="TableText"/>
              <w:keepNext/>
              <w:jc w:val="right"/>
            </w:pPr>
            <w:r w:rsidRPr="00124110">
              <w:t>0.00034</w:t>
            </w:r>
          </w:p>
        </w:tc>
        <w:tc>
          <w:tcPr>
            <w:tcW w:w="708" w:type="pct"/>
            <w:tcBorders>
              <w:left w:val="single" w:sz="4" w:space="0" w:color="auto"/>
              <w:right w:val="single" w:sz="4" w:space="0" w:color="auto"/>
            </w:tcBorders>
            <w:shd w:val="clear" w:color="auto" w:fill="auto"/>
            <w:noWrap/>
          </w:tcPr>
          <w:p w14:paraId="2EE9516F" w14:textId="64130163" w:rsidR="00050982" w:rsidRPr="004712F7" w:rsidRDefault="00050982" w:rsidP="00C8178A">
            <w:pPr>
              <w:pStyle w:val="TableText"/>
              <w:keepNext/>
              <w:jc w:val="right"/>
            </w:pPr>
            <w:r w:rsidRPr="00124110">
              <w:t>$6,902</w:t>
            </w:r>
          </w:p>
        </w:tc>
        <w:tc>
          <w:tcPr>
            <w:tcW w:w="600" w:type="pct"/>
            <w:tcBorders>
              <w:left w:val="single" w:sz="4" w:space="0" w:color="auto"/>
              <w:right w:val="single" w:sz="4" w:space="0" w:color="auto"/>
            </w:tcBorders>
          </w:tcPr>
          <w:p w14:paraId="47E5CC3E" w14:textId="6BAEB78E" w:rsidR="00050982" w:rsidRPr="004712F7" w:rsidRDefault="00050982" w:rsidP="00C8178A">
            <w:pPr>
              <w:pStyle w:val="TableText"/>
              <w:keepNext/>
              <w:jc w:val="right"/>
            </w:pPr>
            <w:r w:rsidRPr="00124110">
              <w:t>−44%</w:t>
            </w:r>
          </w:p>
        </w:tc>
      </w:tr>
      <w:tr w:rsidR="00050982" w:rsidRPr="002D2A94" w14:paraId="72158CE8" w14:textId="77777777" w:rsidTr="00464F35">
        <w:trPr>
          <w:trHeight w:val="279"/>
        </w:trPr>
        <w:tc>
          <w:tcPr>
            <w:tcW w:w="2278" w:type="pct"/>
            <w:shd w:val="clear" w:color="auto" w:fill="auto"/>
            <w:noWrap/>
          </w:tcPr>
          <w:p w14:paraId="24A73984" w14:textId="6F6DFAA8" w:rsidR="00050982" w:rsidRDefault="00050982" w:rsidP="00C8178A">
            <w:pPr>
              <w:pStyle w:val="TableText"/>
              <w:keepNext/>
            </w:pPr>
            <w:r>
              <w:t>25%</w:t>
            </w:r>
          </w:p>
        </w:tc>
        <w:tc>
          <w:tcPr>
            <w:tcW w:w="707" w:type="pct"/>
            <w:tcBorders>
              <w:right w:val="single" w:sz="4" w:space="0" w:color="auto"/>
            </w:tcBorders>
            <w:shd w:val="clear" w:color="auto" w:fill="auto"/>
            <w:noWrap/>
          </w:tcPr>
          <w:p w14:paraId="3E563C7E" w14:textId="1D102C8D" w:rsidR="00050982" w:rsidRPr="00CF219E" w:rsidRDefault="00050982" w:rsidP="00C8178A">
            <w:pPr>
              <w:pStyle w:val="TableText"/>
              <w:keepNext/>
              <w:jc w:val="right"/>
            </w:pPr>
            <w:r w:rsidRPr="00124110">
              <w:t>$2.26</w:t>
            </w:r>
          </w:p>
        </w:tc>
        <w:tc>
          <w:tcPr>
            <w:tcW w:w="707" w:type="pct"/>
            <w:tcBorders>
              <w:left w:val="single" w:sz="4" w:space="0" w:color="auto"/>
              <w:right w:val="single" w:sz="4" w:space="0" w:color="auto"/>
            </w:tcBorders>
            <w:shd w:val="clear" w:color="auto" w:fill="auto"/>
            <w:noWrap/>
          </w:tcPr>
          <w:p w14:paraId="0D5B88D1" w14:textId="11C4D874" w:rsidR="00050982" w:rsidRPr="00CF219E" w:rsidRDefault="00050982" w:rsidP="00C8178A">
            <w:pPr>
              <w:pStyle w:val="TableText"/>
              <w:keepNext/>
              <w:jc w:val="right"/>
            </w:pPr>
            <w:r w:rsidRPr="00124110">
              <w:t>0.00025</w:t>
            </w:r>
          </w:p>
        </w:tc>
        <w:tc>
          <w:tcPr>
            <w:tcW w:w="708" w:type="pct"/>
            <w:tcBorders>
              <w:left w:val="single" w:sz="4" w:space="0" w:color="auto"/>
              <w:right w:val="single" w:sz="4" w:space="0" w:color="auto"/>
            </w:tcBorders>
            <w:shd w:val="clear" w:color="auto" w:fill="auto"/>
            <w:noWrap/>
          </w:tcPr>
          <w:p w14:paraId="0B9C61A4" w14:textId="5BCE1137" w:rsidR="00050982" w:rsidRPr="00CF219E" w:rsidRDefault="00050982" w:rsidP="00C8178A">
            <w:pPr>
              <w:pStyle w:val="TableText"/>
              <w:keepNext/>
              <w:jc w:val="right"/>
            </w:pPr>
            <w:r w:rsidRPr="00124110">
              <w:t>$8,867</w:t>
            </w:r>
          </w:p>
        </w:tc>
        <w:tc>
          <w:tcPr>
            <w:tcW w:w="600" w:type="pct"/>
            <w:tcBorders>
              <w:left w:val="single" w:sz="4" w:space="0" w:color="auto"/>
              <w:right w:val="single" w:sz="4" w:space="0" w:color="auto"/>
            </w:tcBorders>
          </w:tcPr>
          <w:p w14:paraId="095A8E66" w14:textId="7B4A0A6E" w:rsidR="00050982" w:rsidRPr="00CF219E" w:rsidRDefault="00050982" w:rsidP="00C8178A">
            <w:pPr>
              <w:pStyle w:val="TableText"/>
              <w:keepNext/>
              <w:jc w:val="right"/>
            </w:pPr>
            <w:r w:rsidRPr="00124110">
              <w:t>−28%</w:t>
            </w:r>
          </w:p>
        </w:tc>
      </w:tr>
      <w:tr w:rsidR="00050982" w:rsidRPr="002D2A94" w14:paraId="3CB350BE" w14:textId="77777777" w:rsidTr="00464F35">
        <w:trPr>
          <w:trHeight w:val="279"/>
        </w:trPr>
        <w:tc>
          <w:tcPr>
            <w:tcW w:w="2278" w:type="pct"/>
            <w:shd w:val="clear" w:color="auto" w:fill="auto"/>
            <w:noWrap/>
          </w:tcPr>
          <w:p w14:paraId="23D3F50D" w14:textId="3038372F" w:rsidR="00050982" w:rsidRDefault="00050982" w:rsidP="00C8178A">
            <w:pPr>
              <w:pStyle w:val="TableText"/>
              <w:keepNext/>
            </w:pPr>
            <w:r>
              <w:t>65%</w:t>
            </w:r>
          </w:p>
        </w:tc>
        <w:tc>
          <w:tcPr>
            <w:tcW w:w="707" w:type="pct"/>
            <w:tcBorders>
              <w:right w:val="single" w:sz="4" w:space="0" w:color="auto"/>
            </w:tcBorders>
            <w:shd w:val="clear" w:color="auto" w:fill="auto"/>
            <w:noWrap/>
          </w:tcPr>
          <w:p w14:paraId="156CAD58" w14:textId="405EF252" w:rsidR="00050982" w:rsidRPr="002D2A94" w:rsidRDefault="00050982" w:rsidP="00C8178A">
            <w:pPr>
              <w:pStyle w:val="TableText"/>
              <w:keepNext/>
              <w:jc w:val="right"/>
            </w:pPr>
            <w:r w:rsidRPr="00124110">
              <w:t>$2.12</w:t>
            </w:r>
          </w:p>
        </w:tc>
        <w:tc>
          <w:tcPr>
            <w:tcW w:w="707" w:type="pct"/>
            <w:tcBorders>
              <w:left w:val="single" w:sz="4" w:space="0" w:color="auto"/>
              <w:right w:val="single" w:sz="4" w:space="0" w:color="auto"/>
            </w:tcBorders>
            <w:shd w:val="clear" w:color="auto" w:fill="auto"/>
            <w:noWrap/>
          </w:tcPr>
          <w:p w14:paraId="0542D699" w14:textId="5E5E5A4A" w:rsidR="00050982" w:rsidRPr="002D2A94" w:rsidRDefault="00050982" w:rsidP="00C8178A">
            <w:pPr>
              <w:pStyle w:val="TableText"/>
              <w:keepNext/>
              <w:jc w:val="right"/>
            </w:pPr>
            <w:r w:rsidRPr="00124110">
              <w:t>0.00012</w:t>
            </w:r>
          </w:p>
        </w:tc>
        <w:tc>
          <w:tcPr>
            <w:tcW w:w="708" w:type="pct"/>
            <w:tcBorders>
              <w:left w:val="single" w:sz="4" w:space="0" w:color="auto"/>
              <w:right w:val="single" w:sz="4" w:space="0" w:color="auto"/>
            </w:tcBorders>
            <w:shd w:val="clear" w:color="auto" w:fill="auto"/>
            <w:noWrap/>
          </w:tcPr>
          <w:p w14:paraId="702F65F3" w14:textId="6A34A005" w:rsidR="00050982" w:rsidRPr="002D2A94" w:rsidRDefault="00050982" w:rsidP="00C8178A">
            <w:pPr>
              <w:pStyle w:val="TableText"/>
              <w:keepNext/>
              <w:jc w:val="right"/>
            </w:pPr>
            <w:r w:rsidRPr="00124110">
              <w:t>$17,850</w:t>
            </w:r>
          </w:p>
        </w:tc>
        <w:tc>
          <w:tcPr>
            <w:tcW w:w="600" w:type="pct"/>
            <w:tcBorders>
              <w:left w:val="single" w:sz="4" w:space="0" w:color="auto"/>
              <w:right w:val="single" w:sz="4" w:space="0" w:color="auto"/>
            </w:tcBorders>
          </w:tcPr>
          <w:p w14:paraId="65670839" w14:textId="13633B01" w:rsidR="00050982" w:rsidRPr="002D2A94" w:rsidRDefault="00050982" w:rsidP="00C8178A">
            <w:pPr>
              <w:pStyle w:val="TableText"/>
              <w:keepNext/>
              <w:jc w:val="right"/>
            </w:pPr>
            <w:r w:rsidRPr="00124110">
              <w:t>45%</w:t>
            </w:r>
          </w:p>
        </w:tc>
      </w:tr>
      <w:tr w:rsidR="00050982" w:rsidRPr="002D2A94" w14:paraId="044B45E7" w14:textId="77777777" w:rsidTr="00464F35">
        <w:trPr>
          <w:trHeight w:val="279"/>
        </w:trPr>
        <w:tc>
          <w:tcPr>
            <w:tcW w:w="2278" w:type="pct"/>
            <w:shd w:val="clear" w:color="auto" w:fill="auto"/>
            <w:noWrap/>
          </w:tcPr>
          <w:p w14:paraId="1BFB18AB" w14:textId="4112ED46" w:rsidR="00050982" w:rsidRDefault="00050982" w:rsidP="00C8178A">
            <w:pPr>
              <w:pStyle w:val="TableText"/>
              <w:keepNext/>
            </w:pPr>
            <w:r>
              <w:t>75%</w:t>
            </w:r>
          </w:p>
        </w:tc>
        <w:tc>
          <w:tcPr>
            <w:tcW w:w="707" w:type="pct"/>
            <w:tcBorders>
              <w:right w:val="single" w:sz="4" w:space="0" w:color="auto"/>
            </w:tcBorders>
            <w:shd w:val="clear" w:color="auto" w:fill="auto"/>
            <w:noWrap/>
          </w:tcPr>
          <w:p w14:paraId="0AEE1604" w14:textId="5A3DD27B" w:rsidR="00050982" w:rsidRPr="00CF219E" w:rsidRDefault="00050982" w:rsidP="00C8178A">
            <w:pPr>
              <w:pStyle w:val="TableText"/>
              <w:keepNext/>
              <w:jc w:val="right"/>
            </w:pPr>
            <w:r w:rsidRPr="00124110">
              <w:t>$2.09</w:t>
            </w:r>
          </w:p>
        </w:tc>
        <w:tc>
          <w:tcPr>
            <w:tcW w:w="707" w:type="pct"/>
            <w:tcBorders>
              <w:left w:val="single" w:sz="4" w:space="0" w:color="auto"/>
              <w:right w:val="single" w:sz="4" w:space="0" w:color="auto"/>
            </w:tcBorders>
            <w:shd w:val="clear" w:color="auto" w:fill="auto"/>
            <w:noWrap/>
          </w:tcPr>
          <w:p w14:paraId="6ACF4C46" w14:textId="46B670DE" w:rsidR="00050982" w:rsidRPr="00CF219E" w:rsidRDefault="00050982" w:rsidP="00C8178A">
            <w:pPr>
              <w:pStyle w:val="TableText"/>
              <w:keepNext/>
              <w:jc w:val="right"/>
            </w:pPr>
            <w:r w:rsidRPr="00124110">
              <w:t>0.00008</w:t>
            </w:r>
          </w:p>
        </w:tc>
        <w:tc>
          <w:tcPr>
            <w:tcW w:w="708" w:type="pct"/>
            <w:tcBorders>
              <w:left w:val="single" w:sz="4" w:space="0" w:color="auto"/>
              <w:right w:val="single" w:sz="4" w:space="0" w:color="auto"/>
            </w:tcBorders>
            <w:shd w:val="clear" w:color="auto" w:fill="auto"/>
            <w:noWrap/>
          </w:tcPr>
          <w:p w14:paraId="2DAE1BCE" w14:textId="1BA98769" w:rsidR="00050982" w:rsidRPr="00CF219E" w:rsidRDefault="00050982" w:rsidP="00C8178A">
            <w:pPr>
              <w:pStyle w:val="TableText"/>
              <w:keepNext/>
              <w:jc w:val="right"/>
            </w:pPr>
            <w:r w:rsidRPr="00124110">
              <w:t>$24,587</w:t>
            </w:r>
          </w:p>
        </w:tc>
        <w:tc>
          <w:tcPr>
            <w:tcW w:w="600" w:type="pct"/>
            <w:tcBorders>
              <w:left w:val="single" w:sz="4" w:space="0" w:color="auto"/>
              <w:right w:val="single" w:sz="4" w:space="0" w:color="auto"/>
            </w:tcBorders>
          </w:tcPr>
          <w:p w14:paraId="0B6D89C7" w14:textId="46B8F76F" w:rsidR="00050982" w:rsidRPr="00CF219E" w:rsidRDefault="00050982" w:rsidP="00C8178A">
            <w:pPr>
              <w:pStyle w:val="TableText"/>
              <w:keepNext/>
              <w:jc w:val="right"/>
            </w:pPr>
            <w:r w:rsidRPr="00124110">
              <w:t>100%</w:t>
            </w:r>
          </w:p>
        </w:tc>
      </w:tr>
      <w:tr w:rsidR="00050982" w:rsidRPr="002D2A94" w14:paraId="5B5966C5" w14:textId="77777777" w:rsidTr="00464F35">
        <w:trPr>
          <w:trHeight w:val="279"/>
        </w:trPr>
        <w:tc>
          <w:tcPr>
            <w:tcW w:w="2278" w:type="pct"/>
            <w:shd w:val="clear" w:color="auto" w:fill="auto"/>
            <w:noWrap/>
          </w:tcPr>
          <w:p w14:paraId="7F97497B" w14:textId="474B505B" w:rsidR="00050982" w:rsidRPr="0003061A" w:rsidRDefault="00050982" w:rsidP="00C8178A">
            <w:pPr>
              <w:pStyle w:val="TableText"/>
              <w:keepNext/>
            </w:pPr>
            <w:r>
              <w:t>85%</w:t>
            </w:r>
          </w:p>
        </w:tc>
        <w:tc>
          <w:tcPr>
            <w:tcW w:w="707" w:type="pct"/>
            <w:tcBorders>
              <w:right w:val="single" w:sz="4" w:space="0" w:color="auto"/>
            </w:tcBorders>
            <w:shd w:val="clear" w:color="auto" w:fill="auto"/>
            <w:noWrap/>
          </w:tcPr>
          <w:p w14:paraId="69EAFC93" w14:textId="33B4D8B5" w:rsidR="00050982" w:rsidRPr="002D2A94" w:rsidRDefault="00050982" w:rsidP="00C8178A">
            <w:pPr>
              <w:pStyle w:val="TableText"/>
              <w:keepNext/>
              <w:jc w:val="right"/>
            </w:pPr>
            <w:r w:rsidRPr="00124110">
              <w:t>$2.05</w:t>
            </w:r>
          </w:p>
        </w:tc>
        <w:tc>
          <w:tcPr>
            <w:tcW w:w="707" w:type="pct"/>
            <w:tcBorders>
              <w:left w:val="single" w:sz="4" w:space="0" w:color="auto"/>
              <w:right w:val="single" w:sz="4" w:space="0" w:color="auto"/>
            </w:tcBorders>
            <w:shd w:val="clear" w:color="auto" w:fill="auto"/>
            <w:noWrap/>
          </w:tcPr>
          <w:p w14:paraId="76E88E35" w14:textId="29F83E35" w:rsidR="00050982" w:rsidRPr="002D2A94" w:rsidRDefault="00050982" w:rsidP="00C8178A">
            <w:pPr>
              <w:pStyle w:val="TableText"/>
              <w:keepNext/>
              <w:jc w:val="right"/>
            </w:pPr>
            <w:r w:rsidRPr="00124110">
              <w:t>0.00005</w:t>
            </w:r>
          </w:p>
        </w:tc>
        <w:tc>
          <w:tcPr>
            <w:tcW w:w="708" w:type="pct"/>
            <w:tcBorders>
              <w:left w:val="single" w:sz="4" w:space="0" w:color="auto"/>
              <w:right w:val="single" w:sz="4" w:space="0" w:color="auto"/>
            </w:tcBorders>
            <w:shd w:val="clear" w:color="auto" w:fill="auto"/>
            <w:noWrap/>
          </w:tcPr>
          <w:p w14:paraId="52A47C4B" w14:textId="7EBD4D72" w:rsidR="00050982" w:rsidRPr="002D2A94" w:rsidRDefault="00050982" w:rsidP="00C8178A">
            <w:pPr>
              <w:pStyle w:val="TableText"/>
              <w:keepNext/>
              <w:jc w:val="right"/>
            </w:pPr>
            <w:r w:rsidRPr="00124110">
              <w:t>$40,306</w:t>
            </w:r>
          </w:p>
        </w:tc>
        <w:tc>
          <w:tcPr>
            <w:tcW w:w="600" w:type="pct"/>
            <w:tcBorders>
              <w:left w:val="single" w:sz="4" w:space="0" w:color="auto"/>
              <w:right w:val="single" w:sz="4" w:space="0" w:color="auto"/>
            </w:tcBorders>
          </w:tcPr>
          <w:p w14:paraId="0B411899" w14:textId="23099C64" w:rsidR="00050982" w:rsidRPr="002D2A94" w:rsidRDefault="00050982" w:rsidP="00C8178A">
            <w:pPr>
              <w:pStyle w:val="TableText"/>
              <w:keepNext/>
              <w:jc w:val="right"/>
            </w:pPr>
            <w:r w:rsidRPr="00124110">
              <w:t>228%</w:t>
            </w:r>
          </w:p>
        </w:tc>
      </w:tr>
      <w:tr w:rsidR="00050982" w:rsidRPr="002D2A94" w14:paraId="3728FCDA" w14:textId="77777777" w:rsidTr="00464F35">
        <w:trPr>
          <w:trHeight w:val="279"/>
        </w:trPr>
        <w:tc>
          <w:tcPr>
            <w:tcW w:w="2278" w:type="pct"/>
            <w:shd w:val="clear" w:color="auto" w:fill="auto"/>
            <w:noWrap/>
          </w:tcPr>
          <w:p w14:paraId="450E233B" w14:textId="45D3AFC2" w:rsidR="00050982" w:rsidRDefault="00050982" w:rsidP="00C8178A">
            <w:pPr>
              <w:pStyle w:val="TableText"/>
              <w:keepNext/>
            </w:pPr>
            <w:r>
              <w:t>95%</w:t>
            </w:r>
          </w:p>
        </w:tc>
        <w:tc>
          <w:tcPr>
            <w:tcW w:w="707" w:type="pct"/>
            <w:tcBorders>
              <w:right w:val="single" w:sz="4" w:space="0" w:color="auto"/>
            </w:tcBorders>
            <w:shd w:val="clear" w:color="auto" w:fill="auto"/>
            <w:noWrap/>
          </w:tcPr>
          <w:p w14:paraId="4A6A7622" w14:textId="0FFCD33A" w:rsidR="00050982" w:rsidRPr="00CF219E" w:rsidRDefault="00050982" w:rsidP="00C8178A">
            <w:pPr>
              <w:pStyle w:val="TableText"/>
              <w:keepNext/>
              <w:jc w:val="right"/>
            </w:pPr>
            <w:r w:rsidRPr="00124110">
              <w:t>$2.02</w:t>
            </w:r>
          </w:p>
        </w:tc>
        <w:tc>
          <w:tcPr>
            <w:tcW w:w="707" w:type="pct"/>
            <w:tcBorders>
              <w:left w:val="single" w:sz="4" w:space="0" w:color="auto"/>
              <w:right w:val="single" w:sz="4" w:space="0" w:color="auto"/>
            </w:tcBorders>
            <w:shd w:val="clear" w:color="auto" w:fill="auto"/>
            <w:noWrap/>
          </w:tcPr>
          <w:p w14:paraId="7142DF2C" w14:textId="3FC8B9E3" w:rsidR="00050982" w:rsidRPr="00CF219E" w:rsidRDefault="00050982" w:rsidP="00C8178A">
            <w:pPr>
              <w:pStyle w:val="TableText"/>
              <w:keepNext/>
              <w:jc w:val="right"/>
            </w:pPr>
            <w:r w:rsidRPr="00124110">
              <w:t>0.00002</w:t>
            </w:r>
          </w:p>
        </w:tc>
        <w:tc>
          <w:tcPr>
            <w:tcW w:w="708" w:type="pct"/>
            <w:tcBorders>
              <w:left w:val="single" w:sz="4" w:space="0" w:color="auto"/>
              <w:right w:val="single" w:sz="4" w:space="0" w:color="auto"/>
            </w:tcBorders>
            <w:shd w:val="clear" w:color="auto" w:fill="auto"/>
            <w:noWrap/>
          </w:tcPr>
          <w:p w14:paraId="2D789F9C" w14:textId="3BC2EEB3" w:rsidR="00050982" w:rsidRPr="00CF219E" w:rsidRDefault="00050982" w:rsidP="00C8178A">
            <w:pPr>
              <w:pStyle w:val="TableText"/>
              <w:keepNext/>
              <w:jc w:val="right"/>
            </w:pPr>
            <w:r w:rsidRPr="00124110">
              <w:t>$118,903</w:t>
            </w:r>
          </w:p>
        </w:tc>
        <w:tc>
          <w:tcPr>
            <w:tcW w:w="600" w:type="pct"/>
            <w:tcBorders>
              <w:left w:val="single" w:sz="4" w:space="0" w:color="auto"/>
              <w:right w:val="single" w:sz="4" w:space="0" w:color="auto"/>
            </w:tcBorders>
          </w:tcPr>
          <w:p w14:paraId="078FEAA2" w14:textId="423EC334" w:rsidR="00050982" w:rsidRPr="00CF219E" w:rsidRDefault="00050982" w:rsidP="00C8178A">
            <w:pPr>
              <w:pStyle w:val="TableText"/>
              <w:keepNext/>
              <w:jc w:val="right"/>
            </w:pPr>
            <w:r w:rsidRPr="00124110">
              <w:t>868%</w:t>
            </w:r>
          </w:p>
        </w:tc>
      </w:tr>
      <w:tr w:rsidR="00050982" w:rsidRPr="002D2A94" w14:paraId="42D13DF0" w14:textId="77777777" w:rsidTr="00464F35">
        <w:trPr>
          <w:trHeight w:val="279"/>
        </w:trPr>
        <w:tc>
          <w:tcPr>
            <w:tcW w:w="2278" w:type="pct"/>
            <w:shd w:val="clear" w:color="auto" w:fill="auto"/>
            <w:noWrap/>
          </w:tcPr>
          <w:p w14:paraId="4648057C" w14:textId="4485C604" w:rsidR="00050982" w:rsidRDefault="00050982" w:rsidP="00C8178A">
            <w:pPr>
              <w:pStyle w:val="TableText"/>
              <w:keepNext/>
            </w:pPr>
            <w:r>
              <w:t>99%</w:t>
            </w:r>
          </w:p>
        </w:tc>
        <w:tc>
          <w:tcPr>
            <w:tcW w:w="707" w:type="pct"/>
            <w:tcBorders>
              <w:right w:val="single" w:sz="4" w:space="0" w:color="auto"/>
            </w:tcBorders>
            <w:shd w:val="clear" w:color="auto" w:fill="auto"/>
            <w:noWrap/>
          </w:tcPr>
          <w:p w14:paraId="54074282" w14:textId="565B9C55" w:rsidR="00050982" w:rsidRPr="00CF219E" w:rsidRDefault="00050982" w:rsidP="00C8178A">
            <w:pPr>
              <w:pStyle w:val="TableText"/>
              <w:keepNext/>
              <w:jc w:val="right"/>
            </w:pPr>
            <w:r w:rsidRPr="00124110">
              <w:t>$2.01</w:t>
            </w:r>
          </w:p>
        </w:tc>
        <w:tc>
          <w:tcPr>
            <w:tcW w:w="707" w:type="pct"/>
            <w:tcBorders>
              <w:left w:val="single" w:sz="4" w:space="0" w:color="auto"/>
              <w:right w:val="single" w:sz="4" w:space="0" w:color="auto"/>
            </w:tcBorders>
            <w:shd w:val="clear" w:color="auto" w:fill="auto"/>
            <w:noWrap/>
          </w:tcPr>
          <w:p w14:paraId="358F549C" w14:textId="140ADBEF" w:rsidR="00050982" w:rsidRPr="00CF219E" w:rsidRDefault="00050982" w:rsidP="00C8178A">
            <w:pPr>
              <w:pStyle w:val="TableText"/>
              <w:keepNext/>
              <w:jc w:val="right"/>
            </w:pPr>
            <w:r w:rsidRPr="00124110">
              <w:t>0.00000</w:t>
            </w:r>
          </w:p>
        </w:tc>
        <w:tc>
          <w:tcPr>
            <w:tcW w:w="708" w:type="pct"/>
            <w:tcBorders>
              <w:left w:val="single" w:sz="4" w:space="0" w:color="auto"/>
              <w:right w:val="single" w:sz="4" w:space="0" w:color="auto"/>
            </w:tcBorders>
            <w:shd w:val="clear" w:color="auto" w:fill="auto"/>
            <w:noWrap/>
          </w:tcPr>
          <w:p w14:paraId="56ADC747" w14:textId="53998D40" w:rsidR="00050982" w:rsidRPr="00CF219E" w:rsidRDefault="00050982" w:rsidP="00C8178A">
            <w:pPr>
              <w:pStyle w:val="TableText"/>
              <w:keepNext/>
              <w:jc w:val="right"/>
            </w:pPr>
            <w:r w:rsidRPr="00124110">
              <w:t>$590,488</w:t>
            </w:r>
          </w:p>
        </w:tc>
        <w:tc>
          <w:tcPr>
            <w:tcW w:w="600" w:type="pct"/>
            <w:tcBorders>
              <w:left w:val="single" w:sz="4" w:space="0" w:color="auto"/>
              <w:right w:val="single" w:sz="4" w:space="0" w:color="auto"/>
            </w:tcBorders>
          </w:tcPr>
          <w:p w14:paraId="63C2CA21" w14:textId="797B1379" w:rsidR="00050982" w:rsidRPr="00CF219E" w:rsidRDefault="00050982" w:rsidP="00C8178A">
            <w:pPr>
              <w:pStyle w:val="TableText"/>
              <w:keepNext/>
              <w:jc w:val="right"/>
            </w:pPr>
            <w:r w:rsidRPr="00124110">
              <w:t>4709%</w:t>
            </w:r>
          </w:p>
        </w:tc>
      </w:tr>
    </w:tbl>
    <w:p w14:paraId="01218A8E" w14:textId="683C377B" w:rsidR="00AC3CA4" w:rsidRPr="00C150E7" w:rsidRDefault="00E12BFA" w:rsidP="00AC3CA4">
      <w:pPr>
        <w:pStyle w:val="TableFigureFooter"/>
        <w:rPr>
          <w:rFonts w:eastAsia="Calibri"/>
        </w:rPr>
      </w:pPr>
      <w:r>
        <w:rPr>
          <w:rFonts w:eastAsia="Calibri"/>
        </w:rPr>
        <w:t xml:space="preserve">ESI-MS/MS = </w:t>
      </w:r>
      <w:r w:rsidRPr="00E12BFA">
        <w:rPr>
          <w:rFonts w:eastAsia="Calibri"/>
        </w:rPr>
        <w:t>Electrospray Ionisation tandem mass spectrometry</w:t>
      </w:r>
      <w:r>
        <w:rPr>
          <w:rFonts w:eastAsia="Calibri"/>
        </w:rPr>
        <w:t>;</w:t>
      </w:r>
      <w:r w:rsidRPr="00E12BFA">
        <w:rPr>
          <w:rFonts w:eastAsia="Calibri"/>
        </w:rPr>
        <w:t xml:space="preserve"> </w:t>
      </w:r>
      <w:r w:rsidR="00AC3CA4" w:rsidRPr="0045093D">
        <w:rPr>
          <w:rFonts w:eastAsia="Calibri"/>
        </w:rPr>
        <w:t>ICER = incremental cost-effectiveness ratio</w:t>
      </w:r>
      <w:r w:rsidR="00AC3CA4">
        <w:rPr>
          <w:rFonts w:eastAsia="Calibri"/>
        </w:rPr>
        <w:t>; Inc. = incremental;</w:t>
      </w:r>
      <w:r w:rsidR="00F51CE4">
        <w:t xml:space="preserve"> </w:t>
      </w:r>
      <w:r w:rsidR="00AC3CA4">
        <w:t>SCD = sickle cell disease.</w:t>
      </w:r>
    </w:p>
    <w:p w14:paraId="2CB67B63" w14:textId="2107541F" w:rsidR="0048180E" w:rsidRDefault="0048180E" w:rsidP="0048180E">
      <w:r>
        <w:t>Multivariate analyses were conducted exploring the effect of varying both</w:t>
      </w:r>
      <w:r w:rsidR="00462653">
        <w:t xml:space="preserve"> first-tier</w:t>
      </w:r>
      <w:r>
        <w:t xml:space="preserve"> </w:t>
      </w:r>
      <w:r w:rsidR="000579C7">
        <w:t>ESI-MS/MS</w:t>
      </w:r>
      <w:r>
        <w:t xml:space="preserve"> test cost and SCD incidence</w:t>
      </w:r>
      <w:r w:rsidR="00731961">
        <w:t xml:space="preserve"> (</w:t>
      </w:r>
      <w:r w:rsidR="00F75605">
        <w:rPr>
          <w:highlight w:val="yellow"/>
        </w:rPr>
        <w:fldChar w:fldCharType="begin"/>
      </w:r>
      <w:r w:rsidR="00F75605">
        <w:instrText xml:space="preserve"> REF _Ref149311098 \h </w:instrText>
      </w:r>
      <w:r w:rsidR="00F75605">
        <w:rPr>
          <w:highlight w:val="yellow"/>
        </w:rPr>
      </w:r>
      <w:r w:rsidR="00F75605">
        <w:rPr>
          <w:highlight w:val="yellow"/>
        </w:rPr>
        <w:fldChar w:fldCharType="separate"/>
      </w:r>
      <w:r w:rsidR="007D770C">
        <w:t xml:space="preserve">Figure </w:t>
      </w:r>
      <w:r w:rsidR="007D770C">
        <w:rPr>
          <w:noProof/>
        </w:rPr>
        <w:t>1</w:t>
      </w:r>
      <w:r w:rsidR="00F75605">
        <w:rPr>
          <w:highlight w:val="yellow"/>
        </w:rPr>
        <w:fldChar w:fldCharType="end"/>
      </w:r>
      <w:r w:rsidR="00731961">
        <w:t>)</w:t>
      </w:r>
      <w:r>
        <w:t xml:space="preserve">. </w:t>
      </w:r>
    </w:p>
    <w:p w14:paraId="6DAEE049" w14:textId="763C5D55" w:rsidR="00997023" w:rsidRDefault="00997023" w:rsidP="00997023">
      <w:pPr>
        <w:pStyle w:val="Caption"/>
      </w:pPr>
      <w:bookmarkStart w:id="58" w:name="_Ref149311098"/>
      <w:r>
        <w:t xml:space="preserve">Figure </w:t>
      </w:r>
      <w:r>
        <w:fldChar w:fldCharType="begin"/>
      </w:r>
      <w:r>
        <w:instrText>SEQ Figure \* ARABIC</w:instrText>
      </w:r>
      <w:r>
        <w:fldChar w:fldCharType="separate"/>
      </w:r>
      <w:r w:rsidR="007D770C">
        <w:rPr>
          <w:noProof/>
        </w:rPr>
        <w:t>1</w:t>
      </w:r>
      <w:r>
        <w:fldChar w:fldCharType="end"/>
      </w:r>
      <w:bookmarkEnd w:id="58"/>
      <w:r>
        <w:tab/>
        <w:t xml:space="preserve">Multivariate analyses for the ICER </w:t>
      </w:r>
      <w:r>
        <w:rPr>
          <w:rFonts w:cs="Arial"/>
        </w:rPr>
        <w:t>per additional</w:t>
      </w:r>
      <w:r w:rsidRPr="00CE28E3">
        <w:rPr>
          <w:rFonts w:cs="Arial"/>
        </w:rPr>
        <w:t xml:space="preserve"> </w:t>
      </w:r>
      <w:r>
        <w:rPr>
          <w:rFonts w:cs="Arial"/>
        </w:rPr>
        <w:t xml:space="preserve">case of SCD identified earlier, varying </w:t>
      </w:r>
      <w:r w:rsidR="00462653">
        <w:rPr>
          <w:rFonts w:cs="Arial"/>
        </w:rPr>
        <w:t xml:space="preserve">first-tier </w:t>
      </w:r>
      <w:r w:rsidR="001D0BB0">
        <w:rPr>
          <w:rFonts w:cs="Arial"/>
        </w:rPr>
        <w:t>ESI-MS/MS</w:t>
      </w:r>
      <w:r w:rsidR="00462653">
        <w:rPr>
          <w:rFonts w:cs="Arial"/>
        </w:rPr>
        <w:t xml:space="preserve"> </w:t>
      </w:r>
      <w:r>
        <w:rPr>
          <w:rFonts w:cs="Arial"/>
        </w:rPr>
        <w:t xml:space="preserve">test cost and SCD </w:t>
      </w:r>
      <w:proofErr w:type="gramStart"/>
      <w:r>
        <w:rPr>
          <w:rFonts w:cs="Arial"/>
        </w:rPr>
        <w:t>incidence</w:t>
      </w:r>
      <w:proofErr w:type="gramEnd"/>
    </w:p>
    <w:p w14:paraId="6FA8525D" w14:textId="6352F10F" w:rsidR="0048180E" w:rsidRDefault="003017A7" w:rsidP="0048180E">
      <w:r w:rsidRPr="003017A7">
        <w:rPr>
          <w:noProof/>
        </w:rPr>
        <w:drawing>
          <wp:inline distT="0" distB="0" distL="0" distR="0" wp14:anchorId="47358FFE" wp14:editId="15B3B098">
            <wp:extent cx="5731510" cy="983615"/>
            <wp:effectExtent l="0" t="0" r="2540" b="6985"/>
            <wp:docPr id="420824373" name="Picture 420824373" descr="Multivariate analyses for the ICER per additional case of SCD identified earlier, varying first-tier ESI-MS/MS test cost and SCD inc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24373" name="Picture 420824373" descr="Multivariate analyses for the ICER per additional case of SCD identified earlier, varying first-tier ESI-MS/MS test cost and SCD inc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983615"/>
                    </a:xfrm>
                    <a:prstGeom prst="rect">
                      <a:avLst/>
                    </a:prstGeom>
                    <a:noFill/>
                    <a:ln>
                      <a:noFill/>
                    </a:ln>
                  </pic:spPr>
                </pic:pic>
              </a:graphicData>
            </a:graphic>
          </wp:inline>
        </w:drawing>
      </w:r>
    </w:p>
    <w:p w14:paraId="7815E0CE" w14:textId="211DD83F" w:rsidR="0048180E" w:rsidRDefault="00E12BFA" w:rsidP="00B579B4">
      <w:pPr>
        <w:pStyle w:val="TableFigureFooter"/>
      </w:pPr>
      <w:r>
        <w:rPr>
          <w:rFonts w:eastAsia="Calibri"/>
        </w:rPr>
        <w:t xml:space="preserve">ESI-MS/MS = </w:t>
      </w:r>
      <w:r w:rsidR="006E5316">
        <w:rPr>
          <w:rFonts w:eastAsia="Calibri"/>
        </w:rPr>
        <w:t>e</w:t>
      </w:r>
      <w:r w:rsidRPr="00E12BFA">
        <w:rPr>
          <w:rFonts w:eastAsia="Calibri"/>
        </w:rPr>
        <w:t xml:space="preserve">lectrospray </w:t>
      </w:r>
      <w:r w:rsidR="006E5316">
        <w:rPr>
          <w:rFonts w:eastAsia="Calibri"/>
        </w:rPr>
        <w:t>i</w:t>
      </w:r>
      <w:r w:rsidRPr="00E12BFA">
        <w:rPr>
          <w:rFonts w:eastAsia="Calibri"/>
        </w:rPr>
        <w:t>onisation tandem mass spectrometry</w:t>
      </w:r>
      <w:r>
        <w:rPr>
          <w:rFonts w:eastAsia="Calibri"/>
        </w:rPr>
        <w:t>;</w:t>
      </w:r>
      <w:r w:rsidRPr="00E12BFA">
        <w:rPr>
          <w:rFonts w:eastAsia="Calibri"/>
        </w:rPr>
        <w:t xml:space="preserve"> </w:t>
      </w:r>
      <w:r w:rsidR="00FE28AF" w:rsidRPr="0045093D">
        <w:rPr>
          <w:rFonts w:eastAsia="Calibri"/>
        </w:rPr>
        <w:t>ICER = incremental cost-effectiveness ratio</w:t>
      </w:r>
      <w:r>
        <w:rPr>
          <w:rFonts w:eastAsia="Calibri"/>
        </w:rPr>
        <w:t>; SCD = sickle cell disease</w:t>
      </w:r>
      <w:r w:rsidR="00FE28AF">
        <w:t>.</w:t>
      </w:r>
    </w:p>
    <w:p w14:paraId="25AE2BAC" w14:textId="6FCF8054" w:rsidR="00772829" w:rsidRPr="00CE28E3" w:rsidRDefault="00C36633" w:rsidP="002A18BE">
      <w:pPr>
        <w:pStyle w:val="Heading2"/>
        <w:numPr>
          <w:ilvl w:val="0"/>
          <w:numId w:val="0"/>
        </w:numPr>
      </w:pPr>
      <w:bookmarkStart w:id="59" w:name="_Toc149736398"/>
      <w:bookmarkEnd w:id="57"/>
      <w:r>
        <w:t>1</w:t>
      </w:r>
      <w:r w:rsidR="00521918">
        <w:t>4</w:t>
      </w:r>
      <w:r>
        <w:t>.</w:t>
      </w:r>
      <w:r>
        <w:tab/>
      </w:r>
      <w:r w:rsidR="00772829" w:rsidRPr="00CE28E3">
        <w:t>Financial/budgetary impacts</w:t>
      </w:r>
      <w:bookmarkEnd w:id="59"/>
    </w:p>
    <w:p w14:paraId="60E1392F" w14:textId="6E7B2EF1" w:rsidR="007C7247" w:rsidRDefault="007C7247" w:rsidP="00B445BF">
      <w:r>
        <w:t xml:space="preserve">The approach to estimate the </w:t>
      </w:r>
      <w:r w:rsidR="00A21553">
        <w:t xml:space="preserve">use and </w:t>
      </w:r>
      <w:r w:rsidR="009348BA">
        <w:t xml:space="preserve">financial impact of expanding NBS programs to include </w:t>
      </w:r>
      <w:r w:rsidR="0068110F">
        <w:t>haemoglobinopathies</w:t>
      </w:r>
      <w:r w:rsidR="00E739C4">
        <w:t xml:space="preserve"> was </w:t>
      </w:r>
      <w:r w:rsidR="00F3013E">
        <w:t xml:space="preserve">updated from that presented in the </w:t>
      </w:r>
      <w:r w:rsidR="000F41EF">
        <w:t xml:space="preserve">1737 </w:t>
      </w:r>
      <w:r w:rsidR="00F3013E">
        <w:t xml:space="preserve">DCAR. </w:t>
      </w:r>
      <w:r w:rsidR="00DA6BC1">
        <w:t>This included:</w:t>
      </w:r>
    </w:p>
    <w:p w14:paraId="016C4322" w14:textId="46A14B96" w:rsidR="00DA6BC1" w:rsidRDefault="00780094" w:rsidP="00D04BDE">
      <w:pPr>
        <w:pStyle w:val="ListParagraph"/>
        <w:numPr>
          <w:ilvl w:val="0"/>
          <w:numId w:val="23"/>
        </w:numPr>
      </w:pPr>
      <w:r>
        <w:t xml:space="preserve">Changing the </w:t>
      </w:r>
      <w:r w:rsidR="00144D70">
        <w:t xml:space="preserve">base case </w:t>
      </w:r>
      <w:r>
        <w:t xml:space="preserve">test method (and cost) used for </w:t>
      </w:r>
      <w:r w:rsidR="00616ED7">
        <w:t>first-tier screening</w:t>
      </w:r>
      <w:r w:rsidR="00930185">
        <w:t xml:space="preserve"> to ESI-MS/MS (assumed test cost of </w:t>
      </w:r>
      <w:r w:rsidR="00930185" w:rsidRPr="003B04D8">
        <w:t>$</w:t>
      </w:r>
      <w:r w:rsidR="003B04D8">
        <w:t>2.00</w:t>
      </w:r>
      <w:r w:rsidR="00930185">
        <w:t>)</w:t>
      </w:r>
    </w:p>
    <w:p w14:paraId="19200DF7" w14:textId="59B0815A" w:rsidR="00616ED7" w:rsidRDefault="00616ED7" w:rsidP="00D04BDE">
      <w:pPr>
        <w:pStyle w:val="ListParagraph"/>
        <w:numPr>
          <w:ilvl w:val="0"/>
          <w:numId w:val="23"/>
        </w:numPr>
      </w:pPr>
      <w:r>
        <w:t xml:space="preserve">Restricting </w:t>
      </w:r>
      <w:r w:rsidR="00D53D3E">
        <w:t xml:space="preserve">the analysis to the impact of </w:t>
      </w:r>
      <w:r w:rsidR="00BA1DF8">
        <w:t>identifying SCD (</w:t>
      </w:r>
      <w:proofErr w:type="gramStart"/>
      <w:r w:rsidR="00BA1DF8">
        <w:t>i.e.</w:t>
      </w:r>
      <w:proofErr w:type="gramEnd"/>
      <w:r w:rsidR="00BA1DF8">
        <w:t xml:space="preserve"> no second-tier screening in those </w:t>
      </w:r>
      <w:r w:rsidR="0097247A">
        <w:t xml:space="preserve">with first-tier screens </w:t>
      </w:r>
      <w:r w:rsidR="0074660A">
        <w:t>suggestive of</w:t>
      </w:r>
      <w:r w:rsidR="0097247A">
        <w:t xml:space="preserve"> </w:t>
      </w:r>
      <w:r w:rsidR="0097247A">
        <w:rPr>
          <w:rFonts w:ascii="Calibri" w:hAnsi="Calibri" w:cs="Calibri"/>
        </w:rPr>
        <w:t>β</w:t>
      </w:r>
      <w:r w:rsidR="0097247A">
        <w:t>-thalassaemia)</w:t>
      </w:r>
    </w:p>
    <w:p w14:paraId="1F68D99F" w14:textId="77777777" w:rsidR="00EE3873" w:rsidRDefault="00C37892" w:rsidP="00057AAB">
      <w:pPr>
        <w:pStyle w:val="ListParagraph"/>
        <w:numPr>
          <w:ilvl w:val="0"/>
          <w:numId w:val="23"/>
        </w:numPr>
      </w:pPr>
      <w:r>
        <w:t>Increasing the incidence of SCD</w:t>
      </w:r>
      <w:r w:rsidR="00683993">
        <w:t xml:space="preserve"> to 34.2 per 100,000 births</w:t>
      </w:r>
    </w:p>
    <w:p w14:paraId="4EA31698" w14:textId="1D41DC4C" w:rsidR="00EE3873" w:rsidRDefault="00A8086A" w:rsidP="00910015">
      <w:pPr>
        <w:pStyle w:val="ListParagraph"/>
        <w:numPr>
          <w:ilvl w:val="0"/>
          <w:numId w:val="23"/>
        </w:numPr>
      </w:pPr>
      <w:r w:rsidRPr="00687DA5">
        <w:t xml:space="preserve">Updating the </w:t>
      </w:r>
      <w:r w:rsidR="00F7193E" w:rsidRPr="00687DA5">
        <w:t>financial impact to other health budgets based on MSAC</w:t>
      </w:r>
      <w:r w:rsidR="007D1C10" w:rsidRPr="00687DA5">
        <w:t>’s</w:t>
      </w:r>
      <w:r w:rsidR="00F7193E" w:rsidRPr="00687DA5">
        <w:t xml:space="preserve"> advice </w:t>
      </w:r>
      <w:r w:rsidR="00C56ED6" w:rsidRPr="00687DA5">
        <w:t xml:space="preserve">on application 1737 in July 2023 </w:t>
      </w:r>
      <w:r w:rsidR="00F7193E" w:rsidRPr="00687DA5">
        <w:t xml:space="preserve">and </w:t>
      </w:r>
      <w:r w:rsidR="00E12511" w:rsidRPr="00687DA5">
        <w:t>on</w:t>
      </w:r>
      <w:r w:rsidR="00A800A8" w:rsidRPr="00687DA5">
        <w:t xml:space="preserve"> </w:t>
      </w:r>
      <w:r w:rsidR="00687DA5">
        <w:t xml:space="preserve">unpublished </w:t>
      </w:r>
      <w:r w:rsidR="008555E2" w:rsidRPr="00687DA5">
        <w:t xml:space="preserve">data provided </w:t>
      </w:r>
      <w:r w:rsidR="00C56ED6" w:rsidRPr="00687DA5">
        <w:t xml:space="preserve">by </w:t>
      </w:r>
      <w:r w:rsidR="008555E2" w:rsidRPr="00687DA5">
        <w:t xml:space="preserve">the </w:t>
      </w:r>
      <w:proofErr w:type="spellStart"/>
      <w:r w:rsidR="00695DED" w:rsidRPr="00687DA5">
        <w:t>HbR</w:t>
      </w:r>
      <w:proofErr w:type="spellEnd"/>
      <w:r w:rsidR="006D75D1" w:rsidRPr="00687DA5">
        <w:t xml:space="preserve">. </w:t>
      </w:r>
    </w:p>
    <w:p w14:paraId="6209DDD4" w14:textId="3CE6126C" w:rsidR="002020CF" w:rsidRPr="003251C2" w:rsidRDefault="002020CF" w:rsidP="00910015">
      <w:pPr>
        <w:pStyle w:val="ListParagraph"/>
        <w:numPr>
          <w:ilvl w:val="0"/>
          <w:numId w:val="23"/>
        </w:numPr>
      </w:pPr>
      <w:r w:rsidRPr="00514C2B">
        <w:t xml:space="preserve">A summary of the data sources used in estimating the </w:t>
      </w:r>
      <w:r>
        <w:t xml:space="preserve">updated </w:t>
      </w:r>
      <w:r w:rsidRPr="00514C2B">
        <w:t xml:space="preserve">financial impact </w:t>
      </w:r>
      <w:r>
        <w:t>for</w:t>
      </w:r>
      <w:r w:rsidRPr="00514C2B">
        <w:t xml:space="preserve"> </w:t>
      </w:r>
      <w:r>
        <w:t xml:space="preserve">the addition of SCD to NBS programs </w:t>
      </w:r>
      <w:r w:rsidRPr="00514C2B">
        <w:t>is presented in</w:t>
      </w:r>
      <w:r>
        <w:t xml:space="preserve"> </w:t>
      </w:r>
      <w:r w:rsidR="00DD4842" w:rsidRPr="00EE3873">
        <w:rPr>
          <w:highlight w:val="yellow"/>
        </w:rPr>
        <w:fldChar w:fldCharType="begin"/>
      </w:r>
      <w:r w:rsidR="00DD4842">
        <w:instrText xml:space="preserve"> REF _Ref149142816 \h </w:instrText>
      </w:r>
      <w:r w:rsidR="00DD4842" w:rsidRPr="00EE3873">
        <w:rPr>
          <w:highlight w:val="yellow"/>
        </w:rPr>
      </w:r>
      <w:r w:rsidR="00DD4842" w:rsidRPr="00EE3873">
        <w:rPr>
          <w:highlight w:val="yellow"/>
        </w:rPr>
        <w:fldChar w:fldCharType="separate"/>
      </w:r>
      <w:r w:rsidR="007D770C" w:rsidRPr="00CE28E3">
        <w:t>Table</w:t>
      </w:r>
      <w:r w:rsidR="007D770C">
        <w:t> </w:t>
      </w:r>
      <w:r w:rsidR="007D770C">
        <w:rPr>
          <w:noProof/>
        </w:rPr>
        <w:t>17</w:t>
      </w:r>
      <w:r w:rsidR="00DD4842" w:rsidRPr="00EE3873">
        <w:rPr>
          <w:highlight w:val="yellow"/>
        </w:rPr>
        <w:fldChar w:fldCharType="end"/>
      </w:r>
      <w:r>
        <w:t>.</w:t>
      </w:r>
    </w:p>
    <w:p w14:paraId="2F8FE9E1" w14:textId="78826CDB" w:rsidR="002020CF" w:rsidRPr="00CE28E3" w:rsidRDefault="001E59DA" w:rsidP="002020CF">
      <w:pPr>
        <w:pStyle w:val="Caption"/>
      </w:pPr>
      <w:bookmarkStart w:id="60" w:name="_Ref149142816"/>
      <w:r w:rsidRPr="00CE28E3">
        <w:t>Table</w:t>
      </w:r>
      <w:r>
        <w:t> </w:t>
      </w:r>
      <w:r>
        <w:fldChar w:fldCharType="begin"/>
      </w:r>
      <w:r>
        <w:instrText>SEQ Table \* ARABIC</w:instrText>
      </w:r>
      <w:r>
        <w:fldChar w:fldCharType="separate"/>
      </w:r>
      <w:r w:rsidR="007D770C">
        <w:rPr>
          <w:noProof/>
        </w:rPr>
        <w:t>17</w:t>
      </w:r>
      <w:r>
        <w:fldChar w:fldCharType="end"/>
      </w:r>
      <w:bookmarkEnd w:id="60"/>
      <w:r w:rsidRPr="00CE28E3">
        <w:tab/>
      </w:r>
      <w:r w:rsidR="002020CF" w:rsidRPr="00CE28E3">
        <w:t xml:space="preserve">Data sources and parameter values applied in the utilisation and financial </w:t>
      </w:r>
      <w:proofErr w:type="gramStart"/>
      <w:r w:rsidR="002020CF" w:rsidRPr="00CE28E3">
        <w:t>estimates</w:t>
      </w:r>
      <w:proofErr w:type="gramEnd"/>
      <w:r w:rsidR="002020CF" w:rsidRPr="00CE28E3">
        <w:t xml:space="preserve"> </w:t>
      </w:r>
    </w:p>
    <w:tbl>
      <w:tblPr>
        <w:tblStyle w:val="TableGrid1"/>
        <w:tblW w:w="0" w:type="auto"/>
        <w:tblLook w:val="04A0" w:firstRow="1" w:lastRow="0" w:firstColumn="1" w:lastColumn="0" w:noHBand="0" w:noVBand="1"/>
        <w:tblCaption w:val="Data sources and parameter values applied in the utilisation and financial estimates "/>
        <w:tblDescription w:val="Data sources and parameter values applied in the utilisation and financial estimates "/>
      </w:tblPr>
      <w:tblGrid>
        <w:gridCol w:w="1838"/>
        <w:gridCol w:w="1701"/>
        <w:gridCol w:w="5477"/>
      </w:tblGrid>
      <w:tr w:rsidR="002020CF" w:rsidRPr="00CE28E3" w14:paraId="7EF06C73" w14:textId="77777777" w:rsidTr="71856625">
        <w:trPr>
          <w:cnfStyle w:val="100000000000" w:firstRow="1" w:lastRow="0" w:firstColumn="0" w:lastColumn="0" w:oddVBand="0" w:evenVBand="0" w:oddHBand="0" w:evenHBand="0" w:firstRowFirstColumn="0" w:firstRowLastColumn="0" w:lastRowFirstColumn="0" w:lastRowLastColumn="0"/>
          <w:cantSplit/>
          <w:tblHeader/>
        </w:trPr>
        <w:tc>
          <w:tcPr>
            <w:tcW w:w="1838" w:type="dxa"/>
          </w:tcPr>
          <w:p w14:paraId="3F0C2ABD" w14:textId="77777777" w:rsidR="002020CF" w:rsidRPr="00CE28E3" w:rsidRDefault="002020CF" w:rsidP="007B0E81">
            <w:pPr>
              <w:pStyle w:val="TableHeading"/>
              <w:keepNext w:val="0"/>
            </w:pPr>
            <w:bookmarkStart w:id="61" w:name="ColumnTitle_Table39"/>
            <w:r w:rsidRPr="00CE28E3">
              <w:t>Data</w:t>
            </w:r>
          </w:p>
        </w:tc>
        <w:tc>
          <w:tcPr>
            <w:tcW w:w="1701" w:type="dxa"/>
          </w:tcPr>
          <w:p w14:paraId="50D071DF" w14:textId="77777777" w:rsidR="002020CF" w:rsidRPr="00CE28E3" w:rsidRDefault="002020CF" w:rsidP="007B0E81">
            <w:pPr>
              <w:pStyle w:val="TableHeading"/>
              <w:keepNext w:val="0"/>
            </w:pPr>
            <w:r w:rsidRPr="00CE28E3">
              <w:t>Source and value</w:t>
            </w:r>
          </w:p>
        </w:tc>
        <w:tc>
          <w:tcPr>
            <w:tcW w:w="5477" w:type="dxa"/>
          </w:tcPr>
          <w:p w14:paraId="67AD505A" w14:textId="77777777" w:rsidR="002020CF" w:rsidRPr="00CE28E3" w:rsidRDefault="002020CF" w:rsidP="007B0E81">
            <w:pPr>
              <w:pStyle w:val="TableHeading"/>
              <w:keepNext w:val="0"/>
            </w:pPr>
            <w:r w:rsidRPr="00CE28E3">
              <w:t>Justification</w:t>
            </w:r>
          </w:p>
        </w:tc>
      </w:tr>
      <w:bookmarkEnd w:id="61"/>
      <w:tr w:rsidR="002020CF" w:rsidRPr="00CE28E3" w14:paraId="423073A6" w14:textId="77777777" w:rsidTr="71856625">
        <w:trPr>
          <w:cantSplit/>
        </w:trPr>
        <w:tc>
          <w:tcPr>
            <w:tcW w:w="1838" w:type="dxa"/>
            <w:shd w:val="clear" w:color="auto" w:fill="B4C6E7" w:themeFill="accent5" w:themeFillTint="66"/>
          </w:tcPr>
          <w:p w14:paraId="687D7D39" w14:textId="77777777" w:rsidR="002020CF" w:rsidRPr="00CE28E3" w:rsidRDefault="002020CF" w:rsidP="007B0E81">
            <w:pPr>
              <w:pStyle w:val="TableText"/>
            </w:pPr>
            <w:r>
              <w:t>No. of births per year, 2008−2021</w:t>
            </w:r>
          </w:p>
        </w:tc>
        <w:tc>
          <w:tcPr>
            <w:tcW w:w="1701" w:type="dxa"/>
            <w:shd w:val="clear" w:color="auto" w:fill="B4C6E7" w:themeFill="accent5" w:themeFillTint="66"/>
          </w:tcPr>
          <w:p w14:paraId="3139E0E1" w14:textId="448BDA16" w:rsidR="002020CF" w:rsidRPr="00CE28E3" w:rsidRDefault="002020CF" w:rsidP="007B0E81">
            <w:pPr>
              <w:pStyle w:val="TableText"/>
            </w:pPr>
            <w:r>
              <w:t xml:space="preserve">ABS registered births </w:t>
            </w:r>
            <w:r w:rsidRPr="00370D18">
              <w:t xml:space="preserve">(ABS </w:t>
            </w:r>
            <w:proofErr w:type="gramStart"/>
            <w:r w:rsidRPr="00370D18">
              <w:t>2022)</w:t>
            </w:r>
            <w:r w:rsidR="00BE75A0" w:rsidRPr="00BE75A0">
              <w:rPr>
                <w:vertAlign w:val="superscript"/>
              </w:rPr>
              <w:t>a</w:t>
            </w:r>
            <w:proofErr w:type="gramEnd"/>
          </w:p>
        </w:tc>
        <w:tc>
          <w:tcPr>
            <w:tcW w:w="5477" w:type="dxa"/>
            <w:shd w:val="clear" w:color="auto" w:fill="B4C6E7" w:themeFill="accent5" w:themeFillTint="66"/>
          </w:tcPr>
          <w:p w14:paraId="63620396" w14:textId="443A5416" w:rsidR="002020CF" w:rsidRPr="00CE28E3" w:rsidRDefault="002020CF" w:rsidP="007B0E81">
            <w:pPr>
              <w:pStyle w:val="TableText"/>
            </w:pPr>
            <w:r>
              <w:t>Used to project the estimated number of births per year, 2022−2030, as ABS projections for the number of births per year (2017−2066</w:t>
            </w:r>
            <w:r w:rsidRPr="00370D18">
              <w:t xml:space="preserve">) (ABS </w:t>
            </w:r>
            <w:proofErr w:type="gramStart"/>
            <w:r w:rsidRPr="00370D18">
              <w:t>2018)</w:t>
            </w:r>
            <w:r w:rsidR="00BE75A0" w:rsidRPr="00BE75A0">
              <w:rPr>
                <w:vertAlign w:val="superscript"/>
              </w:rPr>
              <w:t>b</w:t>
            </w:r>
            <w:proofErr w:type="gramEnd"/>
            <w:r w:rsidRPr="00370D18">
              <w:t xml:space="preserve">, </w:t>
            </w:r>
            <w:r>
              <w:t xml:space="preserve">appear to overestimate the annual number of registered births. </w:t>
            </w:r>
          </w:p>
        </w:tc>
      </w:tr>
      <w:tr w:rsidR="002020CF" w:rsidRPr="00CE28E3" w14:paraId="11E8840E" w14:textId="77777777" w:rsidTr="71856625">
        <w:trPr>
          <w:cantSplit/>
        </w:trPr>
        <w:tc>
          <w:tcPr>
            <w:tcW w:w="1838" w:type="dxa"/>
            <w:shd w:val="clear" w:color="auto" w:fill="B4C6E7" w:themeFill="accent5" w:themeFillTint="66"/>
          </w:tcPr>
          <w:p w14:paraId="57D17F32" w14:textId="77777777" w:rsidR="002020CF" w:rsidRPr="00CE28E3" w:rsidRDefault="002020CF" w:rsidP="007B0E81">
            <w:pPr>
              <w:pStyle w:val="TableText"/>
            </w:pPr>
            <w:r>
              <w:t>No. babies who uptake NBS, 2016−2020</w:t>
            </w:r>
          </w:p>
        </w:tc>
        <w:tc>
          <w:tcPr>
            <w:tcW w:w="1701" w:type="dxa"/>
            <w:shd w:val="clear" w:color="auto" w:fill="B4C6E7" w:themeFill="accent5" w:themeFillTint="66"/>
          </w:tcPr>
          <w:p w14:paraId="1B097D7A" w14:textId="0CB89E85" w:rsidR="002020CF" w:rsidRPr="00CE28E3" w:rsidRDefault="002020CF" w:rsidP="007B0E81">
            <w:pPr>
              <w:pStyle w:val="TableText"/>
            </w:pPr>
            <w:r w:rsidRPr="00370D18">
              <w:t>Huynh et al. (</w:t>
            </w:r>
            <w:proofErr w:type="gramStart"/>
            <w:r w:rsidRPr="00370D18">
              <w:t>2022)</w:t>
            </w:r>
            <w:r w:rsidR="00BE75A0" w:rsidRPr="00BE75A0">
              <w:rPr>
                <w:vertAlign w:val="superscript"/>
              </w:rPr>
              <w:t>c</w:t>
            </w:r>
            <w:proofErr w:type="gramEnd"/>
          </w:p>
        </w:tc>
        <w:tc>
          <w:tcPr>
            <w:tcW w:w="5477" w:type="dxa"/>
            <w:shd w:val="clear" w:color="auto" w:fill="B4C6E7" w:themeFill="accent5" w:themeFillTint="66"/>
          </w:tcPr>
          <w:p w14:paraId="561F82C4" w14:textId="77777777" w:rsidR="002020CF" w:rsidRPr="00CE28E3" w:rsidRDefault="002020CF" w:rsidP="007B0E81">
            <w:pPr>
              <w:pStyle w:val="TableText"/>
            </w:pPr>
            <w:r>
              <w:t xml:space="preserve">The total number of babies screened through NBS programs 2016−2020 was divided by the number of registered births over the same </w:t>
            </w:r>
            <w:proofErr w:type="gramStart"/>
            <w:r>
              <w:t>time period</w:t>
            </w:r>
            <w:proofErr w:type="gramEnd"/>
            <w:r>
              <w:t xml:space="preserve"> to estimate the rate of uptake of NBS (99.3%). </w:t>
            </w:r>
          </w:p>
        </w:tc>
      </w:tr>
      <w:tr w:rsidR="002020CF" w:rsidRPr="00CE28E3" w14:paraId="14E2A071" w14:textId="77777777" w:rsidTr="71856625">
        <w:trPr>
          <w:cantSplit/>
        </w:trPr>
        <w:tc>
          <w:tcPr>
            <w:tcW w:w="1838" w:type="dxa"/>
          </w:tcPr>
          <w:p w14:paraId="201EC150" w14:textId="77777777" w:rsidR="002020CF" w:rsidRPr="00CE28E3" w:rsidRDefault="002020CF" w:rsidP="007B0E81">
            <w:pPr>
              <w:pStyle w:val="TableText"/>
            </w:pPr>
            <w:r>
              <w:t>Incidence of SCD in newborns</w:t>
            </w:r>
          </w:p>
        </w:tc>
        <w:tc>
          <w:tcPr>
            <w:tcW w:w="1701" w:type="dxa"/>
          </w:tcPr>
          <w:p w14:paraId="56EAE4B1" w14:textId="663C6F60" w:rsidR="002020CF" w:rsidRPr="00CE28E3" w:rsidRDefault="002020CF" w:rsidP="007B0E81">
            <w:pPr>
              <w:pStyle w:val="TableText"/>
            </w:pPr>
            <w:r>
              <w:t>34.2 per 100,000</w:t>
            </w:r>
            <w:r w:rsidR="00AC41A4">
              <w:t xml:space="preserve"> (</w:t>
            </w:r>
            <w:r w:rsidR="00AC41A4">
              <w:fldChar w:fldCharType="begin"/>
            </w:r>
            <w:r w:rsidR="00AC41A4">
              <w:instrText xml:space="preserve"> REF _Ref149567772 \h </w:instrText>
            </w:r>
            <w:r w:rsidR="00966A31">
              <w:instrText xml:space="preserve"> \* MERGEFORMAT </w:instrText>
            </w:r>
            <w:r w:rsidR="00AC41A4">
              <w:fldChar w:fldCharType="separate"/>
            </w:r>
            <w:r w:rsidR="007D770C" w:rsidRPr="00CE28E3">
              <w:t>Table</w:t>
            </w:r>
            <w:r w:rsidR="007D770C">
              <w:t> 2</w:t>
            </w:r>
            <w:r w:rsidR="00AC41A4">
              <w:fldChar w:fldCharType="end"/>
            </w:r>
            <w:r w:rsidR="00AC41A4">
              <w:t>)</w:t>
            </w:r>
          </w:p>
        </w:tc>
        <w:tc>
          <w:tcPr>
            <w:tcW w:w="5477" w:type="dxa"/>
          </w:tcPr>
          <w:p w14:paraId="0C5430D9" w14:textId="74AA8BD5" w:rsidR="002020CF" w:rsidRPr="00CE28E3" w:rsidRDefault="002020CF" w:rsidP="00ED6D39">
            <w:pPr>
              <w:pStyle w:val="TableText"/>
            </w:pPr>
            <w:r>
              <w:t>Derived assuming the birth prevalence of SCD in Sub-Saharan</w:t>
            </w:r>
            <w:r w:rsidR="00C56ED6">
              <w:t xml:space="preserve"> </w:t>
            </w:r>
            <w:r>
              <w:t>Africa, the number of births in Australia to people from Sub-Saharan</w:t>
            </w:r>
            <w:r w:rsidR="00C56ED6">
              <w:t xml:space="preserve"> </w:t>
            </w:r>
            <w:r>
              <w:t xml:space="preserve">Africa and the proportion of </w:t>
            </w:r>
            <w:r w:rsidR="00467694">
              <w:t xml:space="preserve">Australian-born </w:t>
            </w:r>
            <w:r>
              <w:t xml:space="preserve">cases from the </w:t>
            </w:r>
            <w:proofErr w:type="spellStart"/>
            <w:r>
              <w:t>HbR</w:t>
            </w:r>
            <w:proofErr w:type="spellEnd"/>
            <w:r>
              <w:t xml:space="preserve"> </w:t>
            </w:r>
            <w:r w:rsidR="00467694">
              <w:t xml:space="preserve">with ancestry </w:t>
            </w:r>
            <w:r>
              <w:t>from Sub-Saharan</w:t>
            </w:r>
            <w:r w:rsidR="00C56ED6">
              <w:t xml:space="preserve"> </w:t>
            </w:r>
            <w:r>
              <w:t>Africa.</w:t>
            </w:r>
            <w:r w:rsidR="00501AE8">
              <w:t xml:space="preserve"> </w:t>
            </w:r>
            <w:r w:rsidR="008655E3">
              <w:rPr>
                <w:rFonts w:cs="Courier New"/>
              </w:rPr>
              <w:t xml:space="preserve">The applicability of this estimate </w:t>
            </w:r>
            <w:r w:rsidR="00467694">
              <w:rPr>
                <w:rFonts w:cs="Courier New"/>
              </w:rPr>
              <w:t>wa</w:t>
            </w:r>
            <w:r w:rsidR="008655E3">
              <w:rPr>
                <w:rFonts w:cs="Courier New"/>
              </w:rPr>
              <w:t xml:space="preserve">s uncertain as </w:t>
            </w:r>
            <w:r w:rsidR="008655E3">
              <w:t xml:space="preserve">patterns of migration (and the reasons for migration) can differ largely over time. </w:t>
            </w:r>
            <w:r w:rsidR="008655E3">
              <w:rPr>
                <w:rFonts w:cs="Courier New"/>
              </w:rPr>
              <w:t>F</w:t>
            </w:r>
            <w:r w:rsidR="008655E3" w:rsidRPr="00012CAC">
              <w:rPr>
                <w:rFonts w:cs="Courier New"/>
              </w:rPr>
              <w:t xml:space="preserve">or comparison birth prevalence through the UK NBS program </w:t>
            </w:r>
            <w:r w:rsidR="00210B04">
              <w:t xml:space="preserve">was estimated to be 39 per 100,000 births (Streetly et al. </w:t>
            </w:r>
            <w:proofErr w:type="gramStart"/>
            <w:r w:rsidR="00210B04">
              <w:t>2018)</w:t>
            </w:r>
            <w:r w:rsidR="00BE75A0" w:rsidRPr="00BE75A0">
              <w:rPr>
                <w:vertAlign w:val="superscript"/>
              </w:rPr>
              <w:t>d</w:t>
            </w:r>
            <w:r w:rsidR="00210B04">
              <w:t>.</w:t>
            </w:r>
            <w:proofErr w:type="gramEnd"/>
            <w:r w:rsidR="001A14ED">
              <w:t xml:space="preserve"> Alternate estimates </w:t>
            </w:r>
            <w:r w:rsidR="00222D80">
              <w:t xml:space="preserve">applied in DCAR 1737 </w:t>
            </w:r>
            <w:r w:rsidR="00C56ED6">
              <w:t>we</w:t>
            </w:r>
            <w:r w:rsidR="001A14ED">
              <w:t>re tested in sensitivity analyses (0.53−8.6 per 100,000</w:t>
            </w:r>
            <w:r w:rsidR="00387266">
              <w:t>)</w:t>
            </w:r>
            <w:r w:rsidR="001A14ED">
              <w:t>.</w:t>
            </w:r>
          </w:p>
        </w:tc>
      </w:tr>
      <w:tr w:rsidR="002020CF" w:rsidRPr="00CE28E3" w14:paraId="407F2A86" w14:textId="77777777" w:rsidTr="71856625">
        <w:trPr>
          <w:cantSplit/>
        </w:trPr>
        <w:tc>
          <w:tcPr>
            <w:tcW w:w="1838" w:type="dxa"/>
            <w:shd w:val="clear" w:color="auto" w:fill="B4C6E7" w:themeFill="accent5" w:themeFillTint="66"/>
          </w:tcPr>
          <w:p w14:paraId="5531DDF3" w14:textId="525ED91E" w:rsidR="002020CF" w:rsidRDefault="005D2EA6" w:rsidP="007B0E81">
            <w:pPr>
              <w:pStyle w:val="TableText"/>
            </w:pPr>
            <w:r>
              <w:t>Sensitivity of</w:t>
            </w:r>
            <w:r w:rsidR="002020CF">
              <w:t xml:space="preserve"> first-tier screening</w:t>
            </w:r>
          </w:p>
        </w:tc>
        <w:tc>
          <w:tcPr>
            <w:tcW w:w="1701" w:type="dxa"/>
            <w:shd w:val="clear" w:color="auto" w:fill="B4C6E7" w:themeFill="accent5" w:themeFillTint="66"/>
          </w:tcPr>
          <w:p w14:paraId="751C9761" w14:textId="77777777" w:rsidR="002020CF" w:rsidRDefault="002020CF" w:rsidP="007B0E81">
            <w:pPr>
              <w:pStyle w:val="TableText"/>
            </w:pPr>
            <w:r>
              <w:t>100%</w:t>
            </w:r>
          </w:p>
        </w:tc>
        <w:tc>
          <w:tcPr>
            <w:tcW w:w="5477" w:type="dxa"/>
            <w:shd w:val="clear" w:color="auto" w:fill="B4C6E7" w:themeFill="accent5" w:themeFillTint="66"/>
          </w:tcPr>
          <w:p w14:paraId="64E857DA" w14:textId="77777777" w:rsidR="002020CF" w:rsidRDefault="002020CF" w:rsidP="007B0E81">
            <w:pPr>
              <w:pStyle w:val="TableText"/>
            </w:pPr>
            <w:r>
              <w:t xml:space="preserve">100% sensitivity was reported across multiple studies using varied methods. </w:t>
            </w:r>
          </w:p>
        </w:tc>
      </w:tr>
      <w:tr w:rsidR="002020CF" w:rsidRPr="00CE28E3" w14:paraId="6B96DCB4" w14:textId="77777777" w:rsidTr="71856625">
        <w:trPr>
          <w:cantSplit/>
        </w:trPr>
        <w:tc>
          <w:tcPr>
            <w:tcW w:w="1838" w:type="dxa"/>
            <w:shd w:val="clear" w:color="auto" w:fill="B4C6E7" w:themeFill="accent5" w:themeFillTint="66"/>
          </w:tcPr>
          <w:p w14:paraId="698F38D5" w14:textId="77777777" w:rsidR="002020CF" w:rsidRDefault="002020CF" w:rsidP="007B0E81">
            <w:pPr>
              <w:pStyle w:val="TableText"/>
            </w:pPr>
            <w:r>
              <w:t>Specificity of first-tier screening</w:t>
            </w:r>
          </w:p>
        </w:tc>
        <w:tc>
          <w:tcPr>
            <w:tcW w:w="1701" w:type="dxa"/>
            <w:shd w:val="clear" w:color="auto" w:fill="B4C6E7" w:themeFill="accent5" w:themeFillTint="66"/>
          </w:tcPr>
          <w:p w14:paraId="368441A2" w14:textId="77777777" w:rsidR="002020CF" w:rsidRDefault="002020CF" w:rsidP="007B0E81">
            <w:pPr>
              <w:pStyle w:val="TableText"/>
            </w:pPr>
            <w:r>
              <w:t>Assumption.</w:t>
            </w:r>
            <w:r>
              <w:br/>
              <w:t>99.99%</w:t>
            </w:r>
          </w:p>
        </w:tc>
        <w:tc>
          <w:tcPr>
            <w:tcW w:w="5477" w:type="dxa"/>
            <w:shd w:val="clear" w:color="auto" w:fill="B4C6E7" w:themeFill="accent5" w:themeFillTint="66"/>
          </w:tcPr>
          <w:p w14:paraId="0AD6C02B" w14:textId="6E0C1137" w:rsidR="002020CF" w:rsidRDefault="002020CF" w:rsidP="007B0E81">
            <w:pPr>
              <w:pStyle w:val="TableText"/>
            </w:pPr>
            <w:r>
              <w:t xml:space="preserve">While specificity of testing ranged from &gt;99−100% for SCD, an estimate close to 100% is applied </w:t>
            </w:r>
            <w:r w:rsidR="00B4655C">
              <w:t>for</w:t>
            </w:r>
            <w:r>
              <w:t xml:space="preserve"> consisten</w:t>
            </w:r>
            <w:r w:rsidR="00B4655C">
              <w:t>cy</w:t>
            </w:r>
            <w:r>
              <w:t xml:space="preserve"> with the clinical evidence which observed near complete concordance between tests</w:t>
            </w:r>
          </w:p>
        </w:tc>
      </w:tr>
      <w:tr w:rsidR="002020CF" w:rsidRPr="00CE28E3" w14:paraId="3225C409" w14:textId="77777777" w:rsidTr="71856625">
        <w:trPr>
          <w:cantSplit/>
        </w:trPr>
        <w:tc>
          <w:tcPr>
            <w:tcW w:w="1838" w:type="dxa"/>
          </w:tcPr>
          <w:p w14:paraId="159DD03E" w14:textId="77777777" w:rsidR="002020CF" w:rsidRDefault="002020CF" w:rsidP="007B0E81">
            <w:pPr>
              <w:pStyle w:val="TableText"/>
            </w:pPr>
            <w:r>
              <w:t>Cost of screening and confirmatory testing in newborns</w:t>
            </w:r>
          </w:p>
        </w:tc>
        <w:tc>
          <w:tcPr>
            <w:tcW w:w="1701" w:type="dxa"/>
          </w:tcPr>
          <w:p w14:paraId="624A8EE6" w14:textId="4DC35DD8" w:rsidR="002020CF" w:rsidRDefault="002020CF" w:rsidP="007B0E81">
            <w:pPr>
              <w:pStyle w:val="TableText"/>
            </w:pPr>
            <w:r>
              <w:t xml:space="preserve">First-tier: </w:t>
            </w:r>
            <w:r w:rsidRPr="000B086E">
              <w:t>$</w:t>
            </w:r>
            <w:r w:rsidR="000B086E" w:rsidRPr="000B086E">
              <w:t>2</w:t>
            </w:r>
            <w:r w:rsidR="000B086E">
              <w:t>.00</w:t>
            </w:r>
          </w:p>
          <w:p w14:paraId="6158E61E" w14:textId="77777777" w:rsidR="002020CF" w:rsidRDefault="002020CF" w:rsidP="007B0E81">
            <w:pPr>
              <w:pStyle w:val="TableText"/>
            </w:pPr>
            <w:proofErr w:type="gramStart"/>
            <w:r w:rsidRPr="00DE5B00">
              <w:rPr>
                <w:shd w:val="clear" w:color="auto" w:fill="B4C6E7" w:themeFill="accent5" w:themeFillTint="66"/>
              </w:rPr>
              <w:t>Second-tier</w:t>
            </w:r>
            <w:proofErr w:type="gramEnd"/>
            <w:r w:rsidRPr="00DE5B00">
              <w:rPr>
                <w:shd w:val="clear" w:color="auto" w:fill="B4C6E7" w:themeFill="accent5" w:themeFillTint="66"/>
              </w:rPr>
              <w:t>: $500</w:t>
            </w:r>
          </w:p>
        </w:tc>
        <w:tc>
          <w:tcPr>
            <w:tcW w:w="5477" w:type="dxa"/>
          </w:tcPr>
          <w:p w14:paraId="2DAC747B" w14:textId="5D5ECB52" w:rsidR="002020CF" w:rsidRDefault="002020CF" w:rsidP="007B0E81">
            <w:pPr>
              <w:pStyle w:val="TableText"/>
            </w:pPr>
            <w:r>
              <w:t xml:space="preserve">First-tier screening by ESI-MS/MS and </w:t>
            </w:r>
            <w:proofErr w:type="gramStart"/>
            <w:r>
              <w:t>second-tier</w:t>
            </w:r>
            <w:proofErr w:type="gramEnd"/>
            <w:r>
              <w:t xml:space="preserve"> by DNA sequencing.</w:t>
            </w:r>
          </w:p>
          <w:p w14:paraId="3CE6D183" w14:textId="1A9F9F8E" w:rsidR="00856C78" w:rsidRDefault="00E04E65" w:rsidP="003A77D9">
            <w:pPr>
              <w:pStyle w:val="TableText"/>
            </w:pPr>
            <w:r>
              <w:t xml:space="preserve">First-tier screen costs </w:t>
            </w:r>
            <w:r w:rsidR="002A22A6">
              <w:t xml:space="preserve">for ESI-MS/MS </w:t>
            </w:r>
            <w:r>
              <w:t xml:space="preserve">were estimated </w:t>
            </w:r>
            <w:r w:rsidR="00467694">
              <w:t xml:space="preserve">by </w:t>
            </w:r>
            <w:r>
              <w:t>an expert consulted during the preparation of the assessment</w:t>
            </w:r>
            <w:r w:rsidR="003A77D9">
              <w:t xml:space="preserve">. </w:t>
            </w:r>
            <w:r>
              <w:t xml:space="preserve">Alternate </w:t>
            </w:r>
            <w:r w:rsidR="003A77D9">
              <w:t>estimates</w:t>
            </w:r>
            <w:r w:rsidR="00856C78" w:rsidRPr="000B086E">
              <w:t xml:space="preserve"> were</w:t>
            </w:r>
            <w:r w:rsidR="003A77D9">
              <w:t xml:space="preserve"> also</w:t>
            </w:r>
            <w:r w:rsidR="00856C78" w:rsidRPr="000B086E">
              <w:t xml:space="preserve"> provided</w:t>
            </w:r>
            <w:r w:rsidR="000B086E">
              <w:t xml:space="preserve"> </w:t>
            </w:r>
            <w:r w:rsidR="00DF22B5">
              <w:t>(</w:t>
            </w:r>
            <w:r w:rsidR="000B086E">
              <w:t>or derived from</w:t>
            </w:r>
            <w:r w:rsidR="00A300FB">
              <w:t xml:space="preserve"> expert advice</w:t>
            </w:r>
            <w:r w:rsidR="00DF22B5">
              <w:t>)</w:t>
            </w:r>
            <w:r w:rsidR="000B086E">
              <w:t xml:space="preserve"> (</w:t>
            </w:r>
            <w:r w:rsidR="00790515">
              <w:fldChar w:fldCharType="begin"/>
            </w:r>
            <w:r w:rsidR="00790515">
              <w:instrText xml:space="preserve"> REF _Ref149235936 \h </w:instrText>
            </w:r>
            <w:r w:rsidR="00966A31">
              <w:instrText xml:space="preserve"> \* MERGEFORMAT </w:instrText>
            </w:r>
            <w:r w:rsidR="00790515">
              <w:fldChar w:fldCharType="separate"/>
            </w:r>
            <w:r w:rsidR="007D770C" w:rsidRPr="00CE28E3">
              <w:t>Table</w:t>
            </w:r>
            <w:r w:rsidR="007D770C">
              <w:t> 13</w:t>
            </w:r>
            <w:r w:rsidR="00790515">
              <w:fldChar w:fldCharType="end"/>
            </w:r>
            <w:r w:rsidR="000B086E">
              <w:t>)</w:t>
            </w:r>
            <w:r w:rsidR="00F05E14">
              <w:t>.</w:t>
            </w:r>
          </w:p>
          <w:p w14:paraId="2A810190" w14:textId="24E8E65C" w:rsidR="00856C78" w:rsidRDefault="00856C78" w:rsidP="003A77D9">
            <w:pPr>
              <w:pStyle w:val="TableText"/>
            </w:pPr>
          </w:p>
        </w:tc>
      </w:tr>
      <w:tr w:rsidR="002020CF" w:rsidRPr="00CE28E3" w14:paraId="70A1AE39" w14:textId="77777777" w:rsidTr="71856625">
        <w:trPr>
          <w:cantSplit/>
        </w:trPr>
        <w:tc>
          <w:tcPr>
            <w:tcW w:w="1838" w:type="dxa"/>
          </w:tcPr>
          <w:p w14:paraId="6DDE5520" w14:textId="16897639" w:rsidR="002020CF" w:rsidRDefault="00AD7BE0" w:rsidP="007B0E81">
            <w:pPr>
              <w:pStyle w:val="TableText"/>
            </w:pPr>
            <w:r>
              <w:t>Use of current</w:t>
            </w:r>
            <w:r w:rsidR="002020CF">
              <w:t xml:space="preserve"> targeted </w:t>
            </w:r>
            <w:r>
              <w:t xml:space="preserve">newborn </w:t>
            </w:r>
            <w:r w:rsidR="00DA1E3C">
              <w:t>testing</w:t>
            </w:r>
          </w:p>
        </w:tc>
        <w:tc>
          <w:tcPr>
            <w:tcW w:w="1701" w:type="dxa"/>
          </w:tcPr>
          <w:p w14:paraId="05748DE3" w14:textId="77777777" w:rsidR="002020CF" w:rsidRDefault="002020CF" w:rsidP="007B0E81">
            <w:pPr>
              <w:pStyle w:val="TableText"/>
            </w:pPr>
            <w:r>
              <w:t>1.69%</w:t>
            </w:r>
          </w:p>
        </w:tc>
        <w:tc>
          <w:tcPr>
            <w:tcW w:w="5477" w:type="dxa"/>
          </w:tcPr>
          <w:p w14:paraId="6373E83F" w14:textId="32892985" w:rsidR="002020CF" w:rsidRDefault="002020CF" w:rsidP="007B0E81">
            <w:pPr>
              <w:pStyle w:val="TableText"/>
            </w:pPr>
            <w:r>
              <w:t xml:space="preserve">Assumed to occur in WA only (representing 11% of births nationally) and in those with high-risk </w:t>
            </w:r>
            <w:r w:rsidR="00252EEC">
              <w:t xml:space="preserve">ancestries </w:t>
            </w:r>
            <w:r>
              <w:t>(15.4% of births)</w:t>
            </w:r>
            <w:r w:rsidR="00E4088E">
              <w:t xml:space="preserve"> (Section 3.2.</w:t>
            </w:r>
            <w:r w:rsidR="00993498">
              <w:t>4</w:t>
            </w:r>
            <w:r w:rsidR="00E4088E">
              <w:t xml:space="preserve"> of the 1737 DCAR)</w:t>
            </w:r>
          </w:p>
        </w:tc>
      </w:tr>
      <w:tr w:rsidR="002020CF" w:rsidRPr="00CE28E3" w14:paraId="296118DD" w14:textId="77777777" w:rsidTr="71856625">
        <w:trPr>
          <w:cantSplit/>
        </w:trPr>
        <w:tc>
          <w:tcPr>
            <w:tcW w:w="1838" w:type="dxa"/>
          </w:tcPr>
          <w:p w14:paraId="05A5ABC9" w14:textId="530AB1BA" w:rsidR="002020CF" w:rsidRDefault="002020CF" w:rsidP="007B0E81">
            <w:pPr>
              <w:pStyle w:val="TableText"/>
            </w:pPr>
            <w:r>
              <w:t xml:space="preserve">Cost of targeted newborn </w:t>
            </w:r>
            <w:r w:rsidR="00DA1E3C">
              <w:t>testing</w:t>
            </w:r>
          </w:p>
        </w:tc>
        <w:tc>
          <w:tcPr>
            <w:tcW w:w="1701" w:type="dxa"/>
          </w:tcPr>
          <w:p w14:paraId="3FBBE0DD" w14:textId="681E2A57" w:rsidR="002020CF" w:rsidRDefault="002020CF" w:rsidP="007B0E81">
            <w:pPr>
              <w:pStyle w:val="TableText"/>
            </w:pPr>
            <w:r>
              <w:t xml:space="preserve">$10.00 (expert </w:t>
            </w:r>
            <w:proofErr w:type="gramStart"/>
            <w:r>
              <w:t>opinion)</w:t>
            </w:r>
            <w:r w:rsidR="00D34C17" w:rsidRPr="00D34C17">
              <w:rPr>
                <w:vertAlign w:val="superscript"/>
              </w:rPr>
              <w:t>e</w:t>
            </w:r>
            <w:proofErr w:type="gramEnd"/>
          </w:p>
        </w:tc>
        <w:tc>
          <w:tcPr>
            <w:tcW w:w="5477" w:type="dxa"/>
          </w:tcPr>
          <w:p w14:paraId="25AE4385" w14:textId="5C510150" w:rsidR="002020CF" w:rsidRDefault="00904217" w:rsidP="007B0E81">
            <w:pPr>
              <w:pStyle w:val="TableText"/>
            </w:pPr>
            <w:r>
              <w:t>WA NBS</w:t>
            </w:r>
            <w:r w:rsidR="0068666D">
              <w:t xml:space="preserve"> for targeted newborn </w:t>
            </w:r>
            <w:r w:rsidR="00DA1E3C">
              <w:t>testing</w:t>
            </w:r>
          </w:p>
        </w:tc>
      </w:tr>
      <w:tr w:rsidR="002020CF" w:rsidRPr="00CE28E3" w14:paraId="08612B5D" w14:textId="77777777" w:rsidTr="71856625">
        <w:trPr>
          <w:cantSplit/>
        </w:trPr>
        <w:tc>
          <w:tcPr>
            <w:tcW w:w="1838" w:type="dxa"/>
          </w:tcPr>
          <w:p w14:paraId="0D039E12" w14:textId="49274B82" w:rsidR="002020CF" w:rsidRDefault="00AD7BE0" w:rsidP="007B0E81">
            <w:pPr>
              <w:pStyle w:val="TableText"/>
            </w:pPr>
            <w:r>
              <w:t>Proportion of SCD cases currently missed</w:t>
            </w:r>
            <w:r w:rsidR="0043645D">
              <w:t xml:space="preserve"> before symptom onset</w:t>
            </w:r>
          </w:p>
        </w:tc>
        <w:tc>
          <w:tcPr>
            <w:tcW w:w="1701" w:type="dxa"/>
          </w:tcPr>
          <w:p w14:paraId="5ED3CC76" w14:textId="7BE72289" w:rsidR="002020CF" w:rsidRDefault="002020CF" w:rsidP="007B0E81">
            <w:pPr>
              <w:pStyle w:val="TableText"/>
            </w:pPr>
            <w:r>
              <w:t>52.3% (</w:t>
            </w:r>
            <w:proofErr w:type="spellStart"/>
            <w:r>
              <w:t>HbR</w:t>
            </w:r>
            <w:proofErr w:type="spellEnd"/>
            <w:r w:rsidR="00795000">
              <w:t>, see ‘</w:t>
            </w:r>
            <w:r w:rsidR="00795000">
              <w:fldChar w:fldCharType="begin"/>
            </w:r>
            <w:r w:rsidR="00795000">
              <w:instrText xml:space="preserve"> REF _Ref149314623 \h </w:instrText>
            </w:r>
            <w:r w:rsidR="00966A31">
              <w:instrText xml:space="preserve"> \* MERGEFORMAT </w:instrText>
            </w:r>
            <w:r w:rsidR="00795000">
              <w:fldChar w:fldCharType="separate"/>
            </w:r>
            <w:r w:rsidR="007D770C">
              <w:t>Performance of current testing strategies</w:t>
            </w:r>
            <w:r w:rsidR="00795000">
              <w:fldChar w:fldCharType="end"/>
            </w:r>
            <w:r w:rsidR="00795000">
              <w:t>’</w:t>
            </w:r>
            <w:r>
              <w:t>)</w:t>
            </w:r>
          </w:p>
        </w:tc>
        <w:tc>
          <w:tcPr>
            <w:tcW w:w="5477" w:type="dxa"/>
          </w:tcPr>
          <w:p w14:paraId="7E57C658" w14:textId="40BC7ACD" w:rsidR="002020CF" w:rsidRDefault="001011DE" w:rsidP="007B0E81">
            <w:pPr>
              <w:pStyle w:val="TableText"/>
            </w:pPr>
            <w:r>
              <w:t>Analyses of the Australian-born SCD patients</w:t>
            </w:r>
            <w:r w:rsidR="00095716">
              <w:t xml:space="preserve"> </w:t>
            </w:r>
            <w:r>
              <w:t xml:space="preserve">in the </w:t>
            </w:r>
            <w:proofErr w:type="spellStart"/>
            <w:r>
              <w:t>HbR</w:t>
            </w:r>
            <w:proofErr w:type="spellEnd"/>
            <w:r>
              <w:t xml:space="preserve"> </w:t>
            </w:r>
            <w:r w:rsidR="00095716">
              <w:t>suggest that 57/109 patients did not receive a diagnosis until after presentation of symptoms.</w:t>
            </w:r>
          </w:p>
        </w:tc>
      </w:tr>
      <w:tr w:rsidR="002020CF" w:rsidRPr="00CE28E3" w14:paraId="182205C5" w14:textId="77777777" w:rsidTr="71856625">
        <w:trPr>
          <w:cantSplit/>
        </w:trPr>
        <w:tc>
          <w:tcPr>
            <w:tcW w:w="1838" w:type="dxa"/>
          </w:tcPr>
          <w:p w14:paraId="12C938F9" w14:textId="77777777" w:rsidR="002020CF" w:rsidRDefault="002020CF" w:rsidP="007B0E81">
            <w:pPr>
              <w:pStyle w:val="TableText"/>
            </w:pPr>
            <w:r>
              <w:t>Cost of testing on symptom development</w:t>
            </w:r>
          </w:p>
        </w:tc>
        <w:tc>
          <w:tcPr>
            <w:tcW w:w="1701" w:type="dxa"/>
          </w:tcPr>
          <w:p w14:paraId="4C9B660C" w14:textId="77777777" w:rsidR="002020CF" w:rsidRDefault="002020CF" w:rsidP="007B0E81">
            <w:pPr>
              <w:pStyle w:val="TableText"/>
            </w:pPr>
            <w:r>
              <w:t>$193.20</w:t>
            </w:r>
          </w:p>
        </w:tc>
        <w:tc>
          <w:tcPr>
            <w:tcW w:w="5477" w:type="dxa"/>
          </w:tcPr>
          <w:p w14:paraId="00A6C00B" w14:textId="2AAC449D" w:rsidR="002020CF" w:rsidRDefault="00567665" w:rsidP="007B0E81">
            <w:pPr>
              <w:pStyle w:val="TableText"/>
            </w:pPr>
            <w:r>
              <w:t xml:space="preserve">No information was available to inform the resource use required </w:t>
            </w:r>
            <w:r w:rsidR="001027EC">
              <w:t xml:space="preserve">to treat symptoms at the time of delayed diagnosis, and so the analysis </w:t>
            </w:r>
            <w:r w:rsidR="008228B9">
              <w:t>assume</w:t>
            </w:r>
            <w:r w:rsidR="00F76DE8">
              <w:t>d</w:t>
            </w:r>
            <w:r w:rsidR="008228B9">
              <w:t xml:space="preserve"> only the use and cost of phenotypic testing (one HPLC and one CE, each with a cost of $96.</w:t>
            </w:r>
            <w:r w:rsidR="006A1AF9">
              <w:t>60)</w:t>
            </w:r>
          </w:p>
        </w:tc>
      </w:tr>
      <w:tr w:rsidR="002020CF" w:rsidRPr="00CE28E3" w14:paraId="20077597" w14:textId="77777777" w:rsidTr="71856625">
        <w:trPr>
          <w:cantSplit/>
        </w:trPr>
        <w:tc>
          <w:tcPr>
            <w:tcW w:w="1838" w:type="dxa"/>
          </w:tcPr>
          <w:p w14:paraId="6C440AA4" w14:textId="77777777" w:rsidR="002020CF" w:rsidRDefault="002020CF" w:rsidP="007B0E81">
            <w:pPr>
              <w:pStyle w:val="TableText"/>
            </w:pPr>
            <w:r>
              <w:t>Cost per year of hydroxyurea treatment</w:t>
            </w:r>
          </w:p>
        </w:tc>
        <w:tc>
          <w:tcPr>
            <w:tcW w:w="1701" w:type="dxa"/>
          </w:tcPr>
          <w:p w14:paraId="09592423" w14:textId="2B94C520" w:rsidR="002020CF" w:rsidRPr="00DB6A8E" w:rsidRDefault="002020CF" w:rsidP="71856625">
            <w:pPr>
              <w:pStyle w:val="TableText"/>
            </w:pPr>
            <w:r w:rsidRPr="00894887">
              <w:t>$</w:t>
            </w:r>
            <w:r w:rsidR="00D571E6" w:rsidRPr="00D571E6">
              <w:rPr>
                <w:color w:val="000000"/>
                <w:spacing w:val="45"/>
                <w:shd w:val="solid" w:color="000000" w:fill="000000"/>
                <w:fitText w:val="330" w:id="-1036842496"/>
                <w14:textFill>
                  <w14:solidFill>
                    <w14:srgbClr w14:val="000000">
                      <w14:alpha w14:val="100000"/>
                    </w14:srgbClr>
                  </w14:solidFill>
                </w14:textFill>
              </w:rPr>
              <w:t>|||</w:t>
            </w:r>
            <w:r w:rsidR="00D571E6" w:rsidRPr="00D571E6">
              <w:rPr>
                <w:color w:val="000000"/>
                <w:spacing w:val="15"/>
                <w:shd w:val="solid" w:color="000000" w:fill="000000"/>
                <w:fitText w:val="330" w:id="-1036842496"/>
                <w14:textFill>
                  <w14:solidFill>
                    <w14:srgbClr w14:val="000000">
                      <w14:alpha w14:val="100000"/>
                    </w14:srgbClr>
                  </w14:solidFill>
                </w14:textFill>
              </w:rPr>
              <w:t>|</w:t>
            </w:r>
            <w:r w:rsidR="00062B0A" w:rsidRPr="00405969">
              <w:t xml:space="preserve"> </w:t>
            </w:r>
          </w:p>
        </w:tc>
        <w:tc>
          <w:tcPr>
            <w:tcW w:w="5477" w:type="dxa"/>
          </w:tcPr>
          <w:p w14:paraId="3BCC19D3" w14:textId="2CE94741" w:rsidR="002020CF" w:rsidRDefault="006D75D1" w:rsidP="007B0E81">
            <w:pPr>
              <w:pStyle w:val="TableText"/>
            </w:pPr>
            <w:r>
              <w:t xml:space="preserve">Unpublished data from the </w:t>
            </w:r>
            <w:proofErr w:type="spellStart"/>
            <w:r>
              <w:t>HbR</w:t>
            </w:r>
            <w:proofErr w:type="spellEnd"/>
            <w:r w:rsidDel="006D75D1">
              <w:t xml:space="preserve"> </w:t>
            </w:r>
            <w:r w:rsidR="002020CF">
              <w:t>estimate</w:t>
            </w:r>
            <w:r w:rsidR="007335C3">
              <w:t>d</w:t>
            </w:r>
            <w:r w:rsidR="002020CF">
              <w:t xml:space="preserve"> an average cost of </w:t>
            </w:r>
            <w:r w:rsidR="00482374">
              <w:t>hydroxyurea</w:t>
            </w:r>
            <w:r w:rsidR="002020CF">
              <w:t xml:space="preserve"> treatment in SCD patients of </w:t>
            </w:r>
            <w:r w:rsidR="002020CF" w:rsidRPr="00CD0929">
              <w:t>$</w:t>
            </w:r>
            <w:r w:rsidR="00D571E6" w:rsidRPr="00D571E6">
              <w:rPr>
                <w:color w:val="000000"/>
                <w:spacing w:val="45"/>
                <w:shd w:val="solid" w:color="000000" w:fill="000000"/>
                <w:fitText w:val="330" w:id="-1036842495"/>
                <w14:textFill>
                  <w14:solidFill>
                    <w14:srgbClr w14:val="000000">
                      <w14:alpha w14:val="100000"/>
                    </w14:srgbClr>
                  </w14:solidFill>
                </w14:textFill>
              </w:rPr>
              <w:t>|||</w:t>
            </w:r>
            <w:r w:rsidR="00D571E6" w:rsidRPr="00D571E6">
              <w:rPr>
                <w:color w:val="000000"/>
                <w:spacing w:val="15"/>
                <w:shd w:val="solid" w:color="000000" w:fill="000000"/>
                <w:fitText w:val="330" w:id="-1036842495"/>
                <w14:textFill>
                  <w14:solidFill>
                    <w14:srgbClr w14:val="000000">
                      <w14:alpha w14:val="100000"/>
                    </w14:srgbClr>
                  </w14:solidFill>
                </w14:textFill>
              </w:rPr>
              <w:t>|</w:t>
            </w:r>
            <w:r w:rsidR="002020CF">
              <w:t xml:space="preserve"> per annum. In this study, </w:t>
            </w:r>
            <w:r w:rsidR="00D571E6" w:rsidRPr="00D571E6">
              <w:rPr>
                <w:color w:val="000000"/>
                <w:spacing w:val="45"/>
                <w:shd w:val="solid" w:color="000000" w:fill="000000"/>
                <w:fitText w:val="330" w:id="-1036842494"/>
                <w14:textFill>
                  <w14:solidFill>
                    <w14:srgbClr w14:val="000000">
                      <w14:alpha w14:val="100000"/>
                    </w14:srgbClr>
                  </w14:solidFill>
                </w14:textFill>
              </w:rPr>
              <w:t>|||</w:t>
            </w:r>
            <w:r w:rsidR="00D571E6" w:rsidRPr="00D571E6">
              <w:rPr>
                <w:color w:val="000000"/>
                <w:spacing w:val="15"/>
                <w:shd w:val="solid" w:color="000000" w:fill="000000"/>
                <w:fitText w:val="330" w:id="-1036842494"/>
                <w14:textFill>
                  <w14:solidFill>
                    <w14:srgbClr w14:val="000000">
                      <w14:alpha w14:val="100000"/>
                    </w14:srgbClr>
                  </w14:solidFill>
                </w14:textFill>
              </w:rPr>
              <w:t>|</w:t>
            </w:r>
            <w:r w:rsidR="002020CF">
              <w:t>% of patients use</w:t>
            </w:r>
            <w:r w:rsidR="00F76DE8">
              <w:t>d</w:t>
            </w:r>
            <w:r w:rsidR="002020CF">
              <w:t xml:space="preserve"> hydroxyurea treatment, therefore, the cost for one year of treatment </w:t>
            </w:r>
            <w:r w:rsidR="00F76DE8">
              <w:t>wa</w:t>
            </w:r>
            <w:r w:rsidR="002020CF">
              <w:t xml:space="preserve">s estimated to be </w:t>
            </w:r>
            <w:r w:rsidR="002020CF" w:rsidRPr="00CD0929">
              <w:t>$</w:t>
            </w:r>
            <w:r w:rsidR="00D571E6" w:rsidRPr="00D571E6">
              <w:rPr>
                <w:color w:val="000000"/>
                <w:spacing w:val="45"/>
                <w:shd w:val="solid" w:color="000000" w:fill="000000"/>
                <w:fitText w:val="330" w:id="-1036842493"/>
                <w14:textFill>
                  <w14:solidFill>
                    <w14:srgbClr w14:val="000000">
                      <w14:alpha w14:val="100000"/>
                    </w14:srgbClr>
                  </w14:solidFill>
                </w14:textFill>
              </w:rPr>
              <w:t>|||</w:t>
            </w:r>
            <w:r w:rsidR="00D571E6" w:rsidRPr="00D571E6">
              <w:rPr>
                <w:color w:val="000000"/>
                <w:spacing w:val="15"/>
                <w:shd w:val="solid" w:color="000000" w:fill="000000"/>
                <w:fitText w:val="330" w:id="-1036842493"/>
                <w14:textFill>
                  <w14:solidFill>
                    <w14:srgbClr w14:val="000000">
                      <w14:alpha w14:val="100000"/>
                    </w14:srgbClr>
                  </w14:solidFill>
                </w14:textFill>
              </w:rPr>
              <w:t>|</w:t>
            </w:r>
            <w:r w:rsidR="002020CF">
              <w:t>.</w:t>
            </w:r>
          </w:p>
        </w:tc>
      </w:tr>
      <w:tr w:rsidR="002020CF" w:rsidRPr="00CE28E3" w14:paraId="4CC025DB" w14:textId="77777777" w:rsidTr="71856625">
        <w:trPr>
          <w:cantSplit/>
        </w:trPr>
        <w:tc>
          <w:tcPr>
            <w:tcW w:w="1838" w:type="dxa"/>
          </w:tcPr>
          <w:p w14:paraId="5936F5B3" w14:textId="77777777" w:rsidR="002020CF" w:rsidRDefault="002020CF" w:rsidP="007B0E81">
            <w:pPr>
              <w:pStyle w:val="TableText"/>
            </w:pPr>
            <w:r>
              <w:t>Additional use of hydroxyurea treatment in patients diagnosed earlier</w:t>
            </w:r>
          </w:p>
        </w:tc>
        <w:tc>
          <w:tcPr>
            <w:tcW w:w="1701" w:type="dxa"/>
          </w:tcPr>
          <w:p w14:paraId="2C7CB7AF" w14:textId="2EFDCEDC" w:rsidR="002020CF" w:rsidRDefault="002020CF" w:rsidP="007B0E81">
            <w:pPr>
              <w:pStyle w:val="TableText"/>
            </w:pPr>
            <w:r>
              <w:t>6.6 months</w:t>
            </w:r>
            <w:r w:rsidR="00C61533">
              <w:t xml:space="preserve"> in 57.4% of patients</w:t>
            </w:r>
            <w:r w:rsidR="007C163A">
              <w:t xml:space="preserve"> (</w:t>
            </w:r>
            <w:proofErr w:type="spellStart"/>
            <w:r w:rsidR="007C163A">
              <w:t>HbR</w:t>
            </w:r>
            <w:proofErr w:type="spellEnd"/>
            <w:r w:rsidR="007C163A">
              <w:t xml:space="preserve">, </w:t>
            </w:r>
            <w:r>
              <w:fldChar w:fldCharType="begin"/>
            </w:r>
            <w:r>
              <w:instrText xml:space="preserve"> REF _Ref128580396 \h </w:instrText>
            </w:r>
            <w:r w:rsidR="00966A31">
              <w:instrText xml:space="preserve"> \* MERGEFORMAT </w:instrText>
            </w:r>
            <w:r>
              <w:fldChar w:fldCharType="separate"/>
            </w:r>
            <w:r w:rsidR="007D770C">
              <w:t xml:space="preserve">Table </w:t>
            </w:r>
            <w:r w:rsidR="007D770C">
              <w:rPr>
                <w:noProof/>
              </w:rPr>
              <w:t>6</w:t>
            </w:r>
            <w:r>
              <w:fldChar w:fldCharType="end"/>
            </w:r>
            <w:r w:rsidR="007C163A">
              <w:t>)</w:t>
            </w:r>
          </w:p>
        </w:tc>
        <w:tc>
          <w:tcPr>
            <w:tcW w:w="5477" w:type="dxa"/>
          </w:tcPr>
          <w:p w14:paraId="427388DA" w14:textId="3C40D09A" w:rsidR="002020CF" w:rsidRDefault="005A65AC" w:rsidP="007B0E81">
            <w:pPr>
              <w:pStyle w:val="TableText"/>
            </w:pPr>
            <w:r>
              <w:t>A</w:t>
            </w:r>
            <w:r w:rsidR="002020CF">
              <w:t xml:space="preserve">dditional treatment due to earlier diagnosis </w:t>
            </w:r>
            <w:r>
              <w:t>was</w:t>
            </w:r>
            <w:r w:rsidR="002020CF">
              <w:t xml:space="preserve"> based on the time between the recommended age for commencement of hydroxyurea (9 months) and the median age of diagnosis after symptom development (15.6 months)</w:t>
            </w:r>
            <w:r w:rsidR="004C35FC">
              <w:t xml:space="preserve"> (</w:t>
            </w:r>
            <w:proofErr w:type="spellStart"/>
            <w:r w:rsidR="004C35FC">
              <w:t>HbR</w:t>
            </w:r>
            <w:proofErr w:type="spellEnd"/>
            <w:r w:rsidR="00795000">
              <w:t>, ‘</w:t>
            </w:r>
            <w:r>
              <w:fldChar w:fldCharType="begin"/>
            </w:r>
            <w:r>
              <w:instrText xml:space="preserve"> REF _Ref149571971 \h </w:instrText>
            </w:r>
            <w:r w:rsidR="00966A31">
              <w:instrText xml:space="preserve"> \* MERGEFORMAT </w:instrText>
            </w:r>
            <w:r>
              <w:fldChar w:fldCharType="separate"/>
            </w:r>
            <w:r w:rsidR="007D770C">
              <w:t>Change in management</w:t>
            </w:r>
            <w:r>
              <w:fldChar w:fldCharType="end"/>
            </w:r>
            <w:r w:rsidR="00795000">
              <w:t>’</w:t>
            </w:r>
            <w:r w:rsidR="004C35FC">
              <w:t>)</w:t>
            </w:r>
            <w:r w:rsidR="002020CF">
              <w:t>.</w:t>
            </w:r>
          </w:p>
          <w:p w14:paraId="479F7E61" w14:textId="2EF59455" w:rsidR="005F7846" w:rsidRDefault="005F7846" w:rsidP="007B0E81">
            <w:pPr>
              <w:pStyle w:val="TableText"/>
            </w:pPr>
            <w:r>
              <w:t xml:space="preserve">The proportion assumed to uptake hydroxyurea </w:t>
            </w:r>
            <w:r w:rsidR="005A65AC">
              <w:t>was not assumed to vary in those with an earlier diagnosis</w:t>
            </w:r>
            <w:r w:rsidR="00AC0C58">
              <w:t xml:space="preserve">, and so uptake across all Australian-born patients reported in the </w:t>
            </w:r>
            <w:proofErr w:type="spellStart"/>
            <w:r w:rsidR="00AC0C58">
              <w:t>HbR</w:t>
            </w:r>
            <w:proofErr w:type="spellEnd"/>
            <w:r w:rsidR="00AC0C58">
              <w:t xml:space="preserve"> data </w:t>
            </w:r>
            <w:r w:rsidR="00821131">
              <w:t xml:space="preserve">was </w:t>
            </w:r>
            <w:r w:rsidR="00AC0C58">
              <w:t>assumed</w:t>
            </w:r>
            <w:r w:rsidR="00AF558D">
              <w:t>.</w:t>
            </w:r>
          </w:p>
        </w:tc>
      </w:tr>
      <w:tr w:rsidR="002020CF" w:rsidRPr="00CE28E3" w14:paraId="0938CE2A" w14:textId="77777777" w:rsidTr="71856625">
        <w:trPr>
          <w:cantSplit/>
        </w:trPr>
        <w:tc>
          <w:tcPr>
            <w:tcW w:w="1838" w:type="dxa"/>
            <w:tcBorders>
              <w:bottom w:val="single" w:sz="4" w:space="0" w:color="auto"/>
            </w:tcBorders>
          </w:tcPr>
          <w:p w14:paraId="02791B81" w14:textId="77777777" w:rsidR="002020CF" w:rsidRDefault="002020CF" w:rsidP="007B0E81">
            <w:pPr>
              <w:pStyle w:val="TableText"/>
            </w:pPr>
            <w:r>
              <w:t>Cost per year of prophylactic antibiotic treatment</w:t>
            </w:r>
          </w:p>
        </w:tc>
        <w:tc>
          <w:tcPr>
            <w:tcW w:w="1701" w:type="dxa"/>
            <w:tcBorders>
              <w:bottom w:val="single" w:sz="4" w:space="0" w:color="auto"/>
            </w:tcBorders>
          </w:tcPr>
          <w:p w14:paraId="7B20C846" w14:textId="0A9616F9" w:rsidR="002020CF" w:rsidRPr="00DB6A8E" w:rsidRDefault="002020CF" w:rsidP="71856625">
            <w:pPr>
              <w:pStyle w:val="TableText"/>
            </w:pPr>
            <w:r w:rsidRPr="71856625">
              <w:t>$</w:t>
            </w:r>
            <w:r w:rsidR="00D571E6" w:rsidRPr="00D571E6">
              <w:rPr>
                <w:color w:val="000000"/>
                <w:spacing w:val="45"/>
                <w:shd w:val="solid" w:color="000000" w:fill="000000"/>
                <w:fitText w:val="330" w:id="-1036842492"/>
                <w14:textFill>
                  <w14:solidFill>
                    <w14:srgbClr w14:val="000000">
                      <w14:alpha w14:val="100000"/>
                    </w14:srgbClr>
                  </w14:solidFill>
                </w14:textFill>
              </w:rPr>
              <w:t>|||</w:t>
            </w:r>
            <w:r w:rsidR="00D571E6" w:rsidRPr="00D571E6">
              <w:rPr>
                <w:color w:val="000000"/>
                <w:spacing w:val="15"/>
                <w:shd w:val="solid" w:color="000000" w:fill="000000"/>
                <w:fitText w:val="330" w:id="-1036842492"/>
                <w14:textFill>
                  <w14:solidFill>
                    <w14:srgbClr w14:val="000000">
                      <w14:alpha w14:val="100000"/>
                    </w14:srgbClr>
                  </w14:solidFill>
                </w14:textFill>
              </w:rPr>
              <w:t>|</w:t>
            </w:r>
            <w:r w:rsidR="00062B0A">
              <w:t xml:space="preserve"> </w:t>
            </w:r>
          </w:p>
        </w:tc>
        <w:tc>
          <w:tcPr>
            <w:tcW w:w="5477" w:type="dxa"/>
            <w:tcBorders>
              <w:bottom w:val="single" w:sz="4" w:space="0" w:color="auto"/>
            </w:tcBorders>
          </w:tcPr>
          <w:p w14:paraId="33B03046" w14:textId="6AE03318" w:rsidR="002020CF" w:rsidRDefault="006F50F1" w:rsidP="007B0E81">
            <w:pPr>
              <w:pStyle w:val="TableText"/>
            </w:pPr>
            <w:r>
              <w:t xml:space="preserve">Unpublished data from the </w:t>
            </w:r>
            <w:proofErr w:type="spellStart"/>
            <w:r>
              <w:t>HbR</w:t>
            </w:r>
            <w:proofErr w:type="spellEnd"/>
            <w:r w:rsidDel="006F50F1">
              <w:t xml:space="preserve"> </w:t>
            </w:r>
            <w:r w:rsidR="007335C3">
              <w:t xml:space="preserve">estimated </w:t>
            </w:r>
            <w:r w:rsidR="002020CF">
              <w:t>an average cost of prophylactic antibiotic treatment in SCD patients of $</w:t>
            </w:r>
            <w:r w:rsidR="00D571E6" w:rsidRPr="00D571E6">
              <w:rPr>
                <w:color w:val="000000"/>
                <w:spacing w:val="45"/>
                <w:shd w:val="solid" w:color="000000" w:fill="000000"/>
                <w:fitText w:val="330" w:id="-1036842491"/>
                <w14:textFill>
                  <w14:solidFill>
                    <w14:srgbClr w14:val="000000">
                      <w14:alpha w14:val="100000"/>
                    </w14:srgbClr>
                  </w14:solidFill>
                </w14:textFill>
              </w:rPr>
              <w:t>|||</w:t>
            </w:r>
            <w:r w:rsidR="00D571E6" w:rsidRPr="00D571E6">
              <w:rPr>
                <w:color w:val="000000"/>
                <w:spacing w:val="15"/>
                <w:shd w:val="solid" w:color="000000" w:fill="000000"/>
                <w:fitText w:val="330" w:id="-1036842491"/>
                <w14:textFill>
                  <w14:solidFill>
                    <w14:srgbClr w14:val="000000">
                      <w14:alpha w14:val="100000"/>
                    </w14:srgbClr>
                  </w14:solidFill>
                </w14:textFill>
              </w:rPr>
              <w:t>|</w:t>
            </w:r>
            <w:r w:rsidR="002020CF">
              <w:t xml:space="preserve"> per annum. In this study, </w:t>
            </w:r>
            <w:r w:rsidR="00D571E6" w:rsidRPr="00D571E6">
              <w:rPr>
                <w:color w:val="000000"/>
                <w:spacing w:val="45"/>
                <w:shd w:val="solid" w:color="000000" w:fill="000000"/>
                <w:fitText w:val="330" w:id="-1036842490"/>
                <w14:textFill>
                  <w14:solidFill>
                    <w14:srgbClr w14:val="000000">
                      <w14:alpha w14:val="100000"/>
                    </w14:srgbClr>
                  </w14:solidFill>
                </w14:textFill>
              </w:rPr>
              <w:t>|||</w:t>
            </w:r>
            <w:r w:rsidR="00D571E6" w:rsidRPr="00D571E6">
              <w:rPr>
                <w:color w:val="000000"/>
                <w:spacing w:val="15"/>
                <w:shd w:val="solid" w:color="000000" w:fill="000000"/>
                <w:fitText w:val="330" w:id="-1036842490"/>
                <w14:textFill>
                  <w14:solidFill>
                    <w14:srgbClr w14:val="000000">
                      <w14:alpha w14:val="100000"/>
                    </w14:srgbClr>
                  </w14:solidFill>
                </w14:textFill>
              </w:rPr>
              <w:t>|</w:t>
            </w:r>
            <w:r w:rsidR="002020CF">
              <w:t xml:space="preserve">% of patients use prophylactic antibiotic treatment, therefore, the cost for one year of treatment </w:t>
            </w:r>
            <w:r w:rsidR="00F44D9A">
              <w:t>wa</w:t>
            </w:r>
            <w:r w:rsidR="002020CF">
              <w:t>s estimated to be $</w:t>
            </w:r>
            <w:r w:rsidR="00D571E6" w:rsidRPr="00D571E6">
              <w:rPr>
                <w:color w:val="000000"/>
                <w:spacing w:val="45"/>
                <w:shd w:val="solid" w:color="000000" w:fill="000000"/>
                <w:fitText w:val="330" w:id="-1036842489"/>
                <w14:textFill>
                  <w14:solidFill>
                    <w14:srgbClr w14:val="000000">
                      <w14:alpha w14:val="100000"/>
                    </w14:srgbClr>
                  </w14:solidFill>
                </w14:textFill>
              </w:rPr>
              <w:t>|||</w:t>
            </w:r>
            <w:r w:rsidR="00D571E6" w:rsidRPr="00D571E6">
              <w:rPr>
                <w:color w:val="000000"/>
                <w:spacing w:val="15"/>
                <w:shd w:val="solid" w:color="000000" w:fill="000000"/>
                <w:fitText w:val="330" w:id="-1036842489"/>
                <w14:textFill>
                  <w14:solidFill>
                    <w14:srgbClr w14:val="000000">
                      <w14:alpha w14:val="100000"/>
                    </w14:srgbClr>
                  </w14:solidFill>
                </w14:textFill>
              </w:rPr>
              <w:t>|</w:t>
            </w:r>
            <w:r w:rsidR="002020CF">
              <w:t>.</w:t>
            </w:r>
          </w:p>
        </w:tc>
      </w:tr>
      <w:tr w:rsidR="00AD7BE0" w:rsidRPr="00CE28E3" w14:paraId="64C926FA" w14:textId="77777777" w:rsidTr="71856625">
        <w:trPr>
          <w:cantSplit/>
        </w:trPr>
        <w:tc>
          <w:tcPr>
            <w:tcW w:w="1838" w:type="dxa"/>
            <w:vMerge w:val="restart"/>
          </w:tcPr>
          <w:p w14:paraId="6349E7D7" w14:textId="77777777" w:rsidR="00AD7BE0" w:rsidRDefault="00AD7BE0" w:rsidP="007B0E81">
            <w:pPr>
              <w:pStyle w:val="TableText"/>
            </w:pPr>
            <w:r>
              <w:t>Additional use of prophylactic antibiotic treatment in patients diagnosed earlier</w:t>
            </w:r>
          </w:p>
        </w:tc>
        <w:tc>
          <w:tcPr>
            <w:tcW w:w="1701" w:type="dxa"/>
            <w:tcBorders>
              <w:bottom w:val="nil"/>
            </w:tcBorders>
          </w:tcPr>
          <w:p w14:paraId="255000FE" w14:textId="5FA9901F" w:rsidR="00AD7BE0" w:rsidRDefault="00AD7BE0" w:rsidP="007B0E81">
            <w:pPr>
              <w:pStyle w:val="TableText"/>
            </w:pPr>
            <w:r>
              <w:t>12.6 months additional</w:t>
            </w:r>
            <w:r w:rsidR="004A39FC">
              <w:t xml:space="preserve"> in 66.7% of patients</w:t>
            </w:r>
            <w:r w:rsidR="00776624">
              <w:t xml:space="preserve"> (</w:t>
            </w:r>
            <w:proofErr w:type="spellStart"/>
            <w:r w:rsidR="00776624">
              <w:t>HbR</w:t>
            </w:r>
            <w:proofErr w:type="spellEnd"/>
            <w:r w:rsidR="00191B9D">
              <w:t xml:space="preserve">, </w:t>
            </w:r>
            <w:r>
              <w:fldChar w:fldCharType="begin"/>
            </w:r>
            <w:r>
              <w:instrText xml:space="preserve"> REF _Ref128580396 \h </w:instrText>
            </w:r>
            <w:r w:rsidR="00966A31">
              <w:instrText xml:space="preserve"> \* MERGEFORMAT </w:instrText>
            </w:r>
            <w:r>
              <w:fldChar w:fldCharType="separate"/>
            </w:r>
            <w:r w:rsidR="007D770C">
              <w:t xml:space="preserve">Table </w:t>
            </w:r>
            <w:r w:rsidR="007D770C">
              <w:rPr>
                <w:noProof/>
              </w:rPr>
              <w:t>6</w:t>
            </w:r>
            <w:r>
              <w:fldChar w:fldCharType="end"/>
            </w:r>
            <w:r w:rsidR="00776624">
              <w:t>)</w:t>
            </w:r>
          </w:p>
        </w:tc>
        <w:tc>
          <w:tcPr>
            <w:tcW w:w="5477" w:type="dxa"/>
            <w:tcBorders>
              <w:bottom w:val="nil"/>
            </w:tcBorders>
          </w:tcPr>
          <w:p w14:paraId="0942DA9B" w14:textId="6343D729" w:rsidR="00AD7BE0" w:rsidRDefault="00AD7BE0" w:rsidP="007B0E81">
            <w:pPr>
              <w:pStyle w:val="TableText"/>
            </w:pPr>
            <w:r>
              <w:t>Additional treatment due to earlier diagnosis was based on the recommended age for commencement of hydroxyurea (3 months) and the median age of diagnosis after symptom development (15.6 months)</w:t>
            </w:r>
            <w:r w:rsidR="00795000">
              <w:t xml:space="preserve"> (</w:t>
            </w:r>
            <w:proofErr w:type="spellStart"/>
            <w:r w:rsidR="00795000">
              <w:t>HbR</w:t>
            </w:r>
            <w:proofErr w:type="spellEnd"/>
            <w:r w:rsidR="00795000">
              <w:t>, ‘</w:t>
            </w:r>
            <w:r>
              <w:fldChar w:fldCharType="begin"/>
            </w:r>
            <w:r>
              <w:instrText xml:space="preserve"> REF _Ref149571971 \h </w:instrText>
            </w:r>
            <w:r w:rsidR="00966A31">
              <w:instrText xml:space="preserve"> \* MERGEFORMAT </w:instrText>
            </w:r>
            <w:r>
              <w:fldChar w:fldCharType="separate"/>
            </w:r>
            <w:r w:rsidR="007D770C">
              <w:t>Change in management</w:t>
            </w:r>
            <w:r>
              <w:fldChar w:fldCharType="end"/>
            </w:r>
            <w:r w:rsidR="00795000">
              <w:t>’)</w:t>
            </w:r>
            <w:r>
              <w:t>.</w:t>
            </w:r>
          </w:p>
        </w:tc>
      </w:tr>
      <w:tr w:rsidR="00AD7BE0" w:rsidRPr="00CE28E3" w14:paraId="0641E439" w14:textId="77777777" w:rsidTr="71856625">
        <w:trPr>
          <w:cantSplit/>
        </w:trPr>
        <w:tc>
          <w:tcPr>
            <w:tcW w:w="1838" w:type="dxa"/>
            <w:vMerge/>
          </w:tcPr>
          <w:p w14:paraId="13E92747" w14:textId="77777777" w:rsidR="00AD7BE0" w:rsidRDefault="00AD7BE0" w:rsidP="007B0E81">
            <w:pPr>
              <w:pStyle w:val="TableText"/>
            </w:pPr>
          </w:p>
        </w:tc>
        <w:tc>
          <w:tcPr>
            <w:tcW w:w="1701" w:type="dxa"/>
            <w:tcBorders>
              <w:top w:val="nil"/>
            </w:tcBorders>
          </w:tcPr>
          <w:p w14:paraId="72949C31" w14:textId="07DD7407" w:rsidR="00AD7BE0" w:rsidRDefault="00AD7BE0" w:rsidP="007B0E81">
            <w:pPr>
              <w:pStyle w:val="TableText"/>
            </w:pPr>
            <w:r>
              <w:t>19.3% higher use ongoing</w:t>
            </w:r>
            <w:r w:rsidR="00776624">
              <w:t xml:space="preserve"> (</w:t>
            </w:r>
            <w:proofErr w:type="spellStart"/>
            <w:r w:rsidR="00776624">
              <w:t>HbR</w:t>
            </w:r>
            <w:proofErr w:type="spellEnd"/>
            <w:r w:rsidR="00191B9D">
              <w:t xml:space="preserve">, </w:t>
            </w:r>
            <w:r>
              <w:fldChar w:fldCharType="begin"/>
            </w:r>
            <w:r>
              <w:instrText xml:space="preserve"> REF _Ref128580396 \h </w:instrText>
            </w:r>
            <w:r w:rsidR="00966A31">
              <w:instrText xml:space="preserve"> \* MERGEFORMAT </w:instrText>
            </w:r>
            <w:r>
              <w:fldChar w:fldCharType="separate"/>
            </w:r>
            <w:r w:rsidR="007D770C">
              <w:t xml:space="preserve">Table </w:t>
            </w:r>
            <w:r w:rsidR="007D770C">
              <w:rPr>
                <w:noProof/>
              </w:rPr>
              <w:t>6</w:t>
            </w:r>
            <w:r>
              <w:fldChar w:fldCharType="end"/>
            </w:r>
            <w:r w:rsidR="00776624">
              <w:t>)</w:t>
            </w:r>
          </w:p>
        </w:tc>
        <w:tc>
          <w:tcPr>
            <w:tcW w:w="5477" w:type="dxa"/>
            <w:tcBorders>
              <w:top w:val="nil"/>
            </w:tcBorders>
          </w:tcPr>
          <w:p w14:paraId="4A38F5FE" w14:textId="53FBEDFF" w:rsidR="00AD7BE0" w:rsidRDefault="00AD7BE0" w:rsidP="007B0E81">
            <w:pPr>
              <w:pStyle w:val="TableText"/>
            </w:pPr>
            <w:proofErr w:type="spellStart"/>
            <w:r>
              <w:t>HbR</w:t>
            </w:r>
            <w:proofErr w:type="spellEnd"/>
            <w:r>
              <w:t xml:space="preserve"> data also report</w:t>
            </w:r>
            <w:r w:rsidR="00F44D9A">
              <w:t>ed</w:t>
            </w:r>
            <w:r>
              <w:t xml:space="preserve"> higher use of prophylactic antibiotics (66.7% vs 47.4%). It is unclear whether these data reflect current (</w:t>
            </w:r>
            <w:proofErr w:type="gramStart"/>
            <w:r>
              <w:t>i.e.</w:t>
            </w:r>
            <w:proofErr w:type="gramEnd"/>
            <w:r>
              <w:t xml:space="preserve"> ongoing) use, or a history of use. If these reflect the extent of current use, differences in age across groups may confound these differences.</w:t>
            </w:r>
          </w:p>
        </w:tc>
      </w:tr>
      <w:tr w:rsidR="002020CF" w:rsidRPr="00CE28E3" w14:paraId="0A10866E" w14:textId="77777777" w:rsidTr="71856625">
        <w:trPr>
          <w:cantSplit/>
        </w:trPr>
        <w:tc>
          <w:tcPr>
            <w:tcW w:w="1838" w:type="dxa"/>
            <w:tcBorders>
              <w:top w:val="nil"/>
            </w:tcBorders>
          </w:tcPr>
          <w:p w14:paraId="28DD151B" w14:textId="77777777" w:rsidR="002020CF" w:rsidRDefault="002020CF" w:rsidP="007B0E81">
            <w:pPr>
              <w:pStyle w:val="TableText"/>
            </w:pPr>
            <w:r>
              <w:t>Increase in TCD use in patients diagnosed earlier</w:t>
            </w:r>
          </w:p>
        </w:tc>
        <w:tc>
          <w:tcPr>
            <w:tcW w:w="1701" w:type="dxa"/>
            <w:tcBorders>
              <w:top w:val="nil"/>
            </w:tcBorders>
          </w:tcPr>
          <w:p w14:paraId="447F81B4" w14:textId="2E7BF073" w:rsidR="002020CF" w:rsidRDefault="002020CF" w:rsidP="007B0E81">
            <w:pPr>
              <w:pStyle w:val="TableText"/>
            </w:pPr>
            <w:r>
              <w:t>28.0%</w:t>
            </w:r>
            <w:r w:rsidR="00DB62EC">
              <w:t xml:space="preserve"> (</w:t>
            </w:r>
            <w:proofErr w:type="spellStart"/>
            <w:r w:rsidR="00DB62EC">
              <w:t>HbR</w:t>
            </w:r>
            <w:proofErr w:type="spellEnd"/>
            <w:r w:rsidR="00191B9D">
              <w:t xml:space="preserve">, </w:t>
            </w:r>
            <w:r>
              <w:fldChar w:fldCharType="begin"/>
            </w:r>
            <w:r>
              <w:instrText xml:space="preserve"> REF _Ref128580396 \h </w:instrText>
            </w:r>
            <w:r w:rsidR="00966A31">
              <w:instrText xml:space="preserve"> \* MERGEFORMAT </w:instrText>
            </w:r>
            <w:r>
              <w:fldChar w:fldCharType="separate"/>
            </w:r>
            <w:r w:rsidR="007D770C">
              <w:t xml:space="preserve">Table </w:t>
            </w:r>
            <w:r w:rsidR="007D770C">
              <w:rPr>
                <w:noProof/>
              </w:rPr>
              <w:t>6</w:t>
            </w:r>
            <w:r>
              <w:fldChar w:fldCharType="end"/>
            </w:r>
            <w:r w:rsidR="00DB62EC">
              <w:t>)</w:t>
            </w:r>
          </w:p>
        </w:tc>
        <w:tc>
          <w:tcPr>
            <w:tcW w:w="5477" w:type="dxa"/>
            <w:tcBorders>
              <w:top w:val="nil"/>
            </w:tcBorders>
          </w:tcPr>
          <w:p w14:paraId="6A9FA882" w14:textId="4D5D7D9F" w:rsidR="002020CF" w:rsidRDefault="00183730" w:rsidP="00DB62EC">
            <w:pPr>
              <w:pStyle w:val="TableText"/>
            </w:pPr>
            <w:proofErr w:type="spellStart"/>
            <w:r>
              <w:t>HbR</w:t>
            </w:r>
            <w:proofErr w:type="spellEnd"/>
            <w:r>
              <w:t xml:space="preserve"> data </w:t>
            </w:r>
            <w:r w:rsidR="00F7683E">
              <w:t>report</w:t>
            </w:r>
            <w:r w:rsidR="006A4BE9">
              <w:t>ed</w:t>
            </w:r>
            <w:r>
              <w:t xml:space="preserve"> a higher proportion </w:t>
            </w:r>
            <w:r w:rsidR="00E73282">
              <w:t xml:space="preserve">of TCD screening performed. </w:t>
            </w:r>
            <w:r w:rsidR="00296CA6">
              <w:t xml:space="preserve">It </w:t>
            </w:r>
            <w:r w:rsidR="00BB2CC8">
              <w:t>wa</w:t>
            </w:r>
            <w:r w:rsidR="00296CA6">
              <w:t xml:space="preserve">s unclear based on these data when screening started </w:t>
            </w:r>
            <w:r w:rsidR="00A63680">
              <w:t>or how frequently patients were screened.</w:t>
            </w:r>
            <w:r w:rsidR="00E175EF">
              <w:t xml:space="preserve"> </w:t>
            </w:r>
            <w:r w:rsidR="004223BC">
              <w:t>The analyses</w:t>
            </w:r>
            <w:r w:rsidR="00BF2B69">
              <w:t xml:space="preserve"> therefore</w:t>
            </w:r>
            <w:r w:rsidR="004223BC">
              <w:t xml:space="preserve"> assume</w:t>
            </w:r>
            <w:r w:rsidR="007A53F7">
              <w:t>d</w:t>
            </w:r>
            <w:r w:rsidR="004223BC">
              <w:t xml:space="preserve"> a 28.0% increase in adherence to recommended screening </w:t>
            </w:r>
            <w:r w:rsidR="005467A0">
              <w:t>(</w:t>
            </w:r>
            <w:proofErr w:type="gramStart"/>
            <w:r w:rsidR="005467A0">
              <w:t>i.e.</w:t>
            </w:r>
            <w:proofErr w:type="gramEnd"/>
            <w:r w:rsidR="005467A0">
              <w:t xml:space="preserve"> annually from </w:t>
            </w:r>
            <w:r w:rsidR="002020CF">
              <w:t>age 2</w:t>
            </w:r>
            <w:r w:rsidR="005467A0">
              <w:t>)</w:t>
            </w:r>
            <w:r w:rsidR="002020CF">
              <w:t xml:space="preserve">. </w:t>
            </w:r>
          </w:p>
        </w:tc>
      </w:tr>
      <w:tr w:rsidR="002020CF" w:rsidRPr="00CE28E3" w14:paraId="7A928442" w14:textId="77777777" w:rsidTr="71856625">
        <w:trPr>
          <w:cantSplit/>
        </w:trPr>
        <w:tc>
          <w:tcPr>
            <w:tcW w:w="1838" w:type="dxa"/>
            <w:tcBorders>
              <w:top w:val="nil"/>
            </w:tcBorders>
          </w:tcPr>
          <w:p w14:paraId="3701DF76" w14:textId="77777777" w:rsidR="002020CF" w:rsidRDefault="002020CF" w:rsidP="007B0E81">
            <w:pPr>
              <w:pStyle w:val="TableText"/>
            </w:pPr>
            <w:r>
              <w:t>Cost per TCD</w:t>
            </w:r>
          </w:p>
        </w:tc>
        <w:tc>
          <w:tcPr>
            <w:tcW w:w="1701" w:type="dxa"/>
            <w:tcBorders>
              <w:top w:val="nil"/>
            </w:tcBorders>
          </w:tcPr>
          <w:p w14:paraId="5DE67FDE" w14:textId="77777777" w:rsidR="002020CF" w:rsidRDefault="002020CF" w:rsidP="007B0E81">
            <w:pPr>
              <w:pStyle w:val="TableText"/>
            </w:pPr>
            <w:r>
              <w:t>$82.90 (MBS item 11614)</w:t>
            </w:r>
          </w:p>
        </w:tc>
        <w:tc>
          <w:tcPr>
            <w:tcW w:w="5477" w:type="dxa"/>
            <w:tcBorders>
              <w:top w:val="nil"/>
            </w:tcBorders>
          </w:tcPr>
          <w:p w14:paraId="6EC444DB" w14:textId="77777777" w:rsidR="002020CF" w:rsidRDefault="002020CF" w:rsidP="007B0E81">
            <w:pPr>
              <w:pStyle w:val="TableText"/>
            </w:pPr>
            <w:r>
              <w:t>All assumed in outpatient setting (85% benefit, $70.50)</w:t>
            </w:r>
          </w:p>
        </w:tc>
      </w:tr>
      <w:tr w:rsidR="002020CF" w:rsidRPr="00CE28E3" w14:paraId="74A6DE9C" w14:textId="77777777" w:rsidTr="71856625">
        <w:trPr>
          <w:cantSplit/>
        </w:trPr>
        <w:tc>
          <w:tcPr>
            <w:tcW w:w="1838" w:type="dxa"/>
          </w:tcPr>
          <w:p w14:paraId="61E8DE2C" w14:textId="77777777" w:rsidR="002020CF" w:rsidRDefault="002020CF" w:rsidP="007B0E81">
            <w:pPr>
              <w:pStyle w:val="TableText"/>
            </w:pPr>
            <w:r>
              <w:t>Reduction in hospitalisations in patients diagnosed earlier</w:t>
            </w:r>
          </w:p>
        </w:tc>
        <w:tc>
          <w:tcPr>
            <w:tcW w:w="1701" w:type="dxa"/>
          </w:tcPr>
          <w:p w14:paraId="0FC1B7C3" w14:textId="77777777" w:rsidR="007D770C" w:rsidRPr="007D770C" w:rsidRDefault="002020CF" w:rsidP="007D770C">
            <w:pPr>
              <w:pStyle w:val="TableText"/>
            </w:pPr>
            <w:r>
              <w:t>0.79 per patient per year</w:t>
            </w:r>
            <w:r w:rsidR="00776624">
              <w:t xml:space="preserve"> (</w:t>
            </w:r>
            <w:proofErr w:type="spellStart"/>
            <w:r w:rsidR="00776624">
              <w:t>HbR</w:t>
            </w:r>
            <w:proofErr w:type="spellEnd"/>
            <w:r w:rsidR="00191B9D">
              <w:t xml:space="preserve">, </w:t>
            </w:r>
            <w:r>
              <w:fldChar w:fldCharType="begin"/>
            </w:r>
            <w:r>
              <w:instrText xml:space="preserve"> REF _Ref149571786 \h </w:instrText>
            </w:r>
            <w:r w:rsidR="00966A31">
              <w:instrText xml:space="preserve"> \* MERGEFORMAT </w:instrText>
            </w:r>
            <w:r>
              <w:fldChar w:fldCharType="separate"/>
            </w:r>
          </w:p>
          <w:p w14:paraId="3DA0241D" w14:textId="1EA38D90" w:rsidR="002020CF" w:rsidRDefault="007D770C" w:rsidP="007B0E81">
            <w:pPr>
              <w:pStyle w:val="TableText"/>
            </w:pPr>
            <w:r>
              <w:t>Table</w:t>
            </w:r>
            <w:r>
              <w:rPr>
                <w:noProof/>
              </w:rPr>
              <w:t xml:space="preserve"> 7</w:t>
            </w:r>
            <w:r w:rsidR="002020CF">
              <w:fldChar w:fldCharType="end"/>
            </w:r>
            <w:r w:rsidR="00776624">
              <w:t>)</w:t>
            </w:r>
          </w:p>
        </w:tc>
        <w:tc>
          <w:tcPr>
            <w:tcW w:w="5477" w:type="dxa"/>
          </w:tcPr>
          <w:p w14:paraId="4396361D" w14:textId="30CA3EAB" w:rsidR="002020CF" w:rsidRDefault="00F7683E" w:rsidP="007B0E81">
            <w:pPr>
              <w:pStyle w:val="TableText"/>
            </w:pPr>
            <w:proofErr w:type="spellStart"/>
            <w:r>
              <w:t>HbR</w:t>
            </w:r>
            <w:proofErr w:type="spellEnd"/>
            <w:r>
              <w:t xml:space="preserve"> data report</w:t>
            </w:r>
            <w:r w:rsidR="00F6241E">
              <w:t>ed</w:t>
            </w:r>
            <w:r>
              <w:t xml:space="preserve"> a significant reduction in hospital admissions in the preceding 12 months in patients who received </w:t>
            </w:r>
            <w:r w:rsidR="00715CFE">
              <w:t xml:space="preserve">their diagnosis prior to symptom development. </w:t>
            </w:r>
            <w:r w:rsidR="0088668D">
              <w:t xml:space="preserve">It is unclear whether the extent in the reduction of hospitalisation use reported would apply from birth </w:t>
            </w:r>
            <w:r w:rsidR="00F75F3E">
              <w:t xml:space="preserve">and how this may vary over time </w:t>
            </w:r>
            <w:r w:rsidR="0088668D">
              <w:t xml:space="preserve">given that patients in the </w:t>
            </w:r>
            <w:r w:rsidR="00787E55">
              <w:t>registry</w:t>
            </w:r>
            <w:r w:rsidR="0088668D">
              <w:t xml:space="preserve"> had a median </w:t>
            </w:r>
            <w:r w:rsidR="002D4AF4">
              <w:t xml:space="preserve">current </w:t>
            </w:r>
            <w:r w:rsidR="0088668D">
              <w:t xml:space="preserve">age of 15.0 (IQR: 7.6, 25.0) and 12.1 (IQR: 1.7, 15.0) years, </w:t>
            </w:r>
            <w:r w:rsidR="00D31CFD">
              <w:t xml:space="preserve">for those diagnosed at/after symptoms and those diagnosed from targeted testing </w:t>
            </w:r>
            <w:r w:rsidR="0088668D">
              <w:t>respectively</w:t>
            </w:r>
            <w:r w:rsidR="006F50AF">
              <w:t xml:space="preserve">. </w:t>
            </w:r>
            <w:r w:rsidR="00F653A2">
              <w:t xml:space="preserve">Further, differences in age across groups </w:t>
            </w:r>
            <w:r w:rsidR="00A67FA4">
              <w:t xml:space="preserve">may confound these differences. </w:t>
            </w:r>
            <w:r w:rsidR="001F2397">
              <w:t xml:space="preserve">Given these uncertainties, </w:t>
            </w:r>
            <w:r w:rsidR="00692EE9">
              <w:t xml:space="preserve">analyses </w:t>
            </w:r>
            <w:r w:rsidR="00D31CFD">
              <w:t xml:space="preserve">that </w:t>
            </w:r>
            <w:r w:rsidR="00692EE9">
              <w:t xml:space="preserve">assume </w:t>
            </w:r>
            <w:r w:rsidR="00DB5DE5">
              <w:t>the reduction in hospitalisation appl</w:t>
            </w:r>
            <w:r w:rsidR="00D31CFD">
              <w:t>ies</w:t>
            </w:r>
            <w:r w:rsidR="00DB5DE5">
              <w:t xml:space="preserve"> from birth (and do</w:t>
            </w:r>
            <w:r w:rsidR="00D31CFD">
              <w:t>es</w:t>
            </w:r>
            <w:r w:rsidR="00DB5DE5">
              <w:t xml:space="preserve"> not change over time) are presented, </w:t>
            </w:r>
            <w:r w:rsidR="00D31CFD">
              <w:t>al</w:t>
            </w:r>
            <w:r w:rsidR="00DB5DE5">
              <w:t>though should be interpreted with caution.</w:t>
            </w:r>
          </w:p>
        </w:tc>
      </w:tr>
      <w:tr w:rsidR="002020CF" w:rsidRPr="00CE28E3" w14:paraId="21BAE52F" w14:textId="77777777" w:rsidTr="71856625">
        <w:trPr>
          <w:cantSplit/>
        </w:trPr>
        <w:tc>
          <w:tcPr>
            <w:tcW w:w="1838" w:type="dxa"/>
          </w:tcPr>
          <w:p w14:paraId="40B6EBFA" w14:textId="77777777" w:rsidR="002020CF" w:rsidRDefault="002020CF" w:rsidP="007B0E81">
            <w:pPr>
              <w:pStyle w:val="TableText"/>
            </w:pPr>
            <w:r>
              <w:t>Cost per hospitalisation</w:t>
            </w:r>
          </w:p>
        </w:tc>
        <w:tc>
          <w:tcPr>
            <w:tcW w:w="1701" w:type="dxa"/>
          </w:tcPr>
          <w:p w14:paraId="44879F7A" w14:textId="320A0256" w:rsidR="002020CF" w:rsidRPr="00DB6A8E" w:rsidRDefault="002020CF" w:rsidP="71856625">
            <w:pPr>
              <w:pStyle w:val="TableText"/>
            </w:pPr>
            <w:r w:rsidRPr="71856625">
              <w:t>$</w:t>
            </w:r>
            <w:r w:rsidR="00D571E6" w:rsidRPr="00D571E6">
              <w:rPr>
                <w:color w:val="000000"/>
                <w:spacing w:val="53"/>
                <w:shd w:val="solid" w:color="000000" w:fill="000000"/>
                <w:fitText w:val="330" w:id="-1036842488"/>
                <w14:textFill>
                  <w14:solidFill>
                    <w14:srgbClr w14:val="000000">
                      <w14:alpha w14:val="100000"/>
                    </w14:srgbClr>
                  </w14:solidFill>
                </w14:textFill>
              </w:rPr>
              <w:t>|||</w:t>
            </w:r>
            <w:r w:rsidR="00D571E6" w:rsidRPr="00D571E6">
              <w:rPr>
                <w:color w:val="000000"/>
                <w:spacing w:val="1"/>
                <w:shd w:val="solid" w:color="000000" w:fill="000000"/>
                <w:fitText w:val="330" w:id="-1036842488"/>
                <w14:textFill>
                  <w14:solidFill>
                    <w14:srgbClr w14:val="000000">
                      <w14:alpha w14:val="100000"/>
                    </w14:srgbClr>
                  </w14:solidFill>
                </w14:textFill>
              </w:rPr>
              <w:t>|</w:t>
            </w:r>
            <w:r w:rsidR="00062B0A">
              <w:t xml:space="preserve"> </w:t>
            </w:r>
          </w:p>
        </w:tc>
        <w:tc>
          <w:tcPr>
            <w:tcW w:w="5477" w:type="dxa"/>
          </w:tcPr>
          <w:p w14:paraId="21FDD401" w14:textId="7E92C271" w:rsidR="002020CF" w:rsidRDefault="004A3E98" w:rsidP="007B0E81">
            <w:pPr>
              <w:pStyle w:val="TableText"/>
            </w:pPr>
            <w:r>
              <w:t xml:space="preserve">Unpublished data from the </w:t>
            </w:r>
            <w:proofErr w:type="spellStart"/>
            <w:r>
              <w:t>HbR</w:t>
            </w:r>
            <w:proofErr w:type="spellEnd"/>
            <w:r w:rsidDel="004A3E98">
              <w:t xml:space="preserve"> </w:t>
            </w:r>
            <w:r w:rsidR="007335C3">
              <w:t xml:space="preserve">reported </w:t>
            </w:r>
            <w:r w:rsidR="002020CF">
              <w:t>per SCD patient an average cost per year of hospitalisations of $</w:t>
            </w:r>
            <w:r w:rsidR="00D571E6" w:rsidRPr="00D571E6">
              <w:rPr>
                <w:color w:val="000000"/>
                <w:spacing w:val="49"/>
                <w:shd w:val="solid" w:color="000000" w:fill="000000"/>
                <w:fitText w:val="320" w:id="-1036842487"/>
                <w14:textFill>
                  <w14:solidFill>
                    <w14:srgbClr w14:val="000000">
                      <w14:alpha w14:val="100000"/>
                    </w14:srgbClr>
                  </w14:solidFill>
                </w14:textFill>
              </w:rPr>
              <w:t>|||</w:t>
            </w:r>
            <w:r w:rsidR="00D571E6" w:rsidRPr="00D571E6">
              <w:rPr>
                <w:color w:val="000000"/>
                <w:spacing w:val="3"/>
                <w:shd w:val="solid" w:color="000000" w:fill="000000"/>
                <w:fitText w:val="320" w:id="-1036842487"/>
                <w14:textFill>
                  <w14:solidFill>
                    <w14:srgbClr w14:val="000000">
                      <w14:alpha w14:val="100000"/>
                    </w14:srgbClr>
                  </w14:solidFill>
                </w14:textFill>
              </w:rPr>
              <w:t>|</w:t>
            </w:r>
            <w:r w:rsidR="002020CF">
              <w:t xml:space="preserve"> for </w:t>
            </w:r>
            <w:r w:rsidR="00D571E6" w:rsidRPr="00D571E6">
              <w:rPr>
                <w:color w:val="000000"/>
                <w:spacing w:val="53"/>
                <w:shd w:val="solid" w:color="000000" w:fill="000000"/>
                <w:fitText w:val="330" w:id="-1036842486"/>
                <w14:textFill>
                  <w14:solidFill>
                    <w14:srgbClr w14:val="000000">
                      <w14:alpha w14:val="100000"/>
                    </w14:srgbClr>
                  </w14:solidFill>
                </w14:textFill>
              </w:rPr>
              <w:t>|||</w:t>
            </w:r>
            <w:r w:rsidR="00D571E6" w:rsidRPr="00D571E6">
              <w:rPr>
                <w:color w:val="000000"/>
                <w:spacing w:val="1"/>
                <w:shd w:val="solid" w:color="000000" w:fill="000000"/>
                <w:fitText w:val="330" w:id="-1036842486"/>
                <w14:textFill>
                  <w14:solidFill>
                    <w14:srgbClr w14:val="000000">
                      <w14:alpha w14:val="100000"/>
                    </w14:srgbClr>
                  </w14:solidFill>
                </w14:textFill>
              </w:rPr>
              <w:t>|</w:t>
            </w:r>
            <w:r w:rsidR="002020CF">
              <w:t xml:space="preserve"> admissions</w:t>
            </w:r>
            <w:r w:rsidR="0074617E">
              <w:t xml:space="preserve">, therefore, the cost per hospital admission </w:t>
            </w:r>
            <w:r w:rsidR="004C3431">
              <w:t>wa</w:t>
            </w:r>
            <w:r w:rsidR="0074617E">
              <w:t>s estimated to be $</w:t>
            </w:r>
            <w:r w:rsidR="00D571E6" w:rsidRPr="00D571E6">
              <w:rPr>
                <w:color w:val="000000"/>
                <w:spacing w:val="53"/>
                <w:shd w:val="solid" w:color="000000" w:fill="000000"/>
                <w:fitText w:val="330" w:id="-1036842485"/>
                <w14:textFill>
                  <w14:solidFill>
                    <w14:srgbClr w14:val="000000">
                      <w14:alpha w14:val="100000"/>
                    </w14:srgbClr>
                  </w14:solidFill>
                </w14:textFill>
              </w:rPr>
              <w:t>|||</w:t>
            </w:r>
            <w:r w:rsidR="00D571E6" w:rsidRPr="00D571E6">
              <w:rPr>
                <w:color w:val="000000"/>
                <w:spacing w:val="1"/>
                <w:shd w:val="solid" w:color="000000" w:fill="000000"/>
                <w:fitText w:val="330" w:id="-1036842485"/>
                <w14:textFill>
                  <w14:solidFill>
                    <w14:srgbClr w14:val="000000">
                      <w14:alpha w14:val="100000"/>
                    </w14:srgbClr>
                  </w14:solidFill>
                </w14:textFill>
              </w:rPr>
              <w:t>|</w:t>
            </w:r>
            <w:r w:rsidR="0074617E">
              <w:t>.</w:t>
            </w:r>
          </w:p>
        </w:tc>
      </w:tr>
    </w:tbl>
    <w:p w14:paraId="1F9A8613" w14:textId="00204A67" w:rsidR="004B580A" w:rsidRDefault="004B580A" w:rsidP="002020CF">
      <w:pPr>
        <w:pStyle w:val="TableFigureFooter"/>
      </w:pPr>
      <w:r>
        <w:t xml:space="preserve">Note: </w:t>
      </w:r>
      <w:r w:rsidRPr="004B580A">
        <w:rPr>
          <w:shd w:val="clear" w:color="auto" w:fill="B4C6E7" w:themeFill="accent5" w:themeFillTint="66"/>
        </w:rPr>
        <w:t>Shaded</w:t>
      </w:r>
      <w:r>
        <w:t xml:space="preserve"> cells depict those elements that are unchanged from the </w:t>
      </w:r>
      <w:r w:rsidR="00517CFB">
        <w:t>1737</w:t>
      </w:r>
      <w:r>
        <w:t xml:space="preserve"> DCAR.</w:t>
      </w:r>
    </w:p>
    <w:p w14:paraId="19F7061B" w14:textId="65BE4A45" w:rsidR="002020CF" w:rsidRDefault="00D904DF" w:rsidP="002020CF">
      <w:pPr>
        <w:pStyle w:val="TableFigureFooter"/>
      </w:pPr>
      <w:r>
        <w:t xml:space="preserve">CE = capillary electrophoresis; </w:t>
      </w:r>
      <w:r w:rsidR="00BD3E4A">
        <w:t xml:space="preserve">ESI-MS/MS = Electrospray Ionization tandem mass spectrometry; </w:t>
      </w:r>
      <w:proofErr w:type="spellStart"/>
      <w:r w:rsidR="00C150E7">
        <w:t>HbR</w:t>
      </w:r>
      <w:proofErr w:type="spellEnd"/>
      <w:r w:rsidR="00C150E7">
        <w:t xml:space="preserve"> = Australian Haemoglobinopathy Registry; </w:t>
      </w:r>
      <w:r w:rsidR="008C5F07">
        <w:t xml:space="preserve">HPLC = high performance liquid chromatography; </w:t>
      </w:r>
      <w:r w:rsidR="002020CF">
        <w:t>SCD = sickle-cell disease</w:t>
      </w:r>
      <w:r w:rsidR="008C5F07">
        <w:t xml:space="preserve">; TCD = transcranial </w:t>
      </w:r>
      <w:r w:rsidR="00BB2CC8">
        <w:t>D</w:t>
      </w:r>
      <w:r w:rsidR="008C5F07">
        <w:t>oppler</w:t>
      </w:r>
      <w:r w:rsidR="004B0BA4">
        <w:t>; WA = Western Australia</w:t>
      </w:r>
      <w:r w:rsidR="002020CF">
        <w:t>.</w:t>
      </w:r>
    </w:p>
    <w:p w14:paraId="3877D69C" w14:textId="0F7C8A29" w:rsidR="00AF61AC" w:rsidRDefault="000C7F72" w:rsidP="002020CF">
      <w:pPr>
        <w:pStyle w:val="TableFigureFooter"/>
      </w:pPr>
      <w:proofErr w:type="gramStart"/>
      <w:r w:rsidRPr="000C7F72">
        <w:rPr>
          <w:vertAlign w:val="superscript"/>
        </w:rPr>
        <w:t>a</w:t>
      </w:r>
      <w:proofErr w:type="gramEnd"/>
      <w:r>
        <w:t xml:space="preserve"> </w:t>
      </w:r>
      <w:r w:rsidR="00483CDC" w:rsidRPr="00483CDC">
        <w:t>Australian Bureau of Statistics [ABS] 2022, Births, Australia. Births registered, 1933 to 2021(a), Commonwealth of Australia, Canberra, viewed 14 March 2023</w:t>
      </w:r>
      <w:r>
        <w:t xml:space="preserve">. Available from: </w:t>
      </w:r>
      <w:hyperlink r:id="rId12" w:history="1">
        <w:r w:rsidRPr="00DA4850">
          <w:rPr>
            <w:rStyle w:val="Hyperlink"/>
          </w:rPr>
          <w:t>https://www.abs.gov.au/statistics/people/population/births-australia/latest-release</w:t>
        </w:r>
      </w:hyperlink>
      <w:r>
        <w:t xml:space="preserve">. </w:t>
      </w:r>
    </w:p>
    <w:p w14:paraId="41E81BCB" w14:textId="4BB6D6D1" w:rsidR="00483CDC" w:rsidRDefault="000C7F72" w:rsidP="002020CF">
      <w:pPr>
        <w:pStyle w:val="TableFigureFooter"/>
      </w:pPr>
      <w:r w:rsidRPr="000C7F72">
        <w:rPr>
          <w:vertAlign w:val="superscript"/>
        </w:rPr>
        <w:t>b</w:t>
      </w:r>
      <w:r>
        <w:t xml:space="preserve"> </w:t>
      </w:r>
      <w:r w:rsidR="00E13A59" w:rsidRPr="00E13A59">
        <w:t>Australian Bureau of Statistics [ABS] 2018, 3222.0 Population Projections, Australia, 2017 (base) – 2066, Commonwealth of Australia, Canberra, viewed 14 March 2023</w:t>
      </w:r>
      <w:r>
        <w:t>.</w:t>
      </w:r>
      <w:r w:rsidRPr="000C7F72">
        <w:t xml:space="preserve"> </w:t>
      </w:r>
      <w:r>
        <w:t xml:space="preserve">Available from: </w:t>
      </w:r>
      <w:hyperlink r:id="rId13" w:history="1">
        <w:r w:rsidRPr="00DA4850">
          <w:rPr>
            <w:rStyle w:val="Hyperlink"/>
          </w:rPr>
          <w:t>https://www.abs.gov.au/statistics/people/population/population-projections-australia/latest-release</w:t>
        </w:r>
      </w:hyperlink>
      <w:r>
        <w:t xml:space="preserve">. </w:t>
      </w:r>
    </w:p>
    <w:p w14:paraId="45147433" w14:textId="7D0A6ECE" w:rsidR="00C21746" w:rsidRDefault="000C7F72" w:rsidP="002020CF">
      <w:pPr>
        <w:pStyle w:val="TableFigureFooter"/>
      </w:pPr>
      <w:r w:rsidRPr="000C7F72">
        <w:rPr>
          <w:vertAlign w:val="superscript"/>
        </w:rPr>
        <w:t>c</w:t>
      </w:r>
      <w:r>
        <w:t xml:space="preserve"> </w:t>
      </w:r>
      <w:r w:rsidR="00C21746" w:rsidRPr="00C21746">
        <w:t xml:space="preserve">Huynh, T, Greaves, R, </w:t>
      </w:r>
      <w:proofErr w:type="spellStart"/>
      <w:r w:rsidR="00C21746" w:rsidRPr="00C21746">
        <w:t>Mawad</w:t>
      </w:r>
      <w:proofErr w:type="spellEnd"/>
      <w:r w:rsidR="00C21746" w:rsidRPr="00C21746">
        <w:t xml:space="preserve">, N, Greed, L, Wotton, T, Wiley, V, Ranieri, E, Rankin, W, </w:t>
      </w:r>
      <w:proofErr w:type="spellStart"/>
      <w:r w:rsidR="00C21746" w:rsidRPr="00C21746">
        <w:t>Ungerer</w:t>
      </w:r>
      <w:proofErr w:type="spellEnd"/>
      <w:r w:rsidR="00C21746" w:rsidRPr="00C21746">
        <w:t xml:space="preserve">, J, Price, R, Webster, D &amp; Heather, N 2022, </w:t>
      </w:r>
      <w:r w:rsidR="002B0D33">
        <w:t>‘</w:t>
      </w:r>
      <w:r w:rsidR="00C21746" w:rsidRPr="00C21746">
        <w:t>Fifty years of newborn screening for congenital hypothyroidism: current status in Australasia and the case for harmonisation</w:t>
      </w:r>
      <w:r w:rsidR="002B0D33">
        <w:t>’</w:t>
      </w:r>
      <w:r w:rsidR="00C21746" w:rsidRPr="00C21746">
        <w:t>, Clin Chem Lab Med, vol. 60, no. 10, Sep 27, pp. 1551-1561.</w:t>
      </w:r>
    </w:p>
    <w:p w14:paraId="5E73FAD1" w14:textId="7075E741" w:rsidR="00C21746" w:rsidRDefault="000C7F72" w:rsidP="002020CF">
      <w:pPr>
        <w:pStyle w:val="TableFigureFooter"/>
      </w:pPr>
      <w:r w:rsidRPr="000C7F72">
        <w:rPr>
          <w:vertAlign w:val="superscript"/>
        </w:rPr>
        <w:t>d</w:t>
      </w:r>
      <w:r>
        <w:t xml:space="preserve"> </w:t>
      </w:r>
      <w:r w:rsidRPr="000C7F72">
        <w:t xml:space="preserve">Streetly, A, Sisodia, R, Dick, M, </w:t>
      </w:r>
      <w:proofErr w:type="spellStart"/>
      <w:r w:rsidRPr="000C7F72">
        <w:t>Latinovic</w:t>
      </w:r>
      <w:proofErr w:type="spellEnd"/>
      <w:r w:rsidRPr="000C7F72">
        <w:t xml:space="preserve">, R, Hounsell, K &amp; </w:t>
      </w:r>
      <w:proofErr w:type="spellStart"/>
      <w:r w:rsidRPr="000C7F72">
        <w:t>Dormandy</w:t>
      </w:r>
      <w:proofErr w:type="spellEnd"/>
      <w:r w:rsidRPr="000C7F72">
        <w:t xml:space="preserve">, E 2018, </w:t>
      </w:r>
      <w:r w:rsidR="002B0D33">
        <w:t>‘</w:t>
      </w:r>
      <w:r w:rsidRPr="000C7F72">
        <w:t>Evaluation of newborn sickle cell screening programme in England: 2010-2016</w:t>
      </w:r>
      <w:r w:rsidR="002B0D33">
        <w:t>’</w:t>
      </w:r>
      <w:r w:rsidRPr="000C7F72">
        <w:t>, Archives of disease in childhood, vol. 103(7), 01 Jul, pp. 648-653.</w:t>
      </w:r>
    </w:p>
    <w:p w14:paraId="17B538CD" w14:textId="671E7A5B" w:rsidR="00D34C17" w:rsidRDefault="0037030C" w:rsidP="002020CF">
      <w:pPr>
        <w:pStyle w:val="TableFigureFooter"/>
      </w:pPr>
      <w:proofErr w:type="spellStart"/>
      <w:r>
        <w:rPr>
          <w:vertAlign w:val="superscript"/>
        </w:rPr>
        <w:t>e</w:t>
      </w:r>
      <w:proofErr w:type="spellEnd"/>
      <w:r>
        <w:t xml:space="preserve"> Received by email 13/2/23</w:t>
      </w:r>
    </w:p>
    <w:p w14:paraId="37984936" w14:textId="5E840FD7" w:rsidR="00B445BF" w:rsidRPr="003251C2" w:rsidRDefault="00B445BF" w:rsidP="00B445BF">
      <w:r w:rsidRPr="000D6613">
        <w:t xml:space="preserve">The financial implications to </w:t>
      </w:r>
      <w:r>
        <w:t>N</w:t>
      </w:r>
      <w:r w:rsidRPr="000D6613">
        <w:t xml:space="preserve">BS </w:t>
      </w:r>
      <w:r w:rsidR="004C3431">
        <w:t xml:space="preserve">programs </w:t>
      </w:r>
      <w:r w:rsidRPr="000D6613">
        <w:t xml:space="preserve">resulting from the proposed </w:t>
      </w:r>
      <w:r>
        <w:t>addition</w:t>
      </w:r>
      <w:r w:rsidRPr="000D6613">
        <w:t xml:space="preserve"> of </w:t>
      </w:r>
      <w:r w:rsidR="00BC68A6">
        <w:t xml:space="preserve">SCD </w:t>
      </w:r>
      <w:r>
        <w:t>to the screening program</w:t>
      </w:r>
      <w:r w:rsidRPr="000D6613">
        <w:t xml:space="preserve"> are summarised in </w:t>
      </w:r>
      <w:r>
        <w:fldChar w:fldCharType="begin"/>
      </w:r>
      <w:r>
        <w:instrText xml:space="preserve"> REF _Ref69726382 \h </w:instrText>
      </w:r>
      <w:r>
        <w:fldChar w:fldCharType="separate"/>
      </w:r>
      <w:r w:rsidR="007D770C" w:rsidRPr="00CE28E3">
        <w:t>Table</w:t>
      </w:r>
      <w:r w:rsidR="007D770C">
        <w:t> </w:t>
      </w:r>
      <w:r w:rsidR="007D770C">
        <w:rPr>
          <w:noProof/>
        </w:rPr>
        <w:t>18</w:t>
      </w:r>
      <w:r>
        <w:fldChar w:fldCharType="end"/>
      </w:r>
      <w:r w:rsidRPr="000D6613">
        <w:t>.</w:t>
      </w:r>
    </w:p>
    <w:p w14:paraId="683D5CAE" w14:textId="5BA7C653" w:rsidR="00B445BF" w:rsidRPr="00CE28E3" w:rsidRDefault="00B445BF" w:rsidP="00B445BF">
      <w:pPr>
        <w:pStyle w:val="Caption"/>
      </w:pPr>
      <w:bookmarkStart w:id="62" w:name="_Ref69726382"/>
      <w:r w:rsidRPr="00CE28E3">
        <w:t>Table</w:t>
      </w:r>
      <w:r>
        <w:t> </w:t>
      </w:r>
      <w:r>
        <w:fldChar w:fldCharType="begin"/>
      </w:r>
      <w:r>
        <w:instrText>SEQ Table \* ARABIC</w:instrText>
      </w:r>
      <w:r>
        <w:fldChar w:fldCharType="separate"/>
      </w:r>
      <w:r w:rsidR="007D770C">
        <w:rPr>
          <w:noProof/>
        </w:rPr>
        <w:t>18</w:t>
      </w:r>
      <w:r>
        <w:fldChar w:fldCharType="end"/>
      </w:r>
      <w:bookmarkEnd w:id="62"/>
      <w:r w:rsidRPr="00CE28E3">
        <w:tab/>
        <w:t xml:space="preserve">Net financial implications </w:t>
      </w:r>
      <w:r w:rsidRPr="008E0594">
        <w:t xml:space="preserve">of adding </w:t>
      </w:r>
      <w:r w:rsidR="00475BA9">
        <w:t>SCD</w:t>
      </w:r>
      <w:r w:rsidR="00475BA9" w:rsidRPr="008E0594">
        <w:t xml:space="preserve"> </w:t>
      </w:r>
      <w:r w:rsidRPr="008E0594">
        <w:t>to</w:t>
      </w:r>
      <w:r w:rsidRPr="00CE28E3">
        <w:t xml:space="preserve"> </w:t>
      </w:r>
      <w:r>
        <w:t xml:space="preserve">NBS </w:t>
      </w:r>
      <w:proofErr w:type="gramStart"/>
      <w:r>
        <w:t>program</w:t>
      </w:r>
      <w:r w:rsidR="008A5731">
        <w:t>s</w:t>
      </w:r>
      <w:proofErr w:type="gramEnd"/>
    </w:p>
    <w:tbl>
      <w:tblPr>
        <w:tblStyle w:val="TableGrid1"/>
        <w:tblW w:w="5000" w:type="pct"/>
        <w:tblLayout w:type="fixed"/>
        <w:tblLook w:val="04A0" w:firstRow="1" w:lastRow="0" w:firstColumn="1" w:lastColumn="0" w:noHBand="0" w:noVBand="1"/>
        <w:tblCaption w:val="Net financial implications of adding haemoglobinopathies to the NBS program"/>
        <w:tblDescription w:val="Net financial implications of adding haemoglobinopathies to the NBS program"/>
      </w:tblPr>
      <w:tblGrid>
        <w:gridCol w:w="2122"/>
        <w:gridCol w:w="1149"/>
        <w:gridCol w:w="1149"/>
        <w:gridCol w:w="1149"/>
        <w:gridCol w:w="1149"/>
        <w:gridCol w:w="1149"/>
        <w:gridCol w:w="1149"/>
      </w:tblGrid>
      <w:tr w:rsidR="00B445BF" w:rsidRPr="00551F9C" w14:paraId="7580116C" w14:textId="77777777" w:rsidTr="0003613A">
        <w:trPr>
          <w:cnfStyle w:val="100000000000" w:firstRow="1" w:lastRow="0" w:firstColumn="0" w:lastColumn="0" w:oddVBand="0" w:evenVBand="0" w:oddHBand="0" w:evenHBand="0" w:firstRowFirstColumn="0" w:firstRowLastColumn="0" w:lastRowFirstColumn="0" w:lastRowLastColumn="0"/>
          <w:tblHeader/>
        </w:trPr>
        <w:tc>
          <w:tcPr>
            <w:tcW w:w="1177" w:type="pct"/>
            <w:noWrap/>
            <w:hideMark/>
          </w:tcPr>
          <w:p w14:paraId="151964AB" w14:textId="77777777" w:rsidR="00B445BF" w:rsidRPr="00551F9C" w:rsidRDefault="00B445BF" w:rsidP="004C4687">
            <w:pPr>
              <w:pStyle w:val="In-tableHeading"/>
            </w:pPr>
            <w:bookmarkStart w:id="63" w:name="_Hlk68276814"/>
          </w:p>
        </w:tc>
        <w:tc>
          <w:tcPr>
            <w:tcW w:w="637" w:type="pct"/>
            <w:noWrap/>
            <w:hideMark/>
          </w:tcPr>
          <w:p w14:paraId="0A37A55A" w14:textId="77777777" w:rsidR="00B445BF" w:rsidRPr="00551F9C" w:rsidRDefault="00B445BF" w:rsidP="004C4687">
            <w:pPr>
              <w:pStyle w:val="In-tableHeading"/>
              <w:jc w:val="center"/>
            </w:pPr>
            <w:r w:rsidRPr="00FF4FF9">
              <w:t>2023−24</w:t>
            </w:r>
          </w:p>
        </w:tc>
        <w:tc>
          <w:tcPr>
            <w:tcW w:w="637" w:type="pct"/>
            <w:noWrap/>
            <w:hideMark/>
          </w:tcPr>
          <w:p w14:paraId="13CF2E23" w14:textId="77777777" w:rsidR="00B445BF" w:rsidRPr="00551F9C" w:rsidRDefault="00B445BF" w:rsidP="004C4687">
            <w:pPr>
              <w:pStyle w:val="In-tableHeading"/>
              <w:jc w:val="center"/>
            </w:pPr>
            <w:r w:rsidRPr="00FF4FF9">
              <w:t>2024−25</w:t>
            </w:r>
          </w:p>
        </w:tc>
        <w:tc>
          <w:tcPr>
            <w:tcW w:w="637" w:type="pct"/>
            <w:noWrap/>
            <w:hideMark/>
          </w:tcPr>
          <w:p w14:paraId="0E29B049" w14:textId="77777777" w:rsidR="00B445BF" w:rsidRPr="00551F9C" w:rsidRDefault="00B445BF" w:rsidP="004C4687">
            <w:pPr>
              <w:pStyle w:val="In-tableHeading"/>
              <w:jc w:val="center"/>
            </w:pPr>
            <w:r w:rsidRPr="00FF4FF9">
              <w:t>2025−26</w:t>
            </w:r>
          </w:p>
        </w:tc>
        <w:tc>
          <w:tcPr>
            <w:tcW w:w="637" w:type="pct"/>
            <w:noWrap/>
            <w:hideMark/>
          </w:tcPr>
          <w:p w14:paraId="705CA381" w14:textId="77777777" w:rsidR="00B445BF" w:rsidRPr="00551F9C" w:rsidRDefault="00B445BF" w:rsidP="004C4687">
            <w:pPr>
              <w:pStyle w:val="In-tableHeading"/>
              <w:jc w:val="center"/>
            </w:pPr>
            <w:r w:rsidRPr="00FF4FF9">
              <w:t>2027−28</w:t>
            </w:r>
          </w:p>
        </w:tc>
        <w:tc>
          <w:tcPr>
            <w:tcW w:w="637" w:type="pct"/>
            <w:noWrap/>
            <w:hideMark/>
          </w:tcPr>
          <w:p w14:paraId="2CF9748A" w14:textId="77777777" w:rsidR="00B445BF" w:rsidRPr="00551F9C" w:rsidRDefault="00B445BF" w:rsidP="004C4687">
            <w:pPr>
              <w:pStyle w:val="In-tableHeading"/>
              <w:jc w:val="center"/>
            </w:pPr>
            <w:r w:rsidRPr="00FF4FF9">
              <w:t>2028−29</w:t>
            </w:r>
          </w:p>
        </w:tc>
        <w:tc>
          <w:tcPr>
            <w:tcW w:w="637" w:type="pct"/>
            <w:noWrap/>
            <w:hideMark/>
          </w:tcPr>
          <w:p w14:paraId="78F8A287" w14:textId="77777777" w:rsidR="00B445BF" w:rsidRPr="00551F9C" w:rsidRDefault="00B445BF" w:rsidP="004C4687">
            <w:pPr>
              <w:pStyle w:val="In-tableHeading"/>
              <w:jc w:val="center"/>
            </w:pPr>
            <w:r w:rsidRPr="00FF4FF9">
              <w:t>2029−30</w:t>
            </w:r>
          </w:p>
        </w:tc>
      </w:tr>
      <w:tr w:rsidR="00B445BF" w:rsidRPr="00551F9C" w14:paraId="72148ADB" w14:textId="77777777" w:rsidTr="00DA18E3">
        <w:tc>
          <w:tcPr>
            <w:tcW w:w="1177" w:type="pct"/>
            <w:shd w:val="clear" w:color="auto" w:fill="B4C6E7" w:themeFill="accent5" w:themeFillTint="66"/>
            <w:noWrap/>
          </w:tcPr>
          <w:p w14:paraId="4D294A27" w14:textId="77777777" w:rsidR="00B445BF" w:rsidRPr="00551F9C" w:rsidRDefault="00B445BF" w:rsidP="004C4687">
            <w:pPr>
              <w:pStyle w:val="TableText"/>
              <w:keepNext/>
            </w:pPr>
            <w:r w:rsidRPr="0009603F">
              <w:t>No. babies born</w:t>
            </w:r>
          </w:p>
        </w:tc>
        <w:tc>
          <w:tcPr>
            <w:tcW w:w="637" w:type="pct"/>
            <w:shd w:val="clear" w:color="auto" w:fill="B4C6E7" w:themeFill="accent5" w:themeFillTint="66"/>
            <w:noWrap/>
          </w:tcPr>
          <w:p w14:paraId="440EA5FD" w14:textId="77777777" w:rsidR="00B445BF" w:rsidRPr="00551F9C" w:rsidRDefault="00B445BF" w:rsidP="004C4687">
            <w:pPr>
              <w:pStyle w:val="TableText"/>
              <w:keepNext/>
              <w:jc w:val="right"/>
            </w:pPr>
            <w:r w:rsidRPr="0009603F">
              <w:t>313,259</w:t>
            </w:r>
          </w:p>
        </w:tc>
        <w:tc>
          <w:tcPr>
            <w:tcW w:w="637" w:type="pct"/>
            <w:shd w:val="clear" w:color="auto" w:fill="B4C6E7" w:themeFill="accent5" w:themeFillTint="66"/>
            <w:noWrap/>
          </w:tcPr>
          <w:p w14:paraId="0102C35D" w14:textId="77777777" w:rsidR="00B445BF" w:rsidRPr="00551F9C" w:rsidRDefault="00B445BF" w:rsidP="004C4687">
            <w:pPr>
              <w:pStyle w:val="TableText"/>
              <w:keepNext/>
              <w:jc w:val="right"/>
            </w:pPr>
            <w:r w:rsidRPr="0009603F">
              <w:t>313,993</w:t>
            </w:r>
          </w:p>
        </w:tc>
        <w:tc>
          <w:tcPr>
            <w:tcW w:w="637" w:type="pct"/>
            <w:shd w:val="clear" w:color="auto" w:fill="B4C6E7" w:themeFill="accent5" w:themeFillTint="66"/>
            <w:noWrap/>
          </w:tcPr>
          <w:p w14:paraId="620D8234" w14:textId="77777777" w:rsidR="00B445BF" w:rsidRPr="00551F9C" w:rsidRDefault="00B445BF" w:rsidP="004C4687">
            <w:pPr>
              <w:pStyle w:val="TableText"/>
              <w:keepNext/>
              <w:jc w:val="right"/>
            </w:pPr>
            <w:r w:rsidRPr="0009603F">
              <w:t>314,727</w:t>
            </w:r>
          </w:p>
        </w:tc>
        <w:tc>
          <w:tcPr>
            <w:tcW w:w="637" w:type="pct"/>
            <w:shd w:val="clear" w:color="auto" w:fill="B4C6E7" w:themeFill="accent5" w:themeFillTint="66"/>
            <w:noWrap/>
          </w:tcPr>
          <w:p w14:paraId="3B48E04E" w14:textId="77777777" w:rsidR="00B445BF" w:rsidRPr="00551F9C" w:rsidRDefault="00B445BF" w:rsidP="004C4687">
            <w:pPr>
              <w:pStyle w:val="TableText"/>
              <w:keepNext/>
              <w:jc w:val="right"/>
            </w:pPr>
            <w:r w:rsidRPr="0009603F">
              <w:t>315,462</w:t>
            </w:r>
          </w:p>
        </w:tc>
        <w:tc>
          <w:tcPr>
            <w:tcW w:w="637" w:type="pct"/>
            <w:shd w:val="clear" w:color="auto" w:fill="B4C6E7" w:themeFill="accent5" w:themeFillTint="66"/>
            <w:noWrap/>
          </w:tcPr>
          <w:p w14:paraId="75D1E65A" w14:textId="77777777" w:rsidR="00B445BF" w:rsidRPr="00551F9C" w:rsidRDefault="00B445BF" w:rsidP="004C4687">
            <w:pPr>
              <w:pStyle w:val="TableText"/>
              <w:keepNext/>
              <w:jc w:val="right"/>
            </w:pPr>
            <w:r w:rsidRPr="0009603F">
              <w:t>316,196</w:t>
            </w:r>
          </w:p>
        </w:tc>
        <w:tc>
          <w:tcPr>
            <w:tcW w:w="637" w:type="pct"/>
            <w:shd w:val="clear" w:color="auto" w:fill="B4C6E7" w:themeFill="accent5" w:themeFillTint="66"/>
            <w:noWrap/>
          </w:tcPr>
          <w:p w14:paraId="107EF89E" w14:textId="77777777" w:rsidR="00B445BF" w:rsidRPr="00551F9C" w:rsidRDefault="00B445BF" w:rsidP="004C4687">
            <w:pPr>
              <w:pStyle w:val="TableText"/>
              <w:keepNext/>
              <w:jc w:val="right"/>
            </w:pPr>
            <w:r w:rsidRPr="0009603F">
              <w:t>316,930</w:t>
            </w:r>
          </w:p>
        </w:tc>
      </w:tr>
      <w:tr w:rsidR="00B445BF" w:rsidRPr="00551F9C" w14:paraId="734D47B1" w14:textId="77777777" w:rsidTr="00DA18E3">
        <w:tc>
          <w:tcPr>
            <w:tcW w:w="1177" w:type="pct"/>
            <w:shd w:val="clear" w:color="auto" w:fill="B4C6E7" w:themeFill="accent5" w:themeFillTint="66"/>
            <w:noWrap/>
          </w:tcPr>
          <w:p w14:paraId="191FDC03" w14:textId="77777777" w:rsidR="00B445BF" w:rsidRPr="00551F9C" w:rsidRDefault="00B445BF" w:rsidP="004C4687">
            <w:pPr>
              <w:pStyle w:val="TableText"/>
              <w:keepNext/>
            </w:pPr>
            <w:r w:rsidRPr="0009603F">
              <w:t>No. babies who uptake NBS (99.3%)</w:t>
            </w:r>
          </w:p>
        </w:tc>
        <w:tc>
          <w:tcPr>
            <w:tcW w:w="637" w:type="pct"/>
            <w:shd w:val="clear" w:color="auto" w:fill="B4C6E7" w:themeFill="accent5" w:themeFillTint="66"/>
            <w:noWrap/>
          </w:tcPr>
          <w:p w14:paraId="76481AA8" w14:textId="77777777" w:rsidR="00B445BF" w:rsidRPr="00551F9C" w:rsidRDefault="00B445BF" w:rsidP="004C4687">
            <w:pPr>
              <w:pStyle w:val="TableText"/>
              <w:keepNext/>
              <w:jc w:val="right"/>
            </w:pPr>
            <w:r w:rsidRPr="0009603F">
              <w:t>310,922</w:t>
            </w:r>
          </w:p>
        </w:tc>
        <w:tc>
          <w:tcPr>
            <w:tcW w:w="637" w:type="pct"/>
            <w:shd w:val="clear" w:color="auto" w:fill="B4C6E7" w:themeFill="accent5" w:themeFillTint="66"/>
            <w:noWrap/>
          </w:tcPr>
          <w:p w14:paraId="47338861" w14:textId="77777777" w:rsidR="00B445BF" w:rsidRPr="00551F9C" w:rsidRDefault="00B445BF" w:rsidP="004C4687">
            <w:pPr>
              <w:pStyle w:val="TableText"/>
              <w:keepNext/>
              <w:jc w:val="right"/>
            </w:pPr>
            <w:r w:rsidRPr="0009603F">
              <w:t>311,651</w:t>
            </w:r>
          </w:p>
        </w:tc>
        <w:tc>
          <w:tcPr>
            <w:tcW w:w="637" w:type="pct"/>
            <w:shd w:val="clear" w:color="auto" w:fill="B4C6E7" w:themeFill="accent5" w:themeFillTint="66"/>
            <w:noWrap/>
          </w:tcPr>
          <w:p w14:paraId="1F03DA11" w14:textId="77777777" w:rsidR="00B445BF" w:rsidRPr="00551F9C" w:rsidRDefault="00B445BF" w:rsidP="004C4687">
            <w:pPr>
              <w:pStyle w:val="TableText"/>
              <w:keepNext/>
              <w:jc w:val="right"/>
            </w:pPr>
            <w:r w:rsidRPr="0009603F">
              <w:t>312,380</w:t>
            </w:r>
          </w:p>
        </w:tc>
        <w:tc>
          <w:tcPr>
            <w:tcW w:w="637" w:type="pct"/>
            <w:shd w:val="clear" w:color="auto" w:fill="B4C6E7" w:themeFill="accent5" w:themeFillTint="66"/>
            <w:noWrap/>
          </w:tcPr>
          <w:p w14:paraId="71D17612" w14:textId="77777777" w:rsidR="00B445BF" w:rsidRPr="00551F9C" w:rsidRDefault="00B445BF" w:rsidP="004C4687">
            <w:pPr>
              <w:pStyle w:val="TableText"/>
              <w:keepNext/>
              <w:jc w:val="right"/>
            </w:pPr>
            <w:r w:rsidRPr="0009603F">
              <w:t>313,109</w:t>
            </w:r>
          </w:p>
        </w:tc>
        <w:tc>
          <w:tcPr>
            <w:tcW w:w="637" w:type="pct"/>
            <w:shd w:val="clear" w:color="auto" w:fill="B4C6E7" w:themeFill="accent5" w:themeFillTint="66"/>
            <w:noWrap/>
          </w:tcPr>
          <w:p w14:paraId="0BAB7DB7" w14:textId="77777777" w:rsidR="00B445BF" w:rsidRPr="00551F9C" w:rsidRDefault="00B445BF" w:rsidP="004C4687">
            <w:pPr>
              <w:pStyle w:val="TableText"/>
              <w:keepNext/>
              <w:jc w:val="right"/>
            </w:pPr>
            <w:r w:rsidRPr="0009603F">
              <w:t>313,837</w:t>
            </w:r>
          </w:p>
        </w:tc>
        <w:tc>
          <w:tcPr>
            <w:tcW w:w="637" w:type="pct"/>
            <w:shd w:val="clear" w:color="auto" w:fill="B4C6E7" w:themeFill="accent5" w:themeFillTint="66"/>
            <w:noWrap/>
          </w:tcPr>
          <w:p w14:paraId="4D027B9E" w14:textId="77777777" w:rsidR="00B445BF" w:rsidRPr="00551F9C" w:rsidRDefault="00B445BF" w:rsidP="004C4687">
            <w:pPr>
              <w:pStyle w:val="TableText"/>
              <w:keepNext/>
              <w:jc w:val="right"/>
            </w:pPr>
            <w:r w:rsidRPr="0009603F">
              <w:t>314,566</w:t>
            </w:r>
          </w:p>
        </w:tc>
      </w:tr>
      <w:tr w:rsidR="0008090C" w:rsidRPr="008E0594" w14:paraId="4C332EA5" w14:textId="77777777" w:rsidTr="0003613A">
        <w:tc>
          <w:tcPr>
            <w:tcW w:w="1177" w:type="pct"/>
            <w:noWrap/>
          </w:tcPr>
          <w:p w14:paraId="76C455B2" w14:textId="033EB2AE" w:rsidR="0008090C" w:rsidRPr="008E0594" w:rsidRDefault="0008090C" w:rsidP="0008090C">
            <w:pPr>
              <w:pStyle w:val="TableText"/>
              <w:keepNext/>
              <w:rPr>
                <w:b/>
              </w:rPr>
            </w:pPr>
            <w:r w:rsidRPr="008E0594">
              <w:rPr>
                <w:b/>
              </w:rPr>
              <w:t>Cost of first-tier screening</w:t>
            </w:r>
            <w:r>
              <w:rPr>
                <w:b/>
              </w:rPr>
              <w:t xml:space="preserve"> (ESI-MS/MS)</w:t>
            </w:r>
            <w:r w:rsidRPr="00DD78CF">
              <w:br/>
              <w:t>($</w:t>
            </w:r>
            <w:r>
              <w:t>2.00</w:t>
            </w:r>
            <w:r w:rsidRPr="00DD78CF">
              <w:t xml:space="preserve"> per test)</w:t>
            </w:r>
          </w:p>
        </w:tc>
        <w:tc>
          <w:tcPr>
            <w:tcW w:w="637" w:type="pct"/>
            <w:noWrap/>
          </w:tcPr>
          <w:p w14:paraId="65188C5E" w14:textId="70E23079" w:rsidR="0008090C" w:rsidRPr="0008090C" w:rsidRDefault="0008090C" w:rsidP="0008090C">
            <w:pPr>
              <w:pStyle w:val="TableText"/>
              <w:keepNext/>
              <w:jc w:val="right"/>
              <w:rPr>
                <w:b/>
                <w:bCs/>
              </w:rPr>
            </w:pPr>
            <w:r w:rsidRPr="0008090C">
              <w:rPr>
                <w:b/>
                <w:bCs/>
              </w:rPr>
              <w:t>$621,844</w:t>
            </w:r>
          </w:p>
        </w:tc>
        <w:tc>
          <w:tcPr>
            <w:tcW w:w="637" w:type="pct"/>
            <w:noWrap/>
          </w:tcPr>
          <w:p w14:paraId="79CDD1FB" w14:textId="01035CD7" w:rsidR="0008090C" w:rsidRPr="0008090C" w:rsidRDefault="0008090C" w:rsidP="0008090C">
            <w:pPr>
              <w:pStyle w:val="TableText"/>
              <w:keepNext/>
              <w:jc w:val="right"/>
              <w:rPr>
                <w:b/>
                <w:bCs/>
              </w:rPr>
            </w:pPr>
            <w:r w:rsidRPr="0008090C">
              <w:rPr>
                <w:b/>
                <w:bCs/>
              </w:rPr>
              <w:t>$623,302</w:t>
            </w:r>
          </w:p>
        </w:tc>
        <w:tc>
          <w:tcPr>
            <w:tcW w:w="637" w:type="pct"/>
            <w:noWrap/>
          </w:tcPr>
          <w:p w14:paraId="67FD703C" w14:textId="0D873C18" w:rsidR="0008090C" w:rsidRPr="0008090C" w:rsidRDefault="0008090C" w:rsidP="0008090C">
            <w:pPr>
              <w:pStyle w:val="TableText"/>
              <w:keepNext/>
              <w:jc w:val="right"/>
              <w:rPr>
                <w:b/>
                <w:bCs/>
              </w:rPr>
            </w:pPr>
            <w:r w:rsidRPr="0008090C">
              <w:rPr>
                <w:b/>
                <w:bCs/>
              </w:rPr>
              <w:t>$624,759</w:t>
            </w:r>
          </w:p>
        </w:tc>
        <w:tc>
          <w:tcPr>
            <w:tcW w:w="637" w:type="pct"/>
            <w:noWrap/>
          </w:tcPr>
          <w:p w14:paraId="00C796ED" w14:textId="1582CAAF" w:rsidR="0008090C" w:rsidRPr="0008090C" w:rsidRDefault="0008090C" w:rsidP="0008090C">
            <w:pPr>
              <w:pStyle w:val="TableText"/>
              <w:keepNext/>
              <w:jc w:val="right"/>
              <w:rPr>
                <w:b/>
                <w:bCs/>
              </w:rPr>
            </w:pPr>
            <w:r w:rsidRPr="0008090C">
              <w:rPr>
                <w:b/>
                <w:bCs/>
              </w:rPr>
              <w:t>$626,217</w:t>
            </w:r>
          </w:p>
        </w:tc>
        <w:tc>
          <w:tcPr>
            <w:tcW w:w="637" w:type="pct"/>
            <w:noWrap/>
          </w:tcPr>
          <w:p w14:paraId="03F5AF82" w14:textId="6A38E01D" w:rsidR="0008090C" w:rsidRPr="0008090C" w:rsidRDefault="0008090C" w:rsidP="0008090C">
            <w:pPr>
              <w:pStyle w:val="TableText"/>
              <w:keepNext/>
              <w:jc w:val="right"/>
              <w:rPr>
                <w:b/>
                <w:bCs/>
              </w:rPr>
            </w:pPr>
            <w:r w:rsidRPr="0008090C">
              <w:rPr>
                <w:b/>
                <w:bCs/>
              </w:rPr>
              <w:t>$627,675</w:t>
            </w:r>
          </w:p>
        </w:tc>
        <w:tc>
          <w:tcPr>
            <w:tcW w:w="637" w:type="pct"/>
            <w:noWrap/>
          </w:tcPr>
          <w:p w14:paraId="035AC48E" w14:textId="058E535B" w:rsidR="0008090C" w:rsidRPr="0008090C" w:rsidRDefault="0008090C" w:rsidP="0008090C">
            <w:pPr>
              <w:pStyle w:val="TableText"/>
              <w:keepNext/>
              <w:jc w:val="right"/>
              <w:rPr>
                <w:b/>
                <w:bCs/>
              </w:rPr>
            </w:pPr>
            <w:r w:rsidRPr="0008090C">
              <w:rPr>
                <w:b/>
                <w:bCs/>
              </w:rPr>
              <w:t>$629,133</w:t>
            </w:r>
          </w:p>
        </w:tc>
      </w:tr>
      <w:tr w:rsidR="00B445BF" w:rsidRPr="00551F9C" w14:paraId="33EF19FC" w14:textId="77777777" w:rsidTr="0003613A">
        <w:tc>
          <w:tcPr>
            <w:tcW w:w="1177" w:type="pct"/>
            <w:noWrap/>
            <w:hideMark/>
          </w:tcPr>
          <w:p w14:paraId="62914D34" w14:textId="5B29221A" w:rsidR="00B445BF" w:rsidRPr="00551F9C" w:rsidRDefault="00B445BF" w:rsidP="004C4687">
            <w:pPr>
              <w:pStyle w:val="TableText"/>
              <w:keepNext/>
              <w:rPr>
                <w:rFonts w:eastAsiaTheme="minorHAnsi" w:cstheme="minorBidi"/>
                <w:szCs w:val="22"/>
                <w:lang w:eastAsia="en-US"/>
              </w:rPr>
            </w:pPr>
            <w:r w:rsidRPr="00551F9C">
              <w:rPr>
                <w:rFonts w:eastAsiaTheme="minorHAnsi" w:cstheme="minorBidi"/>
                <w:szCs w:val="22"/>
                <w:lang w:eastAsia="en-US"/>
              </w:rPr>
              <w:t xml:space="preserve">No. with SCD that is correctly identified </w:t>
            </w:r>
            <w:r>
              <w:rPr>
                <w:rFonts w:eastAsiaTheme="minorHAnsi" w:cstheme="minorBidi"/>
                <w:szCs w:val="22"/>
                <w:lang w:eastAsia="en-US"/>
              </w:rPr>
              <w:br/>
            </w:r>
            <w:r w:rsidRPr="00551F9C">
              <w:rPr>
                <w:rFonts w:eastAsiaTheme="minorHAnsi" w:cstheme="minorBidi"/>
                <w:szCs w:val="22"/>
                <w:lang w:eastAsia="en-US"/>
              </w:rPr>
              <w:t>(</w:t>
            </w:r>
            <w:r w:rsidR="00D67003">
              <w:rPr>
                <w:rFonts w:eastAsiaTheme="minorHAnsi" w:cstheme="minorBidi"/>
                <w:szCs w:val="22"/>
                <w:lang w:eastAsia="en-US"/>
              </w:rPr>
              <w:t>34.2</w:t>
            </w:r>
            <w:r w:rsidRPr="00551F9C">
              <w:rPr>
                <w:rFonts w:eastAsiaTheme="minorHAnsi" w:cstheme="minorBidi"/>
                <w:szCs w:val="22"/>
                <w:lang w:eastAsia="en-US"/>
              </w:rPr>
              <w:t xml:space="preserve"> per 100,000, </w:t>
            </w:r>
            <w:r>
              <w:rPr>
                <w:rFonts w:eastAsiaTheme="minorHAnsi" w:cstheme="minorBidi"/>
                <w:szCs w:val="22"/>
                <w:lang w:eastAsia="en-US"/>
              </w:rPr>
              <w:t>of which</w:t>
            </w:r>
            <w:r w:rsidRPr="00551F9C">
              <w:rPr>
                <w:rFonts w:eastAsiaTheme="minorHAnsi" w:cstheme="minorBidi"/>
                <w:szCs w:val="22"/>
                <w:lang w:eastAsia="en-US"/>
              </w:rPr>
              <w:t xml:space="preserve"> 100% identified)</w:t>
            </w:r>
          </w:p>
        </w:tc>
        <w:tc>
          <w:tcPr>
            <w:tcW w:w="637" w:type="pct"/>
            <w:noWrap/>
            <w:hideMark/>
          </w:tcPr>
          <w:p w14:paraId="7B4BA36C" w14:textId="65BCB114" w:rsidR="00B445BF" w:rsidRPr="00551F9C" w:rsidRDefault="00F60D77" w:rsidP="004C4687">
            <w:pPr>
              <w:pStyle w:val="TableText"/>
              <w:keepNext/>
              <w:jc w:val="right"/>
              <w:rPr>
                <w:rFonts w:eastAsiaTheme="minorHAnsi" w:cstheme="minorBidi"/>
                <w:szCs w:val="22"/>
                <w:lang w:eastAsia="en-US"/>
              </w:rPr>
            </w:pPr>
            <w:r w:rsidRPr="001A1797">
              <w:t>106</w:t>
            </w:r>
          </w:p>
        </w:tc>
        <w:tc>
          <w:tcPr>
            <w:tcW w:w="637" w:type="pct"/>
            <w:noWrap/>
            <w:hideMark/>
          </w:tcPr>
          <w:p w14:paraId="1FC956C7" w14:textId="12E22FD9" w:rsidR="00B445BF" w:rsidRPr="00551F9C" w:rsidRDefault="00F60D77" w:rsidP="004C4687">
            <w:pPr>
              <w:pStyle w:val="TableText"/>
              <w:keepNext/>
              <w:jc w:val="right"/>
              <w:rPr>
                <w:rFonts w:eastAsiaTheme="minorHAnsi" w:cstheme="minorBidi"/>
                <w:szCs w:val="22"/>
                <w:lang w:eastAsia="en-US"/>
              </w:rPr>
            </w:pPr>
            <w:r w:rsidRPr="001A1797">
              <w:t>107</w:t>
            </w:r>
          </w:p>
        </w:tc>
        <w:tc>
          <w:tcPr>
            <w:tcW w:w="637" w:type="pct"/>
            <w:noWrap/>
            <w:hideMark/>
          </w:tcPr>
          <w:p w14:paraId="0A12E38B" w14:textId="0A525AAC" w:rsidR="00B445BF" w:rsidRPr="00551F9C" w:rsidRDefault="00F60D77" w:rsidP="004C4687">
            <w:pPr>
              <w:pStyle w:val="TableText"/>
              <w:keepNext/>
              <w:jc w:val="right"/>
              <w:rPr>
                <w:rFonts w:eastAsiaTheme="minorHAnsi" w:cstheme="minorBidi"/>
                <w:szCs w:val="22"/>
                <w:lang w:eastAsia="en-US"/>
              </w:rPr>
            </w:pPr>
            <w:r w:rsidRPr="001A1797">
              <w:t>107</w:t>
            </w:r>
          </w:p>
        </w:tc>
        <w:tc>
          <w:tcPr>
            <w:tcW w:w="637" w:type="pct"/>
            <w:noWrap/>
            <w:hideMark/>
          </w:tcPr>
          <w:p w14:paraId="11AFF768" w14:textId="146D2CDD" w:rsidR="00B445BF" w:rsidRPr="00551F9C" w:rsidRDefault="00F60D77" w:rsidP="004C4687">
            <w:pPr>
              <w:pStyle w:val="TableText"/>
              <w:keepNext/>
              <w:jc w:val="right"/>
              <w:rPr>
                <w:rFonts w:eastAsiaTheme="minorHAnsi" w:cstheme="minorBidi"/>
                <w:szCs w:val="22"/>
                <w:lang w:eastAsia="en-US"/>
              </w:rPr>
            </w:pPr>
            <w:r w:rsidRPr="001A1797">
              <w:t>107</w:t>
            </w:r>
          </w:p>
        </w:tc>
        <w:tc>
          <w:tcPr>
            <w:tcW w:w="637" w:type="pct"/>
            <w:noWrap/>
            <w:hideMark/>
          </w:tcPr>
          <w:p w14:paraId="26B31531" w14:textId="3B5ECC7D" w:rsidR="00B445BF" w:rsidRPr="00551F9C" w:rsidRDefault="00F60D77" w:rsidP="004C4687">
            <w:pPr>
              <w:pStyle w:val="TableText"/>
              <w:keepNext/>
              <w:jc w:val="right"/>
              <w:rPr>
                <w:rFonts w:eastAsiaTheme="minorHAnsi" w:cstheme="minorBidi"/>
                <w:szCs w:val="22"/>
                <w:lang w:eastAsia="en-US"/>
              </w:rPr>
            </w:pPr>
            <w:r w:rsidRPr="001A1797">
              <w:t>107</w:t>
            </w:r>
          </w:p>
        </w:tc>
        <w:tc>
          <w:tcPr>
            <w:tcW w:w="637" w:type="pct"/>
            <w:noWrap/>
            <w:hideMark/>
          </w:tcPr>
          <w:p w14:paraId="3F40CC6C" w14:textId="3ED7A5B6" w:rsidR="00B445BF" w:rsidRPr="00551F9C" w:rsidRDefault="00F60D77" w:rsidP="004C4687">
            <w:pPr>
              <w:pStyle w:val="TableText"/>
              <w:keepNext/>
              <w:jc w:val="right"/>
              <w:rPr>
                <w:rFonts w:eastAsiaTheme="minorHAnsi" w:cstheme="minorBidi"/>
                <w:szCs w:val="22"/>
                <w:lang w:eastAsia="en-US"/>
              </w:rPr>
            </w:pPr>
            <w:r w:rsidRPr="001A1797">
              <w:t>108</w:t>
            </w:r>
          </w:p>
        </w:tc>
      </w:tr>
      <w:tr w:rsidR="00B445BF" w:rsidRPr="00551F9C" w14:paraId="62D28E3D" w14:textId="77777777" w:rsidTr="00DA18E3">
        <w:tc>
          <w:tcPr>
            <w:tcW w:w="1177" w:type="pct"/>
            <w:shd w:val="clear" w:color="auto" w:fill="B4C6E7" w:themeFill="accent5" w:themeFillTint="66"/>
            <w:noWrap/>
            <w:hideMark/>
          </w:tcPr>
          <w:p w14:paraId="38B686D1" w14:textId="435ED0D9" w:rsidR="00B445BF" w:rsidRPr="00551F9C" w:rsidRDefault="00B445BF" w:rsidP="004C4687">
            <w:pPr>
              <w:pStyle w:val="TableText"/>
              <w:keepNext/>
              <w:rPr>
                <w:rFonts w:eastAsiaTheme="minorHAnsi" w:cstheme="minorBidi"/>
                <w:szCs w:val="22"/>
                <w:lang w:eastAsia="en-US"/>
              </w:rPr>
            </w:pPr>
            <w:r w:rsidRPr="00551F9C">
              <w:rPr>
                <w:rFonts w:eastAsiaTheme="minorHAnsi" w:cstheme="minorBidi"/>
                <w:szCs w:val="22"/>
                <w:lang w:eastAsia="en-US"/>
              </w:rPr>
              <w:t xml:space="preserve">No. false-positive screens </w:t>
            </w:r>
            <w:r>
              <w:rPr>
                <w:rFonts w:eastAsiaTheme="minorHAnsi" w:cstheme="minorBidi"/>
                <w:szCs w:val="22"/>
                <w:lang w:eastAsia="en-US"/>
              </w:rPr>
              <w:br/>
            </w:r>
            <w:r w:rsidRPr="00551F9C">
              <w:rPr>
                <w:rFonts w:eastAsiaTheme="minorHAnsi" w:cstheme="minorBidi"/>
                <w:szCs w:val="22"/>
                <w:lang w:eastAsia="en-US"/>
              </w:rPr>
              <w:t>(0.01% of true negatives)</w:t>
            </w:r>
          </w:p>
        </w:tc>
        <w:tc>
          <w:tcPr>
            <w:tcW w:w="637" w:type="pct"/>
            <w:shd w:val="clear" w:color="auto" w:fill="B4C6E7" w:themeFill="accent5" w:themeFillTint="66"/>
            <w:noWrap/>
            <w:hideMark/>
          </w:tcPr>
          <w:p w14:paraId="4D5EDAAA"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c>
          <w:tcPr>
            <w:tcW w:w="637" w:type="pct"/>
            <w:shd w:val="clear" w:color="auto" w:fill="B4C6E7" w:themeFill="accent5" w:themeFillTint="66"/>
            <w:noWrap/>
            <w:hideMark/>
          </w:tcPr>
          <w:p w14:paraId="4AF78453"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c>
          <w:tcPr>
            <w:tcW w:w="637" w:type="pct"/>
            <w:shd w:val="clear" w:color="auto" w:fill="B4C6E7" w:themeFill="accent5" w:themeFillTint="66"/>
            <w:noWrap/>
            <w:hideMark/>
          </w:tcPr>
          <w:p w14:paraId="149C3275"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c>
          <w:tcPr>
            <w:tcW w:w="637" w:type="pct"/>
            <w:shd w:val="clear" w:color="auto" w:fill="B4C6E7" w:themeFill="accent5" w:themeFillTint="66"/>
            <w:noWrap/>
            <w:hideMark/>
          </w:tcPr>
          <w:p w14:paraId="47485EDD"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c>
          <w:tcPr>
            <w:tcW w:w="637" w:type="pct"/>
            <w:shd w:val="clear" w:color="auto" w:fill="B4C6E7" w:themeFill="accent5" w:themeFillTint="66"/>
            <w:noWrap/>
            <w:hideMark/>
          </w:tcPr>
          <w:p w14:paraId="3E6C0C24"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c>
          <w:tcPr>
            <w:tcW w:w="637" w:type="pct"/>
            <w:shd w:val="clear" w:color="auto" w:fill="B4C6E7" w:themeFill="accent5" w:themeFillTint="66"/>
            <w:noWrap/>
            <w:hideMark/>
          </w:tcPr>
          <w:p w14:paraId="521AA256" w14:textId="77777777" w:rsidR="00B445BF" w:rsidRPr="00551F9C" w:rsidRDefault="00B445BF" w:rsidP="004C4687">
            <w:pPr>
              <w:pStyle w:val="TableText"/>
              <w:keepNext/>
              <w:jc w:val="right"/>
              <w:rPr>
                <w:rFonts w:eastAsiaTheme="minorHAnsi" w:cstheme="minorBidi"/>
                <w:szCs w:val="22"/>
                <w:lang w:eastAsia="en-US"/>
              </w:rPr>
            </w:pPr>
            <w:r w:rsidRPr="00551F9C">
              <w:rPr>
                <w:rFonts w:eastAsiaTheme="minorHAnsi" w:cstheme="minorBidi"/>
                <w:szCs w:val="22"/>
                <w:lang w:eastAsia="en-US"/>
              </w:rPr>
              <w:t>31</w:t>
            </w:r>
          </w:p>
        </w:tc>
      </w:tr>
      <w:tr w:rsidR="008A5731" w:rsidRPr="00551F9C" w14:paraId="1A7094A4" w14:textId="77777777" w:rsidTr="008A5731">
        <w:tc>
          <w:tcPr>
            <w:tcW w:w="1177" w:type="pct"/>
            <w:noWrap/>
            <w:hideMark/>
          </w:tcPr>
          <w:p w14:paraId="42A7A190" w14:textId="4A0F2DDA" w:rsidR="008A5731" w:rsidRPr="00551F9C" w:rsidRDefault="008A5731" w:rsidP="008A5731">
            <w:pPr>
              <w:pStyle w:val="TableText"/>
              <w:keepNext/>
              <w:rPr>
                <w:rFonts w:eastAsiaTheme="minorHAnsi" w:cstheme="minorBidi"/>
                <w:szCs w:val="22"/>
                <w:lang w:eastAsia="en-US"/>
              </w:rPr>
            </w:pPr>
            <w:r>
              <w:rPr>
                <w:rFonts w:eastAsiaTheme="minorHAnsi" w:cstheme="minorBidi"/>
                <w:szCs w:val="22"/>
                <w:lang w:eastAsia="en-US"/>
              </w:rPr>
              <w:t>No.</w:t>
            </w:r>
            <w:r w:rsidRPr="00551F9C">
              <w:rPr>
                <w:rFonts w:eastAsiaTheme="minorHAnsi" w:cstheme="minorBidi"/>
                <w:szCs w:val="22"/>
                <w:lang w:eastAsia="en-US"/>
              </w:rPr>
              <w:t xml:space="preserve"> SCD second-tier screens</w:t>
            </w:r>
            <w:r>
              <w:rPr>
                <w:rFonts w:eastAsiaTheme="minorHAnsi" w:cstheme="minorBidi"/>
                <w:szCs w:val="22"/>
                <w:lang w:eastAsia="en-US"/>
              </w:rPr>
              <w:t xml:space="preserve"> </w:t>
            </w:r>
            <w:r w:rsidR="00040AA9">
              <w:rPr>
                <w:rFonts w:eastAsiaTheme="minorHAnsi" w:cstheme="minorBidi"/>
                <w:szCs w:val="22"/>
                <w:vertAlign w:val="superscript"/>
                <w:lang w:eastAsia="en-US"/>
              </w:rPr>
              <w:t>a</w:t>
            </w:r>
          </w:p>
        </w:tc>
        <w:tc>
          <w:tcPr>
            <w:tcW w:w="637" w:type="pct"/>
            <w:noWrap/>
          </w:tcPr>
          <w:p w14:paraId="33EDDE44" w14:textId="053EEDF9" w:rsidR="008A5731" w:rsidRPr="00551F9C" w:rsidRDefault="00D7722E" w:rsidP="008A5731">
            <w:pPr>
              <w:pStyle w:val="TableText"/>
              <w:keepNext/>
              <w:jc w:val="right"/>
              <w:rPr>
                <w:rFonts w:eastAsiaTheme="minorHAnsi" w:cstheme="minorBidi"/>
                <w:szCs w:val="22"/>
                <w:lang w:eastAsia="en-US"/>
              </w:rPr>
            </w:pPr>
            <w:r w:rsidRPr="0034590D">
              <w:t>137</w:t>
            </w:r>
          </w:p>
        </w:tc>
        <w:tc>
          <w:tcPr>
            <w:tcW w:w="637" w:type="pct"/>
            <w:noWrap/>
          </w:tcPr>
          <w:p w14:paraId="47749F15" w14:textId="5A3C2579" w:rsidR="008A5731" w:rsidRPr="00551F9C" w:rsidRDefault="00D7722E" w:rsidP="008A5731">
            <w:pPr>
              <w:pStyle w:val="TableText"/>
              <w:keepNext/>
              <w:jc w:val="right"/>
              <w:rPr>
                <w:rFonts w:eastAsiaTheme="minorHAnsi" w:cstheme="minorBidi"/>
                <w:szCs w:val="22"/>
                <w:lang w:eastAsia="en-US"/>
              </w:rPr>
            </w:pPr>
            <w:r w:rsidRPr="0034590D">
              <w:t>138</w:t>
            </w:r>
          </w:p>
        </w:tc>
        <w:tc>
          <w:tcPr>
            <w:tcW w:w="637" w:type="pct"/>
            <w:noWrap/>
          </w:tcPr>
          <w:p w14:paraId="6007D44D" w14:textId="50767FC1" w:rsidR="008A5731" w:rsidRPr="00551F9C" w:rsidRDefault="00D7722E" w:rsidP="008A5731">
            <w:pPr>
              <w:pStyle w:val="TableText"/>
              <w:keepNext/>
              <w:jc w:val="right"/>
              <w:rPr>
                <w:rFonts w:eastAsiaTheme="minorHAnsi" w:cstheme="minorBidi"/>
                <w:szCs w:val="22"/>
                <w:lang w:eastAsia="en-US"/>
              </w:rPr>
            </w:pPr>
            <w:r w:rsidRPr="0034590D">
              <w:t>138</w:t>
            </w:r>
          </w:p>
        </w:tc>
        <w:tc>
          <w:tcPr>
            <w:tcW w:w="637" w:type="pct"/>
            <w:noWrap/>
          </w:tcPr>
          <w:p w14:paraId="2768687D" w14:textId="6D0FDF0F" w:rsidR="008A5731" w:rsidRPr="00551F9C" w:rsidRDefault="00D7722E" w:rsidP="008A5731">
            <w:pPr>
              <w:pStyle w:val="TableText"/>
              <w:keepNext/>
              <w:jc w:val="right"/>
              <w:rPr>
                <w:rFonts w:eastAsiaTheme="minorHAnsi" w:cstheme="minorBidi"/>
                <w:szCs w:val="22"/>
                <w:lang w:eastAsia="en-US"/>
              </w:rPr>
            </w:pPr>
            <w:r w:rsidRPr="0034590D">
              <w:t>138</w:t>
            </w:r>
          </w:p>
        </w:tc>
        <w:tc>
          <w:tcPr>
            <w:tcW w:w="637" w:type="pct"/>
            <w:noWrap/>
          </w:tcPr>
          <w:p w14:paraId="6B7D4711" w14:textId="14ED3B63" w:rsidR="008A5731" w:rsidRPr="00551F9C" w:rsidRDefault="00D7722E" w:rsidP="008A5731">
            <w:pPr>
              <w:pStyle w:val="TableText"/>
              <w:keepNext/>
              <w:jc w:val="right"/>
              <w:rPr>
                <w:rFonts w:eastAsiaTheme="minorHAnsi" w:cstheme="minorBidi"/>
                <w:szCs w:val="22"/>
                <w:lang w:eastAsia="en-US"/>
              </w:rPr>
            </w:pPr>
            <w:r w:rsidRPr="0034590D">
              <w:t>139</w:t>
            </w:r>
          </w:p>
        </w:tc>
        <w:tc>
          <w:tcPr>
            <w:tcW w:w="637" w:type="pct"/>
            <w:noWrap/>
          </w:tcPr>
          <w:p w14:paraId="401C5834" w14:textId="6C0BFF08" w:rsidR="008A5731" w:rsidRPr="00551F9C" w:rsidRDefault="00D7722E" w:rsidP="008A5731">
            <w:pPr>
              <w:pStyle w:val="TableText"/>
              <w:keepNext/>
              <w:jc w:val="right"/>
              <w:rPr>
                <w:rFonts w:eastAsiaTheme="minorHAnsi" w:cstheme="minorBidi"/>
                <w:szCs w:val="22"/>
                <w:lang w:eastAsia="en-US"/>
              </w:rPr>
            </w:pPr>
            <w:r w:rsidRPr="0034590D">
              <w:t>139</w:t>
            </w:r>
          </w:p>
        </w:tc>
      </w:tr>
      <w:tr w:rsidR="008A5731" w:rsidRPr="00DA18E3" w14:paraId="36592E83" w14:textId="77777777" w:rsidTr="008A5731">
        <w:tc>
          <w:tcPr>
            <w:tcW w:w="1177" w:type="pct"/>
            <w:noWrap/>
            <w:hideMark/>
          </w:tcPr>
          <w:p w14:paraId="6C031192" w14:textId="70000BF2" w:rsidR="008A5731" w:rsidRPr="00DA18E3" w:rsidRDefault="008A5731" w:rsidP="008A5731">
            <w:pPr>
              <w:pStyle w:val="TableText"/>
              <w:keepNext/>
              <w:rPr>
                <w:rFonts w:eastAsiaTheme="minorHAnsi" w:cstheme="minorBidi"/>
                <w:b/>
                <w:szCs w:val="22"/>
                <w:lang w:eastAsia="en-US"/>
              </w:rPr>
            </w:pPr>
            <w:r w:rsidRPr="00DA18E3">
              <w:rPr>
                <w:rFonts w:eastAsiaTheme="minorHAnsi" w:cstheme="minorBidi"/>
                <w:b/>
                <w:szCs w:val="22"/>
                <w:lang w:eastAsia="en-US"/>
              </w:rPr>
              <w:t>Cost of second-tier screening (</w:t>
            </w:r>
            <w:r w:rsidR="006A64C0" w:rsidRPr="00DA18E3">
              <w:rPr>
                <w:rFonts w:eastAsiaTheme="minorHAnsi" w:cstheme="minorBidi"/>
                <w:b/>
                <w:szCs w:val="22"/>
                <w:lang w:eastAsia="en-US"/>
              </w:rPr>
              <w:t>sequencing</w:t>
            </w:r>
            <w:r w:rsidRPr="00DA18E3">
              <w:rPr>
                <w:rFonts w:eastAsiaTheme="minorHAnsi" w:cstheme="minorBidi"/>
                <w:b/>
                <w:szCs w:val="22"/>
                <w:lang w:eastAsia="en-US"/>
              </w:rPr>
              <w:t>)</w:t>
            </w:r>
            <w:r w:rsidRPr="00DA18E3">
              <w:rPr>
                <w:rFonts w:eastAsiaTheme="minorHAnsi" w:cstheme="minorBidi"/>
                <w:b/>
                <w:szCs w:val="22"/>
                <w:lang w:eastAsia="en-US"/>
              </w:rPr>
              <w:br/>
            </w:r>
            <w:r w:rsidRPr="00551F9C">
              <w:rPr>
                <w:rFonts w:eastAsiaTheme="minorHAnsi" w:cstheme="minorBidi"/>
                <w:szCs w:val="22"/>
                <w:lang w:eastAsia="en-US"/>
              </w:rPr>
              <w:t>($</w:t>
            </w:r>
            <w:r w:rsidR="006A64C0">
              <w:rPr>
                <w:rFonts w:eastAsiaTheme="minorHAnsi" w:cstheme="minorBidi"/>
                <w:szCs w:val="22"/>
                <w:lang w:eastAsia="en-US"/>
              </w:rPr>
              <w:t>500.00</w:t>
            </w:r>
            <w:r w:rsidRPr="00551F9C">
              <w:rPr>
                <w:rFonts w:eastAsiaTheme="minorHAnsi" w:cstheme="minorBidi"/>
                <w:szCs w:val="22"/>
                <w:lang w:eastAsia="en-US"/>
              </w:rPr>
              <w:t xml:space="preserve"> per test)</w:t>
            </w:r>
          </w:p>
        </w:tc>
        <w:tc>
          <w:tcPr>
            <w:tcW w:w="637" w:type="pct"/>
            <w:noWrap/>
          </w:tcPr>
          <w:p w14:paraId="4CC5FE82" w14:textId="2B8ADAB1" w:rsidR="008A5731" w:rsidRPr="00DA18E3" w:rsidRDefault="001832D0" w:rsidP="008A5731">
            <w:pPr>
              <w:pStyle w:val="TableText"/>
              <w:keepNext/>
              <w:jc w:val="right"/>
              <w:rPr>
                <w:rFonts w:eastAsiaTheme="minorHAnsi" w:cstheme="minorBidi"/>
                <w:b/>
                <w:szCs w:val="22"/>
                <w:lang w:eastAsia="en-US"/>
              </w:rPr>
            </w:pPr>
            <w:r w:rsidRPr="00DA18E3">
              <w:rPr>
                <w:b/>
                <w:bCs/>
              </w:rPr>
              <w:t>$68,708</w:t>
            </w:r>
          </w:p>
        </w:tc>
        <w:tc>
          <w:tcPr>
            <w:tcW w:w="637" w:type="pct"/>
            <w:noWrap/>
          </w:tcPr>
          <w:p w14:paraId="62C18D6D" w14:textId="08F48315" w:rsidR="008A5731" w:rsidRPr="00DA18E3" w:rsidRDefault="001832D0" w:rsidP="008A5731">
            <w:pPr>
              <w:pStyle w:val="TableText"/>
              <w:keepNext/>
              <w:jc w:val="right"/>
              <w:rPr>
                <w:rFonts w:eastAsiaTheme="minorHAnsi" w:cstheme="minorBidi"/>
                <w:b/>
                <w:szCs w:val="22"/>
                <w:lang w:eastAsia="en-US"/>
              </w:rPr>
            </w:pPr>
            <w:r w:rsidRPr="00DA18E3">
              <w:rPr>
                <w:b/>
                <w:bCs/>
              </w:rPr>
              <w:t>$68,870</w:t>
            </w:r>
          </w:p>
        </w:tc>
        <w:tc>
          <w:tcPr>
            <w:tcW w:w="637" w:type="pct"/>
            <w:noWrap/>
          </w:tcPr>
          <w:p w14:paraId="365B8463" w14:textId="27557ABF" w:rsidR="008A5731" w:rsidRPr="00DA18E3" w:rsidRDefault="001832D0" w:rsidP="008A5731">
            <w:pPr>
              <w:pStyle w:val="TableText"/>
              <w:keepNext/>
              <w:jc w:val="right"/>
              <w:rPr>
                <w:rFonts w:eastAsiaTheme="minorHAnsi" w:cstheme="minorBidi"/>
                <w:b/>
                <w:szCs w:val="22"/>
                <w:lang w:eastAsia="en-US"/>
              </w:rPr>
            </w:pPr>
            <w:r w:rsidRPr="00DA18E3">
              <w:rPr>
                <w:b/>
                <w:bCs/>
              </w:rPr>
              <w:t>$69,031</w:t>
            </w:r>
          </w:p>
        </w:tc>
        <w:tc>
          <w:tcPr>
            <w:tcW w:w="637" w:type="pct"/>
            <w:noWrap/>
          </w:tcPr>
          <w:p w14:paraId="6FF2921E" w14:textId="1552BB1E" w:rsidR="008A5731" w:rsidRPr="00DA18E3" w:rsidRDefault="001832D0" w:rsidP="008A5731">
            <w:pPr>
              <w:pStyle w:val="TableText"/>
              <w:keepNext/>
              <w:jc w:val="right"/>
              <w:rPr>
                <w:rFonts w:eastAsiaTheme="minorHAnsi" w:cstheme="minorBidi"/>
                <w:b/>
                <w:szCs w:val="22"/>
                <w:lang w:eastAsia="en-US"/>
              </w:rPr>
            </w:pPr>
            <w:r w:rsidRPr="00DA18E3">
              <w:rPr>
                <w:b/>
                <w:bCs/>
              </w:rPr>
              <w:t>$69,192</w:t>
            </w:r>
          </w:p>
        </w:tc>
        <w:tc>
          <w:tcPr>
            <w:tcW w:w="637" w:type="pct"/>
            <w:noWrap/>
          </w:tcPr>
          <w:p w14:paraId="47DC8607" w14:textId="21E13D8D" w:rsidR="008A5731" w:rsidRPr="00DA18E3" w:rsidRDefault="001832D0" w:rsidP="008A5731">
            <w:pPr>
              <w:pStyle w:val="TableText"/>
              <w:keepNext/>
              <w:jc w:val="right"/>
              <w:rPr>
                <w:rFonts w:eastAsiaTheme="minorHAnsi" w:cstheme="minorBidi"/>
                <w:b/>
                <w:szCs w:val="22"/>
                <w:lang w:eastAsia="en-US"/>
              </w:rPr>
            </w:pPr>
            <w:r w:rsidRPr="00DA18E3">
              <w:rPr>
                <w:b/>
                <w:bCs/>
              </w:rPr>
              <w:t>$69,353</w:t>
            </w:r>
          </w:p>
        </w:tc>
        <w:tc>
          <w:tcPr>
            <w:tcW w:w="637" w:type="pct"/>
            <w:noWrap/>
          </w:tcPr>
          <w:p w14:paraId="720EA191" w14:textId="590300EB" w:rsidR="008A5731" w:rsidRPr="00DA18E3" w:rsidRDefault="001832D0" w:rsidP="008A5731">
            <w:pPr>
              <w:pStyle w:val="TableText"/>
              <w:keepNext/>
              <w:jc w:val="right"/>
              <w:rPr>
                <w:rFonts w:eastAsiaTheme="minorHAnsi" w:cstheme="minorBidi"/>
                <w:b/>
                <w:szCs w:val="22"/>
                <w:lang w:eastAsia="en-US"/>
              </w:rPr>
            </w:pPr>
            <w:r w:rsidRPr="00DA18E3">
              <w:rPr>
                <w:b/>
                <w:bCs/>
              </w:rPr>
              <w:t>$69,514</w:t>
            </w:r>
          </w:p>
        </w:tc>
      </w:tr>
      <w:tr w:rsidR="00B058D5" w:rsidRPr="008E0594" w14:paraId="2DFE7A29" w14:textId="77777777" w:rsidTr="0003613A">
        <w:tc>
          <w:tcPr>
            <w:tcW w:w="1177" w:type="pct"/>
            <w:noWrap/>
          </w:tcPr>
          <w:p w14:paraId="454D6F50" w14:textId="03359021" w:rsidR="00B058D5" w:rsidRPr="008E0594" w:rsidRDefault="00B058D5" w:rsidP="00B058D5">
            <w:pPr>
              <w:pStyle w:val="TableText"/>
              <w:keepNext/>
              <w:rPr>
                <w:b/>
              </w:rPr>
            </w:pPr>
            <w:r w:rsidRPr="008E0594">
              <w:rPr>
                <w:b/>
              </w:rPr>
              <w:t>Total cost to NBS</w:t>
            </w:r>
            <w:r w:rsidR="002C15BD">
              <w:rPr>
                <w:b/>
              </w:rPr>
              <w:t xml:space="preserve"> programs</w:t>
            </w:r>
          </w:p>
        </w:tc>
        <w:tc>
          <w:tcPr>
            <w:tcW w:w="637" w:type="pct"/>
            <w:noWrap/>
          </w:tcPr>
          <w:p w14:paraId="46B42A20" w14:textId="2AC823E3" w:rsidR="00B058D5" w:rsidRPr="00B058D5" w:rsidRDefault="00B058D5" w:rsidP="00B058D5">
            <w:pPr>
              <w:pStyle w:val="TableText"/>
              <w:keepNext/>
              <w:jc w:val="right"/>
              <w:rPr>
                <w:b/>
                <w:bCs/>
              </w:rPr>
            </w:pPr>
            <w:r w:rsidRPr="00B058D5">
              <w:rPr>
                <w:b/>
                <w:bCs/>
              </w:rPr>
              <w:t>$690,552</w:t>
            </w:r>
          </w:p>
        </w:tc>
        <w:tc>
          <w:tcPr>
            <w:tcW w:w="637" w:type="pct"/>
            <w:noWrap/>
          </w:tcPr>
          <w:p w14:paraId="08C0F435" w14:textId="65C2E65E" w:rsidR="00B058D5" w:rsidRPr="00B058D5" w:rsidRDefault="00B058D5" w:rsidP="00B058D5">
            <w:pPr>
              <w:pStyle w:val="TableText"/>
              <w:keepNext/>
              <w:jc w:val="right"/>
              <w:rPr>
                <w:b/>
                <w:bCs/>
              </w:rPr>
            </w:pPr>
            <w:r w:rsidRPr="00B058D5">
              <w:rPr>
                <w:b/>
                <w:bCs/>
              </w:rPr>
              <w:t>$692,171</w:t>
            </w:r>
          </w:p>
        </w:tc>
        <w:tc>
          <w:tcPr>
            <w:tcW w:w="637" w:type="pct"/>
            <w:noWrap/>
          </w:tcPr>
          <w:p w14:paraId="6D653BEA" w14:textId="5BC7F0DA" w:rsidR="00B058D5" w:rsidRPr="00B058D5" w:rsidRDefault="00B058D5" w:rsidP="00B058D5">
            <w:pPr>
              <w:pStyle w:val="TableText"/>
              <w:keepNext/>
              <w:jc w:val="right"/>
              <w:rPr>
                <w:b/>
                <w:bCs/>
              </w:rPr>
            </w:pPr>
            <w:r w:rsidRPr="00B058D5">
              <w:rPr>
                <w:b/>
                <w:bCs/>
              </w:rPr>
              <w:t>$693,790</w:t>
            </w:r>
          </w:p>
        </w:tc>
        <w:tc>
          <w:tcPr>
            <w:tcW w:w="637" w:type="pct"/>
            <w:noWrap/>
          </w:tcPr>
          <w:p w14:paraId="5FB875B8" w14:textId="789DB61C" w:rsidR="00B058D5" w:rsidRPr="00B058D5" w:rsidRDefault="00B058D5" w:rsidP="00B058D5">
            <w:pPr>
              <w:pStyle w:val="TableText"/>
              <w:keepNext/>
              <w:jc w:val="right"/>
              <w:rPr>
                <w:b/>
                <w:bCs/>
              </w:rPr>
            </w:pPr>
            <w:r w:rsidRPr="00B058D5">
              <w:rPr>
                <w:b/>
                <w:bCs/>
              </w:rPr>
              <w:t>$695,409</w:t>
            </w:r>
          </w:p>
        </w:tc>
        <w:tc>
          <w:tcPr>
            <w:tcW w:w="637" w:type="pct"/>
            <w:noWrap/>
          </w:tcPr>
          <w:p w14:paraId="4288FB78" w14:textId="69463813" w:rsidR="00B058D5" w:rsidRPr="00B058D5" w:rsidRDefault="00B058D5" w:rsidP="00B058D5">
            <w:pPr>
              <w:pStyle w:val="TableText"/>
              <w:keepNext/>
              <w:jc w:val="right"/>
              <w:rPr>
                <w:b/>
                <w:bCs/>
              </w:rPr>
            </w:pPr>
            <w:r w:rsidRPr="00B058D5">
              <w:rPr>
                <w:b/>
                <w:bCs/>
              </w:rPr>
              <w:t>$697,028</w:t>
            </w:r>
          </w:p>
        </w:tc>
        <w:tc>
          <w:tcPr>
            <w:tcW w:w="637" w:type="pct"/>
            <w:noWrap/>
          </w:tcPr>
          <w:p w14:paraId="1C240C74" w14:textId="0CF67EDC" w:rsidR="00B058D5" w:rsidRPr="00B058D5" w:rsidRDefault="00B058D5" w:rsidP="00B058D5">
            <w:pPr>
              <w:pStyle w:val="TableText"/>
              <w:keepNext/>
              <w:jc w:val="right"/>
              <w:rPr>
                <w:b/>
                <w:bCs/>
              </w:rPr>
            </w:pPr>
            <w:r w:rsidRPr="00B058D5">
              <w:rPr>
                <w:b/>
                <w:bCs/>
              </w:rPr>
              <w:t>$698,646</w:t>
            </w:r>
          </w:p>
        </w:tc>
      </w:tr>
    </w:tbl>
    <w:bookmarkEnd w:id="63"/>
    <w:p w14:paraId="3AEAB557" w14:textId="77777777" w:rsidR="005C576A" w:rsidRDefault="005C576A" w:rsidP="005C576A">
      <w:pPr>
        <w:pStyle w:val="TableFigureFooter"/>
      </w:pPr>
      <w:r>
        <w:t xml:space="preserve">Note: </w:t>
      </w:r>
      <w:r w:rsidRPr="004B580A">
        <w:rPr>
          <w:shd w:val="clear" w:color="auto" w:fill="B4C6E7" w:themeFill="accent5" w:themeFillTint="66"/>
        </w:rPr>
        <w:t>Shaded</w:t>
      </w:r>
      <w:r>
        <w:t xml:space="preserve"> cells depict those elements that are unchanged from the 1737 DCAR.</w:t>
      </w:r>
    </w:p>
    <w:p w14:paraId="6248F79C" w14:textId="2B55F377" w:rsidR="00B445BF" w:rsidRDefault="00040AA9" w:rsidP="00B445BF">
      <w:pPr>
        <w:pStyle w:val="TableFigureFooter"/>
      </w:pPr>
      <w:proofErr w:type="spellStart"/>
      <w:r>
        <w:rPr>
          <w:vertAlign w:val="superscript"/>
        </w:rPr>
        <w:t>a</w:t>
      </w:r>
      <w:proofErr w:type="spellEnd"/>
      <w:r w:rsidR="00B445BF">
        <w:t xml:space="preserve"> </w:t>
      </w:r>
      <w:proofErr w:type="gramStart"/>
      <w:r w:rsidR="008A5731">
        <w:t>The</w:t>
      </w:r>
      <w:proofErr w:type="gramEnd"/>
      <w:r w:rsidR="008A5731">
        <w:t xml:space="preserve"> sum of SCD cases identified and false positive screens.</w:t>
      </w:r>
    </w:p>
    <w:p w14:paraId="0639DDBF" w14:textId="58155633" w:rsidR="00B445BF" w:rsidRDefault="002248D1" w:rsidP="00B445BF">
      <w:pPr>
        <w:pStyle w:val="TableFigureFooter"/>
      </w:pPr>
      <w:r w:rsidRPr="009E2530">
        <w:t xml:space="preserve">ESI-MS/MS = </w:t>
      </w:r>
      <w:r w:rsidRPr="006B3900">
        <w:t xml:space="preserve">Electrospray Ionization </w:t>
      </w:r>
      <w:r>
        <w:t xml:space="preserve">tandem </w:t>
      </w:r>
      <w:r w:rsidRPr="006B3900">
        <w:t>mass spectrometry</w:t>
      </w:r>
      <w:r>
        <w:t xml:space="preserve">; </w:t>
      </w:r>
      <w:r w:rsidR="00B445BF">
        <w:t>NBS = newborn bloodspot screening;</w:t>
      </w:r>
      <w:r w:rsidR="006E7386">
        <w:t xml:space="preserve"> </w:t>
      </w:r>
      <w:r w:rsidR="00B445BF">
        <w:t>SCD = sickle-cell disease.</w:t>
      </w:r>
    </w:p>
    <w:p w14:paraId="74FCAD05" w14:textId="56D7272E" w:rsidR="00B445BF" w:rsidRDefault="00B445BF" w:rsidP="00B445BF">
      <w:r>
        <w:t xml:space="preserve">The financial impact </w:t>
      </w:r>
      <w:r w:rsidR="002C15BD">
        <w:t>wa</w:t>
      </w:r>
      <w:r>
        <w:t xml:space="preserve">s driven by the cost </w:t>
      </w:r>
      <w:r w:rsidR="0035634D">
        <w:t>per test</w:t>
      </w:r>
      <w:r>
        <w:t xml:space="preserve"> of first-tier screening. Given that the data available to inform the extent of use of first-tier screening (</w:t>
      </w:r>
      <w:proofErr w:type="gramStart"/>
      <w:r>
        <w:t>i.e.</w:t>
      </w:r>
      <w:proofErr w:type="gramEnd"/>
      <w:r>
        <w:t xml:space="preserve"> the number of newborns and uptake of NBS) </w:t>
      </w:r>
      <w:r w:rsidR="002C15BD">
        <w:t xml:space="preserve">were </w:t>
      </w:r>
      <w:r>
        <w:t xml:space="preserve">reasonably robust, the main driver of total first-tier screening costs </w:t>
      </w:r>
      <w:r w:rsidR="005E066D">
        <w:t>was</w:t>
      </w:r>
      <w:r w:rsidR="00717B4A">
        <w:t xml:space="preserve"> </w:t>
      </w:r>
      <w:r>
        <w:t xml:space="preserve">the </w:t>
      </w:r>
      <w:r w:rsidR="00C65EF7">
        <w:t>average cost per screen</w:t>
      </w:r>
      <w:r w:rsidR="005E066D">
        <w:t xml:space="preserve"> (as was also found in the 1737 DCAR)</w:t>
      </w:r>
      <w:r>
        <w:t>. Second-tier screening costs ma</w:t>
      </w:r>
      <w:r w:rsidR="005E066D">
        <w:t>d</w:t>
      </w:r>
      <w:r>
        <w:t>e up a small proportion of the estimated cost to NBS</w:t>
      </w:r>
      <w:r w:rsidR="005E066D">
        <w:t xml:space="preserve"> programs</w:t>
      </w:r>
      <w:r>
        <w:t xml:space="preserve">. </w:t>
      </w:r>
      <w:r w:rsidR="00862C60">
        <w:t xml:space="preserve">Sensitivity analyses around the financial impact to NBS programs </w:t>
      </w:r>
      <w:r w:rsidR="00E660B5">
        <w:t xml:space="preserve">are </w:t>
      </w:r>
      <w:r w:rsidR="00862C60">
        <w:t xml:space="preserve">presented </w:t>
      </w:r>
      <w:r w:rsidR="00BD604B">
        <w:t>in</w:t>
      </w:r>
      <w:r w:rsidR="00C949BB">
        <w:t xml:space="preserve"> </w:t>
      </w:r>
      <w:r w:rsidR="00C949BB">
        <w:fldChar w:fldCharType="begin"/>
      </w:r>
      <w:r w:rsidR="00C949BB">
        <w:instrText xml:space="preserve"> REF _Ref149560437 \h </w:instrText>
      </w:r>
      <w:r w:rsidR="00C949BB">
        <w:fldChar w:fldCharType="separate"/>
      </w:r>
      <w:r w:rsidR="007D770C" w:rsidRPr="00CE28E3">
        <w:t>Table</w:t>
      </w:r>
      <w:r w:rsidR="007D770C">
        <w:t> </w:t>
      </w:r>
      <w:r w:rsidR="007D770C">
        <w:rPr>
          <w:noProof/>
        </w:rPr>
        <w:t>19</w:t>
      </w:r>
      <w:r w:rsidR="00C949BB">
        <w:fldChar w:fldCharType="end"/>
      </w:r>
      <w:r w:rsidR="00BD604B">
        <w:t>.</w:t>
      </w:r>
      <w:r w:rsidR="00930185">
        <w:t xml:space="preserve"> Expanding second-tier screening from SCD affected cases only to also include those with β</w:t>
      </w:r>
      <w:r w:rsidR="00AF7E87">
        <w:noBreakHyphen/>
      </w:r>
      <w:r w:rsidR="00930185">
        <w:t xml:space="preserve">thalassemia </w:t>
      </w:r>
      <w:r w:rsidR="00C07E6C">
        <w:t>(major only)</w:t>
      </w:r>
      <w:r w:rsidR="00930185">
        <w:t xml:space="preserve"> was associated with an additional annual cost of approximately $18,000.</w:t>
      </w:r>
      <w:r w:rsidR="00BA566E">
        <w:t xml:space="preserve"> Implementation costs were not included in these calculations.</w:t>
      </w:r>
    </w:p>
    <w:p w14:paraId="7020FE74" w14:textId="15BC3F18" w:rsidR="00A53757" w:rsidRDefault="00A53757" w:rsidP="00A53757">
      <w:pPr>
        <w:pStyle w:val="Caption"/>
      </w:pPr>
      <w:bookmarkStart w:id="64" w:name="_Ref149142890"/>
      <w:bookmarkStart w:id="65" w:name="_Ref149560437"/>
      <w:r w:rsidRPr="00CE28E3">
        <w:t>Table</w:t>
      </w:r>
      <w:r>
        <w:t> </w:t>
      </w:r>
      <w:bookmarkEnd w:id="64"/>
      <w:r w:rsidR="00ED70CD">
        <w:fldChar w:fldCharType="begin"/>
      </w:r>
      <w:r w:rsidR="00ED70CD">
        <w:instrText xml:space="preserve"> SEQ Table \* ARABIC </w:instrText>
      </w:r>
      <w:r w:rsidR="00ED70CD">
        <w:fldChar w:fldCharType="separate"/>
      </w:r>
      <w:r w:rsidR="007D770C">
        <w:rPr>
          <w:noProof/>
        </w:rPr>
        <w:t>19</w:t>
      </w:r>
      <w:r w:rsidR="00ED70CD">
        <w:rPr>
          <w:noProof/>
        </w:rPr>
        <w:fldChar w:fldCharType="end"/>
      </w:r>
      <w:r w:rsidR="004A2892">
        <w:fldChar w:fldCharType="begin"/>
      </w:r>
      <w:bookmarkEnd w:id="65"/>
      <w:r w:rsidR="004A2892">
        <w:fldChar w:fldCharType="separate"/>
      </w:r>
      <w:r w:rsidR="00DD4842">
        <w:rPr>
          <w:noProof/>
        </w:rPr>
        <w:t>24</w:t>
      </w:r>
      <w:r w:rsidR="004A2892">
        <w:fldChar w:fldCharType="end"/>
      </w:r>
      <w:r w:rsidRPr="00CE28E3">
        <w:tab/>
      </w:r>
      <w:r>
        <w:t>Net financial impact to NBS</w:t>
      </w:r>
      <w:r w:rsidRPr="005C7A4F">
        <w:t xml:space="preserve"> </w:t>
      </w:r>
      <w:r>
        <w:t>p</w:t>
      </w:r>
      <w:r w:rsidRPr="005C7A4F">
        <w:t>rogram</w:t>
      </w:r>
      <w:r>
        <w:t xml:space="preserve">s, </w:t>
      </w:r>
      <w:r w:rsidR="00892D4B">
        <w:t xml:space="preserve">key </w:t>
      </w:r>
      <w:r>
        <w:t>sensitivity analyses</w:t>
      </w:r>
    </w:p>
    <w:tbl>
      <w:tblPr>
        <w:tblStyle w:val="TableGrid1"/>
        <w:tblW w:w="5000" w:type="pct"/>
        <w:tblLayout w:type="fixed"/>
        <w:tblLook w:val="04A0" w:firstRow="1" w:lastRow="0" w:firstColumn="1" w:lastColumn="0" w:noHBand="0" w:noVBand="1"/>
        <w:tblCaption w:val="Analyses around the net financial implications of the addition of haemoglobinopathies to the NBS"/>
        <w:tblDescription w:val="Analyses around the net financial implications of the addition of haemoglobinopathies to the NBS"/>
      </w:tblPr>
      <w:tblGrid>
        <w:gridCol w:w="2120"/>
        <w:gridCol w:w="1148"/>
        <w:gridCol w:w="1149"/>
        <w:gridCol w:w="1149"/>
        <w:gridCol w:w="1149"/>
        <w:gridCol w:w="1149"/>
        <w:gridCol w:w="1152"/>
      </w:tblGrid>
      <w:tr w:rsidR="00FE3186" w:rsidRPr="00724087" w14:paraId="1190AF85" w14:textId="77777777">
        <w:trPr>
          <w:cnfStyle w:val="100000000000" w:firstRow="1" w:lastRow="0" w:firstColumn="0" w:lastColumn="0" w:oddVBand="0" w:evenVBand="0" w:oddHBand="0" w:evenHBand="0" w:firstRowFirstColumn="0" w:firstRowLastColumn="0" w:lastRowFirstColumn="0" w:lastRowLastColumn="0"/>
          <w:tblHeader/>
        </w:trPr>
        <w:tc>
          <w:tcPr>
            <w:tcW w:w="1176" w:type="pct"/>
            <w:noWrap/>
            <w:hideMark/>
          </w:tcPr>
          <w:p w14:paraId="3CCE9D7B" w14:textId="77777777" w:rsidR="00FE3186" w:rsidRPr="00724087" w:rsidRDefault="00FE3186" w:rsidP="00C949BB">
            <w:pPr>
              <w:pStyle w:val="In-tableHeading"/>
              <w:jc w:val="center"/>
            </w:pPr>
          </w:p>
        </w:tc>
        <w:tc>
          <w:tcPr>
            <w:tcW w:w="637" w:type="pct"/>
            <w:noWrap/>
            <w:hideMark/>
          </w:tcPr>
          <w:p w14:paraId="5D7C3C8B" w14:textId="77777777" w:rsidR="00FE3186" w:rsidRPr="00724087" w:rsidRDefault="00FE3186" w:rsidP="00C949BB">
            <w:pPr>
              <w:pStyle w:val="In-tableHeading"/>
              <w:jc w:val="center"/>
            </w:pPr>
            <w:r w:rsidRPr="00724087">
              <w:t>2023−24</w:t>
            </w:r>
          </w:p>
        </w:tc>
        <w:tc>
          <w:tcPr>
            <w:tcW w:w="637" w:type="pct"/>
            <w:noWrap/>
            <w:hideMark/>
          </w:tcPr>
          <w:p w14:paraId="022B7791" w14:textId="77777777" w:rsidR="00FE3186" w:rsidRPr="00724087" w:rsidRDefault="00FE3186" w:rsidP="00C949BB">
            <w:pPr>
              <w:pStyle w:val="In-tableHeading"/>
              <w:jc w:val="center"/>
            </w:pPr>
            <w:r w:rsidRPr="00724087">
              <w:t>2024−25</w:t>
            </w:r>
          </w:p>
        </w:tc>
        <w:tc>
          <w:tcPr>
            <w:tcW w:w="637" w:type="pct"/>
            <w:noWrap/>
            <w:hideMark/>
          </w:tcPr>
          <w:p w14:paraId="5896ABB3" w14:textId="77777777" w:rsidR="00FE3186" w:rsidRPr="00724087" w:rsidRDefault="00FE3186" w:rsidP="00C949BB">
            <w:pPr>
              <w:pStyle w:val="In-tableHeading"/>
              <w:jc w:val="center"/>
            </w:pPr>
            <w:r w:rsidRPr="00724087">
              <w:t>2025−26</w:t>
            </w:r>
          </w:p>
        </w:tc>
        <w:tc>
          <w:tcPr>
            <w:tcW w:w="637" w:type="pct"/>
            <w:noWrap/>
            <w:hideMark/>
          </w:tcPr>
          <w:p w14:paraId="2745CA72" w14:textId="77777777" w:rsidR="00FE3186" w:rsidRPr="00724087" w:rsidRDefault="00FE3186" w:rsidP="00C949BB">
            <w:pPr>
              <w:pStyle w:val="In-tableHeading"/>
              <w:jc w:val="center"/>
            </w:pPr>
            <w:r w:rsidRPr="00724087">
              <w:t>2027−28</w:t>
            </w:r>
          </w:p>
        </w:tc>
        <w:tc>
          <w:tcPr>
            <w:tcW w:w="637" w:type="pct"/>
            <w:noWrap/>
            <w:hideMark/>
          </w:tcPr>
          <w:p w14:paraId="3B744EC8" w14:textId="77777777" w:rsidR="00FE3186" w:rsidRPr="00724087" w:rsidRDefault="00FE3186" w:rsidP="00C949BB">
            <w:pPr>
              <w:pStyle w:val="In-tableHeading"/>
              <w:jc w:val="center"/>
            </w:pPr>
            <w:r w:rsidRPr="00724087">
              <w:t>2028−29</w:t>
            </w:r>
          </w:p>
        </w:tc>
        <w:tc>
          <w:tcPr>
            <w:tcW w:w="639" w:type="pct"/>
            <w:noWrap/>
            <w:hideMark/>
          </w:tcPr>
          <w:p w14:paraId="77FF208D" w14:textId="77777777" w:rsidR="00FE3186" w:rsidRPr="00724087" w:rsidRDefault="00FE3186" w:rsidP="00C949BB">
            <w:pPr>
              <w:pStyle w:val="In-tableHeading"/>
              <w:jc w:val="center"/>
            </w:pPr>
            <w:r w:rsidRPr="00724087">
              <w:t>2029−30</w:t>
            </w:r>
          </w:p>
        </w:tc>
      </w:tr>
      <w:tr w:rsidR="00F47F41" w:rsidRPr="00724087" w14:paraId="67E03579" w14:textId="77777777">
        <w:trPr>
          <w:cnfStyle w:val="100000000000" w:firstRow="1" w:lastRow="0" w:firstColumn="0" w:lastColumn="0" w:oddVBand="0" w:evenVBand="0" w:oddHBand="0" w:evenHBand="0" w:firstRowFirstColumn="0" w:firstRowLastColumn="0" w:lastRowFirstColumn="0" w:lastRowLastColumn="0"/>
          <w:tblHeader/>
        </w:trPr>
        <w:tc>
          <w:tcPr>
            <w:tcW w:w="1176" w:type="pct"/>
            <w:noWrap/>
            <w:hideMark/>
          </w:tcPr>
          <w:p w14:paraId="76AA432D" w14:textId="26E978F5" w:rsidR="00F47F41" w:rsidRPr="00724087" w:rsidRDefault="00F47F41" w:rsidP="00C949BB">
            <w:pPr>
              <w:pStyle w:val="TableText"/>
              <w:keepNext/>
              <w:rPr>
                <w:rFonts w:eastAsiaTheme="minorHAnsi" w:cstheme="minorBidi"/>
                <w:b/>
                <w:lang w:eastAsia="en-US"/>
              </w:rPr>
            </w:pPr>
            <w:r w:rsidRPr="00724087">
              <w:rPr>
                <w:rFonts w:eastAsiaTheme="minorHAnsi" w:cstheme="minorBidi"/>
                <w:b/>
                <w:lang w:eastAsia="en-US"/>
              </w:rPr>
              <w:t>Base net impact to NBS</w:t>
            </w:r>
            <w:r w:rsidR="005E066D">
              <w:rPr>
                <w:rFonts w:eastAsiaTheme="minorHAnsi" w:cstheme="minorBidi"/>
                <w:b/>
                <w:lang w:eastAsia="en-US"/>
              </w:rPr>
              <w:t xml:space="preserve"> programs</w:t>
            </w:r>
          </w:p>
        </w:tc>
        <w:tc>
          <w:tcPr>
            <w:tcW w:w="637" w:type="pct"/>
            <w:noWrap/>
          </w:tcPr>
          <w:p w14:paraId="7CE00896" w14:textId="4ADDF0EF" w:rsidR="00F47F41" w:rsidRPr="00F47F41" w:rsidRDefault="00F47F41" w:rsidP="00C949BB">
            <w:pPr>
              <w:pStyle w:val="TableText"/>
              <w:keepNext/>
              <w:jc w:val="right"/>
              <w:rPr>
                <w:rFonts w:eastAsiaTheme="minorHAnsi" w:cstheme="minorBidi"/>
                <w:b/>
                <w:bCs/>
                <w:lang w:eastAsia="en-US"/>
              </w:rPr>
            </w:pPr>
            <w:r w:rsidRPr="00F47F41">
              <w:rPr>
                <w:b/>
                <w:bCs/>
              </w:rPr>
              <w:t>$690,552</w:t>
            </w:r>
          </w:p>
        </w:tc>
        <w:tc>
          <w:tcPr>
            <w:tcW w:w="637" w:type="pct"/>
            <w:noWrap/>
          </w:tcPr>
          <w:p w14:paraId="39B64A6B" w14:textId="6947A8FE" w:rsidR="00F47F41" w:rsidRPr="00F47F41" w:rsidRDefault="00F47F41" w:rsidP="00C949BB">
            <w:pPr>
              <w:pStyle w:val="TableText"/>
              <w:keepNext/>
              <w:jc w:val="right"/>
              <w:rPr>
                <w:rFonts w:eastAsiaTheme="minorHAnsi" w:cstheme="minorBidi"/>
                <w:b/>
                <w:bCs/>
                <w:lang w:eastAsia="en-US"/>
              </w:rPr>
            </w:pPr>
            <w:r w:rsidRPr="00F47F41">
              <w:rPr>
                <w:b/>
                <w:bCs/>
              </w:rPr>
              <w:t>$692,171</w:t>
            </w:r>
          </w:p>
        </w:tc>
        <w:tc>
          <w:tcPr>
            <w:tcW w:w="637" w:type="pct"/>
            <w:noWrap/>
          </w:tcPr>
          <w:p w14:paraId="2151C251" w14:textId="796DD0F4" w:rsidR="00F47F41" w:rsidRPr="00F47F41" w:rsidRDefault="00F47F41" w:rsidP="00C949BB">
            <w:pPr>
              <w:pStyle w:val="TableText"/>
              <w:keepNext/>
              <w:jc w:val="right"/>
              <w:rPr>
                <w:rFonts w:eastAsiaTheme="minorHAnsi" w:cstheme="minorBidi"/>
                <w:b/>
                <w:bCs/>
                <w:lang w:eastAsia="en-US"/>
              </w:rPr>
            </w:pPr>
            <w:r w:rsidRPr="00F47F41">
              <w:rPr>
                <w:b/>
                <w:bCs/>
              </w:rPr>
              <w:t>$693,790</w:t>
            </w:r>
          </w:p>
        </w:tc>
        <w:tc>
          <w:tcPr>
            <w:tcW w:w="637" w:type="pct"/>
            <w:noWrap/>
          </w:tcPr>
          <w:p w14:paraId="58984FED" w14:textId="721A476B" w:rsidR="00F47F41" w:rsidRPr="00F47F41" w:rsidRDefault="00F47F41" w:rsidP="00C949BB">
            <w:pPr>
              <w:pStyle w:val="TableText"/>
              <w:keepNext/>
              <w:jc w:val="right"/>
              <w:rPr>
                <w:rFonts w:eastAsiaTheme="minorHAnsi" w:cstheme="minorBidi"/>
                <w:b/>
                <w:bCs/>
                <w:lang w:eastAsia="en-US"/>
              </w:rPr>
            </w:pPr>
            <w:r w:rsidRPr="00F47F41">
              <w:rPr>
                <w:b/>
                <w:bCs/>
              </w:rPr>
              <w:t>$695,409</w:t>
            </w:r>
          </w:p>
        </w:tc>
        <w:tc>
          <w:tcPr>
            <w:tcW w:w="637" w:type="pct"/>
            <w:noWrap/>
          </w:tcPr>
          <w:p w14:paraId="663F2145" w14:textId="393857A6" w:rsidR="00F47F41" w:rsidRPr="00F47F41" w:rsidRDefault="00F47F41" w:rsidP="00C949BB">
            <w:pPr>
              <w:pStyle w:val="TableText"/>
              <w:keepNext/>
              <w:jc w:val="right"/>
              <w:rPr>
                <w:rFonts w:eastAsiaTheme="minorHAnsi" w:cstheme="minorBidi"/>
                <w:b/>
                <w:bCs/>
                <w:lang w:eastAsia="en-US"/>
              </w:rPr>
            </w:pPr>
            <w:r w:rsidRPr="00F47F41">
              <w:rPr>
                <w:b/>
                <w:bCs/>
              </w:rPr>
              <w:t>$697,028</w:t>
            </w:r>
          </w:p>
        </w:tc>
        <w:tc>
          <w:tcPr>
            <w:tcW w:w="639" w:type="pct"/>
            <w:noWrap/>
          </w:tcPr>
          <w:p w14:paraId="1EEC3CAB" w14:textId="7E814DA1" w:rsidR="00F47F41" w:rsidRPr="00F47F41" w:rsidRDefault="00F47F41" w:rsidP="00C949BB">
            <w:pPr>
              <w:pStyle w:val="TableText"/>
              <w:keepNext/>
              <w:jc w:val="right"/>
              <w:rPr>
                <w:rFonts w:eastAsiaTheme="minorHAnsi" w:cstheme="minorBidi"/>
                <w:b/>
                <w:bCs/>
                <w:lang w:eastAsia="en-US"/>
              </w:rPr>
            </w:pPr>
            <w:r w:rsidRPr="00F47F41">
              <w:rPr>
                <w:b/>
                <w:bCs/>
              </w:rPr>
              <w:t>$698,646</w:t>
            </w:r>
          </w:p>
        </w:tc>
      </w:tr>
      <w:tr w:rsidR="00FE3186" w:rsidRPr="00724087" w14:paraId="330EB497" w14:textId="77777777">
        <w:tc>
          <w:tcPr>
            <w:tcW w:w="5000" w:type="pct"/>
            <w:gridSpan w:val="7"/>
            <w:noWrap/>
            <w:hideMark/>
          </w:tcPr>
          <w:p w14:paraId="66A3C022" w14:textId="77777777" w:rsidR="00FE3186" w:rsidRPr="00724087" w:rsidRDefault="00283906" w:rsidP="00C949BB">
            <w:pPr>
              <w:pStyle w:val="TableText"/>
              <w:keepNext/>
              <w:rPr>
                <w:rFonts w:eastAsiaTheme="minorHAnsi" w:cstheme="minorBidi"/>
                <w:lang w:eastAsia="en-US"/>
              </w:rPr>
            </w:pPr>
            <w:r w:rsidRPr="00283906">
              <w:rPr>
                <w:rFonts w:eastAsiaTheme="minorHAnsi" w:cstheme="minorBidi"/>
                <w:lang w:eastAsia="en-US"/>
              </w:rPr>
              <w:t>SCD incidence (base case: 34.2 per 100,000)</w:t>
            </w:r>
          </w:p>
        </w:tc>
      </w:tr>
      <w:tr w:rsidR="007F7210" w:rsidRPr="00724087" w14:paraId="5E47E6C5" w14:textId="77777777">
        <w:tc>
          <w:tcPr>
            <w:tcW w:w="1176" w:type="pct"/>
            <w:noWrap/>
            <w:hideMark/>
          </w:tcPr>
          <w:p w14:paraId="5632CF55" w14:textId="7700FDD2" w:rsidR="007F7210" w:rsidRPr="00724087" w:rsidRDefault="007F7210" w:rsidP="00C949BB">
            <w:pPr>
              <w:pStyle w:val="TableText"/>
              <w:keepNext/>
              <w:rPr>
                <w:rFonts w:eastAsiaTheme="minorHAnsi" w:cstheme="minorBidi"/>
                <w:lang w:eastAsia="en-US"/>
              </w:rPr>
            </w:pPr>
            <w:r w:rsidRPr="00C23B4B">
              <w:t>0.6 per 100,000 births</w:t>
            </w:r>
          </w:p>
        </w:tc>
        <w:tc>
          <w:tcPr>
            <w:tcW w:w="637" w:type="pct"/>
            <w:noWrap/>
          </w:tcPr>
          <w:p w14:paraId="7648DED8" w14:textId="6E6234E3" w:rsidR="007F7210" w:rsidRPr="00724087" w:rsidRDefault="007F7210" w:rsidP="00C949BB">
            <w:pPr>
              <w:pStyle w:val="TableText"/>
              <w:keepNext/>
              <w:jc w:val="right"/>
              <w:rPr>
                <w:rFonts w:eastAsiaTheme="minorHAnsi" w:cstheme="minorBidi"/>
                <w:lang w:eastAsia="en-US"/>
              </w:rPr>
            </w:pPr>
            <w:r w:rsidRPr="00415A52">
              <w:t>$638,352</w:t>
            </w:r>
          </w:p>
        </w:tc>
        <w:tc>
          <w:tcPr>
            <w:tcW w:w="637" w:type="pct"/>
            <w:noWrap/>
          </w:tcPr>
          <w:p w14:paraId="649A050B" w14:textId="6C82C32D" w:rsidR="007F7210" w:rsidRPr="00724087" w:rsidRDefault="007F7210" w:rsidP="00C949BB">
            <w:pPr>
              <w:pStyle w:val="TableText"/>
              <w:keepNext/>
              <w:jc w:val="right"/>
              <w:rPr>
                <w:rFonts w:eastAsiaTheme="minorHAnsi" w:cstheme="minorBidi"/>
                <w:lang w:eastAsia="en-US"/>
              </w:rPr>
            </w:pPr>
            <w:r w:rsidRPr="00415A52">
              <w:t>$639,848</w:t>
            </w:r>
          </w:p>
        </w:tc>
        <w:tc>
          <w:tcPr>
            <w:tcW w:w="637" w:type="pct"/>
            <w:noWrap/>
          </w:tcPr>
          <w:p w14:paraId="03C06B83" w14:textId="18973A62" w:rsidR="007F7210" w:rsidRPr="00724087" w:rsidRDefault="007F7210" w:rsidP="00C949BB">
            <w:pPr>
              <w:pStyle w:val="TableText"/>
              <w:keepNext/>
              <w:jc w:val="right"/>
              <w:rPr>
                <w:rFonts w:eastAsiaTheme="minorHAnsi" w:cstheme="minorBidi"/>
                <w:lang w:eastAsia="en-US"/>
              </w:rPr>
            </w:pPr>
            <w:r w:rsidRPr="00415A52">
              <w:t>$641,345</w:t>
            </w:r>
          </w:p>
        </w:tc>
        <w:tc>
          <w:tcPr>
            <w:tcW w:w="637" w:type="pct"/>
            <w:noWrap/>
          </w:tcPr>
          <w:p w14:paraId="07E94561" w14:textId="42CFA912" w:rsidR="007F7210" w:rsidRPr="00724087" w:rsidRDefault="007F7210" w:rsidP="00C949BB">
            <w:pPr>
              <w:pStyle w:val="TableText"/>
              <w:keepNext/>
              <w:jc w:val="right"/>
              <w:rPr>
                <w:rFonts w:eastAsiaTheme="minorHAnsi" w:cstheme="minorBidi"/>
                <w:lang w:eastAsia="en-US"/>
              </w:rPr>
            </w:pPr>
            <w:r w:rsidRPr="00415A52">
              <w:t>$642,841</w:t>
            </w:r>
          </w:p>
        </w:tc>
        <w:tc>
          <w:tcPr>
            <w:tcW w:w="637" w:type="pct"/>
            <w:noWrap/>
          </w:tcPr>
          <w:p w14:paraId="1B1743FA" w14:textId="1A9EE4CF" w:rsidR="007F7210" w:rsidRPr="00724087" w:rsidRDefault="007F7210" w:rsidP="00C949BB">
            <w:pPr>
              <w:pStyle w:val="TableText"/>
              <w:keepNext/>
              <w:jc w:val="right"/>
              <w:rPr>
                <w:rFonts w:eastAsiaTheme="minorHAnsi" w:cstheme="minorBidi"/>
                <w:lang w:eastAsia="en-US"/>
              </w:rPr>
            </w:pPr>
            <w:r w:rsidRPr="00415A52">
              <w:t>$644,338</w:t>
            </w:r>
          </w:p>
        </w:tc>
        <w:tc>
          <w:tcPr>
            <w:tcW w:w="639" w:type="pct"/>
            <w:noWrap/>
          </w:tcPr>
          <w:p w14:paraId="669787F6" w14:textId="4AC93F5C" w:rsidR="007F7210" w:rsidRPr="00724087" w:rsidRDefault="007F7210" w:rsidP="00C949BB">
            <w:pPr>
              <w:pStyle w:val="TableText"/>
              <w:keepNext/>
              <w:jc w:val="right"/>
              <w:rPr>
                <w:rFonts w:eastAsiaTheme="minorHAnsi" w:cstheme="minorBidi"/>
                <w:lang w:eastAsia="en-US"/>
              </w:rPr>
            </w:pPr>
            <w:r w:rsidRPr="00415A52">
              <w:t>$645,834</w:t>
            </w:r>
          </w:p>
        </w:tc>
      </w:tr>
      <w:tr w:rsidR="00F47F41" w:rsidRPr="00724087" w14:paraId="17DF7DCC" w14:textId="77777777">
        <w:tc>
          <w:tcPr>
            <w:tcW w:w="1176" w:type="pct"/>
            <w:noWrap/>
          </w:tcPr>
          <w:p w14:paraId="0B4EF954" w14:textId="003CC0D2" w:rsidR="00F47F41" w:rsidRPr="00C23B4B" w:rsidRDefault="00F47F41" w:rsidP="00C949BB">
            <w:pPr>
              <w:pStyle w:val="TableText"/>
              <w:keepNext/>
            </w:pPr>
            <w:r>
              <w:t>5.7</w:t>
            </w:r>
            <w:r w:rsidRPr="00C23B4B">
              <w:t xml:space="preserve"> per 100,000 births</w:t>
            </w:r>
          </w:p>
        </w:tc>
        <w:tc>
          <w:tcPr>
            <w:tcW w:w="637" w:type="pct"/>
            <w:noWrap/>
          </w:tcPr>
          <w:p w14:paraId="6FBFBADE" w14:textId="51AE1F73" w:rsidR="00F47F41" w:rsidRPr="00415A52" w:rsidRDefault="00F47F41" w:rsidP="00C949BB">
            <w:pPr>
              <w:pStyle w:val="TableText"/>
              <w:keepNext/>
              <w:jc w:val="right"/>
            </w:pPr>
            <w:r w:rsidRPr="00DF631F">
              <w:t>$646,273</w:t>
            </w:r>
          </w:p>
        </w:tc>
        <w:tc>
          <w:tcPr>
            <w:tcW w:w="637" w:type="pct"/>
            <w:noWrap/>
          </w:tcPr>
          <w:p w14:paraId="2970CF0F" w14:textId="1FF954F3" w:rsidR="00F47F41" w:rsidRPr="00415A52" w:rsidRDefault="00F47F41" w:rsidP="00C949BB">
            <w:pPr>
              <w:pStyle w:val="TableText"/>
              <w:keepNext/>
              <w:jc w:val="right"/>
            </w:pPr>
            <w:r w:rsidRPr="00DF631F">
              <w:t>$647,788</w:t>
            </w:r>
          </w:p>
        </w:tc>
        <w:tc>
          <w:tcPr>
            <w:tcW w:w="637" w:type="pct"/>
            <w:noWrap/>
          </w:tcPr>
          <w:p w14:paraId="67C44864" w14:textId="3B3CA8DF" w:rsidR="00F47F41" w:rsidRPr="00415A52" w:rsidRDefault="00F47F41" w:rsidP="00C949BB">
            <w:pPr>
              <w:pStyle w:val="TableText"/>
              <w:keepNext/>
              <w:jc w:val="right"/>
            </w:pPr>
            <w:r w:rsidRPr="00DF631F">
              <w:t>$649,303</w:t>
            </w:r>
          </w:p>
        </w:tc>
        <w:tc>
          <w:tcPr>
            <w:tcW w:w="637" w:type="pct"/>
            <w:noWrap/>
          </w:tcPr>
          <w:p w14:paraId="701A0B47" w14:textId="21274E80" w:rsidR="00F47F41" w:rsidRPr="00415A52" w:rsidRDefault="00F47F41" w:rsidP="00C949BB">
            <w:pPr>
              <w:pStyle w:val="TableText"/>
              <w:keepNext/>
              <w:jc w:val="right"/>
            </w:pPr>
            <w:r w:rsidRPr="00DF631F">
              <w:t>$650,818</w:t>
            </w:r>
          </w:p>
        </w:tc>
        <w:tc>
          <w:tcPr>
            <w:tcW w:w="637" w:type="pct"/>
            <w:noWrap/>
          </w:tcPr>
          <w:p w14:paraId="322F92A9" w14:textId="7BFB5605" w:rsidR="00F47F41" w:rsidRPr="00415A52" w:rsidRDefault="00F47F41" w:rsidP="00C949BB">
            <w:pPr>
              <w:pStyle w:val="TableText"/>
              <w:keepNext/>
              <w:jc w:val="right"/>
            </w:pPr>
            <w:r w:rsidRPr="00DF631F">
              <w:t>$652,333</w:t>
            </w:r>
          </w:p>
        </w:tc>
        <w:tc>
          <w:tcPr>
            <w:tcW w:w="639" w:type="pct"/>
            <w:noWrap/>
          </w:tcPr>
          <w:p w14:paraId="661A3E93" w14:textId="741FEFA1" w:rsidR="00F47F41" w:rsidRPr="00415A52" w:rsidRDefault="00F47F41" w:rsidP="00C949BB">
            <w:pPr>
              <w:pStyle w:val="TableText"/>
              <w:keepNext/>
              <w:jc w:val="right"/>
            </w:pPr>
            <w:r w:rsidRPr="00DF631F">
              <w:t>$653,848</w:t>
            </w:r>
          </w:p>
        </w:tc>
      </w:tr>
      <w:tr w:rsidR="00B111A5" w:rsidRPr="00724087" w14:paraId="02188108" w14:textId="77777777">
        <w:tc>
          <w:tcPr>
            <w:tcW w:w="1176" w:type="pct"/>
            <w:noWrap/>
            <w:hideMark/>
          </w:tcPr>
          <w:p w14:paraId="076CFDD2" w14:textId="505B6346" w:rsidR="00B111A5" w:rsidRPr="00724087" w:rsidRDefault="00B111A5" w:rsidP="00C949BB">
            <w:pPr>
              <w:pStyle w:val="TableText"/>
              <w:keepNext/>
              <w:rPr>
                <w:rFonts w:eastAsiaTheme="minorHAnsi" w:cstheme="minorBidi"/>
                <w:lang w:eastAsia="en-US"/>
              </w:rPr>
            </w:pPr>
            <w:r w:rsidRPr="00C23B4B">
              <w:t>8.6 per 100,000 births</w:t>
            </w:r>
          </w:p>
        </w:tc>
        <w:tc>
          <w:tcPr>
            <w:tcW w:w="637" w:type="pct"/>
            <w:noWrap/>
          </w:tcPr>
          <w:p w14:paraId="7B520421" w14:textId="4726477F" w:rsidR="00B111A5" w:rsidRPr="00724087" w:rsidRDefault="00B111A5" w:rsidP="00C949BB">
            <w:pPr>
              <w:pStyle w:val="TableText"/>
              <w:keepNext/>
              <w:jc w:val="right"/>
              <w:rPr>
                <w:rFonts w:eastAsiaTheme="minorHAnsi" w:cstheme="minorBidi"/>
                <w:lang w:eastAsia="en-US"/>
              </w:rPr>
            </w:pPr>
            <w:r w:rsidRPr="00530992">
              <w:t>$650,714</w:t>
            </w:r>
          </w:p>
        </w:tc>
        <w:tc>
          <w:tcPr>
            <w:tcW w:w="637" w:type="pct"/>
            <w:noWrap/>
          </w:tcPr>
          <w:p w14:paraId="14755197" w14:textId="47FF3781" w:rsidR="00B111A5" w:rsidRPr="00724087" w:rsidRDefault="00B111A5" w:rsidP="00C949BB">
            <w:pPr>
              <w:pStyle w:val="TableText"/>
              <w:keepNext/>
              <w:jc w:val="right"/>
              <w:rPr>
                <w:rFonts w:eastAsiaTheme="minorHAnsi" w:cstheme="minorBidi"/>
                <w:lang w:eastAsia="en-US"/>
              </w:rPr>
            </w:pPr>
            <w:r w:rsidRPr="00530992">
              <w:t>$652,239</w:t>
            </w:r>
          </w:p>
        </w:tc>
        <w:tc>
          <w:tcPr>
            <w:tcW w:w="637" w:type="pct"/>
            <w:noWrap/>
          </w:tcPr>
          <w:p w14:paraId="73C7BB09" w14:textId="3764DEAD" w:rsidR="00B111A5" w:rsidRPr="00724087" w:rsidRDefault="00B111A5" w:rsidP="00C949BB">
            <w:pPr>
              <w:pStyle w:val="TableText"/>
              <w:keepNext/>
              <w:jc w:val="right"/>
              <w:rPr>
                <w:rFonts w:eastAsiaTheme="minorHAnsi" w:cstheme="minorBidi"/>
                <w:lang w:eastAsia="en-US"/>
              </w:rPr>
            </w:pPr>
            <w:r w:rsidRPr="00530992">
              <w:t>$653,765</w:t>
            </w:r>
          </w:p>
        </w:tc>
        <w:tc>
          <w:tcPr>
            <w:tcW w:w="637" w:type="pct"/>
            <w:noWrap/>
          </w:tcPr>
          <w:p w14:paraId="505F366A" w14:textId="52744534" w:rsidR="00B111A5" w:rsidRPr="00724087" w:rsidRDefault="00B111A5" w:rsidP="00C949BB">
            <w:pPr>
              <w:pStyle w:val="TableText"/>
              <w:keepNext/>
              <w:jc w:val="right"/>
              <w:rPr>
                <w:rFonts w:eastAsiaTheme="minorHAnsi" w:cstheme="minorBidi"/>
                <w:lang w:eastAsia="en-US"/>
              </w:rPr>
            </w:pPr>
            <w:r w:rsidRPr="00530992">
              <w:t>$655,290</w:t>
            </w:r>
          </w:p>
        </w:tc>
        <w:tc>
          <w:tcPr>
            <w:tcW w:w="637" w:type="pct"/>
            <w:noWrap/>
          </w:tcPr>
          <w:p w14:paraId="6FB75AF2" w14:textId="11443838" w:rsidR="00B111A5" w:rsidRPr="00724087" w:rsidRDefault="00B111A5" w:rsidP="00C949BB">
            <w:pPr>
              <w:pStyle w:val="TableText"/>
              <w:keepNext/>
              <w:jc w:val="right"/>
              <w:rPr>
                <w:rFonts w:eastAsiaTheme="minorHAnsi" w:cstheme="minorBidi"/>
                <w:lang w:eastAsia="en-US"/>
              </w:rPr>
            </w:pPr>
            <w:r w:rsidRPr="00530992">
              <w:t>$656,816</w:t>
            </w:r>
          </w:p>
        </w:tc>
        <w:tc>
          <w:tcPr>
            <w:tcW w:w="639" w:type="pct"/>
            <w:noWrap/>
          </w:tcPr>
          <w:p w14:paraId="6828D8F8" w14:textId="4AFBD0DC" w:rsidR="00B111A5" w:rsidRPr="00724087" w:rsidRDefault="00B111A5" w:rsidP="00C949BB">
            <w:pPr>
              <w:pStyle w:val="TableText"/>
              <w:keepNext/>
              <w:jc w:val="right"/>
              <w:rPr>
                <w:rFonts w:eastAsiaTheme="minorHAnsi" w:cstheme="minorBidi"/>
                <w:lang w:eastAsia="en-US"/>
              </w:rPr>
            </w:pPr>
            <w:r w:rsidRPr="00530992">
              <w:t>$658,341</w:t>
            </w:r>
          </w:p>
        </w:tc>
      </w:tr>
    </w:tbl>
    <w:p w14:paraId="23C5D1A2" w14:textId="77777777" w:rsidR="007D770C" w:rsidRDefault="007D770C">
      <w:r>
        <w:br w:type="page"/>
      </w:r>
    </w:p>
    <w:tbl>
      <w:tblPr>
        <w:tblStyle w:val="TableGrid1"/>
        <w:tblW w:w="5000" w:type="pct"/>
        <w:tblLayout w:type="fixed"/>
        <w:tblLook w:val="04A0" w:firstRow="1" w:lastRow="0" w:firstColumn="1" w:lastColumn="0" w:noHBand="0" w:noVBand="1"/>
        <w:tblCaption w:val="Analyses around the net financial implications of the addition of haemoglobinopathies to the NBS"/>
        <w:tblDescription w:val="Analyses around the net financial implications of the addition of haemoglobinopathies to the NBS"/>
      </w:tblPr>
      <w:tblGrid>
        <w:gridCol w:w="2120"/>
        <w:gridCol w:w="1148"/>
        <w:gridCol w:w="1149"/>
        <w:gridCol w:w="1149"/>
        <w:gridCol w:w="1149"/>
        <w:gridCol w:w="1149"/>
        <w:gridCol w:w="1152"/>
      </w:tblGrid>
      <w:tr w:rsidR="00630E98" w:rsidRPr="00724087" w14:paraId="459FDB28"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7"/>
            <w:noWrap/>
            <w:hideMark/>
          </w:tcPr>
          <w:p w14:paraId="5ADF5A81" w14:textId="4FD11956" w:rsidR="00630E98" w:rsidRPr="00724087" w:rsidRDefault="00DB08B2" w:rsidP="00C949BB">
            <w:pPr>
              <w:pStyle w:val="TableText"/>
              <w:keepNext/>
              <w:rPr>
                <w:rFonts w:eastAsiaTheme="minorHAnsi" w:cstheme="minorBidi"/>
                <w:lang w:eastAsia="en-US"/>
              </w:rPr>
            </w:pPr>
            <w:r>
              <w:rPr>
                <w:rFonts w:eastAsiaTheme="minorHAnsi" w:cstheme="minorBidi"/>
                <w:lang w:eastAsia="en-US"/>
              </w:rPr>
              <w:t>Cost of ESI-MS/MS f</w:t>
            </w:r>
            <w:r w:rsidR="00BA1D08" w:rsidRPr="00BA1D08">
              <w:rPr>
                <w:rFonts w:eastAsiaTheme="minorHAnsi" w:cstheme="minorBidi"/>
                <w:lang w:eastAsia="en-US"/>
              </w:rPr>
              <w:t>irst-tier screening (base case: $</w:t>
            </w:r>
            <w:r w:rsidR="00B058D5">
              <w:rPr>
                <w:rFonts w:eastAsiaTheme="minorHAnsi" w:cstheme="minorBidi"/>
                <w:lang w:eastAsia="en-US"/>
              </w:rPr>
              <w:t>2.00</w:t>
            </w:r>
            <w:r w:rsidR="00BA1D08" w:rsidRPr="00BA1D08">
              <w:rPr>
                <w:rFonts w:eastAsiaTheme="minorHAnsi" w:cstheme="minorBidi"/>
                <w:lang w:eastAsia="en-US"/>
              </w:rPr>
              <w:t>)</w:t>
            </w:r>
          </w:p>
        </w:tc>
      </w:tr>
      <w:tr w:rsidR="004D504D" w:rsidRPr="00724087" w14:paraId="3135033B" w14:textId="77777777">
        <w:tc>
          <w:tcPr>
            <w:tcW w:w="1176" w:type="pct"/>
            <w:noWrap/>
          </w:tcPr>
          <w:p w14:paraId="1B2C8271" w14:textId="2F542EAA" w:rsidR="004D504D" w:rsidRPr="00587610" w:rsidRDefault="004D504D" w:rsidP="00C949BB">
            <w:pPr>
              <w:pStyle w:val="TableText"/>
              <w:keepNext/>
            </w:pPr>
            <w:r>
              <w:t>$4.30</w:t>
            </w:r>
          </w:p>
        </w:tc>
        <w:tc>
          <w:tcPr>
            <w:tcW w:w="637" w:type="pct"/>
            <w:noWrap/>
          </w:tcPr>
          <w:p w14:paraId="1594FC73" w14:textId="45DCDA88" w:rsidR="004D504D" w:rsidRPr="003602FF" w:rsidRDefault="004D504D" w:rsidP="00C949BB">
            <w:pPr>
              <w:pStyle w:val="TableText"/>
              <w:keepNext/>
              <w:jc w:val="right"/>
            </w:pPr>
            <w:r w:rsidRPr="00977F98">
              <w:t>$1,405,673</w:t>
            </w:r>
          </w:p>
        </w:tc>
        <w:tc>
          <w:tcPr>
            <w:tcW w:w="637" w:type="pct"/>
            <w:noWrap/>
          </w:tcPr>
          <w:p w14:paraId="0FA581A0" w14:textId="44B865C1" w:rsidR="004D504D" w:rsidRPr="003602FF" w:rsidRDefault="004D504D" w:rsidP="00C949BB">
            <w:pPr>
              <w:pStyle w:val="TableText"/>
              <w:keepNext/>
              <w:jc w:val="right"/>
            </w:pPr>
            <w:r w:rsidRPr="00977F98">
              <w:t>$1,408,968</w:t>
            </w:r>
          </w:p>
        </w:tc>
        <w:tc>
          <w:tcPr>
            <w:tcW w:w="637" w:type="pct"/>
            <w:noWrap/>
          </w:tcPr>
          <w:p w14:paraId="5B6A934B" w14:textId="7124687D" w:rsidR="004D504D" w:rsidRPr="003602FF" w:rsidRDefault="004D504D" w:rsidP="00C949BB">
            <w:pPr>
              <w:pStyle w:val="TableText"/>
              <w:keepNext/>
              <w:jc w:val="right"/>
            </w:pPr>
            <w:r w:rsidRPr="00977F98">
              <w:t>$1,412,263</w:t>
            </w:r>
          </w:p>
        </w:tc>
        <w:tc>
          <w:tcPr>
            <w:tcW w:w="637" w:type="pct"/>
            <w:noWrap/>
          </w:tcPr>
          <w:p w14:paraId="22A1789E" w14:textId="1CC97946" w:rsidR="004D504D" w:rsidRPr="003602FF" w:rsidRDefault="004D504D" w:rsidP="00C949BB">
            <w:pPr>
              <w:pStyle w:val="TableText"/>
              <w:keepNext/>
              <w:jc w:val="right"/>
            </w:pPr>
            <w:r w:rsidRPr="00977F98">
              <w:t>$1,415,559</w:t>
            </w:r>
          </w:p>
        </w:tc>
        <w:tc>
          <w:tcPr>
            <w:tcW w:w="637" w:type="pct"/>
            <w:noWrap/>
          </w:tcPr>
          <w:p w14:paraId="279D0D1B" w14:textId="783E41A0" w:rsidR="004D504D" w:rsidRPr="003602FF" w:rsidRDefault="004D504D" w:rsidP="00C949BB">
            <w:pPr>
              <w:pStyle w:val="TableText"/>
              <w:keepNext/>
              <w:jc w:val="right"/>
            </w:pPr>
            <w:r w:rsidRPr="00977F98">
              <w:t>$1,418,854</w:t>
            </w:r>
          </w:p>
        </w:tc>
        <w:tc>
          <w:tcPr>
            <w:tcW w:w="639" w:type="pct"/>
            <w:noWrap/>
          </w:tcPr>
          <w:p w14:paraId="4F0C9821" w14:textId="0768971B" w:rsidR="004D504D" w:rsidRPr="003602FF" w:rsidRDefault="004D504D" w:rsidP="00C949BB">
            <w:pPr>
              <w:pStyle w:val="TableText"/>
              <w:keepNext/>
              <w:jc w:val="right"/>
            </w:pPr>
            <w:r w:rsidRPr="00977F98">
              <w:t>$1,422,149</w:t>
            </w:r>
          </w:p>
        </w:tc>
      </w:tr>
      <w:tr w:rsidR="005712C1" w:rsidRPr="00724087" w14:paraId="3F205ADF" w14:textId="77777777">
        <w:tc>
          <w:tcPr>
            <w:tcW w:w="1176" w:type="pct"/>
            <w:noWrap/>
          </w:tcPr>
          <w:p w14:paraId="1C087D0C" w14:textId="4846D800" w:rsidR="005712C1" w:rsidRDefault="005712C1" w:rsidP="005712C1">
            <w:pPr>
              <w:pStyle w:val="TableText"/>
              <w:keepNext/>
            </w:pPr>
            <w:r>
              <w:t>$7.09</w:t>
            </w:r>
          </w:p>
        </w:tc>
        <w:tc>
          <w:tcPr>
            <w:tcW w:w="637" w:type="pct"/>
            <w:noWrap/>
          </w:tcPr>
          <w:p w14:paraId="0CB1E3D2" w14:textId="3DB583ED" w:rsidR="005712C1" w:rsidRPr="00977F98" w:rsidRDefault="005712C1" w:rsidP="005712C1">
            <w:pPr>
              <w:pStyle w:val="TableText"/>
              <w:keepNext/>
              <w:jc w:val="right"/>
            </w:pPr>
            <w:r w:rsidRPr="0066658E">
              <w:t>$2,273,145</w:t>
            </w:r>
          </w:p>
        </w:tc>
        <w:tc>
          <w:tcPr>
            <w:tcW w:w="637" w:type="pct"/>
            <w:noWrap/>
          </w:tcPr>
          <w:p w14:paraId="1F7D9415" w14:textId="5AEB36F2" w:rsidR="005712C1" w:rsidRPr="00977F98" w:rsidRDefault="005712C1" w:rsidP="005712C1">
            <w:pPr>
              <w:pStyle w:val="TableText"/>
              <w:keepNext/>
              <w:jc w:val="right"/>
            </w:pPr>
            <w:r w:rsidRPr="0066658E">
              <w:t>$2,278,474</w:t>
            </w:r>
          </w:p>
        </w:tc>
        <w:tc>
          <w:tcPr>
            <w:tcW w:w="637" w:type="pct"/>
            <w:noWrap/>
          </w:tcPr>
          <w:p w14:paraId="2FA6A439" w14:textId="1BF71479" w:rsidR="005712C1" w:rsidRPr="00977F98" w:rsidRDefault="005712C1" w:rsidP="005712C1">
            <w:pPr>
              <w:pStyle w:val="TableText"/>
              <w:keepNext/>
              <w:jc w:val="right"/>
            </w:pPr>
            <w:r w:rsidRPr="0066658E">
              <w:t>$2,283,803</w:t>
            </w:r>
          </w:p>
        </w:tc>
        <w:tc>
          <w:tcPr>
            <w:tcW w:w="637" w:type="pct"/>
            <w:noWrap/>
          </w:tcPr>
          <w:p w14:paraId="26F6FA32" w14:textId="5840947D" w:rsidR="005712C1" w:rsidRPr="00977F98" w:rsidRDefault="005712C1" w:rsidP="005712C1">
            <w:pPr>
              <w:pStyle w:val="TableText"/>
              <w:keepNext/>
              <w:jc w:val="right"/>
            </w:pPr>
            <w:r w:rsidRPr="0066658E">
              <w:t>$2,289,131</w:t>
            </w:r>
          </w:p>
        </w:tc>
        <w:tc>
          <w:tcPr>
            <w:tcW w:w="637" w:type="pct"/>
            <w:noWrap/>
          </w:tcPr>
          <w:p w14:paraId="6BE921AF" w14:textId="0BCDA518" w:rsidR="005712C1" w:rsidRPr="00977F98" w:rsidRDefault="005712C1" w:rsidP="005712C1">
            <w:pPr>
              <w:pStyle w:val="TableText"/>
              <w:keepNext/>
              <w:jc w:val="right"/>
            </w:pPr>
            <w:r w:rsidRPr="0066658E">
              <w:t>$2,294,460</w:t>
            </w:r>
          </w:p>
        </w:tc>
        <w:tc>
          <w:tcPr>
            <w:tcW w:w="639" w:type="pct"/>
            <w:noWrap/>
          </w:tcPr>
          <w:p w14:paraId="69BE2863" w14:textId="0FA620C9" w:rsidR="005712C1" w:rsidRPr="00977F98" w:rsidRDefault="005712C1" w:rsidP="005712C1">
            <w:pPr>
              <w:pStyle w:val="TableText"/>
              <w:keepNext/>
              <w:jc w:val="right"/>
            </w:pPr>
            <w:r w:rsidRPr="0066658E">
              <w:t>$2,299,789</w:t>
            </w:r>
          </w:p>
        </w:tc>
      </w:tr>
      <w:tr w:rsidR="0068061F" w:rsidRPr="00724087" w14:paraId="0BBBB65C" w14:textId="77777777">
        <w:tc>
          <w:tcPr>
            <w:tcW w:w="1176" w:type="pct"/>
            <w:noWrap/>
          </w:tcPr>
          <w:p w14:paraId="19610EB5" w14:textId="67C33C56" w:rsidR="0068061F" w:rsidRDefault="0068061F" w:rsidP="0068061F">
            <w:pPr>
              <w:pStyle w:val="TableText"/>
              <w:keepNext/>
            </w:pPr>
            <w:r>
              <w:t>$8.23</w:t>
            </w:r>
          </w:p>
        </w:tc>
        <w:tc>
          <w:tcPr>
            <w:tcW w:w="637" w:type="pct"/>
            <w:noWrap/>
          </w:tcPr>
          <w:p w14:paraId="3B7DE509" w14:textId="3C53EC43" w:rsidR="0068061F" w:rsidRPr="00977F98" w:rsidRDefault="0068061F" w:rsidP="0068061F">
            <w:pPr>
              <w:pStyle w:val="TableText"/>
              <w:keepNext/>
              <w:jc w:val="right"/>
            </w:pPr>
            <w:r w:rsidRPr="00B6124B">
              <w:t>$2,627,596</w:t>
            </w:r>
          </w:p>
        </w:tc>
        <w:tc>
          <w:tcPr>
            <w:tcW w:w="637" w:type="pct"/>
            <w:noWrap/>
          </w:tcPr>
          <w:p w14:paraId="67C85558" w14:textId="409EC7E6" w:rsidR="0068061F" w:rsidRPr="00977F98" w:rsidRDefault="0068061F" w:rsidP="0068061F">
            <w:pPr>
              <w:pStyle w:val="TableText"/>
              <w:keepNext/>
              <w:jc w:val="right"/>
            </w:pPr>
            <w:r w:rsidRPr="00B6124B">
              <w:t>$2,633,756</w:t>
            </w:r>
          </w:p>
        </w:tc>
        <w:tc>
          <w:tcPr>
            <w:tcW w:w="637" w:type="pct"/>
            <w:noWrap/>
          </w:tcPr>
          <w:p w14:paraId="0B7F1153" w14:textId="6FAE22F2" w:rsidR="0068061F" w:rsidRPr="00977F98" w:rsidRDefault="0068061F" w:rsidP="0068061F">
            <w:pPr>
              <w:pStyle w:val="TableText"/>
              <w:keepNext/>
              <w:jc w:val="right"/>
            </w:pPr>
            <w:r w:rsidRPr="00B6124B">
              <w:t>$2,639,915</w:t>
            </w:r>
          </w:p>
        </w:tc>
        <w:tc>
          <w:tcPr>
            <w:tcW w:w="637" w:type="pct"/>
            <w:noWrap/>
          </w:tcPr>
          <w:p w14:paraId="24C85666" w14:textId="69AAED97" w:rsidR="0068061F" w:rsidRPr="00977F98" w:rsidRDefault="0068061F" w:rsidP="0068061F">
            <w:pPr>
              <w:pStyle w:val="TableText"/>
              <w:keepNext/>
              <w:jc w:val="right"/>
            </w:pPr>
            <w:r w:rsidRPr="00B6124B">
              <w:t>$2,646,075</w:t>
            </w:r>
          </w:p>
        </w:tc>
        <w:tc>
          <w:tcPr>
            <w:tcW w:w="637" w:type="pct"/>
            <w:noWrap/>
          </w:tcPr>
          <w:p w14:paraId="34A75834" w14:textId="3A111A45" w:rsidR="0068061F" w:rsidRPr="00977F98" w:rsidRDefault="0068061F" w:rsidP="0068061F">
            <w:pPr>
              <w:pStyle w:val="TableText"/>
              <w:keepNext/>
              <w:jc w:val="right"/>
            </w:pPr>
            <w:r w:rsidRPr="00B6124B">
              <w:t>$2,652,235</w:t>
            </w:r>
          </w:p>
        </w:tc>
        <w:tc>
          <w:tcPr>
            <w:tcW w:w="639" w:type="pct"/>
            <w:noWrap/>
          </w:tcPr>
          <w:p w14:paraId="12EF91DE" w14:textId="029A819A" w:rsidR="0068061F" w:rsidRPr="00977F98" w:rsidRDefault="0068061F" w:rsidP="0068061F">
            <w:pPr>
              <w:pStyle w:val="TableText"/>
              <w:keepNext/>
              <w:jc w:val="right"/>
            </w:pPr>
            <w:r w:rsidRPr="00B6124B">
              <w:t>$2,658,395</w:t>
            </w:r>
          </w:p>
        </w:tc>
      </w:tr>
      <w:tr w:rsidR="004D504D" w:rsidRPr="00724087" w14:paraId="7CE7D22A" w14:textId="77777777">
        <w:tc>
          <w:tcPr>
            <w:tcW w:w="1176" w:type="pct"/>
            <w:noWrap/>
          </w:tcPr>
          <w:p w14:paraId="28EE5B29" w14:textId="0A87C575" w:rsidR="004D504D" w:rsidRPr="00587610" w:rsidRDefault="004D504D" w:rsidP="00C949BB">
            <w:pPr>
              <w:pStyle w:val="TableText"/>
              <w:keepNext/>
            </w:pPr>
            <w:r>
              <w:t>$13.50</w:t>
            </w:r>
          </w:p>
        </w:tc>
        <w:tc>
          <w:tcPr>
            <w:tcW w:w="637" w:type="pct"/>
            <w:noWrap/>
          </w:tcPr>
          <w:p w14:paraId="5B2C0737" w14:textId="5279A393" w:rsidR="004D504D" w:rsidRPr="003602FF" w:rsidRDefault="004D504D" w:rsidP="00C949BB">
            <w:pPr>
              <w:pStyle w:val="TableText"/>
              <w:keepNext/>
              <w:jc w:val="right"/>
            </w:pPr>
            <w:r w:rsidRPr="00977F98">
              <w:t>$4,266,155</w:t>
            </w:r>
          </w:p>
        </w:tc>
        <w:tc>
          <w:tcPr>
            <w:tcW w:w="637" w:type="pct"/>
            <w:noWrap/>
          </w:tcPr>
          <w:p w14:paraId="431DA238" w14:textId="1F852428" w:rsidR="004D504D" w:rsidRPr="003602FF" w:rsidRDefault="004D504D" w:rsidP="00C949BB">
            <w:pPr>
              <w:pStyle w:val="TableText"/>
              <w:keepNext/>
              <w:jc w:val="right"/>
            </w:pPr>
            <w:r w:rsidRPr="00977F98">
              <w:t>$4,276,156</w:t>
            </w:r>
          </w:p>
        </w:tc>
        <w:tc>
          <w:tcPr>
            <w:tcW w:w="637" w:type="pct"/>
            <w:noWrap/>
          </w:tcPr>
          <w:p w14:paraId="62E524FE" w14:textId="51C8DFA2" w:rsidR="004D504D" w:rsidRPr="003602FF" w:rsidRDefault="004D504D" w:rsidP="00C949BB">
            <w:pPr>
              <w:pStyle w:val="TableText"/>
              <w:keepNext/>
              <w:jc w:val="right"/>
            </w:pPr>
            <w:r w:rsidRPr="00977F98">
              <w:t>$4,286,156</w:t>
            </w:r>
          </w:p>
        </w:tc>
        <w:tc>
          <w:tcPr>
            <w:tcW w:w="637" w:type="pct"/>
            <w:noWrap/>
          </w:tcPr>
          <w:p w14:paraId="0BC91EA3" w14:textId="2238202C" w:rsidR="004D504D" w:rsidRPr="003602FF" w:rsidRDefault="004D504D" w:rsidP="00C949BB">
            <w:pPr>
              <w:pStyle w:val="TableText"/>
              <w:keepNext/>
              <w:jc w:val="right"/>
            </w:pPr>
            <w:r w:rsidRPr="00977F98">
              <w:t>$4,296,157</w:t>
            </w:r>
          </w:p>
        </w:tc>
        <w:tc>
          <w:tcPr>
            <w:tcW w:w="637" w:type="pct"/>
            <w:noWrap/>
          </w:tcPr>
          <w:p w14:paraId="3DA8F814" w14:textId="5E36F50D" w:rsidR="004D504D" w:rsidRPr="003602FF" w:rsidRDefault="004D504D" w:rsidP="00C949BB">
            <w:pPr>
              <w:pStyle w:val="TableText"/>
              <w:keepNext/>
              <w:jc w:val="right"/>
            </w:pPr>
            <w:r w:rsidRPr="00977F98">
              <w:t>$4,306,158</w:t>
            </w:r>
          </w:p>
        </w:tc>
        <w:tc>
          <w:tcPr>
            <w:tcW w:w="639" w:type="pct"/>
            <w:noWrap/>
          </w:tcPr>
          <w:p w14:paraId="1641FF32" w14:textId="7D63CEFB" w:rsidR="004D504D" w:rsidRPr="003602FF" w:rsidRDefault="004D504D" w:rsidP="00C949BB">
            <w:pPr>
              <w:pStyle w:val="TableText"/>
              <w:keepNext/>
              <w:jc w:val="right"/>
            </w:pPr>
            <w:r w:rsidRPr="00977F98">
              <w:t>$4,316,159</w:t>
            </w:r>
          </w:p>
        </w:tc>
      </w:tr>
      <w:tr w:rsidR="00630E98" w:rsidRPr="00724087" w14:paraId="725249E7" w14:textId="77777777">
        <w:tc>
          <w:tcPr>
            <w:tcW w:w="5000" w:type="pct"/>
            <w:gridSpan w:val="7"/>
            <w:noWrap/>
            <w:hideMark/>
          </w:tcPr>
          <w:p w14:paraId="301A0C30" w14:textId="77777777" w:rsidR="00630E98" w:rsidRPr="00724087" w:rsidRDefault="00DC056F" w:rsidP="00C949BB">
            <w:pPr>
              <w:pStyle w:val="TableText"/>
              <w:keepNext/>
              <w:rPr>
                <w:rFonts w:eastAsiaTheme="minorHAnsi" w:cstheme="minorBidi"/>
                <w:lang w:eastAsia="en-US"/>
              </w:rPr>
            </w:pPr>
            <w:r w:rsidRPr="00DC056F">
              <w:rPr>
                <w:rFonts w:eastAsiaTheme="minorHAnsi" w:cstheme="minorBidi"/>
                <w:lang w:eastAsia="en-US"/>
              </w:rPr>
              <w:t>Second-tier screening method (base case: DNA sequencing, $500.00)</w:t>
            </w:r>
          </w:p>
        </w:tc>
      </w:tr>
      <w:tr w:rsidR="00D82FAC" w:rsidRPr="00724087" w14:paraId="48E6EBC9" w14:textId="77777777">
        <w:tc>
          <w:tcPr>
            <w:tcW w:w="1176" w:type="pct"/>
            <w:noWrap/>
            <w:hideMark/>
          </w:tcPr>
          <w:p w14:paraId="4F8829D4" w14:textId="77777777" w:rsidR="00D82FAC" w:rsidRPr="00724087" w:rsidRDefault="00D82FAC" w:rsidP="00C949BB">
            <w:pPr>
              <w:pStyle w:val="TableText"/>
              <w:keepNext/>
              <w:rPr>
                <w:rFonts w:eastAsiaTheme="minorHAnsi" w:cstheme="minorBidi"/>
                <w:lang w:eastAsia="en-US"/>
              </w:rPr>
            </w:pPr>
            <w:r w:rsidRPr="0018730F">
              <w:t>HPLC ($96.60)</w:t>
            </w:r>
          </w:p>
        </w:tc>
        <w:tc>
          <w:tcPr>
            <w:tcW w:w="637" w:type="pct"/>
            <w:noWrap/>
          </w:tcPr>
          <w:p w14:paraId="35B98D26" w14:textId="7D7F3056" w:rsidR="00D82FAC" w:rsidRPr="00724087" w:rsidRDefault="00D82FAC" w:rsidP="00C949BB">
            <w:pPr>
              <w:pStyle w:val="TableText"/>
              <w:keepNext/>
              <w:jc w:val="right"/>
              <w:rPr>
                <w:rFonts w:eastAsiaTheme="minorHAnsi" w:cstheme="minorBidi"/>
                <w:lang w:eastAsia="en-US"/>
              </w:rPr>
            </w:pPr>
            <w:r w:rsidRPr="00EA29FE">
              <w:t>$635,118</w:t>
            </w:r>
          </w:p>
        </w:tc>
        <w:tc>
          <w:tcPr>
            <w:tcW w:w="637" w:type="pct"/>
            <w:noWrap/>
          </w:tcPr>
          <w:p w14:paraId="2A68AA32" w14:textId="08A9C394" w:rsidR="00D82FAC" w:rsidRPr="00724087" w:rsidRDefault="00D82FAC" w:rsidP="00C949BB">
            <w:pPr>
              <w:pStyle w:val="TableText"/>
              <w:keepNext/>
              <w:jc w:val="right"/>
              <w:rPr>
                <w:rFonts w:eastAsiaTheme="minorHAnsi" w:cstheme="minorBidi"/>
                <w:lang w:eastAsia="en-US"/>
              </w:rPr>
            </w:pPr>
            <w:r w:rsidRPr="00EA29FE">
              <w:t>$636,607</w:t>
            </w:r>
          </w:p>
        </w:tc>
        <w:tc>
          <w:tcPr>
            <w:tcW w:w="637" w:type="pct"/>
            <w:noWrap/>
          </w:tcPr>
          <w:p w14:paraId="0C560D45" w14:textId="43D90F27" w:rsidR="00D82FAC" w:rsidRPr="00724087" w:rsidRDefault="00D82FAC" w:rsidP="00C949BB">
            <w:pPr>
              <w:pStyle w:val="TableText"/>
              <w:keepNext/>
              <w:jc w:val="right"/>
              <w:rPr>
                <w:rFonts w:eastAsiaTheme="minorHAnsi" w:cstheme="minorBidi"/>
                <w:lang w:eastAsia="en-US"/>
              </w:rPr>
            </w:pPr>
            <w:r w:rsidRPr="00EA29FE">
              <w:t>$638,096</w:t>
            </w:r>
          </w:p>
        </w:tc>
        <w:tc>
          <w:tcPr>
            <w:tcW w:w="637" w:type="pct"/>
            <w:noWrap/>
          </w:tcPr>
          <w:p w14:paraId="5C47C005" w14:textId="6C9E5C96" w:rsidR="00D82FAC" w:rsidRPr="00724087" w:rsidRDefault="00D82FAC" w:rsidP="00C949BB">
            <w:pPr>
              <w:pStyle w:val="TableText"/>
              <w:keepNext/>
              <w:jc w:val="right"/>
              <w:rPr>
                <w:rFonts w:eastAsiaTheme="minorHAnsi" w:cstheme="minorBidi"/>
                <w:lang w:eastAsia="en-US"/>
              </w:rPr>
            </w:pPr>
            <w:r w:rsidRPr="00EA29FE">
              <w:t>$639,585</w:t>
            </w:r>
          </w:p>
        </w:tc>
        <w:tc>
          <w:tcPr>
            <w:tcW w:w="637" w:type="pct"/>
            <w:noWrap/>
          </w:tcPr>
          <w:p w14:paraId="479E633F" w14:textId="11189009" w:rsidR="00D82FAC" w:rsidRPr="00724087" w:rsidRDefault="00D82FAC" w:rsidP="00C949BB">
            <w:pPr>
              <w:pStyle w:val="TableText"/>
              <w:keepNext/>
              <w:jc w:val="right"/>
              <w:rPr>
                <w:rFonts w:eastAsiaTheme="minorHAnsi" w:cstheme="minorBidi"/>
                <w:lang w:eastAsia="en-US"/>
              </w:rPr>
            </w:pPr>
            <w:r w:rsidRPr="00EA29FE">
              <w:t>$641,074</w:t>
            </w:r>
          </w:p>
        </w:tc>
        <w:tc>
          <w:tcPr>
            <w:tcW w:w="639" w:type="pct"/>
            <w:noWrap/>
          </w:tcPr>
          <w:p w14:paraId="22524327" w14:textId="04AA714B" w:rsidR="00D82FAC" w:rsidRPr="00724087" w:rsidRDefault="00D82FAC" w:rsidP="00C949BB">
            <w:pPr>
              <w:pStyle w:val="TableText"/>
              <w:keepNext/>
              <w:jc w:val="right"/>
              <w:rPr>
                <w:rFonts w:eastAsiaTheme="minorHAnsi" w:cstheme="minorBidi"/>
                <w:lang w:eastAsia="en-US"/>
              </w:rPr>
            </w:pPr>
            <w:r w:rsidRPr="00EA29FE">
              <w:t>$642,563</w:t>
            </w:r>
          </w:p>
        </w:tc>
      </w:tr>
      <w:tr w:rsidR="000F408B" w:rsidRPr="00724087" w14:paraId="14E778D0" w14:textId="77777777" w:rsidTr="0014058F">
        <w:tc>
          <w:tcPr>
            <w:tcW w:w="5000" w:type="pct"/>
            <w:gridSpan w:val="7"/>
            <w:noWrap/>
            <w:hideMark/>
          </w:tcPr>
          <w:p w14:paraId="08E3595A" w14:textId="520703A2" w:rsidR="000F408B" w:rsidRPr="00724087" w:rsidRDefault="000F408B" w:rsidP="00C949BB">
            <w:pPr>
              <w:pStyle w:val="TableText"/>
              <w:keepNext/>
              <w:rPr>
                <w:rFonts w:eastAsiaTheme="minorHAnsi" w:cstheme="minorBidi"/>
                <w:lang w:eastAsia="en-US"/>
              </w:rPr>
            </w:pPr>
            <w:r>
              <w:rPr>
                <w:rFonts w:eastAsiaTheme="minorHAnsi" w:cstheme="minorBidi"/>
                <w:lang w:eastAsia="en-US"/>
              </w:rPr>
              <w:t>Haemoglobinopathy identified (base case: SCD only)</w:t>
            </w:r>
          </w:p>
        </w:tc>
      </w:tr>
      <w:tr w:rsidR="009E4378" w:rsidRPr="00724087" w14:paraId="46B4F258" w14:textId="77777777" w:rsidTr="0014058F">
        <w:tc>
          <w:tcPr>
            <w:tcW w:w="1176" w:type="pct"/>
            <w:noWrap/>
            <w:hideMark/>
          </w:tcPr>
          <w:p w14:paraId="0F127000" w14:textId="1F00CB4C" w:rsidR="009E4378" w:rsidRPr="00724087" w:rsidRDefault="009E4378" w:rsidP="00C949BB">
            <w:pPr>
              <w:pStyle w:val="TableText"/>
              <w:keepNext/>
              <w:rPr>
                <w:rFonts w:eastAsiaTheme="minorHAnsi" w:cstheme="minorBidi"/>
                <w:lang w:eastAsia="en-US"/>
              </w:rPr>
            </w:pPr>
            <w:r w:rsidRPr="00E56198">
              <w:rPr>
                <w:rFonts w:eastAsiaTheme="minorHAnsi" w:cstheme="minorBidi"/>
                <w:lang w:eastAsia="en-US"/>
              </w:rPr>
              <w:t xml:space="preserve">SCD and </w:t>
            </w:r>
            <w:r>
              <w:rPr>
                <w:rFonts w:eastAsiaTheme="minorHAnsi" w:cstheme="minorBidi"/>
                <w:lang w:eastAsia="en-US"/>
              </w:rPr>
              <w:t>β</w:t>
            </w:r>
            <w:r w:rsidRPr="00E56198">
              <w:rPr>
                <w:rFonts w:eastAsiaTheme="minorHAnsi" w:cstheme="minorBidi"/>
                <w:lang w:eastAsia="en-US"/>
              </w:rPr>
              <w:t>-thalassemia (major only)</w:t>
            </w:r>
          </w:p>
        </w:tc>
        <w:tc>
          <w:tcPr>
            <w:tcW w:w="637" w:type="pct"/>
            <w:noWrap/>
          </w:tcPr>
          <w:p w14:paraId="515F5876" w14:textId="36CCC1E2" w:rsidR="009E4378" w:rsidRPr="00724087" w:rsidRDefault="009E4378" w:rsidP="00C949BB">
            <w:pPr>
              <w:pStyle w:val="TableText"/>
              <w:keepNext/>
              <w:jc w:val="right"/>
              <w:rPr>
                <w:rFonts w:eastAsiaTheme="minorHAnsi" w:cstheme="minorBidi"/>
                <w:lang w:eastAsia="en-US"/>
              </w:rPr>
            </w:pPr>
            <w:r w:rsidRPr="00FF7932">
              <w:t>$708,660</w:t>
            </w:r>
          </w:p>
        </w:tc>
        <w:tc>
          <w:tcPr>
            <w:tcW w:w="637" w:type="pct"/>
            <w:noWrap/>
          </w:tcPr>
          <w:p w14:paraId="51D18401" w14:textId="18C5280C" w:rsidR="009E4378" w:rsidRPr="00724087" w:rsidRDefault="009E4378" w:rsidP="00C949BB">
            <w:pPr>
              <w:pStyle w:val="TableText"/>
              <w:keepNext/>
              <w:jc w:val="right"/>
              <w:rPr>
                <w:rFonts w:eastAsiaTheme="minorHAnsi" w:cstheme="minorBidi"/>
                <w:lang w:eastAsia="en-US"/>
              </w:rPr>
            </w:pPr>
            <w:r w:rsidRPr="00FF7932">
              <w:t>$710,321</w:t>
            </w:r>
          </w:p>
        </w:tc>
        <w:tc>
          <w:tcPr>
            <w:tcW w:w="637" w:type="pct"/>
            <w:noWrap/>
          </w:tcPr>
          <w:p w14:paraId="6DC1EBBC" w14:textId="71403BA9" w:rsidR="009E4378" w:rsidRPr="00724087" w:rsidRDefault="009E4378" w:rsidP="00C949BB">
            <w:pPr>
              <w:pStyle w:val="TableText"/>
              <w:keepNext/>
              <w:jc w:val="right"/>
              <w:rPr>
                <w:rFonts w:eastAsiaTheme="minorHAnsi" w:cstheme="minorBidi"/>
                <w:lang w:eastAsia="en-US"/>
              </w:rPr>
            </w:pPr>
            <w:r w:rsidRPr="00FF7932">
              <w:t>$711,982</w:t>
            </w:r>
          </w:p>
        </w:tc>
        <w:tc>
          <w:tcPr>
            <w:tcW w:w="637" w:type="pct"/>
            <w:noWrap/>
          </w:tcPr>
          <w:p w14:paraId="437D6F2D" w14:textId="00FE0056" w:rsidR="009E4378" w:rsidRPr="00724087" w:rsidRDefault="009E4378" w:rsidP="00C949BB">
            <w:pPr>
              <w:pStyle w:val="TableText"/>
              <w:keepNext/>
              <w:jc w:val="right"/>
              <w:rPr>
                <w:rFonts w:eastAsiaTheme="minorHAnsi" w:cstheme="minorBidi"/>
                <w:lang w:eastAsia="en-US"/>
              </w:rPr>
            </w:pPr>
            <w:r w:rsidRPr="00FF7932">
              <w:t>$713,643</w:t>
            </w:r>
          </w:p>
        </w:tc>
        <w:tc>
          <w:tcPr>
            <w:tcW w:w="637" w:type="pct"/>
            <w:noWrap/>
          </w:tcPr>
          <w:p w14:paraId="3E1EF022" w14:textId="0B571757" w:rsidR="009E4378" w:rsidRPr="00724087" w:rsidRDefault="009E4378" w:rsidP="00C949BB">
            <w:pPr>
              <w:pStyle w:val="TableText"/>
              <w:keepNext/>
              <w:jc w:val="right"/>
              <w:rPr>
                <w:rFonts w:eastAsiaTheme="minorHAnsi" w:cstheme="minorBidi"/>
                <w:lang w:eastAsia="en-US"/>
              </w:rPr>
            </w:pPr>
            <w:r w:rsidRPr="00FF7932">
              <w:t>$715,305</w:t>
            </w:r>
          </w:p>
        </w:tc>
        <w:tc>
          <w:tcPr>
            <w:tcW w:w="639" w:type="pct"/>
            <w:noWrap/>
          </w:tcPr>
          <w:p w14:paraId="43EF1993" w14:textId="252DB8B3" w:rsidR="009E4378" w:rsidRPr="00724087" w:rsidRDefault="009E4378" w:rsidP="00C949BB">
            <w:pPr>
              <w:pStyle w:val="TableText"/>
              <w:keepNext/>
              <w:jc w:val="right"/>
              <w:rPr>
                <w:rFonts w:eastAsiaTheme="minorHAnsi" w:cstheme="minorBidi"/>
                <w:lang w:eastAsia="en-US"/>
              </w:rPr>
            </w:pPr>
            <w:r w:rsidRPr="00FF7932">
              <w:t>$716,966</w:t>
            </w:r>
          </w:p>
        </w:tc>
      </w:tr>
    </w:tbl>
    <w:p w14:paraId="5DF055D6" w14:textId="76F9B536" w:rsidR="00FE3186" w:rsidRPr="00374D3A" w:rsidRDefault="001923EB" w:rsidP="00FE3186">
      <w:pPr>
        <w:pStyle w:val="TableFigureFooter"/>
        <w:rPr>
          <w:rFonts w:eastAsia="Calibri"/>
        </w:rPr>
      </w:pPr>
      <w:r>
        <w:rPr>
          <w:rFonts w:eastAsia="Calibri"/>
        </w:rPr>
        <w:t xml:space="preserve">ESI-MS/MS = </w:t>
      </w:r>
      <w:r w:rsidR="006F69AC">
        <w:rPr>
          <w:rFonts w:eastAsia="Calibri"/>
        </w:rPr>
        <w:t>e</w:t>
      </w:r>
      <w:r w:rsidRPr="00E12BFA">
        <w:rPr>
          <w:rFonts w:eastAsia="Calibri"/>
        </w:rPr>
        <w:t xml:space="preserve">lectrospray </w:t>
      </w:r>
      <w:r w:rsidR="006F69AC">
        <w:rPr>
          <w:rFonts w:eastAsia="Calibri"/>
        </w:rPr>
        <w:t>i</w:t>
      </w:r>
      <w:r w:rsidRPr="00E12BFA">
        <w:rPr>
          <w:rFonts w:eastAsia="Calibri"/>
        </w:rPr>
        <w:t>onisation tandem mass spectrometry</w:t>
      </w:r>
      <w:r>
        <w:rPr>
          <w:rFonts w:eastAsia="Calibri"/>
        </w:rPr>
        <w:t>;</w:t>
      </w:r>
      <w:r w:rsidRPr="00E12BFA">
        <w:rPr>
          <w:rFonts w:eastAsia="Calibri"/>
        </w:rPr>
        <w:t xml:space="preserve"> </w:t>
      </w:r>
      <w:r w:rsidR="00BD431F" w:rsidRPr="009E2530">
        <w:t>HPLC = high performance liquid chromatography;</w:t>
      </w:r>
      <w:r w:rsidR="00BD431F" w:rsidRPr="00E12BFA" w:rsidDel="001D648E">
        <w:rPr>
          <w:rFonts w:eastAsia="Calibri"/>
        </w:rPr>
        <w:t xml:space="preserve"> </w:t>
      </w:r>
      <w:r w:rsidR="001D648E">
        <w:rPr>
          <w:rFonts w:eastAsia="Calibri"/>
        </w:rPr>
        <w:t xml:space="preserve">NBS = newborn bloodspot screening; </w:t>
      </w:r>
      <w:r>
        <w:t>SCD = sickle cell disease.</w:t>
      </w:r>
    </w:p>
    <w:p w14:paraId="36CDB32F" w14:textId="70CADBAC" w:rsidR="005D522D" w:rsidRDefault="007E68FD" w:rsidP="00625AB0">
      <w:r>
        <w:t>The impact on other health budgets affected by the addition of SCD to NBS programs was updated</w:t>
      </w:r>
      <w:r w:rsidR="00C0536E">
        <w:t xml:space="preserve"> from the 1737 DCAR</w:t>
      </w:r>
      <w:r w:rsidR="00D14377">
        <w:t xml:space="preserve"> and </w:t>
      </w:r>
      <w:r w:rsidR="00B52D20">
        <w:t xml:space="preserve">separated into </w:t>
      </w:r>
      <w:r w:rsidR="00D14377" w:rsidRPr="00D14377">
        <w:t>changes directly borne from the introduction of universal NBS and earlier diagnoses of SCD, and those due to the effects of changes in management</w:t>
      </w:r>
      <w:r w:rsidR="005336C2">
        <w:t xml:space="preserve"> (g</w:t>
      </w:r>
      <w:r w:rsidR="00065EC2">
        <w:t xml:space="preserve">iven </w:t>
      </w:r>
      <w:r w:rsidR="006217A2">
        <w:t xml:space="preserve">the additional </w:t>
      </w:r>
      <w:r w:rsidR="00C20B09">
        <w:t>uncertaint</w:t>
      </w:r>
      <w:r w:rsidR="006217A2">
        <w:t>y inherent in the</w:t>
      </w:r>
      <w:r w:rsidR="007B34B7">
        <w:t>se data and their</w:t>
      </w:r>
      <w:r w:rsidR="004B027C">
        <w:t xml:space="preserve"> applicability over time</w:t>
      </w:r>
      <w:r w:rsidR="007B34B7">
        <w:t xml:space="preserve">, as </w:t>
      </w:r>
      <w:r w:rsidR="00D529C2">
        <w:t xml:space="preserve">described in </w:t>
      </w:r>
      <w:r w:rsidR="00040AA9">
        <w:rPr>
          <w:highlight w:val="yellow"/>
        </w:rPr>
        <w:fldChar w:fldCharType="begin"/>
      </w:r>
      <w:r w:rsidR="00040AA9">
        <w:instrText xml:space="preserve"> REF _Ref149142816 \h </w:instrText>
      </w:r>
      <w:r w:rsidR="00040AA9">
        <w:rPr>
          <w:highlight w:val="yellow"/>
        </w:rPr>
      </w:r>
      <w:r w:rsidR="00040AA9">
        <w:rPr>
          <w:highlight w:val="yellow"/>
        </w:rPr>
        <w:fldChar w:fldCharType="separate"/>
      </w:r>
      <w:r w:rsidR="007D770C" w:rsidRPr="00CE28E3">
        <w:t>Table</w:t>
      </w:r>
      <w:r w:rsidR="007D770C">
        <w:t> </w:t>
      </w:r>
      <w:r w:rsidR="007D770C">
        <w:rPr>
          <w:noProof/>
        </w:rPr>
        <w:t>17</w:t>
      </w:r>
      <w:r w:rsidR="00040AA9">
        <w:rPr>
          <w:highlight w:val="yellow"/>
        </w:rPr>
        <w:fldChar w:fldCharType="end"/>
      </w:r>
      <w:r w:rsidR="00D529C2">
        <w:t>)</w:t>
      </w:r>
      <w:r w:rsidR="00D14377" w:rsidRPr="00D14377">
        <w:t>.</w:t>
      </w:r>
      <w:r w:rsidR="00D14377">
        <w:t xml:space="preserve"> </w:t>
      </w:r>
    </w:p>
    <w:p w14:paraId="3FACCB84" w14:textId="3153F01F" w:rsidR="005D522D" w:rsidRDefault="005D522D" w:rsidP="00625AB0">
      <w:r w:rsidRPr="005D522D">
        <w:t xml:space="preserve">The direct effects from the introduction of universal NBS include the replacement of targeted newborn </w:t>
      </w:r>
      <w:r w:rsidR="00C0536E">
        <w:t>testing</w:t>
      </w:r>
      <w:r w:rsidR="00C0536E" w:rsidRPr="005D522D">
        <w:t xml:space="preserve"> </w:t>
      </w:r>
      <w:r w:rsidRPr="005D522D">
        <w:t xml:space="preserve">and testing </w:t>
      </w:r>
      <w:r w:rsidR="00C0536E">
        <w:t>up</w:t>
      </w:r>
      <w:r w:rsidRPr="005D522D">
        <w:t>on symptom development.</w:t>
      </w:r>
      <w:r>
        <w:t xml:space="preserve"> </w:t>
      </w:r>
      <w:r w:rsidRPr="005D522D">
        <w:t xml:space="preserve">Additional costs are included due to earlier initiation </w:t>
      </w:r>
      <w:r w:rsidR="00E31C18">
        <w:t xml:space="preserve">– due to a reduced age at diagnosis </w:t>
      </w:r>
      <w:r w:rsidR="00EC10B6">
        <w:t>(median 15.6 months following symptom development</w:t>
      </w:r>
      <w:r w:rsidR="00AB648C">
        <w:t xml:space="preserve"> based</w:t>
      </w:r>
      <w:r w:rsidR="004739BE">
        <w:t xml:space="preserve"> </w:t>
      </w:r>
      <w:r w:rsidR="00AB648C">
        <w:t xml:space="preserve">on </w:t>
      </w:r>
      <w:proofErr w:type="spellStart"/>
      <w:r w:rsidR="00AB648C">
        <w:t>HbR</w:t>
      </w:r>
      <w:proofErr w:type="spellEnd"/>
      <w:r w:rsidR="00AB648C">
        <w:t xml:space="preserve"> data</w:t>
      </w:r>
      <w:r w:rsidR="00EC10B6">
        <w:t xml:space="preserve">) </w:t>
      </w:r>
      <w:r w:rsidR="00AB648C">
        <w:t xml:space="preserve">– </w:t>
      </w:r>
      <w:r w:rsidRPr="005D522D">
        <w:t>and/or higher uptake of treatment (</w:t>
      </w:r>
      <w:proofErr w:type="gramStart"/>
      <w:r w:rsidRPr="005D522D">
        <w:t>i.e.</w:t>
      </w:r>
      <w:proofErr w:type="gramEnd"/>
      <w:r w:rsidRPr="005D522D">
        <w:t xml:space="preserve"> prophylactic antibiotics, hydroxyurea and TCD)</w:t>
      </w:r>
      <w:r>
        <w:t>.</w:t>
      </w:r>
    </w:p>
    <w:p w14:paraId="72C7B562" w14:textId="0CAF555B" w:rsidR="005D522D" w:rsidRDefault="006E706D" w:rsidP="00625AB0">
      <w:r>
        <w:t>T</w:t>
      </w:r>
      <w:r w:rsidR="005146E7" w:rsidRPr="005146E7">
        <w:t xml:space="preserve">he effects of changes in management included in the analysis </w:t>
      </w:r>
      <w:r>
        <w:t xml:space="preserve">have been restricted to </w:t>
      </w:r>
      <w:r w:rsidR="005146E7" w:rsidRPr="005146E7">
        <w:t xml:space="preserve">the </w:t>
      </w:r>
      <w:r w:rsidR="004903F8">
        <w:t xml:space="preserve">reduction in the </w:t>
      </w:r>
      <w:r w:rsidR="005146E7" w:rsidRPr="005146E7">
        <w:t>annual number of hospitalisations</w:t>
      </w:r>
      <w:r w:rsidR="00177C14">
        <w:t xml:space="preserve"> (excluding planned transfusions)</w:t>
      </w:r>
      <w:r w:rsidR="005146E7" w:rsidRPr="005146E7">
        <w:t>.</w:t>
      </w:r>
      <w:r w:rsidR="005146E7">
        <w:t xml:space="preserve"> </w:t>
      </w:r>
      <w:r w:rsidR="005146E7" w:rsidRPr="005146E7">
        <w:t>While significant reductions were also observed in the number of ED presentations</w:t>
      </w:r>
      <w:r w:rsidR="007D7DB6">
        <w:t xml:space="preserve"> </w:t>
      </w:r>
      <w:r w:rsidR="005146E7" w:rsidRPr="005146E7">
        <w:t>it was also noted</w:t>
      </w:r>
      <w:r w:rsidR="005146E7" w:rsidRPr="005146E7" w:rsidDel="007D7DB6">
        <w:t xml:space="preserve"> </w:t>
      </w:r>
      <w:r w:rsidR="005146E7" w:rsidRPr="005146E7">
        <w:t xml:space="preserve">that </w:t>
      </w:r>
      <w:proofErr w:type="gramStart"/>
      <w:r w:rsidR="005146E7" w:rsidRPr="005146E7">
        <w:t>the majority of</w:t>
      </w:r>
      <w:proofErr w:type="gramEnd"/>
      <w:r w:rsidR="005146E7" w:rsidRPr="005146E7">
        <w:t xml:space="preserve"> ED presentations likely also required hospital admission</w:t>
      </w:r>
      <w:r w:rsidR="007731BC">
        <w:t xml:space="preserve"> (Nelson et al. 2023)</w:t>
      </w:r>
      <w:r w:rsidR="005146E7" w:rsidRPr="005146E7">
        <w:t>.</w:t>
      </w:r>
      <w:r w:rsidR="005146E7">
        <w:t xml:space="preserve"> Significant reductions were also observed in </w:t>
      </w:r>
      <w:r w:rsidR="00833DC9">
        <w:t>the history of certain events (</w:t>
      </w:r>
      <w:r w:rsidR="00833DC9" w:rsidRPr="00833DC9">
        <w:t xml:space="preserve">sepsis and cholecystectomy, </w:t>
      </w:r>
      <w:r w:rsidR="00833DC9">
        <w:t>with</w:t>
      </w:r>
      <w:r w:rsidR="00833DC9" w:rsidRPr="00833DC9">
        <w:t xml:space="preserve"> a trend towards a reduction in a history of splenectomy</w:t>
      </w:r>
      <w:r w:rsidR="00833DC9">
        <w:t>)</w:t>
      </w:r>
      <w:r w:rsidR="000016D1">
        <w:t xml:space="preserve">. </w:t>
      </w:r>
      <w:proofErr w:type="gramStart"/>
      <w:r w:rsidR="000016D1">
        <w:t>However</w:t>
      </w:r>
      <w:proofErr w:type="gramEnd"/>
      <w:r w:rsidR="000016D1">
        <w:t xml:space="preserve"> these </w:t>
      </w:r>
      <w:r w:rsidR="00177C14">
        <w:t xml:space="preserve">have not been included in the analysis as </w:t>
      </w:r>
      <w:r w:rsidR="000016D1" w:rsidRPr="000016D1">
        <w:t xml:space="preserve">it was unclear when these events occurred </w:t>
      </w:r>
      <w:r w:rsidR="007A7CFE">
        <w:t xml:space="preserve">(i.e. within forecast period) </w:t>
      </w:r>
      <w:r w:rsidR="000016D1" w:rsidRPr="000016D1">
        <w:t>and wh</w:t>
      </w:r>
      <w:r w:rsidR="004C695A">
        <w:t xml:space="preserve">at impact the </w:t>
      </w:r>
      <w:r w:rsidR="000016D1" w:rsidRPr="000016D1">
        <w:t>differences in age across groups</w:t>
      </w:r>
      <w:r w:rsidR="004C695A">
        <w:t xml:space="preserve"> ha</w:t>
      </w:r>
      <w:r w:rsidR="00516BBF">
        <w:t>d</w:t>
      </w:r>
      <w:r w:rsidR="004C695A">
        <w:t xml:space="preserve"> on </w:t>
      </w:r>
      <w:r w:rsidR="000016D1" w:rsidRPr="000016D1">
        <w:t>the extent of the</w:t>
      </w:r>
      <w:r w:rsidR="00664930">
        <w:t>se</w:t>
      </w:r>
      <w:r w:rsidR="000016D1" w:rsidRPr="000016D1">
        <w:t xml:space="preserve"> differences. Further, management of these events would also likely be captured in the reduction in hospitalisations calculated above.</w:t>
      </w:r>
    </w:p>
    <w:p w14:paraId="0507DCB9" w14:textId="6913D495" w:rsidR="00D707E8" w:rsidRDefault="00210BBD" w:rsidP="00625AB0">
      <w:r>
        <w:t>A</w:t>
      </w:r>
      <w:r w:rsidR="006E4C57">
        <w:t>s</w:t>
      </w:r>
      <w:r>
        <w:t xml:space="preserve"> per the</w:t>
      </w:r>
      <w:r w:rsidDel="00516BBF">
        <w:t xml:space="preserve"> </w:t>
      </w:r>
      <w:r w:rsidR="00516BBF">
        <w:t xml:space="preserve">1737 </w:t>
      </w:r>
      <w:r>
        <w:t>DCAR, no changes were expected in the use or cost of cascade testing of relatives of affected cases (as all affected cases are currently identified</w:t>
      </w:r>
      <w:r w:rsidR="00F82ACE">
        <w:t xml:space="preserve"> ± delay in diagnosis</w:t>
      </w:r>
      <w:r>
        <w:t>).</w:t>
      </w:r>
      <w:r w:rsidR="001F7861">
        <w:t xml:space="preserve"> </w:t>
      </w:r>
      <w:r w:rsidR="00A86EDB">
        <w:t xml:space="preserve">This was consistent with </w:t>
      </w:r>
      <w:r w:rsidR="001A7B71">
        <w:t>MSAC</w:t>
      </w:r>
      <w:r w:rsidR="004E4550">
        <w:t>’s advice on application 1737</w:t>
      </w:r>
      <w:r w:rsidR="001A7B71">
        <w:t xml:space="preserve"> that</w:t>
      </w:r>
      <w:r w:rsidR="00FC136A">
        <w:t>,</w:t>
      </w:r>
      <w:r w:rsidR="001A7B71">
        <w:t xml:space="preserve"> </w:t>
      </w:r>
      <w:r w:rsidR="004E4550">
        <w:t xml:space="preserve">based on 95-99% detection through </w:t>
      </w:r>
      <w:r w:rsidR="0089139E">
        <w:t xml:space="preserve">existing </w:t>
      </w:r>
      <w:r w:rsidR="004E4550">
        <w:t xml:space="preserve">targeted testing and 100% uptake of cascade testing, </w:t>
      </w:r>
      <w:r w:rsidR="001A7B71" w:rsidRPr="006A1AF9">
        <w:t>cascade testing for haemoglobinopathies already takes place to a nearly complete extent.</w:t>
      </w:r>
    </w:p>
    <w:p w14:paraId="02C35620" w14:textId="2419A1A5" w:rsidR="004448AD" w:rsidRDefault="004448AD" w:rsidP="00625AB0">
      <w:r>
        <w:t xml:space="preserve">Changes in use and cost of </w:t>
      </w:r>
      <w:r w:rsidR="006C3356">
        <w:t xml:space="preserve">direct effects </w:t>
      </w:r>
      <w:r w:rsidR="006C3356" w:rsidRPr="005D522D">
        <w:t>from the introduction of universal NBS</w:t>
      </w:r>
      <w:r w:rsidR="006C3356">
        <w:t xml:space="preserve"> </w:t>
      </w:r>
      <w:r w:rsidR="00F736A3">
        <w:t>to funding sources other than NBS programs</w:t>
      </w:r>
      <w:r w:rsidR="006C3356">
        <w:t xml:space="preserve"> are presented in </w:t>
      </w:r>
      <w:r w:rsidR="004640B7">
        <w:rPr>
          <w:highlight w:val="yellow"/>
        </w:rPr>
        <w:fldChar w:fldCharType="begin"/>
      </w:r>
      <w:r w:rsidR="004640B7">
        <w:instrText xml:space="preserve"> REF _Ref149142997 \h </w:instrText>
      </w:r>
      <w:r w:rsidR="004640B7">
        <w:rPr>
          <w:highlight w:val="yellow"/>
        </w:rPr>
      </w:r>
      <w:r w:rsidR="004640B7">
        <w:rPr>
          <w:highlight w:val="yellow"/>
        </w:rPr>
        <w:fldChar w:fldCharType="separate"/>
      </w:r>
      <w:r w:rsidR="007D770C" w:rsidRPr="00CE28E3">
        <w:t>Table</w:t>
      </w:r>
      <w:r w:rsidR="007D770C">
        <w:t> </w:t>
      </w:r>
      <w:r w:rsidR="007D770C">
        <w:rPr>
          <w:noProof/>
        </w:rPr>
        <w:t>20</w:t>
      </w:r>
      <w:r w:rsidR="004640B7">
        <w:rPr>
          <w:highlight w:val="yellow"/>
        </w:rPr>
        <w:fldChar w:fldCharType="end"/>
      </w:r>
      <w:r w:rsidR="006C3356">
        <w:t xml:space="preserve">. </w:t>
      </w:r>
      <w:r w:rsidR="001B1BD1">
        <w:t xml:space="preserve">These changes in use and cost are borne across </w:t>
      </w:r>
      <w:r w:rsidR="00E45674">
        <w:t xml:space="preserve">different </w:t>
      </w:r>
      <w:r w:rsidR="001C2AC2">
        <w:t>health budgets</w:t>
      </w:r>
      <w:r w:rsidR="00F056BB">
        <w:t xml:space="preserve">, however the net </w:t>
      </w:r>
      <w:r w:rsidR="00CC2D31">
        <w:t>e</w:t>
      </w:r>
      <w:r w:rsidR="00F056BB">
        <w:t xml:space="preserve">ffect across these funders </w:t>
      </w:r>
      <w:r w:rsidR="00CC2D31">
        <w:t>wa</w:t>
      </w:r>
      <w:r w:rsidR="00557C68">
        <w:t>s a small reduction in the annual cost ($40,000−$50,000 per year)</w:t>
      </w:r>
      <w:r w:rsidR="000D4BF5">
        <w:t xml:space="preserve">, driven by the reduction in </w:t>
      </w:r>
      <w:r w:rsidR="00006893">
        <w:t xml:space="preserve">current targeted newborn </w:t>
      </w:r>
      <w:r w:rsidR="00CC2D31">
        <w:t>testing</w:t>
      </w:r>
      <w:r w:rsidR="00006893" w:rsidDel="00CC2D31">
        <w:t xml:space="preserve"> </w:t>
      </w:r>
      <w:r w:rsidR="00CC2D31">
        <w:t xml:space="preserve">that </w:t>
      </w:r>
      <w:r w:rsidR="00006893">
        <w:t>would be replaced by universal NBS.</w:t>
      </w:r>
    </w:p>
    <w:p w14:paraId="635A78C2" w14:textId="095127CB" w:rsidR="00677ADB" w:rsidRDefault="001E59DA" w:rsidP="00677ADB">
      <w:pPr>
        <w:pStyle w:val="Caption"/>
      </w:pPr>
      <w:bookmarkStart w:id="66" w:name="_Ref149142997"/>
      <w:r w:rsidRPr="00CE28E3">
        <w:t>Table</w:t>
      </w:r>
      <w:r>
        <w:t> </w:t>
      </w:r>
      <w:r>
        <w:fldChar w:fldCharType="begin"/>
      </w:r>
      <w:r>
        <w:instrText>SEQ Table \* ARABIC</w:instrText>
      </w:r>
      <w:r>
        <w:fldChar w:fldCharType="separate"/>
      </w:r>
      <w:r w:rsidR="007D770C">
        <w:rPr>
          <w:noProof/>
        </w:rPr>
        <w:t>20</w:t>
      </w:r>
      <w:r>
        <w:fldChar w:fldCharType="end"/>
      </w:r>
      <w:bookmarkEnd w:id="66"/>
      <w:r w:rsidRPr="00CE28E3">
        <w:tab/>
      </w:r>
      <w:r w:rsidR="00EB73E4">
        <w:t>Impact on other health budgets</w:t>
      </w:r>
      <w:r w:rsidR="008A211D">
        <w:t>, direct effects</w:t>
      </w:r>
    </w:p>
    <w:tbl>
      <w:tblPr>
        <w:tblStyle w:val="TableGrid1"/>
        <w:tblW w:w="5000" w:type="pct"/>
        <w:tblLayout w:type="fixed"/>
        <w:tblLook w:val="04A0" w:firstRow="1" w:lastRow="0" w:firstColumn="1" w:lastColumn="0" w:noHBand="0" w:noVBand="1"/>
      </w:tblPr>
      <w:tblGrid>
        <w:gridCol w:w="280"/>
        <w:gridCol w:w="3268"/>
        <w:gridCol w:w="913"/>
        <w:gridCol w:w="912"/>
        <w:gridCol w:w="912"/>
        <w:gridCol w:w="912"/>
        <w:gridCol w:w="912"/>
        <w:gridCol w:w="907"/>
      </w:tblGrid>
      <w:tr w:rsidR="001267FD" w:rsidRPr="00A963BA" w14:paraId="73A4D8E5" w14:textId="77777777" w:rsidTr="00CA78AE">
        <w:trPr>
          <w:cnfStyle w:val="100000000000" w:firstRow="1" w:lastRow="0" w:firstColumn="0" w:lastColumn="0" w:oddVBand="0" w:evenVBand="0" w:oddHBand="0" w:evenHBand="0" w:firstRowFirstColumn="0" w:firstRowLastColumn="0" w:lastRowFirstColumn="0" w:lastRowLastColumn="0"/>
        </w:trPr>
        <w:tc>
          <w:tcPr>
            <w:tcW w:w="155" w:type="pct"/>
          </w:tcPr>
          <w:p w14:paraId="0E3AC343" w14:textId="77777777" w:rsidR="00F84B14" w:rsidRPr="00A963BA" w:rsidRDefault="00F84B14" w:rsidP="00966A31">
            <w:pPr>
              <w:pStyle w:val="In-tableHeading"/>
              <w:spacing w:before="0"/>
            </w:pPr>
          </w:p>
        </w:tc>
        <w:tc>
          <w:tcPr>
            <w:tcW w:w="1812" w:type="pct"/>
            <w:noWrap/>
            <w:hideMark/>
          </w:tcPr>
          <w:p w14:paraId="20D78B49" w14:textId="71C784B3" w:rsidR="00F84B14" w:rsidRPr="00A963BA" w:rsidRDefault="00F84B14" w:rsidP="00966A31">
            <w:pPr>
              <w:pStyle w:val="In-tableHeading"/>
              <w:spacing w:before="0"/>
            </w:pPr>
          </w:p>
        </w:tc>
        <w:tc>
          <w:tcPr>
            <w:tcW w:w="506" w:type="pct"/>
            <w:noWrap/>
          </w:tcPr>
          <w:p w14:paraId="08073D13" w14:textId="40CC997D" w:rsidR="00F84B14" w:rsidRPr="00A963BA" w:rsidRDefault="00F84B14" w:rsidP="00966A31">
            <w:pPr>
              <w:pStyle w:val="In-tableHeading"/>
              <w:spacing w:before="0"/>
            </w:pPr>
            <w:r w:rsidRPr="00724087">
              <w:t>2023−24</w:t>
            </w:r>
          </w:p>
        </w:tc>
        <w:tc>
          <w:tcPr>
            <w:tcW w:w="506" w:type="pct"/>
            <w:noWrap/>
          </w:tcPr>
          <w:p w14:paraId="18BEB54E" w14:textId="04291D71" w:rsidR="00F84B14" w:rsidRPr="00A963BA" w:rsidRDefault="00F84B14" w:rsidP="00966A31">
            <w:pPr>
              <w:pStyle w:val="In-tableHeading"/>
              <w:spacing w:before="0"/>
            </w:pPr>
            <w:r w:rsidRPr="00724087">
              <w:t>2024−25</w:t>
            </w:r>
          </w:p>
        </w:tc>
        <w:tc>
          <w:tcPr>
            <w:tcW w:w="506" w:type="pct"/>
            <w:noWrap/>
          </w:tcPr>
          <w:p w14:paraId="673E3C0A" w14:textId="385B210A" w:rsidR="00F84B14" w:rsidRPr="00A963BA" w:rsidRDefault="00F84B14" w:rsidP="00966A31">
            <w:pPr>
              <w:pStyle w:val="In-tableHeading"/>
              <w:spacing w:before="0"/>
            </w:pPr>
            <w:r w:rsidRPr="00724087">
              <w:t>2025−26</w:t>
            </w:r>
          </w:p>
        </w:tc>
        <w:tc>
          <w:tcPr>
            <w:tcW w:w="506" w:type="pct"/>
            <w:noWrap/>
          </w:tcPr>
          <w:p w14:paraId="59922924" w14:textId="1B0F3DD3" w:rsidR="00F84B14" w:rsidRPr="00A963BA" w:rsidRDefault="00F84B14" w:rsidP="00966A31">
            <w:pPr>
              <w:pStyle w:val="In-tableHeading"/>
              <w:spacing w:before="0"/>
            </w:pPr>
            <w:r w:rsidRPr="00724087">
              <w:t>2027−28</w:t>
            </w:r>
          </w:p>
        </w:tc>
        <w:tc>
          <w:tcPr>
            <w:tcW w:w="506" w:type="pct"/>
            <w:noWrap/>
          </w:tcPr>
          <w:p w14:paraId="57413E4A" w14:textId="32C37C2E" w:rsidR="00F84B14" w:rsidRPr="00A963BA" w:rsidRDefault="00F84B14" w:rsidP="00966A31">
            <w:pPr>
              <w:pStyle w:val="In-tableHeading"/>
              <w:spacing w:before="0"/>
            </w:pPr>
            <w:r w:rsidRPr="00724087">
              <w:t>2028−29</w:t>
            </w:r>
          </w:p>
        </w:tc>
        <w:tc>
          <w:tcPr>
            <w:tcW w:w="503" w:type="pct"/>
            <w:noWrap/>
          </w:tcPr>
          <w:p w14:paraId="7CFF9284" w14:textId="107FB0DA" w:rsidR="00F84B14" w:rsidRPr="00A963BA" w:rsidRDefault="00F84B14" w:rsidP="00966A31">
            <w:pPr>
              <w:pStyle w:val="In-tableHeading"/>
              <w:spacing w:before="0"/>
            </w:pPr>
            <w:r w:rsidRPr="00724087">
              <w:t>2029−30</w:t>
            </w:r>
          </w:p>
        </w:tc>
      </w:tr>
      <w:tr w:rsidR="00CA78AE" w:rsidRPr="00865B57" w14:paraId="78BCC655" w14:textId="77777777" w:rsidTr="00CA78AE">
        <w:tc>
          <w:tcPr>
            <w:tcW w:w="5000" w:type="pct"/>
            <w:gridSpan w:val="8"/>
          </w:tcPr>
          <w:p w14:paraId="564D90E7" w14:textId="76A28B9A" w:rsidR="00CA78AE" w:rsidRPr="00865B57" w:rsidRDefault="00CA78AE" w:rsidP="00966A31">
            <w:pPr>
              <w:pStyle w:val="TableText"/>
              <w:keepNext/>
              <w:spacing w:before="0" w:after="0"/>
            </w:pPr>
            <w:r w:rsidRPr="00865B57">
              <w:t xml:space="preserve">Reduction in targeted newborn </w:t>
            </w:r>
            <w:r w:rsidR="00CC2D31">
              <w:t>testing</w:t>
            </w:r>
          </w:p>
        </w:tc>
      </w:tr>
      <w:tr w:rsidR="001267FD" w:rsidRPr="00865B57" w14:paraId="0A580A56" w14:textId="77777777" w:rsidTr="00CA78AE">
        <w:tc>
          <w:tcPr>
            <w:tcW w:w="155" w:type="pct"/>
          </w:tcPr>
          <w:p w14:paraId="7D4F24FA" w14:textId="5A02C36B" w:rsidR="00F84B14" w:rsidRPr="00865B57" w:rsidRDefault="00F84B14" w:rsidP="00966A31">
            <w:pPr>
              <w:pStyle w:val="TableText"/>
              <w:keepNext/>
              <w:spacing w:before="0" w:after="0"/>
            </w:pPr>
            <w:r>
              <w:t>A</w:t>
            </w:r>
          </w:p>
        </w:tc>
        <w:tc>
          <w:tcPr>
            <w:tcW w:w="1812" w:type="pct"/>
            <w:noWrap/>
            <w:hideMark/>
          </w:tcPr>
          <w:p w14:paraId="7D11919A" w14:textId="54D27E64" w:rsidR="00F84B14" w:rsidRPr="00865B57" w:rsidRDefault="00F84B14" w:rsidP="00966A31">
            <w:pPr>
              <w:pStyle w:val="TableText"/>
              <w:keepNext/>
              <w:spacing w:before="0" w:after="0"/>
            </w:pPr>
            <w:r w:rsidRPr="00865B57">
              <w:t xml:space="preserve">No. newborns who uptake </w:t>
            </w:r>
            <w:r w:rsidR="00CC2D31">
              <w:t xml:space="preserve">targeted </w:t>
            </w:r>
            <w:r w:rsidRPr="00865B57">
              <w:t xml:space="preserve">newborn </w:t>
            </w:r>
            <w:r w:rsidR="00CC2D31">
              <w:t>testing</w:t>
            </w:r>
          </w:p>
        </w:tc>
        <w:tc>
          <w:tcPr>
            <w:tcW w:w="506" w:type="pct"/>
            <w:noWrap/>
            <w:hideMark/>
          </w:tcPr>
          <w:p w14:paraId="260BC259" w14:textId="77777777" w:rsidR="00F84B14" w:rsidRPr="00865B57" w:rsidRDefault="00F84B14" w:rsidP="00966A31">
            <w:pPr>
              <w:pStyle w:val="TableText"/>
              <w:keepNext/>
              <w:spacing w:before="0" w:after="0"/>
              <w:jc w:val="right"/>
            </w:pPr>
            <w:r w:rsidRPr="00865B57">
              <w:t>310,922</w:t>
            </w:r>
          </w:p>
        </w:tc>
        <w:tc>
          <w:tcPr>
            <w:tcW w:w="506" w:type="pct"/>
            <w:noWrap/>
            <w:hideMark/>
          </w:tcPr>
          <w:p w14:paraId="2C2B9E7C" w14:textId="77777777" w:rsidR="00F84B14" w:rsidRPr="00865B57" w:rsidRDefault="00F84B14" w:rsidP="00966A31">
            <w:pPr>
              <w:pStyle w:val="TableText"/>
              <w:keepNext/>
              <w:spacing w:before="0" w:after="0"/>
              <w:jc w:val="right"/>
            </w:pPr>
            <w:r w:rsidRPr="00865B57">
              <w:t>311,651</w:t>
            </w:r>
          </w:p>
        </w:tc>
        <w:tc>
          <w:tcPr>
            <w:tcW w:w="506" w:type="pct"/>
            <w:noWrap/>
            <w:hideMark/>
          </w:tcPr>
          <w:p w14:paraId="206BBFD5" w14:textId="77777777" w:rsidR="00F84B14" w:rsidRPr="00865B57" w:rsidRDefault="00F84B14" w:rsidP="00966A31">
            <w:pPr>
              <w:pStyle w:val="TableText"/>
              <w:keepNext/>
              <w:spacing w:before="0" w:after="0"/>
              <w:jc w:val="right"/>
            </w:pPr>
            <w:r w:rsidRPr="00865B57">
              <w:t>312,380</w:t>
            </w:r>
          </w:p>
        </w:tc>
        <w:tc>
          <w:tcPr>
            <w:tcW w:w="506" w:type="pct"/>
            <w:noWrap/>
            <w:hideMark/>
          </w:tcPr>
          <w:p w14:paraId="60AB1E7A" w14:textId="77777777" w:rsidR="00F84B14" w:rsidRPr="00865B57" w:rsidRDefault="00F84B14" w:rsidP="00966A31">
            <w:pPr>
              <w:pStyle w:val="TableText"/>
              <w:keepNext/>
              <w:spacing w:before="0" w:after="0"/>
              <w:jc w:val="right"/>
            </w:pPr>
            <w:r w:rsidRPr="00865B57">
              <w:t>313,109</w:t>
            </w:r>
          </w:p>
        </w:tc>
        <w:tc>
          <w:tcPr>
            <w:tcW w:w="506" w:type="pct"/>
            <w:noWrap/>
            <w:hideMark/>
          </w:tcPr>
          <w:p w14:paraId="1FBD0ED5" w14:textId="77777777" w:rsidR="00F84B14" w:rsidRPr="00865B57" w:rsidRDefault="00F84B14" w:rsidP="00966A31">
            <w:pPr>
              <w:pStyle w:val="TableText"/>
              <w:keepNext/>
              <w:spacing w:before="0" w:after="0"/>
              <w:jc w:val="right"/>
            </w:pPr>
            <w:r w:rsidRPr="00865B57">
              <w:t>313,837</w:t>
            </w:r>
          </w:p>
        </w:tc>
        <w:tc>
          <w:tcPr>
            <w:tcW w:w="503" w:type="pct"/>
            <w:noWrap/>
            <w:hideMark/>
          </w:tcPr>
          <w:p w14:paraId="32EEB30F" w14:textId="77777777" w:rsidR="00F84B14" w:rsidRPr="00865B57" w:rsidRDefault="00F84B14" w:rsidP="00966A31">
            <w:pPr>
              <w:pStyle w:val="TableText"/>
              <w:keepNext/>
              <w:spacing w:before="0" w:after="0"/>
              <w:jc w:val="right"/>
            </w:pPr>
            <w:r w:rsidRPr="00865B57">
              <w:t>314,566</w:t>
            </w:r>
          </w:p>
        </w:tc>
      </w:tr>
      <w:tr w:rsidR="001267FD" w:rsidRPr="00865B57" w14:paraId="181C8034" w14:textId="77777777" w:rsidTr="00CA78AE">
        <w:tc>
          <w:tcPr>
            <w:tcW w:w="155" w:type="pct"/>
          </w:tcPr>
          <w:p w14:paraId="703EBB4F" w14:textId="16FF5377" w:rsidR="00F84B14" w:rsidRPr="00865B57" w:rsidRDefault="00F84B14" w:rsidP="00966A31">
            <w:pPr>
              <w:pStyle w:val="TableText"/>
              <w:keepNext/>
              <w:spacing w:before="0" w:after="0"/>
            </w:pPr>
            <w:r>
              <w:t>B</w:t>
            </w:r>
          </w:p>
        </w:tc>
        <w:tc>
          <w:tcPr>
            <w:tcW w:w="1812" w:type="pct"/>
            <w:noWrap/>
            <w:hideMark/>
          </w:tcPr>
          <w:p w14:paraId="6E914E72" w14:textId="2A47AE74" w:rsidR="00F84B14" w:rsidRPr="00865B57" w:rsidRDefault="00F84B14" w:rsidP="00966A31">
            <w:pPr>
              <w:pStyle w:val="TableText"/>
              <w:keepNext/>
              <w:spacing w:before="0" w:after="0"/>
            </w:pPr>
            <w:r w:rsidRPr="00865B57">
              <w:t xml:space="preserve">No. newborns who currently undergo targeted newborn </w:t>
            </w:r>
            <w:r w:rsidR="00F8342E">
              <w:t>testing</w:t>
            </w:r>
            <w:r w:rsidR="00F8342E" w:rsidRPr="00865B57">
              <w:t xml:space="preserve"> </w:t>
            </w:r>
            <w:r w:rsidRPr="00865B57">
              <w:t>(</w:t>
            </w:r>
            <w:r>
              <w:t>A × 1.69%</w:t>
            </w:r>
            <w:r w:rsidRPr="00865B57">
              <w:t>)</w:t>
            </w:r>
          </w:p>
        </w:tc>
        <w:tc>
          <w:tcPr>
            <w:tcW w:w="506" w:type="pct"/>
            <w:noWrap/>
            <w:hideMark/>
          </w:tcPr>
          <w:p w14:paraId="577B5703" w14:textId="77777777" w:rsidR="00F84B14" w:rsidRPr="00865B57" w:rsidRDefault="00F84B14" w:rsidP="00966A31">
            <w:pPr>
              <w:pStyle w:val="TableText"/>
              <w:keepNext/>
              <w:spacing w:before="0" w:after="0"/>
              <w:jc w:val="right"/>
            </w:pPr>
            <w:r w:rsidRPr="00865B57">
              <w:t>5,244</w:t>
            </w:r>
          </w:p>
        </w:tc>
        <w:tc>
          <w:tcPr>
            <w:tcW w:w="506" w:type="pct"/>
            <w:noWrap/>
            <w:hideMark/>
          </w:tcPr>
          <w:p w14:paraId="31C5E1A3" w14:textId="77777777" w:rsidR="00F84B14" w:rsidRPr="00865B57" w:rsidRDefault="00F84B14" w:rsidP="00966A31">
            <w:pPr>
              <w:pStyle w:val="TableText"/>
              <w:keepNext/>
              <w:spacing w:before="0" w:after="0"/>
              <w:jc w:val="right"/>
            </w:pPr>
            <w:r w:rsidRPr="00865B57">
              <w:t>5,256</w:t>
            </w:r>
          </w:p>
        </w:tc>
        <w:tc>
          <w:tcPr>
            <w:tcW w:w="506" w:type="pct"/>
            <w:noWrap/>
            <w:hideMark/>
          </w:tcPr>
          <w:p w14:paraId="0F6DF200" w14:textId="77777777" w:rsidR="00F84B14" w:rsidRPr="00865B57" w:rsidRDefault="00F84B14" w:rsidP="00966A31">
            <w:pPr>
              <w:pStyle w:val="TableText"/>
              <w:keepNext/>
              <w:spacing w:before="0" w:after="0"/>
              <w:jc w:val="right"/>
            </w:pPr>
            <w:r w:rsidRPr="00865B57">
              <w:t>5,268</w:t>
            </w:r>
          </w:p>
        </w:tc>
        <w:tc>
          <w:tcPr>
            <w:tcW w:w="506" w:type="pct"/>
            <w:noWrap/>
            <w:hideMark/>
          </w:tcPr>
          <w:p w14:paraId="07E99DEE" w14:textId="77777777" w:rsidR="00F84B14" w:rsidRPr="00865B57" w:rsidRDefault="00F84B14" w:rsidP="00966A31">
            <w:pPr>
              <w:pStyle w:val="TableText"/>
              <w:keepNext/>
              <w:spacing w:before="0" w:after="0"/>
              <w:jc w:val="right"/>
            </w:pPr>
            <w:r w:rsidRPr="00865B57">
              <w:t>5,280</w:t>
            </w:r>
          </w:p>
        </w:tc>
        <w:tc>
          <w:tcPr>
            <w:tcW w:w="506" w:type="pct"/>
            <w:noWrap/>
            <w:hideMark/>
          </w:tcPr>
          <w:p w14:paraId="285C6238" w14:textId="77777777" w:rsidR="00F84B14" w:rsidRPr="00865B57" w:rsidRDefault="00F84B14" w:rsidP="00966A31">
            <w:pPr>
              <w:pStyle w:val="TableText"/>
              <w:keepNext/>
              <w:spacing w:before="0" w:after="0"/>
              <w:jc w:val="right"/>
            </w:pPr>
            <w:r w:rsidRPr="00865B57">
              <w:t>5,293</w:t>
            </w:r>
          </w:p>
        </w:tc>
        <w:tc>
          <w:tcPr>
            <w:tcW w:w="503" w:type="pct"/>
            <w:noWrap/>
            <w:hideMark/>
          </w:tcPr>
          <w:p w14:paraId="7B30BF01" w14:textId="77777777" w:rsidR="00F84B14" w:rsidRPr="00865B57" w:rsidRDefault="00F84B14" w:rsidP="00966A31">
            <w:pPr>
              <w:pStyle w:val="TableText"/>
              <w:keepNext/>
              <w:spacing w:before="0" w:after="0"/>
              <w:jc w:val="right"/>
            </w:pPr>
            <w:r w:rsidRPr="00865B57">
              <w:t>5,305</w:t>
            </w:r>
          </w:p>
        </w:tc>
      </w:tr>
      <w:tr w:rsidR="001267FD" w:rsidRPr="00865B57" w14:paraId="45DC9D1A" w14:textId="77777777" w:rsidTr="00CA78AE">
        <w:tc>
          <w:tcPr>
            <w:tcW w:w="155" w:type="pct"/>
          </w:tcPr>
          <w:p w14:paraId="3C130E96" w14:textId="39B99DE1" w:rsidR="00F84B14" w:rsidRPr="00865B57" w:rsidRDefault="00F84B14" w:rsidP="00966A31">
            <w:pPr>
              <w:pStyle w:val="TableText"/>
              <w:keepNext/>
              <w:spacing w:before="0" w:after="0"/>
            </w:pPr>
            <w:r>
              <w:t>C</w:t>
            </w:r>
          </w:p>
        </w:tc>
        <w:tc>
          <w:tcPr>
            <w:tcW w:w="1812" w:type="pct"/>
            <w:noWrap/>
            <w:hideMark/>
          </w:tcPr>
          <w:p w14:paraId="186F01AA" w14:textId="1AFC4FBD" w:rsidR="00F84B14" w:rsidRPr="00865B57" w:rsidRDefault="00F84B14" w:rsidP="00966A31">
            <w:pPr>
              <w:pStyle w:val="TableText"/>
              <w:keepNext/>
              <w:spacing w:before="0" w:after="0"/>
            </w:pPr>
            <w:r w:rsidRPr="00865B57">
              <w:t xml:space="preserve">Reduction in cost of targeted newborn </w:t>
            </w:r>
            <w:r w:rsidR="00F8342E">
              <w:t>testing</w:t>
            </w:r>
            <w:r w:rsidR="00F8342E" w:rsidRPr="00865B57">
              <w:t xml:space="preserve"> </w:t>
            </w:r>
            <w:r w:rsidRPr="00865B57">
              <w:t>(</w:t>
            </w:r>
            <w:r>
              <w:t xml:space="preserve">B × </w:t>
            </w:r>
            <w:r w:rsidRPr="00865B57">
              <w:t>$10.00)</w:t>
            </w:r>
          </w:p>
        </w:tc>
        <w:tc>
          <w:tcPr>
            <w:tcW w:w="506" w:type="pct"/>
            <w:noWrap/>
            <w:hideMark/>
          </w:tcPr>
          <w:p w14:paraId="759FA821" w14:textId="77777777" w:rsidR="00F84B14" w:rsidRPr="00865B57" w:rsidRDefault="00F84B14" w:rsidP="00966A31">
            <w:pPr>
              <w:pStyle w:val="TableText"/>
              <w:keepNext/>
              <w:spacing w:before="0" w:after="0"/>
              <w:jc w:val="right"/>
            </w:pPr>
            <w:r w:rsidRPr="00865B57">
              <w:t>$52,436</w:t>
            </w:r>
          </w:p>
        </w:tc>
        <w:tc>
          <w:tcPr>
            <w:tcW w:w="506" w:type="pct"/>
            <w:noWrap/>
            <w:hideMark/>
          </w:tcPr>
          <w:p w14:paraId="0901DDDF" w14:textId="77777777" w:rsidR="00F84B14" w:rsidRPr="00865B57" w:rsidRDefault="00F84B14" w:rsidP="00966A31">
            <w:pPr>
              <w:pStyle w:val="TableText"/>
              <w:keepNext/>
              <w:spacing w:before="0" w:after="0"/>
              <w:jc w:val="right"/>
            </w:pPr>
            <w:r w:rsidRPr="00865B57">
              <w:t>$52,559</w:t>
            </w:r>
          </w:p>
        </w:tc>
        <w:tc>
          <w:tcPr>
            <w:tcW w:w="506" w:type="pct"/>
            <w:noWrap/>
            <w:hideMark/>
          </w:tcPr>
          <w:p w14:paraId="27A96C6F" w14:textId="77777777" w:rsidR="00F84B14" w:rsidRPr="00865B57" w:rsidRDefault="00F84B14" w:rsidP="00966A31">
            <w:pPr>
              <w:pStyle w:val="TableText"/>
              <w:keepNext/>
              <w:spacing w:before="0" w:after="0"/>
              <w:jc w:val="right"/>
            </w:pPr>
            <w:r w:rsidRPr="00865B57">
              <w:t>$52,682</w:t>
            </w:r>
          </w:p>
        </w:tc>
        <w:tc>
          <w:tcPr>
            <w:tcW w:w="506" w:type="pct"/>
            <w:noWrap/>
            <w:hideMark/>
          </w:tcPr>
          <w:p w14:paraId="29B1AF8C" w14:textId="77777777" w:rsidR="00F84B14" w:rsidRPr="00865B57" w:rsidRDefault="00F84B14" w:rsidP="00966A31">
            <w:pPr>
              <w:pStyle w:val="TableText"/>
              <w:keepNext/>
              <w:spacing w:before="0" w:after="0"/>
              <w:jc w:val="right"/>
            </w:pPr>
            <w:r w:rsidRPr="00865B57">
              <w:t>$52,805</w:t>
            </w:r>
          </w:p>
        </w:tc>
        <w:tc>
          <w:tcPr>
            <w:tcW w:w="506" w:type="pct"/>
            <w:noWrap/>
            <w:hideMark/>
          </w:tcPr>
          <w:p w14:paraId="20A863CE" w14:textId="77777777" w:rsidR="00F84B14" w:rsidRPr="00865B57" w:rsidRDefault="00F84B14" w:rsidP="00966A31">
            <w:pPr>
              <w:pStyle w:val="TableText"/>
              <w:keepNext/>
              <w:spacing w:before="0" w:after="0"/>
              <w:jc w:val="right"/>
            </w:pPr>
            <w:r w:rsidRPr="00865B57">
              <w:t>$52,927</w:t>
            </w:r>
          </w:p>
        </w:tc>
        <w:tc>
          <w:tcPr>
            <w:tcW w:w="503" w:type="pct"/>
            <w:noWrap/>
            <w:hideMark/>
          </w:tcPr>
          <w:p w14:paraId="7709966C" w14:textId="77777777" w:rsidR="00F84B14" w:rsidRPr="00865B57" w:rsidRDefault="00F84B14" w:rsidP="00966A31">
            <w:pPr>
              <w:pStyle w:val="TableText"/>
              <w:keepNext/>
              <w:spacing w:before="0" w:after="0"/>
              <w:jc w:val="right"/>
            </w:pPr>
            <w:r w:rsidRPr="00865B57">
              <w:t>$53,050</w:t>
            </w:r>
          </w:p>
        </w:tc>
      </w:tr>
      <w:tr w:rsidR="00CA78AE" w:rsidRPr="00865B57" w14:paraId="7EA6F543" w14:textId="77777777" w:rsidTr="00CA78AE">
        <w:tc>
          <w:tcPr>
            <w:tcW w:w="5000" w:type="pct"/>
            <w:gridSpan w:val="8"/>
          </w:tcPr>
          <w:p w14:paraId="42D84A4B" w14:textId="1C5692B4" w:rsidR="00CA78AE" w:rsidRPr="00865B57" w:rsidRDefault="00CA78AE" w:rsidP="00966A31">
            <w:pPr>
              <w:pStyle w:val="TableText"/>
              <w:keepNext/>
              <w:spacing w:before="0" w:after="0"/>
            </w:pPr>
            <w:r w:rsidRPr="00865B57">
              <w:t>Reduction in testing after symptom development</w:t>
            </w:r>
          </w:p>
        </w:tc>
      </w:tr>
      <w:tr w:rsidR="001267FD" w:rsidRPr="00865B57" w14:paraId="5DBD43ED" w14:textId="77777777" w:rsidTr="00CA78AE">
        <w:tc>
          <w:tcPr>
            <w:tcW w:w="155" w:type="pct"/>
          </w:tcPr>
          <w:p w14:paraId="1AF91A9D" w14:textId="70CB03C7" w:rsidR="00F84B14" w:rsidRPr="00865B57" w:rsidRDefault="00F84B14" w:rsidP="00966A31">
            <w:pPr>
              <w:pStyle w:val="TableText"/>
              <w:keepNext/>
              <w:spacing w:before="0" w:after="0"/>
            </w:pPr>
            <w:r>
              <w:t>D</w:t>
            </w:r>
          </w:p>
        </w:tc>
        <w:tc>
          <w:tcPr>
            <w:tcW w:w="1812" w:type="pct"/>
            <w:noWrap/>
            <w:hideMark/>
          </w:tcPr>
          <w:p w14:paraId="661BF942" w14:textId="62CB3499" w:rsidR="00F84B14" w:rsidRPr="00865B57" w:rsidRDefault="00F84B14" w:rsidP="00966A31">
            <w:pPr>
              <w:pStyle w:val="TableText"/>
              <w:keepNext/>
              <w:spacing w:before="0" w:after="0"/>
            </w:pPr>
            <w:r w:rsidRPr="00865B57">
              <w:t>No. births Australia</w:t>
            </w:r>
          </w:p>
        </w:tc>
        <w:tc>
          <w:tcPr>
            <w:tcW w:w="506" w:type="pct"/>
            <w:noWrap/>
            <w:hideMark/>
          </w:tcPr>
          <w:p w14:paraId="5A3644CC" w14:textId="77777777" w:rsidR="00F84B14" w:rsidRPr="00865B57" w:rsidRDefault="00F84B14" w:rsidP="00966A31">
            <w:pPr>
              <w:pStyle w:val="TableText"/>
              <w:keepNext/>
              <w:spacing w:before="0" w:after="0"/>
              <w:jc w:val="right"/>
            </w:pPr>
            <w:r w:rsidRPr="00865B57">
              <w:t>313,259</w:t>
            </w:r>
          </w:p>
        </w:tc>
        <w:tc>
          <w:tcPr>
            <w:tcW w:w="506" w:type="pct"/>
            <w:noWrap/>
            <w:hideMark/>
          </w:tcPr>
          <w:p w14:paraId="6EFA2E8F" w14:textId="77777777" w:rsidR="00F84B14" w:rsidRPr="00865B57" w:rsidRDefault="00F84B14" w:rsidP="00966A31">
            <w:pPr>
              <w:pStyle w:val="TableText"/>
              <w:keepNext/>
              <w:spacing w:before="0" w:after="0"/>
              <w:jc w:val="right"/>
            </w:pPr>
            <w:r w:rsidRPr="00865B57">
              <w:t>313,993</w:t>
            </w:r>
          </w:p>
        </w:tc>
        <w:tc>
          <w:tcPr>
            <w:tcW w:w="506" w:type="pct"/>
            <w:noWrap/>
            <w:hideMark/>
          </w:tcPr>
          <w:p w14:paraId="0ED905BC" w14:textId="77777777" w:rsidR="00F84B14" w:rsidRPr="00865B57" w:rsidRDefault="00F84B14" w:rsidP="00966A31">
            <w:pPr>
              <w:pStyle w:val="TableText"/>
              <w:keepNext/>
              <w:spacing w:before="0" w:after="0"/>
              <w:jc w:val="right"/>
            </w:pPr>
            <w:r w:rsidRPr="00865B57">
              <w:t>314,727</w:t>
            </w:r>
          </w:p>
        </w:tc>
        <w:tc>
          <w:tcPr>
            <w:tcW w:w="506" w:type="pct"/>
            <w:noWrap/>
            <w:hideMark/>
          </w:tcPr>
          <w:p w14:paraId="36BDB26C" w14:textId="77777777" w:rsidR="00F84B14" w:rsidRPr="00865B57" w:rsidRDefault="00F84B14" w:rsidP="00966A31">
            <w:pPr>
              <w:pStyle w:val="TableText"/>
              <w:keepNext/>
              <w:spacing w:before="0" w:after="0"/>
              <w:jc w:val="right"/>
            </w:pPr>
            <w:r w:rsidRPr="00865B57">
              <w:t>315,462</w:t>
            </w:r>
          </w:p>
        </w:tc>
        <w:tc>
          <w:tcPr>
            <w:tcW w:w="506" w:type="pct"/>
            <w:noWrap/>
            <w:hideMark/>
          </w:tcPr>
          <w:p w14:paraId="2672AAC2" w14:textId="77777777" w:rsidR="00F84B14" w:rsidRPr="00865B57" w:rsidRDefault="00F84B14" w:rsidP="00966A31">
            <w:pPr>
              <w:pStyle w:val="TableText"/>
              <w:keepNext/>
              <w:spacing w:before="0" w:after="0"/>
              <w:jc w:val="right"/>
            </w:pPr>
            <w:r w:rsidRPr="00865B57">
              <w:t>316,196</w:t>
            </w:r>
          </w:p>
        </w:tc>
        <w:tc>
          <w:tcPr>
            <w:tcW w:w="503" w:type="pct"/>
            <w:noWrap/>
            <w:hideMark/>
          </w:tcPr>
          <w:p w14:paraId="180D9FEF" w14:textId="77777777" w:rsidR="00F84B14" w:rsidRPr="00865B57" w:rsidRDefault="00F84B14" w:rsidP="00966A31">
            <w:pPr>
              <w:pStyle w:val="TableText"/>
              <w:keepNext/>
              <w:spacing w:before="0" w:after="0"/>
              <w:jc w:val="right"/>
            </w:pPr>
            <w:r w:rsidRPr="00865B57">
              <w:t>316,930</w:t>
            </w:r>
          </w:p>
        </w:tc>
      </w:tr>
      <w:tr w:rsidR="001267FD" w:rsidRPr="00865B57" w14:paraId="4DDEB9F8" w14:textId="77777777" w:rsidTr="00CA78AE">
        <w:tc>
          <w:tcPr>
            <w:tcW w:w="155" w:type="pct"/>
          </w:tcPr>
          <w:p w14:paraId="32A5CCE3" w14:textId="447E3EA4" w:rsidR="00F84B14" w:rsidRDefault="00F84B14" w:rsidP="00966A31">
            <w:pPr>
              <w:pStyle w:val="TableText"/>
              <w:keepNext/>
              <w:spacing w:before="0" w:after="0"/>
            </w:pPr>
            <w:r>
              <w:t>E</w:t>
            </w:r>
          </w:p>
        </w:tc>
        <w:tc>
          <w:tcPr>
            <w:tcW w:w="1812" w:type="pct"/>
            <w:noWrap/>
            <w:hideMark/>
          </w:tcPr>
          <w:p w14:paraId="40E3CC77" w14:textId="14A5D0CF" w:rsidR="00F84B14" w:rsidRPr="00865B57" w:rsidRDefault="00F84B14" w:rsidP="00966A31">
            <w:pPr>
              <w:pStyle w:val="TableText"/>
              <w:keepNext/>
              <w:spacing w:before="0" w:after="0"/>
            </w:pPr>
            <w:r>
              <w:t>N</w:t>
            </w:r>
            <w:r w:rsidRPr="00865B57">
              <w:t>o. newborns with SCD</w:t>
            </w:r>
            <w:r>
              <w:t xml:space="preserve"> (D × 32.4 per 100,000)</w:t>
            </w:r>
          </w:p>
        </w:tc>
        <w:tc>
          <w:tcPr>
            <w:tcW w:w="506" w:type="pct"/>
            <w:noWrap/>
            <w:hideMark/>
          </w:tcPr>
          <w:p w14:paraId="7E27C43F" w14:textId="77777777" w:rsidR="00F84B14" w:rsidRPr="00865B57" w:rsidRDefault="00F84B14" w:rsidP="00966A31">
            <w:pPr>
              <w:pStyle w:val="TableText"/>
              <w:keepNext/>
              <w:spacing w:before="0" w:after="0"/>
              <w:jc w:val="right"/>
            </w:pPr>
            <w:r w:rsidRPr="00865B57">
              <w:t>107</w:t>
            </w:r>
          </w:p>
        </w:tc>
        <w:tc>
          <w:tcPr>
            <w:tcW w:w="506" w:type="pct"/>
            <w:noWrap/>
            <w:hideMark/>
          </w:tcPr>
          <w:p w14:paraId="56A0AEFA" w14:textId="77777777" w:rsidR="00F84B14" w:rsidRPr="00865B57" w:rsidRDefault="00F84B14" w:rsidP="00966A31">
            <w:pPr>
              <w:pStyle w:val="TableText"/>
              <w:keepNext/>
              <w:spacing w:before="0" w:after="0"/>
              <w:jc w:val="right"/>
            </w:pPr>
            <w:r w:rsidRPr="00865B57">
              <w:t>107</w:t>
            </w:r>
          </w:p>
        </w:tc>
        <w:tc>
          <w:tcPr>
            <w:tcW w:w="506" w:type="pct"/>
            <w:noWrap/>
            <w:hideMark/>
          </w:tcPr>
          <w:p w14:paraId="6D65A407" w14:textId="77777777" w:rsidR="00F84B14" w:rsidRPr="00865B57" w:rsidRDefault="00F84B14" w:rsidP="00966A31">
            <w:pPr>
              <w:pStyle w:val="TableText"/>
              <w:keepNext/>
              <w:spacing w:before="0" w:after="0"/>
              <w:jc w:val="right"/>
            </w:pPr>
            <w:r w:rsidRPr="00865B57">
              <w:t>108</w:t>
            </w:r>
          </w:p>
        </w:tc>
        <w:tc>
          <w:tcPr>
            <w:tcW w:w="506" w:type="pct"/>
            <w:noWrap/>
            <w:hideMark/>
          </w:tcPr>
          <w:p w14:paraId="6F52A05E" w14:textId="77777777" w:rsidR="00F84B14" w:rsidRPr="00865B57" w:rsidRDefault="00F84B14" w:rsidP="00966A31">
            <w:pPr>
              <w:pStyle w:val="TableText"/>
              <w:keepNext/>
              <w:spacing w:before="0" w:after="0"/>
              <w:jc w:val="right"/>
            </w:pPr>
            <w:r w:rsidRPr="00865B57">
              <w:t>108</w:t>
            </w:r>
          </w:p>
        </w:tc>
        <w:tc>
          <w:tcPr>
            <w:tcW w:w="506" w:type="pct"/>
            <w:noWrap/>
            <w:hideMark/>
          </w:tcPr>
          <w:p w14:paraId="4FDF31DB" w14:textId="77777777" w:rsidR="00F84B14" w:rsidRPr="00865B57" w:rsidRDefault="00F84B14" w:rsidP="00966A31">
            <w:pPr>
              <w:pStyle w:val="TableText"/>
              <w:keepNext/>
              <w:spacing w:before="0" w:after="0"/>
              <w:jc w:val="right"/>
            </w:pPr>
            <w:r w:rsidRPr="00865B57">
              <w:t>108</w:t>
            </w:r>
          </w:p>
        </w:tc>
        <w:tc>
          <w:tcPr>
            <w:tcW w:w="503" w:type="pct"/>
            <w:noWrap/>
            <w:hideMark/>
          </w:tcPr>
          <w:p w14:paraId="40887434" w14:textId="77777777" w:rsidR="00F84B14" w:rsidRPr="00865B57" w:rsidRDefault="00F84B14" w:rsidP="00966A31">
            <w:pPr>
              <w:pStyle w:val="TableText"/>
              <w:keepNext/>
              <w:spacing w:before="0" w:after="0"/>
              <w:jc w:val="right"/>
            </w:pPr>
            <w:r w:rsidRPr="00865B57">
              <w:t>108</w:t>
            </w:r>
          </w:p>
        </w:tc>
      </w:tr>
      <w:tr w:rsidR="001267FD" w:rsidRPr="00865B57" w14:paraId="038F221C" w14:textId="77777777" w:rsidTr="00CA78AE">
        <w:tc>
          <w:tcPr>
            <w:tcW w:w="155" w:type="pct"/>
          </w:tcPr>
          <w:p w14:paraId="1411D18F" w14:textId="2BAEC679" w:rsidR="00F84B14" w:rsidRPr="00865B57" w:rsidRDefault="00F84B14" w:rsidP="00966A31">
            <w:pPr>
              <w:pStyle w:val="TableText"/>
              <w:keepNext/>
              <w:spacing w:before="0" w:after="0"/>
            </w:pPr>
            <w:r>
              <w:t>F</w:t>
            </w:r>
          </w:p>
        </w:tc>
        <w:tc>
          <w:tcPr>
            <w:tcW w:w="1812" w:type="pct"/>
            <w:noWrap/>
            <w:hideMark/>
          </w:tcPr>
          <w:p w14:paraId="74913914" w14:textId="0B4806DD" w:rsidR="00F84B14" w:rsidRPr="00865B57" w:rsidRDefault="00F84B14" w:rsidP="00966A31">
            <w:pPr>
              <w:pStyle w:val="TableText"/>
              <w:keepNext/>
              <w:spacing w:before="0" w:after="0"/>
            </w:pPr>
            <w:r w:rsidRPr="00865B57">
              <w:t>No. identified through NBS</w:t>
            </w:r>
            <w:r>
              <w:t xml:space="preserve"> (E × 99.3%</w:t>
            </w:r>
            <w:r w:rsidR="002755E8">
              <w:t xml:space="preserve"> uptake NBS × 100.0% sensitivity of screening</w:t>
            </w:r>
            <w:r>
              <w:t>)</w:t>
            </w:r>
          </w:p>
        </w:tc>
        <w:tc>
          <w:tcPr>
            <w:tcW w:w="506" w:type="pct"/>
            <w:noWrap/>
            <w:hideMark/>
          </w:tcPr>
          <w:p w14:paraId="0247BA3E" w14:textId="77777777" w:rsidR="00F84B14" w:rsidRPr="00865B57" w:rsidRDefault="00F84B14" w:rsidP="00966A31">
            <w:pPr>
              <w:pStyle w:val="TableText"/>
              <w:keepNext/>
              <w:spacing w:before="0" w:after="0"/>
              <w:jc w:val="right"/>
            </w:pPr>
            <w:r w:rsidRPr="00865B57">
              <w:t>106</w:t>
            </w:r>
          </w:p>
        </w:tc>
        <w:tc>
          <w:tcPr>
            <w:tcW w:w="506" w:type="pct"/>
            <w:noWrap/>
            <w:hideMark/>
          </w:tcPr>
          <w:p w14:paraId="14C0874F" w14:textId="77777777" w:rsidR="00F84B14" w:rsidRPr="00865B57" w:rsidRDefault="00F84B14" w:rsidP="00966A31">
            <w:pPr>
              <w:pStyle w:val="TableText"/>
              <w:keepNext/>
              <w:spacing w:before="0" w:after="0"/>
              <w:jc w:val="right"/>
            </w:pPr>
            <w:r w:rsidRPr="00865B57">
              <w:t>107</w:t>
            </w:r>
          </w:p>
        </w:tc>
        <w:tc>
          <w:tcPr>
            <w:tcW w:w="506" w:type="pct"/>
            <w:noWrap/>
            <w:hideMark/>
          </w:tcPr>
          <w:p w14:paraId="3913B0AD" w14:textId="77777777" w:rsidR="00F84B14" w:rsidRPr="00865B57" w:rsidRDefault="00F84B14" w:rsidP="00966A31">
            <w:pPr>
              <w:pStyle w:val="TableText"/>
              <w:keepNext/>
              <w:spacing w:before="0" w:after="0"/>
              <w:jc w:val="right"/>
            </w:pPr>
            <w:r w:rsidRPr="00865B57">
              <w:t>107</w:t>
            </w:r>
          </w:p>
        </w:tc>
        <w:tc>
          <w:tcPr>
            <w:tcW w:w="506" w:type="pct"/>
            <w:noWrap/>
            <w:hideMark/>
          </w:tcPr>
          <w:p w14:paraId="436DB88F" w14:textId="77777777" w:rsidR="00F84B14" w:rsidRPr="00865B57" w:rsidRDefault="00F84B14" w:rsidP="00966A31">
            <w:pPr>
              <w:pStyle w:val="TableText"/>
              <w:keepNext/>
              <w:spacing w:before="0" w:after="0"/>
              <w:jc w:val="right"/>
            </w:pPr>
            <w:r w:rsidRPr="00865B57">
              <w:t>107</w:t>
            </w:r>
          </w:p>
        </w:tc>
        <w:tc>
          <w:tcPr>
            <w:tcW w:w="506" w:type="pct"/>
            <w:noWrap/>
            <w:hideMark/>
          </w:tcPr>
          <w:p w14:paraId="634E2C60" w14:textId="77777777" w:rsidR="00F84B14" w:rsidRPr="00865B57" w:rsidRDefault="00F84B14" w:rsidP="00966A31">
            <w:pPr>
              <w:pStyle w:val="TableText"/>
              <w:keepNext/>
              <w:spacing w:before="0" w:after="0"/>
              <w:jc w:val="right"/>
            </w:pPr>
            <w:r w:rsidRPr="00865B57">
              <w:t>107</w:t>
            </w:r>
          </w:p>
        </w:tc>
        <w:tc>
          <w:tcPr>
            <w:tcW w:w="503" w:type="pct"/>
            <w:noWrap/>
            <w:hideMark/>
          </w:tcPr>
          <w:p w14:paraId="49094454" w14:textId="77777777" w:rsidR="00F84B14" w:rsidRPr="00865B57" w:rsidRDefault="00F84B14" w:rsidP="00966A31">
            <w:pPr>
              <w:pStyle w:val="TableText"/>
              <w:keepNext/>
              <w:spacing w:before="0" w:after="0"/>
              <w:jc w:val="right"/>
            </w:pPr>
            <w:r w:rsidRPr="00865B57">
              <w:t>108</w:t>
            </w:r>
          </w:p>
        </w:tc>
      </w:tr>
      <w:tr w:rsidR="001267FD" w:rsidRPr="00865B57" w14:paraId="3F7D7BB8" w14:textId="77777777" w:rsidTr="00CA78AE">
        <w:tc>
          <w:tcPr>
            <w:tcW w:w="155" w:type="pct"/>
          </w:tcPr>
          <w:p w14:paraId="5F83E2E1" w14:textId="6D3FC8B8" w:rsidR="00F84B14" w:rsidRPr="00865B57" w:rsidRDefault="00F84B14" w:rsidP="00966A31">
            <w:pPr>
              <w:pStyle w:val="TableText"/>
              <w:keepNext/>
              <w:spacing w:before="0" w:after="0"/>
            </w:pPr>
            <w:r>
              <w:t>G</w:t>
            </w:r>
          </w:p>
        </w:tc>
        <w:tc>
          <w:tcPr>
            <w:tcW w:w="1812" w:type="pct"/>
            <w:noWrap/>
            <w:hideMark/>
          </w:tcPr>
          <w:p w14:paraId="251C4C9D" w14:textId="7BC251E9" w:rsidR="00F84B14" w:rsidRPr="00865B57" w:rsidRDefault="00F84B14" w:rsidP="00966A31">
            <w:pPr>
              <w:pStyle w:val="TableText"/>
              <w:keepNext/>
              <w:spacing w:before="0" w:after="0"/>
            </w:pPr>
            <w:r w:rsidRPr="00865B57">
              <w:t xml:space="preserve">No. who </w:t>
            </w:r>
            <w:r w:rsidR="00806964">
              <w:t>–</w:t>
            </w:r>
            <w:r w:rsidRPr="00865B57">
              <w:t xml:space="preserve"> in the absence of NBS </w:t>
            </w:r>
            <w:r w:rsidR="00806964">
              <w:t>–</w:t>
            </w:r>
            <w:r w:rsidRPr="00865B57">
              <w:t xml:space="preserve"> would not have been identified until after symptom development</w:t>
            </w:r>
            <w:r>
              <w:t xml:space="preserve"> (F × 52.3%)</w:t>
            </w:r>
          </w:p>
        </w:tc>
        <w:tc>
          <w:tcPr>
            <w:tcW w:w="506" w:type="pct"/>
            <w:noWrap/>
            <w:hideMark/>
          </w:tcPr>
          <w:p w14:paraId="49B3DE9A" w14:textId="77777777" w:rsidR="00F84B14" w:rsidRPr="00865B57" w:rsidRDefault="00F84B14" w:rsidP="00966A31">
            <w:pPr>
              <w:pStyle w:val="TableText"/>
              <w:keepNext/>
              <w:spacing w:before="0" w:after="0"/>
              <w:jc w:val="right"/>
            </w:pPr>
            <w:r w:rsidRPr="00865B57">
              <w:t>56</w:t>
            </w:r>
          </w:p>
        </w:tc>
        <w:tc>
          <w:tcPr>
            <w:tcW w:w="506" w:type="pct"/>
            <w:noWrap/>
            <w:hideMark/>
          </w:tcPr>
          <w:p w14:paraId="146FA34C" w14:textId="77777777" w:rsidR="00F84B14" w:rsidRPr="00865B57" w:rsidRDefault="00F84B14" w:rsidP="00966A31">
            <w:pPr>
              <w:pStyle w:val="TableText"/>
              <w:keepNext/>
              <w:spacing w:before="0" w:after="0"/>
              <w:jc w:val="right"/>
            </w:pPr>
            <w:r w:rsidRPr="00865B57">
              <w:t>56</w:t>
            </w:r>
          </w:p>
        </w:tc>
        <w:tc>
          <w:tcPr>
            <w:tcW w:w="506" w:type="pct"/>
            <w:noWrap/>
            <w:hideMark/>
          </w:tcPr>
          <w:p w14:paraId="19D85CEC" w14:textId="77777777" w:rsidR="00F84B14" w:rsidRPr="00865B57" w:rsidRDefault="00F84B14" w:rsidP="00966A31">
            <w:pPr>
              <w:pStyle w:val="TableText"/>
              <w:keepNext/>
              <w:spacing w:before="0" w:after="0"/>
              <w:jc w:val="right"/>
            </w:pPr>
            <w:r w:rsidRPr="00865B57">
              <w:t>56</w:t>
            </w:r>
          </w:p>
        </w:tc>
        <w:tc>
          <w:tcPr>
            <w:tcW w:w="506" w:type="pct"/>
            <w:noWrap/>
            <w:hideMark/>
          </w:tcPr>
          <w:p w14:paraId="1C719A0F" w14:textId="77777777" w:rsidR="00F84B14" w:rsidRPr="00865B57" w:rsidRDefault="00F84B14" w:rsidP="00966A31">
            <w:pPr>
              <w:pStyle w:val="TableText"/>
              <w:keepNext/>
              <w:spacing w:before="0" w:after="0"/>
              <w:jc w:val="right"/>
            </w:pPr>
            <w:r w:rsidRPr="00865B57">
              <w:t>56</w:t>
            </w:r>
          </w:p>
        </w:tc>
        <w:tc>
          <w:tcPr>
            <w:tcW w:w="506" w:type="pct"/>
            <w:noWrap/>
            <w:hideMark/>
          </w:tcPr>
          <w:p w14:paraId="4D300080" w14:textId="77777777" w:rsidR="00F84B14" w:rsidRPr="00865B57" w:rsidRDefault="00F84B14" w:rsidP="00966A31">
            <w:pPr>
              <w:pStyle w:val="TableText"/>
              <w:keepNext/>
              <w:spacing w:before="0" w:after="0"/>
              <w:jc w:val="right"/>
            </w:pPr>
            <w:r w:rsidRPr="00865B57">
              <w:t>56</w:t>
            </w:r>
          </w:p>
        </w:tc>
        <w:tc>
          <w:tcPr>
            <w:tcW w:w="503" w:type="pct"/>
            <w:noWrap/>
            <w:hideMark/>
          </w:tcPr>
          <w:p w14:paraId="458FFA2D" w14:textId="77777777" w:rsidR="00F84B14" w:rsidRPr="00865B57" w:rsidRDefault="00F84B14" w:rsidP="00966A31">
            <w:pPr>
              <w:pStyle w:val="TableText"/>
              <w:keepNext/>
              <w:spacing w:before="0" w:after="0"/>
              <w:jc w:val="right"/>
            </w:pPr>
            <w:r w:rsidRPr="00865B57">
              <w:t>56</w:t>
            </w:r>
          </w:p>
        </w:tc>
      </w:tr>
      <w:tr w:rsidR="001267FD" w:rsidRPr="00865B57" w14:paraId="2D1D194E" w14:textId="77777777" w:rsidTr="00CA78AE">
        <w:tc>
          <w:tcPr>
            <w:tcW w:w="155" w:type="pct"/>
          </w:tcPr>
          <w:p w14:paraId="58C1BA6E" w14:textId="788CA9D6" w:rsidR="00F84B14" w:rsidRPr="00865B57" w:rsidRDefault="00826F26" w:rsidP="00966A31">
            <w:pPr>
              <w:pStyle w:val="TableText"/>
              <w:keepNext/>
              <w:spacing w:before="0" w:after="0"/>
            </w:pPr>
            <w:r>
              <w:t>H</w:t>
            </w:r>
          </w:p>
        </w:tc>
        <w:tc>
          <w:tcPr>
            <w:tcW w:w="1812" w:type="pct"/>
            <w:noWrap/>
            <w:hideMark/>
          </w:tcPr>
          <w:p w14:paraId="4C0026D9" w14:textId="3E352C82" w:rsidR="00F84B14" w:rsidRPr="00865B57" w:rsidRDefault="00F84B14" w:rsidP="00966A31">
            <w:pPr>
              <w:pStyle w:val="TableText"/>
              <w:keepNext/>
              <w:spacing w:before="0" w:after="0"/>
            </w:pPr>
            <w:r w:rsidRPr="00865B57">
              <w:t>Reduction in cost of testing on symptom development (</w:t>
            </w:r>
            <w:r>
              <w:t xml:space="preserve">G × </w:t>
            </w:r>
            <w:r w:rsidRPr="00865B57">
              <w:t>$193.20)</w:t>
            </w:r>
          </w:p>
        </w:tc>
        <w:tc>
          <w:tcPr>
            <w:tcW w:w="506" w:type="pct"/>
            <w:noWrap/>
            <w:hideMark/>
          </w:tcPr>
          <w:p w14:paraId="3CDF26FA" w14:textId="77777777" w:rsidR="00F84B14" w:rsidRPr="00865B57" w:rsidRDefault="00F84B14" w:rsidP="00966A31">
            <w:pPr>
              <w:pStyle w:val="TableText"/>
              <w:keepNext/>
              <w:spacing w:before="0" w:after="0"/>
              <w:jc w:val="right"/>
            </w:pPr>
            <w:r w:rsidRPr="00865B57">
              <w:t>$10,743</w:t>
            </w:r>
          </w:p>
        </w:tc>
        <w:tc>
          <w:tcPr>
            <w:tcW w:w="506" w:type="pct"/>
            <w:noWrap/>
            <w:hideMark/>
          </w:tcPr>
          <w:p w14:paraId="57E71DFC" w14:textId="77777777" w:rsidR="00F84B14" w:rsidRPr="00865B57" w:rsidRDefault="00F84B14" w:rsidP="00966A31">
            <w:pPr>
              <w:pStyle w:val="TableText"/>
              <w:keepNext/>
              <w:spacing w:before="0" w:after="0"/>
              <w:jc w:val="right"/>
            </w:pPr>
            <w:r w:rsidRPr="00865B57">
              <w:t>$10,768</w:t>
            </w:r>
          </w:p>
        </w:tc>
        <w:tc>
          <w:tcPr>
            <w:tcW w:w="506" w:type="pct"/>
            <w:noWrap/>
            <w:hideMark/>
          </w:tcPr>
          <w:p w14:paraId="58762C3B" w14:textId="77777777" w:rsidR="00F84B14" w:rsidRPr="00865B57" w:rsidRDefault="00F84B14" w:rsidP="00966A31">
            <w:pPr>
              <w:pStyle w:val="TableText"/>
              <w:keepNext/>
              <w:spacing w:before="0" w:after="0"/>
              <w:jc w:val="right"/>
            </w:pPr>
            <w:r w:rsidRPr="00865B57">
              <w:t>$10,794</w:t>
            </w:r>
          </w:p>
        </w:tc>
        <w:tc>
          <w:tcPr>
            <w:tcW w:w="506" w:type="pct"/>
            <w:noWrap/>
            <w:hideMark/>
          </w:tcPr>
          <w:p w14:paraId="488BAB8D" w14:textId="77777777" w:rsidR="00F84B14" w:rsidRPr="00865B57" w:rsidRDefault="00F84B14" w:rsidP="00966A31">
            <w:pPr>
              <w:pStyle w:val="TableText"/>
              <w:keepNext/>
              <w:spacing w:before="0" w:after="0"/>
              <w:jc w:val="right"/>
            </w:pPr>
            <w:r w:rsidRPr="00865B57">
              <w:t>$10,819</w:t>
            </w:r>
          </w:p>
        </w:tc>
        <w:tc>
          <w:tcPr>
            <w:tcW w:w="506" w:type="pct"/>
            <w:noWrap/>
            <w:hideMark/>
          </w:tcPr>
          <w:p w14:paraId="31410B14" w14:textId="77777777" w:rsidR="00F84B14" w:rsidRPr="00865B57" w:rsidRDefault="00F84B14" w:rsidP="00966A31">
            <w:pPr>
              <w:pStyle w:val="TableText"/>
              <w:keepNext/>
              <w:spacing w:before="0" w:after="0"/>
              <w:jc w:val="right"/>
            </w:pPr>
            <w:r w:rsidRPr="00865B57">
              <w:t>$10,844</w:t>
            </w:r>
          </w:p>
        </w:tc>
        <w:tc>
          <w:tcPr>
            <w:tcW w:w="503" w:type="pct"/>
            <w:noWrap/>
            <w:hideMark/>
          </w:tcPr>
          <w:p w14:paraId="2752C35A" w14:textId="77777777" w:rsidR="00F84B14" w:rsidRPr="00865B57" w:rsidRDefault="00F84B14" w:rsidP="00966A31">
            <w:pPr>
              <w:pStyle w:val="TableText"/>
              <w:keepNext/>
              <w:spacing w:before="0" w:after="0"/>
              <w:jc w:val="right"/>
            </w:pPr>
            <w:r w:rsidRPr="00865B57">
              <w:t>$10,869</w:t>
            </w:r>
          </w:p>
        </w:tc>
      </w:tr>
      <w:tr w:rsidR="00CA78AE" w:rsidRPr="00865B57" w14:paraId="56ACCE41" w14:textId="77777777" w:rsidTr="00CA78AE">
        <w:tc>
          <w:tcPr>
            <w:tcW w:w="5000" w:type="pct"/>
            <w:gridSpan w:val="8"/>
          </w:tcPr>
          <w:p w14:paraId="756C4C02" w14:textId="7A66B5E0" w:rsidR="00CA78AE" w:rsidRPr="00865B57" w:rsidRDefault="00CA78AE" w:rsidP="00966A31">
            <w:pPr>
              <w:pStyle w:val="TableText"/>
              <w:keepNext/>
              <w:spacing w:before="0" w:after="0"/>
            </w:pPr>
            <w:r>
              <w:t>Changes in management due to earlier diagnosis</w:t>
            </w:r>
          </w:p>
        </w:tc>
      </w:tr>
      <w:tr w:rsidR="001267FD" w:rsidRPr="00865B57" w14:paraId="56E73ABF" w14:textId="77777777" w:rsidTr="00CA78AE">
        <w:tc>
          <w:tcPr>
            <w:tcW w:w="155" w:type="pct"/>
          </w:tcPr>
          <w:p w14:paraId="0D219668" w14:textId="442416DB" w:rsidR="00BC12AE" w:rsidRPr="00865B57" w:rsidRDefault="00BC12AE" w:rsidP="00966A31">
            <w:pPr>
              <w:pStyle w:val="TableText"/>
              <w:keepNext/>
              <w:spacing w:before="0" w:after="0"/>
            </w:pPr>
            <w:r>
              <w:t>I</w:t>
            </w:r>
          </w:p>
        </w:tc>
        <w:tc>
          <w:tcPr>
            <w:tcW w:w="1812" w:type="pct"/>
            <w:noWrap/>
            <w:hideMark/>
          </w:tcPr>
          <w:p w14:paraId="06907DE8" w14:textId="131AF48C" w:rsidR="00BC12AE" w:rsidRPr="00865B57" w:rsidRDefault="00BC12AE" w:rsidP="00966A31">
            <w:pPr>
              <w:pStyle w:val="TableText"/>
              <w:keepNext/>
              <w:spacing w:before="0" w:after="0"/>
            </w:pPr>
            <w:r w:rsidRPr="00865B57">
              <w:t>Increase in use of hydroxyurea in cases identified before symptom development (</w:t>
            </w:r>
            <w:r>
              <w:t>G × $75.57</w:t>
            </w:r>
            <w:r w:rsidR="00CF2466" w:rsidRPr="00CF2466">
              <w:rPr>
                <w:vertAlign w:val="superscript"/>
              </w:rPr>
              <w:t>a</w:t>
            </w:r>
            <w:r>
              <w:t xml:space="preserve">) </w:t>
            </w:r>
          </w:p>
        </w:tc>
        <w:tc>
          <w:tcPr>
            <w:tcW w:w="506" w:type="pct"/>
            <w:noWrap/>
          </w:tcPr>
          <w:p w14:paraId="703AE4BA" w14:textId="2C346308" w:rsidR="00BC12AE" w:rsidRPr="00865B57" w:rsidRDefault="00BC12AE" w:rsidP="00966A31">
            <w:pPr>
              <w:pStyle w:val="TableText"/>
              <w:keepNext/>
              <w:spacing w:before="0" w:after="0"/>
              <w:jc w:val="right"/>
            </w:pPr>
            <w:r w:rsidRPr="00B92474">
              <w:t>$4,202</w:t>
            </w:r>
          </w:p>
        </w:tc>
        <w:tc>
          <w:tcPr>
            <w:tcW w:w="506" w:type="pct"/>
            <w:noWrap/>
          </w:tcPr>
          <w:p w14:paraId="1E659D4C" w14:textId="70C7E506" w:rsidR="00BC12AE" w:rsidRPr="00865B57" w:rsidRDefault="00BC12AE" w:rsidP="00966A31">
            <w:pPr>
              <w:pStyle w:val="TableText"/>
              <w:keepNext/>
              <w:spacing w:before="0" w:after="0"/>
              <w:jc w:val="right"/>
            </w:pPr>
            <w:r w:rsidRPr="00B92474">
              <w:t>$4,212</w:t>
            </w:r>
          </w:p>
        </w:tc>
        <w:tc>
          <w:tcPr>
            <w:tcW w:w="506" w:type="pct"/>
            <w:noWrap/>
          </w:tcPr>
          <w:p w14:paraId="3B502B7A" w14:textId="3FA9FD15" w:rsidR="00BC12AE" w:rsidRPr="00865B57" w:rsidRDefault="00BC12AE" w:rsidP="00966A31">
            <w:pPr>
              <w:pStyle w:val="TableText"/>
              <w:keepNext/>
              <w:spacing w:before="0" w:after="0"/>
              <w:jc w:val="right"/>
            </w:pPr>
            <w:r w:rsidRPr="00B92474">
              <w:t>$4,222</w:t>
            </w:r>
          </w:p>
        </w:tc>
        <w:tc>
          <w:tcPr>
            <w:tcW w:w="506" w:type="pct"/>
            <w:noWrap/>
          </w:tcPr>
          <w:p w14:paraId="0DA0AA03" w14:textId="775EE9AA" w:rsidR="00BC12AE" w:rsidRPr="00865B57" w:rsidRDefault="00BC12AE" w:rsidP="00966A31">
            <w:pPr>
              <w:pStyle w:val="TableText"/>
              <w:keepNext/>
              <w:spacing w:before="0" w:after="0"/>
              <w:jc w:val="right"/>
            </w:pPr>
            <w:r w:rsidRPr="00B92474">
              <w:t>$4,232</w:t>
            </w:r>
          </w:p>
        </w:tc>
        <w:tc>
          <w:tcPr>
            <w:tcW w:w="506" w:type="pct"/>
            <w:noWrap/>
          </w:tcPr>
          <w:p w14:paraId="67A6DB87" w14:textId="0F371333" w:rsidR="00BC12AE" w:rsidRPr="00865B57" w:rsidRDefault="00BC12AE" w:rsidP="00966A31">
            <w:pPr>
              <w:pStyle w:val="TableText"/>
              <w:keepNext/>
              <w:spacing w:before="0" w:after="0"/>
              <w:jc w:val="right"/>
            </w:pPr>
            <w:r w:rsidRPr="00B92474">
              <w:t>$4,241</w:t>
            </w:r>
          </w:p>
        </w:tc>
        <w:tc>
          <w:tcPr>
            <w:tcW w:w="503" w:type="pct"/>
            <w:noWrap/>
          </w:tcPr>
          <w:p w14:paraId="0740AADB" w14:textId="4EE8497E" w:rsidR="00BC12AE" w:rsidRPr="00865B57" w:rsidRDefault="00BC12AE" w:rsidP="00966A31">
            <w:pPr>
              <w:pStyle w:val="TableText"/>
              <w:keepNext/>
              <w:spacing w:before="0" w:after="0"/>
              <w:jc w:val="right"/>
            </w:pPr>
            <w:r w:rsidRPr="00B92474">
              <w:t>$4,251</w:t>
            </w:r>
          </w:p>
        </w:tc>
      </w:tr>
      <w:tr w:rsidR="001267FD" w:rsidRPr="00865B57" w14:paraId="2F721526" w14:textId="77777777" w:rsidTr="00CA78AE">
        <w:tc>
          <w:tcPr>
            <w:tcW w:w="155" w:type="pct"/>
          </w:tcPr>
          <w:p w14:paraId="22525B9D" w14:textId="26F19347" w:rsidR="00F84B14" w:rsidRPr="00865B57" w:rsidRDefault="00D90F33" w:rsidP="00966A31">
            <w:pPr>
              <w:pStyle w:val="TableText"/>
              <w:keepNext/>
              <w:spacing w:before="0" w:after="0"/>
            </w:pPr>
            <w:r>
              <w:t>J</w:t>
            </w:r>
          </w:p>
        </w:tc>
        <w:tc>
          <w:tcPr>
            <w:tcW w:w="1812" w:type="pct"/>
            <w:noWrap/>
            <w:hideMark/>
          </w:tcPr>
          <w:p w14:paraId="7FC58B26" w14:textId="0797CD8C" w:rsidR="00F84B14" w:rsidRPr="00865B57" w:rsidRDefault="00F84B14" w:rsidP="00966A31">
            <w:pPr>
              <w:pStyle w:val="TableText"/>
              <w:keepNext/>
              <w:spacing w:before="0" w:after="0"/>
            </w:pPr>
            <w:r w:rsidRPr="00865B57">
              <w:t>Increase in prophylactic antibiotic use in cases identified earlier (</w:t>
            </w:r>
            <w:r w:rsidR="00223E10">
              <w:t>G × $132.71</w:t>
            </w:r>
            <w:r w:rsidR="00BB6D1D" w:rsidRPr="00BB6D1D">
              <w:rPr>
                <w:vertAlign w:val="superscript"/>
              </w:rPr>
              <w:t>b</w:t>
            </w:r>
            <w:r w:rsidRPr="00865B57">
              <w:t>)</w:t>
            </w:r>
          </w:p>
        </w:tc>
        <w:tc>
          <w:tcPr>
            <w:tcW w:w="506" w:type="pct"/>
            <w:noWrap/>
            <w:hideMark/>
          </w:tcPr>
          <w:p w14:paraId="587821DF" w14:textId="16212D42" w:rsidR="00F84B14" w:rsidRPr="00865B57" w:rsidRDefault="00F84B14" w:rsidP="00966A31">
            <w:pPr>
              <w:pStyle w:val="TableText"/>
              <w:keepNext/>
              <w:spacing w:before="0" w:after="0"/>
              <w:jc w:val="right"/>
            </w:pPr>
            <w:r w:rsidRPr="00865B57">
              <w:t>$7,380</w:t>
            </w:r>
          </w:p>
        </w:tc>
        <w:tc>
          <w:tcPr>
            <w:tcW w:w="506" w:type="pct"/>
            <w:noWrap/>
            <w:hideMark/>
          </w:tcPr>
          <w:p w14:paraId="13B8459A" w14:textId="77777777" w:rsidR="00F84B14" w:rsidRPr="00865B57" w:rsidRDefault="00F84B14" w:rsidP="00966A31">
            <w:pPr>
              <w:pStyle w:val="TableText"/>
              <w:keepNext/>
              <w:spacing w:before="0" w:after="0"/>
              <w:jc w:val="right"/>
            </w:pPr>
            <w:r w:rsidRPr="00865B57">
              <w:t>$7,397</w:t>
            </w:r>
          </w:p>
        </w:tc>
        <w:tc>
          <w:tcPr>
            <w:tcW w:w="506" w:type="pct"/>
            <w:noWrap/>
            <w:hideMark/>
          </w:tcPr>
          <w:p w14:paraId="1F52D367" w14:textId="77777777" w:rsidR="00F84B14" w:rsidRPr="00865B57" w:rsidRDefault="00F84B14" w:rsidP="00966A31">
            <w:pPr>
              <w:pStyle w:val="TableText"/>
              <w:keepNext/>
              <w:spacing w:before="0" w:after="0"/>
              <w:jc w:val="right"/>
            </w:pPr>
            <w:r w:rsidRPr="00865B57">
              <w:t>$7,414</w:t>
            </w:r>
          </w:p>
        </w:tc>
        <w:tc>
          <w:tcPr>
            <w:tcW w:w="506" w:type="pct"/>
            <w:noWrap/>
            <w:hideMark/>
          </w:tcPr>
          <w:p w14:paraId="4784E192" w14:textId="77777777" w:rsidR="00F84B14" w:rsidRPr="00865B57" w:rsidRDefault="00F84B14" w:rsidP="00966A31">
            <w:pPr>
              <w:pStyle w:val="TableText"/>
              <w:keepNext/>
              <w:spacing w:before="0" w:after="0"/>
              <w:jc w:val="right"/>
            </w:pPr>
            <w:r w:rsidRPr="00865B57">
              <w:t>$7,432</w:t>
            </w:r>
          </w:p>
        </w:tc>
        <w:tc>
          <w:tcPr>
            <w:tcW w:w="506" w:type="pct"/>
            <w:noWrap/>
            <w:hideMark/>
          </w:tcPr>
          <w:p w14:paraId="4FCE7EFF" w14:textId="77777777" w:rsidR="00F84B14" w:rsidRPr="00865B57" w:rsidRDefault="00F84B14" w:rsidP="00966A31">
            <w:pPr>
              <w:pStyle w:val="TableText"/>
              <w:keepNext/>
              <w:spacing w:before="0" w:after="0"/>
              <w:jc w:val="right"/>
            </w:pPr>
            <w:r w:rsidRPr="00865B57">
              <w:t>$7,449</w:t>
            </w:r>
          </w:p>
        </w:tc>
        <w:tc>
          <w:tcPr>
            <w:tcW w:w="503" w:type="pct"/>
            <w:noWrap/>
            <w:hideMark/>
          </w:tcPr>
          <w:p w14:paraId="3FEAD820" w14:textId="77777777" w:rsidR="00F84B14" w:rsidRPr="00865B57" w:rsidRDefault="00F84B14" w:rsidP="00966A31">
            <w:pPr>
              <w:pStyle w:val="TableText"/>
              <w:keepNext/>
              <w:spacing w:before="0" w:after="0"/>
              <w:jc w:val="right"/>
            </w:pPr>
            <w:r w:rsidRPr="00865B57">
              <w:t>$7,466</w:t>
            </w:r>
          </w:p>
        </w:tc>
      </w:tr>
      <w:tr w:rsidR="001267FD" w:rsidRPr="00865B57" w14:paraId="5B341F49" w14:textId="77777777" w:rsidTr="00CA78AE">
        <w:tc>
          <w:tcPr>
            <w:tcW w:w="155" w:type="pct"/>
          </w:tcPr>
          <w:p w14:paraId="4B8E4BEE" w14:textId="7480D71A" w:rsidR="00F8318A" w:rsidRPr="00865B57" w:rsidRDefault="00D90F33" w:rsidP="00966A31">
            <w:pPr>
              <w:pStyle w:val="TableText"/>
              <w:keepNext/>
              <w:spacing w:before="0" w:after="0"/>
            </w:pPr>
            <w:r>
              <w:t>K</w:t>
            </w:r>
          </w:p>
        </w:tc>
        <w:tc>
          <w:tcPr>
            <w:tcW w:w="1812" w:type="pct"/>
            <w:noWrap/>
          </w:tcPr>
          <w:p w14:paraId="2D03BC1C" w14:textId="109632E6" w:rsidR="00F8318A" w:rsidRPr="00865B57" w:rsidRDefault="00F8318A" w:rsidP="00966A31">
            <w:pPr>
              <w:pStyle w:val="TableText"/>
              <w:keepNext/>
              <w:spacing w:before="0" w:after="0"/>
            </w:pPr>
            <w:r>
              <w:t>No. SCD cases identified earlier, age &gt;1</w:t>
            </w:r>
          </w:p>
        </w:tc>
        <w:tc>
          <w:tcPr>
            <w:tcW w:w="506" w:type="pct"/>
            <w:noWrap/>
          </w:tcPr>
          <w:p w14:paraId="03543F10" w14:textId="56FEFD00" w:rsidR="00F8318A" w:rsidRPr="00865B57" w:rsidRDefault="00F8318A" w:rsidP="00966A31">
            <w:pPr>
              <w:pStyle w:val="TableText"/>
              <w:keepNext/>
              <w:spacing w:before="0" w:after="0"/>
              <w:jc w:val="right"/>
            </w:pPr>
            <w:r>
              <w:t>−</w:t>
            </w:r>
          </w:p>
        </w:tc>
        <w:tc>
          <w:tcPr>
            <w:tcW w:w="506" w:type="pct"/>
            <w:noWrap/>
          </w:tcPr>
          <w:p w14:paraId="520407D4" w14:textId="5B76A88F" w:rsidR="00F8318A" w:rsidRPr="00865B57" w:rsidRDefault="00F8318A" w:rsidP="00966A31">
            <w:pPr>
              <w:pStyle w:val="TableText"/>
              <w:keepNext/>
              <w:spacing w:before="0" w:after="0"/>
              <w:jc w:val="right"/>
            </w:pPr>
            <w:r w:rsidRPr="00E94666">
              <w:t>56</w:t>
            </w:r>
          </w:p>
        </w:tc>
        <w:tc>
          <w:tcPr>
            <w:tcW w:w="506" w:type="pct"/>
            <w:noWrap/>
          </w:tcPr>
          <w:p w14:paraId="7FAD20A3" w14:textId="722D52B5" w:rsidR="00F8318A" w:rsidRPr="00865B57" w:rsidRDefault="00F8318A" w:rsidP="00966A31">
            <w:pPr>
              <w:pStyle w:val="TableText"/>
              <w:keepNext/>
              <w:spacing w:before="0" w:after="0"/>
              <w:jc w:val="right"/>
            </w:pPr>
            <w:r w:rsidRPr="00E94666">
              <w:t>111</w:t>
            </w:r>
          </w:p>
        </w:tc>
        <w:tc>
          <w:tcPr>
            <w:tcW w:w="506" w:type="pct"/>
            <w:noWrap/>
          </w:tcPr>
          <w:p w14:paraId="2FCA0F24" w14:textId="4FCAE503" w:rsidR="00F8318A" w:rsidRPr="00865B57" w:rsidRDefault="00F8318A" w:rsidP="00966A31">
            <w:pPr>
              <w:pStyle w:val="TableText"/>
              <w:keepNext/>
              <w:spacing w:before="0" w:after="0"/>
              <w:jc w:val="right"/>
            </w:pPr>
            <w:r w:rsidRPr="00E94666">
              <w:t>167</w:t>
            </w:r>
          </w:p>
        </w:tc>
        <w:tc>
          <w:tcPr>
            <w:tcW w:w="506" w:type="pct"/>
            <w:noWrap/>
          </w:tcPr>
          <w:p w14:paraId="75B3B0B7" w14:textId="35C0764A" w:rsidR="00F8318A" w:rsidRPr="00865B57" w:rsidRDefault="00F8318A" w:rsidP="00966A31">
            <w:pPr>
              <w:pStyle w:val="TableText"/>
              <w:keepNext/>
              <w:spacing w:before="0" w:after="0"/>
              <w:jc w:val="right"/>
            </w:pPr>
            <w:r w:rsidRPr="00E94666">
              <w:t>223</w:t>
            </w:r>
          </w:p>
        </w:tc>
        <w:tc>
          <w:tcPr>
            <w:tcW w:w="503" w:type="pct"/>
            <w:noWrap/>
          </w:tcPr>
          <w:p w14:paraId="098F581E" w14:textId="3386B253" w:rsidR="00F8318A" w:rsidRPr="00865B57" w:rsidRDefault="00F8318A" w:rsidP="00966A31">
            <w:pPr>
              <w:pStyle w:val="TableText"/>
              <w:keepNext/>
              <w:spacing w:before="0" w:after="0"/>
              <w:jc w:val="right"/>
            </w:pPr>
            <w:r w:rsidRPr="00E94666">
              <w:t>279</w:t>
            </w:r>
          </w:p>
        </w:tc>
      </w:tr>
      <w:tr w:rsidR="001267FD" w:rsidRPr="00865B57" w14:paraId="130C5A78" w14:textId="77777777" w:rsidTr="00CA78AE">
        <w:tc>
          <w:tcPr>
            <w:tcW w:w="155" w:type="pct"/>
          </w:tcPr>
          <w:p w14:paraId="0CA465CC" w14:textId="6F71139F" w:rsidR="00F84B14" w:rsidRPr="00865B57" w:rsidRDefault="00D90F33" w:rsidP="00966A31">
            <w:pPr>
              <w:pStyle w:val="TableText"/>
              <w:keepNext/>
              <w:spacing w:before="0" w:after="0"/>
            </w:pPr>
            <w:r>
              <w:t>L</w:t>
            </w:r>
          </w:p>
        </w:tc>
        <w:tc>
          <w:tcPr>
            <w:tcW w:w="1812" w:type="pct"/>
            <w:noWrap/>
            <w:hideMark/>
          </w:tcPr>
          <w:p w14:paraId="46A21E42" w14:textId="4D753657" w:rsidR="00F84B14" w:rsidRPr="00865B57" w:rsidRDefault="00F84B14" w:rsidP="00966A31">
            <w:pPr>
              <w:pStyle w:val="TableText"/>
              <w:keepNext/>
              <w:spacing w:before="0" w:after="0"/>
            </w:pPr>
            <w:r w:rsidRPr="00865B57">
              <w:t>Ongoing higher</w:t>
            </w:r>
            <w:r w:rsidR="004231AD">
              <w:t xml:space="preserve"> prophylactic antibiotic</w:t>
            </w:r>
            <w:r w:rsidRPr="00865B57">
              <w:t xml:space="preserve"> use (</w:t>
            </w:r>
            <w:r w:rsidR="00823EC9">
              <w:t xml:space="preserve">K × </w:t>
            </w:r>
            <w:r w:rsidR="004231AD">
              <w:t xml:space="preserve">19.3% × </w:t>
            </w:r>
            <w:r w:rsidR="00D90F33">
              <w:t>$189.49</w:t>
            </w:r>
            <w:r w:rsidRPr="00865B57">
              <w:t>)</w:t>
            </w:r>
          </w:p>
        </w:tc>
        <w:tc>
          <w:tcPr>
            <w:tcW w:w="506" w:type="pct"/>
            <w:noWrap/>
            <w:hideMark/>
          </w:tcPr>
          <w:p w14:paraId="546FA071" w14:textId="69BAFC07" w:rsidR="00F84B14" w:rsidRPr="00865B57" w:rsidRDefault="00823EC9" w:rsidP="00966A31">
            <w:pPr>
              <w:pStyle w:val="TableText"/>
              <w:keepNext/>
              <w:spacing w:before="0" w:after="0"/>
              <w:jc w:val="right"/>
            </w:pPr>
            <w:r>
              <w:t>−</w:t>
            </w:r>
          </w:p>
        </w:tc>
        <w:tc>
          <w:tcPr>
            <w:tcW w:w="506" w:type="pct"/>
            <w:noWrap/>
            <w:hideMark/>
          </w:tcPr>
          <w:p w14:paraId="596B006B" w14:textId="77777777" w:rsidR="00F84B14" w:rsidRPr="00865B57" w:rsidRDefault="00F84B14" w:rsidP="00966A31">
            <w:pPr>
              <w:pStyle w:val="TableText"/>
              <w:keepNext/>
              <w:spacing w:before="0" w:after="0"/>
              <w:jc w:val="right"/>
            </w:pPr>
            <w:r w:rsidRPr="00865B57">
              <w:t>$2,034</w:t>
            </w:r>
          </w:p>
        </w:tc>
        <w:tc>
          <w:tcPr>
            <w:tcW w:w="506" w:type="pct"/>
            <w:noWrap/>
            <w:hideMark/>
          </w:tcPr>
          <w:p w14:paraId="78FBDBE3" w14:textId="77777777" w:rsidR="00F84B14" w:rsidRPr="00865B57" w:rsidRDefault="00F84B14" w:rsidP="00966A31">
            <w:pPr>
              <w:pStyle w:val="TableText"/>
              <w:keepNext/>
              <w:spacing w:before="0" w:after="0"/>
              <w:jc w:val="right"/>
            </w:pPr>
            <w:r w:rsidRPr="00865B57">
              <w:t>$4,072</w:t>
            </w:r>
          </w:p>
        </w:tc>
        <w:tc>
          <w:tcPr>
            <w:tcW w:w="506" w:type="pct"/>
            <w:noWrap/>
            <w:hideMark/>
          </w:tcPr>
          <w:p w14:paraId="712F9D8E" w14:textId="77777777" w:rsidR="00F84B14" w:rsidRPr="00865B57" w:rsidRDefault="00F84B14" w:rsidP="00966A31">
            <w:pPr>
              <w:pStyle w:val="TableText"/>
              <w:keepNext/>
              <w:spacing w:before="0" w:after="0"/>
              <w:jc w:val="right"/>
            </w:pPr>
            <w:r w:rsidRPr="00865B57">
              <w:t>$6,115</w:t>
            </w:r>
          </w:p>
        </w:tc>
        <w:tc>
          <w:tcPr>
            <w:tcW w:w="506" w:type="pct"/>
            <w:noWrap/>
            <w:hideMark/>
          </w:tcPr>
          <w:p w14:paraId="4ABC47CC" w14:textId="77777777" w:rsidR="00F84B14" w:rsidRPr="00865B57" w:rsidRDefault="00F84B14" w:rsidP="00966A31">
            <w:pPr>
              <w:pStyle w:val="TableText"/>
              <w:keepNext/>
              <w:spacing w:before="0" w:after="0"/>
              <w:jc w:val="right"/>
            </w:pPr>
            <w:r w:rsidRPr="00865B57">
              <w:t>$8,163</w:t>
            </w:r>
          </w:p>
        </w:tc>
        <w:tc>
          <w:tcPr>
            <w:tcW w:w="503" w:type="pct"/>
            <w:noWrap/>
            <w:hideMark/>
          </w:tcPr>
          <w:p w14:paraId="341B36A6" w14:textId="77777777" w:rsidR="00F84B14" w:rsidRPr="00865B57" w:rsidRDefault="00F84B14" w:rsidP="00966A31">
            <w:pPr>
              <w:pStyle w:val="TableText"/>
              <w:keepNext/>
              <w:spacing w:before="0" w:after="0"/>
              <w:jc w:val="right"/>
            </w:pPr>
            <w:r w:rsidRPr="00865B57">
              <w:t>$10,216</w:t>
            </w:r>
          </w:p>
        </w:tc>
      </w:tr>
      <w:tr w:rsidR="001267FD" w:rsidRPr="00865B57" w14:paraId="6D2300E8" w14:textId="77777777" w:rsidTr="00CA78AE">
        <w:tc>
          <w:tcPr>
            <w:tcW w:w="155" w:type="pct"/>
          </w:tcPr>
          <w:p w14:paraId="18D1B1D4" w14:textId="01836086" w:rsidR="00141533" w:rsidRDefault="00CC1834" w:rsidP="00966A31">
            <w:pPr>
              <w:pStyle w:val="TableText"/>
              <w:keepNext/>
              <w:spacing w:before="0" w:after="0"/>
            </w:pPr>
            <w:r>
              <w:t>M</w:t>
            </w:r>
          </w:p>
        </w:tc>
        <w:tc>
          <w:tcPr>
            <w:tcW w:w="1812" w:type="pct"/>
            <w:noWrap/>
          </w:tcPr>
          <w:p w14:paraId="3F9FE20A" w14:textId="2E85936A" w:rsidR="00141533" w:rsidRPr="00865B57" w:rsidRDefault="00141533" w:rsidP="00966A31">
            <w:pPr>
              <w:pStyle w:val="TableText"/>
              <w:keepNext/>
              <w:spacing w:before="0" w:after="0"/>
            </w:pPr>
            <w:r>
              <w:t>Cumulative no. cases identified earlier</w:t>
            </w:r>
            <w:r w:rsidR="00C5409C">
              <w:t xml:space="preserve"> (G + K)</w:t>
            </w:r>
          </w:p>
        </w:tc>
        <w:tc>
          <w:tcPr>
            <w:tcW w:w="506" w:type="pct"/>
            <w:noWrap/>
          </w:tcPr>
          <w:p w14:paraId="73AF732B" w14:textId="5B924392" w:rsidR="00141533" w:rsidRDefault="00141533" w:rsidP="00966A31">
            <w:pPr>
              <w:pStyle w:val="TableText"/>
              <w:keepNext/>
              <w:spacing w:before="0" w:after="0"/>
              <w:jc w:val="right"/>
            </w:pPr>
            <w:r w:rsidRPr="00907CF9">
              <w:t>56</w:t>
            </w:r>
          </w:p>
        </w:tc>
        <w:tc>
          <w:tcPr>
            <w:tcW w:w="506" w:type="pct"/>
            <w:noWrap/>
          </w:tcPr>
          <w:p w14:paraId="2CE23B26" w14:textId="15372177" w:rsidR="00141533" w:rsidRPr="00865B57" w:rsidRDefault="00141533" w:rsidP="00966A31">
            <w:pPr>
              <w:pStyle w:val="TableText"/>
              <w:keepNext/>
              <w:spacing w:before="0" w:after="0"/>
              <w:jc w:val="right"/>
            </w:pPr>
            <w:r w:rsidRPr="00907CF9">
              <w:t>111</w:t>
            </w:r>
          </w:p>
        </w:tc>
        <w:tc>
          <w:tcPr>
            <w:tcW w:w="506" w:type="pct"/>
            <w:noWrap/>
          </w:tcPr>
          <w:p w14:paraId="7E03E476" w14:textId="7F0B9B82" w:rsidR="00141533" w:rsidRPr="00865B57" w:rsidRDefault="00141533" w:rsidP="00966A31">
            <w:pPr>
              <w:pStyle w:val="TableText"/>
              <w:keepNext/>
              <w:spacing w:before="0" w:after="0"/>
              <w:jc w:val="right"/>
            </w:pPr>
            <w:r w:rsidRPr="00907CF9">
              <w:t>167</w:t>
            </w:r>
          </w:p>
        </w:tc>
        <w:tc>
          <w:tcPr>
            <w:tcW w:w="506" w:type="pct"/>
            <w:noWrap/>
          </w:tcPr>
          <w:p w14:paraId="766083E4" w14:textId="7B59BCCA" w:rsidR="00141533" w:rsidRPr="00865B57" w:rsidRDefault="00141533" w:rsidP="00966A31">
            <w:pPr>
              <w:pStyle w:val="TableText"/>
              <w:keepNext/>
              <w:spacing w:before="0" w:after="0"/>
              <w:jc w:val="right"/>
            </w:pPr>
            <w:r w:rsidRPr="00907CF9">
              <w:t>223</w:t>
            </w:r>
          </w:p>
        </w:tc>
        <w:tc>
          <w:tcPr>
            <w:tcW w:w="506" w:type="pct"/>
            <w:noWrap/>
          </w:tcPr>
          <w:p w14:paraId="6FB0B9F0" w14:textId="3CAC873F" w:rsidR="00141533" w:rsidRPr="00865B57" w:rsidRDefault="00141533" w:rsidP="00966A31">
            <w:pPr>
              <w:pStyle w:val="TableText"/>
              <w:keepNext/>
              <w:spacing w:before="0" w:after="0"/>
              <w:jc w:val="right"/>
            </w:pPr>
            <w:r w:rsidRPr="00907CF9">
              <w:t>279</w:t>
            </w:r>
          </w:p>
        </w:tc>
        <w:tc>
          <w:tcPr>
            <w:tcW w:w="503" w:type="pct"/>
            <w:noWrap/>
          </w:tcPr>
          <w:p w14:paraId="69DA0C9E" w14:textId="41CD4B16" w:rsidR="00141533" w:rsidRPr="00865B57" w:rsidRDefault="00141533" w:rsidP="00966A31">
            <w:pPr>
              <w:pStyle w:val="TableText"/>
              <w:keepNext/>
              <w:spacing w:before="0" w:after="0"/>
              <w:jc w:val="right"/>
            </w:pPr>
            <w:r w:rsidRPr="00907CF9">
              <w:t>336</w:t>
            </w:r>
          </w:p>
        </w:tc>
      </w:tr>
      <w:tr w:rsidR="001267FD" w:rsidRPr="00865B57" w14:paraId="03FC8FAA" w14:textId="77777777" w:rsidTr="00CA78AE">
        <w:tc>
          <w:tcPr>
            <w:tcW w:w="155" w:type="pct"/>
          </w:tcPr>
          <w:p w14:paraId="485578C1" w14:textId="19A03B55" w:rsidR="00741451" w:rsidRDefault="00CC1834" w:rsidP="00966A31">
            <w:pPr>
              <w:pStyle w:val="TableText"/>
              <w:keepNext/>
              <w:spacing w:before="0" w:after="0"/>
            </w:pPr>
            <w:r>
              <w:t>N</w:t>
            </w:r>
          </w:p>
        </w:tc>
        <w:tc>
          <w:tcPr>
            <w:tcW w:w="1812" w:type="pct"/>
            <w:noWrap/>
          </w:tcPr>
          <w:p w14:paraId="12067230" w14:textId="05C7E943" w:rsidR="00741451" w:rsidRPr="00865B57" w:rsidRDefault="00741451" w:rsidP="00966A31">
            <w:pPr>
              <w:pStyle w:val="TableText"/>
              <w:keepNext/>
              <w:spacing w:before="0" w:after="0"/>
            </w:pPr>
            <w:r w:rsidRPr="00865B57">
              <w:t xml:space="preserve">Increase in </w:t>
            </w:r>
            <w:r>
              <w:t xml:space="preserve">annual </w:t>
            </w:r>
            <w:r w:rsidRPr="00865B57">
              <w:t xml:space="preserve">TCD use </w:t>
            </w:r>
            <w:r w:rsidR="00173256">
              <w:br/>
            </w:r>
            <w:r w:rsidRPr="00865B57">
              <w:t>(</w:t>
            </w:r>
            <w:r w:rsidR="00CC1834">
              <w:t>M × </w:t>
            </w:r>
            <w:r>
              <w:t xml:space="preserve">28.0% </w:t>
            </w:r>
            <w:r w:rsidRPr="00865B57">
              <w:t xml:space="preserve">in newborns from age 2) </w:t>
            </w:r>
          </w:p>
        </w:tc>
        <w:tc>
          <w:tcPr>
            <w:tcW w:w="506" w:type="pct"/>
            <w:noWrap/>
          </w:tcPr>
          <w:p w14:paraId="1C574866" w14:textId="705BBBE9" w:rsidR="00741451" w:rsidRDefault="00741451" w:rsidP="00966A31">
            <w:pPr>
              <w:pStyle w:val="TableText"/>
              <w:keepNext/>
              <w:spacing w:before="0" w:after="0"/>
              <w:jc w:val="right"/>
            </w:pPr>
            <w:r w:rsidRPr="005D1A91">
              <w:t>−</w:t>
            </w:r>
          </w:p>
        </w:tc>
        <w:tc>
          <w:tcPr>
            <w:tcW w:w="506" w:type="pct"/>
            <w:noWrap/>
          </w:tcPr>
          <w:p w14:paraId="5B8123EE" w14:textId="0A44DF8C" w:rsidR="00741451" w:rsidRPr="00865B57" w:rsidRDefault="00741451" w:rsidP="00966A31">
            <w:pPr>
              <w:pStyle w:val="TableText"/>
              <w:keepNext/>
              <w:spacing w:before="0" w:after="0"/>
              <w:jc w:val="right"/>
            </w:pPr>
            <w:r w:rsidRPr="005D1A91">
              <w:t>−</w:t>
            </w:r>
          </w:p>
        </w:tc>
        <w:tc>
          <w:tcPr>
            <w:tcW w:w="506" w:type="pct"/>
            <w:noWrap/>
          </w:tcPr>
          <w:p w14:paraId="044C481E" w14:textId="1622BB85" w:rsidR="00741451" w:rsidRPr="00865B57" w:rsidRDefault="00741451" w:rsidP="00966A31">
            <w:pPr>
              <w:pStyle w:val="TableText"/>
              <w:keepNext/>
              <w:spacing w:before="0" w:after="0"/>
              <w:jc w:val="right"/>
            </w:pPr>
            <w:r w:rsidRPr="00865B57">
              <w:t>16</w:t>
            </w:r>
          </w:p>
        </w:tc>
        <w:tc>
          <w:tcPr>
            <w:tcW w:w="506" w:type="pct"/>
            <w:noWrap/>
          </w:tcPr>
          <w:p w14:paraId="7D775487" w14:textId="57623760" w:rsidR="00741451" w:rsidRPr="00865B57" w:rsidRDefault="00741451" w:rsidP="00966A31">
            <w:pPr>
              <w:pStyle w:val="TableText"/>
              <w:keepNext/>
              <w:spacing w:before="0" w:after="0"/>
              <w:jc w:val="right"/>
            </w:pPr>
            <w:r w:rsidRPr="00865B57">
              <w:t>31</w:t>
            </w:r>
          </w:p>
        </w:tc>
        <w:tc>
          <w:tcPr>
            <w:tcW w:w="506" w:type="pct"/>
            <w:noWrap/>
          </w:tcPr>
          <w:p w14:paraId="65F2B0A2" w14:textId="6DF341AD" w:rsidR="00741451" w:rsidRPr="00865B57" w:rsidRDefault="00741451" w:rsidP="00966A31">
            <w:pPr>
              <w:pStyle w:val="TableText"/>
              <w:keepNext/>
              <w:spacing w:before="0" w:after="0"/>
              <w:jc w:val="right"/>
            </w:pPr>
            <w:r w:rsidRPr="00865B57">
              <w:t>47</w:t>
            </w:r>
          </w:p>
        </w:tc>
        <w:tc>
          <w:tcPr>
            <w:tcW w:w="503" w:type="pct"/>
            <w:noWrap/>
          </w:tcPr>
          <w:p w14:paraId="2A6F1EC7" w14:textId="282B87F4" w:rsidR="00741451" w:rsidRPr="00865B57" w:rsidRDefault="00741451" w:rsidP="00966A31">
            <w:pPr>
              <w:pStyle w:val="TableText"/>
              <w:keepNext/>
              <w:spacing w:before="0" w:after="0"/>
              <w:jc w:val="right"/>
            </w:pPr>
            <w:r w:rsidRPr="00865B57">
              <w:t>62</w:t>
            </w:r>
          </w:p>
        </w:tc>
      </w:tr>
      <w:tr w:rsidR="001267FD" w:rsidRPr="00865B57" w14:paraId="4EA54F8F" w14:textId="77777777" w:rsidTr="00CA78AE">
        <w:tc>
          <w:tcPr>
            <w:tcW w:w="155" w:type="pct"/>
          </w:tcPr>
          <w:p w14:paraId="3EA50BA6" w14:textId="318299BB" w:rsidR="00741451" w:rsidRDefault="00CC1834" w:rsidP="00966A31">
            <w:pPr>
              <w:pStyle w:val="TableText"/>
              <w:keepNext/>
              <w:spacing w:before="0" w:after="0"/>
            </w:pPr>
            <w:r>
              <w:t>O</w:t>
            </w:r>
          </w:p>
        </w:tc>
        <w:tc>
          <w:tcPr>
            <w:tcW w:w="1812" w:type="pct"/>
            <w:noWrap/>
          </w:tcPr>
          <w:p w14:paraId="5CBCA643" w14:textId="61DC4AA3" w:rsidR="00741451" w:rsidRPr="00865B57" w:rsidRDefault="00741451" w:rsidP="00966A31">
            <w:pPr>
              <w:pStyle w:val="TableText"/>
              <w:keepNext/>
              <w:spacing w:before="0" w:after="0"/>
            </w:pPr>
            <w:r w:rsidRPr="00865B57">
              <w:t>Cost per TCD to the MBS (</w:t>
            </w:r>
            <w:r w:rsidR="00CC1834">
              <w:t>N × </w:t>
            </w:r>
            <w:r w:rsidRPr="00865B57">
              <w:t>$70.50)</w:t>
            </w:r>
          </w:p>
        </w:tc>
        <w:tc>
          <w:tcPr>
            <w:tcW w:w="506" w:type="pct"/>
            <w:noWrap/>
          </w:tcPr>
          <w:p w14:paraId="4C4332B4" w14:textId="45611060" w:rsidR="00741451" w:rsidRDefault="00741451" w:rsidP="00966A31">
            <w:pPr>
              <w:pStyle w:val="TableText"/>
              <w:keepNext/>
              <w:spacing w:before="0" w:after="0"/>
              <w:jc w:val="right"/>
            </w:pPr>
            <w:r w:rsidRPr="003B25DE">
              <w:t>−</w:t>
            </w:r>
          </w:p>
        </w:tc>
        <w:tc>
          <w:tcPr>
            <w:tcW w:w="506" w:type="pct"/>
            <w:noWrap/>
          </w:tcPr>
          <w:p w14:paraId="48FCFF7A" w14:textId="3C1C0607" w:rsidR="00741451" w:rsidRPr="00865B57" w:rsidRDefault="00741451" w:rsidP="00966A31">
            <w:pPr>
              <w:pStyle w:val="TableText"/>
              <w:keepNext/>
              <w:spacing w:before="0" w:after="0"/>
              <w:jc w:val="right"/>
            </w:pPr>
            <w:r w:rsidRPr="003B25DE">
              <w:t>−</w:t>
            </w:r>
          </w:p>
        </w:tc>
        <w:tc>
          <w:tcPr>
            <w:tcW w:w="506" w:type="pct"/>
            <w:noWrap/>
          </w:tcPr>
          <w:p w14:paraId="2CE1CE3A" w14:textId="3A40002F" w:rsidR="00741451" w:rsidRPr="00865B57" w:rsidRDefault="00741451" w:rsidP="00966A31">
            <w:pPr>
              <w:pStyle w:val="TableText"/>
              <w:keepNext/>
              <w:spacing w:before="0" w:after="0"/>
              <w:jc w:val="right"/>
            </w:pPr>
            <w:r w:rsidRPr="00865B57">
              <w:t>$1,096</w:t>
            </w:r>
          </w:p>
        </w:tc>
        <w:tc>
          <w:tcPr>
            <w:tcW w:w="506" w:type="pct"/>
            <w:noWrap/>
          </w:tcPr>
          <w:p w14:paraId="6DB157EA" w14:textId="4453D507" w:rsidR="00741451" w:rsidRPr="00865B57" w:rsidRDefault="00741451" w:rsidP="00966A31">
            <w:pPr>
              <w:pStyle w:val="TableText"/>
              <w:keepNext/>
              <w:spacing w:before="0" w:after="0"/>
              <w:jc w:val="right"/>
            </w:pPr>
            <w:r w:rsidRPr="00865B57">
              <w:t>$2,194</w:t>
            </w:r>
          </w:p>
        </w:tc>
        <w:tc>
          <w:tcPr>
            <w:tcW w:w="506" w:type="pct"/>
            <w:noWrap/>
          </w:tcPr>
          <w:p w14:paraId="4786ABD6" w14:textId="5F205218" w:rsidR="00741451" w:rsidRPr="00865B57" w:rsidRDefault="00741451" w:rsidP="00966A31">
            <w:pPr>
              <w:pStyle w:val="TableText"/>
              <w:keepNext/>
              <w:spacing w:before="0" w:after="0"/>
              <w:jc w:val="right"/>
            </w:pPr>
            <w:r w:rsidRPr="00865B57">
              <w:t>$3,295</w:t>
            </w:r>
          </w:p>
        </w:tc>
        <w:tc>
          <w:tcPr>
            <w:tcW w:w="503" w:type="pct"/>
            <w:noWrap/>
          </w:tcPr>
          <w:p w14:paraId="147B0617" w14:textId="75FA59C7" w:rsidR="00741451" w:rsidRPr="00865B57" w:rsidRDefault="00741451" w:rsidP="00966A31">
            <w:pPr>
              <w:pStyle w:val="TableText"/>
              <w:keepNext/>
              <w:spacing w:before="0" w:after="0"/>
              <w:jc w:val="right"/>
            </w:pPr>
            <w:r w:rsidRPr="00865B57">
              <w:t>$4,398</w:t>
            </w:r>
          </w:p>
        </w:tc>
      </w:tr>
      <w:tr w:rsidR="00984872" w:rsidRPr="00865B57" w14:paraId="1DAECD34" w14:textId="77777777" w:rsidTr="00374D3A">
        <w:tc>
          <w:tcPr>
            <w:tcW w:w="5000" w:type="pct"/>
            <w:gridSpan w:val="8"/>
          </w:tcPr>
          <w:p w14:paraId="55F7C78A" w14:textId="11DC59F5" w:rsidR="00984872" w:rsidRPr="00865B57" w:rsidRDefault="00984872" w:rsidP="00966A31">
            <w:pPr>
              <w:pStyle w:val="TableText"/>
              <w:keepNext/>
              <w:spacing w:before="0" w:after="0"/>
            </w:pPr>
            <w:r>
              <w:t>N</w:t>
            </w:r>
            <w:r w:rsidR="00E70A88">
              <w:t>et changes in cost to other health budgets</w:t>
            </w:r>
          </w:p>
        </w:tc>
      </w:tr>
      <w:tr w:rsidR="001267FD" w:rsidRPr="00865B57" w14:paraId="5F5D38DA" w14:textId="77777777" w:rsidTr="00CA78AE">
        <w:tc>
          <w:tcPr>
            <w:tcW w:w="155" w:type="pct"/>
          </w:tcPr>
          <w:p w14:paraId="6E35127A" w14:textId="48C06CEB" w:rsidR="00506292" w:rsidRDefault="00FC5C84" w:rsidP="00966A31">
            <w:pPr>
              <w:pStyle w:val="TableText"/>
              <w:keepNext/>
              <w:spacing w:before="0" w:after="0"/>
            </w:pPr>
            <w:r>
              <w:t>P</w:t>
            </w:r>
          </w:p>
        </w:tc>
        <w:tc>
          <w:tcPr>
            <w:tcW w:w="1812" w:type="pct"/>
            <w:noWrap/>
          </w:tcPr>
          <w:p w14:paraId="0512BEBF" w14:textId="68CD60D6" w:rsidR="00506292" w:rsidRPr="00D3003A" w:rsidRDefault="00506292" w:rsidP="00966A31">
            <w:pPr>
              <w:pStyle w:val="TableText"/>
              <w:keepNext/>
              <w:spacing w:before="0" w:after="0"/>
            </w:pPr>
            <w:r>
              <w:t>Net change in cost to State/Territories (I</w:t>
            </w:r>
            <w:r w:rsidR="00173256">
              <w:t> </w:t>
            </w:r>
            <w:r w:rsidR="004448AD">
              <w:t>– </w:t>
            </w:r>
            <w:r>
              <w:t>C</w:t>
            </w:r>
            <w:r w:rsidR="004448AD">
              <w:t> </w:t>
            </w:r>
            <w:r w:rsidR="00806964">
              <w:t>–</w:t>
            </w:r>
            <w:r w:rsidR="004448AD">
              <w:t> </w:t>
            </w:r>
            <w:r>
              <w:t>H)</w:t>
            </w:r>
          </w:p>
        </w:tc>
        <w:tc>
          <w:tcPr>
            <w:tcW w:w="506" w:type="pct"/>
            <w:noWrap/>
          </w:tcPr>
          <w:p w14:paraId="3B2C5292" w14:textId="03CFAE97" w:rsidR="00506292" w:rsidRPr="00D3003A" w:rsidRDefault="00506292" w:rsidP="00966A31">
            <w:pPr>
              <w:pStyle w:val="TableText"/>
              <w:keepNext/>
              <w:spacing w:before="0" w:after="0"/>
              <w:jc w:val="right"/>
            </w:pPr>
            <w:r w:rsidRPr="00B80EEB">
              <w:t>−$58,977</w:t>
            </w:r>
          </w:p>
        </w:tc>
        <w:tc>
          <w:tcPr>
            <w:tcW w:w="506" w:type="pct"/>
            <w:noWrap/>
          </w:tcPr>
          <w:p w14:paraId="2E6872D2" w14:textId="5169859C" w:rsidR="00506292" w:rsidRPr="00D3003A" w:rsidRDefault="00506292" w:rsidP="00966A31">
            <w:pPr>
              <w:pStyle w:val="TableText"/>
              <w:keepNext/>
              <w:spacing w:before="0" w:after="0"/>
              <w:jc w:val="right"/>
            </w:pPr>
            <w:r w:rsidRPr="00B80EEB">
              <w:t>−$59,115</w:t>
            </w:r>
          </w:p>
        </w:tc>
        <w:tc>
          <w:tcPr>
            <w:tcW w:w="506" w:type="pct"/>
            <w:noWrap/>
          </w:tcPr>
          <w:p w14:paraId="7809BC93" w14:textId="583798B2" w:rsidR="00506292" w:rsidRPr="00D3003A" w:rsidRDefault="00506292" w:rsidP="00966A31">
            <w:pPr>
              <w:pStyle w:val="TableText"/>
              <w:keepNext/>
              <w:spacing w:before="0" w:after="0"/>
              <w:jc w:val="right"/>
            </w:pPr>
            <w:r w:rsidRPr="00B80EEB">
              <w:t>−$59,253</w:t>
            </w:r>
          </w:p>
        </w:tc>
        <w:tc>
          <w:tcPr>
            <w:tcW w:w="506" w:type="pct"/>
            <w:noWrap/>
          </w:tcPr>
          <w:p w14:paraId="28944EE3" w14:textId="67E9DB80" w:rsidR="00506292" w:rsidRPr="00D3003A" w:rsidRDefault="00506292" w:rsidP="00966A31">
            <w:pPr>
              <w:pStyle w:val="TableText"/>
              <w:keepNext/>
              <w:spacing w:before="0" w:after="0"/>
              <w:jc w:val="right"/>
            </w:pPr>
            <w:r w:rsidRPr="00B80EEB">
              <w:t>−$59,392</w:t>
            </w:r>
          </w:p>
        </w:tc>
        <w:tc>
          <w:tcPr>
            <w:tcW w:w="506" w:type="pct"/>
            <w:noWrap/>
          </w:tcPr>
          <w:p w14:paraId="5CA31B20" w14:textId="11969A7D" w:rsidR="00506292" w:rsidRPr="00D3003A" w:rsidRDefault="00506292" w:rsidP="00966A31">
            <w:pPr>
              <w:pStyle w:val="TableText"/>
              <w:keepNext/>
              <w:spacing w:before="0" w:after="0"/>
              <w:jc w:val="right"/>
            </w:pPr>
            <w:r w:rsidRPr="00B80EEB">
              <w:t>−$59,530</w:t>
            </w:r>
          </w:p>
        </w:tc>
        <w:tc>
          <w:tcPr>
            <w:tcW w:w="503" w:type="pct"/>
            <w:noWrap/>
          </w:tcPr>
          <w:p w14:paraId="78549175" w14:textId="59B170D8" w:rsidR="00506292" w:rsidRPr="00D3003A" w:rsidRDefault="00506292" w:rsidP="00966A31">
            <w:pPr>
              <w:pStyle w:val="TableText"/>
              <w:keepNext/>
              <w:spacing w:before="0" w:after="0"/>
              <w:jc w:val="right"/>
            </w:pPr>
            <w:r w:rsidRPr="00B80EEB">
              <w:t>−$59,668</w:t>
            </w:r>
          </w:p>
        </w:tc>
      </w:tr>
      <w:tr w:rsidR="001267FD" w:rsidRPr="00865B57" w14:paraId="68037B9C" w14:textId="77777777" w:rsidTr="00CA78AE">
        <w:tc>
          <w:tcPr>
            <w:tcW w:w="155" w:type="pct"/>
          </w:tcPr>
          <w:p w14:paraId="4EDDA771" w14:textId="50524EFD" w:rsidR="00506292" w:rsidRPr="00865B57" w:rsidRDefault="00FC5C84" w:rsidP="00966A31">
            <w:pPr>
              <w:pStyle w:val="TableText"/>
              <w:keepNext/>
              <w:spacing w:before="0" w:after="0"/>
            </w:pPr>
            <w:r>
              <w:t>Q</w:t>
            </w:r>
          </w:p>
        </w:tc>
        <w:tc>
          <w:tcPr>
            <w:tcW w:w="1812" w:type="pct"/>
            <w:noWrap/>
            <w:hideMark/>
          </w:tcPr>
          <w:p w14:paraId="5BF7711A" w14:textId="4A56C76F" w:rsidR="00506292" w:rsidRPr="00865B57" w:rsidRDefault="00506292" w:rsidP="00966A31">
            <w:pPr>
              <w:pStyle w:val="TableText"/>
              <w:keepNext/>
              <w:spacing w:before="0" w:after="0"/>
            </w:pPr>
            <w:r w:rsidRPr="00865B57">
              <w:t>Net change in cost to the PBS</w:t>
            </w:r>
            <w:r>
              <w:t xml:space="preserve"> (</w:t>
            </w:r>
            <w:r w:rsidR="002755E8">
              <w:t>J</w:t>
            </w:r>
            <w:r>
              <w:t> + L)</w:t>
            </w:r>
          </w:p>
        </w:tc>
        <w:tc>
          <w:tcPr>
            <w:tcW w:w="506" w:type="pct"/>
            <w:noWrap/>
            <w:hideMark/>
          </w:tcPr>
          <w:p w14:paraId="3EBAE589" w14:textId="77777777" w:rsidR="00506292" w:rsidRPr="00865B57" w:rsidRDefault="00506292" w:rsidP="00966A31">
            <w:pPr>
              <w:pStyle w:val="TableText"/>
              <w:keepNext/>
              <w:spacing w:before="0" w:after="0"/>
              <w:jc w:val="right"/>
            </w:pPr>
            <w:r w:rsidRPr="00865B57">
              <w:t>$7,380</w:t>
            </w:r>
          </w:p>
        </w:tc>
        <w:tc>
          <w:tcPr>
            <w:tcW w:w="506" w:type="pct"/>
            <w:noWrap/>
            <w:hideMark/>
          </w:tcPr>
          <w:p w14:paraId="2304929C" w14:textId="77777777" w:rsidR="00506292" w:rsidRPr="00865B57" w:rsidRDefault="00506292" w:rsidP="00966A31">
            <w:pPr>
              <w:pStyle w:val="TableText"/>
              <w:keepNext/>
              <w:spacing w:before="0" w:after="0"/>
              <w:jc w:val="right"/>
            </w:pPr>
            <w:r w:rsidRPr="00865B57">
              <w:t>$9,431</w:t>
            </w:r>
          </w:p>
        </w:tc>
        <w:tc>
          <w:tcPr>
            <w:tcW w:w="506" w:type="pct"/>
            <w:noWrap/>
            <w:hideMark/>
          </w:tcPr>
          <w:p w14:paraId="01793C59" w14:textId="77777777" w:rsidR="00506292" w:rsidRPr="00865B57" w:rsidRDefault="00506292" w:rsidP="00966A31">
            <w:pPr>
              <w:pStyle w:val="TableText"/>
              <w:keepNext/>
              <w:spacing w:before="0" w:after="0"/>
              <w:jc w:val="right"/>
            </w:pPr>
            <w:r w:rsidRPr="00865B57">
              <w:t>$11,486</w:t>
            </w:r>
          </w:p>
        </w:tc>
        <w:tc>
          <w:tcPr>
            <w:tcW w:w="506" w:type="pct"/>
            <w:noWrap/>
            <w:hideMark/>
          </w:tcPr>
          <w:p w14:paraId="230CD55C" w14:textId="77777777" w:rsidR="00506292" w:rsidRPr="00865B57" w:rsidRDefault="00506292" w:rsidP="00966A31">
            <w:pPr>
              <w:pStyle w:val="TableText"/>
              <w:keepNext/>
              <w:spacing w:before="0" w:after="0"/>
              <w:jc w:val="right"/>
            </w:pPr>
            <w:r w:rsidRPr="00865B57">
              <w:t>$13,547</w:t>
            </w:r>
          </w:p>
        </w:tc>
        <w:tc>
          <w:tcPr>
            <w:tcW w:w="506" w:type="pct"/>
            <w:noWrap/>
            <w:hideMark/>
          </w:tcPr>
          <w:p w14:paraId="3E61F8A6" w14:textId="77777777" w:rsidR="00506292" w:rsidRPr="00865B57" w:rsidRDefault="00506292" w:rsidP="00966A31">
            <w:pPr>
              <w:pStyle w:val="TableText"/>
              <w:keepNext/>
              <w:spacing w:before="0" w:after="0"/>
              <w:jc w:val="right"/>
            </w:pPr>
            <w:r w:rsidRPr="00865B57">
              <w:t>$15,612</w:t>
            </w:r>
          </w:p>
        </w:tc>
        <w:tc>
          <w:tcPr>
            <w:tcW w:w="503" w:type="pct"/>
            <w:noWrap/>
            <w:hideMark/>
          </w:tcPr>
          <w:p w14:paraId="4F8CCF8F" w14:textId="77777777" w:rsidR="00506292" w:rsidRPr="00865B57" w:rsidRDefault="00506292" w:rsidP="00966A31">
            <w:pPr>
              <w:pStyle w:val="TableText"/>
              <w:keepNext/>
              <w:spacing w:before="0" w:after="0"/>
              <w:jc w:val="right"/>
            </w:pPr>
            <w:r w:rsidRPr="00865B57">
              <w:t>$17,682</w:t>
            </w:r>
          </w:p>
        </w:tc>
      </w:tr>
      <w:tr w:rsidR="001267FD" w:rsidRPr="00865B57" w14:paraId="537E88FB" w14:textId="77777777" w:rsidTr="00CA78AE">
        <w:tc>
          <w:tcPr>
            <w:tcW w:w="155" w:type="pct"/>
          </w:tcPr>
          <w:p w14:paraId="0584FA35" w14:textId="35E6F2A2" w:rsidR="00506292" w:rsidRDefault="00FC5C84" w:rsidP="00966A31">
            <w:pPr>
              <w:pStyle w:val="TableText"/>
              <w:keepNext/>
              <w:spacing w:before="0" w:after="0"/>
            </w:pPr>
            <w:r>
              <w:t>R</w:t>
            </w:r>
          </w:p>
        </w:tc>
        <w:tc>
          <w:tcPr>
            <w:tcW w:w="1812" w:type="pct"/>
            <w:noWrap/>
          </w:tcPr>
          <w:p w14:paraId="597F8424" w14:textId="0B245EAE" w:rsidR="00506292" w:rsidRPr="00D3003A" w:rsidRDefault="00506292" w:rsidP="00966A31">
            <w:pPr>
              <w:pStyle w:val="TableText"/>
              <w:keepNext/>
              <w:spacing w:before="0" w:after="0"/>
            </w:pPr>
            <w:r>
              <w:t>Net change in cost to the MBS (O)</w:t>
            </w:r>
          </w:p>
        </w:tc>
        <w:tc>
          <w:tcPr>
            <w:tcW w:w="506" w:type="pct"/>
            <w:noWrap/>
          </w:tcPr>
          <w:p w14:paraId="0BFD3E76" w14:textId="4D67A491" w:rsidR="00506292" w:rsidRPr="00D3003A" w:rsidRDefault="00506292" w:rsidP="00966A31">
            <w:pPr>
              <w:pStyle w:val="TableText"/>
              <w:keepNext/>
              <w:spacing w:before="0" w:after="0"/>
              <w:jc w:val="right"/>
            </w:pPr>
            <w:r w:rsidRPr="008B3E29">
              <w:t>−</w:t>
            </w:r>
          </w:p>
        </w:tc>
        <w:tc>
          <w:tcPr>
            <w:tcW w:w="506" w:type="pct"/>
            <w:noWrap/>
          </w:tcPr>
          <w:p w14:paraId="0D51DF21" w14:textId="1C21236C" w:rsidR="00506292" w:rsidRPr="00D3003A" w:rsidRDefault="00506292" w:rsidP="00966A31">
            <w:pPr>
              <w:pStyle w:val="TableText"/>
              <w:keepNext/>
              <w:spacing w:before="0" w:after="0"/>
              <w:jc w:val="right"/>
            </w:pPr>
            <w:r w:rsidRPr="008B3E29">
              <w:t>−</w:t>
            </w:r>
          </w:p>
        </w:tc>
        <w:tc>
          <w:tcPr>
            <w:tcW w:w="506" w:type="pct"/>
            <w:noWrap/>
          </w:tcPr>
          <w:p w14:paraId="18E9B98D" w14:textId="3E58AA6B" w:rsidR="00506292" w:rsidRPr="00D3003A" w:rsidRDefault="00506292" w:rsidP="00966A31">
            <w:pPr>
              <w:pStyle w:val="TableText"/>
              <w:keepNext/>
              <w:spacing w:before="0" w:after="0"/>
              <w:jc w:val="right"/>
            </w:pPr>
            <w:r w:rsidRPr="008B3E29">
              <w:t>$1,096</w:t>
            </w:r>
          </w:p>
        </w:tc>
        <w:tc>
          <w:tcPr>
            <w:tcW w:w="506" w:type="pct"/>
            <w:noWrap/>
          </w:tcPr>
          <w:p w14:paraId="5980116A" w14:textId="6A8EAFF2" w:rsidR="00506292" w:rsidRPr="00D3003A" w:rsidRDefault="00506292" w:rsidP="00966A31">
            <w:pPr>
              <w:pStyle w:val="TableText"/>
              <w:keepNext/>
              <w:spacing w:before="0" w:after="0"/>
              <w:jc w:val="right"/>
            </w:pPr>
            <w:r w:rsidRPr="008B3E29">
              <w:t>$2,194</w:t>
            </w:r>
          </w:p>
        </w:tc>
        <w:tc>
          <w:tcPr>
            <w:tcW w:w="506" w:type="pct"/>
            <w:noWrap/>
          </w:tcPr>
          <w:p w14:paraId="2128FC61" w14:textId="7F00D863" w:rsidR="00506292" w:rsidRPr="00D3003A" w:rsidRDefault="00506292" w:rsidP="00966A31">
            <w:pPr>
              <w:pStyle w:val="TableText"/>
              <w:keepNext/>
              <w:spacing w:before="0" w:after="0"/>
              <w:jc w:val="right"/>
            </w:pPr>
            <w:r w:rsidRPr="008B3E29">
              <w:t>$3,295</w:t>
            </w:r>
          </w:p>
        </w:tc>
        <w:tc>
          <w:tcPr>
            <w:tcW w:w="503" w:type="pct"/>
            <w:noWrap/>
          </w:tcPr>
          <w:p w14:paraId="3C66EC28" w14:textId="5E7A495F" w:rsidR="00506292" w:rsidRPr="00D3003A" w:rsidRDefault="00506292" w:rsidP="00966A31">
            <w:pPr>
              <w:pStyle w:val="TableText"/>
              <w:keepNext/>
              <w:spacing w:before="0" w:after="0"/>
              <w:jc w:val="right"/>
            </w:pPr>
            <w:r w:rsidRPr="008B3E29">
              <w:t>$4,398</w:t>
            </w:r>
          </w:p>
        </w:tc>
      </w:tr>
      <w:tr w:rsidR="002E0EA9" w:rsidRPr="00984872" w14:paraId="7AC3BA83" w14:textId="77777777" w:rsidTr="00CA78AE">
        <w:tc>
          <w:tcPr>
            <w:tcW w:w="155" w:type="pct"/>
          </w:tcPr>
          <w:p w14:paraId="00C77938" w14:textId="77777777" w:rsidR="002E0EA9" w:rsidRPr="00B579B4" w:rsidRDefault="002E0EA9" w:rsidP="00966A31">
            <w:pPr>
              <w:pStyle w:val="TableText"/>
              <w:spacing w:before="0" w:after="0"/>
              <w:rPr>
                <w:b/>
              </w:rPr>
            </w:pPr>
          </w:p>
        </w:tc>
        <w:tc>
          <w:tcPr>
            <w:tcW w:w="1812" w:type="pct"/>
            <w:noWrap/>
          </w:tcPr>
          <w:p w14:paraId="7F820E64" w14:textId="27AF48CB" w:rsidR="002E0EA9" w:rsidRPr="00B579B4" w:rsidRDefault="002E0EA9" w:rsidP="00966A31">
            <w:pPr>
              <w:pStyle w:val="TableText"/>
              <w:spacing w:before="0" w:after="0"/>
              <w:rPr>
                <w:b/>
              </w:rPr>
            </w:pPr>
            <w:r w:rsidRPr="00B579B4">
              <w:rPr>
                <w:b/>
              </w:rPr>
              <w:t>Net effect to other health budgets</w:t>
            </w:r>
            <w:r w:rsidR="002828D2" w:rsidRPr="00B579B4">
              <w:rPr>
                <w:b/>
              </w:rPr>
              <w:t xml:space="preserve"> due to direct effects </w:t>
            </w:r>
            <w:r w:rsidR="006E53AF" w:rsidRPr="00B579B4">
              <w:rPr>
                <w:b/>
              </w:rPr>
              <w:t>of the expansion of NBS programs</w:t>
            </w:r>
          </w:p>
        </w:tc>
        <w:tc>
          <w:tcPr>
            <w:tcW w:w="506" w:type="pct"/>
            <w:noWrap/>
          </w:tcPr>
          <w:p w14:paraId="3B6F033F" w14:textId="13F5AE37" w:rsidR="002E0EA9" w:rsidRPr="00B579B4" w:rsidRDefault="002E0EA9" w:rsidP="00966A31">
            <w:pPr>
              <w:pStyle w:val="TableText"/>
              <w:spacing w:before="0" w:after="0"/>
              <w:jc w:val="right"/>
              <w:rPr>
                <w:b/>
              </w:rPr>
            </w:pPr>
            <w:r w:rsidRPr="00B579B4">
              <w:rPr>
                <w:b/>
              </w:rPr>
              <w:t>−$51,597</w:t>
            </w:r>
          </w:p>
        </w:tc>
        <w:tc>
          <w:tcPr>
            <w:tcW w:w="506" w:type="pct"/>
            <w:noWrap/>
          </w:tcPr>
          <w:p w14:paraId="2CDC6313" w14:textId="5329388A" w:rsidR="002E0EA9" w:rsidRPr="00B579B4" w:rsidRDefault="002E0EA9" w:rsidP="00966A31">
            <w:pPr>
              <w:pStyle w:val="TableText"/>
              <w:spacing w:before="0" w:after="0"/>
              <w:jc w:val="right"/>
              <w:rPr>
                <w:b/>
              </w:rPr>
            </w:pPr>
            <w:r w:rsidRPr="00B579B4">
              <w:rPr>
                <w:b/>
              </w:rPr>
              <w:t>−$49,685</w:t>
            </w:r>
          </w:p>
        </w:tc>
        <w:tc>
          <w:tcPr>
            <w:tcW w:w="506" w:type="pct"/>
            <w:noWrap/>
          </w:tcPr>
          <w:p w14:paraId="1DD1ABEB" w14:textId="6F6AE7B0" w:rsidR="002E0EA9" w:rsidRPr="00B579B4" w:rsidRDefault="002E0EA9" w:rsidP="00966A31">
            <w:pPr>
              <w:pStyle w:val="TableText"/>
              <w:spacing w:before="0" w:after="0"/>
              <w:jc w:val="right"/>
              <w:rPr>
                <w:b/>
              </w:rPr>
            </w:pPr>
            <w:r w:rsidRPr="00B579B4">
              <w:rPr>
                <w:b/>
              </w:rPr>
              <w:t>−$46,671</w:t>
            </w:r>
          </w:p>
        </w:tc>
        <w:tc>
          <w:tcPr>
            <w:tcW w:w="506" w:type="pct"/>
            <w:noWrap/>
          </w:tcPr>
          <w:p w14:paraId="0FBD0BF3" w14:textId="734737CE" w:rsidR="002E0EA9" w:rsidRPr="00B579B4" w:rsidRDefault="002E0EA9" w:rsidP="00966A31">
            <w:pPr>
              <w:pStyle w:val="TableText"/>
              <w:spacing w:before="0" w:after="0"/>
              <w:jc w:val="right"/>
              <w:rPr>
                <w:b/>
              </w:rPr>
            </w:pPr>
            <w:r w:rsidRPr="00B579B4">
              <w:rPr>
                <w:b/>
              </w:rPr>
              <w:t>−$43,651</w:t>
            </w:r>
          </w:p>
        </w:tc>
        <w:tc>
          <w:tcPr>
            <w:tcW w:w="506" w:type="pct"/>
            <w:noWrap/>
          </w:tcPr>
          <w:p w14:paraId="628017E2" w14:textId="0E34D732" w:rsidR="002E0EA9" w:rsidRPr="00B579B4" w:rsidRDefault="002E0EA9" w:rsidP="00966A31">
            <w:pPr>
              <w:pStyle w:val="TableText"/>
              <w:spacing w:before="0" w:after="0"/>
              <w:jc w:val="right"/>
              <w:rPr>
                <w:b/>
              </w:rPr>
            </w:pPr>
            <w:r w:rsidRPr="00B579B4">
              <w:rPr>
                <w:b/>
              </w:rPr>
              <w:t>−$40,623</w:t>
            </w:r>
          </w:p>
        </w:tc>
        <w:tc>
          <w:tcPr>
            <w:tcW w:w="503" w:type="pct"/>
            <w:noWrap/>
          </w:tcPr>
          <w:p w14:paraId="67211230" w14:textId="1C30484C" w:rsidR="002E0EA9" w:rsidRPr="00B579B4" w:rsidRDefault="002E0EA9" w:rsidP="00966A31">
            <w:pPr>
              <w:pStyle w:val="TableText"/>
              <w:spacing w:before="0" w:after="0"/>
              <w:jc w:val="right"/>
              <w:rPr>
                <w:b/>
              </w:rPr>
            </w:pPr>
            <w:r w:rsidRPr="00B579B4">
              <w:rPr>
                <w:b/>
              </w:rPr>
              <w:t>−$37,588</w:t>
            </w:r>
          </w:p>
        </w:tc>
      </w:tr>
    </w:tbl>
    <w:p w14:paraId="70B94B0E" w14:textId="2A34C558" w:rsidR="00677ADB" w:rsidRDefault="005372A7" w:rsidP="00677ADB">
      <w:pPr>
        <w:pStyle w:val="TableFigureFooter"/>
      </w:pPr>
      <w:r>
        <w:t xml:space="preserve">Note: Refer to </w:t>
      </w:r>
      <w:r w:rsidR="004640B7">
        <w:fldChar w:fldCharType="begin"/>
      </w:r>
      <w:r w:rsidR="004640B7">
        <w:instrText xml:space="preserve"> REF _Ref149142816 \h </w:instrText>
      </w:r>
      <w:r w:rsidR="004640B7">
        <w:fldChar w:fldCharType="separate"/>
      </w:r>
      <w:r w:rsidR="007D770C" w:rsidRPr="00CE28E3">
        <w:t>Table</w:t>
      </w:r>
      <w:r w:rsidR="007D770C">
        <w:t> </w:t>
      </w:r>
      <w:r w:rsidR="007D770C">
        <w:rPr>
          <w:noProof/>
        </w:rPr>
        <w:t>17</w:t>
      </w:r>
      <w:r w:rsidR="004640B7">
        <w:fldChar w:fldCharType="end"/>
      </w:r>
      <w:r>
        <w:t xml:space="preserve"> for the sources and </w:t>
      </w:r>
      <w:r w:rsidR="003951C4">
        <w:t>justification</w:t>
      </w:r>
      <w:r>
        <w:t xml:space="preserve"> for the parameters used in this </w:t>
      </w:r>
      <w:r w:rsidR="003951C4">
        <w:t>table.</w:t>
      </w:r>
    </w:p>
    <w:p w14:paraId="2DB141B1" w14:textId="7917000E" w:rsidR="003951C4" w:rsidRDefault="00CF2466" w:rsidP="00677ADB">
      <w:pPr>
        <w:pStyle w:val="TableFigureFooter"/>
      </w:pPr>
      <w:proofErr w:type="gramStart"/>
      <w:r w:rsidRPr="00BB6D1D">
        <w:rPr>
          <w:vertAlign w:val="superscript"/>
        </w:rPr>
        <w:t>a</w:t>
      </w:r>
      <w:r>
        <w:t xml:space="preserve"> 6.6 months</w:t>
      </w:r>
      <w:proofErr w:type="gramEnd"/>
      <w:r>
        <w:t xml:space="preserve"> </w:t>
      </w:r>
      <w:r w:rsidR="00BB6D1D">
        <w:t>(0.55 year) × $233.93 annual cost of treatment × 57.4% use.</w:t>
      </w:r>
    </w:p>
    <w:p w14:paraId="4281F43D" w14:textId="026A158C" w:rsidR="00BB6D1D" w:rsidRDefault="00BB6D1D" w:rsidP="00677ADB">
      <w:pPr>
        <w:pStyle w:val="TableFigureFooter"/>
      </w:pPr>
      <w:r w:rsidRPr="00EC303B">
        <w:rPr>
          <w:vertAlign w:val="superscript"/>
        </w:rPr>
        <w:t>b</w:t>
      </w:r>
      <w:r>
        <w:t xml:space="preserve"> </w:t>
      </w:r>
      <w:r w:rsidR="00EC303B">
        <w:t>12.6 months (1.05 year) × $189.49 annual cost of treatment × 66.7% use.</w:t>
      </w:r>
    </w:p>
    <w:p w14:paraId="79EE546C" w14:textId="2906FA5C" w:rsidR="00806567" w:rsidRDefault="00806567" w:rsidP="00677ADB">
      <w:pPr>
        <w:pStyle w:val="TableFigureFooter"/>
      </w:pPr>
      <w:r w:rsidRPr="008464A6">
        <w:rPr>
          <w:vertAlign w:val="superscript"/>
        </w:rPr>
        <w:t>c</w:t>
      </w:r>
      <w:r>
        <w:t xml:space="preserve"> </w:t>
      </w:r>
      <w:proofErr w:type="gramStart"/>
      <w:r w:rsidR="00500E92">
        <w:t>To</w:t>
      </w:r>
      <w:proofErr w:type="gramEnd"/>
      <w:r w:rsidR="00500E92">
        <w:t xml:space="preserve"> account for the cumulative number of patients </w:t>
      </w:r>
      <w:r w:rsidR="009273A9">
        <w:t xml:space="preserve">aged &gt;2, </w:t>
      </w:r>
      <w:r w:rsidR="006D3738">
        <w:t xml:space="preserve">Row M two years prior are used e.g. in 2025-26 the increase in TCD use is derived by multiplying 28.0% by </w:t>
      </w:r>
      <w:r w:rsidR="000016A5">
        <w:t xml:space="preserve">the cumulative number of patients </w:t>
      </w:r>
      <w:r w:rsidR="008464A6">
        <w:t>two years prior in 2023-24 (i.e. 56).</w:t>
      </w:r>
    </w:p>
    <w:p w14:paraId="38D4AF3E" w14:textId="2A08E210" w:rsidR="008464A6" w:rsidRDefault="00C708AB" w:rsidP="00677ADB">
      <w:pPr>
        <w:pStyle w:val="TableFigureFooter"/>
      </w:pPr>
      <w:r>
        <w:t>SCD = sickle cell disease</w:t>
      </w:r>
      <w:r w:rsidR="008464A6">
        <w:t xml:space="preserve">; TCD = transcranial </w:t>
      </w:r>
      <w:r w:rsidR="00AF6EE5">
        <w:t>D</w:t>
      </w:r>
      <w:r w:rsidR="008464A6">
        <w:t>oppler.</w:t>
      </w:r>
    </w:p>
    <w:p w14:paraId="5116105E" w14:textId="490D50FC" w:rsidR="001F6F2F" w:rsidRDefault="00206021" w:rsidP="001F6F2F">
      <w:r>
        <w:t xml:space="preserve">The impact of changes in use and cost due to </w:t>
      </w:r>
      <w:r w:rsidR="003951C4">
        <w:t>a</w:t>
      </w:r>
      <w:r w:rsidR="00710C03">
        <w:t xml:space="preserve"> reduction in hospital admissions is presented in </w:t>
      </w:r>
      <w:r w:rsidR="00E33B77">
        <w:rPr>
          <w:highlight w:val="yellow"/>
        </w:rPr>
        <w:fldChar w:fldCharType="begin"/>
      </w:r>
      <w:r w:rsidR="00E33B77">
        <w:instrText xml:space="preserve"> REF _Ref149143564 \h </w:instrText>
      </w:r>
      <w:r w:rsidR="00E33B77">
        <w:rPr>
          <w:highlight w:val="yellow"/>
        </w:rPr>
      </w:r>
      <w:r w:rsidR="00E33B77">
        <w:rPr>
          <w:highlight w:val="yellow"/>
        </w:rPr>
        <w:fldChar w:fldCharType="separate"/>
      </w:r>
      <w:r w:rsidR="007D770C" w:rsidRPr="00CE28E3">
        <w:t>Table</w:t>
      </w:r>
      <w:r w:rsidR="007D770C">
        <w:t> </w:t>
      </w:r>
      <w:r w:rsidR="007D770C">
        <w:rPr>
          <w:noProof/>
        </w:rPr>
        <w:t>21</w:t>
      </w:r>
      <w:r w:rsidR="00E33B77">
        <w:rPr>
          <w:highlight w:val="yellow"/>
        </w:rPr>
        <w:fldChar w:fldCharType="end"/>
      </w:r>
      <w:r w:rsidR="00710C03">
        <w:t xml:space="preserve">. </w:t>
      </w:r>
      <w:r w:rsidR="000255D0">
        <w:t xml:space="preserve">Given the assumption that </w:t>
      </w:r>
      <w:r w:rsidR="00820CC3" w:rsidRPr="00820CC3">
        <w:t>the reduction in hospitalisation appl</w:t>
      </w:r>
      <w:r w:rsidR="00820CC3">
        <w:t>ies</w:t>
      </w:r>
      <w:r w:rsidR="00820CC3" w:rsidRPr="00820CC3">
        <w:t xml:space="preserve"> from birth (and do</w:t>
      </w:r>
      <w:r w:rsidR="00820CC3">
        <w:t>es</w:t>
      </w:r>
      <w:r w:rsidR="00820CC3" w:rsidRPr="00820CC3">
        <w:t xml:space="preserve"> not change over time)</w:t>
      </w:r>
      <w:r w:rsidR="00ED0F75">
        <w:t xml:space="preserve">, by the sixth year </w:t>
      </w:r>
      <w:r w:rsidR="00514EA5">
        <w:t xml:space="preserve">after </w:t>
      </w:r>
      <w:r w:rsidR="00EA0212">
        <w:t>implementation in NBS</w:t>
      </w:r>
      <w:r w:rsidR="00ED0F75">
        <w:t xml:space="preserve"> program</w:t>
      </w:r>
      <w:r w:rsidR="00EA0212">
        <w:t>s</w:t>
      </w:r>
      <w:r w:rsidR="00ED0F75">
        <w:t xml:space="preserve"> –under the assumed incidence estimate of 34.2 per 100,000 births and that </w:t>
      </w:r>
      <w:r w:rsidR="00D4506C">
        <w:t xml:space="preserve">52.3% of cases would be identified earlier due to universal NBS </w:t>
      </w:r>
      <w:r w:rsidR="002C7A02">
        <w:t>–</w:t>
      </w:r>
      <w:r w:rsidR="00D4506C">
        <w:t xml:space="preserve"> </w:t>
      </w:r>
      <w:r w:rsidR="00421DAF">
        <w:t xml:space="preserve">an additional </w:t>
      </w:r>
      <w:r w:rsidR="002C7A02">
        <w:t xml:space="preserve">336 patients with SCD </w:t>
      </w:r>
      <w:r w:rsidR="00FD18F6">
        <w:t xml:space="preserve">are estimated to </w:t>
      </w:r>
      <w:r w:rsidR="002C7A02">
        <w:t xml:space="preserve">have been diagnosed </w:t>
      </w:r>
      <w:r w:rsidR="00421DAF">
        <w:t>prior to symptom development</w:t>
      </w:r>
      <w:r w:rsidR="00540C0A">
        <w:t xml:space="preserve">, resulting in a reduction </w:t>
      </w:r>
      <w:r w:rsidR="008A1BF5">
        <w:t>of 265</w:t>
      </w:r>
      <w:r w:rsidR="00540C0A">
        <w:t xml:space="preserve"> hospital admissio</w:t>
      </w:r>
      <w:r w:rsidR="008A1BF5">
        <w:t>ns</w:t>
      </w:r>
      <w:r w:rsidR="00C12D6D">
        <w:t xml:space="preserve"> </w:t>
      </w:r>
      <w:r w:rsidR="00BE15D3">
        <w:t xml:space="preserve">and </w:t>
      </w:r>
      <w:r w:rsidR="00C12D6D">
        <w:t xml:space="preserve">reduction in </w:t>
      </w:r>
      <w:r w:rsidR="00BE15D3">
        <w:t>cost to States/Territories of $1.8 million</w:t>
      </w:r>
      <w:r w:rsidR="00D20111">
        <w:t xml:space="preserve">. </w:t>
      </w:r>
      <w:r w:rsidR="005B0489">
        <w:t xml:space="preserve">For comparison, </w:t>
      </w:r>
      <w:r w:rsidR="00E2152E">
        <w:t>estimates derived assuming a lower incidence estimate (8.6 per 100,000) are also presented</w:t>
      </w:r>
      <w:r w:rsidR="00E62A6E">
        <w:t xml:space="preserve">, where the derived reduction in </w:t>
      </w:r>
      <w:r w:rsidR="00540971">
        <w:t>hospitalisations</w:t>
      </w:r>
      <w:r w:rsidR="00E62A6E">
        <w:t xml:space="preserve"> </w:t>
      </w:r>
      <w:r w:rsidR="00540971">
        <w:t xml:space="preserve">(66) </w:t>
      </w:r>
      <w:r w:rsidR="00E62A6E">
        <w:t xml:space="preserve">and </w:t>
      </w:r>
      <w:r w:rsidR="00E85DA0">
        <w:t>resulting reduction in cost</w:t>
      </w:r>
      <w:r w:rsidR="00E62A6E">
        <w:t xml:space="preserve"> </w:t>
      </w:r>
      <w:r w:rsidR="00540971">
        <w:t xml:space="preserve">($456,000) </w:t>
      </w:r>
      <w:r w:rsidR="004B3D11">
        <w:t>were substantially lower</w:t>
      </w:r>
      <w:r w:rsidR="00540971">
        <w:t xml:space="preserve"> in the sixth year of the program.</w:t>
      </w:r>
      <w:r w:rsidR="00C83B22">
        <w:t xml:space="preserve"> Additional sensitivity analyses are presented varying the </w:t>
      </w:r>
      <w:r w:rsidR="004C5F30">
        <w:t xml:space="preserve">proportion of cases missed, the reduction in hospitalisations assumed per patient per year and cost per </w:t>
      </w:r>
      <w:r w:rsidR="00D53569">
        <w:t>hospitalisation</w:t>
      </w:r>
      <w:r w:rsidR="004C5F30">
        <w:t>.</w:t>
      </w:r>
    </w:p>
    <w:p w14:paraId="2ED5DF5B" w14:textId="0DF7ED80" w:rsidR="001952F4" w:rsidRDefault="001E59DA" w:rsidP="001952F4">
      <w:pPr>
        <w:pStyle w:val="Caption"/>
      </w:pPr>
      <w:bookmarkStart w:id="67" w:name="_Ref149143564"/>
      <w:r w:rsidRPr="00CE28E3">
        <w:t>Table</w:t>
      </w:r>
      <w:r>
        <w:t> </w:t>
      </w:r>
      <w:r>
        <w:fldChar w:fldCharType="begin"/>
      </w:r>
      <w:r>
        <w:instrText>SEQ Table \* ARABIC</w:instrText>
      </w:r>
      <w:r>
        <w:fldChar w:fldCharType="separate"/>
      </w:r>
      <w:r w:rsidR="007D770C">
        <w:rPr>
          <w:noProof/>
        </w:rPr>
        <w:t>21</w:t>
      </w:r>
      <w:r>
        <w:fldChar w:fldCharType="end"/>
      </w:r>
      <w:bookmarkEnd w:id="67"/>
      <w:r w:rsidRPr="00CE28E3">
        <w:tab/>
      </w:r>
      <w:r w:rsidR="008464A6">
        <w:t>Impact on other health budgets due to reduced hospitalisations</w:t>
      </w:r>
      <w:r w:rsidR="00E33B77">
        <w:t xml:space="preserve"> (including sensitivity analyses)</w:t>
      </w:r>
    </w:p>
    <w:tbl>
      <w:tblPr>
        <w:tblStyle w:val="TableGrid1"/>
        <w:tblW w:w="5000" w:type="pct"/>
        <w:tblLayout w:type="fixed"/>
        <w:tblLook w:val="04A0" w:firstRow="1" w:lastRow="0" w:firstColumn="1" w:lastColumn="0" w:noHBand="0" w:noVBand="1"/>
      </w:tblPr>
      <w:tblGrid>
        <w:gridCol w:w="2268"/>
        <w:gridCol w:w="1078"/>
        <w:gridCol w:w="1078"/>
        <w:gridCol w:w="1147"/>
        <w:gridCol w:w="1149"/>
        <w:gridCol w:w="1149"/>
        <w:gridCol w:w="1147"/>
      </w:tblGrid>
      <w:tr w:rsidR="001952F4" w:rsidRPr="00A963BA" w14:paraId="6C15A2CA" w14:textId="77777777">
        <w:trPr>
          <w:cnfStyle w:val="100000000000" w:firstRow="1" w:lastRow="0" w:firstColumn="0" w:lastColumn="0" w:oddVBand="0" w:evenVBand="0" w:oddHBand="0" w:evenHBand="0" w:firstRowFirstColumn="0" w:firstRowLastColumn="0" w:lastRowFirstColumn="0" w:lastRowLastColumn="0"/>
        </w:trPr>
        <w:tc>
          <w:tcPr>
            <w:tcW w:w="1258" w:type="pct"/>
            <w:noWrap/>
            <w:hideMark/>
          </w:tcPr>
          <w:p w14:paraId="5DE67029" w14:textId="77777777" w:rsidR="001952F4" w:rsidRPr="00A963BA" w:rsidRDefault="001952F4">
            <w:pPr>
              <w:pStyle w:val="In-tableHeading"/>
            </w:pPr>
          </w:p>
        </w:tc>
        <w:tc>
          <w:tcPr>
            <w:tcW w:w="598" w:type="pct"/>
            <w:noWrap/>
          </w:tcPr>
          <w:p w14:paraId="6C69C762" w14:textId="77777777" w:rsidR="001952F4" w:rsidRPr="00A963BA" w:rsidRDefault="001952F4">
            <w:pPr>
              <w:pStyle w:val="In-tableHeading"/>
            </w:pPr>
            <w:r w:rsidRPr="00724087">
              <w:t>2023−24</w:t>
            </w:r>
          </w:p>
        </w:tc>
        <w:tc>
          <w:tcPr>
            <w:tcW w:w="598" w:type="pct"/>
            <w:noWrap/>
          </w:tcPr>
          <w:p w14:paraId="3112E96C" w14:textId="77777777" w:rsidR="001952F4" w:rsidRPr="00A963BA" w:rsidRDefault="001952F4">
            <w:pPr>
              <w:pStyle w:val="In-tableHeading"/>
            </w:pPr>
            <w:r w:rsidRPr="00724087">
              <w:t>2024−25</w:t>
            </w:r>
          </w:p>
        </w:tc>
        <w:tc>
          <w:tcPr>
            <w:tcW w:w="636" w:type="pct"/>
            <w:noWrap/>
          </w:tcPr>
          <w:p w14:paraId="3D91A096" w14:textId="77777777" w:rsidR="001952F4" w:rsidRPr="00A963BA" w:rsidRDefault="001952F4">
            <w:pPr>
              <w:pStyle w:val="In-tableHeading"/>
            </w:pPr>
            <w:r w:rsidRPr="00724087">
              <w:t>2025−26</w:t>
            </w:r>
          </w:p>
        </w:tc>
        <w:tc>
          <w:tcPr>
            <w:tcW w:w="637" w:type="pct"/>
            <w:noWrap/>
          </w:tcPr>
          <w:p w14:paraId="16CA77DB" w14:textId="77777777" w:rsidR="001952F4" w:rsidRPr="00A963BA" w:rsidRDefault="001952F4">
            <w:pPr>
              <w:pStyle w:val="In-tableHeading"/>
            </w:pPr>
            <w:r w:rsidRPr="00724087">
              <w:t>2027−28</w:t>
            </w:r>
          </w:p>
        </w:tc>
        <w:tc>
          <w:tcPr>
            <w:tcW w:w="637" w:type="pct"/>
            <w:noWrap/>
          </w:tcPr>
          <w:p w14:paraId="7064CC78" w14:textId="77777777" w:rsidR="001952F4" w:rsidRPr="00A963BA" w:rsidRDefault="001952F4">
            <w:pPr>
              <w:pStyle w:val="In-tableHeading"/>
            </w:pPr>
            <w:r w:rsidRPr="00724087">
              <w:t>2028−29</w:t>
            </w:r>
          </w:p>
        </w:tc>
        <w:tc>
          <w:tcPr>
            <w:tcW w:w="636" w:type="pct"/>
            <w:noWrap/>
          </w:tcPr>
          <w:p w14:paraId="66051579" w14:textId="77777777" w:rsidR="001952F4" w:rsidRPr="00A963BA" w:rsidRDefault="001952F4">
            <w:pPr>
              <w:pStyle w:val="In-tableHeading"/>
            </w:pPr>
            <w:r w:rsidRPr="00724087">
              <w:t>2029−30</w:t>
            </w:r>
          </w:p>
        </w:tc>
      </w:tr>
      <w:tr w:rsidR="001952F4" w:rsidRPr="00865B57" w14:paraId="6E0BD0DB" w14:textId="77777777">
        <w:tc>
          <w:tcPr>
            <w:tcW w:w="1258" w:type="pct"/>
            <w:noWrap/>
          </w:tcPr>
          <w:p w14:paraId="15130570" w14:textId="77777777" w:rsidR="001952F4" w:rsidRPr="00865B57" w:rsidRDefault="001952F4">
            <w:pPr>
              <w:pStyle w:val="TableText"/>
            </w:pPr>
            <w:r>
              <w:t xml:space="preserve">Cumulative no. cases identified earlier </w:t>
            </w:r>
          </w:p>
        </w:tc>
        <w:tc>
          <w:tcPr>
            <w:tcW w:w="598" w:type="pct"/>
            <w:noWrap/>
          </w:tcPr>
          <w:p w14:paraId="15C45C74" w14:textId="77777777" w:rsidR="001952F4" w:rsidRDefault="001952F4">
            <w:pPr>
              <w:pStyle w:val="TableText"/>
              <w:jc w:val="right"/>
            </w:pPr>
            <w:r w:rsidRPr="00907CF9">
              <w:t>56</w:t>
            </w:r>
          </w:p>
        </w:tc>
        <w:tc>
          <w:tcPr>
            <w:tcW w:w="598" w:type="pct"/>
            <w:noWrap/>
          </w:tcPr>
          <w:p w14:paraId="291B7B8D" w14:textId="77777777" w:rsidR="001952F4" w:rsidRPr="00865B57" w:rsidRDefault="001952F4">
            <w:pPr>
              <w:pStyle w:val="TableText"/>
              <w:jc w:val="right"/>
            </w:pPr>
            <w:r w:rsidRPr="00907CF9">
              <w:t>111</w:t>
            </w:r>
          </w:p>
        </w:tc>
        <w:tc>
          <w:tcPr>
            <w:tcW w:w="636" w:type="pct"/>
            <w:noWrap/>
          </w:tcPr>
          <w:p w14:paraId="1E5F868C" w14:textId="77777777" w:rsidR="001952F4" w:rsidRPr="00865B57" w:rsidRDefault="001952F4">
            <w:pPr>
              <w:pStyle w:val="TableText"/>
              <w:jc w:val="right"/>
            </w:pPr>
            <w:r w:rsidRPr="00907CF9">
              <w:t>167</w:t>
            </w:r>
          </w:p>
        </w:tc>
        <w:tc>
          <w:tcPr>
            <w:tcW w:w="637" w:type="pct"/>
            <w:noWrap/>
          </w:tcPr>
          <w:p w14:paraId="51B976C9" w14:textId="77777777" w:rsidR="001952F4" w:rsidRPr="00865B57" w:rsidRDefault="001952F4">
            <w:pPr>
              <w:pStyle w:val="TableText"/>
              <w:jc w:val="right"/>
            </w:pPr>
            <w:r w:rsidRPr="00907CF9">
              <w:t>223</w:t>
            </w:r>
          </w:p>
        </w:tc>
        <w:tc>
          <w:tcPr>
            <w:tcW w:w="637" w:type="pct"/>
            <w:noWrap/>
          </w:tcPr>
          <w:p w14:paraId="530ED343" w14:textId="77777777" w:rsidR="001952F4" w:rsidRPr="00865B57" w:rsidRDefault="001952F4">
            <w:pPr>
              <w:pStyle w:val="TableText"/>
              <w:jc w:val="right"/>
            </w:pPr>
            <w:r w:rsidRPr="00907CF9">
              <w:t>279</w:t>
            </w:r>
          </w:p>
        </w:tc>
        <w:tc>
          <w:tcPr>
            <w:tcW w:w="636" w:type="pct"/>
            <w:noWrap/>
          </w:tcPr>
          <w:p w14:paraId="7ACB8DCC" w14:textId="77777777" w:rsidR="001952F4" w:rsidRPr="00865B57" w:rsidRDefault="001952F4">
            <w:pPr>
              <w:pStyle w:val="TableText"/>
              <w:jc w:val="right"/>
            </w:pPr>
            <w:r w:rsidRPr="00907CF9">
              <w:t>336</w:t>
            </w:r>
          </w:p>
        </w:tc>
      </w:tr>
      <w:tr w:rsidR="001952F4" w:rsidRPr="00865B57" w14:paraId="46CFFBDB" w14:textId="77777777">
        <w:tc>
          <w:tcPr>
            <w:tcW w:w="1258" w:type="pct"/>
            <w:noWrap/>
          </w:tcPr>
          <w:p w14:paraId="5658443D" w14:textId="77777777" w:rsidR="001952F4" w:rsidRPr="00865B57" w:rsidRDefault="001952F4">
            <w:pPr>
              <w:pStyle w:val="TableText"/>
            </w:pPr>
            <w:r w:rsidRPr="00D3003A">
              <w:t>Reduction in hospitalisations per year (0.79</w:t>
            </w:r>
            <w:r>
              <w:t xml:space="preserve"> per case identified earlier</w:t>
            </w:r>
            <w:r w:rsidRPr="00D3003A">
              <w:t>)</w:t>
            </w:r>
          </w:p>
        </w:tc>
        <w:tc>
          <w:tcPr>
            <w:tcW w:w="598" w:type="pct"/>
            <w:noWrap/>
          </w:tcPr>
          <w:p w14:paraId="133EBA8B" w14:textId="77777777" w:rsidR="001952F4" w:rsidRPr="003B25DE" w:rsidRDefault="001952F4">
            <w:pPr>
              <w:pStyle w:val="TableText"/>
              <w:jc w:val="right"/>
            </w:pPr>
            <w:r w:rsidRPr="00D3003A">
              <w:t>44</w:t>
            </w:r>
          </w:p>
        </w:tc>
        <w:tc>
          <w:tcPr>
            <w:tcW w:w="598" w:type="pct"/>
            <w:noWrap/>
          </w:tcPr>
          <w:p w14:paraId="68872CED" w14:textId="77777777" w:rsidR="001952F4" w:rsidRPr="003B25DE" w:rsidRDefault="001952F4">
            <w:pPr>
              <w:pStyle w:val="TableText"/>
              <w:jc w:val="right"/>
            </w:pPr>
            <w:r w:rsidRPr="00D3003A">
              <w:t>88</w:t>
            </w:r>
          </w:p>
        </w:tc>
        <w:tc>
          <w:tcPr>
            <w:tcW w:w="636" w:type="pct"/>
            <w:noWrap/>
          </w:tcPr>
          <w:p w14:paraId="24D37669" w14:textId="77777777" w:rsidR="001952F4" w:rsidRPr="00865B57" w:rsidRDefault="001952F4">
            <w:pPr>
              <w:pStyle w:val="TableText"/>
              <w:jc w:val="right"/>
            </w:pPr>
            <w:r w:rsidRPr="00D3003A">
              <w:t>132</w:t>
            </w:r>
          </w:p>
        </w:tc>
        <w:tc>
          <w:tcPr>
            <w:tcW w:w="637" w:type="pct"/>
            <w:noWrap/>
          </w:tcPr>
          <w:p w14:paraId="5F726CB7" w14:textId="77777777" w:rsidR="001952F4" w:rsidRPr="00865B57" w:rsidRDefault="001952F4">
            <w:pPr>
              <w:pStyle w:val="TableText"/>
              <w:jc w:val="right"/>
            </w:pPr>
            <w:r w:rsidRPr="00D3003A">
              <w:t>176</w:t>
            </w:r>
          </w:p>
        </w:tc>
        <w:tc>
          <w:tcPr>
            <w:tcW w:w="637" w:type="pct"/>
            <w:noWrap/>
          </w:tcPr>
          <w:p w14:paraId="43C188C3" w14:textId="77777777" w:rsidR="001952F4" w:rsidRPr="00865B57" w:rsidRDefault="001952F4">
            <w:pPr>
              <w:pStyle w:val="TableText"/>
              <w:jc w:val="right"/>
            </w:pPr>
            <w:r w:rsidRPr="00D3003A">
              <w:t>221</w:t>
            </w:r>
          </w:p>
        </w:tc>
        <w:tc>
          <w:tcPr>
            <w:tcW w:w="636" w:type="pct"/>
            <w:noWrap/>
          </w:tcPr>
          <w:p w14:paraId="72A88A56" w14:textId="77777777" w:rsidR="001952F4" w:rsidRPr="00865B57" w:rsidRDefault="001952F4">
            <w:pPr>
              <w:pStyle w:val="TableText"/>
              <w:jc w:val="right"/>
            </w:pPr>
            <w:r w:rsidRPr="00D3003A">
              <w:t>265</w:t>
            </w:r>
          </w:p>
        </w:tc>
      </w:tr>
      <w:tr w:rsidR="001952F4" w:rsidRPr="00FF49CF" w14:paraId="38FB91D0" w14:textId="77777777">
        <w:tc>
          <w:tcPr>
            <w:tcW w:w="1258" w:type="pct"/>
            <w:noWrap/>
          </w:tcPr>
          <w:p w14:paraId="33FDC8B7" w14:textId="77777777" w:rsidR="001952F4" w:rsidRPr="00B579B4" w:rsidRDefault="001952F4">
            <w:pPr>
              <w:pStyle w:val="TableText"/>
              <w:rPr>
                <w:b/>
              </w:rPr>
            </w:pPr>
            <w:r w:rsidRPr="00B579B4">
              <w:rPr>
                <w:b/>
              </w:rPr>
              <w:t>Change in cost to State/Territories ($6,867 per hospitalisation avoided)</w:t>
            </w:r>
          </w:p>
        </w:tc>
        <w:tc>
          <w:tcPr>
            <w:tcW w:w="598" w:type="pct"/>
            <w:noWrap/>
          </w:tcPr>
          <w:p w14:paraId="2A09EB40" w14:textId="77777777" w:rsidR="001952F4" w:rsidRPr="00B579B4" w:rsidRDefault="001952F4">
            <w:pPr>
              <w:pStyle w:val="TableText"/>
              <w:jc w:val="right"/>
              <w:rPr>
                <w:b/>
              </w:rPr>
            </w:pPr>
            <w:r w:rsidRPr="00B579B4">
              <w:rPr>
                <w:b/>
              </w:rPr>
              <w:t>−$301,468</w:t>
            </w:r>
          </w:p>
        </w:tc>
        <w:tc>
          <w:tcPr>
            <w:tcW w:w="598" w:type="pct"/>
            <w:noWrap/>
          </w:tcPr>
          <w:p w14:paraId="5992B6C3" w14:textId="77777777" w:rsidR="001952F4" w:rsidRPr="00B579B4" w:rsidRDefault="001952F4">
            <w:pPr>
              <w:pStyle w:val="TableText"/>
              <w:jc w:val="right"/>
              <w:rPr>
                <w:b/>
              </w:rPr>
            </w:pPr>
            <w:r w:rsidRPr="00B579B4">
              <w:rPr>
                <w:b/>
              </w:rPr>
              <w:t>−$603,642</w:t>
            </w:r>
          </w:p>
        </w:tc>
        <w:tc>
          <w:tcPr>
            <w:tcW w:w="636" w:type="pct"/>
            <w:noWrap/>
          </w:tcPr>
          <w:p w14:paraId="6C7A3FBD" w14:textId="77777777" w:rsidR="001952F4" w:rsidRPr="00B579B4" w:rsidRDefault="001952F4">
            <w:pPr>
              <w:pStyle w:val="TableText"/>
              <w:jc w:val="right"/>
              <w:rPr>
                <w:b/>
              </w:rPr>
            </w:pPr>
            <w:r w:rsidRPr="00B579B4">
              <w:rPr>
                <w:b/>
              </w:rPr>
              <w:t>−$906,524</w:t>
            </w:r>
          </w:p>
        </w:tc>
        <w:tc>
          <w:tcPr>
            <w:tcW w:w="637" w:type="pct"/>
            <w:noWrap/>
          </w:tcPr>
          <w:p w14:paraId="28EC1AE4" w14:textId="77777777" w:rsidR="001952F4" w:rsidRPr="00B579B4" w:rsidRDefault="001952F4">
            <w:pPr>
              <w:pStyle w:val="TableText"/>
              <w:jc w:val="right"/>
              <w:rPr>
                <w:b/>
              </w:rPr>
            </w:pPr>
            <w:r w:rsidRPr="00B579B4">
              <w:rPr>
                <w:b/>
              </w:rPr>
              <w:t>−$1,210,111</w:t>
            </w:r>
          </w:p>
        </w:tc>
        <w:tc>
          <w:tcPr>
            <w:tcW w:w="637" w:type="pct"/>
            <w:noWrap/>
          </w:tcPr>
          <w:p w14:paraId="04D05F98" w14:textId="77777777" w:rsidR="001952F4" w:rsidRPr="00B579B4" w:rsidRDefault="001952F4">
            <w:pPr>
              <w:pStyle w:val="TableText"/>
              <w:jc w:val="right"/>
              <w:rPr>
                <w:b/>
              </w:rPr>
            </w:pPr>
            <w:r w:rsidRPr="00B579B4">
              <w:rPr>
                <w:b/>
              </w:rPr>
              <w:t>−$1,514,406</w:t>
            </w:r>
          </w:p>
        </w:tc>
        <w:tc>
          <w:tcPr>
            <w:tcW w:w="636" w:type="pct"/>
            <w:noWrap/>
          </w:tcPr>
          <w:p w14:paraId="48EFF7A0" w14:textId="77777777" w:rsidR="001952F4" w:rsidRPr="00B579B4" w:rsidRDefault="001952F4">
            <w:pPr>
              <w:pStyle w:val="TableText"/>
              <w:jc w:val="right"/>
              <w:rPr>
                <w:b/>
              </w:rPr>
            </w:pPr>
            <w:r w:rsidRPr="00B579B4">
              <w:rPr>
                <w:b/>
              </w:rPr>
              <w:t>−$1,819,407</w:t>
            </w:r>
          </w:p>
        </w:tc>
      </w:tr>
      <w:tr w:rsidR="001952F4" w:rsidRPr="00151750" w14:paraId="27A0DFA8" w14:textId="77777777" w:rsidTr="00B579B4">
        <w:trPr>
          <w:trHeight w:val="419"/>
        </w:trPr>
        <w:tc>
          <w:tcPr>
            <w:tcW w:w="5000" w:type="pct"/>
            <w:gridSpan w:val="7"/>
            <w:noWrap/>
          </w:tcPr>
          <w:p w14:paraId="2615A67D" w14:textId="77777777" w:rsidR="001952F4" w:rsidRPr="00151750" w:rsidRDefault="001952F4">
            <w:pPr>
              <w:pStyle w:val="In-tableHeading"/>
              <w:rPr>
                <w:b w:val="0"/>
                <w:bCs/>
              </w:rPr>
            </w:pPr>
            <w:r>
              <w:rPr>
                <w:b w:val="0"/>
                <w:bCs/>
              </w:rPr>
              <w:t>Sensitivity analyses</w:t>
            </w:r>
          </w:p>
        </w:tc>
      </w:tr>
      <w:tr w:rsidR="001952F4" w:rsidRPr="00865B57" w14:paraId="5A795F5F" w14:textId="77777777">
        <w:tc>
          <w:tcPr>
            <w:tcW w:w="5000" w:type="pct"/>
            <w:gridSpan w:val="7"/>
            <w:noWrap/>
          </w:tcPr>
          <w:p w14:paraId="61B0E621" w14:textId="77777777" w:rsidR="001952F4" w:rsidRPr="00865B57" w:rsidRDefault="001952F4">
            <w:pPr>
              <w:pStyle w:val="TableText"/>
            </w:pPr>
            <w:r>
              <w:t>Incidence of SCD (base case: 34.2 per 100,000)</w:t>
            </w:r>
          </w:p>
        </w:tc>
      </w:tr>
      <w:tr w:rsidR="00AF0584" w:rsidRPr="00865B57" w14:paraId="2C51B8F7" w14:textId="77777777">
        <w:tc>
          <w:tcPr>
            <w:tcW w:w="1258" w:type="pct"/>
            <w:noWrap/>
          </w:tcPr>
          <w:p w14:paraId="733FFB47" w14:textId="77777777" w:rsidR="00AF0584" w:rsidRDefault="00AF0584">
            <w:pPr>
              <w:pStyle w:val="TableText"/>
            </w:pPr>
            <w:r>
              <w:t>0.6 per 100,000 births</w:t>
            </w:r>
          </w:p>
        </w:tc>
        <w:tc>
          <w:tcPr>
            <w:tcW w:w="598" w:type="pct"/>
            <w:noWrap/>
          </w:tcPr>
          <w:p w14:paraId="7897CF52" w14:textId="77777777" w:rsidR="00AF0584" w:rsidRPr="003B5067" w:rsidRDefault="00AF0584">
            <w:pPr>
              <w:pStyle w:val="TableText"/>
              <w:jc w:val="right"/>
            </w:pPr>
            <w:r w:rsidRPr="00CB283E">
              <w:t>−$5,455</w:t>
            </w:r>
          </w:p>
        </w:tc>
        <w:tc>
          <w:tcPr>
            <w:tcW w:w="598" w:type="pct"/>
            <w:noWrap/>
          </w:tcPr>
          <w:p w14:paraId="72F978CB" w14:textId="77777777" w:rsidR="00AF0584" w:rsidRPr="003B5067" w:rsidRDefault="00AF0584">
            <w:pPr>
              <w:pStyle w:val="TableText"/>
              <w:jc w:val="right"/>
            </w:pPr>
            <w:r w:rsidRPr="00CB283E">
              <w:t>−$10,923</w:t>
            </w:r>
          </w:p>
        </w:tc>
        <w:tc>
          <w:tcPr>
            <w:tcW w:w="636" w:type="pct"/>
            <w:noWrap/>
          </w:tcPr>
          <w:p w14:paraId="679BF543" w14:textId="77777777" w:rsidR="00AF0584" w:rsidRPr="003B5067" w:rsidRDefault="00AF0584">
            <w:pPr>
              <w:pStyle w:val="TableText"/>
              <w:jc w:val="right"/>
            </w:pPr>
            <w:r w:rsidRPr="00CB283E">
              <w:t>−$16,404</w:t>
            </w:r>
          </w:p>
        </w:tc>
        <w:tc>
          <w:tcPr>
            <w:tcW w:w="637" w:type="pct"/>
            <w:noWrap/>
          </w:tcPr>
          <w:p w14:paraId="651CEC5F" w14:textId="77777777" w:rsidR="00AF0584" w:rsidRPr="003B5067" w:rsidRDefault="00AF0584">
            <w:pPr>
              <w:pStyle w:val="TableText"/>
              <w:jc w:val="right"/>
            </w:pPr>
            <w:r w:rsidRPr="00CB283E">
              <w:t>−$21,898</w:t>
            </w:r>
          </w:p>
        </w:tc>
        <w:tc>
          <w:tcPr>
            <w:tcW w:w="637" w:type="pct"/>
            <w:noWrap/>
          </w:tcPr>
          <w:p w14:paraId="21A4DAF8" w14:textId="77777777" w:rsidR="00AF0584" w:rsidRPr="003B5067" w:rsidRDefault="00AF0584">
            <w:pPr>
              <w:pStyle w:val="TableText"/>
              <w:jc w:val="right"/>
            </w:pPr>
            <w:r w:rsidRPr="00CB283E">
              <w:t>−$27,404</w:t>
            </w:r>
          </w:p>
        </w:tc>
        <w:tc>
          <w:tcPr>
            <w:tcW w:w="636" w:type="pct"/>
            <w:noWrap/>
          </w:tcPr>
          <w:p w14:paraId="4C71297F" w14:textId="77777777" w:rsidR="00AF0584" w:rsidRPr="003B5067" w:rsidRDefault="00AF0584">
            <w:pPr>
              <w:pStyle w:val="TableText"/>
              <w:jc w:val="right"/>
            </w:pPr>
            <w:r w:rsidRPr="00CB283E">
              <w:t>−$32,923</w:t>
            </w:r>
          </w:p>
        </w:tc>
      </w:tr>
      <w:tr w:rsidR="00E162EE" w:rsidRPr="00865B57" w14:paraId="139E638D" w14:textId="77777777">
        <w:tc>
          <w:tcPr>
            <w:tcW w:w="1258" w:type="pct"/>
            <w:noWrap/>
          </w:tcPr>
          <w:p w14:paraId="7469FB74" w14:textId="2847E281" w:rsidR="00E162EE" w:rsidRDefault="00E162EE" w:rsidP="00E162EE">
            <w:pPr>
              <w:pStyle w:val="TableText"/>
            </w:pPr>
            <w:r>
              <w:t>5.7 per 100,000</w:t>
            </w:r>
            <w:r w:rsidR="007840CB">
              <w:t xml:space="preserve"> births</w:t>
            </w:r>
          </w:p>
        </w:tc>
        <w:tc>
          <w:tcPr>
            <w:tcW w:w="598" w:type="pct"/>
            <w:noWrap/>
          </w:tcPr>
          <w:p w14:paraId="20E08FD9" w14:textId="747A448A" w:rsidR="00E162EE" w:rsidRPr="00CB283E" w:rsidRDefault="00E162EE" w:rsidP="00E162EE">
            <w:pPr>
              <w:pStyle w:val="TableText"/>
              <w:jc w:val="right"/>
            </w:pPr>
            <w:r w:rsidRPr="000A0231">
              <w:t>−$50,371</w:t>
            </w:r>
          </w:p>
        </w:tc>
        <w:tc>
          <w:tcPr>
            <w:tcW w:w="598" w:type="pct"/>
            <w:noWrap/>
          </w:tcPr>
          <w:p w14:paraId="61FB314D" w14:textId="11A45813" w:rsidR="00E162EE" w:rsidRPr="00CB283E" w:rsidRDefault="00E162EE" w:rsidP="00E162EE">
            <w:pPr>
              <w:pStyle w:val="TableText"/>
              <w:jc w:val="right"/>
            </w:pPr>
            <w:r w:rsidRPr="000A0231">
              <w:t>−$100,859</w:t>
            </w:r>
          </w:p>
        </w:tc>
        <w:tc>
          <w:tcPr>
            <w:tcW w:w="636" w:type="pct"/>
            <w:noWrap/>
          </w:tcPr>
          <w:p w14:paraId="7C9F3D06" w14:textId="68D380C8" w:rsidR="00E162EE" w:rsidRPr="00CB283E" w:rsidRDefault="00E162EE" w:rsidP="00E162EE">
            <w:pPr>
              <w:pStyle w:val="TableText"/>
              <w:jc w:val="right"/>
            </w:pPr>
            <w:r w:rsidRPr="000A0231">
              <w:t>−$151,466</w:t>
            </w:r>
          </w:p>
        </w:tc>
        <w:tc>
          <w:tcPr>
            <w:tcW w:w="637" w:type="pct"/>
            <w:noWrap/>
          </w:tcPr>
          <w:p w14:paraId="03F4F829" w14:textId="1500551F" w:rsidR="00E162EE" w:rsidRPr="00CB283E" w:rsidRDefault="00E162EE" w:rsidP="00E162EE">
            <w:pPr>
              <w:pStyle w:val="TableText"/>
              <w:jc w:val="right"/>
            </w:pPr>
            <w:r w:rsidRPr="000A0231">
              <w:t>−$202,191</w:t>
            </w:r>
          </w:p>
        </w:tc>
        <w:tc>
          <w:tcPr>
            <w:tcW w:w="637" w:type="pct"/>
            <w:noWrap/>
          </w:tcPr>
          <w:p w14:paraId="67E0DC70" w14:textId="48CE3F48" w:rsidR="00E162EE" w:rsidRPr="00CB283E" w:rsidRDefault="00E162EE" w:rsidP="00E162EE">
            <w:pPr>
              <w:pStyle w:val="TableText"/>
              <w:jc w:val="right"/>
            </w:pPr>
            <w:r w:rsidRPr="000A0231">
              <w:t>−$253,034</w:t>
            </w:r>
          </w:p>
        </w:tc>
        <w:tc>
          <w:tcPr>
            <w:tcW w:w="636" w:type="pct"/>
            <w:noWrap/>
          </w:tcPr>
          <w:p w14:paraId="3875A096" w14:textId="2B5E8FC3" w:rsidR="00E162EE" w:rsidRPr="00CB283E" w:rsidRDefault="00E162EE" w:rsidP="00E162EE">
            <w:pPr>
              <w:pStyle w:val="TableText"/>
              <w:jc w:val="right"/>
            </w:pPr>
            <w:r w:rsidRPr="000A0231">
              <w:t>−$303,995</w:t>
            </w:r>
          </w:p>
        </w:tc>
      </w:tr>
      <w:tr w:rsidR="001952F4" w:rsidRPr="00865B57" w14:paraId="78BF89EF" w14:textId="77777777">
        <w:tc>
          <w:tcPr>
            <w:tcW w:w="1258" w:type="pct"/>
            <w:noWrap/>
          </w:tcPr>
          <w:p w14:paraId="7D4CA21D" w14:textId="77777777" w:rsidR="001952F4" w:rsidRPr="0019049A" w:rsidRDefault="001952F4">
            <w:pPr>
              <w:pStyle w:val="TableText"/>
            </w:pPr>
            <w:r w:rsidRPr="0019049A">
              <w:t>8.6 per 100,000 births</w:t>
            </w:r>
          </w:p>
        </w:tc>
        <w:tc>
          <w:tcPr>
            <w:tcW w:w="598" w:type="pct"/>
            <w:noWrap/>
          </w:tcPr>
          <w:p w14:paraId="7FF4343C" w14:textId="77777777" w:rsidR="001952F4" w:rsidRPr="003B25DE" w:rsidRDefault="001952F4">
            <w:pPr>
              <w:pStyle w:val="TableText"/>
              <w:jc w:val="right"/>
            </w:pPr>
            <w:r w:rsidRPr="003B5067">
              <w:t>−$75,556</w:t>
            </w:r>
          </w:p>
        </w:tc>
        <w:tc>
          <w:tcPr>
            <w:tcW w:w="598" w:type="pct"/>
            <w:noWrap/>
          </w:tcPr>
          <w:p w14:paraId="5684CBD2" w14:textId="77777777" w:rsidR="001952F4" w:rsidRPr="003B25DE" w:rsidRDefault="001952F4">
            <w:pPr>
              <w:pStyle w:val="TableText"/>
              <w:jc w:val="right"/>
            </w:pPr>
            <w:r w:rsidRPr="003B5067">
              <w:t>−$151,289</w:t>
            </w:r>
          </w:p>
        </w:tc>
        <w:tc>
          <w:tcPr>
            <w:tcW w:w="636" w:type="pct"/>
            <w:noWrap/>
          </w:tcPr>
          <w:p w14:paraId="3F8C1207" w14:textId="77777777" w:rsidR="001952F4" w:rsidRPr="00865B57" w:rsidRDefault="001952F4">
            <w:pPr>
              <w:pStyle w:val="TableText"/>
              <w:jc w:val="right"/>
            </w:pPr>
            <w:r w:rsidRPr="003B5067">
              <w:t>−$227,199</w:t>
            </w:r>
          </w:p>
        </w:tc>
        <w:tc>
          <w:tcPr>
            <w:tcW w:w="637" w:type="pct"/>
            <w:noWrap/>
          </w:tcPr>
          <w:p w14:paraId="7B9C6F1B" w14:textId="77777777" w:rsidR="001952F4" w:rsidRPr="00865B57" w:rsidRDefault="001952F4">
            <w:pPr>
              <w:pStyle w:val="TableText"/>
              <w:jc w:val="right"/>
            </w:pPr>
            <w:r w:rsidRPr="003B5067">
              <w:t>−$303,286</w:t>
            </w:r>
          </w:p>
        </w:tc>
        <w:tc>
          <w:tcPr>
            <w:tcW w:w="637" w:type="pct"/>
            <w:noWrap/>
          </w:tcPr>
          <w:p w14:paraId="3B5F5379" w14:textId="77777777" w:rsidR="001952F4" w:rsidRPr="00865B57" w:rsidRDefault="001952F4">
            <w:pPr>
              <w:pStyle w:val="TableText"/>
              <w:jc w:val="right"/>
            </w:pPr>
            <w:r w:rsidRPr="003B5067">
              <w:t>−$379,550</w:t>
            </w:r>
          </w:p>
        </w:tc>
        <w:tc>
          <w:tcPr>
            <w:tcW w:w="636" w:type="pct"/>
            <w:noWrap/>
          </w:tcPr>
          <w:p w14:paraId="53121BC1" w14:textId="77777777" w:rsidR="001952F4" w:rsidRPr="00865B57" w:rsidRDefault="001952F4">
            <w:pPr>
              <w:pStyle w:val="TableText"/>
              <w:jc w:val="right"/>
            </w:pPr>
            <w:r w:rsidRPr="003B5067">
              <w:t>−$455,992</w:t>
            </w:r>
          </w:p>
        </w:tc>
      </w:tr>
      <w:tr w:rsidR="001952F4" w:rsidRPr="00865B57" w14:paraId="33A81903" w14:textId="77777777">
        <w:tc>
          <w:tcPr>
            <w:tcW w:w="5000" w:type="pct"/>
            <w:gridSpan w:val="7"/>
            <w:noWrap/>
          </w:tcPr>
          <w:p w14:paraId="77B69CBE" w14:textId="77777777" w:rsidR="001952F4" w:rsidRPr="00865B57" w:rsidRDefault="001952F4">
            <w:pPr>
              <w:pStyle w:val="TableText"/>
            </w:pPr>
            <w:r>
              <w:t>Proportion of SCD cases missed (base case: 52.3%)</w:t>
            </w:r>
          </w:p>
        </w:tc>
      </w:tr>
      <w:tr w:rsidR="001952F4" w:rsidRPr="00865B57" w14:paraId="7CA7C949" w14:textId="77777777">
        <w:tc>
          <w:tcPr>
            <w:tcW w:w="1258" w:type="pct"/>
            <w:noWrap/>
          </w:tcPr>
          <w:p w14:paraId="52D468D2" w14:textId="77777777" w:rsidR="001952F4" w:rsidRDefault="001952F4">
            <w:pPr>
              <w:pStyle w:val="TableText"/>
            </w:pPr>
            <w:r>
              <w:t>15%</w:t>
            </w:r>
          </w:p>
        </w:tc>
        <w:tc>
          <w:tcPr>
            <w:tcW w:w="598" w:type="pct"/>
            <w:noWrap/>
          </w:tcPr>
          <w:p w14:paraId="39C62D3C" w14:textId="77777777" w:rsidR="001952F4" w:rsidRPr="003B5067" w:rsidRDefault="001952F4">
            <w:pPr>
              <w:pStyle w:val="TableText"/>
              <w:jc w:val="right"/>
            </w:pPr>
            <w:r w:rsidRPr="006E015E">
              <w:t>−$86,474</w:t>
            </w:r>
          </w:p>
        </w:tc>
        <w:tc>
          <w:tcPr>
            <w:tcW w:w="598" w:type="pct"/>
            <w:noWrap/>
          </w:tcPr>
          <w:p w14:paraId="02C234B0" w14:textId="77777777" w:rsidR="001952F4" w:rsidRPr="003B5067" w:rsidRDefault="001952F4">
            <w:pPr>
              <w:pStyle w:val="TableText"/>
              <w:jc w:val="right"/>
            </w:pPr>
            <w:r w:rsidRPr="006E015E">
              <w:t>−$173,150</w:t>
            </w:r>
          </w:p>
        </w:tc>
        <w:tc>
          <w:tcPr>
            <w:tcW w:w="636" w:type="pct"/>
            <w:noWrap/>
          </w:tcPr>
          <w:p w14:paraId="6F6BE7E7" w14:textId="77777777" w:rsidR="001952F4" w:rsidRPr="003B5067" w:rsidRDefault="001952F4">
            <w:pPr>
              <w:pStyle w:val="TableText"/>
              <w:jc w:val="right"/>
            </w:pPr>
            <w:r w:rsidRPr="006E015E">
              <w:t>−$260,029</w:t>
            </w:r>
          </w:p>
        </w:tc>
        <w:tc>
          <w:tcPr>
            <w:tcW w:w="637" w:type="pct"/>
            <w:noWrap/>
          </w:tcPr>
          <w:p w14:paraId="19AC69F5" w14:textId="77777777" w:rsidR="001952F4" w:rsidRPr="003B5067" w:rsidRDefault="001952F4">
            <w:pPr>
              <w:pStyle w:val="TableText"/>
              <w:jc w:val="right"/>
            </w:pPr>
            <w:r w:rsidRPr="006E015E">
              <w:t>−$347,111</w:t>
            </w:r>
          </w:p>
        </w:tc>
        <w:tc>
          <w:tcPr>
            <w:tcW w:w="637" w:type="pct"/>
            <w:noWrap/>
          </w:tcPr>
          <w:p w14:paraId="066988BD" w14:textId="77777777" w:rsidR="001952F4" w:rsidRPr="003B5067" w:rsidRDefault="001952F4">
            <w:pPr>
              <w:pStyle w:val="TableText"/>
              <w:jc w:val="right"/>
            </w:pPr>
            <w:r w:rsidRPr="006E015E">
              <w:t>−$434,395</w:t>
            </w:r>
          </w:p>
        </w:tc>
        <w:tc>
          <w:tcPr>
            <w:tcW w:w="636" w:type="pct"/>
            <w:noWrap/>
          </w:tcPr>
          <w:p w14:paraId="19AF7EFF" w14:textId="77777777" w:rsidR="001952F4" w:rsidRPr="003B5067" w:rsidRDefault="001952F4">
            <w:pPr>
              <w:pStyle w:val="TableText"/>
              <w:jc w:val="right"/>
            </w:pPr>
            <w:r w:rsidRPr="006E015E">
              <w:t>−$521,883</w:t>
            </w:r>
          </w:p>
        </w:tc>
      </w:tr>
      <w:tr w:rsidR="001952F4" w:rsidRPr="00865B57" w14:paraId="7D451B0A" w14:textId="77777777">
        <w:tc>
          <w:tcPr>
            <w:tcW w:w="1258" w:type="pct"/>
            <w:noWrap/>
          </w:tcPr>
          <w:p w14:paraId="4BE1EEC1" w14:textId="77777777" w:rsidR="001952F4" w:rsidRPr="0019049A" w:rsidRDefault="001952F4">
            <w:pPr>
              <w:pStyle w:val="TableText"/>
            </w:pPr>
            <w:r>
              <w:t>25%</w:t>
            </w:r>
          </w:p>
        </w:tc>
        <w:tc>
          <w:tcPr>
            <w:tcW w:w="598" w:type="pct"/>
            <w:noWrap/>
          </w:tcPr>
          <w:p w14:paraId="3591380F" w14:textId="77777777" w:rsidR="001952F4" w:rsidRPr="003B25DE" w:rsidRDefault="001952F4">
            <w:pPr>
              <w:pStyle w:val="TableText"/>
              <w:jc w:val="right"/>
            </w:pPr>
            <w:r w:rsidRPr="003B2CB6">
              <w:t>−$144,123</w:t>
            </w:r>
          </w:p>
        </w:tc>
        <w:tc>
          <w:tcPr>
            <w:tcW w:w="598" w:type="pct"/>
            <w:noWrap/>
          </w:tcPr>
          <w:p w14:paraId="1F20580A" w14:textId="77777777" w:rsidR="001952F4" w:rsidRPr="003B25DE" w:rsidRDefault="001952F4">
            <w:pPr>
              <w:pStyle w:val="TableText"/>
              <w:jc w:val="right"/>
            </w:pPr>
            <w:r w:rsidRPr="003B2CB6">
              <w:t>−$288,583</w:t>
            </w:r>
          </w:p>
        </w:tc>
        <w:tc>
          <w:tcPr>
            <w:tcW w:w="636" w:type="pct"/>
            <w:noWrap/>
          </w:tcPr>
          <w:p w14:paraId="36DE4123" w14:textId="77777777" w:rsidR="001952F4" w:rsidRPr="00865B57" w:rsidRDefault="001952F4">
            <w:pPr>
              <w:pStyle w:val="TableText"/>
              <w:jc w:val="right"/>
            </w:pPr>
            <w:r w:rsidRPr="003B2CB6">
              <w:t>−$433,382</w:t>
            </w:r>
          </w:p>
        </w:tc>
        <w:tc>
          <w:tcPr>
            <w:tcW w:w="637" w:type="pct"/>
            <w:noWrap/>
          </w:tcPr>
          <w:p w14:paraId="0775BCD3" w14:textId="77777777" w:rsidR="001952F4" w:rsidRPr="00865B57" w:rsidRDefault="001952F4">
            <w:pPr>
              <w:pStyle w:val="TableText"/>
              <w:jc w:val="right"/>
            </w:pPr>
            <w:r w:rsidRPr="003B2CB6">
              <w:t>−$578,518</w:t>
            </w:r>
          </w:p>
        </w:tc>
        <w:tc>
          <w:tcPr>
            <w:tcW w:w="637" w:type="pct"/>
            <w:noWrap/>
          </w:tcPr>
          <w:p w14:paraId="4AD9ADB6" w14:textId="77777777" w:rsidR="001952F4" w:rsidRPr="00865B57" w:rsidRDefault="001952F4">
            <w:pPr>
              <w:pStyle w:val="TableText"/>
              <w:jc w:val="right"/>
            </w:pPr>
            <w:r w:rsidRPr="003B2CB6">
              <w:t>−$723,992</w:t>
            </w:r>
          </w:p>
        </w:tc>
        <w:tc>
          <w:tcPr>
            <w:tcW w:w="636" w:type="pct"/>
            <w:noWrap/>
          </w:tcPr>
          <w:p w14:paraId="1BEA0EC3" w14:textId="77777777" w:rsidR="001952F4" w:rsidRPr="00865B57" w:rsidRDefault="001952F4">
            <w:pPr>
              <w:pStyle w:val="TableText"/>
              <w:jc w:val="right"/>
            </w:pPr>
            <w:r w:rsidRPr="003B2CB6">
              <w:t>−$869,804</w:t>
            </w:r>
          </w:p>
        </w:tc>
      </w:tr>
      <w:tr w:rsidR="001952F4" w:rsidRPr="00865B57" w14:paraId="7551AA84" w14:textId="77777777">
        <w:tc>
          <w:tcPr>
            <w:tcW w:w="1258" w:type="pct"/>
            <w:noWrap/>
          </w:tcPr>
          <w:p w14:paraId="5F2B446B" w14:textId="77777777" w:rsidR="001952F4" w:rsidRDefault="001952F4">
            <w:pPr>
              <w:pStyle w:val="TableText"/>
            </w:pPr>
            <w:r>
              <w:t>35%</w:t>
            </w:r>
          </w:p>
        </w:tc>
        <w:tc>
          <w:tcPr>
            <w:tcW w:w="598" w:type="pct"/>
            <w:noWrap/>
          </w:tcPr>
          <w:p w14:paraId="19ECAB65" w14:textId="77777777" w:rsidR="001952F4" w:rsidRPr="003B5067" w:rsidRDefault="001952F4">
            <w:pPr>
              <w:pStyle w:val="TableText"/>
              <w:jc w:val="right"/>
            </w:pPr>
            <w:r w:rsidRPr="008C1C9F">
              <w:t>−$201,772</w:t>
            </w:r>
          </w:p>
        </w:tc>
        <w:tc>
          <w:tcPr>
            <w:tcW w:w="598" w:type="pct"/>
            <w:noWrap/>
          </w:tcPr>
          <w:p w14:paraId="2777F219" w14:textId="77777777" w:rsidR="001952F4" w:rsidRPr="003B5067" w:rsidRDefault="001952F4">
            <w:pPr>
              <w:pStyle w:val="TableText"/>
              <w:jc w:val="right"/>
            </w:pPr>
            <w:r w:rsidRPr="008C1C9F">
              <w:t>−$404,017</w:t>
            </w:r>
          </w:p>
        </w:tc>
        <w:tc>
          <w:tcPr>
            <w:tcW w:w="636" w:type="pct"/>
            <w:noWrap/>
          </w:tcPr>
          <w:p w14:paraId="3F8F6998" w14:textId="77777777" w:rsidR="001952F4" w:rsidRPr="003B5067" w:rsidRDefault="001952F4">
            <w:pPr>
              <w:pStyle w:val="TableText"/>
              <w:jc w:val="right"/>
            </w:pPr>
            <w:r w:rsidRPr="008C1C9F">
              <w:t>−$606,735</w:t>
            </w:r>
          </w:p>
        </w:tc>
        <w:tc>
          <w:tcPr>
            <w:tcW w:w="637" w:type="pct"/>
            <w:noWrap/>
          </w:tcPr>
          <w:p w14:paraId="7BD2D51D" w14:textId="77777777" w:rsidR="001952F4" w:rsidRPr="003B5067" w:rsidRDefault="001952F4">
            <w:pPr>
              <w:pStyle w:val="TableText"/>
              <w:jc w:val="right"/>
            </w:pPr>
            <w:r w:rsidRPr="008C1C9F">
              <w:t>−$809,925</w:t>
            </w:r>
          </w:p>
        </w:tc>
        <w:tc>
          <w:tcPr>
            <w:tcW w:w="637" w:type="pct"/>
            <w:noWrap/>
          </w:tcPr>
          <w:p w14:paraId="6246C520" w14:textId="77777777" w:rsidR="001952F4" w:rsidRPr="003B5067" w:rsidRDefault="001952F4">
            <w:pPr>
              <w:pStyle w:val="TableText"/>
              <w:jc w:val="right"/>
            </w:pPr>
            <w:r w:rsidRPr="008C1C9F">
              <w:t>−$1,013,589</w:t>
            </w:r>
          </w:p>
        </w:tc>
        <w:tc>
          <w:tcPr>
            <w:tcW w:w="636" w:type="pct"/>
            <w:noWrap/>
          </w:tcPr>
          <w:p w14:paraId="500545C0" w14:textId="77777777" w:rsidR="001952F4" w:rsidRPr="003B5067" w:rsidRDefault="001952F4">
            <w:pPr>
              <w:pStyle w:val="TableText"/>
              <w:jc w:val="right"/>
            </w:pPr>
            <w:r w:rsidRPr="008C1C9F">
              <w:t>−$1,217,726</w:t>
            </w:r>
          </w:p>
        </w:tc>
      </w:tr>
      <w:tr w:rsidR="001952F4" w:rsidRPr="00865B57" w14:paraId="11B92D5E" w14:textId="77777777">
        <w:tc>
          <w:tcPr>
            <w:tcW w:w="5000" w:type="pct"/>
            <w:gridSpan w:val="7"/>
            <w:noWrap/>
          </w:tcPr>
          <w:p w14:paraId="59078D00" w14:textId="77777777" w:rsidR="001952F4" w:rsidRPr="00865B57" w:rsidRDefault="001952F4">
            <w:pPr>
              <w:pStyle w:val="TableText"/>
            </w:pPr>
            <w:r>
              <w:t>Reduction in hospitalisations per patient diagnosed earlier per year (base case: 0.79)</w:t>
            </w:r>
          </w:p>
        </w:tc>
      </w:tr>
      <w:tr w:rsidR="001952F4" w:rsidRPr="00865B57" w14:paraId="04D61A47" w14:textId="77777777">
        <w:tc>
          <w:tcPr>
            <w:tcW w:w="1258" w:type="pct"/>
            <w:noWrap/>
          </w:tcPr>
          <w:p w14:paraId="080E2600" w14:textId="77777777" w:rsidR="001952F4" w:rsidRPr="0019049A" w:rsidRDefault="001952F4">
            <w:pPr>
              <w:pStyle w:val="TableText"/>
            </w:pPr>
            <w:r>
              <w:t>0.43</w:t>
            </w:r>
          </w:p>
        </w:tc>
        <w:tc>
          <w:tcPr>
            <w:tcW w:w="598" w:type="pct"/>
            <w:noWrap/>
          </w:tcPr>
          <w:p w14:paraId="21D47FFB" w14:textId="77777777" w:rsidR="001952F4" w:rsidRPr="003B25DE" w:rsidRDefault="001952F4">
            <w:pPr>
              <w:pStyle w:val="TableText"/>
              <w:jc w:val="right"/>
            </w:pPr>
            <w:r w:rsidRPr="00D02A95">
              <w:t>−$164,199</w:t>
            </w:r>
          </w:p>
        </w:tc>
        <w:tc>
          <w:tcPr>
            <w:tcW w:w="598" w:type="pct"/>
            <w:noWrap/>
          </w:tcPr>
          <w:p w14:paraId="703E7993" w14:textId="77777777" w:rsidR="001952F4" w:rsidRPr="003B25DE" w:rsidRDefault="001952F4">
            <w:pPr>
              <w:pStyle w:val="TableText"/>
              <w:jc w:val="right"/>
            </w:pPr>
            <w:r w:rsidRPr="00D02A95">
              <w:t>−$328,784</w:t>
            </w:r>
          </w:p>
        </w:tc>
        <w:tc>
          <w:tcPr>
            <w:tcW w:w="636" w:type="pct"/>
            <w:noWrap/>
          </w:tcPr>
          <w:p w14:paraId="27CB01DA" w14:textId="77777777" w:rsidR="001952F4" w:rsidRPr="00865B57" w:rsidRDefault="001952F4">
            <w:pPr>
              <w:pStyle w:val="TableText"/>
              <w:jc w:val="right"/>
            </w:pPr>
            <w:r w:rsidRPr="00D02A95">
              <w:t>−$493,753</w:t>
            </w:r>
          </w:p>
        </w:tc>
        <w:tc>
          <w:tcPr>
            <w:tcW w:w="637" w:type="pct"/>
            <w:noWrap/>
          </w:tcPr>
          <w:p w14:paraId="3212CF01" w14:textId="77777777" w:rsidR="001952F4" w:rsidRPr="00865B57" w:rsidRDefault="001952F4">
            <w:pPr>
              <w:pStyle w:val="TableText"/>
              <w:jc w:val="right"/>
            </w:pPr>
            <w:r w:rsidRPr="00D02A95">
              <w:t>−$659,107</w:t>
            </w:r>
          </w:p>
        </w:tc>
        <w:tc>
          <w:tcPr>
            <w:tcW w:w="637" w:type="pct"/>
            <w:noWrap/>
          </w:tcPr>
          <w:p w14:paraId="169C25CB" w14:textId="77777777" w:rsidR="001952F4" w:rsidRPr="00865B57" w:rsidRDefault="001952F4">
            <w:pPr>
              <w:pStyle w:val="TableText"/>
              <w:jc w:val="right"/>
            </w:pPr>
            <w:r w:rsidRPr="00D02A95">
              <w:t>−$824,847</w:t>
            </w:r>
          </w:p>
        </w:tc>
        <w:tc>
          <w:tcPr>
            <w:tcW w:w="636" w:type="pct"/>
            <w:noWrap/>
          </w:tcPr>
          <w:p w14:paraId="7F629AB5" w14:textId="77777777" w:rsidR="001952F4" w:rsidRPr="00865B57" w:rsidRDefault="001952F4">
            <w:pPr>
              <w:pStyle w:val="TableText"/>
              <w:jc w:val="right"/>
            </w:pPr>
            <w:r w:rsidRPr="00D02A95">
              <w:t>−$990,971</w:t>
            </w:r>
          </w:p>
        </w:tc>
      </w:tr>
      <w:tr w:rsidR="001952F4" w:rsidRPr="00865B57" w14:paraId="2766C4EA" w14:textId="77777777">
        <w:tc>
          <w:tcPr>
            <w:tcW w:w="1258" w:type="pct"/>
            <w:noWrap/>
          </w:tcPr>
          <w:p w14:paraId="24BAC779" w14:textId="77777777" w:rsidR="001952F4" w:rsidRDefault="001952F4">
            <w:pPr>
              <w:pStyle w:val="TableText"/>
            </w:pPr>
            <w:r>
              <w:t xml:space="preserve">1.15 </w:t>
            </w:r>
          </w:p>
        </w:tc>
        <w:tc>
          <w:tcPr>
            <w:tcW w:w="598" w:type="pct"/>
            <w:noWrap/>
          </w:tcPr>
          <w:p w14:paraId="2C8330D8" w14:textId="77777777" w:rsidR="001952F4" w:rsidRPr="003B5067" w:rsidRDefault="001952F4">
            <w:pPr>
              <w:pStyle w:val="TableText"/>
              <w:jc w:val="right"/>
            </w:pPr>
            <w:r w:rsidRPr="00C20672">
              <w:t>−$439,138</w:t>
            </w:r>
          </w:p>
        </w:tc>
        <w:tc>
          <w:tcPr>
            <w:tcW w:w="598" w:type="pct"/>
            <w:noWrap/>
          </w:tcPr>
          <w:p w14:paraId="3FF597AD" w14:textId="77777777" w:rsidR="001952F4" w:rsidRPr="003B5067" w:rsidRDefault="001952F4">
            <w:pPr>
              <w:pStyle w:val="TableText"/>
              <w:jc w:val="right"/>
            </w:pPr>
            <w:r w:rsidRPr="00C20672">
              <w:t>−$879,306</w:t>
            </w:r>
          </w:p>
        </w:tc>
        <w:tc>
          <w:tcPr>
            <w:tcW w:w="636" w:type="pct"/>
            <w:noWrap/>
          </w:tcPr>
          <w:p w14:paraId="4BC88D15" w14:textId="77777777" w:rsidR="001952F4" w:rsidRPr="003B5067" w:rsidRDefault="001952F4">
            <w:pPr>
              <w:pStyle w:val="TableText"/>
              <w:jc w:val="right"/>
            </w:pPr>
            <w:r w:rsidRPr="00C20672">
              <w:t>−$1,320,503</w:t>
            </w:r>
          </w:p>
        </w:tc>
        <w:tc>
          <w:tcPr>
            <w:tcW w:w="637" w:type="pct"/>
            <w:noWrap/>
          </w:tcPr>
          <w:p w14:paraId="67D9322C" w14:textId="77777777" w:rsidR="001952F4" w:rsidRPr="003B5067" w:rsidRDefault="001952F4">
            <w:pPr>
              <w:pStyle w:val="TableText"/>
              <w:jc w:val="right"/>
            </w:pPr>
            <w:r w:rsidRPr="00C20672">
              <w:t>−$1,762,729</w:t>
            </w:r>
          </w:p>
        </w:tc>
        <w:tc>
          <w:tcPr>
            <w:tcW w:w="637" w:type="pct"/>
            <w:noWrap/>
          </w:tcPr>
          <w:p w14:paraId="1266B022" w14:textId="77777777" w:rsidR="001952F4" w:rsidRPr="003B5067" w:rsidRDefault="001952F4">
            <w:pPr>
              <w:pStyle w:val="TableText"/>
              <w:jc w:val="right"/>
            </w:pPr>
            <w:r w:rsidRPr="00C20672">
              <w:t>−$2,205,985</w:t>
            </w:r>
          </w:p>
        </w:tc>
        <w:tc>
          <w:tcPr>
            <w:tcW w:w="636" w:type="pct"/>
            <w:noWrap/>
          </w:tcPr>
          <w:p w14:paraId="087FBC48" w14:textId="77777777" w:rsidR="001952F4" w:rsidRPr="003B5067" w:rsidRDefault="001952F4">
            <w:pPr>
              <w:pStyle w:val="TableText"/>
              <w:jc w:val="right"/>
            </w:pPr>
            <w:r w:rsidRPr="00C20672">
              <w:t>−$2,650,270</w:t>
            </w:r>
          </w:p>
        </w:tc>
      </w:tr>
      <w:tr w:rsidR="001952F4" w:rsidRPr="00865B57" w14:paraId="1EEF67F6" w14:textId="77777777">
        <w:tc>
          <w:tcPr>
            <w:tcW w:w="5000" w:type="pct"/>
            <w:gridSpan w:val="7"/>
            <w:noWrap/>
          </w:tcPr>
          <w:p w14:paraId="2C9D05AC" w14:textId="77777777" w:rsidR="001952F4" w:rsidRPr="00865B57" w:rsidRDefault="001952F4">
            <w:pPr>
              <w:pStyle w:val="TableText"/>
            </w:pPr>
            <w:r>
              <w:t>Cost per average hospital admission (base case: $6,867)</w:t>
            </w:r>
          </w:p>
        </w:tc>
      </w:tr>
      <w:tr w:rsidR="001952F4" w:rsidRPr="00865B57" w14:paraId="77BDDCE4" w14:textId="77777777">
        <w:tc>
          <w:tcPr>
            <w:tcW w:w="1258" w:type="pct"/>
            <w:noWrap/>
          </w:tcPr>
          <w:p w14:paraId="6173FEFD" w14:textId="6D887861" w:rsidR="001952F4" w:rsidRPr="0019049A" w:rsidRDefault="001952F4">
            <w:pPr>
              <w:pStyle w:val="TableText"/>
            </w:pPr>
            <w:r>
              <w:t>$4,110</w:t>
            </w:r>
          </w:p>
        </w:tc>
        <w:tc>
          <w:tcPr>
            <w:tcW w:w="598" w:type="pct"/>
            <w:noWrap/>
          </w:tcPr>
          <w:p w14:paraId="3A0A19B6" w14:textId="77777777" w:rsidR="001952F4" w:rsidRPr="003B25DE" w:rsidRDefault="001952F4">
            <w:pPr>
              <w:pStyle w:val="TableText"/>
              <w:jc w:val="right"/>
            </w:pPr>
            <w:r w:rsidRPr="00221D4E">
              <w:t>−$180,442</w:t>
            </w:r>
          </w:p>
        </w:tc>
        <w:tc>
          <w:tcPr>
            <w:tcW w:w="598" w:type="pct"/>
            <w:noWrap/>
          </w:tcPr>
          <w:p w14:paraId="308920E0" w14:textId="77777777" w:rsidR="001952F4" w:rsidRPr="003B25DE" w:rsidRDefault="001952F4">
            <w:pPr>
              <w:pStyle w:val="TableText"/>
              <w:jc w:val="right"/>
            </w:pPr>
            <w:r w:rsidRPr="00221D4E">
              <w:t>−$361,308</w:t>
            </w:r>
          </w:p>
        </w:tc>
        <w:tc>
          <w:tcPr>
            <w:tcW w:w="636" w:type="pct"/>
            <w:noWrap/>
          </w:tcPr>
          <w:p w14:paraId="17BF0F56" w14:textId="77777777" w:rsidR="001952F4" w:rsidRPr="00865B57" w:rsidRDefault="001952F4">
            <w:pPr>
              <w:pStyle w:val="TableText"/>
              <w:jc w:val="right"/>
            </w:pPr>
            <w:r w:rsidRPr="00221D4E">
              <w:t>−$542,596</w:t>
            </w:r>
          </w:p>
        </w:tc>
        <w:tc>
          <w:tcPr>
            <w:tcW w:w="637" w:type="pct"/>
            <w:noWrap/>
          </w:tcPr>
          <w:p w14:paraId="17BC278B" w14:textId="77777777" w:rsidR="001952F4" w:rsidRPr="00865B57" w:rsidRDefault="001952F4">
            <w:pPr>
              <w:pStyle w:val="TableText"/>
              <w:jc w:val="right"/>
            </w:pPr>
            <w:r w:rsidRPr="00221D4E">
              <w:t>−$724,307</w:t>
            </w:r>
          </w:p>
        </w:tc>
        <w:tc>
          <w:tcPr>
            <w:tcW w:w="637" w:type="pct"/>
            <w:noWrap/>
          </w:tcPr>
          <w:p w14:paraId="2845B60C" w14:textId="77777777" w:rsidR="001952F4" w:rsidRPr="00865B57" w:rsidRDefault="001952F4">
            <w:pPr>
              <w:pStyle w:val="TableText"/>
              <w:jc w:val="right"/>
            </w:pPr>
            <w:r w:rsidRPr="00221D4E">
              <w:t>−$906,441</w:t>
            </w:r>
          </w:p>
        </w:tc>
        <w:tc>
          <w:tcPr>
            <w:tcW w:w="636" w:type="pct"/>
            <w:noWrap/>
          </w:tcPr>
          <w:p w14:paraId="1565A6D4" w14:textId="77777777" w:rsidR="001952F4" w:rsidRPr="00865B57" w:rsidRDefault="001952F4">
            <w:pPr>
              <w:pStyle w:val="TableText"/>
              <w:jc w:val="right"/>
            </w:pPr>
            <w:r w:rsidRPr="00221D4E">
              <w:t>−$1,088,999</w:t>
            </w:r>
          </w:p>
        </w:tc>
      </w:tr>
      <w:tr w:rsidR="001952F4" w:rsidRPr="00865B57" w14:paraId="0F420F60" w14:textId="77777777">
        <w:tc>
          <w:tcPr>
            <w:tcW w:w="1258" w:type="pct"/>
            <w:noWrap/>
          </w:tcPr>
          <w:p w14:paraId="49D01AC7" w14:textId="77777777" w:rsidR="001952F4" w:rsidRDefault="001952F4">
            <w:pPr>
              <w:pStyle w:val="TableText"/>
            </w:pPr>
            <w:r>
              <w:t xml:space="preserve">$9,624 </w:t>
            </w:r>
          </w:p>
        </w:tc>
        <w:tc>
          <w:tcPr>
            <w:tcW w:w="598" w:type="pct"/>
            <w:noWrap/>
          </w:tcPr>
          <w:p w14:paraId="4FA01930" w14:textId="77777777" w:rsidR="001952F4" w:rsidRPr="003B5067" w:rsidRDefault="001952F4">
            <w:pPr>
              <w:pStyle w:val="TableText"/>
              <w:jc w:val="right"/>
            </w:pPr>
            <w:r w:rsidRPr="00B0076D">
              <w:t>−$422,493</w:t>
            </w:r>
          </w:p>
        </w:tc>
        <w:tc>
          <w:tcPr>
            <w:tcW w:w="598" w:type="pct"/>
            <w:noWrap/>
          </w:tcPr>
          <w:p w14:paraId="4BF3188F" w14:textId="77777777" w:rsidR="001952F4" w:rsidRPr="003B5067" w:rsidRDefault="001952F4">
            <w:pPr>
              <w:pStyle w:val="TableText"/>
              <w:jc w:val="right"/>
            </w:pPr>
            <w:r w:rsidRPr="00B0076D">
              <w:t>−$845,977</w:t>
            </w:r>
          </w:p>
        </w:tc>
        <w:tc>
          <w:tcPr>
            <w:tcW w:w="636" w:type="pct"/>
            <w:noWrap/>
          </w:tcPr>
          <w:p w14:paraId="480202C9" w14:textId="77777777" w:rsidR="001952F4" w:rsidRPr="003B5067" w:rsidRDefault="001952F4">
            <w:pPr>
              <w:pStyle w:val="TableText"/>
              <w:jc w:val="right"/>
            </w:pPr>
            <w:r w:rsidRPr="00B0076D">
              <w:t>−$1,270,451</w:t>
            </w:r>
          </w:p>
        </w:tc>
        <w:tc>
          <w:tcPr>
            <w:tcW w:w="637" w:type="pct"/>
            <w:noWrap/>
          </w:tcPr>
          <w:p w14:paraId="1031B4E3" w14:textId="77777777" w:rsidR="001952F4" w:rsidRPr="003B5067" w:rsidRDefault="001952F4">
            <w:pPr>
              <w:pStyle w:val="TableText"/>
              <w:jc w:val="right"/>
            </w:pPr>
            <w:r w:rsidRPr="00B0076D">
              <w:t>−$1,695,916</w:t>
            </w:r>
          </w:p>
        </w:tc>
        <w:tc>
          <w:tcPr>
            <w:tcW w:w="637" w:type="pct"/>
            <w:noWrap/>
          </w:tcPr>
          <w:p w14:paraId="5DF5101A" w14:textId="77777777" w:rsidR="001952F4" w:rsidRPr="003B5067" w:rsidRDefault="001952F4">
            <w:pPr>
              <w:pStyle w:val="TableText"/>
              <w:jc w:val="right"/>
            </w:pPr>
            <w:r w:rsidRPr="00B0076D">
              <w:t>−$2,122,371</w:t>
            </w:r>
          </w:p>
        </w:tc>
        <w:tc>
          <w:tcPr>
            <w:tcW w:w="636" w:type="pct"/>
            <w:noWrap/>
          </w:tcPr>
          <w:p w14:paraId="1D7792A9" w14:textId="77777777" w:rsidR="001952F4" w:rsidRPr="003B5067" w:rsidRDefault="001952F4">
            <w:pPr>
              <w:pStyle w:val="TableText"/>
              <w:jc w:val="right"/>
            </w:pPr>
            <w:r w:rsidRPr="00B0076D">
              <w:t>−$2,549,816</w:t>
            </w:r>
          </w:p>
        </w:tc>
      </w:tr>
    </w:tbl>
    <w:p w14:paraId="74548F44" w14:textId="477EB497" w:rsidR="001952F4" w:rsidRDefault="00C708AB" w:rsidP="001952F4">
      <w:pPr>
        <w:pStyle w:val="TableFigureFooter"/>
      </w:pPr>
      <w:r>
        <w:t>SCD = sickle cell disease.</w:t>
      </w:r>
    </w:p>
    <w:p w14:paraId="63233FE8" w14:textId="51350CE2" w:rsidR="00172D8C" w:rsidRDefault="000A1898" w:rsidP="004F490B">
      <w:r>
        <w:t xml:space="preserve">The net cost to Government health budgets </w:t>
      </w:r>
      <w:r w:rsidR="0058084A">
        <w:t>wa</w:t>
      </w:r>
      <w:r>
        <w:t>s therefore highly uncertain</w:t>
      </w:r>
      <w:r w:rsidR="000A5F15">
        <w:t xml:space="preserve">. </w:t>
      </w:r>
      <w:r w:rsidR="004F678A">
        <w:t xml:space="preserve">The costs to Government </w:t>
      </w:r>
      <w:r w:rsidR="00882272">
        <w:t>were driven by the cost of expanding the screening program – primarily due to the cost per test of first-tier screening</w:t>
      </w:r>
      <w:r w:rsidR="00172D8C">
        <w:t xml:space="preserve">, which may be dependent on the current capacity of </w:t>
      </w:r>
      <w:r w:rsidR="00B619B1">
        <w:t xml:space="preserve">NBS </w:t>
      </w:r>
      <w:r w:rsidR="00172D8C">
        <w:t xml:space="preserve">laboratories </w:t>
      </w:r>
      <w:r w:rsidR="007D0E31">
        <w:t xml:space="preserve">to manage the proposed expansion </w:t>
      </w:r>
      <w:r w:rsidR="00B619B1">
        <w:t xml:space="preserve">and scale of </w:t>
      </w:r>
      <w:r w:rsidR="00B53FA2">
        <w:t>screening operations</w:t>
      </w:r>
      <w:r w:rsidR="00882272">
        <w:t xml:space="preserve">. </w:t>
      </w:r>
    </w:p>
    <w:p w14:paraId="6CF7CF1E" w14:textId="32EBF6FA" w:rsidR="003A2FCF" w:rsidRDefault="00A30B39" w:rsidP="004F490B">
      <w:r>
        <w:t xml:space="preserve">The </w:t>
      </w:r>
      <w:r w:rsidR="00E55B00">
        <w:t xml:space="preserve">increase in </w:t>
      </w:r>
      <w:r>
        <w:t>cost</w:t>
      </w:r>
      <w:r w:rsidR="00E55B00">
        <w:t xml:space="preserve"> of </w:t>
      </w:r>
      <w:r w:rsidR="003415E1">
        <w:t xml:space="preserve">expanding the </w:t>
      </w:r>
      <w:r>
        <w:t>s</w:t>
      </w:r>
      <w:r w:rsidR="003415E1">
        <w:t>creening program</w:t>
      </w:r>
      <w:r>
        <w:t xml:space="preserve"> may be offset by </w:t>
      </w:r>
      <w:r w:rsidR="00A51011">
        <w:t xml:space="preserve">reduced </w:t>
      </w:r>
      <w:r>
        <w:t xml:space="preserve">hospitalisations </w:t>
      </w:r>
      <w:r w:rsidR="00A51011">
        <w:t>in patients diagnosed prior to symptom development</w:t>
      </w:r>
      <w:r w:rsidR="002B00ED">
        <w:t>,</w:t>
      </w:r>
      <w:r w:rsidR="00E14654">
        <w:t xml:space="preserve"> </w:t>
      </w:r>
      <w:r w:rsidR="007B3279">
        <w:t>from</w:t>
      </w:r>
      <w:r w:rsidR="002B00ED">
        <w:t xml:space="preserve"> reduction of complications </w:t>
      </w:r>
      <w:r w:rsidR="008838BB">
        <w:t xml:space="preserve">and </w:t>
      </w:r>
      <w:r w:rsidR="002B00ED">
        <w:t>morbidities</w:t>
      </w:r>
      <w:r w:rsidR="002727BD">
        <w:t>.</w:t>
      </w:r>
      <w:r w:rsidR="00612AB4">
        <w:t xml:space="preserve"> </w:t>
      </w:r>
      <w:proofErr w:type="gramStart"/>
      <w:r w:rsidR="002727BD">
        <w:t>However</w:t>
      </w:r>
      <w:proofErr w:type="gramEnd"/>
      <w:r w:rsidR="002727BD">
        <w:t xml:space="preserve"> the extent of these cost offsets </w:t>
      </w:r>
      <w:r w:rsidR="0058084A">
        <w:t xml:space="preserve">was </w:t>
      </w:r>
      <w:r w:rsidR="00EF5052">
        <w:t>considerabl</w:t>
      </w:r>
      <w:r w:rsidR="00A547F4">
        <w:t>y</w:t>
      </w:r>
      <w:r w:rsidR="00EF5052">
        <w:t xml:space="preserve"> uncertain, being </w:t>
      </w:r>
      <w:r w:rsidR="004F490B">
        <w:t>driven by t</w:t>
      </w:r>
      <w:r w:rsidR="00C07796">
        <w:t>he incidence of SCD</w:t>
      </w:r>
      <w:r w:rsidR="002727BD">
        <w:t xml:space="preserve">, </w:t>
      </w:r>
      <w:r w:rsidR="00D8532D">
        <w:t xml:space="preserve">proportion of cases missed through current </w:t>
      </w:r>
      <w:r w:rsidR="00666FED">
        <w:t>targeted</w:t>
      </w:r>
      <w:r w:rsidR="00241B7D">
        <w:t xml:space="preserve"> </w:t>
      </w:r>
      <w:r w:rsidR="00ED0F3D">
        <w:t>testing</w:t>
      </w:r>
      <w:r w:rsidR="004B58A1">
        <w:t>,</w:t>
      </w:r>
      <w:r w:rsidR="003A2FCF">
        <w:t xml:space="preserve"> and</w:t>
      </w:r>
      <w:r w:rsidR="004F490B">
        <w:t xml:space="preserve"> a</w:t>
      </w:r>
      <w:r w:rsidR="00012766">
        <w:t>ssumptions regarding the extent of the reduction in hospitalisations per year</w:t>
      </w:r>
      <w:r w:rsidR="00453F43">
        <w:t xml:space="preserve"> (and how this may change over time)</w:t>
      </w:r>
      <w:r w:rsidR="00012766">
        <w:t>.</w:t>
      </w:r>
    </w:p>
    <w:p w14:paraId="6DC8840E" w14:textId="058078E1" w:rsidR="00B34D6B" w:rsidRDefault="007C01B5" w:rsidP="00625AB0">
      <w:r>
        <w:t>Estimated net cost to Government</w:t>
      </w:r>
      <w:r w:rsidR="001E59DA">
        <w:t xml:space="preserve"> health</w:t>
      </w:r>
      <w:r>
        <w:t xml:space="preserve"> budgets, with and without the impacts of </w:t>
      </w:r>
      <w:r w:rsidR="00AD6D68">
        <w:t xml:space="preserve">reduced hospitalisations, are presented in </w:t>
      </w:r>
      <w:r w:rsidR="00453F43">
        <w:rPr>
          <w:highlight w:val="yellow"/>
        </w:rPr>
        <w:fldChar w:fldCharType="begin"/>
      </w:r>
      <w:r w:rsidR="00453F43">
        <w:instrText xml:space="preserve"> REF _Ref149143875 \h </w:instrText>
      </w:r>
      <w:r w:rsidR="00453F43">
        <w:rPr>
          <w:highlight w:val="yellow"/>
        </w:rPr>
      </w:r>
      <w:r w:rsidR="00453F43">
        <w:rPr>
          <w:highlight w:val="yellow"/>
        </w:rPr>
        <w:fldChar w:fldCharType="separate"/>
      </w:r>
      <w:r w:rsidR="007D770C" w:rsidRPr="00CE28E3">
        <w:t>Table</w:t>
      </w:r>
      <w:r w:rsidR="007D770C">
        <w:t> </w:t>
      </w:r>
      <w:r w:rsidR="007D770C">
        <w:rPr>
          <w:noProof/>
        </w:rPr>
        <w:t>22</w:t>
      </w:r>
      <w:r w:rsidR="00453F43">
        <w:rPr>
          <w:highlight w:val="yellow"/>
        </w:rPr>
        <w:fldChar w:fldCharType="end"/>
      </w:r>
      <w:r w:rsidR="00AD6D68">
        <w:t xml:space="preserve"> below.</w:t>
      </w:r>
    </w:p>
    <w:p w14:paraId="428DD54D" w14:textId="10885EEF" w:rsidR="001952F4" w:rsidRDefault="001E59DA" w:rsidP="001952F4">
      <w:pPr>
        <w:pStyle w:val="Caption"/>
      </w:pPr>
      <w:bookmarkStart w:id="68" w:name="_Ref149143875"/>
      <w:r w:rsidRPr="00CE28E3">
        <w:t>Table</w:t>
      </w:r>
      <w:r>
        <w:t> </w:t>
      </w:r>
      <w:r>
        <w:fldChar w:fldCharType="begin"/>
      </w:r>
      <w:r>
        <w:instrText>SEQ Table \* ARABIC</w:instrText>
      </w:r>
      <w:r>
        <w:fldChar w:fldCharType="separate"/>
      </w:r>
      <w:r w:rsidR="007D770C">
        <w:rPr>
          <w:noProof/>
        </w:rPr>
        <w:t>22</w:t>
      </w:r>
      <w:r>
        <w:fldChar w:fldCharType="end"/>
      </w:r>
      <w:bookmarkEnd w:id="68"/>
      <w:r w:rsidRPr="00CE28E3">
        <w:tab/>
      </w:r>
      <w:r>
        <w:t>Net impact to Government health budgets</w:t>
      </w:r>
    </w:p>
    <w:tbl>
      <w:tblPr>
        <w:tblStyle w:val="TableGrid1"/>
        <w:tblW w:w="5000" w:type="pct"/>
        <w:tblLayout w:type="fixed"/>
        <w:tblLook w:val="04A0" w:firstRow="1" w:lastRow="0" w:firstColumn="1" w:lastColumn="0" w:noHBand="0" w:noVBand="1"/>
      </w:tblPr>
      <w:tblGrid>
        <w:gridCol w:w="2267"/>
        <w:gridCol w:w="1086"/>
        <w:gridCol w:w="1086"/>
        <w:gridCol w:w="1086"/>
        <w:gridCol w:w="1165"/>
        <w:gridCol w:w="1165"/>
        <w:gridCol w:w="1161"/>
      </w:tblGrid>
      <w:tr w:rsidR="005C553F" w:rsidRPr="00A963BA" w14:paraId="73163CED" w14:textId="77777777" w:rsidTr="71856625">
        <w:trPr>
          <w:cnfStyle w:val="100000000000" w:firstRow="1" w:lastRow="0" w:firstColumn="0" w:lastColumn="0" w:oddVBand="0" w:evenVBand="0" w:oddHBand="0" w:evenHBand="0" w:firstRowFirstColumn="0" w:firstRowLastColumn="0" w:lastRowFirstColumn="0" w:lastRowLastColumn="0"/>
          <w:cantSplit/>
        </w:trPr>
        <w:tc>
          <w:tcPr>
            <w:tcW w:w="1257" w:type="pct"/>
            <w:noWrap/>
            <w:hideMark/>
          </w:tcPr>
          <w:p w14:paraId="563CC556" w14:textId="77777777" w:rsidR="001952F4" w:rsidRPr="00A963BA" w:rsidRDefault="001952F4">
            <w:pPr>
              <w:pStyle w:val="In-tableHeading"/>
            </w:pPr>
          </w:p>
        </w:tc>
        <w:tc>
          <w:tcPr>
            <w:tcW w:w="602" w:type="pct"/>
            <w:noWrap/>
          </w:tcPr>
          <w:p w14:paraId="746B5054" w14:textId="77777777" w:rsidR="001952F4" w:rsidRPr="00A963BA" w:rsidRDefault="001952F4">
            <w:pPr>
              <w:pStyle w:val="In-tableHeading"/>
            </w:pPr>
            <w:r w:rsidRPr="00724087">
              <w:t>2023−24</w:t>
            </w:r>
          </w:p>
        </w:tc>
        <w:tc>
          <w:tcPr>
            <w:tcW w:w="602" w:type="pct"/>
            <w:noWrap/>
          </w:tcPr>
          <w:p w14:paraId="53F5896C" w14:textId="77777777" w:rsidR="001952F4" w:rsidRPr="00A963BA" w:rsidRDefault="001952F4">
            <w:pPr>
              <w:pStyle w:val="In-tableHeading"/>
            </w:pPr>
            <w:r w:rsidRPr="00724087">
              <w:t>2024−25</w:t>
            </w:r>
          </w:p>
        </w:tc>
        <w:tc>
          <w:tcPr>
            <w:tcW w:w="602" w:type="pct"/>
            <w:noWrap/>
          </w:tcPr>
          <w:p w14:paraId="0DA5C516" w14:textId="77777777" w:rsidR="001952F4" w:rsidRPr="00A963BA" w:rsidRDefault="001952F4">
            <w:pPr>
              <w:pStyle w:val="In-tableHeading"/>
            </w:pPr>
            <w:r w:rsidRPr="00724087">
              <w:t>2025−26</w:t>
            </w:r>
          </w:p>
        </w:tc>
        <w:tc>
          <w:tcPr>
            <w:tcW w:w="646" w:type="pct"/>
            <w:noWrap/>
          </w:tcPr>
          <w:p w14:paraId="2B869018" w14:textId="77777777" w:rsidR="001952F4" w:rsidRPr="00A963BA" w:rsidRDefault="001952F4">
            <w:pPr>
              <w:pStyle w:val="In-tableHeading"/>
            </w:pPr>
            <w:r w:rsidRPr="00724087">
              <w:t>2027−28</w:t>
            </w:r>
          </w:p>
        </w:tc>
        <w:tc>
          <w:tcPr>
            <w:tcW w:w="646" w:type="pct"/>
            <w:noWrap/>
          </w:tcPr>
          <w:p w14:paraId="6452BDE9" w14:textId="77777777" w:rsidR="001952F4" w:rsidRPr="00A963BA" w:rsidRDefault="001952F4">
            <w:pPr>
              <w:pStyle w:val="In-tableHeading"/>
            </w:pPr>
            <w:r w:rsidRPr="00724087">
              <w:t>2028−29</w:t>
            </w:r>
          </w:p>
        </w:tc>
        <w:tc>
          <w:tcPr>
            <w:tcW w:w="644" w:type="pct"/>
            <w:noWrap/>
          </w:tcPr>
          <w:p w14:paraId="554C81A3" w14:textId="77777777" w:rsidR="001952F4" w:rsidRPr="00A963BA" w:rsidRDefault="001952F4">
            <w:pPr>
              <w:pStyle w:val="In-tableHeading"/>
            </w:pPr>
            <w:r w:rsidRPr="00724087">
              <w:t>2029−30</w:t>
            </w:r>
          </w:p>
        </w:tc>
      </w:tr>
      <w:tr w:rsidR="00666FED" w:rsidRPr="00865B57" w14:paraId="46E4C691" w14:textId="77777777" w:rsidTr="71856625">
        <w:trPr>
          <w:cantSplit/>
        </w:trPr>
        <w:tc>
          <w:tcPr>
            <w:tcW w:w="1257" w:type="pct"/>
            <w:noWrap/>
          </w:tcPr>
          <w:p w14:paraId="372C53D3" w14:textId="0D3F9B41" w:rsidR="00666FED" w:rsidRPr="00865B57" w:rsidRDefault="00666FED" w:rsidP="00666FED">
            <w:pPr>
              <w:pStyle w:val="TableText"/>
            </w:pPr>
            <w:r w:rsidRPr="00DA16A5">
              <w:t>Cost of adding SCD to NBS programs</w:t>
            </w:r>
            <w:r w:rsidR="00AA5283">
              <w:t xml:space="preserve"> (</w:t>
            </w:r>
            <w:r w:rsidR="00AA5283">
              <w:fldChar w:fldCharType="begin"/>
            </w:r>
            <w:r w:rsidR="00AA5283">
              <w:instrText xml:space="preserve"> REF _Ref69726382 \h </w:instrText>
            </w:r>
            <w:r w:rsidR="00AA5283">
              <w:fldChar w:fldCharType="separate"/>
            </w:r>
            <w:r w:rsidR="007D770C" w:rsidRPr="00CE28E3">
              <w:t>Table</w:t>
            </w:r>
            <w:r w:rsidR="007D770C">
              <w:t> </w:t>
            </w:r>
            <w:r w:rsidR="007D770C">
              <w:rPr>
                <w:noProof/>
              </w:rPr>
              <w:t>18</w:t>
            </w:r>
            <w:r w:rsidR="00AA5283">
              <w:fldChar w:fldCharType="end"/>
            </w:r>
            <w:r w:rsidR="00AA5283">
              <w:t>)</w:t>
            </w:r>
          </w:p>
        </w:tc>
        <w:tc>
          <w:tcPr>
            <w:tcW w:w="602" w:type="pct"/>
            <w:noWrap/>
          </w:tcPr>
          <w:p w14:paraId="3A9885B7" w14:textId="5D1F84C2" w:rsidR="00666FED" w:rsidRDefault="00666FED" w:rsidP="00666FED">
            <w:pPr>
              <w:pStyle w:val="TableText"/>
              <w:jc w:val="right"/>
            </w:pPr>
            <w:r w:rsidRPr="005D2D99">
              <w:t>$690,552</w:t>
            </w:r>
          </w:p>
        </w:tc>
        <w:tc>
          <w:tcPr>
            <w:tcW w:w="602" w:type="pct"/>
            <w:noWrap/>
          </w:tcPr>
          <w:p w14:paraId="084EA2F0" w14:textId="13BEB05F" w:rsidR="00666FED" w:rsidRPr="00865B57" w:rsidRDefault="00666FED" w:rsidP="00666FED">
            <w:pPr>
              <w:pStyle w:val="TableText"/>
              <w:jc w:val="right"/>
            </w:pPr>
            <w:r w:rsidRPr="005D2D99">
              <w:t>$692,171</w:t>
            </w:r>
          </w:p>
        </w:tc>
        <w:tc>
          <w:tcPr>
            <w:tcW w:w="602" w:type="pct"/>
            <w:noWrap/>
          </w:tcPr>
          <w:p w14:paraId="4BCD826A" w14:textId="0EE0DEC5" w:rsidR="00666FED" w:rsidRPr="00865B57" w:rsidRDefault="00666FED" w:rsidP="00666FED">
            <w:pPr>
              <w:pStyle w:val="TableText"/>
              <w:jc w:val="right"/>
            </w:pPr>
            <w:r w:rsidRPr="005D2D99">
              <w:t>$693,790</w:t>
            </w:r>
          </w:p>
        </w:tc>
        <w:tc>
          <w:tcPr>
            <w:tcW w:w="646" w:type="pct"/>
            <w:noWrap/>
          </w:tcPr>
          <w:p w14:paraId="26110350" w14:textId="158B556D" w:rsidR="00666FED" w:rsidRPr="00865B57" w:rsidRDefault="00666FED" w:rsidP="00666FED">
            <w:pPr>
              <w:pStyle w:val="TableText"/>
              <w:jc w:val="right"/>
            </w:pPr>
            <w:r w:rsidRPr="005D2D99">
              <w:t>$695,409</w:t>
            </w:r>
          </w:p>
        </w:tc>
        <w:tc>
          <w:tcPr>
            <w:tcW w:w="646" w:type="pct"/>
            <w:noWrap/>
          </w:tcPr>
          <w:p w14:paraId="75B8CFA1" w14:textId="77636935" w:rsidR="00666FED" w:rsidRPr="00865B57" w:rsidRDefault="00666FED" w:rsidP="00666FED">
            <w:pPr>
              <w:pStyle w:val="TableText"/>
              <w:jc w:val="right"/>
            </w:pPr>
            <w:r w:rsidRPr="005D2D99">
              <w:t>$697,028</w:t>
            </w:r>
          </w:p>
        </w:tc>
        <w:tc>
          <w:tcPr>
            <w:tcW w:w="644" w:type="pct"/>
            <w:noWrap/>
          </w:tcPr>
          <w:p w14:paraId="4E023CD6" w14:textId="0731CB52" w:rsidR="00666FED" w:rsidRPr="00865B57" w:rsidRDefault="00666FED" w:rsidP="00666FED">
            <w:pPr>
              <w:pStyle w:val="TableText"/>
              <w:jc w:val="right"/>
            </w:pPr>
            <w:r w:rsidRPr="005D2D99">
              <w:t>$698,646</w:t>
            </w:r>
          </w:p>
        </w:tc>
      </w:tr>
      <w:tr w:rsidR="00BC0A54" w:rsidRPr="00865B57" w14:paraId="3AE79076" w14:textId="77777777" w:rsidTr="71856625">
        <w:trPr>
          <w:cantSplit/>
        </w:trPr>
        <w:tc>
          <w:tcPr>
            <w:tcW w:w="1257" w:type="pct"/>
            <w:tcBorders>
              <w:bottom w:val="single" w:sz="4" w:space="0" w:color="auto"/>
            </w:tcBorders>
            <w:noWrap/>
          </w:tcPr>
          <w:p w14:paraId="037C533B" w14:textId="2A77C516" w:rsidR="00BC0A54" w:rsidRPr="00865B57" w:rsidRDefault="00BC0A54" w:rsidP="00BC0A54">
            <w:pPr>
              <w:pStyle w:val="TableText"/>
            </w:pPr>
            <w:r w:rsidRPr="00DA16A5">
              <w:t>Changes to other Government health budgets</w:t>
            </w:r>
            <w:r>
              <w:t xml:space="preserve"> (</w:t>
            </w:r>
            <w:r w:rsidR="00C6618B">
              <w:t>excluding changes in hospitalisations</w:t>
            </w:r>
            <w:r>
              <w:t>)</w:t>
            </w:r>
            <w:r w:rsidR="00AA5283">
              <w:t xml:space="preserve"> (</w:t>
            </w:r>
            <w:r w:rsidR="00785339">
              <w:fldChar w:fldCharType="begin"/>
            </w:r>
            <w:r w:rsidR="00785339">
              <w:instrText xml:space="preserve"> REF _Ref149142997 \h </w:instrText>
            </w:r>
            <w:r w:rsidR="00785339">
              <w:fldChar w:fldCharType="separate"/>
            </w:r>
            <w:r w:rsidR="007D770C" w:rsidRPr="00CE28E3">
              <w:t>Table</w:t>
            </w:r>
            <w:r w:rsidR="007D770C">
              <w:t> </w:t>
            </w:r>
            <w:r w:rsidR="007D770C">
              <w:rPr>
                <w:noProof/>
              </w:rPr>
              <w:t>20</w:t>
            </w:r>
            <w:r w:rsidR="00785339">
              <w:fldChar w:fldCharType="end"/>
            </w:r>
            <w:r w:rsidR="00AA5283">
              <w:t>)</w:t>
            </w:r>
          </w:p>
        </w:tc>
        <w:tc>
          <w:tcPr>
            <w:tcW w:w="602" w:type="pct"/>
            <w:tcBorders>
              <w:bottom w:val="single" w:sz="4" w:space="0" w:color="auto"/>
            </w:tcBorders>
            <w:noWrap/>
          </w:tcPr>
          <w:p w14:paraId="53919EBA" w14:textId="5B2AB271" w:rsidR="00BC0A54" w:rsidRDefault="00BC0A54" w:rsidP="00BC0A54">
            <w:pPr>
              <w:pStyle w:val="TableText"/>
              <w:jc w:val="right"/>
            </w:pPr>
            <w:r w:rsidRPr="00400D3F">
              <w:t>−$51,597</w:t>
            </w:r>
          </w:p>
        </w:tc>
        <w:tc>
          <w:tcPr>
            <w:tcW w:w="602" w:type="pct"/>
            <w:tcBorders>
              <w:bottom w:val="single" w:sz="4" w:space="0" w:color="auto"/>
            </w:tcBorders>
            <w:noWrap/>
          </w:tcPr>
          <w:p w14:paraId="14832A6D" w14:textId="100C797D" w:rsidR="00BC0A54" w:rsidRPr="00865B57" w:rsidRDefault="00BC0A54" w:rsidP="00BC0A54">
            <w:pPr>
              <w:pStyle w:val="TableText"/>
              <w:jc w:val="right"/>
            </w:pPr>
            <w:r w:rsidRPr="00400D3F">
              <w:t>−$49,685</w:t>
            </w:r>
          </w:p>
        </w:tc>
        <w:tc>
          <w:tcPr>
            <w:tcW w:w="602" w:type="pct"/>
            <w:tcBorders>
              <w:bottom w:val="single" w:sz="4" w:space="0" w:color="auto"/>
            </w:tcBorders>
            <w:noWrap/>
          </w:tcPr>
          <w:p w14:paraId="06FF5DCF" w14:textId="499D5B1E" w:rsidR="00BC0A54" w:rsidRPr="00865B57" w:rsidRDefault="00BC0A54" w:rsidP="00BC0A54">
            <w:pPr>
              <w:pStyle w:val="TableText"/>
              <w:jc w:val="right"/>
            </w:pPr>
            <w:r w:rsidRPr="00400D3F">
              <w:t>−$46,671</w:t>
            </w:r>
          </w:p>
        </w:tc>
        <w:tc>
          <w:tcPr>
            <w:tcW w:w="646" w:type="pct"/>
            <w:tcBorders>
              <w:bottom w:val="single" w:sz="4" w:space="0" w:color="auto"/>
            </w:tcBorders>
            <w:noWrap/>
          </w:tcPr>
          <w:p w14:paraId="0DBE893F" w14:textId="34BD7C45" w:rsidR="00BC0A54" w:rsidRPr="00865B57" w:rsidRDefault="00BC0A54" w:rsidP="00BC0A54">
            <w:pPr>
              <w:pStyle w:val="TableText"/>
              <w:jc w:val="right"/>
            </w:pPr>
            <w:r w:rsidRPr="00400D3F">
              <w:t>−$43,651</w:t>
            </w:r>
          </w:p>
        </w:tc>
        <w:tc>
          <w:tcPr>
            <w:tcW w:w="646" w:type="pct"/>
            <w:tcBorders>
              <w:bottom w:val="single" w:sz="4" w:space="0" w:color="auto"/>
            </w:tcBorders>
            <w:noWrap/>
          </w:tcPr>
          <w:p w14:paraId="61A3EE75" w14:textId="64552BE5" w:rsidR="00BC0A54" w:rsidRPr="00865B57" w:rsidRDefault="00BC0A54" w:rsidP="00BC0A54">
            <w:pPr>
              <w:pStyle w:val="TableText"/>
              <w:jc w:val="right"/>
            </w:pPr>
            <w:r w:rsidRPr="00400D3F">
              <w:t>−$40,623</w:t>
            </w:r>
          </w:p>
        </w:tc>
        <w:tc>
          <w:tcPr>
            <w:tcW w:w="644" w:type="pct"/>
            <w:tcBorders>
              <w:bottom w:val="single" w:sz="4" w:space="0" w:color="auto"/>
            </w:tcBorders>
            <w:noWrap/>
          </w:tcPr>
          <w:p w14:paraId="68FFDDA9" w14:textId="3281DF50" w:rsidR="00BC0A54" w:rsidRPr="00865B57" w:rsidRDefault="00BC0A54" w:rsidP="00BC0A54">
            <w:pPr>
              <w:pStyle w:val="TableText"/>
              <w:jc w:val="right"/>
            </w:pPr>
            <w:r w:rsidRPr="00400D3F">
              <w:t>−$37,588</w:t>
            </w:r>
          </w:p>
        </w:tc>
      </w:tr>
      <w:tr w:rsidR="00E31CDE" w:rsidRPr="00BF18C8" w14:paraId="2D4B4CD2" w14:textId="77777777" w:rsidTr="71856625">
        <w:trPr>
          <w:cantSplit/>
        </w:trPr>
        <w:tc>
          <w:tcPr>
            <w:tcW w:w="1257" w:type="pct"/>
            <w:tcBorders>
              <w:bottom w:val="double" w:sz="4" w:space="0" w:color="auto"/>
            </w:tcBorders>
            <w:noWrap/>
          </w:tcPr>
          <w:p w14:paraId="39A1EAA5" w14:textId="0C445845" w:rsidR="00E31CDE" w:rsidRPr="00B579B4" w:rsidRDefault="00E31CDE" w:rsidP="00E31CDE">
            <w:pPr>
              <w:pStyle w:val="TableText"/>
              <w:rPr>
                <w:b/>
              </w:rPr>
            </w:pPr>
            <w:r w:rsidRPr="00B579B4">
              <w:rPr>
                <w:b/>
              </w:rPr>
              <w:t xml:space="preserve">Net cost to Government health budgets (direct </w:t>
            </w:r>
            <w:r w:rsidR="00C659CB" w:rsidRPr="00374D3A">
              <w:rPr>
                <w:b/>
              </w:rPr>
              <w:t>effects</w:t>
            </w:r>
            <w:r w:rsidR="00C659CB" w:rsidRPr="00B579B4">
              <w:rPr>
                <w:b/>
              </w:rPr>
              <w:t xml:space="preserve"> </w:t>
            </w:r>
            <w:r w:rsidRPr="00B579B4">
              <w:rPr>
                <w:b/>
              </w:rPr>
              <w:t>only)</w:t>
            </w:r>
          </w:p>
        </w:tc>
        <w:tc>
          <w:tcPr>
            <w:tcW w:w="602" w:type="pct"/>
            <w:tcBorders>
              <w:bottom w:val="double" w:sz="4" w:space="0" w:color="auto"/>
            </w:tcBorders>
            <w:noWrap/>
          </w:tcPr>
          <w:p w14:paraId="13B38839" w14:textId="06B7CA6B" w:rsidR="00E31CDE" w:rsidRPr="00B579B4" w:rsidRDefault="00E31CDE" w:rsidP="00E31CDE">
            <w:pPr>
              <w:pStyle w:val="TableText"/>
              <w:jc w:val="right"/>
              <w:rPr>
                <w:b/>
              </w:rPr>
            </w:pPr>
            <w:r w:rsidRPr="00B579B4">
              <w:rPr>
                <w:b/>
              </w:rPr>
              <w:t>$638,955</w:t>
            </w:r>
          </w:p>
        </w:tc>
        <w:tc>
          <w:tcPr>
            <w:tcW w:w="602" w:type="pct"/>
            <w:tcBorders>
              <w:bottom w:val="double" w:sz="4" w:space="0" w:color="auto"/>
            </w:tcBorders>
            <w:noWrap/>
          </w:tcPr>
          <w:p w14:paraId="697DA2BC" w14:textId="6682DB40" w:rsidR="00E31CDE" w:rsidRPr="00B579B4" w:rsidRDefault="00E31CDE" w:rsidP="00E31CDE">
            <w:pPr>
              <w:pStyle w:val="TableText"/>
              <w:jc w:val="right"/>
              <w:rPr>
                <w:b/>
              </w:rPr>
            </w:pPr>
            <w:r w:rsidRPr="00B579B4">
              <w:rPr>
                <w:b/>
              </w:rPr>
              <w:t>$642,487</w:t>
            </w:r>
          </w:p>
        </w:tc>
        <w:tc>
          <w:tcPr>
            <w:tcW w:w="602" w:type="pct"/>
            <w:tcBorders>
              <w:bottom w:val="double" w:sz="4" w:space="0" w:color="auto"/>
            </w:tcBorders>
            <w:noWrap/>
          </w:tcPr>
          <w:p w14:paraId="13D8F0B3" w14:textId="46C8C8BD" w:rsidR="00E31CDE" w:rsidRPr="00B579B4" w:rsidRDefault="00E31CDE" w:rsidP="00E31CDE">
            <w:pPr>
              <w:pStyle w:val="TableText"/>
              <w:jc w:val="right"/>
              <w:rPr>
                <w:b/>
              </w:rPr>
            </w:pPr>
            <w:r w:rsidRPr="00B579B4">
              <w:rPr>
                <w:b/>
              </w:rPr>
              <w:t>$647,119</w:t>
            </w:r>
          </w:p>
        </w:tc>
        <w:tc>
          <w:tcPr>
            <w:tcW w:w="646" w:type="pct"/>
            <w:tcBorders>
              <w:bottom w:val="double" w:sz="4" w:space="0" w:color="auto"/>
            </w:tcBorders>
            <w:noWrap/>
          </w:tcPr>
          <w:p w14:paraId="0496B3CF" w14:textId="1EC44ED6" w:rsidR="00E31CDE" w:rsidRPr="00B579B4" w:rsidRDefault="00E31CDE" w:rsidP="00E31CDE">
            <w:pPr>
              <w:pStyle w:val="TableText"/>
              <w:jc w:val="right"/>
              <w:rPr>
                <w:b/>
              </w:rPr>
            </w:pPr>
            <w:r w:rsidRPr="00B579B4">
              <w:rPr>
                <w:b/>
              </w:rPr>
              <w:t>$651,758</w:t>
            </w:r>
          </w:p>
        </w:tc>
        <w:tc>
          <w:tcPr>
            <w:tcW w:w="646" w:type="pct"/>
            <w:tcBorders>
              <w:bottom w:val="double" w:sz="4" w:space="0" w:color="auto"/>
            </w:tcBorders>
            <w:noWrap/>
          </w:tcPr>
          <w:p w14:paraId="247CC931" w14:textId="68D2138E" w:rsidR="00E31CDE" w:rsidRPr="00B579B4" w:rsidRDefault="00E31CDE" w:rsidP="00E31CDE">
            <w:pPr>
              <w:pStyle w:val="TableText"/>
              <w:jc w:val="right"/>
              <w:rPr>
                <w:b/>
              </w:rPr>
            </w:pPr>
            <w:r w:rsidRPr="00B579B4">
              <w:rPr>
                <w:b/>
              </w:rPr>
              <w:t>$656,405</w:t>
            </w:r>
          </w:p>
        </w:tc>
        <w:tc>
          <w:tcPr>
            <w:tcW w:w="644" w:type="pct"/>
            <w:tcBorders>
              <w:bottom w:val="double" w:sz="4" w:space="0" w:color="auto"/>
            </w:tcBorders>
            <w:noWrap/>
          </w:tcPr>
          <w:p w14:paraId="623F3118" w14:textId="1C2FAEF1" w:rsidR="00E31CDE" w:rsidRPr="00B579B4" w:rsidRDefault="00E31CDE" w:rsidP="00E31CDE">
            <w:pPr>
              <w:pStyle w:val="TableText"/>
              <w:jc w:val="right"/>
              <w:rPr>
                <w:b/>
              </w:rPr>
            </w:pPr>
            <w:r w:rsidRPr="00B579B4">
              <w:rPr>
                <w:b/>
              </w:rPr>
              <w:t>$661,059</w:t>
            </w:r>
          </w:p>
        </w:tc>
      </w:tr>
      <w:tr w:rsidR="005C553F" w:rsidRPr="00865B57" w14:paraId="51D28807" w14:textId="77777777" w:rsidTr="71856625">
        <w:trPr>
          <w:cantSplit/>
        </w:trPr>
        <w:tc>
          <w:tcPr>
            <w:tcW w:w="1257" w:type="pct"/>
            <w:tcBorders>
              <w:top w:val="double" w:sz="4" w:space="0" w:color="auto"/>
            </w:tcBorders>
            <w:noWrap/>
          </w:tcPr>
          <w:p w14:paraId="39B0EEB8" w14:textId="67744E0D" w:rsidR="005C553F" w:rsidRPr="00865B57" w:rsidRDefault="00BC0A54" w:rsidP="005C553F">
            <w:pPr>
              <w:pStyle w:val="TableText"/>
            </w:pPr>
            <w:r>
              <w:t>Changes in cost of hospital admissions</w:t>
            </w:r>
            <w:r w:rsidR="00785339">
              <w:t xml:space="preserve"> (</w:t>
            </w:r>
            <w:r w:rsidR="00785339">
              <w:fldChar w:fldCharType="begin"/>
            </w:r>
            <w:r w:rsidR="00785339">
              <w:instrText xml:space="preserve"> REF _Ref149143564 \h </w:instrText>
            </w:r>
            <w:r w:rsidR="00785339">
              <w:fldChar w:fldCharType="separate"/>
            </w:r>
            <w:r w:rsidR="007D770C" w:rsidRPr="00CE28E3">
              <w:t>Table</w:t>
            </w:r>
            <w:r w:rsidR="007D770C">
              <w:t> </w:t>
            </w:r>
            <w:r w:rsidR="007D770C">
              <w:rPr>
                <w:noProof/>
              </w:rPr>
              <w:t>21</w:t>
            </w:r>
            <w:r w:rsidR="00785339">
              <w:fldChar w:fldCharType="end"/>
            </w:r>
            <w:r w:rsidR="00785339">
              <w:t>)</w:t>
            </w:r>
          </w:p>
        </w:tc>
        <w:tc>
          <w:tcPr>
            <w:tcW w:w="602" w:type="pct"/>
            <w:tcBorders>
              <w:top w:val="double" w:sz="4" w:space="0" w:color="auto"/>
            </w:tcBorders>
            <w:noWrap/>
          </w:tcPr>
          <w:p w14:paraId="53C2D951" w14:textId="3B60C1DA" w:rsidR="005C553F" w:rsidRDefault="005C553F" w:rsidP="005C553F">
            <w:pPr>
              <w:pStyle w:val="TableText"/>
              <w:jc w:val="right"/>
            </w:pPr>
            <w:r w:rsidRPr="00400D3F">
              <w:t>−$301,468</w:t>
            </w:r>
          </w:p>
        </w:tc>
        <w:tc>
          <w:tcPr>
            <w:tcW w:w="602" w:type="pct"/>
            <w:tcBorders>
              <w:top w:val="double" w:sz="4" w:space="0" w:color="auto"/>
            </w:tcBorders>
            <w:noWrap/>
          </w:tcPr>
          <w:p w14:paraId="7517D569" w14:textId="09F98E1B" w:rsidR="005C553F" w:rsidRPr="00865B57" w:rsidRDefault="005C553F" w:rsidP="005C553F">
            <w:pPr>
              <w:pStyle w:val="TableText"/>
              <w:jc w:val="right"/>
            </w:pPr>
            <w:r w:rsidRPr="00400D3F">
              <w:t>−$603,642</w:t>
            </w:r>
          </w:p>
        </w:tc>
        <w:tc>
          <w:tcPr>
            <w:tcW w:w="602" w:type="pct"/>
            <w:tcBorders>
              <w:top w:val="double" w:sz="4" w:space="0" w:color="auto"/>
            </w:tcBorders>
            <w:noWrap/>
          </w:tcPr>
          <w:p w14:paraId="2E6306F2" w14:textId="45CD6758" w:rsidR="005C553F" w:rsidRPr="00865B57" w:rsidRDefault="005C553F" w:rsidP="005C553F">
            <w:pPr>
              <w:pStyle w:val="TableText"/>
              <w:jc w:val="right"/>
            </w:pPr>
            <w:r w:rsidRPr="00400D3F">
              <w:t>−$906,524</w:t>
            </w:r>
          </w:p>
        </w:tc>
        <w:tc>
          <w:tcPr>
            <w:tcW w:w="646" w:type="pct"/>
            <w:tcBorders>
              <w:top w:val="double" w:sz="4" w:space="0" w:color="auto"/>
            </w:tcBorders>
            <w:noWrap/>
          </w:tcPr>
          <w:p w14:paraId="280E37AD" w14:textId="74026405" w:rsidR="005C553F" w:rsidRPr="00865B57" w:rsidRDefault="005C553F" w:rsidP="005C553F">
            <w:pPr>
              <w:pStyle w:val="TableText"/>
              <w:jc w:val="right"/>
            </w:pPr>
            <w:r w:rsidRPr="00400D3F">
              <w:t>−$1,210,111</w:t>
            </w:r>
          </w:p>
        </w:tc>
        <w:tc>
          <w:tcPr>
            <w:tcW w:w="646" w:type="pct"/>
            <w:tcBorders>
              <w:top w:val="double" w:sz="4" w:space="0" w:color="auto"/>
            </w:tcBorders>
            <w:noWrap/>
          </w:tcPr>
          <w:p w14:paraId="447A9F72" w14:textId="1AC417D8" w:rsidR="005C553F" w:rsidRPr="00865B57" w:rsidRDefault="005C553F" w:rsidP="005C553F">
            <w:pPr>
              <w:pStyle w:val="TableText"/>
              <w:jc w:val="right"/>
            </w:pPr>
            <w:r w:rsidRPr="00400D3F">
              <w:t>−$1,514,406</w:t>
            </w:r>
          </w:p>
        </w:tc>
        <w:tc>
          <w:tcPr>
            <w:tcW w:w="644" w:type="pct"/>
            <w:tcBorders>
              <w:top w:val="double" w:sz="4" w:space="0" w:color="auto"/>
            </w:tcBorders>
            <w:noWrap/>
          </w:tcPr>
          <w:p w14:paraId="2F43A9B6" w14:textId="6FD36F0A" w:rsidR="005C553F" w:rsidRPr="00865B57" w:rsidRDefault="005C553F" w:rsidP="005C553F">
            <w:pPr>
              <w:pStyle w:val="TableText"/>
              <w:jc w:val="right"/>
            </w:pPr>
            <w:r w:rsidRPr="00400D3F">
              <w:t>−$1,819,407</w:t>
            </w:r>
          </w:p>
        </w:tc>
      </w:tr>
      <w:tr w:rsidR="00E31CDE" w:rsidRPr="00BF18C8" w14:paraId="2C5C8CA1" w14:textId="77777777" w:rsidTr="71856625">
        <w:trPr>
          <w:cantSplit/>
        </w:trPr>
        <w:tc>
          <w:tcPr>
            <w:tcW w:w="1257" w:type="pct"/>
            <w:noWrap/>
          </w:tcPr>
          <w:p w14:paraId="5CAB2F83" w14:textId="4438C10A" w:rsidR="00E31CDE" w:rsidRPr="00B579B4" w:rsidRDefault="00E31CDE" w:rsidP="71856625">
            <w:pPr>
              <w:pStyle w:val="TableText"/>
              <w:rPr>
                <w:b/>
                <w:bCs/>
              </w:rPr>
            </w:pPr>
            <w:r w:rsidRPr="71856625">
              <w:rPr>
                <w:b/>
                <w:bCs/>
              </w:rPr>
              <w:t>Net cost to Government health budgets (including changes in hospitalisations)</w:t>
            </w:r>
          </w:p>
        </w:tc>
        <w:tc>
          <w:tcPr>
            <w:tcW w:w="602" w:type="pct"/>
            <w:noWrap/>
          </w:tcPr>
          <w:p w14:paraId="2E4A8F2E" w14:textId="3757952F" w:rsidR="00E31CDE" w:rsidRPr="00B579B4" w:rsidRDefault="00E31CDE" w:rsidP="00E31CDE">
            <w:pPr>
              <w:pStyle w:val="TableText"/>
              <w:jc w:val="right"/>
              <w:rPr>
                <w:b/>
              </w:rPr>
            </w:pPr>
            <w:r w:rsidRPr="00B579B4">
              <w:rPr>
                <w:b/>
              </w:rPr>
              <w:t>$337,487</w:t>
            </w:r>
          </w:p>
        </w:tc>
        <w:tc>
          <w:tcPr>
            <w:tcW w:w="602" w:type="pct"/>
            <w:noWrap/>
          </w:tcPr>
          <w:p w14:paraId="7D63A256" w14:textId="2C3D7CBC" w:rsidR="00E31CDE" w:rsidRPr="00B579B4" w:rsidRDefault="00E31CDE" w:rsidP="00E31CDE">
            <w:pPr>
              <w:pStyle w:val="TableText"/>
              <w:jc w:val="right"/>
              <w:rPr>
                <w:b/>
              </w:rPr>
            </w:pPr>
            <w:r w:rsidRPr="00B579B4">
              <w:rPr>
                <w:b/>
              </w:rPr>
              <w:t>$38,844</w:t>
            </w:r>
          </w:p>
        </w:tc>
        <w:tc>
          <w:tcPr>
            <w:tcW w:w="602" w:type="pct"/>
            <w:noWrap/>
          </w:tcPr>
          <w:p w14:paraId="7257BA25" w14:textId="31DB3AFA" w:rsidR="00E31CDE" w:rsidRPr="00B579B4" w:rsidRDefault="00E31CDE" w:rsidP="00E31CDE">
            <w:pPr>
              <w:pStyle w:val="TableText"/>
              <w:jc w:val="right"/>
              <w:rPr>
                <w:b/>
              </w:rPr>
            </w:pPr>
            <w:r w:rsidRPr="00B579B4">
              <w:rPr>
                <w:b/>
              </w:rPr>
              <w:t>−$259,405</w:t>
            </w:r>
          </w:p>
        </w:tc>
        <w:tc>
          <w:tcPr>
            <w:tcW w:w="646" w:type="pct"/>
            <w:noWrap/>
          </w:tcPr>
          <w:p w14:paraId="2A8D15DA" w14:textId="3995FB30" w:rsidR="00E31CDE" w:rsidRPr="00B579B4" w:rsidRDefault="00E31CDE" w:rsidP="00E31CDE">
            <w:pPr>
              <w:pStyle w:val="TableText"/>
              <w:jc w:val="right"/>
              <w:rPr>
                <w:b/>
              </w:rPr>
            </w:pPr>
            <w:r w:rsidRPr="00B579B4">
              <w:rPr>
                <w:b/>
              </w:rPr>
              <w:t>−$558,354</w:t>
            </w:r>
          </w:p>
        </w:tc>
        <w:tc>
          <w:tcPr>
            <w:tcW w:w="646" w:type="pct"/>
            <w:noWrap/>
          </w:tcPr>
          <w:p w14:paraId="018C2224" w14:textId="1FB996FC" w:rsidR="00E31CDE" w:rsidRPr="00B579B4" w:rsidRDefault="00E31CDE" w:rsidP="00E31CDE">
            <w:pPr>
              <w:pStyle w:val="TableText"/>
              <w:jc w:val="right"/>
              <w:rPr>
                <w:b/>
              </w:rPr>
            </w:pPr>
            <w:r w:rsidRPr="00B579B4">
              <w:rPr>
                <w:b/>
              </w:rPr>
              <w:t>−$858,002</w:t>
            </w:r>
          </w:p>
        </w:tc>
        <w:tc>
          <w:tcPr>
            <w:tcW w:w="644" w:type="pct"/>
            <w:noWrap/>
          </w:tcPr>
          <w:p w14:paraId="78067FAA" w14:textId="558F3EA7" w:rsidR="00E31CDE" w:rsidRPr="00B579B4" w:rsidRDefault="00E31CDE" w:rsidP="71856625">
            <w:pPr>
              <w:pStyle w:val="TableText"/>
              <w:jc w:val="right"/>
              <w:rPr>
                <w:b/>
                <w:bCs/>
              </w:rPr>
            </w:pPr>
            <w:r w:rsidRPr="71856625">
              <w:rPr>
                <w:b/>
                <w:bCs/>
              </w:rPr>
              <w:t>−$1,158,349</w:t>
            </w:r>
          </w:p>
        </w:tc>
      </w:tr>
    </w:tbl>
    <w:p w14:paraId="25996A8E" w14:textId="79568A7B" w:rsidR="001952F4" w:rsidRDefault="00AA5283" w:rsidP="001952F4">
      <w:pPr>
        <w:pStyle w:val="TableFigureFooter"/>
      </w:pPr>
      <w:r>
        <w:t>SCD = sickle cell disease.</w:t>
      </w:r>
    </w:p>
    <w:p w14:paraId="7838A9FF" w14:textId="36A881A8" w:rsidR="00772829" w:rsidRDefault="00C36633" w:rsidP="002A18BE">
      <w:pPr>
        <w:pStyle w:val="Heading2"/>
        <w:numPr>
          <w:ilvl w:val="0"/>
          <w:numId w:val="0"/>
        </w:numPr>
      </w:pPr>
      <w:bookmarkStart w:id="69" w:name="_Toc149736399"/>
      <w:r>
        <w:t>1</w:t>
      </w:r>
      <w:r w:rsidR="00521918">
        <w:t>5</w:t>
      </w:r>
      <w:r>
        <w:t>.</w:t>
      </w:r>
      <w:r>
        <w:tab/>
      </w:r>
      <w:r w:rsidR="00772829" w:rsidRPr="00CE28E3">
        <w:t xml:space="preserve">Other relevant </w:t>
      </w:r>
      <w:r w:rsidR="00FA5766">
        <w:t>information</w:t>
      </w:r>
      <w:bookmarkEnd w:id="69"/>
    </w:p>
    <w:p w14:paraId="20FE680B" w14:textId="602AD917" w:rsidR="00770710" w:rsidRPr="00770710" w:rsidRDefault="00092F3F" w:rsidP="00770710">
      <w:r>
        <w:t>While</w:t>
      </w:r>
      <w:r w:rsidR="00C04947">
        <w:t xml:space="preserve"> program</w:t>
      </w:r>
      <w:r>
        <w:t xml:space="preserve"> implementation costs were not considered in </w:t>
      </w:r>
      <w:r w:rsidR="009E634F">
        <w:t>their</w:t>
      </w:r>
      <w:r>
        <w:t xml:space="preserve"> entirety, s</w:t>
      </w:r>
      <w:r w:rsidR="00A802AC">
        <w:t xml:space="preserve">ome </w:t>
      </w:r>
      <w:r w:rsidR="00C04947">
        <w:t xml:space="preserve">direct </w:t>
      </w:r>
      <w:r w:rsidR="00BA566E">
        <w:t xml:space="preserve">costs </w:t>
      </w:r>
      <w:r w:rsidR="00B2189A">
        <w:t>of implementing NBS for SCD (</w:t>
      </w:r>
      <w:r w:rsidR="00A802AC">
        <w:t xml:space="preserve">such as </w:t>
      </w:r>
      <w:r w:rsidR="004379AC">
        <w:t xml:space="preserve">instrumentation and staffing </w:t>
      </w:r>
      <w:r>
        <w:t>costs</w:t>
      </w:r>
      <w:r w:rsidR="00B2189A">
        <w:t>)</w:t>
      </w:r>
      <w:r>
        <w:t xml:space="preserve"> were </w:t>
      </w:r>
      <w:r w:rsidR="0055463D">
        <w:t>included</w:t>
      </w:r>
      <w:r>
        <w:t xml:space="preserve"> </w:t>
      </w:r>
      <w:r w:rsidR="00BA566E">
        <w:t xml:space="preserve">in this </w:t>
      </w:r>
      <w:r w:rsidR="00697188">
        <w:t xml:space="preserve">health technology </w:t>
      </w:r>
      <w:r w:rsidR="001E25B5">
        <w:t>assessment</w:t>
      </w:r>
      <w:r w:rsidR="00BA566E">
        <w:t xml:space="preserve">. </w:t>
      </w:r>
      <w:r w:rsidR="001E66E5">
        <w:t>However, b</w:t>
      </w:r>
      <w:r w:rsidR="005075CD">
        <w:t xml:space="preserve">roader programmatic implementation costs </w:t>
      </w:r>
      <w:r w:rsidR="007A17FE">
        <w:t>not captured by HTA</w:t>
      </w:r>
      <w:r w:rsidR="008217A1">
        <w:t xml:space="preserve"> </w:t>
      </w:r>
      <w:r w:rsidR="00BA566E">
        <w:t>will be significant</w:t>
      </w:r>
      <w:r w:rsidR="00697188">
        <w:t>,</w:t>
      </w:r>
      <w:r w:rsidR="00BA566E">
        <w:t xml:space="preserve"> and maximum benefit/cost and minimum laboratory disruption will be achieved with bundling </w:t>
      </w:r>
      <w:r w:rsidR="002F5D26">
        <w:t xml:space="preserve">together </w:t>
      </w:r>
      <w:r w:rsidR="00F71E67">
        <w:t xml:space="preserve">the implementation of adding </w:t>
      </w:r>
      <w:r w:rsidR="00BA566E">
        <w:t xml:space="preserve">new </w:t>
      </w:r>
      <w:r w:rsidR="00F71E67">
        <w:t xml:space="preserve">conditions to </w:t>
      </w:r>
      <w:r w:rsidR="00BA566E">
        <w:t xml:space="preserve">screening programs. This will result in a single education program for all new conditions to be added to routine newborn blood spot screening, with separate information campaigns directed to health professionals, </w:t>
      </w:r>
      <w:proofErr w:type="gramStart"/>
      <w:r w:rsidR="00BA566E">
        <w:t>parents</w:t>
      </w:r>
      <w:proofErr w:type="gramEnd"/>
      <w:r w:rsidR="00BA566E">
        <w:t xml:space="preserve"> and the community.</w:t>
      </w:r>
    </w:p>
    <w:p w14:paraId="36C5FAEE" w14:textId="25CCBB76" w:rsidR="00521918" w:rsidRDefault="00521918" w:rsidP="00521918">
      <w:pPr>
        <w:pStyle w:val="Heading2"/>
        <w:numPr>
          <w:ilvl w:val="0"/>
          <w:numId w:val="0"/>
        </w:numPr>
      </w:pPr>
      <w:r>
        <w:t>16.</w:t>
      </w:r>
      <w:r>
        <w:tab/>
        <w:t>Applicant comments on MSAC’s Public Summary Document</w:t>
      </w:r>
    </w:p>
    <w:p w14:paraId="2CC25C19" w14:textId="68F88C1D" w:rsidR="007D770C" w:rsidRPr="00464954" w:rsidRDefault="008A4649" w:rsidP="00464954">
      <w:r w:rsidRPr="007D770C">
        <w:t>Australia Sickle Cell Advocacy Inc welcomes the MSAC's advice to include screening for Sickle Cell Disease (SCD) as part of the Newborn Bloodspot Screening (NBS). This new listing will ensure early diagnosis of SCD in Australia, improving health outcomes for babies screened through NBS programs, where previous targeted tests detected less than half of SCD cases before symptoms developed. This is particularly important as the rates of SCD in Australia are substantially higher than previously thought, and noting the incidence of SCD in Australia is predicted</w:t>
      </w:r>
      <w:r w:rsidRPr="008A4649">
        <w:rPr>
          <w:szCs w:val="24"/>
        </w:rPr>
        <w:t xml:space="preserve"> to increase.</w:t>
      </w:r>
    </w:p>
    <w:p w14:paraId="5E11D3A3" w14:textId="51FE9D4F" w:rsidR="00521918" w:rsidRDefault="00521918" w:rsidP="00521918">
      <w:pPr>
        <w:pStyle w:val="Heading2"/>
        <w:numPr>
          <w:ilvl w:val="0"/>
          <w:numId w:val="0"/>
        </w:numPr>
      </w:pPr>
      <w:r>
        <w:t>17.</w:t>
      </w:r>
      <w:r>
        <w:tab/>
        <w:t>Further information on MSAC</w:t>
      </w:r>
    </w:p>
    <w:p w14:paraId="4B6EFE6D" w14:textId="6DE526A2" w:rsidR="00487C85" w:rsidRPr="00521918" w:rsidRDefault="00521918" w:rsidP="00521918">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4" w:tooltip="Link to the MSAC website" w:history="1">
        <w:r w:rsidRPr="00F309FA">
          <w:rPr>
            <w:rStyle w:val="Hyperlink"/>
            <w:rFonts w:ascii="Franklin Gothic Book" w:hAnsi="Franklin Gothic Book"/>
            <w:bCs/>
            <w:iCs/>
            <w:sz w:val="22"/>
          </w:rPr>
          <w:t>visit the MSAC website</w:t>
        </w:r>
      </w:hyperlink>
    </w:p>
    <w:sectPr w:rsidR="00487C85" w:rsidRPr="00521918" w:rsidSect="0045480A">
      <w:footerReference w:type="defaul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DABB" w14:textId="77777777" w:rsidR="008A5776" w:rsidRDefault="008A5776" w:rsidP="00B62DF2">
      <w:pPr>
        <w:spacing w:after="0" w:line="240" w:lineRule="auto"/>
      </w:pPr>
      <w:r>
        <w:separator/>
      </w:r>
    </w:p>
  </w:endnote>
  <w:endnote w:type="continuationSeparator" w:id="0">
    <w:p w14:paraId="32A5A78E" w14:textId="77777777" w:rsidR="008A5776" w:rsidRDefault="008A5776" w:rsidP="00B62DF2">
      <w:pPr>
        <w:spacing w:after="0" w:line="240" w:lineRule="auto"/>
      </w:pPr>
      <w:r>
        <w:continuationSeparator/>
      </w:r>
    </w:p>
  </w:endnote>
  <w:endnote w:type="continuationNotice" w:id="1">
    <w:p w14:paraId="30120B4A" w14:textId="77777777" w:rsidR="008A5776" w:rsidRDefault="008A57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53694"/>
      <w:docPartObj>
        <w:docPartGallery w:val="Page Numbers (Bottom of Page)"/>
        <w:docPartUnique/>
      </w:docPartObj>
    </w:sdtPr>
    <w:sdtEndPr>
      <w:rPr>
        <w:noProof/>
      </w:rPr>
    </w:sdtEndPr>
    <w:sdtContent>
      <w:p w14:paraId="26907B88" w14:textId="2632B926" w:rsidR="0045480A" w:rsidRDefault="0045480A" w:rsidP="0045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53553"/>
      <w:docPartObj>
        <w:docPartGallery w:val="Page Numbers (Bottom of Page)"/>
        <w:docPartUnique/>
      </w:docPartObj>
    </w:sdtPr>
    <w:sdtEndPr>
      <w:rPr>
        <w:noProof/>
      </w:rPr>
    </w:sdtEndPr>
    <w:sdtContent>
      <w:p w14:paraId="29B82808" w14:textId="1B26C81F" w:rsidR="0045480A" w:rsidRDefault="0045480A" w:rsidP="0045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AF7B" w14:textId="77777777" w:rsidR="008A5776" w:rsidRDefault="008A5776" w:rsidP="00B62DF2">
      <w:pPr>
        <w:spacing w:after="0" w:line="240" w:lineRule="auto"/>
      </w:pPr>
      <w:r>
        <w:separator/>
      </w:r>
    </w:p>
  </w:footnote>
  <w:footnote w:type="continuationSeparator" w:id="0">
    <w:p w14:paraId="623449D7" w14:textId="77777777" w:rsidR="008A5776" w:rsidRDefault="008A5776" w:rsidP="00B62DF2">
      <w:pPr>
        <w:spacing w:after="0" w:line="240" w:lineRule="auto"/>
      </w:pPr>
      <w:r>
        <w:continuationSeparator/>
      </w:r>
    </w:p>
  </w:footnote>
  <w:footnote w:type="continuationNotice" w:id="1">
    <w:p w14:paraId="597E1743" w14:textId="77777777" w:rsidR="008A5776" w:rsidRDefault="008A5776">
      <w:pPr>
        <w:spacing w:before="0" w:after="0" w:line="240" w:lineRule="auto"/>
      </w:pPr>
    </w:p>
  </w:footnote>
  <w:footnote w:id="2">
    <w:p w14:paraId="32AC9731" w14:textId="7F3D36E4" w:rsidR="00A52F5A" w:rsidRDefault="00A52F5A" w:rsidP="00DB6A8E">
      <w:pPr>
        <w:pStyle w:val="FootnoteText"/>
        <w:spacing w:before="0"/>
      </w:pPr>
      <w:r>
        <w:rPr>
          <w:rStyle w:val="FootnoteReference"/>
        </w:rPr>
        <w:footnoteRef/>
      </w:r>
      <w:r>
        <w:t xml:space="preserve"> Public Summary Document (PSD) for MSAC application 1737 – </w:t>
      </w:r>
      <w:r w:rsidRPr="00A52F5A">
        <w:t>Newborn bloodspot screening for sickle cell disease and beta thalassaemia</w:t>
      </w:r>
      <w:r>
        <w:t xml:space="preserve">. Available at: </w:t>
      </w:r>
      <w:hyperlink r:id="rId1" w:history="1">
        <w:r w:rsidRPr="006F5458">
          <w:rPr>
            <w:rStyle w:val="Hyperlink"/>
          </w:rPr>
          <w:t>http://www.msac.gov.au/internet/msac/publishing.nsf/Content/1737-public</w:t>
        </w:r>
      </w:hyperlink>
      <w:r>
        <w:t xml:space="preserve"> </w:t>
      </w:r>
    </w:p>
  </w:footnote>
  <w:footnote w:id="3">
    <w:p w14:paraId="01B4BEAC" w14:textId="6EC1EF51" w:rsidR="002D6093" w:rsidRDefault="002D6093" w:rsidP="00DB6A8E">
      <w:pPr>
        <w:pStyle w:val="FootnoteText"/>
        <w:spacing w:before="0"/>
      </w:pPr>
      <w:r>
        <w:rPr>
          <w:rStyle w:val="FootnoteReference"/>
        </w:rPr>
        <w:footnoteRef/>
      </w:r>
      <w:r>
        <w:t xml:space="preserve"> Newborn Bloodspot Screening National Policy Framework (NBS NPF), Department of Health, 2018. Available at: </w:t>
      </w:r>
      <w:hyperlink r:id="rId2" w:history="1">
        <w:r w:rsidRPr="001A1AA3">
          <w:rPr>
            <w:rStyle w:val="Hyperlink"/>
          </w:rPr>
          <w:t>https://www.health.gov.au/resources/publications/newborn-bloodspot-screening-national-policyframework?language=en</w:t>
        </w:r>
      </w:hyperlink>
      <w:r>
        <w:t xml:space="preserve"> </w:t>
      </w:r>
    </w:p>
  </w:footnote>
  <w:footnote w:id="4">
    <w:p w14:paraId="499FEA1B" w14:textId="7BBF36A3" w:rsidR="00993678" w:rsidRDefault="00993678" w:rsidP="00DB6A8E">
      <w:pPr>
        <w:pStyle w:val="FootnoteText"/>
        <w:spacing w:before="0"/>
      </w:pPr>
      <w:r>
        <w:rPr>
          <w:rStyle w:val="FootnoteReference"/>
        </w:rPr>
        <w:footnoteRef/>
      </w:r>
      <w:r>
        <w:t xml:space="preserve"> Australian Haemoglobinopathy Registry (</w:t>
      </w:r>
      <w:proofErr w:type="spellStart"/>
      <w:r>
        <w:rPr>
          <w:bCs/>
        </w:rPr>
        <w:t>HbR</w:t>
      </w:r>
      <w:proofErr w:type="spellEnd"/>
      <w:r>
        <w:rPr>
          <w:bCs/>
        </w:rPr>
        <w:t>) Brief report for MSAC (2023).</w:t>
      </w:r>
    </w:p>
  </w:footnote>
  <w:footnote w:id="5">
    <w:p w14:paraId="6875DCF3" w14:textId="160E70C7" w:rsidR="001C3B1F" w:rsidRDefault="001C3B1F" w:rsidP="00DB6A8E">
      <w:pPr>
        <w:pStyle w:val="FootnoteText"/>
        <w:spacing w:before="0"/>
      </w:pPr>
      <w:r>
        <w:rPr>
          <w:rStyle w:val="FootnoteReference"/>
        </w:rPr>
        <w:footnoteRef/>
      </w:r>
      <w:r>
        <w:t xml:space="preserve"> Nelson, A, et al. (2023) ‘Sickle cell disease in Australia: A snapshot from the Australian Haemoglobinopathy Registry. </w:t>
      </w:r>
      <w:r w:rsidRPr="00374D3A">
        <w:rPr>
          <w:i/>
        </w:rPr>
        <w:t>Int Med J</w:t>
      </w:r>
      <w:r w:rsidR="0073063D">
        <w:rPr>
          <w:iCs/>
        </w:rPr>
        <w:t>, 2023</w:t>
      </w:r>
      <w:r w:rsidR="00967234">
        <w:rPr>
          <w:iCs/>
        </w:rPr>
        <w:t xml:space="preserve"> </w:t>
      </w:r>
      <w:r w:rsidR="0073063D">
        <w:rPr>
          <w:iCs/>
        </w:rPr>
        <w:t>Dec 8,</w:t>
      </w:r>
      <w:r w:rsidR="0073063D" w:rsidRPr="0073063D">
        <w:rPr>
          <w:rFonts w:ascii="Segoe UI" w:hAnsi="Segoe UI" w:cs="Segoe UI"/>
          <w:color w:val="212121"/>
          <w:sz w:val="22"/>
          <w:szCs w:val="22"/>
          <w:shd w:val="clear" w:color="auto" w:fill="FFFFFF"/>
        </w:rPr>
        <w:t xml:space="preserve"> </w:t>
      </w:r>
      <w:proofErr w:type="spellStart"/>
      <w:r w:rsidR="0073063D" w:rsidRPr="0073063D">
        <w:rPr>
          <w:iCs/>
        </w:rPr>
        <w:t>doi</w:t>
      </w:r>
      <w:proofErr w:type="spellEnd"/>
      <w:r w:rsidR="0073063D" w:rsidRPr="0073063D">
        <w:rPr>
          <w:iCs/>
        </w:rPr>
        <w:t xml:space="preserve">: 10.1111/imj.16297. </w:t>
      </w:r>
      <w:proofErr w:type="spellStart"/>
      <w:r w:rsidR="0073063D" w:rsidRPr="0073063D">
        <w:rPr>
          <w:iCs/>
        </w:rPr>
        <w:t>Epub</w:t>
      </w:r>
      <w:proofErr w:type="spellEnd"/>
      <w:r w:rsidR="0073063D" w:rsidRPr="0073063D">
        <w:rPr>
          <w:iCs/>
        </w:rPr>
        <w:t xml:space="preserve"> ahead of print. PMID: 38064543</w:t>
      </w:r>
      <w:r>
        <w:t>.</w:t>
      </w:r>
    </w:p>
  </w:footnote>
  <w:footnote w:id="6">
    <w:p w14:paraId="5853B53F" w14:textId="628CD6A6" w:rsidR="00BB2521" w:rsidRPr="00BB2521" w:rsidRDefault="00BB2521" w:rsidP="00DB6A8E">
      <w:pPr>
        <w:spacing w:before="0" w:after="0"/>
        <w:rPr>
          <w:rFonts w:asciiTheme="minorHAnsi" w:hAnsiTheme="minorHAnsi"/>
          <w:sz w:val="18"/>
          <w:szCs w:val="20"/>
        </w:rPr>
      </w:pPr>
      <w:r>
        <w:rPr>
          <w:rStyle w:val="FootnoteReference"/>
        </w:rPr>
        <w:footnoteRef/>
      </w:r>
      <w:r>
        <w:t xml:space="preserve"> </w:t>
      </w:r>
      <w:r w:rsidRPr="00BB2521">
        <w:rPr>
          <w:rFonts w:asciiTheme="minorHAnsi" w:hAnsiTheme="minorHAnsi"/>
          <w:sz w:val="18"/>
          <w:szCs w:val="20"/>
        </w:rPr>
        <w:t xml:space="preserve">Genetic Science Learning Centre, </w:t>
      </w:r>
      <w:proofErr w:type="spellStart"/>
      <w:r w:rsidRPr="00BB2521">
        <w:rPr>
          <w:rFonts w:asciiTheme="minorHAnsi" w:hAnsiTheme="minorHAnsi"/>
          <w:sz w:val="18"/>
          <w:szCs w:val="20"/>
        </w:rPr>
        <w:t>Hemoglobin</w:t>
      </w:r>
      <w:proofErr w:type="spellEnd"/>
      <w:r w:rsidRPr="00BB2521">
        <w:rPr>
          <w:rFonts w:asciiTheme="minorHAnsi" w:hAnsiTheme="minorHAnsi"/>
          <w:sz w:val="18"/>
          <w:szCs w:val="20"/>
        </w:rPr>
        <w:t xml:space="preserve"> Disorders, University of Utah, viewed 30th September 2022, &lt;https://learn.genetics.utah.edu/content/genetics/hemoglobin&gt;.</w:t>
      </w:r>
    </w:p>
  </w:footnote>
  <w:footnote w:id="7">
    <w:p w14:paraId="621E0101" w14:textId="1CF39C4A" w:rsidR="00A53FBA" w:rsidRPr="00A53FBA" w:rsidRDefault="00A53FBA"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r w:rsidRPr="00A53FBA">
        <w:rPr>
          <w:rFonts w:asciiTheme="minorHAnsi" w:hAnsiTheme="minorHAnsi"/>
          <w:sz w:val="18"/>
          <w:szCs w:val="20"/>
        </w:rPr>
        <w:t xml:space="preserve">Chou, ST, </w:t>
      </w:r>
      <w:r w:rsidR="00992757">
        <w:rPr>
          <w:rFonts w:asciiTheme="minorHAnsi" w:hAnsiTheme="minorHAnsi"/>
          <w:sz w:val="18"/>
          <w:szCs w:val="20"/>
        </w:rPr>
        <w:t>et al.</w:t>
      </w:r>
      <w:r w:rsidR="00404AF1">
        <w:rPr>
          <w:rFonts w:asciiTheme="minorHAnsi" w:hAnsiTheme="minorHAnsi"/>
          <w:sz w:val="18"/>
          <w:szCs w:val="20"/>
        </w:rPr>
        <w:t xml:space="preserve"> </w:t>
      </w:r>
      <w:r w:rsidR="00992757">
        <w:rPr>
          <w:rFonts w:asciiTheme="minorHAnsi" w:hAnsiTheme="minorHAnsi"/>
          <w:sz w:val="18"/>
          <w:szCs w:val="20"/>
        </w:rPr>
        <w:t>(</w:t>
      </w:r>
      <w:r w:rsidRPr="00A53FBA">
        <w:rPr>
          <w:rFonts w:asciiTheme="minorHAnsi" w:hAnsiTheme="minorHAnsi"/>
          <w:sz w:val="18"/>
          <w:szCs w:val="20"/>
        </w:rPr>
        <w:t>2020</w:t>
      </w:r>
      <w:r w:rsidR="00992757">
        <w:rPr>
          <w:rFonts w:asciiTheme="minorHAnsi" w:hAnsiTheme="minorHAnsi"/>
          <w:sz w:val="18"/>
          <w:szCs w:val="20"/>
        </w:rPr>
        <w:t>)</w:t>
      </w:r>
      <w:r w:rsidRPr="00A53FBA">
        <w:rPr>
          <w:rFonts w:asciiTheme="minorHAnsi" w:hAnsiTheme="minorHAnsi"/>
          <w:sz w:val="18"/>
          <w:szCs w:val="20"/>
        </w:rPr>
        <w:t xml:space="preserve">, 'American Society of Hematology 2020 guidelines for sickle cell disease: transfusion support', </w:t>
      </w:r>
      <w:r w:rsidRPr="00404AF1">
        <w:rPr>
          <w:rFonts w:asciiTheme="minorHAnsi" w:hAnsiTheme="minorHAnsi"/>
          <w:i/>
          <w:sz w:val="18"/>
        </w:rPr>
        <w:t xml:space="preserve">Blood </w:t>
      </w:r>
      <w:r w:rsidRPr="00374D3A">
        <w:rPr>
          <w:rFonts w:asciiTheme="minorHAnsi" w:hAnsiTheme="minorHAnsi"/>
          <w:i/>
          <w:sz w:val="18"/>
          <w:szCs w:val="20"/>
        </w:rPr>
        <w:t>Adv</w:t>
      </w:r>
      <w:r w:rsidRPr="00A53FBA">
        <w:rPr>
          <w:rFonts w:asciiTheme="minorHAnsi" w:hAnsiTheme="minorHAnsi"/>
          <w:sz w:val="18"/>
          <w:szCs w:val="20"/>
        </w:rPr>
        <w:t>, vol. 4, no. 2, pp. 327-355.</w:t>
      </w:r>
      <w:r w:rsidR="00C7034C">
        <w:rPr>
          <w:rFonts w:asciiTheme="minorHAnsi" w:hAnsiTheme="minorHAnsi"/>
          <w:sz w:val="18"/>
          <w:szCs w:val="20"/>
        </w:rPr>
        <w:t xml:space="preserve"> </w:t>
      </w:r>
      <w:r w:rsidR="00C7034C" w:rsidRPr="00C7034C">
        <w:rPr>
          <w:rFonts w:asciiTheme="minorHAnsi" w:hAnsiTheme="minorHAnsi"/>
          <w:sz w:val="18"/>
          <w:szCs w:val="20"/>
        </w:rPr>
        <w:t>DOI 10.1182/bloodadvances.2019001143.</w:t>
      </w:r>
    </w:p>
  </w:footnote>
  <w:footnote w:id="8">
    <w:p w14:paraId="33B766E5" w14:textId="47EFAF4C" w:rsidR="00F757C5" w:rsidRPr="00EF53B2" w:rsidRDefault="00F757C5" w:rsidP="00DB6A8E">
      <w:pPr>
        <w:spacing w:before="0" w:after="0"/>
        <w:rPr>
          <w:rFonts w:asciiTheme="minorHAnsi" w:hAnsiTheme="minorHAnsi" w:cstheme="minorHAnsi"/>
          <w:sz w:val="18"/>
          <w:szCs w:val="18"/>
        </w:rPr>
      </w:pPr>
      <w:r w:rsidRPr="00935DFB">
        <w:rPr>
          <w:rStyle w:val="FootnoteReference"/>
          <w:rFonts w:asciiTheme="minorHAnsi" w:hAnsiTheme="minorHAnsi" w:cstheme="minorHAnsi"/>
          <w:sz w:val="18"/>
          <w:szCs w:val="18"/>
        </w:rPr>
        <w:footnoteRef/>
      </w:r>
      <w:r>
        <w:t xml:space="preserve"> </w:t>
      </w:r>
      <w:r w:rsidRPr="00F757C5">
        <w:rPr>
          <w:rFonts w:asciiTheme="minorHAnsi" w:hAnsiTheme="minorHAnsi"/>
          <w:sz w:val="18"/>
          <w:szCs w:val="20"/>
        </w:rPr>
        <w:t xml:space="preserve">DeBaun, </w:t>
      </w:r>
      <w:r w:rsidR="00E56844">
        <w:rPr>
          <w:rFonts w:asciiTheme="minorHAnsi" w:hAnsiTheme="minorHAnsi"/>
          <w:sz w:val="18"/>
          <w:szCs w:val="20"/>
        </w:rPr>
        <w:t>et al</w:t>
      </w:r>
      <w:r w:rsidRPr="00F757C5">
        <w:rPr>
          <w:rFonts w:asciiTheme="minorHAnsi" w:hAnsiTheme="minorHAnsi"/>
          <w:sz w:val="18"/>
          <w:szCs w:val="20"/>
        </w:rPr>
        <w:t xml:space="preserve"> </w:t>
      </w:r>
      <w:r w:rsidR="00E56844">
        <w:rPr>
          <w:rFonts w:asciiTheme="minorHAnsi" w:hAnsiTheme="minorHAnsi"/>
          <w:sz w:val="18"/>
          <w:szCs w:val="20"/>
        </w:rPr>
        <w:t>(</w:t>
      </w:r>
      <w:r w:rsidRPr="00F757C5">
        <w:rPr>
          <w:rFonts w:asciiTheme="minorHAnsi" w:hAnsiTheme="minorHAnsi"/>
          <w:sz w:val="18"/>
          <w:szCs w:val="20"/>
        </w:rPr>
        <w:t>2020</w:t>
      </w:r>
      <w:r w:rsidR="00E56844">
        <w:rPr>
          <w:rFonts w:asciiTheme="minorHAnsi" w:hAnsiTheme="minorHAnsi"/>
          <w:sz w:val="18"/>
          <w:szCs w:val="20"/>
        </w:rPr>
        <w:t>)</w:t>
      </w:r>
      <w:r w:rsidRPr="00F757C5">
        <w:rPr>
          <w:rFonts w:asciiTheme="minorHAnsi" w:hAnsiTheme="minorHAnsi"/>
          <w:sz w:val="18"/>
          <w:szCs w:val="20"/>
        </w:rPr>
        <w:t xml:space="preserve">, 'American Society of Hematology 2020 guidelines for sickle cell disease: prevention, diagnosis, and treatment of cerebrovascular </w:t>
      </w:r>
      <w:r w:rsidRPr="00EF53B2">
        <w:rPr>
          <w:rFonts w:asciiTheme="minorHAnsi" w:hAnsiTheme="minorHAnsi" w:cstheme="minorHAnsi"/>
          <w:sz w:val="18"/>
          <w:szCs w:val="18"/>
        </w:rPr>
        <w:t xml:space="preserve">disease in children and adults', </w:t>
      </w:r>
      <w:r w:rsidRPr="00404AF1">
        <w:rPr>
          <w:rFonts w:asciiTheme="minorHAnsi" w:hAnsiTheme="minorHAnsi"/>
          <w:i/>
          <w:sz w:val="18"/>
        </w:rPr>
        <w:t xml:space="preserve">Blood </w:t>
      </w:r>
      <w:r w:rsidRPr="00374D3A">
        <w:rPr>
          <w:rFonts w:asciiTheme="minorHAnsi" w:hAnsiTheme="minorHAnsi" w:cstheme="minorHAnsi"/>
          <w:i/>
          <w:sz w:val="18"/>
          <w:szCs w:val="18"/>
        </w:rPr>
        <w:t>Adv</w:t>
      </w:r>
      <w:r w:rsidRPr="00EF53B2">
        <w:rPr>
          <w:rFonts w:asciiTheme="minorHAnsi" w:hAnsiTheme="minorHAnsi" w:cstheme="minorHAnsi"/>
          <w:sz w:val="18"/>
          <w:szCs w:val="18"/>
        </w:rPr>
        <w:t>, vol. 4, no. 8, pp. 1554-1588.</w:t>
      </w:r>
      <w:r w:rsidR="00FE37BA" w:rsidRPr="00EF53B2">
        <w:rPr>
          <w:rFonts w:asciiTheme="minorHAnsi" w:hAnsiTheme="minorHAnsi" w:cstheme="minorHAnsi"/>
          <w:sz w:val="18"/>
          <w:szCs w:val="18"/>
        </w:rPr>
        <w:t xml:space="preserve"> DOI 10.1182/bloodadvances.2019001142.</w:t>
      </w:r>
    </w:p>
  </w:footnote>
  <w:footnote w:id="9">
    <w:p w14:paraId="326E7A42" w14:textId="105D1B20" w:rsidR="001972B7" w:rsidRPr="00EF53B2" w:rsidRDefault="005736D8" w:rsidP="001972B7">
      <w:pPr>
        <w:autoSpaceDE w:val="0"/>
        <w:autoSpaceDN w:val="0"/>
        <w:adjustRightInd w:val="0"/>
        <w:spacing w:before="0" w:after="0" w:line="240" w:lineRule="auto"/>
        <w:rPr>
          <w:rFonts w:asciiTheme="minorHAnsi" w:hAnsiTheme="minorHAnsi" w:cstheme="minorHAnsi"/>
          <w:sz w:val="18"/>
          <w:szCs w:val="18"/>
        </w:rPr>
      </w:pPr>
      <w:r w:rsidRPr="00EF53B2">
        <w:rPr>
          <w:rStyle w:val="FootnoteReference"/>
          <w:rFonts w:asciiTheme="minorHAnsi" w:hAnsiTheme="minorHAnsi" w:cstheme="minorHAnsi"/>
          <w:sz w:val="18"/>
          <w:szCs w:val="18"/>
        </w:rPr>
        <w:footnoteRef/>
      </w:r>
      <w:r w:rsidRPr="00EF53B2">
        <w:rPr>
          <w:rFonts w:asciiTheme="minorHAnsi" w:hAnsiTheme="minorHAnsi" w:cstheme="minorHAnsi"/>
          <w:sz w:val="18"/>
          <w:szCs w:val="18"/>
        </w:rPr>
        <w:t xml:space="preserve"> </w:t>
      </w:r>
      <w:r w:rsidR="001972B7" w:rsidRPr="00EF53B2">
        <w:rPr>
          <w:rFonts w:asciiTheme="minorHAnsi" w:hAnsiTheme="minorHAnsi" w:cstheme="minorHAnsi"/>
          <w:sz w:val="18"/>
          <w:szCs w:val="18"/>
        </w:rPr>
        <w:t xml:space="preserve">ASCA 2021, </w:t>
      </w:r>
      <w:r w:rsidR="001972B7" w:rsidRPr="00EF53B2">
        <w:rPr>
          <w:rFonts w:asciiTheme="minorHAnsi" w:hAnsiTheme="minorHAnsi" w:cstheme="minorHAnsi"/>
          <w:i/>
          <w:sz w:val="18"/>
          <w:szCs w:val="18"/>
        </w:rPr>
        <w:t>Hydroxyurea in Treating Sickle Cell Disease</w:t>
      </w:r>
      <w:r w:rsidR="001972B7" w:rsidRPr="00EF53B2">
        <w:rPr>
          <w:rFonts w:asciiTheme="minorHAnsi" w:hAnsiTheme="minorHAnsi" w:cstheme="minorHAnsi"/>
          <w:sz w:val="18"/>
          <w:szCs w:val="18"/>
        </w:rPr>
        <w:t>, Victoria, Australia.</w:t>
      </w:r>
    </w:p>
    <w:p w14:paraId="48779A72" w14:textId="05614C6A" w:rsidR="005736D8" w:rsidRPr="00EF53B2" w:rsidRDefault="001972B7" w:rsidP="001972B7">
      <w:pPr>
        <w:autoSpaceDE w:val="0"/>
        <w:autoSpaceDN w:val="0"/>
        <w:adjustRightInd w:val="0"/>
        <w:spacing w:before="0" w:after="0" w:line="240" w:lineRule="auto"/>
        <w:rPr>
          <w:rFonts w:asciiTheme="minorHAnsi" w:hAnsiTheme="minorHAnsi" w:cstheme="minorHAnsi"/>
          <w:sz w:val="18"/>
          <w:szCs w:val="18"/>
        </w:rPr>
      </w:pPr>
      <w:r w:rsidRPr="00EF53B2">
        <w:rPr>
          <w:rFonts w:asciiTheme="minorHAnsi" w:hAnsiTheme="minorHAnsi" w:cstheme="minorHAnsi"/>
          <w:sz w:val="18"/>
          <w:szCs w:val="18"/>
        </w:rPr>
        <w:t xml:space="preserve">Greenway </w:t>
      </w:r>
      <w:r w:rsidR="00512CAE">
        <w:rPr>
          <w:rFonts w:asciiTheme="minorHAnsi" w:hAnsiTheme="minorHAnsi" w:cstheme="minorHAnsi"/>
          <w:sz w:val="18"/>
          <w:szCs w:val="18"/>
        </w:rPr>
        <w:t>A</w:t>
      </w:r>
      <w:r w:rsidRPr="00EF53B2">
        <w:rPr>
          <w:rFonts w:asciiTheme="minorHAnsi" w:hAnsiTheme="minorHAnsi" w:cstheme="minorHAnsi"/>
          <w:sz w:val="18"/>
          <w:szCs w:val="18"/>
        </w:rPr>
        <w:t xml:space="preserve"> </w:t>
      </w:r>
      <w:r w:rsidRPr="00EF53B2">
        <w:rPr>
          <w:rFonts w:asciiTheme="minorHAnsi" w:hAnsiTheme="minorHAnsi" w:cstheme="minorHAnsi"/>
          <w:i/>
          <w:sz w:val="18"/>
          <w:szCs w:val="18"/>
        </w:rPr>
        <w:t>Sickle Cell Anaemia</w:t>
      </w:r>
      <w:r w:rsidRPr="00EF53B2">
        <w:rPr>
          <w:rFonts w:asciiTheme="minorHAnsi" w:hAnsiTheme="minorHAnsi" w:cstheme="minorHAnsi"/>
          <w:sz w:val="18"/>
          <w:szCs w:val="18"/>
        </w:rPr>
        <w:t>, The Royal Children's Hospital, Melbourne, University of Melbourne.</w:t>
      </w:r>
    </w:p>
  </w:footnote>
  <w:footnote w:id="10">
    <w:p w14:paraId="06990081" w14:textId="4939F478" w:rsidR="008277D8" w:rsidRPr="00EF53B2" w:rsidRDefault="008277D8" w:rsidP="00DB6A8E">
      <w:pPr>
        <w:pStyle w:val="FootnoteText"/>
        <w:spacing w:before="0"/>
        <w:rPr>
          <w:rFonts w:cstheme="minorHAnsi"/>
          <w:szCs w:val="18"/>
        </w:rPr>
      </w:pPr>
      <w:r w:rsidRPr="00EF53B2">
        <w:rPr>
          <w:rStyle w:val="FootnoteReference"/>
          <w:rFonts w:cstheme="minorHAnsi"/>
          <w:szCs w:val="18"/>
        </w:rPr>
        <w:footnoteRef/>
      </w:r>
      <w:r w:rsidRPr="00EF53B2">
        <w:rPr>
          <w:rFonts w:cstheme="minorHAnsi"/>
          <w:szCs w:val="18"/>
        </w:rPr>
        <w:t xml:space="preserve"> National Immunisation Schedule: </w:t>
      </w:r>
      <w:hyperlink r:id="rId3" w:history="1">
        <w:r w:rsidRPr="00EF53B2">
          <w:rPr>
            <w:rStyle w:val="Hyperlink"/>
            <w:rFonts w:cstheme="minorHAnsi"/>
            <w:szCs w:val="18"/>
          </w:rPr>
          <w:t>https://www.health.gov.au/sites/default/files/2023-03/national-immunisation-program-schedule.pdf</w:t>
        </w:r>
      </w:hyperlink>
      <w:r w:rsidRPr="00EF53B2">
        <w:rPr>
          <w:rStyle w:val="Hyperlink"/>
          <w:rFonts w:cstheme="minorHAnsi"/>
          <w:szCs w:val="18"/>
        </w:rPr>
        <w:t xml:space="preserve"> </w:t>
      </w:r>
    </w:p>
  </w:footnote>
  <w:footnote w:id="11">
    <w:p w14:paraId="378519E2" w14:textId="0D38BE60" w:rsidR="00385614" w:rsidRDefault="00385614" w:rsidP="00DB6A8E">
      <w:pPr>
        <w:pStyle w:val="FootnoteText"/>
        <w:spacing w:before="0"/>
      </w:pPr>
      <w:r>
        <w:rPr>
          <w:rStyle w:val="FootnoteReference"/>
        </w:rPr>
        <w:footnoteRef/>
      </w:r>
      <w:r>
        <w:t xml:space="preserve"> </w:t>
      </w:r>
      <w:proofErr w:type="spellStart"/>
      <w:r w:rsidR="00FC2ACE" w:rsidRPr="00FC2ACE">
        <w:t>Wastnedge</w:t>
      </w:r>
      <w:proofErr w:type="spellEnd"/>
      <w:r w:rsidR="00FC2ACE" w:rsidRPr="00FC2ACE">
        <w:t xml:space="preserve"> E, et al. </w:t>
      </w:r>
      <w:r w:rsidR="0043406E">
        <w:t xml:space="preserve">(2018) </w:t>
      </w:r>
      <w:r w:rsidR="00FC2ACE" w:rsidRPr="00FC2ACE">
        <w:t xml:space="preserve">The global burden of sickle cell disease in children under five years of age: a systematic review and meta-analysis. </w:t>
      </w:r>
      <w:r w:rsidR="00FC2ACE" w:rsidRPr="00351C07">
        <w:rPr>
          <w:i/>
        </w:rPr>
        <w:t>J Glob Health</w:t>
      </w:r>
      <w:r w:rsidR="00FC2ACE" w:rsidRPr="00FC2ACE">
        <w:t>. 2018 Dec;8(2):021103. DOI: 10.7189/jogh.08.021103.</w:t>
      </w:r>
    </w:p>
  </w:footnote>
  <w:footnote w:id="12">
    <w:p w14:paraId="1B902A83" w14:textId="6184D31F" w:rsidR="00B06D11" w:rsidRDefault="00B06D11" w:rsidP="00DB6A8E">
      <w:pPr>
        <w:pStyle w:val="FootnoteText"/>
        <w:spacing w:before="0"/>
      </w:pPr>
      <w:r>
        <w:rPr>
          <w:rStyle w:val="FootnoteReference"/>
        </w:rPr>
        <w:footnoteRef/>
      </w:r>
      <w:r>
        <w:t xml:space="preserve"> </w:t>
      </w:r>
      <w:r w:rsidR="001C5406">
        <w:t>Joint Standing Committee on Migration (2009). ‘Inquiry into immigration treatment of disability’.</w:t>
      </w:r>
      <w:r w:rsidR="006F7AEE">
        <w:t xml:space="preserve"> Submission from the Department of Immigration &amp; Citizenship.</w:t>
      </w:r>
      <w:r>
        <w:t xml:space="preserve"> </w:t>
      </w:r>
      <w:r w:rsidR="001C5406">
        <w:t xml:space="preserve">Canberra. </w:t>
      </w:r>
      <w:r w:rsidRPr="00B06D11">
        <w:t>https __aphref.aph.gov.au_house_committee_mig_disability_subs_sub066</w:t>
      </w:r>
      <w:r w:rsidR="001C5406">
        <w:t xml:space="preserve"> accessed 19/10/23.</w:t>
      </w:r>
    </w:p>
  </w:footnote>
  <w:footnote w:id="13">
    <w:p w14:paraId="716DC587" w14:textId="2F14D29F" w:rsidR="00BC6C7D" w:rsidRPr="00BC6C7D" w:rsidRDefault="00BC6C7D" w:rsidP="00DB6A8E">
      <w:pPr>
        <w:spacing w:before="0" w:after="0"/>
        <w:rPr>
          <w:rFonts w:asciiTheme="minorHAnsi" w:hAnsiTheme="minorHAnsi"/>
          <w:sz w:val="18"/>
          <w:szCs w:val="20"/>
        </w:rPr>
      </w:pPr>
      <w:r>
        <w:rPr>
          <w:rStyle w:val="FootnoteReference"/>
        </w:rPr>
        <w:footnoteRef/>
      </w:r>
      <w:r>
        <w:t xml:space="preserve"> </w:t>
      </w:r>
      <w:r w:rsidRPr="00BC6C7D">
        <w:rPr>
          <w:rFonts w:asciiTheme="minorHAnsi" w:hAnsiTheme="minorHAnsi"/>
          <w:sz w:val="18"/>
          <w:szCs w:val="20"/>
        </w:rPr>
        <w:t xml:space="preserve">IHE 2016, Newborn blood spot screening for galactosemia, tyrosinemia type I, homocystinuria, sickle cell </w:t>
      </w:r>
      <w:proofErr w:type="spellStart"/>
      <w:r w:rsidRPr="00BC6C7D">
        <w:rPr>
          <w:rFonts w:asciiTheme="minorHAnsi" w:hAnsiTheme="minorHAnsi"/>
          <w:sz w:val="18"/>
          <w:szCs w:val="20"/>
        </w:rPr>
        <w:t>anemia</w:t>
      </w:r>
      <w:proofErr w:type="spellEnd"/>
      <w:r w:rsidRPr="00BC6C7D">
        <w:rPr>
          <w:rFonts w:asciiTheme="minorHAnsi" w:hAnsiTheme="minorHAnsi"/>
          <w:sz w:val="18"/>
          <w:szCs w:val="20"/>
        </w:rPr>
        <w:t>, sickle cell/beta-thalassemia, sickle cell/</w:t>
      </w:r>
      <w:proofErr w:type="spellStart"/>
      <w:r w:rsidRPr="00BC6C7D">
        <w:rPr>
          <w:rFonts w:asciiTheme="minorHAnsi" w:hAnsiTheme="minorHAnsi"/>
          <w:sz w:val="18"/>
          <w:szCs w:val="20"/>
        </w:rPr>
        <w:t>hemoglobin</w:t>
      </w:r>
      <w:proofErr w:type="spellEnd"/>
      <w:r w:rsidRPr="00BC6C7D">
        <w:rPr>
          <w:rFonts w:asciiTheme="minorHAnsi" w:hAnsiTheme="minorHAnsi"/>
          <w:sz w:val="18"/>
          <w:szCs w:val="20"/>
        </w:rPr>
        <w:t xml:space="preserve"> C disease, and severe combined immunodeficiency, Edmonton (AB), Institute of Health Economics, Canada.</w:t>
      </w:r>
    </w:p>
  </w:footnote>
  <w:footnote w:id="14">
    <w:p w14:paraId="1DB439B5" w14:textId="67707323" w:rsidR="000E162E" w:rsidRPr="000E162E" w:rsidRDefault="000E162E" w:rsidP="00DB6A8E">
      <w:pPr>
        <w:spacing w:before="0" w:after="0"/>
        <w:rPr>
          <w:rFonts w:asciiTheme="minorHAnsi" w:hAnsiTheme="minorHAnsi"/>
          <w:sz w:val="18"/>
          <w:szCs w:val="20"/>
        </w:rPr>
      </w:pPr>
      <w:r>
        <w:rPr>
          <w:rStyle w:val="FootnoteReference"/>
        </w:rPr>
        <w:footnoteRef/>
      </w:r>
      <w:r>
        <w:t xml:space="preserve"> </w:t>
      </w:r>
      <w:proofErr w:type="spellStart"/>
      <w:r w:rsidRPr="000E162E">
        <w:rPr>
          <w:rFonts w:asciiTheme="minorHAnsi" w:hAnsiTheme="minorHAnsi"/>
          <w:sz w:val="18"/>
          <w:szCs w:val="20"/>
        </w:rPr>
        <w:t>Abt</w:t>
      </w:r>
      <w:proofErr w:type="spellEnd"/>
      <w:r w:rsidRPr="000E162E">
        <w:rPr>
          <w:rFonts w:asciiTheme="minorHAnsi" w:hAnsiTheme="minorHAnsi"/>
          <w:sz w:val="18"/>
          <w:szCs w:val="20"/>
        </w:rPr>
        <w:t xml:space="preserve"> Associates 2022, A Rapid review of the Newborn Blood Screening in Sickle Cell Disease and b-thalassemia.</w:t>
      </w:r>
    </w:p>
  </w:footnote>
  <w:footnote w:id="15">
    <w:p w14:paraId="38CEDEC3" w14:textId="48BF93BB" w:rsidR="004C2D30" w:rsidRPr="004C2D30" w:rsidRDefault="004C2D30" w:rsidP="00DB6A8E">
      <w:pPr>
        <w:spacing w:before="0" w:after="0"/>
        <w:rPr>
          <w:rFonts w:asciiTheme="minorHAnsi" w:hAnsiTheme="minorHAnsi"/>
          <w:sz w:val="18"/>
          <w:szCs w:val="20"/>
        </w:rPr>
      </w:pPr>
      <w:r>
        <w:rPr>
          <w:rStyle w:val="FootnoteReference"/>
        </w:rPr>
        <w:footnoteRef/>
      </w:r>
      <w:r>
        <w:t xml:space="preserve"> </w:t>
      </w:r>
      <w:r w:rsidRPr="004C2D30">
        <w:rPr>
          <w:rFonts w:asciiTheme="minorHAnsi" w:hAnsiTheme="minorHAnsi"/>
          <w:sz w:val="18"/>
          <w:szCs w:val="20"/>
        </w:rPr>
        <w:t xml:space="preserve">IHE 2016, Newborn blood spot screening for galactosemia, tyrosinemia type I, homocystinuria, sickle cell </w:t>
      </w:r>
      <w:proofErr w:type="spellStart"/>
      <w:r w:rsidRPr="004C2D30">
        <w:rPr>
          <w:rFonts w:asciiTheme="minorHAnsi" w:hAnsiTheme="minorHAnsi"/>
          <w:sz w:val="18"/>
          <w:szCs w:val="20"/>
        </w:rPr>
        <w:t>anemia</w:t>
      </w:r>
      <w:proofErr w:type="spellEnd"/>
      <w:r w:rsidRPr="004C2D30">
        <w:rPr>
          <w:rFonts w:asciiTheme="minorHAnsi" w:hAnsiTheme="minorHAnsi"/>
          <w:sz w:val="18"/>
          <w:szCs w:val="20"/>
        </w:rPr>
        <w:t>, sickle cell/beta-thalassemia, sickle cell/</w:t>
      </w:r>
      <w:proofErr w:type="spellStart"/>
      <w:r w:rsidRPr="004C2D30">
        <w:rPr>
          <w:rFonts w:asciiTheme="minorHAnsi" w:hAnsiTheme="minorHAnsi"/>
          <w:sz w:val="18"/>
          <w:szCs w:val="20"/>
        </w:rPr>
        <w:t>hemoglobin</w:t>
      </w:r>
      <w:proofErr w:type="spellEnd"/>
      <w:r w:rsidRPr="004C2D30">
        <w:rPr>
          <w:rFonts w:asciiTheme="minorHAnsi" w:hAnsiTheme="minorHAnsi"/>
          <w:sz w:val="18"/>
          <w:szCs w:val="20"/>
        </w:rPr>
        <w:t xml:space="preserve"> C disease, and severe combined immunodeficiency, Edmonton (AB), Institute of Health Economics, Canada.</w:t>
      </w:r>
    </w:p>
  </w:footnote>
  <w:footnote w:id="16">
    <w:p w14:paraId="36ECA025" w14:textId="119ADF7F" w:rsidR="004C2D30" w:rsidRPr="00521918" w:rsidRDefault="004C2D30"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r w:rsidRPr="004C2D30">
        <w:rPr>
          <w:rFonts w:asciiTheme="minorHAnsi" w:hAnsiTheme="minorHAnsi"/>
          <w:sz w:val="18"/>
          <w:szCs w:val="20"/>
        </w:rPr>
        <w:t xml:space="preserve">Le, PQ, </w:t>
      </w:r>
      <w:r w:rsidR="0099683F">
        <w:rPr>
          <w:rFonts w:asciiTheme="minorHAnsi" w:hAnsiTheme="minorHAnsi"/>
          <w:sz w:val="18"/>
          <w:szCs w:val="20"/>
        </w:rPr>
        <w:t>et al.</w:t>
      </w:r>
      <w:r w:rsidRPr="004C2D30">
        <w:rPr>
          <w:rFonts w:asciiTheme="minorHAnsi" w:hAnsiTheme="minorHAnsi"/>
          <w:sz w:val="18"/>
          <w:szCs w:val="20"/>
        </w:rPr>
        <w:t xml:space="preserve"> </w:t>
      </w:r>
      <w:r w:rsidR="0099683F">
        <w:rPr>
          <w:rFonts w:asciiTheme="minorHAnsi" w:hAnsiTheme="minorHAnsi"/>
          <w:sz w:val="18"/>
          <w:szCs w:val="20"/>
        </w:rPr>
        <w:t>(</w:t>
      </w:r>
      <w:r w:rsidRPr="004C2D30">
        <w:rPr>
          <w:rFonts w:asciiTheme="minorHAnsi" w:hAnsiTheme="minorHAnsi"/>
          <w:sz w:val="18"/>
          <w:szCs w:val="20"/>
        </w:rPr>
        <w:t>2018</w:t>
      </w:r>
      <w:r w:rsidR="0099683F">
        <w:rPr>
          <w:rFonts w:asciiTheme="minorHAnsi" w:hAnsiTheme="minorHAnsi"/>
          <w:sz w:val="18"/>
          <w:szCs w:val="20"/>
        </w:rPr>
        <w:t>)</w:t>
      </w:r>
      <w:r w:rsidRPr="004C2D30">
        <w:rPr>
          <w:rFonts w:asciiTheme="minorHAnsi" w:hAnsiTheme="minorHAnsi"/>
          <w:sz w:val="18"/>
          <w:szCs w:val="20"/>
        </w:rPr>
        <w:t xml:space="preserve">, 'Neonatal screening improves sickle cell disease clinical outcome in Belgium', </w:t>
      </w:r>
      <w:r w:rsidR="008669A6" w:rsidRPr="00374D3A">
        <w:rPr>
          <w:rFonts w:asciiTheme="minorHAnsi" w:hAnsiTheme="minorHAnsi"/>
          <w:i/>
          <w:iCs/>
          <w:sz w:val="18"/>
          <w:szCs w:val="20"/>
        </w:rPr>
        <w:t>J</w:t>
      </w:r>
      <w:r w:rsidRPr="00374D3A">
        <w:rPr>
          <w:rFonts w:asciiTheme="minorHAnsi" w:hAnsiTheme="minorHAnsi"/>
          <w:i/>
          <w:iCs/>
          <w:sz w:val="18"/>
          <w:szCs w:val="20"/>
        </w:rPr>
        <w:t xml:space="preserve"> </w:t>
      </w:r>
      <w:r w:rsidR="008669A6" w:rsidRPr="00374D3A">
        <w:rPr>
          <w:rFonts w:asciiTheme="minorHAnsi" w:hAnsiTheme="minorHAnsi"/>
          <w:i/>
          <w:iCs/>
          <w:sz w:val="18"/>
          <w:szCs w:val="20"/>
        </w:rPr>
        <w:t>M</w:t>
      </w:r>
      <w:r w:rsidRPr="00374D3A">
        <w:rPr>
          <w:rFonts w:asciiTheme="minorHAnsi" w:hAnsiTheme="minorHAnsi"/>
          <w:i/>
          <w:iCs/>
          <w:sz w:val="18"/>
          <w:szCs w:val="20"/>
        </w:rPr>
        <w:t>ed</w:t>
      </w:r>
      <w:r w:rsidR="00021FB6">
        <w:rPr>
          <w:rFonts w:asciiTheme="minorHAnsi" w:hAnsiTheme="minorHAnsi"/>
          <w:i/>
          <w:iCs/>
          <w:sz w:val="18"/>
          <w:szCs w:val="20"/>
        </w:rPr>
        <w:t xml:space="preserve"> </w:t>
      </w:r>
      <w:r w:rsidR="00871945" w:rsidRPr="00374D3A">
        <w:rPr>
          <w:rFonts w:asciiTheme="minorHAnsi" w:hAnsiTheme="minorHAnsi"/>
          <w:i/>
          <w:iCs/>
          <w:sz w:val="18"/>
          <w:szCs w:val="20"/>
        </w:rPr>
        <w:t>S</w:t>
      </w:r>
      <w:r w:rsidRPr="00374D3A">
        <w:rPr>
          <w:rFonts w:asciiTheme="minorHAnsi" w:hAnsiTheme="minorHAnsi"/>
          <w:i/>
          <w:sz w:val="18"/>
          <w:szCs w:val="20"/>
        </w:rPr>
        <w:t>creen</w:t>
      </w:r>
      <w:r w:rsidRPr="004C2D30">
        <w:rPr>
          <w:rFonts w:asciiTheme="minorHAnsi" w:hAnsiTheme="minorHAnsi"/>
          <w:sz w:val="18"/>
          <w:szCs w:val="20"/>
        </w:rPr>
        <w:t>, vol. 25(2), 01 Jun, pp. 57-63.</w:t>
      </w:r>
      <w:r w:rsidR="00E5110B">
        <w:rPr>
          <w:rFonts w:asciiTheme="minorHAnsi" w:hAnsiTheme="minorHAnsi"/>
          <w:sz w:val="18"/>
          <w:szCs w:val="20"/>
        </w:rPr>
        <w:t xml:space="preserve"> </w:t>
      </w:r>
      <w:r w:rsidR="00E5110B" w:rsidRPr="00E5110B">
        <w:rPr>
          <w:rFonts w:asciiTheme="minorHAnsi" w:hAnsiTheme="minorHAnsi"/>
          <w:sz w:val="18"/>
          <w:szCs w:val="20"/>
        </w:rPr>
        <w:t>DOI: 10.1177/0969141317701166</w:t>
      </w:r>
    </w:p>
  </w:footnote>
  <w:footnote w:id="17">
    <w:p w14:paraId="6B692D79" w14:textId="66574CC4" w:rsidR="00114D1C" w:rsidRPr="00025C85" w:rsidRDefault="00114D1C"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proofErr w:type="spellStart"/>
      <w:r w:rsidRPr="00114D1C">
        <w:rPr>
          <w:rFonts w:asciiTheme="minorHAnsi" w:hAnsiTheme="minorHAnsi"/>
          <w:sz w:val="18"/>
          <w:szCs w:val="20"/>
        </w:rPr>
        <w:t>Frömmel</w:t>
      </w:r>
      <w:proofErr w:type="spellEnd"/>
      <w:r w:rsidRPr="00114D1C">
        <w:rPr>
          <w:rFonts w:asciiTheme="minorHAnsi" w:hAnsiTheme="minorHAnsi"/>
          <w:sz w:val="18"/>
          <w:szCs w:val="20"/>
        </w:rPr>
        <w:t xml:space="preserve">, C </w:t>
      </w:r>
      <w:r w:rsidR="00875FC0">
        <w:rPr>
          <w:rFonts w:asciiTheme="minorHAnsi" w:hAnsiTheme="minorHAnsi"/>
          <w:sz w:val="18"/>
          <w:szCs w:val="20"/>
        </w:rPr>
        <w:t>et al. (</w:t>
      </w:r>
      <w:r w:rsidRPr="00114D1C">
        <w:rPr>
          <w:rFonts w:asciiTheme="minorHAnsi" w:hAnsiTheme="minorHAnsi"/>
          <w:sz w:val="18"/>
          <w:szCs w:val="20"/>
        </w:rPr>
        <w:t>2018</w:t>
      </w:r>
      <w:r w:rsidR="00875FC0">
        <w:rPr>
          <w:rFonts w:asciiTheme="minorHAnsi" w:hAnsiTheme="minorHAnsi"/>
          <w:sz w:val="18"/>
          <w:szCs w:val="20"/>
        </w:rPr>
        <w:t>)</w:t>
      </w:r>
      <w:r w:rsidRPr="00114D1C">
        <w:rPr>
          <w:rFonts w:asciiTheme="minorHAnsi" w:hAnsiTheme="minorHAnsi"/>
          <w:sz w:val="18"/>
          <w:szCs w:val="20"/>
        </w:rPr>
        <w:t xml:space="preserve">, 'Newborn Screening for Sickle Cell Disease and Other Hemoglobinopathies: A Short Review on Classical Laboratory Methods-Isoelectric Focusing, HPLC, and Capillary Electrophoresis', </w:t>
      </w:r>
      <w:r w:rsidRPr="005D3227">
        <w:rPr>
          <w:rFonts w:asciiTheme="minorHAnsi" w:hAnsiTheme="minorHAnsi"/>
          <w:i/>
          <w:sz w:val="18"/>
        </w:rPr>
        <w:t>Int J Neonatal Screen</w:t>
      </w:r>
      <w:r w:rsidRPr="00114D1C">
        <w:rPr>
          <w:rFonts w:asciiTheme="minorHAnsi" w:hAnsiTheme="minorHAnsi"/>
          <w:sz w:val="18"/>
          <w:szCs w:val="20"/>
        </w:rPr>
        <w:t>, vol. 4, no. 4, Dec, p. 39.</w:t>
      </w:r>
      <w:r w:rsidR="00D8621A">
        <w:rPr>
          <w:rFonts w:asciiTheme="minorHAnsi" w:hAnsiTheme="minorHAnsi"/>
          <w:sz w:val="18"/>
          <w:szCs w:val="20"/>
        </w:rPr>
        <w:t xml:space="preserve"> </w:t>
      </w:r>
      <w:r w:rsidR="00D8621A" w:rsidRPr="00D8621A">
        <w:rPr>
          <w:rFonts w:asciiTheme="minorHAnsi" w:hAnsiTheme="minorHAnsi"/>
          <w:sz w:val="18"/>
          <w:szCs w:val="20"/>
        </w:rPr>
        <w:t>doi:10.3390/ijns4040039</w:t>
      </w:r>
    </w:p>
  </w:footnote>
  <w:footnote w:id="18">
    <w:p w14:paraId="4AD52D6B" w14:textId="47CED385" w:rsidR="00025C85" w:rsidRPr="00025C85" w:rsidRDefault="00025C85"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r w:rsidRPr="00025C85">
        <w:rPr>
          <w:rFonts w:asciiTheme="minorHAnsi" w:hAnsiTheme="minorHAnsi"/>
          <w:sz w:val="18"/>
          <w:szCs w:val="20"/>
        </w:rPr>
        <w:t xml:space="preserve">Campbell, M, </w:t>
      </w:r>
      <w:r w:rsidR="00D8642D">
        <w:rPr>
          <w:rFonts w:asciiTheme="minorHAnsi" w:hAnsiTheme="minorHAnsi"/>
          <w:sz w:val="18"/>
          <w:szCs w:val="20"/>
        </w:rPr>
        <w:t>et al</w:t>
      </w:r>
      <w:r w:rsidRPr="00025C85">
        <w:rPr>
          <w:rFonts w:asciiTheme="minorHAnsi" w:hAnsiTheme="minorHAnsi"/>
          <w:sz w:val="18"/>
          <w:szCs w:val="20"/>
        </w:rPr>
        <w:t xml:space="preserve"> </w:t>
      </w:r>
      <w:r w:rsidR="00BD05C2">
        <w:rPr>
          <w:rFonts w:asciiTheme="minorHAnsi" w:hAnsiTheme="minorHAnsi"/>
          <w:sz w:val="18"/>
          <w:szCs w:val="20"/>
        </w:rPr>
        <w:t>(</w:t>
      </w:r>
      <w:r w:rsidRPr="00025C85">
        <w:rPr>
          <w:rFonts w:asciiTheme="minorHAnsi" w:hAnsiTheme="minorHAnsi"/>
          <w:sz w:val="18"/>
          <w:szCs w:val="20"/>
        </w:rPr>
        <w:t>1999</w:t>
      </w:r>
      <w:r w:rsidR="00BD05C2">
        <w:rPr>
          <w:rFonts w:asciiTheme="minorHAnsi" w:hAnsiTheme="minorHAnsi"/>
          <w:sz w:val="18"/>
          <w:szCs w:val="20"/>
        </w:rPr>
        <w:t>)</w:t>
      </w:r>
      <w:r w:rsidRPr="00025C85">
        <w:rPr>
          <w:rFonts w:asciiTheme="minorHAnsi" w:hAnsiTheme="minorHAnsi"/>
          <w:sz w:val="18"/>
          <w:szCs w:val="20"/>
        </w:rPr>
        <w:t xml:space="preserve">, 'Evaluation of cation-exchange HPLC compared with isoelectric focusing for neonatal hemoglobinopathy screening', </w:t>
      </w:r>
      <w:r w:rsidRPr="005D3227">
        <w:rPr>
          <w:rFonts w:asciiTheme="minorHAnsi" w:hAnsiTheme="minorHAnsi"/>
          <w:i/>
          <w:sz w:val="18"/>
        </w:rPr>
        <w:t>Clin Chem</w:t>
      </w:r>
      <w:r w:rsidRPr="00025C85">
        <w:rPr>
          <w:rFonts w:asciiTheme="minorHAnsi" w:hAnsiTheme="minorHAnsi"/>
          <w:sz w:val="18"/>
          <w:szCs w:val="20"/>
        </w:rPr>
        <w:t>, vol. 45, no. 7, Jul, pp. 969-975.</w:t>
      </w:r>
    </w:p>
  </w:footnote>
  <w:footnote w:id="19">
    <w:p w14:paraId="64880720" w14:textId="5364E017" w:rsidR="00025C85" w:rsidRPr="002705A0" w:rsidRDefault="00025C85"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r w:rsidRPr="00025C85">
        <w:rPr>
          <w:rFonts w:asciiTheme="minorHAnsi" w:hAnsiTheme="minorHAnsi"/>
          <w:sz w:val="18"/>
          <w:szCs w:val="20"/>
        </w:rPr>
        <w:t xml:space="preserve">Garcia-Morin, </w:t>
      </w:r>
      <w:r w:rsidR="002558F0">
        <w:rPr>
          <w:rFonts w:asciiTheme="minorHAnsi" w:hAnsiTheme="minorHAnsi"/>
          <w:sz w:val="18"/>
          <w:szCs w:val="20"/>
        </w:rPr>
        <w:t>et al.</w:t>
      </w:r>
      <w:r w:rsidRPr="00025C85">
        <w:rPr>
          <w:rFonts w:asciiTheme="minorHAnsi" w:hAnsiTheme="minorHAnsi"/>
          <w:sz w:val="18"/>
          <w:szCs w:val="20"/>
        </w:rPr>
        <w:t xml:space="preserve"> </w:t>
      </w:r>
      <w:r w:rsidR="002558F0">
        <w:rPr>
          <w:rFonts w:asciiTheme="minorHAnsi" w:hAnsiTheme="minorHAnsi"/>
          <w:sz w:val="18"/>
          <w:szCs w:val="20"/>
        </w:rPr>
        <w:t>(</w:t>
      </w:r>
      <w:r w:rsidRPr="00025C85">
        <w:rPr>
          <w:rFonts w:asciiTheme="minorHAnsi" w:hAnsiTheme="minorHAnsi"/>
          <w:sz w:val="18"/>
          <w:szCs w:val="20"/>
        </w:rPr>
        <w:t>2020</w:t>
      </w:r>
      <w:r w:rsidR="002558F0">
        <w:rPr>
          <w:rFonts w:asciiTheme="minorHAnsi" w:hAnsiTheme="minorHAnsi"/>
          <w:sz w:val="18"/>
          <w:szCs w:val="20"/>
        </w:rPr>
        <w:t>)</w:t>
      </w:r>
      <w:r w:rsidRPr="00025C85">
        <w:rPr>
          <w:rFonts w:asciiTheme="minorHAnsi" w:hAnsiTheme="minorHAnsi"/>
          <w:sz w:val="18"/>
          <w:szCs w:val="20"/>
        </w:rPr>
        <w:t xml:space="preserve">, 'Fifteen years of newborn sickle cell disease screening in Madrid, Spain: an emerging disease in a European country', </w:t>
      </w:r>
      <w:r w:rsidRPr="00374D3A">
        <w:rPr>
          <w:rFonts w:asciiTheme="minorHAnsi" w:hAnsiTheme="minorHAnsi"/>
          <w:i/>
          <w:sz w:val="18"/>
          <w:szCs w:val="20"/>
        </w:rPr>
        <w:t xml:space="preserve">Ann </w:t>
      </w:r>
      <w:proofErr w:type="spellStart"/>
      <w:r w:rsidRPr="00374D3A">
        <w:rPr>
          <w:rFonts w:asciiTheme="minorHAnsi" w:hAnsiTheme="minorHAnsi"/>
          <w:i/>
          <w:sz w:val="18"/>
          <w:szCs w:val="20"/>
        </w:rPr>
        <w:t>Hematol</w:t>
      </w:r>
      <w:proofErr w:type="spellEnd"/>
      <w:r w:rsidRPr="00025C85">
        <w:rPr>
          <w:rFonts w:asciiTheme="minorHAnsi" w:hAnsiTheme="minorHAnsi"/>
          <w:sz w:val="18"/>
          <w:szCs w:val="20"/>
        </w:rPr>
        <w:t>, vol. 99(7), 01 Jul, pp. 1465-1474.</w:t>
      </w:r>
      <w:r w:rsidR="00F747FF" w:rsidRPr="00F747FF">
        <w:t xml:space="preserve"> </w:t>
      </w:r>
      <w:r w:rsidR="00F747FF" w:rsidRPr="00F747FF">
        <w:rPr>
          <w:rFonts w:asciiTheme="minorHAnsi" w:hAnsiTheme="minorHAnsi"/>
          <w:sz w:val="18"/>
          <w:szCs w:val="20"/>
        </w:rPr>
        <w:t>https://dx.doi.org/10.1007/s00277-020-04044-z</w:t>
      </w:r>
    </w:p>
  </w:footnote>
  <w:footnote w:id="20">
    <w:p w14:paraId="522C8BAF" w14:textId="6226AE25" w:rsidR="002705A0" w:rsidRPr="00A55A18" w:rsidRDefault="002705A0"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proofErr w:type="spellStart"/>
      <w:r w:rsidRPr="002705A0">
        <w:rPr>
          <w:rFonts w:asciiTheme="minorHAnsi" w:hAnsiTheme="minorHAnsi"/>
          <w:sz w:val="18"/>
          <w:szCs w:val="20"/>
        </w:rPr>
        <w:t>Lobitz</w:t>
      </w:r>
      <w:proofErr w:type="spellEnd"/>
      <w:r w:rsidRPr="002705A0">
        <w:rPr>
          <w:rFonts w:asciiTheme="minorHAnsi" w:hAnsiTheme="minorHAnsi"/>
          <w:sz w:val="18"/>
          <w:szCs w:val="20"/>
        </w:rPr>
        <w:t xml:space="preserve">, S, </w:t>
      </w:r>
      <w:r w:rsidR="00E202B2">
        <w:rPr>
          <w:rFonts w:asciiTheme="minorHAnsi" w:hAnsiTheme="minorHAnsi"/>
          <w:sz w:val="18"/>
          <w:szCs w:val="20"/>
        </w:rPr>
        <w:t>et al.</w:t>
      </w:r>
      <w:r w:rsidRPr="002705A0">
        <w:rPr>
          <w:rFonts w:asciiTheme="minorHAnsi" w:hAnsiTheme="minorHAnsi"/>
          <w:sz w:val="18"/>
          <w:szCs w:val="20"/>
        </w:rPr>
        <w:t xml:space="preserve"> </w:t>
      </w:r>
      <w:r w:rsidR="00E202B2">
        <w:rPr>
          <w:rFonts w:asciiTheme="minorHAnsi" w:hAnsiTheme="minorHAnsi"/>
          <w:sz w:val="18"/>
          <w:szCs w:val="20"/>
        </w:rPr>
        <w:t>(</w:t>
      </w:r>
      <w:r w:rsidRPr="002705A0">
        <w:rPr>
          <w:rFonts w:asciiTheme="minorHAnsi" w:hAnsiTheme="minorHAnsi"/>
          <w:sz w:val="18"/>
          <w:szCs w:val="20"/>
        </w:rPr>
        <w:t>2019</w:t>
      </w:r>
      <w:r w:rsidR="00E202B2">
        <w:rPr>
          <w:rFonts w:asciiTheme="minorHAnsi" w:hAnsiTheme="minorHAnsi"/>
          <w:sz w:val="18"/>
          <w:szCs w:val="20"/>
        </w:rPr>
        <w:t>)</w:t>
      </w:r>
      <w:r w:rsidRPr="002705A0">
        <w:rPr>
          <w:rFonts w:asciiTheme="minorHAnsi" w:hAnsiTheme="minorHAnsi"/>
          <w:sz w:val="18"/>
          <w:szCs w:val="20"/>
        </w:rPr>
        <w:t xml:space="preserve">, 'Newborn screening by tandem mass spectrometry confirms the high prevalence of sickle cell disease among German newborns', </w:t>
      </w:r>
      <w:r w:rsidRPr="00374D3A">
        <w:rPr>
          <w:rFonts w:asciiTheme="minorHAnsi" w:hAnsiTheme="minorHAnsi"/>
          <w:i/>
          <w:sz w:val="18"/>
          <w:szCs w:val="20"/>
        </w:rPr>
        <w:t xml:space="preserve">Ann </w:t>
      </w:r>
      <w:proofErr w:type="spellStart"/>
      <w:r w:rsidRPr="00374D3A">
        <w:rPr>
          <w:rFonts w:asciiTheme="minorHAnsi" w:hAnsiTheme="minorHAnsi"/>
          <w:i/>
          <w:sz w:val="18"/>
          <w:szCs w:val="20"/>
        </w:rPr>
        <w:t>Hematol</w:t>
      </w:r>
      <w:proofErr w:type="spellEnd"/>
      <w:r w:rsidRPr="002705A0">
        <w:rPr>
          <w:rFonts w:asciiTheme="minorHAnsi" w:hAnsiTheme="minorHAnsi"/>
          <w:sz w:val="18"/>
          <w:szCs w:val="20"/>
        </w:rPr>
        <w:t>, vol. 98(1), 30 Jan, pp. 47-53.</w:t>
      </w:r>
      <w:r w:rsidR="002A7374">
        <w:rPr>
          <w:rFonts w:asciiTheme="minorHAnsi" w:hAnsiTheme="minorHAnsi"/>
          <w:sz w:val="18"/>
          <w:szCs w:val="20"/>
        </w:rPr>
        <w:t xml:space="preserve"> </w:t>
      </w:r>
      <w:r w:rsidR="002A7374" w:rsidRPr="002A7374">
        <w:rPr>
          <w:rFonts w:asciiTheme="minorHAnsi" w:hAnsiTheme="minorHAnsi"/>
          <w:sz w:val="18"/>
          <w:szCs w:val="20"/>
        </w:rPr>
        <w:t>https://dx.doi.org/10.1007/s00277-018-3477-4</w:t>
      </w:r>
    </w:p>
  </w:footnote>
  <w:footnote w:id="21">
    <w:p w14:paraId="19D68511" w14:textId="2EF32ACF" w:rsidR="00A55A18" w:rsidRPr="00A55A18" w:rsidRDefault="00A55A18"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rsidRPr="00935DFB">
        <w:rPr>
          <w:rFonts w:asciiTheme="minorHAnsi" w:hAnsiTheme="minorHAnsi" w:cstheme="minorHAnsi"/>
          <w:sz w:val="18"/>
          <w:szCs w:val="18"/>
        </w:rPr>
        <w:t xml:space="preserve"> </w:t>
      </w:r>
      <w:r w:rsidRPr="00A55A18">
        <w:rPr>
          <w:rFonts w:asciiTheme="minorHAnsi" w:hAnsiTheme="minorHAnsi"/>
          <w:sz w:val="18"/>
          <w:szCs w:val="20"/>
        </w:rPr>
        <w:t xml:space="preserve">Streetly, </w:t>
      </w:r>
      <w:r w:rsidR="00E202B2">
        <w:rPr>
          <w:rFonts w:asciiTheme="minorHAnsi" w:hAnsiTheme="minorHAnsi"/>
          <w:sz w:val="18"/>
          <w:szCs w:val="20"/>
        </w:rPr>
        <w:t>et al.</w:t>
      </w:r>
      <w:r w:rsidRPr="00A55A18">
        <w:rPr>
          <w:rFonts w:asciiTheme="minorHAnsi" w:hAnsiTheme="minorHAnsi"/>
          <w:sz w:val="18"/>
          <w:szCs w:val="20"/>
        </w:rPr>
        <w:t xml:space="preserve"> </w:t>
      </w:r>
      <w:r w:rsidR="00E202B2">
        <w:rPr>
          <w:rFonts w:asciiTheme="minorHAnsi" w:hAnsiTheme="minorHAnsi"/>
          <w:sz w:val="18"/>
          <w:szCs w:val="20"/>
        </w:rPr>
        <w:t>(</w:t>
      </w:r>
      <w:r w:rsidRPr="00A55A18">
        <w:rPr>
          <w:rFonts w:asciiTheme="minorHAnsi" w:hAnsiTheme="minorHAnsi"/>
          <w:sz w:val="18"/>
          <w:szCs w:val="20"/>
        </w:rPr>
        <w:t>2018</w:t>
      </w:r>
      <w:r w:rsidR="00E202B2">
        <w:rPr>
          <w:rFonts w:asciiTheme="minorHAnsi" w:hAnsiTheme="minorHAnsi"/>
          <w:sz w:val="18"/>
          <w:szCs w:val="20"/>
        </w:rPr>
        <w:t>)</w:t>
      </w:r>
      <w:r w:rsidRPr="00A55A18">
        <w:rPr>
          <w:rFonts w:asciiTheme="minorHAnsi" w:hAnsiTheme="minorHAnsi"/>
          <w:sz w:val="18"/>
          <w:szCs w:val="20"/>
        </w:rPr>
        <w:t xml:space="preserve">, 'Evaluation of newborn sickle cell screening programme in England: 2010-2016', </w:t>
      </w:r>
      <w:r w:rsidRPr="00374D3A">
        <w:rPr>
          <w:rFonts w:asciiTheme="minorHAnsi" w:hAnsiTheme="minorHAnsi"/>
          <w:i/>
          <w:sz w:val="18"/>
          <w:szCs w:val="20"/>
        </w:rPr>
        <w:t xml:space="preserve">Arch </w:t>
      </w:r>
      <w:r w:rsidR="00D071B6" w:rsidRPr="00374D3A">
        <w:rPr>
          <w:rFonts w:asciiTheme="minorHAnsi" w:hAnsiTheme="minorHAnsi"/>
          <w:i/>
          <w:iCs/>
          <w:sz w:val="18"/>
          <w:szCs w:val="20"/>
        </w:rPr>
        <w:t>D</w:t>
      </w:r>
      <w:r w:rsidRPr="00374D3A">
        <w:rPr>
          <w:rFonts w:asciiTheme="minorHAnsi" w:hAnsiTheme="minorHAnsi"/>
          <w:i/>
          <w:sz w:val="18"/>
          <w:szCs w:val="20"/>
        </w:rPr>
        <w:t xml:space="preserve">is </w:t>
      </w:r>
      <w:r w:rsidR="00D80A24" w:rsidRPr="00374D3A">
        <w:rPr>
          <w:rFonts w:asciiTheme="minorHAnsi" w:hAnsiTheme="minorHAnsi"/>
          <w:i/>
          <w:sz w:val="18"/>
          <w:szCs w:val="20"/>
        </w:rPr>
        <w:t>C</w:t>
      </w:r>
      <w:r w:rsidRPr="00374D3A">
        <w:rPr>
          <w:rFonts w:asciiTheme="minorHAnsi" w:hAnsiTheme="minorHAnsi"/>
          <w:i/>
          <w:sz w:val="18"/>
          <w:szCs w:val="20"/>
        </w:rPr>
        <w:t>hild</w:t>
      </w:r>
      <w:r w:rsidRPr="00A55A18">
        <w:rPr>
          <w:rFonts w:asciiTheme="minorHAnsi" w:hAnsiTheme="minorHAnsi"/>
          <w:sz w:val="18"/>
          <w:szCs w:val="20"/>
        </w:rPr>
        <w:t xml:space="preserve"> vol. 103(7), 01 Jul, pp. 648-653.</w:t>
      </w:r>
      <w:r w:rsidR="00D96DF1">
        <w:rPr>
          <w:rFonts w:asciiTheme="minorHAnsi" w:hAnsiTheme="minorHAnsi"/>
          <w:sz w:val="18"/>
          <w:szCs w:val="20"/>
        </w:rPr>
        <w:t xml:space="preserve"> </w:t>
      </w:r>
      <w:r w:rsidR="00D96DF1" w:rsidRPr="00D96DF1">
        <w:rPr>
          <w:rFonts w:asciiTheme="minorHAnsi" w:hAnsiTheme="minorHAnsi"/>
          <w:sz w:val="18"/>
          <w:szCs w:val="20"/>
        </w:rPr>
        <w:t>https://dx.doi.org/10.1136/archdischild-2017-313213</w:t>
      </w:r>
    </w:p>
  </w:footnote>
  <w:footnote w:id="22">
    <w:p w14:paraId="0981ACFE" w14:textId="45008C40" w:rsidR="0093078C" w:rsidRPr="00FF0740" w:rsidRDefault="0093078C"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proofErr w:type="spellStart"/>
      <w:r w:rsidRPr="00FF0740">
        <w:rPr>
          <w:rFonts w:asciiTheme="minorHAnsi" w:hAnsiTheme="minorHAnsi"/>
          <w:sz w:val="18"/>
          <w:szCs w:val="20"/>
        </w:rPr>
        <w:t>Meremikwu</w:t>
      </w:r>
      <w:proofErr w:type="spellEnd"/>
      <w:r w:rsidRPr="00FF0740">
        <w:rPr>
          <w:rFonts w:asciiTheme="minorHAnsi" w:hAnsiTheme="minorHAnsi"/>
          <w:sz w:val="18"/>
          <w:szCs w:val="20"/>
        </w:rPr>
        <w:t xml:space="preserve">, MM </w:t>
      </w:r>
      <w:r w:rsidR="00845D77">
        <w:rPr>
          <w:rFonts w:asciiTheme="minorHAnsi" w:hAnsiTheme="minorHAnsi"/>
          <w:sz w:val="18"/>
          <w:szCs w:val="20"/>
        </w:rPr>
        <w:t>et al.</w:t>
      </w:r>
      <w:r w:rsidRPr="00FF0740">
        <w:rPr>
          <w:rFonts w:asciiTheme="minorHAnsi" w:hAnsiTheme="minorHAnsi"/>
          <w:sz w:val="18"/>
          <w:szCs w:val="20"/>
        </w:rPr>
        <w:t xml:space="preserve"> 2016, 'Sickle cell disease', </w:t>
      </w:r>
      <w:r w:rsidRPr="00B579B4">
        <w:rPr>
          <w:rFonts w:asciiTheme="minorHAnsi" w:hAnsiTheme="minorHAnsi"/>
          <w:i/>
          <w:sz w:val="18"/>
        </w:rPr>
        <w:t xml:space="preserve">BMJ </w:t>
      </w:r>
      <w:r w:rsidR="006F6D3D" w:rsidRPr="00374D3A">
        <w:rPr>
          <w:rFonts w:asciiTheme="minorHAnsi" w:hAnsiTheme="minorHAnsi"/>
          <w:i/>
          <w:iCs/>
          <w:sz w:val="18"/>
          <w:szCs w:val="20"/>
        </w:rPr>
        <w:t>C</w:t>
      </w:r>
      <w:r w:rsidRPr="00374D3A">
        <w:rPr>
          <w:rFonts w:asciiTheme="minorHAnsi" w:hAnsiTheme="minorHAnsi"/>
          <w:i/>
          <w:iCs/>
          <w:sz w:val="18"/>
          <w:szCs w:val="20"/>
        </w:rPr>
        <w:t xml:space="preserve">lin </w:t>
      </w:r>
      <w:r w:rsidR="006F6D3D" w:rsidRPr="00374D3A">
        <w:rPr>
          <w:rFonts w:asciiTheme="minorHAnsi" w:hAnsiTheme="minorHAnsi"/>
          <w:i/>
          <w:iCs/>
          <w:sz w:val="18"/>
          <w:szCs w:val="20"/>
        </w:rPr>
        <w:t>E</w:t>
      </w:r>
      <w:r w:rsidRPr="00374D3A">
        <w:rPr>
          <w:rFonts w:asciiTheme="minorHAnsi" w:hAnsiTheme="minorHAnsi"/>
          <w:i/>
          <w:sz w:val="18"/>
          <w:szCs w:val="20"/>
        </w:rPr>
        <w:t>vid</w:t>
      </w:r>
      <w:r w:rsidRPr="00FF0740">
        <w:rPr>
          <w:rFonts w:asciiTheme="minorHAnsi" w:hAnsiTheme="minorHAnsi"/>
          <w:sz w:val="18"/>
          <w:szCs w:val="20"/>
        </w:rPr>
        <w:t xml:space="preserve">, </w:t>
      </w:r>
      <w:r>
        <w:rPr>
          <w:rFonts w:asciiTheme="minorHAnsi" w:hAnsiTheme="minorHAnsi"/>
          <w:sz w:val="18"/>
          <w:szCs w:val="20"/>
        </w:rPr>
        <w:t>1-24.</w:t>
      </w:r>
    </w:p>
  </w:footnote>
  <w:footnote w:id="23">
    <w:p w14:paraId="1AE4A07C" w14:textId="534E507A" w:rsidR="008277D8" w:rsidRDefault="008277D8" w:rsidP="00DB6A8E">
      <w:pPr>
        <w:pStyle w:val="FootnoteText"/>
        <w:spacing w:before="0"/>
      </w:pPr>
      <w:r>
        <w:rPr>
          <w:rStyle w:val="FootnoteReference"/>
        </w:rPr>
        <w:footnoteRef/>
      </w:r>
      <w:r>
        <w:t xml:space="preserve"> As a comparison, the Australian National Immunisation Program schedule for children recommends the conjugate pneumococcal vaccine Prevenar 13 at 2, 4, and 12 months of age. Children with SCD would be eligible for an additional dose of Prevenar 13 at 6 months of age. Children with SCD would be also eligible for an additional dose of the polysaccharide-based vaccine Pneumovax 23 at 4 years of age. Source: </w:t>
      </w:r>
      <w:hyperlink r:id="rId4" w:history="1">
        <w:r>
          <w:rPr>
            <w:rStyle w:val="Hyperlink"/>
          </w:rPr>
          <w:t>National Immunisation Program</w:t>
        </w:r>
      </w:hyperlink>
    </w:p>
  </w:footnote>
  <w:footnote w:id="24">
    <w:p w14:paraId="36263F68" w14:textId="4D0F9C53" w:rsidR="00556956" w:rsidRPr="00556956" w:rsidRDefault="00556956" w:rsidP="00DB6A8E">
      <w:pPr>
        <w:spacing w:before="0" w:after="0"/>
        <w:rPr>
          <w:rFonts w:asciiTheme="minorHAnsi" w:hAnsiTheme="minorHAnsi"/>
          <w:sz w:val="18"/>
          <w:szCs w:val="20"/>
        </w:rPr>
      </w:pPr>
      <w:r w:rsidRPr="00935DFB">
        <w:rPr>
          <w:rStyle w:val="FootnoteReference"/>
          <w:rFonts w:asciiTheme="minorHAnsi" w:hAnsiTheme="minorHAnsi" w:cstheme="minorHAnsi"/>
          <w:sz w:val="18"/>
          <w:szCs w:val="18"/>
        </w:rPr>
        <w:footnoteRef/>
      </w:r>
      <w:r>
        <w:t xml:space="preserve"> </w:t>
      </w:r>
      <w:r w:rsidRPr="00556956">
        <w:rPr>
          <w:rFonts w:asciiTheme="minorHAnsi" w:hAnsiTheme="minorHAnsi"/>
          <w:sz w:val="18"/>
          <w:szCs w:val="20"/>
        </w:rPr>
        <w:t>Argent</w:t>
      </w:r>
      <w:r w:rsidR="007B121B">
        <w:rPr>
          <w:rFonts w:asciiTheme="minorHAnsi" w:hAnsiTheme="minorHAnsi"/>
          <w:sz w:val="18"/>
          <w:szCs w:val="20"/>
        </w:rPr>
        <w:t xml:space="preserve"> E</w:t>
      </w:r>
      <w:r w:rsidRPr="00556956">
        <w:rPr>
          <w:rFonts w:asciiTheme="minorHAnsi" w:hAnsiTheme="minorHAnsi"/>
          <w:sz w:val="18"/>
          <w:szCs w:val="20"/>
        </w:rPr>
        <w:t xml:space="preserve">, </w:t>
      </w:r>
      <w:r w:rsidR="001A0EBB">
        <w:rPr>
          <w:rFonts w:asciiTheme="minorHAnsi" w:hAnsiTheme="minorHAnsi"/>
          <w:sz w:val="18"/>
          <w:szCs w:val="20"/>
        </w:rPr>
        <w:t>et al.</w:t>
      </w:r>
      <w:r w:rsidRPr="00556956">
        <w:rPr>
          <w:rFonts w:asciiTheme="minorHAnsi" w:hAnsiTheme="minorHAnsi"/>
          <w:sz w:val="18"/>
          <w:szCs w:val="20"/>
        </w:rPr>
        <w:t xml:space="preserve"> </w:t>
      </w:r>
      <w:r w:rsidR="001A0EBB">
        <w:rPr>
          <w:rFonts w:asciiTheme="minorHAnsi" w:hAnsiTheme="minorHAnsi"/>
          <w:sz w:val="18"/>
          <w:szCs w:val="20"/>
        </w:rPr>
        <w:t>(</w:t>
      </w:r>
      <w:r w:rsidRPr="00556956">
        <w:rPr>
          <w:rFonts w:asciiTheme="minorHAnsi" w:hAnsiTheme="minorHAnsi"/>
          <w:sz w:val="18"/>
          <w:szCs w:val="20"/>
        </w:rPr>
        <w:t>2012</w:t>
      </w:r>
      <w:r w:rsidR="001A0EBB">
        <w:rPr>
          <w:rFonts w:asciiTheme="minorHAnsi" w:hAnsiTheme="minorHAnsi"/>
          <w:sz w:val="18"/>
          <w:szCs w:val="20"/>
        </w:rPr>
        <w:t>)</w:t>
      </w:r>
      <w:r w:rsidRPr="00556956">
        <w:rPr>
          <w:rFonts w:asciiTheme="minorHAnsi" w:hAnsiTheme="minorHAnsi"/>
          <w:sz w:val="18"/>
          <w:szCs w:val="20"/>
        </w:rPr>
        <w:t xml:space="preserve">, 'Australian Paediatric Surveillance Unit study of haemoglobinopathies in Australian children', </w:t>
      </w:r>
      <w:r w:rsidRPr="00B579B4">
        <w:rPr>
          <w:rFonts w:asciiTheme="minorHAnsi" w:hAnsiTheme="minorHAnsi"/>
          <w:i/>
          <w:sz w:val="18"/>
        </w:rPr>
        <w:t xml:space="preserve">J </w:t>
      </w:r>
      <w:proofErr w:type="spellStart"/>
      <w:r w:rsidRPr="00B579B4">
        <w:rPr>
          <w:rFonts w:asciiTheme="minorHAnsi" w:hAnsiTheme="minorHAnsi"/>
          <w:i/>
          <w:sz w:val="18"/>
        </w:rPr>
        <w:t>Paediatr</w:t>
      </w:r>
      <w:proofErr w:type="spellEnd"/>
      <w:r w:rsidRPr="00B579B4">
        <w:rPr>
          <w:rFonts w:asciiTheme="minorHAnsi" w:hAnsiTheme="minorHAnsi"/>
          <w:i/>
          <w:sz w:val="18"/>
        </w:rPr>
        <w:t xml:space="preserve"> Child Health</w:t>
      </w:r>
      <w:r w:rsidRPr="00556956">
        <w:rPr>
          <w:rFonts w:asciiTheme="minorHAnsi" w:hAnsiTheme="minorHAnsi"/>
          <w:sz w:val="18"/>
          <w:szCs w:val="20"/>
        </w:rPr>
        <w:t>, vol. 48, no. 4, Apr, pp. 356-360.</w:t>
      </w:r>
      <w:r w:rsidR="00C562F8">
        <w:rPr>
          <w:rFonts w:asciiTheme="minorHAnsi" w:hAnsiTheme="minorHAnsi"/>
          <w:sz w:val="18"/>
          <w:szCs w:val="20"/>
        </w:rPr>
        <w:t xml:space="preserve"> </w:t>
      </w:r>
      <w:proofErr w:type="spellStart"/>
      <w:r w:rsidR="00C562F8" w:rsidRPr="00C562F8">
        <w:rPr>
          <w:rFonts w:asciiTheme="minorHAnsi" w:hAnsiTheme="minorHAnsi"/>
          <w:sz w:val="18"/>
          <w:szCs w:val="20"/>
        </w:rPr>
        <w:t>doi</w:t>
      </w:r>
      <w:proofErr w:type="spellEnd"/>
      <w:r w:rsidR="00C562F8" w:rsidRPr="00C562F8">
        <w:rPr>
          <w:rFonts w:asciiTheme="minorHAnsi" w:hAnsiTheme="minorHAnsi"/>
          <w:sz w:val="18"/>
          <w:szCs w:val="20"/>
        </w:rPr>
        <w:t>: 10.1111/j.1440-1754.</w:t>
      </w:r>
      <w:proofErr w:type="gramStart"/>
      <w:r w:rsidR="00C562F8" w:rsidRPr="00C562F8">
        <w:rPr>
          <w:rFonts w:asciiTheme="minorHAnsi" w:hAnsiTheme="minorHAnsi"/>
          <w:sz w:val="18"/>
          <w:szCs w:val="20"/>
        </w:rPr>
        <w:t>2011.02236.x</w:t>
      </w:r>
      <w:proofErr w:type="gramEnd"/>
    </w:p>
  </w:footnote>
  <w:footnote w:id="25">
    <w:p w14:paraId="0DBB50AD" w14:textId="6B0318C5" w:rsidR="008277D8" w:rsidRPr="005B61F8" w:rsidRDefault="008277D8" w:rsidP="00DB6A8E">
      <w:pPr>
        <w:pStyle w:val="FootnoteText"/>
        <w:spacing w:before="0"/>
      </w:pPr>
      <w:r w:rsidRPr="005B61F8">
        <w:rPr>
          <w:rStyle w:val="FootnoteReference"/>
        </w:rPr>
        <w:footnoteRef/>
      </w:r>
      <w:r w:rsidRPr="005B61F8">
        <w:t xml:space="preserve"> Lower limit of range (64%) source: “Beyond the Crystal Ball – Th</w:t>
      </w:r>
      <w:r w:rsidR="00C562F8">
        <w:t>e</w:t>
      </w:r>
      <w:r w:rsidRPr="005B61F8">
        <w:t xml:space="preserve"> Epidemiology of Some Genetic Conditions in Victoria, 2002”. Department of Human Services, Victoria. </w:t>
      </w:r>
      <w:r w:rsidR="001B0C92" w:rsidRPr="001B0C92">
        <w:t>http://www.dhs.vic.gov.au/phd/genetics</w:t>
      </w:r>
    </w:p>
    <w:p w14:paraId="4B8015CA" w14:textId="4554A4A5" w:rsidR="008277D8" w:rsidRDefault="008277D8" w:rsidP="00DB6A8E">
      <w:pPr>
        <w:pStyle w:val="FootnoteText"/>
        <w:spacing w:before="0"/>
      </w:pPr>
      <w:r w:rsidRPr="005B61F8">
        <w:t>Upper limit of range (99%) source: Clinical opinion from Monash Maternity Hospital (Meeting21 Feb 2023 with DHA, clinical experts, and assessment group)</w:t>
      </w:r>
    </w:p>
  </w:footnote>
  <w:footnote w:id="26">
    <w:p w14:paraId="442B2060" w14:textId="6D90A707" w:rsidR="00820D72" w:rsidRPr="00820D72" w:rsidRDefault="00820D72" w:rsidP="00DB6A8E">
      <w:pPr>
        <w:pStyle w:val="FootnoteText"/>
        <w:spacing w:before="0"/>
      </w:pPr>
      <w:r>
        <w:rPr>
          <w:rStyle w:val="FootnoteReference"/>
        </w:rPr>
        <w:footnoteRef/>
      </w:r>
      <w:r>
        <w:t xml:space="preserve"> </w:t>
      </w:r>
      <w:r w:rsidRPr="00820D72">
        <w:t xml:space="preserve">DHS, V 2002, Beyond the Crystal Ball - The Epidemiology of Some Genetic Conditions in Victoria 2002, Rural and Regional Health and Aged Care Services Division, Victoria, </w:t>
      </w:r>
      <w:r w:rsidR="001B0C92" w:rsidRPr="001B0C92">
        <w:t>http</w:t>
      </w:r>
      <w:r w:rsidRPr="001B0C92">
        <w:t>://www.</w:t>
      </w:r>
      <w:r w:rsidR="001B0C92" w:rsidRPr="001B0C92">
        <w:t>dhs</w:t>
      </w:r>
      <w:r w:rsidRPr="001B0C92">
        <w:t>.vic.gov.au/</w:t>
      </w:r>
      <w:r w:rsidR="001B0C92" w:rsidRPr="001B0C92">
        <w:t>phd/</w:t>
      </w:r>
      <w:r w:rsidRPr="001B0C92">
        <w:t>genetics</w:t>
      </w:r>
    </w:p>
  </w:footnote>
  <w:footnote w:id="27">
    <w:p w14:paraId="0FDA740A" w14:textId="792749B3" w:rsidR="009621AE" w:rsidRPr="009621AE" w:rsidRDefault="009621AE" w:rsidP="00DB6A8E">
      <w:pPr>
        <w:pStyle w:val="FootnoteText"/>
        <w:spacing w:before="0"/>
        <w:rPr>
          <w:lang w:val="en-US"/>
        </w:rPr>
      </w:pPr>
      <w:r>
        <w:rPr>
          <w:rStyle w:val="FootnoteReference"/>
        </w:rPr>
        <w:footnoteRef/>
      </w:r>
      <w:r>
        <w:t xml:space="preserve"> C</w:t>
      </w:r>
      <w:r w:rsidRPr="009621AE">
        <w:t xml:space="preserve">ost per test for the instrument (amortised over 5 years) </w:t>
      </w:r>
      <w:r w:rsidR="00614B45">
        <w:t>$0.</w:t>
      </w:r>
      <w:r w:rsidRPr="009621AE">
        <w:t xml:space="preserve">60, plus </w:t>
      </w:r>
      <w:r w:rsidR="00614B45">
        <w:t>$</w:t>
      </w:r>
      <w:r w:rsidRPr="009621AE">
        <w:t xml:space="preserve">1.20 for </w:t>
      </w:r>
      <w:r w:rsidR="00614B45">
        <w:t xml:space="preserve">staff, </w:t>
      </w:r>
      <w:r w:rsidRPr="009621AE">
        <w:t>$2</w:t>
      </w:r>
      <w:r w:rsidR="00614B45">
        <w:t>.00</w:t>
      </w:r>
      <w:r w:rsidRPr="009621AE">
        <w:t xml:space="preserve"> for the test</w:t>
      </w:r>
      <w:r w:rsidR="00614B45">
        <w:t xml:space="preserve"> and</w:t>
      </w:r>
      <w:r w:rsidRPr="009621AE">
        <w:t xml:space="preserve"> </w:t>
      </w:r>
      <w:r w:rsidR="00614B45">
        <w:t xml:space="preserve">$0.50 for </w:t>
      </w:r>
      <w:proofErr w:type="gramStart"/>
      <w:r w:rsidRPr="009621AE">
        <w:t>comms</w:t>
      </w:r>
      <w:proofErr w:type="gramEnd"/>
    </w:p>
  </w:footnote>
  <w:footnote w:id="28">
    <w:p w14:paraId="49921611" w14:textId="74B7C7AA" w:rsidR="000D26F9" w:rsidRPr="000D26F9" w:rsidRDefault="000D26F9" w:rsidP="00DB6A8E">
      <w:pPr>
        <w:pStyle w:val="FootnoteText"/>
        <w:spacing w:before="0"/>
        <w:rPr>
          <w:lang w:val="en-US"/>
        </w:rPr>
      </w:pPr>
      <w:r>
        <w:rPr>
          <w:rStyle w:val="FootnoteReference"/>
        </w:rPr>
        <w:footnoteRef/>
      </w:r>
      <w:r>
        <w:t xml:space="preserve"> C</w:t>
      </w:r>
      <w:r w:rsidRPr="009621AE">
        <w:t xml:space="preserve">ost per test for the instrument (amortised over 5 years) </w:t>
      </w:r>
      <w:r>
        <w:t>$3.00</w:t>
      </w:r>
      <w:r w:rsidRPr="009621AE">
        <w:t xml:space="preserve">, plus </w:t>
      </w:r>
      <w:r>
        <w:t>$</w:t>
      </w:r>
      <w:r w:rsidR="00AE7D2D">
        <w:t>6.00</w:t>
      </w:r>
      <w:r w:rsidRPr="009621AE">
        <w:t xml:space="preserve"> for </w:t>
      </w:r>
      <w:r>
        <w:t xml:space="preserve">staff, </w:t>
      </w:r>
      <w:r w:rsidRPr="009621AE">
        <w:t>$2</w:t>
      </w:r>
      <w:r>
        <w:t>.00</w:t>
      </w:r>
      <w:r w:rsidRPr="009621AE">
        <w:t xml:space="preserve"> for the test</w:t>
      </w:r>
      <w:r>
        <w:t xml:space="preserve"> and</w:t>
      </w:r>
      <w:r w:rsidRPr="009621AE">
        <w:t xml:space="preserve"> </w:t>
      </w:r>
      <w:r>
        <w:t>$</w:t>
      </w:r>
      <w:r w:rsidR="00AE7D2D">
        <w:t>2</w:t>
      </w:r>
      <w:r>
        <w:t xml:space="preserve">.50 for </w:t>
      </w:r>
      <w:proofErr w:type="gramStart"/>
      <w:r w:rsidRPr="009621AE">
        <w:t>comms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F0AA5"/>
    <w:multiLevelType w:val="hybridMultilevel"/>
    <w:tmpl w:val="334A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206DC"/>
    <w:multiLevelType w:val="hybridMultilevel"/>
    <w:tmpl w:val="B350A9A8"/>
    <w:lvl w:ilvl="0" w:tplc="17F2E934">
      <w:start w:val="1"/>
      <w:numFmt w:val="bullet"/>
      <w:lvlText w:val=""/>
      <w:lvlJc w:val="left"/>
      <w:pPr>
        <w:ind w:left="720" w:hanging="360"/>
      </w:pPr>
      <w:rPr>
        <w:rFonts w:ascii="Symbol" w:hAnsi="Symbol"/>
      </w:rPr>
    </w:lvl>
    <w:lvl w:ilvl="1" w:tplc="23D8801A">
      <w:start w:val="1"/>
      <w:numFmt w:val="bullet"/>
      <w:lvlText w:val=""/>
      <w:lvlJc w:val="left"/>
      <w:pPr>
        <w:ind w:left="720" w:hanging="360"/>
      </w:pPr>
      <w:rPr>
        <w:rFonts w:ascii="Symbol" w:hAnsi="Symbol"/>
      </w:rPr>
    </w:lvl>
    <w:lvl w:ilvl="2" w:tplc="04DEFA56">
      <w:start w:val="1"/>
      <w:numFmt w:val="bullet"/>
      <w:lvlText w:val=""/>
      <w:lvlJc w:val="left"/>
      <w:pPr>
        <w:ind w:left="720" w:hanging="360"/>
      </w:pPr>
      <w:rPr>
        <w:rFonts w:ascii="Symbol" w:hAnsi="Symbol"/>
      </w:rPr>
    </w:lvl>
    <w:lvl w:ilvl="3" w:tplc="51B4E23C">
      <w:start w:val="1"/>
      <w:numFmt w:val="bullet"/>
      <w:lvlText w:val=""/>
      <w:lvlJc w:val="left"/>
      <w:pPr>
        <w:ind w:left="720" w:hanging="360"/>
      </w:pPr>
      <w:rPr>
        <w:rFonts w:ascii="Symbol" w:hAnsi="Symbol"/>
      </w:rPr>
    </w:lvl>
    <w:lvl w:ilvl="4" w:tplc="9C063350">
      <w:start w:val="1"/>
      <w:numFmt w:val="bullet"/>
      <w:lvlText w:val=""/>
      <w:lvlJc w:val="left"/>
      <w:pPr>
        <w:ind w:left="720" w:hanging="360"/>
      </w:pPr>
      <w:rPr>
        <w:rFonts w:ascii="Symbol" w:hAnsi="Symbol"/>
      </w:rPr>
    </w:lvl>
    <w:lvl w:ilvl="5" w:tplc="D71E5C0E">
      <w:start w:val="1"/>
      <w:numFmt w:val="bullet"/>
      <w:lvlText w:val=""/>
      <w:lvlJc w:val="left"/>
      <w:pPr>
        <w:ind w:left="720" w:hanging="360"/>
      </w:pPr>
      <w:rPr>
        <w:rFonts w:ascii="Symbol" w:hAnsi="Symbol"/>
      </w:rPr>
    </w:lvl>
    <w:lvl w:ilvl="6" w:tplc="E5440AC4">
      <w:start w:val="1"/>
      <w:numFmt w:val="bullet"/>
      <w:lvlText w:val=""/>
      <w:lvlJc w:val="left"/>
      <w:pPr>
        <w:ind w:left="720" w:hanging="360"/>
      </w:pPr>
      <w:rPr>
        <w:rFonts w:ascii="Symbol" w:hAnsi="Symbol"/>
      </w:rPr>
    </w:lvl>
    <w:lvl w:ilvl="7" w:tplc="3C5E3352">
      <w:start w:val="1"/>
      <w:numFmt w:val="bullet"/>
      <w:lvlText w:val=""/>
      <w:lvlJc w:val="left"/>
      <w:pPr>
        <w:ind w:left="720" w:hanging="360"/>
      </w:pPr>
      <w:rPr>
        <w:rFonts w:ascii="Symbol" w:hAnsi="Symbol"/>
      </w:rPr>
    </w:lvl>
    <w:lvl w:ilvl="8" w:tplc="31C497F8">
      <w:start w:val="1"/>
      <w:numFmt w:val="bullet"/>
      <w:lvlText w:val=""/>
      <w:lvlJc w:val="left"/>
      <w:pPr>
        <w:ind w:left="720" w:hanging="360"/>
      </w:pPr>
      <w:rPr>
        <w:rFonts w:ascii="Symbol" w:hAnsi="Symbol"/>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B32B0"/>
    <w:multiLevelType w:val="hybridMultilevel"/>
    <w:tmpl w:val="6A60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86B3F"/>
    <w:multiLevelType w:val="hybridMultilevel"/>
    <w:tmpl w:val="4984A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D4526"/>
    <w:multiLevelType w:val="hybridMultilevel"/>
    <w:tmpl w:val="D47A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17AC3"/>
    <w:multiLevelType w:val="hybridMultilevel"/>
    <w:tmpl w:val="8F4A8210"/>
    <w:lvl w:ilvl="0" w:tplc="F70E967C">
      <w:numFmt w:val="decimal"/>
      <w:lvlText w:val="%1."/>
      <w:lvlJc w:val="left"/>
      <w:pPr>
        <w:ind w:left="1080" w:hanging="720"/>
      </w:pPr>
      <w:rPr>
        <w:rFonts w:ascii="Arial Narrow" w:eastAsiaTheme="minorHAnsi" w:hAnsi="Arial Narrow" w:cstheme="minorBid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A25DE1"/>
    <w:multiLevelType w:val="hybridMultilevel"/>
    <w:tmpl w:val="B6E4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4784A26"/>
    <w:multiLevelType w:val="hybridMultilevel"/>
    <w:tmpl w:val="47920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5062D6A">
      <w:numFmt w:val="bullet"/>
      <w:lvlText w:val="•"/>
      <w:lvlJc w:val="left"/>
      <w:pPr>
        <w:ind w:left="2520" w:hanging="720"/>
      </w:pPr>
      <w:rPr>
        <w:rFonts w:ascii="Franklin Gothic Book" w:eastAsiaTheme="minorHAnsi" w:hAnsi="Franklin Gothic Book"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90247"/>
    <w:multiLevelType w:val="hybridMultilevel"/>
    <w:tmpl w:val="369091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68F05E2"/>
    <w:multiLevelType w:val="hybridMultilevel"/>
    <w:tmpl w:val="BC1E6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C840356"/>
    <w:multiLevelType w:val="hybridMultilevel"/>
    <w:tmpl w:val="44782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945E5D88"/>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5A1978"/>
    <w:multiLevelType w:val="hybridMultilevel"/>
    <w:tmpl w:val="986842C6"/>
    <w:lvl w:ilvl="0" w:tplc="17A68EE4">
      <w:start w:val="1"/>
      <w:numFmt w:val="bullet"/>
      <w:lvlText w:val=""/>
      <w:lvlJc w:val="left"/>
      <w:pPr>
        <w:ind w:left="720" w:hanging="360"/>
      </w:pPr>
      <w:rPr>
        <w:rFonts w:ascii="Symbol" w:hAnsi="Symbol"/>
      </w:rPr>
    </w:lvl>
    <w:lvl w:ilvl="1" w:tplc="60BEB1BC">
      <w:start w:val="1"/>
      <w:numFmt w:val="bullet"/>
      <w:lvlText w:val=""/>
      <w:lvlJc w:val="left"/>
      <w:pPr>
        <w:ind w:left="720" w:hanging="360"/>
      </w:pPr>
      <w:rPr>
        <w:rFonts w:ascii="Symbol" w:hAnsi="Symbol"/>
      </w:rPr>
    </w:lvl>
    <w:lvl w:ilvl="2" w:tplc="0BBEC166">
      <w:start w:val="1"/>
      <w:numFmt w:val="bullet"/>
      <w:lvlText w:val=""/>
      <w:lvlJc w:val="left"/>
      <w:pPr>
        <w:ind w:left="720" w:hanging="360"/>
      </w:pPr>
      <w:rPr>
        <w:rFonts w:ascii="Symbol" w:hAnsi="Symbol"/>
      </w:rPr>
    </w:lvl>
    <w:lvl w:ilvl="3" w:tplc="E250CA24">
      <w:start w:val="1"/>
      <w:numFmt w:val="bullet"/>
      <w:lvlText w:val=""/>
      <w:lvlJc w:val="left"/>
      <w:pPr>
        <w:ind w:left="720" w:hanging="360"/>
      </w:pPr>
      <w:rPr>
        <w:rFonts w:ascii="Symbol" w:hAnsi="Symbol"/>
      </w:rPr>
    </w:lvl>
    <w:lvl w:ilvl="4" w:tplc="52982C88">
      <w:start w:val="1"/>
      <w:numFmt w:val="bullet"/>
      <w:lvlText w:val=""/>
      <w:lvlJc w:val="left"/>
      <w:pPr>
        <w:ind w:left="720" w:hanging="360"/>
      </w:pPr>
      <w:rPr>
        <w:rFonts w:ascii="Symbol" w:hAnsi="Symbol"/>
      </w:rPr>
    </w:lvl>
    <w:lvl w:ilvl="5" w:tplc="BC1ADEDC">
      <w:start w:val="1"/>
      <w:numFmt w:val="bullet"/>
      <w:lvlText w:val=""/>
      <w:lvlJc w:val="left"/>
      <w:pPr>
        <w:ind w:left="720" w:hanging="360"/>
      </w:pPr>
      <w:rPr>
        <w:rFonts w:ascii="Symbol" w:hAnsi="Symbol"/>
      </w:rPr>
    </w:lvl>
    <w:lvl w:ilvl="6" w:tplc="199E2088">
      <w:start w:val="1"/>
      <w:numFmt w:val="bullet"/>
      <w:lvlText w:val=""/>
      <w:lvlJc w:val="left"/>
      <w:pPr>
        <w:ind w:left="720" w:hanging="360"/>
      </w:pPr>
      <w:rPr>
        <w:rFonts w:ascii="Symbol" w:hAnsi="Symbol"/>
      </w:rPr>
    </w:lvl>
    <w:lvl w:ilvl="7" w:tplc="616AAF5E">
      <w:start w:val="1"/>
      <w:numFmt w:val="bullet"/>
      <w:lvlText w:val=""/>
      <w:lvlJc w:val="left"/>
      <w:pPr>
        <w:ind w:left="720" w:hanging="360"/>
      </w:pPr>
      <w:rPr>
        <w:rFonts w:ascii="Symbol" w:hAnsi="Symbol"/>
      </w:rPr>
    </w:lvl>
    <w:lvl w:ilvl="8" w:tplc="50C60CCC">
      <w:start w:val="1"/>
      <w:numFmt w:val="bullet"/>
      <w:lvlText w:val=""/>
      <w:lvlJc w:val="left"/>
      <w:pPr>
        <w:ind w:left="720" w:hanging="360"/>
      </w:pPr>
      <w:rPr>
        <w:rFonts w:ascii="Symbol" w:hAnsi="Symbol"/>
      </w:rPr>
    </w:lvl>
  </w:abstractNum>
  <w:abstractNum w:abstractNumId="19" w15:restartNumberingAfterBreak="0">
    <w:nsid w:val="433511FB"/>
    <w:multiLevelType w:val="hybridMultilevel"/>
    <w:tmpl w:val="17F2EE16"/>
    <w:lvl w:ilvl="0" w:tplc="D40C4FCE">
      <w:start w:val="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3628230A"/>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BD5EF0"/>
    <w:multiLevelType w:val="hybridMultilevel"/>
    <w:tmpl w:val="D50A6D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DC0009E"/>
    <w:multiLevelType w:val="hybridMultilevel"/>
    <w:tmpl w:val="BBB6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F03193"/>
    <w:multiLevelType w:val="hybridMultilevel"/>
    <w:tmpl w:val="101A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73F46"/>
    <w:multiLevelType w:val="hybridMultilevel"/>
    <w:tmpl w:val="1F4C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D26BBA"/>
    <w:multiLevelType w:val="hybridMultilevel"/>
    <w:tmpl w:val="283CE1AC"/>
    <w:lvl w:ilvl="0" w:tplc="18365606">
      <w:start w:val="1"/>
      <w:numFmt w:val="bullet"/>
      <w:lvlText w:val=""/>
      <w:lvlJc w:val="left"/>
      <w:pPr>
        <w:ind w:left="720" w:hanging="360"/>
      </w:pPr>
      <w:rPr>
        <w:rFonts w:ascii="Symbol" w:hAnsi="Symbol"/>
      </w:rPr>
    </w:lvl>
    <w:lvl w:ilvl="1" w:tplc="A1524A4A">
      <w:start w:val="1"/>
      <w:numFmt w:val="bullet"/>
      <w:lvlText w:val=""/>
      <w:lvlJc w:val="left"/>
      <w:pPr>
        <w:ind w:left="720" w:hanging="360"/>
      </w:pPr>
      <w:rPr>
        <w:rFonts w:ascii="Symbol" w:hAnsi="Symbol"/>
      </w:rPr>
    </w:lvl>
    <w:lvl w:ilvl="2" w:tplc="56FA1366">
      <w:start w:val="1"/>
      <w:numFmt w:val="bullet"/>
      <w:lvlText w:val=""/>
      <w:lvlJc w:val="left"/>
      <w:pPr>
        <w:ind w:left="720" w:hanging="360"/>
      </w:pPr>
      <w:rPr>
        <w:rFonts w:ascii="Symbol" w:hAnsi="Symbol"/>
      </w:rPr>
    </w:lvl>
    <w:lvl w:ilvl="3" w:tplc="760E7030">
      <w:start w:val="1"/>
      <w:numFmt w:val="bullet"/>
      <w:lvlText w:val=""/>
      <w:lvlJc w:val="left"/>
      <w:pPr>
        <w:ind w:left="720" w:hanging="360"/>
      </w:pPr>
      <w:rPr>
        <w:rFonts w:ascii="Symbol" w:hAnsi="Symbol"/>
      </w:rPr>
    </w:lvl>
    <w:lvl w:ilvl="4" w:tplc="7D941456">
      <w:start w:val="1"/>
      <w:numFmt w:val="bullet"/>
      <w:lvlText w:val=""/>
      <w:lvlJc w:val="left"/>
      <w:pPr>
        <w:ind w:left="720" w:hanging="360"/>
      </w:pPr>
      <w:rPr>
        <w:rFonts w:ascii="Symbol" w:hAnsi="Symbol"/>
      </w:rPr>
    </w:lvl>
    <w:lvl w:ilvl="5" w:tplc="694260CE">
      <w:start w:val="1"/>
      <w:numFmt w:val="bullet"/>
      <w:lvlText w:val=""/>
      <w:lvlJc w:val="left"/>
      <w:pPr>
        <w:ind w:left="720" w:hanging="360"/>
      </w:pPr>
      <w:rPr>
        <w:rFonts w:ascii="Symbol" w:hAnsi="Symbol"/>
      </w:rPr>
    </w:lvl>
    <w:lvl w:ilvl="6" w:tplc="351826AA">
      <w:start w:val="1"/>
      <w:numFmt w:val="bullet"/>
      <w:lvlText w:val=""/>
      <w:lvlJc w:val="left"/>
      <w:pPr>
        <w:ind w:left="720" w:hanging="360"/>
      </w:pPr>
      <w:rPr>
        <w:rFonts w:ascii="Symbol" w:hAnsi="Symbol"/>
      </w:rPr>
    </w:lvl>
    <w:lvl w:ilvl="7" w:tplc="D24642DA">
      <w:start w:val="1"/>
      <w:numFmt w:val="bullet"/>
      <w:lvlText w:val=""/>
      <w:lvlJc w:val="left"/>
      <w:pPr>
        <w:ind w:left="720" w:hanging="360"/>
      </w:pPr>
      <w:rPr>
        <w:rFonts w:ascii="Symbol" w:hAnsi="Symbol"/>
      </w:rPr>
    </w:lvl>
    <w:lvl w:ilvl="8" w:tplc="F23C718C">
      <w:start w:val="1"/>
      <w:numFmt w:val="bullet"/>
      <w:lvlText w:val=""/>
      <w:lvlJc w:val="left"/>
      <w:pPr>
        <w:ind w:left="720" w:hanging="360"/>
      </w:pPr>
      <w:rPr>
        <w:rFonts w:ascii="Symbol" w:hAnsi="Symbol"/>
      </w:rPr>
    </w:lvl>
  </w:abstractNum>
  <w:abstractNum w:abstractNumId="26" w15:restartNumberingAfterBreak="0">
    <w:nsid w:val="61E60E26"/>
    <w:multiLevelType w:val="hybridMultilevel"/>
    <w:tmpl w:val="6C405860"/>
    <w:lvl w:ilvl="0" w:tplc="9600F2E8">
      <w:numFmt w:val="decimal"/>
      <w:lvlText w:val="%1."/>
      <w:lvlJc w:val="left"/>
      <w:pPr>
        <w:ind w:left="720" w:hanging="360"/>
      </w:pPr>
      <w:rPr>
        <w:rFonts w:eastAsiaTheme="minorHAnsi"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1669F"/>
    <w:multiLevelType w:val="hybridMultilevel"/>
    <w:tmpl w:val="3796C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B0763"/>
    <w:multiLevelType w:val="hybridMultilevel"/>
    <w:tmpl w:val="055E3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DA7E5A"/>
    <w:multiLevelType w:val="hybridMultilevel"/>
    <w:tmpl w:val="2BFA9314"/>
    <w:lvl w:ilvl="0" w:tplc="E0047A66">
      <w:start w:val="1"/>
      <w:numFmt w:val="bullet"/>
      <w:lvlText w:val=""/>
      <w:lvlJc w:val="left"/>
      <w:pPr>
        <w:ind w:left="720" w:hanging="360"/>
      </w:pPr>
      <w:rPr>
        <w:rFonts w:ascii="Symbol" w:hAnsi="Symbol"/>
      </w:rPr>
    </w:lvl>
    <w:lvl w:ilvl="1" w:tplc="3D6019B4">
      <w:start w:val="1"/>
      <w:numFmt w:val="bullet"/>
      <w:lvlText w:val=""/>
      <w:lvlJc w:val="left"/>
      <w:pPr>
        <w:ind w:left="720" w:hanging="360"/>
      </w:pPr>
      <w:rPr>
        <w:rFonts w:ascii="Symbol" w:hAnsi="Symbol"/>
      </w:rPr>
    </w:lvl>
    <w:lvl w:ilvl="2" w:tplc="76869504">
      <w:start w:val="1"/>
      <w:numFmt w:val="bullet"/>
      <w:lvlText w:val=""/>
      <w:lvlJc w:val="left"/>
      <w:pPr>
        <w:ind w:left="720" w:hanging="360"/>
      </w:pPr>
      <w:rPr>
        <w:rFonts w:ascii="Symbol" w:hAnsi="Symbol"/>
      </w:rPr>
    </w:lvl>
    <w:lvl w:ilvl="3" w:tplc="491631D6">
      <w:start w:val="1"/>
      <w:numFmt w:val="bullet"/>
      <w:lvlText w:val=""/>
      <w:lvlJc w:val="left"/>
      <w:pPr>
        <w:ind w:left="720" w:hanging="360"/>
      </w:pPr>
      <w:rPr>
        <w:rFonts w:ascii="Symbol" w:hAnsi="Symbol"/>
      </w:rPr>
    </w:lvl>
    <w:lvl w:ilvl="4" w:tplc="486CE61A">
      <w:start w:val="1"/>
      <w:numFmt w:val="bullet"/>
      <w:lvlText w:val=""/>
      <w:lvlJc w:val="left"/>
      <w:pPr>
        <w:ind w:left="720" w:hanging="360"/>
      </w:pPr>
      <w:rPr>
        <w:rFonts w:ascii="Symbol" w:hAnsi="Symbol"/>
      </w:rPr>
    </w:lvl>
    <w:lvl w:ilvl="5" w:tplc="10B8DE9C">
      <w:start w:val="1"/>
      <w:numFmt w:val="bullet"/>
      <w:lvlText w:val=""/>
      <w:lvlJc w:val="left"/>
      <w:pPr>
        <w:ind w:left="720" w:hanging="360"/>
      </w:pPr>
      <w:rPr>
        <w:rFonts w:ascii="Symbol" w:hAnsi="Symbol"/>
      </w:rPr>
    </w:lvl>
    <w:lvl w:ilvl="6" w:tplc="8D767228">
      <w:start w:val="1"/>
      <w:numFmt w:val="bullet"/>
      <w:lvlText w:val=""/>
      <w:lvlJc w:val="left"/>
      <w:pPr>
        <w:ind w:left="720" w:hanging="360"/>
      </w:pPr>
      <w:rPr>
        <w:rFonts w:ascii="Symbol" w:hAnsi="Symbol"/>
      </w:rPr>
    </w:lvl>
    <w:lvl w:ilvl="7" w:tplc="FFAACDF2">
      <w:start w:val="1"/>
      <w:numFmt w:val="bullet"/>
      <w:lvlText w:val=""/>
      <w:lvlJc w:val="left"/>
      <w:pPr>
        <w:ind w:left="720" w:hanging="360"/>
      </w:pPr>
      <w:rPr>
        <w:rFonts w:ascii="Symbol" w:hAnsi="Symbol"/>
      </w:rPr>
    </w:lvl>
    <w:lvl w:ilvl="8" w:tplc="47F289C6">
      <w:start w:val="1"/>
      <w:numFmt w:val="bullet"/>
      <w:lvlText w:val=""/>
      <w:lvlJc w:val="left"/>
      <w:pPr>
        <w:ind w:left="720" w:hanging="360"/>
      </w:pPr>
      <w:rPr>
        <w:rFonts w:ascii="Symbol" w:hAnsi="Symbol"/>
      </w:rPr>
    </w:lvl>
  </w:abstractNum>
  <w:abstractNum w:abstractNumId="30" w15:restartNumberingAfterBreak="0">
    <w:nsid w:val="72C550A8"/>
    <w:multiLevelType w:val="hybridMultilevel"/>
    <w:tmpl w:val="6F4298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894F79"/>
    <w:multiLevelType w:val="hybridMultilevel"/>
    <w:tmpl w:val="150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14514"/>
    <w:multiLevelType w:val="hybridMultilevel"/>
    <w:tmpl w:val="A984B86A"/>
    <w:lvl w:ilvl="0" w:tplc="6BFC3798">
      <w:start w:val="1"/>
      <w:numFmt w:val="bullet"/>
      <w:lvlText w:val=""/>
      <w:lvlJc w:val="left"/>
      <w:pPr>
        <w:ind w:left="720" w:hanging="360"/>
      </w:pPr>
      <w:rPr>
        <w:rFonts w:ascii="Symbol" w:hAnsi="Symbol"/>
      </w:rPr>
    </w:lvl>
    <w:lvl w:ilvl="1" w:tplc="10060D8A">
      <w:start w:val="1"/>
      <w:numFmt w:val="bullet"/>
      <w:lvlText w:val=""/>
      <w:lvlJc w:val="left"/>
      <w:pPr>
        <w:ind w:left="720" w:hanging="360"/>
      </w:pPr>
      <w:rPr>
        <w:rFonts w:ascii="Symbol" w:hAnsi="Symbol"/>
      </w:rPr>
    </w:lvl>
    <w:lvl w:ilvl="2" w:tplc="D28A7928">
      <w:start w:val="1"/>
      <w:numFmt w:val="bullet"/>
      <w:lvlText w:val=""/>
      <w:lvlJc w:val="left"/>
      <w:pPr>
        <w:ind w:left="720" w:hanging="360"/>
      </w:pPr>
      <w:rPr>
        <w:rFonts w:ascii="Symbol" w:hAnsi="Symbol"/>
      </w:rPr>
    </w:lvl>
    <w:lvl w:ilvl="3" w:tplc="60342B08">
      <w:start w:val="1"/>
      <w:numFmt w:val="bullet"/>
      <w:lvlText w:val=""/>
      <w:lvlJc w:val="left"/>
      <w:pPr>
        <w:ind w:left="720" w:hanging="360"/>
      </w:pPr>
      <w:rPr>
        <w:rFonts w:ascii="Symbol" w:hAnsi="Symbol"/>
      </w:rPr>
    </w:lvl>
    <w:lvl w:ilvl="4" w:tplc="4AC00296">
      <w:start w:val="1"/>
      <w:numFmt w:val="bullet"/>
      <w:lvlText w:val=""/>
      <w:lvlJc w:val="left"/>
      <w:pPr>
        <w:ind w:left="720" w:hanging="360"/>
      </w:pPr>
      <w:rPr>
        <w:rFonts w:ascii="Symbol" w:hAnsi="Symbol"/>
      </w:rPr>
    </w:lvl>
    <w:lvl w:ilvl="5" w:tplc="8618B586">
      <w:start w:val="1"/>
      <w:numFmt w:val="bullet"/>
      <w:lvlText w:val=""/>
      <w:lvlJc w:val="left"/>
      <w:pPr>
        <w:ind w:left="720" w:hanging="360"/>
      </w:pPr>
      <w:rPr>
        <w:rFonts w:ascii="Symbol" w:hAnsi="Symbol"/>
      </w:rPr>
    </w:lvl>
    <w:lvl w:ilvl="6" w:tplc="7218956A">
      <w:start w:val="1"/>
      <w:numFmt w:val="bullet"/>
      <w:lvlText w:val=""/>
      <w:lvlJc w:val="left"/>
      <w:pPr>
        <w:ind w:left="720" w:hanging="360"/>
      </w:pPr>
      <w:rPr>
        <w:rFonts w:ascii="Symbol" w:hAnsi="Symbol"/>
      </w:rPr>
    </w:lvl>
    <w:lvl w:ilvl="7" w:tplc="87E000F2">
      <w:start w:val="1"/>
      <w:numFmt w:val="bullet"/>
      <w:lvlText w:val=""/>
      <w:lvlJc w:val="left"/>
      <w:pPr>
        <w:ind w:left="720" w:hanging="360"/>
      </w:pPr>
      <w:rPr>
        <w:rFonts w:ascii="Symbol" w:hAnsi="Symbol"/>
      </w:rPr>
    </w:lvl>
    <w:lvl w:ilvl="8" w:tplc="9A588B1E">
      <w:start w:val="1"/>
      <w:numFmt w:val="bullet"/>
      <w:lvlText w:val=""/>
      <w:lvlJc w:val="left"/>
      <w:pPr>
        <w:ind w:left="720" w:hanging="360"/>
      </w:pPr>
      <w:rPr>
        <w:rFonts w:ascii="Symbol" w:hAnsi="Symbol"/>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689793704">
    <w:abstractNumId w:val="17"/>
  </w:num>
  <w:num w:numId="2" w16cid:durableId="1443455588">
    <w:abstractNumId w:val="34"/>
  </w:num>
  <w:num w:numId="3" w16cid:durableId="21831793">
    <w:abstractNumId w:val="3"/>
  </w:num>
  <w:num w:numId="4" w16cid:durableId="1325939150">
    <w:abstractNumId w:val="9"/>
  </w:num>
  <w:num w:numId="5" w16cid:durableId="404114562">
    <w:abstractNumId w:val="31"/>
  </w:num>
  <w:num w:numId="6" w16cid:durableId="858855217">
    <w:abstractNumId w:val="13"/>
  </w:num>
  <w:num w:numId="7" w16cid:durableId="1246376248">
    <w:abstractNumId w:val="14"/>
  </w:num>
  <w:num w:numId="8" w16cid:durableId="1591624303">
    <w:abstractNumId w:val="16"/>
  </w:num>
  <w:num w:numId="9" w16cid:durableId="1466895023">
    <w:abstractNumId w:val="20"/>
  </w:num>
  <w:num w:numId="10" w16cid:durableId="1431468559">
    <w:abstractNumId w:val="11"/>
  </w:num>
  <w:num w:numId="11" w16cid:durableId="1291934144">
    <w:abstractNumId w:val="30"/>
  </w:num>
  <w:num w:numId="12" w16cid:durableId="570966200">
    <w:abstractNumId w:val="27"/>
  </w:num>
  <w:num w:numId="13" w16cid:durableId="1984382431">
    <w:abstractNumId w:val="10"/>
  </w:num>
  <w:num w:numId="14" w16cid:durableId="2108571273">
    <w:abstractNumId w:val="12"/>
  </w:num>
  <w:num w:numId="15" w16cid:durableId="1944994884">
    <w:abstractNumId w:val="22"/>
  </w:num>
  <w:num w:numId="16" w16cid:durableId="910508284">
    <w:abstractNumId w:val="19"/>
  </w:num>
  <w:num w:numId="17" w16cid:durableId="143667395">
    <w:abstractNumId w:val="8"/>
  </w:num>
  <w:num w:numId="18" w16cid:durableId="39210550">
    <w:abstractNumId w:val="0"/>
  </w:num>
  <w:num w:numId="19" w16cid:durableId="1379206154">
    <w:abstractNumId w:val="28"/>
  </w:num>
  <w:num w:numId="20" w16cid:durableId="835414786">
    <w:abstractNumId w:val="6"/>
  </w:num>
  <w:num w:numId="21" w16cid:durableId="723943346">
    <w:abstractNumId w:val="15"/>
  </w:num>
  <w:num w:numId="22" w16cid:durableId="2124568168">
    <w:abstractNumId w:val="4"/>
  </w:num>
  <w:num w:numId="23" w16cid:durableId="218398694">
    <w:abstractNumId w:val="23"/>
  </w:num>
  <w:num w:numId="24" w16cid:durableId="824854584">
    <w:abstractNumId w:val="5"/>
  </w:num>
  <w:num w:numId="25" w16cid:durableId="1249385326">
    <w:abstractNumId w:val="21"/>
  </w:num>
  <w:num w:numId="26" w16cid:durableId="2010715172">
    <w:abstractNumId w:val="24"/>
  </w:num>
  <w:num w:numId="27" w16cid:durableId="307244031">
    <w:abstractNumId w:val="1"/>
  </w:num>
  <w:num w:numId="28" w16cid:durableId="1768890529">
    <w:abstractNumId w:val="32"/>
  </w:num>
  <w:num w:numId="29" w16cid:durableId="1675649780">
    <w:abstractNumId w:val="7"/>
  </w:num>
  <w:num w:numId="30" w16cid:durableId="1489906882">
    <w:abstractNumId w:val="26"/>
  </w:num>
  <w:num w:numId="31" w16cid:durableId="895508592">
    <w:abstractNumId w:val="25"/>
  </w:num>
  <w:num w:numId="32" w16cid:durableId="232474444">
    <w:abstractNumId w:val="29"/>
  </w:num>
  <w:num w:numId="33" w16cid:durableId="1028799111">
    <w:abstractNumId w:val="33"/>
  </w:num>
  <w:num w:numId="34" w16cid:durableId="1071461056">
    <w:abstractNumId w:val="2"/>
  </w:num>
  <w:num w:numId="35" w16cid:durableId="59193406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fpwezd8trtaled22npdf09fsdtp5f5w5ar&quot;&gt;1737 PICO and DCAR Copy&lt;record-ids&gt;&lt;item&gt;1&lt;/item&gt;&lt;item&gt;4&lt;/item&gt;&lt;item&gt;5&lt;/item&gt;&lt;item&gt;7&lt;/item&gt;&lt;item&gt;9&lt;/item&gt;&lt;item&gt;10&lt;/item&gt;&lt;item&gt;11&lt;/item&gt;&lt;item&gt;13&lt;/item&gt;&lt;item&gt;83&lt;/item&gt;&lt;item&gt;85&lt;/item&gt;&lt;item&gt;92&lt;/item&gt;&lt;item&gt;96&lt;/item&gt;&lt;item&gt;98&lt;/item&gt;&lt;item&gt;99&lt;/item&gt;&lt;item&gt;102&lt;/item&gt;&lt;item&gt;107&lt;/item&gt;&lt;item&gt;108&lt;/item&gt;&lt;item&gt;109&lt;/item&gt;&lt;item&gt;110&lt;/item&gt;&lt;item&gt;112&lt;/item&gt;&lt;item&gt;113&lt;/item&gt;&lt;item&gt;114&lt;/item&gt;&lt;item&gt;116&lt;/item&gt;&lt;item&gt;117&lt;/item&gt;&lt;item&gt;118&lt;/item&gt;&lt;item&gt;120&lt;/item&gt;&lt;item&gt;121&lt;/item&gt;&lt;item&gt;122&lt;/item&gt;&lt;item&gt;123&lt;/item&gt;&lt;item&gt;124&lt;/item&gt;&lt;item&gt;126&lt;/item&gt;&lt;item&gt;129&lt;/item&gt;&lt;item&gt;130&lt;/item&gt;&lt;item&gt;131&lt;/item&gt;&lt;item&gt;132&lt;/item&gt;&lt;item&gt;133&lt;/item&gt;&lt;item&gt;136&lt;/item&gt;&lt;item&gt;138&lt;/item&gt;&lt;item&gt;139&lt;/item&gt;&lt;item&gt;142&lt;/item&gt;&lt;item&gt;143&lt;/item&gt;&lt;item&gt;145&lt;/item&gt;&lt;item&gt;146&lt;/item&gt;&lt;item&gt;147&lt;/item&gt;&lt;item&gt;148&lt;/item&gt;&lt;item&gt;149&lt;/item&gt;&lt;item&gt;150&lt;/item&gt;&lt;item&gt;151&lt;/item&gt;&lt;item&gt;152&lt;/item&gt;&lt;item&gt;153&lt;/item&gt;&lt;item&gt;154&lt;/item&gt;&lt;item&gt;155&lt;/item&gt;&lt;item&gt;156&lt;/item&gt;&lt;item&gt;158&lt;/item&gt;&lt;item&gt;159&lt;/item&gt;&lt;item&gt;160&lt;/item&gt;&lt;item&gt;161&lt;/item&gt;&lt;item&gt;162&lt;/item&gt;&lt;item&gt;163&lt;/item&gt;&lt;item&gt;165&lt;/item&gt;&lt;item&gt;167&lt;/item&gt;&lt;item&gt;170&lt;/item&gt;&lt;item&gt;171&lt;/item&gt;&lt;item&gt;172&lt;/item&gt;&lt;item&gt;173&lt;/item&gt;&lt;item&gt;174&lt;/item&gt;&lt;item&gt;175&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4&lt;/item&gt;&lt;item&gt;196&lt;/item&gt;&lt;/record-ids&gt;&lt;/item&gt;&lt;/Libraries&gt;"/>
  </w:docVars>
  <w:rsids>
    <w:rsidRoot w:val="008157F1"/>
    <w:rsid w:val="000003AB"/>
    <w:rsid w:val="00000426"/>
    <w:rsid w:val="0000045B"/>
    <w:rsid w:val="00000659"/>
    <w:rsid w:val="0000067C"/>
    <w:rsid w:val="00000D67"/>
    <w:rsid w:val="00000E6F"/>
    <w:rsid w:val="0000109A"/>
    <w:rsid w:val="000016A5"/>
    <w:rsid w:val="000016D1"/>
    <w:rsid w:val="00001A9A"/>
    <w:rsid w:val="00001AE6"/>
    <w:rsid w:val="00001BB7"/>
    <w:rsid w:val="00001CF1"/>
    <w:rsid w:val="00001D47"/>
    <w:rsid w:val="00001D82"/>
    <w:rsid w:val="00001FB8"/>
    <w:rsid w:val="00002111"/>
    <w:rsid w:val="00002121"/>
    <w:rsid w:val="00002229"/>
    <w:rsid w:val="0000235E"/>
    <w:rsid w:val="000024E1"/>
    <w:rsid w:val="000024FF"/>
    <w:rsid w:val="000029A3"/>
    <w:rsid w:val="00002B6E"/>
    <w:rsid w:val="00003323"/>
    <w:rsid w:val="000033B2"/>
    <w:rsid w:val="000034DA"/>
    <w:rsid w:val="000039AA"/>
    <w:rsid w:val="000039E6"/>
    <w:rsid w:val="00003A26"/>
    <w:rsid w:val="00003C5C"/>
    <w:rsid w:val="00003DD4"/>
    <w:rsid w:val="0000420C"/>
    <w:rsid w:val="0000428A"/>
    <w:rsid w:val="000043D2"/>
    <w:rsid w:val="0000453A"/>
    <w:rsid w:val="000045B1"/>
    <w:rsid w:val="000046D1"/>
    <w:rsid w:val="00004860"/>
    <w:rsid w:val="00004A64"/>
    <w:rsid w:val="00004C36"/>
    <w:rsid w:val="00004CCF"/>
    <w:rsid w:val="00004D39"/>
    <w:rsid w:val="00004D69"/>
    <w:rsid w:val="00004E1F"/>
    <w:rsid w:val="00004F7F"/>
    <w:rsid w:val="000054C9"/>
    <w:rsid w:val="00005DB4"/>
    <w:rsid w:val="000061A6"/>
    <w:rsid w:val="000063B3"/>
    <w:rsid w:val="00006496"/>
    <w:rsid w:val="0000650B"/>
    <w:rsid w:val="00006625"/>
    <w:rsid w:val="00006663"/>
    <w:rsid w:val="00006778"/>
    <w:rsid w:val="00006893"/>
    <w:rsid w:val="000069E9"/>
    <w:rsid w:val="00006A7C"/>
    <w:rsid w:val="00006D4E"/>
    <w:rsid w:val="0000737A"/>
    <w:rsid w:val="0000741F"/>
    <w:rsid w:val="00007632"/>
    <w:rsid w:val="00007A61"/>
    <w:rsid w:val="00007EAA"/>
    <w:rsid w:val="00010624"/>
    <w:rsid w:val="00010AAD"/>
    <w:rsid w:val="00010D25"/>
    <w:rsid w:val="00010E78"/>
    <w:rsid w:val="00011568"/>
    <w:rsid w:val="00011690"/>
    <w:rsid w:val="00011719"/>
    <w:rsid w:val="00011B51"/>
    <w:rsid w:val="000124D8"/>
    <w:rsid w:val="00012723"/>
    <w:rsid w:val="00012766"/>
    <w:rsid w:val="00012842"/>
    <w:rsid w:val="00012BE1"/>
    <w:rsid w:val="00012BED"/>
    <w:rsid w:val="00012CAC"/>
    <w:rsid w:val="00012D0C"/>
    <w:rsid w:val="00012EB7"/>
    <w:rsid w:val="000137F4"/>
    <w:rsid w:val="00013984"/>
    <w:rsid w:val="000139A1"/>
    <w:rsid w:val="00013B27"/>
    <w:rsid w:val="00013E41"/>
    <w:rsid w:val="000142B6"/>
    <w:rsid w:val="000143A2"/>
    <w:rsid w:val="0001488B"/>
    <w:rsid w:val="00014974"/>
    <w:rsid w:val="00015206"/>
    <w:rsid w:val="000157BA"/>
    <w:rsid w:val="00015968"/>
    <w:rsid w:val="00015A66"/>
    <w:rsid w:val="00015C73"/>
    <w:rsid w:val="00015DC2"/>
    <w:rsid w:val="0001631A"/>
    <w:rsid w:val="000165AA"/>
    <w:rsid w:val="00016836"/>
    <w:rsid w:val="000168AD"/>
    <w:rsid w:val="000169ED"/>
    <w:rsid w:val="00016A09"/>
    <w:rsid w:val="0001733F"/>
    <w:rsid w:val="000173AD"/>
    <w:rsid w:val="000179D9"/>
    <w:rsid w:val="00017A4C"/>
    <w:rsid w:val="00017B8A"/>
    <w:rsid w:val="00017F36"/>
    <w:rsid w:val="00017FA2"/>
    <w:rsid w:val="00017FB3"/>
    <w:rsid w:val="00020180"/>
    <w:rsid w:val="00020221"/>
    <w:rsid w:val="0002048D"/>
    <w:rsid w:val="0002064D"/>
    <w:rsid w:val="00020927"/>
    <w:rsid w:val="000214F5"/>
    <w:rsid w:val="00021780"/>
    <w:rsid w:val="00021FB0"/>
    <w:rsid w:val="00021FB6"/>
    <w:rsid w:val="000228B8"/>
    <w:rsid w:val="00022A38"/>
    <w:rsid w:val="00022BF4"/>
    <w:rsid w:val="00023047"/>
    <w:rsid w:val="00023054"/>
    <w:rsid w:val="00023066"/>
    <w:rsid w:val="000236F8"/>
    <w:rsid w:val="0002381B"/>
    <w:rsid w:val="00023D58"/>
    <w:rsid w:val="00023D97"/>
    <w:rsid w:val="00024086"/>
    <w:rsid w:val="000241D8"/>
    <w:rsid w:val="000243A8"/>
    <w:rsid w:val="00024855"/>
    <w:rsid w:val="00024A80"/>
    <w:rsid w:val="00024ADF"/>
    <w:rsid w:val="00024EA5"/>
    <w:rsid w:val="00025030"/>
    <w:rsid w:val="000251A5"/>
    <w:rsid w:val="00025381"/>
    <w:rsid w:val="00025500"/>
    <w:rsid w:val="000255D0"/>
    <w:rsid w:val="000255F7"/>
    <w:rsid w:val="00025894"/>
    <w:rsid w:val="00025C43"/>
    <w:rsid w:val="00025C85"/>
    <w:rsid w:val="00026147"/>
    <w:rsid w:val="00026620"/>
    <w:rsid w:val="00026775"/>
    <w:rsid w:val="000268E5"/>
    <w:rsid w:val="00026A33"/>
    <w:rsid w:val="00026AC4"/>
    <w:rsid w:val="0002713F"/>
    <w:rsid w:val="0002755F"/>
    <w:rsid w:val="00027D3F"/>
    <w:rsid w:val="00030402"/>
    <w:rsid w:val="0003066C"/>
    <w:rsid w:val="0003088F"/>
    <w:rsid w:val="00030F46"/>
    <w:rsid w:val="00030F68"/>
    <w:rsid w:val="00030FD1"/>
    <w:rsid w:val="00031111"/>
    <w:rsid w:val="000313AB"/>
    <w:rsid w:val="00031878"/>
    <w:rsid w:val="00031B5C"/>
    <w:rsid w:val="00031BA3"/>
    <w:rsid w:val="00031C9F"/>
    <w:rsid w:val="00031F5C"/>
    <w:rsid w:val="00031F9F"/>
    <w:rsid w:val="00032024"/>
    <w:rsid w:val="000321B6"/>
    <w:rsid w:val="000323E7"/>
    <w:rsid w:val="00032443"/>
    <w:rsid w:val="0003294E"/>
    <w:rsid w:val="000329EB"/>
    <w:rsid w:val="0003319E"/>
    <w:rsid w:val="0003343A"/>
    <w:rsid w:val="000336D4"/>
    <w:rsid w:val="00033BAC"/>
    <w:rsid w:val="00033F68"/>
    <w:rsid w:val="0003423A"/>
    <w:rsid w:val="0003451C"/>
    <w:rsid w:val="00034532"/>
    <w:rsid w:val="0003477F"/>
    <w:rsid w:val="00034F7B"/>
    <w:rsid w:val="000352DA"/>
    <w:rsid w:val="000357C9"/>
    <w:rsid w:val="000359A8"/>
    <w:rsid w:val="000359E2"/>
    <w:rsid w:val="00035BE8"/>
    <w:rsid w:val="00035DBD"/>
    <w:rsid w:val="00035E6C"/>
    <w:rsid w:val="0003613A"/>
    <w:rsid w:val="0003633B"/>
    <w:rsid w:val="00036468"/>
    <w:rsid w:val="00036AD8"/>
    <w:rsid w:val="00037037"/>
    <w:rsid w:val="0003710B"/>
    <w:rsid w:val="00037302"/>
    <w:rsid w:val="000375A4"/>
    <w:rsid w:val="0003793E"/>
    <w:rsid w:val="0004005D"/>
    <w:rsid w:val="000404AA"/>
    <w:rsid w:val="0004056F"/>
    <w:rsid w:val="000405FF"/>
    <w:rsid w:val="00040686"/>
    <w:rsid w:val="00040AA9"/>
    <w:rsid w:val="00040ADF"/>
    <w:rsid w:val="00040FB4"/>
    <w:rsid w:val="0004114E"/>
    <w:rsid w:val="00041448"/>
    <w:rsid w:val="0004150B"/>
    <w:rsid w:val="0004169D"/>
    <w:rsid w:val="0004178C"/>
    <w:rsid w:val="00041A2E"/>
    <w:rsid w:val="00041B8D"/>
    <w:rsid w:val="00041F5D"/>
    <w:rsid w:val="00041FE9"/>
    <w:rsid w:val="0004221A"/>
    <w:rsid w:val="00042554"/>
    <w:rsid w:val="000428D8"/>
    <w:rsid w:val="000429A3"/>
    <w:rsid w:val="00042A8D"/>
    <w:rsid w:val="00042D4B"/>
    <w:rsid w:val="00042FC4"/>
    <w:rsid w:val="0004306B"/>
    <w:rsid w:val="00043080"/>
    <w:rsid w:val="0004318E"/>
    <w:rsid w:val="000434E0"/>
    <w:rsid w:val="00043708"/>
    <w:rsid w:val="0004388A"/>
    <w:rsid w:val="00043D67"/>
    <w:rsid w:val="00043F18"/>
    <w:rsid w:val="000443A6"/>
    <w:rsid w:val="000446A4"/>
    <w:rsid w:val="00044876"/>
    <w:rsid w:val="000449D1"/>
    <w:rsid w:val="00044A16"/>
    <w:rsid w:val="00044B51"/>
    <w:rsid w:val="00044D39"/>
    <w:rsid w:val="00044F8A"/>
    <w:rsid w:val="00045135"/>
    <w:rsid w:val="000451AF"/>
    <w:rsid w:val="00045ABB"/>
    <w:rsid w:val="00045B8D"/>
    <w:rsid w:val="00045BC5"/>
    <w:rsid w:val="00045C86"/>
    <w:rsid w:val="00045CC5"/>
    <w:rsid w:val="00045EAB"/>
    <w:rsid w:val="0004638C"/>
    <w:rsid w:val="00046804"/>
    <w:rsid w:val="00046A02"/>
    <w:rsid w:val="00046B6A"/>
    <w:rsid w:val="00046E7B"/>
    <w:rsid w:val="000472D4"/>
    <w:rsid w:val="00047C24"/>
    <w:rsid w:val="000501EF"/>
    <w:rsid w:val="00050435"/>
    <w:rsid w:val="00050594"/>
    <w:rsid w:val="00050982"/>
    <w:rsid w:val="000509E8"/>
    <w:rsid w:val="00050B9C"/>
    <w:rsid w:val="00050F7B"/>
    <w:rsid w:val="000513E4"/>
    <w:rsid w:val="00051528"/>
    <w:rsid w:val="000515CB"/>
    <w:rsid w:val="00051DC0"/>
    <w:rsid w:val="00052031"/>
    <w:rsid w:val="00052345"/>
    <w:rsid w:val="00052A66"/>
    <w:rsid w:val="00052A6A"/>
    <w:rsid w:val="00052DD3"/>
    <w:rsid w:val="0005326D"/>
    <w:rsid w:val="000535E7"/>
    <w:rsid w:val="00053F6C"/>
    <w:rsid w:val="00054021"/>
    <w:rsid w:val="000541CE"/>
    <w:rsid w:val="0005429C"/>
    <w:rsid w:val="00054463"/>
    <w:rsid w:val="00054684"/>
    <w:rsid w:val="0005479E"/>
    <w:rsid w:val="00054884"/>
    <w:rsid w:val="000550AE"/>
    <w:rsid w:val="00055118"/>
    <w:rsid w:val="00055DD5"/>
    <w:rsid w:val="00056048"/>
    <w:rsid w:val="00056603"/>
    <w:rsid w:val="00056DAE"/>
    <w:rsid w:val="0005731D"/>
    <w:rsid w:val="00057334"/>
    <w:rsid w:val="000579C7"/>
    <w:rsid w:val="00060100"/>
    <w:rsid w:val="000606D8"/>
    <w:rsid w:val="00060C14"/>
    <w:rsid w:val="00060DDD"/>
    <w:rsid w:val="000615B2"/>
    <w:rsid w:val="00061C39"/>
    <w:rsid w:val="00061C7A"/>
    <w:rsid w:val="00061E67"/>
    <w:rsid w:val="00061FA3"/>
    <w:rsid w:val="00062463"/>
    <w:rsid w:val="00062B0A"/>
    <w:rsid w:val="00062C29"/>
    <w:rsid w:val="000631A8"/>
    <w:rsid w:val="0006339C"/>
    <w:rsid w:val="00063475"/>
    <w:rsid w:val="0006393B"/>
    <w:rsid w:val="00063D1C"/>
    <w:rsid w:val="00063EED"/>
    <w:rsid w:val="000640D2"/>
    <w:rsid w:val="00064558"/>
    <w:rsid w:val="000646E1"/>
    <w:rsid w:val="00064783"/>
    <w:rsid w:val="000647C2"/>
    <w:rsid w:val="0006541B"/>
    <w:rsid w:val="00065610"/>
    <w:rsid w:val="00065635"/>
    <w:rsid w:val="000657C6"/>
    <w:rsid w:val="00065856"/>
    <w:rsid w:val="00065EC2"/>
    <w:rsid w:val="00066062"/>
    <w:rsid w:val="000666F8"/>
    <w:rsid w:val="000668A4"/>
    <w:rsid w:val="00066D41"/>
    <w:rsid w:val="00066E61"/>
    <w:rsid w:val="00066FF8"/>
    <w:rsid w:val="00067072"/>
    <w:rsid w:val="0006751D"/>
    <w:rsid w:val="00067524"/>
    <w:rsid w:val="000675DE"/>
    <w:rsid w:val="00067851"/>
    <w:rsid w:val="00067A8D"/>
    <w:rsid w:val="00067C6C"/>
    <w:rsid w:val="00067D51"/>
    <w:rsid w:val="00067E0B"/>
    <w:rsid w:val="0007021F"/>
    <w:rsid w:val="000702D9"/>
    <w:rsid w:val="000707A5"/>
    <w:rsid w:val="000709A0"/>
    <w:rsid w:val="00070AA9"/>
    <w:rsid w:val="00070B84"/>
    <w:rsid w:val="00070E30"/>
    <w:rsid w:val="00070FA3"/>
    <w:rsid w:val="00070FFF"/>
    <w:rsid w:val="0007115D"/>
    <w:rsid w:val="0007118B"/>
    <w:rsid w:val="000714B3"/>
    <w:rsid w:val="000714EC"/>
    <w:rsid w:val="000721BF"/>
    <w:rsid w:val="00072313"/>
    <w:rsid w:val="000725F1"/>
    <w:rsid w:val="0007279A"/>
    <w:rsid w:val="00072939"/>
    <w:rsid w:val="00072A8F"/>
    <w:rsid w:val="00072BDC"/>
    <w:rsid w:val="00072C59"/>
    <w:rsid w:val="00072CFB"/>
    <w:rsid w:val="00072E28"/>
    <w:rsid w:val="00073294"/>
    <w:rsid w:val="000732A1"/>
    <w:rsid w:val="000732F9"/>
    <w:rsid w:val="00073588"/>
    <w:rsid w:val="00073964"/>
    <w:rsid w:val="00073D55"/>
    <w:rsid w:val="00073E96"/>
    <w:rsid w:val="00074199"/>
    <w:rsid w:val="00074383"/>
    <w:rsid w:val="00074596"/>
    <w:rsid w:val="000745DC"/>
    <w:rsid w:val="00074768"/>
    <w:rsid w:val="00074785"/>
    <w:rsid w:val="0007484A"/>
    <w:rsid w:val="0007499F"/>
    <w:rsid w:val="00074AC5"/>
    <w:rsid w:val="00075059"/>
    <w:rsid w:val="0007536F"/>
    <w:rsid w:val="000754B3"/>
    <w:rsid w:val="000755DD"/>
    <w:rsid w:val="00075BCA"/>
    <w:rsid w:val="00075D6E"/>
    <w:rsid w:val="00076038"/>
    <w:rsid w:val="000761F1"/>
    <w:rsid w:val="00076A4F"/>
    <w:rsid w:val="00076D5C"/>
    <w:rsid w:val="00077563"/>
    <w:rsid w:val="00077B56"/>
    <w:rsid w:val="00077ECA"/>
    <w:rsid w:val="00080241"/>
    <w:rsid w:val="0008070D"/>
    <w:rsid w:val="00080864"/>
    <w:rsid w:val="0008090C"/>
    <w:rsid w:val="00080CFC"/>
    <w:rsid w:val="00081001"/>
    <w:rsid w:val="0008140D"/>
    <w:rsid w:val="0008152F"/>
    <w:rsid w:val="00081778"/>
    <w:rsid w:val="0008179F"/>
    <w:rsid w:val="00081849"/>
    <w:rsid w:val="000819A6"/>
    <w:rsid w:val="000819DA"/>
    <w:rsid w:val="00081AF7"/>
    <w:rsid w:val="00081CB5"/>
    <w:rsid w:val="00081E46"/>
    <w:rsid w:val="0008220D"/>
    <w:rsid w:val="00082543"/>
    <w:rsid w:val="00082A88"/>
    <w:rsid w:val="00082C8A"/>
    <w:rsid w:val="00082E35"/>
    <w:rsid w:val="00082E81"/>
    <w:rsid w:val="0008323F"/>
    <w:rsid w:val="00083675"/>
    <w:rsid w:val="0008369A"/>
    <w:rsid w:val="00083BCA"/>
    <w:rsid w:val="00084263"/>
    <w:rsid w:val="00084341"/>
    <w:rsid w:val="00084BB7"/>
    <w:rsid w:val="00084D90"/>
    <w:rsid w:val="00084F93"/>
    <w:rsid w:val="0008575D"/>
    <w:rsid w:val="000858DC"/>
    <w:rsid w:val="00085A64"/>
    <w:rsid w:val="000868C4"/>
    <w:rsid w:val="00086D0D"/>
    <w:rsid w:val="000870B6"/>
    <w:rsid w:val="000876EC"/>
    <w:rsid w:val="0008794F"/>
    <w:rsid w:val="000902D4"/>
    <w:rsid w:val="00090613"/>
    <w:rsid w:val="00090BD1"/>
    <w:rsid w:val="00091440"/>
    <w:rsid w:val="0009168A"/>
    <w:rsid w:val="00091857"/>
    <w:rsid w:val="00091C59"/>
    <w:rsid w:val="00092034"/>
    <w:rsid w:val="00092286"/>
    <w:rsid w:val="000922F0"/>
    <w:rsid w:val="0009238E"/>
    <w:rsid w:val="00092565"/>
    <w:rsid w:val="000929EE"/>
    <w:rsid w:val="00092A1C"/>
    <w:rsid w:val="00092A21"/>
    <w:rsid w:val="00092B26"/>
    <w:rsid w:val="00092F3F"/>
    <w:rsid w:val="00093062"/>
    <w:rsid w:val="0009317B"/>
    <w:rsid w:val="000936F8"/>
    <w:rsid w:val="00093902"/>
    <w:rsid w:val="00093CA0"/>
    <w:rsid w:val="00093D9A"/>
    <w:rsid w:val="00093F49"/>
    <w:rsid w:val="00093F76"/>
    <w:rsid w:val="000942AF"/>
    <w:rsid w:val="00094656"/>
    <w:rsid w:val="00094936"/>
    <w:rsid w:val="00094AA1"/>
    <w:rsid w:val="00094AD6"/>
    <w:rsid w:val="00094AD9"/>
    <w:rsid w:val="000953D8"/>
    <w:rsid w:val="00095716"/>
    <w:rsid w:val="0009581E"/>
    <w:rsid w:val="000959CB"/>
    <w:rsid w:val="00095AA5"/>
    <w:rsid w:val="00095AA9"/>
    <w:rsid w:val="00095B2A"/>
    <w:rsid w:val="00095C60"/>
    <w:rsid w:val="00096014"/>
    <w:rsid w:val="00096027"/>
    <w:rsid w:val="00096A79"/>
    <w:rsid w:val="00096B52"/>
    <w:rsid w:val="00096D09"/>
    <w:rsid w:val="00097079"/>
    <w:rsid w:val="00097083"/>
    <w:rsid w:val="00097264"/>
    <w:rsid w:val="00097349"/>
    <w:rsid w:val="000A0103"/>
    <w:rsid w:val="000A06BE"/>
    <w:rsid w:val="000A0916"/>
    <w:rsid w:val="000A0B40"/>
    <w:rsid w:val="000A10BF"/>
    <w:rsid w:val="000A135A"/>
    <w:rsid w:val="000A1527"/>
    <w:rsid w:val="000A15CE"/>
    <w:rsid w:val="000A1898"/>
    <w:rsid w:val="000A1AE1"/>
    <w:rsid w:val="000A1B04"/>
    <w:rsid w:val="000A1C28"/>
    <w:rsid w:val="000A203E"/>
    <w:rsid w:val="000A2458"/>
    <w:rsid w:val="000A26DA"/>
    <w:rsid w:val="000A2A27"/>
    <w:rsid w:val="000A2ACD"/>
    <w:rsid w:val="000A2B65"/>
    <w:rsid w:val="000A2DA8"/>
    <w:rsid w:val="000A33CA"/>
    <w:rsid w:val="000A3517"/>
    <w:rsid w:val="000A3F0F"/>
    <w:rsid w:val="000A403B"/>
    <w:rsid w:val="000A40A9"/>
    <w:rsid w:val="000A46F2"/>
    <w:rsid w:val="000A4713"/>
    <w:rsid w:val="000A4C07"/>
    <w:rsid w:val="000A4D1F"/>
    <w:rsid w:val="000A4E2A"/>
    <w:rsid w:val="000A50EA"/>
    <w:rsid w:val="000A5587"/>
    <w:rsid w:val="000A564B"/>
    <w:rsid w:val="000A5945"/>
    <w:rsid w:val="000A5C47"/>
    <w:rsid w:val="000A5CEA"/>
    <w:rsid w:val="000A5DBE"/>
    <w:rsid w:val="000A5F15"/>
    <w:rsid w:val="000A629E"/>
    <w:rsid w:val="000A6306"/>
    <w:rsid w:val="000A633D"/>
    <w:rsid w:val="000A6352"/>
    <w:rsid w:val="000A65F2"/>
    <w:rsid w:val="000A6771"/>
    <w:rsid w:val="000A6A1F"/>
    <w:rsid w:val="000A6B30"/>
    <w:rsid w:val="000A6CA5"/>
    <w:rsid w:val="000A6DF3"/>
    <w:rsid w:val="000A6FD4"/>
    <w:rsid w:val="000A7074"/>
    <w:rsid w:val="000A779F"/>
    <w:rsid w:val="000A7883"/>
    <w:rsid w:val="000A7A71"/>
    <w:rsid w:val="000A7B43"/>
    <w:rsid w:val="000B01F8"/>
    <w:rsid w:val="000B024D"/>
    <w:rsid w:val="000B033F"/>
    <w:rsid w:val="000B03F6"/>
    <w:rsid w:val="000B086E"/>
    <w:rsid w:val="000B0917"/>
    <w:rsid w:val="000B0AD2"/>
    <w:rsid w:val="000B0E88"/>
    <w:rsid w:val="000B1414"/>
    <w:rsid w:val="000B183C"/>
    <w:rsid w:val="000B20C0"/>
    <w:rsid w:val="000B2995"/>
    <w:rsid w:val="000B30B9"/>
    <w:rsid w:val="000B3330"/>
    <w:rsid w:val="000B3512"/>
    <w:rsid w:val="000B3564"/>
    <w:rsid w:val="000B42EA"/>
    <w:rsid w:val="000B43E3"/>
    <w:rsid w:val="000B4431"/>
    <w:rsid w:val="000B4FFF"/>
    <w:rsid w:val="000B5078"/>
    <w:rsid w:val="000B57E9"/>
    <w:rsid w:val="000B6046"/>
    <w:rsid w:val="000B629E"/>
    <w:rsid w:val="000B62C3"/>
    <w:rsid w:val="000B6450"/>
    <w:rsid w:val="000B6462"/>
    <w:rsid w:val="000B6A6F"/>
    <w:rsid w:val="000B6B61"/>
    <w:rsid w:val="000B6BB9"/>
    <w:rsid w:val="000B6CF0"/>
    <w:rsid w:val="000B720C"/>
    <w:rsid w:val="000B7538"/>
    <w:rsid w:val="000B7665"/>
    <w:rsid w:val="000B7F63"/>
    <w:rsid w:val="000C0715"/>
    <w:rsid w:val="000C0F91"/>
    <w:rsid w:val="000C1379"/>
    <w:rsid w:val="000C15EA"/>
    <w:rsid w:val="000C1C2E"/>
    <w:rsid w:val="000C1DAD"/>
    <w:rsid w:val="000C211C"/>
    <w:rsid w:val="000C25B5"/>
    <w:rsid w:val="000C26BC"/>
    <w:rsid w:val="000C2BFA"/>
    <w:rsid w:val="000C2C1F"/>
    <w:rsid w:val="000C2C62"/>
    <w:rsid w:val="000C2CEC"/>
    <w:rsid w:val="000C33AF"/>
    <w:rsid w:val="000C3559"/>
    <w:rsid w:val="000C3848"/>
    <w:rsid w:val="000C3A50"/>
    <w:rsid w:val="000C3F7B"/>
    <w:rsid w:val="000C4128"/>
    <w:rsid w:val="000C46DC"/>
    <w:rsid w:val="000C4739"/>
    <w:rsid w:val="000C4896"/>
    <w:rsid w:val="000C4933"/>
    <w:rsid w:val="000C4B75"/>
    <w:rsid w:val="000C5088"/>
    <w:rsid w:val="000C50ED"/>
    <w:rsid w:val="000C52EE"/>
    <w:rsid w:val="000C611B"/>
    <w:rsid w:val="000C61CC"/>
    <w:rsid w:val="000C641B"/>
    <w:rsid w:val="000C6836"/>
    <w:rsid w:val="000C6CDB"/>
    <w:rsid w:val="000C6DAD"/>
    <w:rsid w:val="000C6E6C"/>
    <w:rsid w:val="000C7009"/>
    <w:rsid w:val="000C705A"/>
    <w:rsid w:val="000C795B"/>
    <w:rsid w:val="000C7A30"/>
    <w:rsid w:val="000C7ABF"/>
    <w:rsid w:val="000C7C46"/>
    <w:rsid w:val="000C7D74"/>
    <w:rsid w:val="000C7F05"/>
    <w:rsid w:val="000C7F72"/>
    <w:rsid w:val="000D01D8"/>
    <w:rsid w:val="000D04FB"/>
    <w:rsid w:val="000D0B79"/>
    <w:rsid w:val="000D0CED"/>
    <w:rsid w:val="000D161C"/>
    <w:rsid w:val="000D1772"/>
    <w:rsid w:val="000D17A3"/>
    <w:rsid w:val="000D199A"/>
    <w:rsid w:val="000D1AA3"/>
    <w:rsid w:val="000D1B52"/>
    <w:rsid w:val="000D26F9"/>
    <w:rsid w:val="000D2880"/>
    <w:rsid w:val="000D29D4"/>
    <w:rsid w:val="000D2B37"/>
    <w:rsid w:val="000D2B6D"/>
    <w:rsid w:val="000D31AE"/>
    <w:rsid w:val="000D3212"/>
    <w:rsid w:val="000D38A5"/>
    <w:rsid w:val="000D39B4"/>
    <w:rsid w:val="000D3A32"/>
    <w:rsid w:val="000D3B70"/>
    <w:rsid w:val="000D3FD3"/>
    <w:rsid w:val="000D40E5"/>
    <w:rsid w:val="000D4559"/>
    <w:rsid w:val="000D4597"/>
    <w:rsid w:val="000D4695"/>
    <w:rsid w:val="000D4937"/>
    <w:rsid w:val="000D4BF5"/>
    <w:rsid w:val="000D4C1B"/>
    <w:rsid w:val="000D4E2E"/>
    <w:rsid w:val="000D503F"/>
    <w:rsid w:val="000D5198"/>
    <w:rsid w:val="000D5451"/>
    <w:rsid w:val="000D5523"/>
    <w:rsid w:val="000D636B"/>
    <w:rsid w:val="000D6411"/>
    <w:rsid w:val="000D64A6"/>
    <w:rsid w:val="000D658F"/>
    <w:rsid w:val="000D6982"/>
    <w:rsid w:val="000D6A6A"/>
    <w:rsid w:val="000D6AB2"/>
    <w:rsid w:val="000D6C98"/>
    <w:rsid w:val="000D6D03"/>
    <w:rsid w:val="000D71BA"/>
    <w:rsid w:val="000D779B"/>
    <w:rsid w:val="000D7B98"/>
    <w:rsid w:val="000D7D0B"/>
    <w:rsid w:val="000D7FB0"/>
    <w:rsid w:val="000E01B8"/>
    <w:rsid w:val="000E03DC"/>
    <w:rsid w:val="000E04E1"/>
    <w:rsid w:val="000E08F2"/>
    <w:rsid w:val="000E0B14"/>
    <w:rsid w:val="000E0B91"/>
    <w:rsid w:val="000E0D39"/>
    <w:rsid w:val="000E1124"/>
    <w:rsid w:val="000E11B5"/>
    <w:rsid w:val="000E1222"/>
    <w:rsid w:val="000E13F9"/>
    <w:rsid w:val="000E149E"/>
    <w:rsid w:val="000E162E"/>
    <w:rsid w:val="000E21BE"/>
    <w:rsid w:val="000E245B"/>
    <w:rsid w:val="000E29FF"/>
    <w:rsid w:val="000E2BD6"/>
    <w:rsid w:val="000E2DC3"/>
    <w:rsid w:val="000E324D"/>
    <w:rsid w:val="000E3ED2"/>
    <w:rsid w:val="000E3FAE"/>
    <w:rsid w:val="000E4338"/>
    <w:rsid w:val="000E4753"/>
    <w:rsid w:val="000E4FE0"/>
    <w:rsid w:val="000E51B0"/>
    <w:rsid w:val="000E53FA"/>
    <w:rsid w:val="000E5475"/>
    <w:rsid w:val="000E5531"/>
    <w:rsid w:val="000E565C"/>
    <w:rsid w:val="000E60B7"/>
    <w:rsid w:val="000E6375"/>
    <w:rsid w:val="000E6410"/>
    <w:rsid w:val="000E6502"/>
    <w:rsid w:val="000E6663"/>
    <w:rsid w:val="000E678B"/>
    <w:rsid w:val="000E6B2C"/>
    <w:rsid w:val="000E6D70"/>
    <w:rsid w:val="000E6EBF"/>
    <w:rsid w:val="000E6F38"/>
    <w:rsid w:val="000E702F"/>
    <w:rsid w:val="000E72B3"/>
    <w:rsid w:val="000E7CC4"/>
    <w:rsid w:val="000F005E"/>
    <w:rsid w:val="000F03D3"/>
    <w:rsid w:val="000F0847"/>
    <w:rsid w:val="000F0AE6"/>
    <w:rsid w:val="000F0CAA"/>
    <w:rsid w:val="000F0ED4"/>
    <w:rsid w:val="000F1136"/>
    <w:rsid w:val="000F13AB"/>
    <w:rsid w:val="000F1525"/>
    <w:rsid w:val="000F18EB"/>
    <w:rsid w:val="000F1A7B"/>
    <w:rsid w:val="000F1DDA"/>
    <w:rsid w:val="000F1DE5"/>
    <w:rsid w:val="000F22CC"/>
    <w:rsid w:val="000F233A"/>
    <w:rsid w:val="000F2501"/>
    <w:rsid w:val="000F26D1"/>
    <w:rsid w:val="000F2C1A"/>
    <w:rsid w:val="000F2DA1"/>
    <w:rsid w:val="000F2E01"/>
    <w:rsid w:val="000F31BA"/>
    <w:rsid w:val="000F3713"/>
    <w:rsid w:val="000F39FA"/>
    <w:rsid w:val="000F3BA1"/>
    <w:rsid w:val="000F3F7B"/>
    <w:rsid w:val="000F408B"/>
    <w:rsid w:val="000F41EF"/>
    <w:rsid w:val="000F438E"/>
    <w:rsid w:val="000F4510"/>
    <w:rsid w:val="000F4B25"/>
    <w:rsid w:val="000F4B7B"/>
    <w:rsid w:val="000F4B8F"/>
    <w:rsid w:val="000F4C44"/>
    <w:rsid w:val="000F4F3D"/>
    <w:rsid w:val="000F5695"/>
    <w:rsid w:val="000F56F5"/>
    <w:rsid w:val="000F5A54"/>
    <w:rsid w:val="000F5B8E"/>
    <w:rsid w:val="000F5C3F"/>
    <w:rsid w:val="000F5E44"/>
    <w:rsid w:val="000F60D4"/>
    <w:rsid w:val="000F66F0"/>
    <w:rsid w:val="000F6706"/>
    <w:rsid w:val="000F693A"/>
    <w:rsid w:val="000F6EA0"/>
    <w:rsid w:val="000F7068"/>
    <w:rsid w:val="000F7166"/>
    <w:rsid w:val="000F7257"/>
    <w:rsid w:val="000F752A"/>
    <w:rsid w:val="000F771F"/>
    <w:rsid w:val="000F7857"/>
    <w:rsid w:val="000F7987"/>
    <w:rsid w:val="000F7AB8"/>
    <w:rsid w:val="000F7C2C"/>
    <w:rsid w:val="000F7CCA"/>
    <w:rsid w:val="001002A4"/>
    <w:rsid w:val="0010051C"/>
    <w:rsid w:val="00100545"/>
    <w:rsid w:val="001008AF"/>
    <w:rsid w:val="00100CA1"/>
    <w:rsid w:val="00100DC2"/>
    <w:rsid w:val="00100E2C"/>
    <w:rsid w:val="001011DE"/>
    <w:rsid w:val="0010188A"/>
    <w:rsid w:val="00101CCD"/>
    <w:rsid w:val="0010222F"/>
    <w:rsid w:val="001027EC"/>
    <w:rsid w:val="00102E68"/>
    <w:rsid w:val="001030A5"/>
    <w:rsid w:val="001034B1"/>
    <w:rsid w:val="001034CE"/>
    <w:rsid w:val="001041BE"/>
    <w:rsid w:val="0010448B"/>
    <w:rsid w:val="001045D2"/>
    <w:rsid w:val="00104A19"/>
    <w:rsid w:val="00104B2D"/>
    <w:rsid w:val="00104BD4"/>
    <w:rsid w:val="0010521F"/>
    <w:rsid w:val="001052A6"/>
    <w:rsid w:val="001052EC"/>
    <w:rsid w:val="0010534C"/>
    <w:rsid w:val="00105A13"/>
    <w:rsid w:val="001060E2"/>
    <w:rsid w:val="0010625A"/>
    <w:rsid w:val="001062E8"/>
    <w:rsid w:val="001064A2"/>
    <w:rsid w:val="0010674F"/>
    <w:rsid w:val="0010675D"/>
    <w:rsid w:val="001069A6"/>
    <w:rsid w:val="00106AD7"/>
    <w:rsid w:val="00106F52"/>
    <w:rsid w:val="001071E0"/>
    <w:rsid w:val="00107524"/>
    <w:rsid w:val="0010787F"/>
    <w:rsid w:val="00107B7C"/>
    <w:rsid w:val="00107C53"/>
    <w:rsid w:val="00107DCD"/>
    <w:rsid w:val="00107E89"/>
    <w:rsid w:val="00107ED5"/>
    <w:rsid w:val="00107EF0"/>
    <w:rsid w:val="00107FE5"/>
    <w:rsid w:val="00110066"/>
    <w:rsid w:val="00110AAF"/>
    <w:rsid w:val="00111012"/>
    <w:rsid w:val="00111131"/>
    <w:rsid w:val="00111417"/>
    <w:rsid w:val="001114E6"/>
    <w:rsid w:val="001115C1"/>
    <w:rsid w:val="001115CA"/>
    <w:rsid w:val="00111941"/>
    <w:rsid w:val="0011198D"/>
    <w:rsid w:val="001119A5"/>
    <w:rsid w:val="00111D5A"/>
    <w:rsid w:val="00112027"/>
    <w:rsid w:val="00112183"/>
    <w:rsid w:val="0011258F"/>
    <w:rsid w:val="00112AFF"/>
    <w:rsid w:val="00112C15"/>
    <w:rsid w:val="001132B9"/>
    <w:rsid w:val="00113558"/>
    <w:rsid w:val="00113B9F"/>
    <w:rsid w:val="00113C60"/>
    <w:rsid w:val="001141FC"/>
    <w:rsid w:val="001142B8"/>
    <w:rsid w:val="00114449"/>
    <w:rsid w:val="00114ABC"/>
    <w:rsid w:val="00114C3B"/>
    <w:rsid w:val="00114C4C"/>
    <w:rsid w:val="00114D1C"/>
    <w:rsid w:val="001152E0"/>
    <w:rsid w:val="001154BE"/>
    <w:rsid w:val="001155F3"/>
    <w:rsid w:val="0011562C"/>
    <w:rsid w:val="00115691"/>
    <w:rsid w:val="001158B1"/>
    <w:rsid w:val="00115DC0"/>
    <w:rsid w:val="00115E69"/>
    <w:rsid w:val="00115EF2"/>
    <w:rsid w:val="0011609A"/>
    <w:rsid w:val="00116639"/>
    <w:rsid w:val="0011677F"/>
    <w:rsid w:val="00116ED4"/>
    <w:rsid w:val="00116F85"/>
    <w:rsid w:val="00117039"/>
    <w:rsid w:val="001171DF"/>
    <w:rsid w:val="001174B8"/>
    <w:rsid w:val="00117F04"/>
    <w:rsid w:val="00117FE7"/>
    <w:rsid w:val="001200F7"/>
    <w:rsid w:val="00120386"/>
    <w:rsid w:val="001203F5"/>
    <w:rsid w:val="001206E2"/>
    <w:rsid w:val="00120B9D"/>
    <w:rsid w:val="00121205"/>
    <w:rsid w:val="001212A2"/>
    <w:rsid w:val="001218B4"/>
    <w:rsid w:val="00121CFA"/>
    <w:rsid w:val="00121F46"/>
    <w:rsid w:val="001223D8"/>
    <w:rsid w:val="00122705"/>
    <w:rsid w:val="00122AE3"/>
    <w:rsid w:val="00122C3C"/>
    <w:rsid w:val="00122DBE"/>
    <w:rsid w:val="00122EE1"/>
    <w:rsid w:val="00123424"/>
    <w:rsid w:val="0012350E"/>
    <w:rsid w:val="00123658"/>
    <w:rsid w:val="00123729"/>
    <w:rsid w:val="001237AF"/>
    <w:rsid w:val="00123DA4"/>
    <w:rsid w:val="0012428A"/>
    <w:rsid w:val="001246B8"/>
    <w:rsid w:val="001247EB"/>
    <w:rsid w:val="00124F3C"/>
    <w:rsid w:val="0012528F"/>
    <w:rsid w:val="0012544C"/>
    <w:rsid w:val="00125561"/>
    <w:rsid w:val="00125B61"/>
    <w:rsid w:val="00125B90"/>
    <w:rsid w:val="00125FF1"/>
    <w:rsid w:val="00126122"/>
    <w:rsid w:val="0012612C"/>
    <w:rsid w:val="001267FD"/>
    <w:rsid w:val="0012682C"/>
    <w:rsid w:val="001269BE"/>
    <w:rsid w:val="00126A03"/>
    <w:rsid w:val="00127225"/>
    <w:rsid w:val="001272A9"/>
    <w:rsid w:val="0012737E"/>
    <w:rsid w:val="001276D2"/>
    <w:rsid w:val="001276F9"/>
    <w:rsid w:val="00127CA9"/>
    <w:rsid w:val="00130120"/>
    <w:rsid w:val="0013039E"/>
    <w:rsid w:val="001303FE"/>
    <w:rsid w:val="00130743"/>
    <w:rsid w:val="001307D9"/>
    <w:rsid w:val="00130A14"/>
    <w:rsid w:val="00130D66"/>
    <w:rsid w:val="00130EC6"/>
    <w:rsid w:val="001310BD"/>
    <w:rsid w:val="00131315"/>
    <w:rsid w:val="0013148F"/>
    <w:rsid w:val="00131494"/>
    <w:rsid w:val="00131932"/>
    <w:rsid w:val="00131D45"/>
    <w:rsid w:val="001320C2"/>
    <w:rsid w:val="001320F0"/>
    <w:rsid w:val="00132114"/>
    <w:rsid w:val="00132126"/>
    <w:rsid w:val="00132641"/>
    <w:rsid w:val="00132BDC"/>
    <w:rsid w:val="00132BFE"/>
    <w:rsid w:val="0013313E"/>
    <w:rsid w:val="00133518"/>
    <w:rsid w:val="001336E0"/>
    <w:rsid w:val="00133CCD"/>
    <w:rsid w:val="00133F34"/>
    <w:rsid w:val="00134138"/>
    <w:rsid w:val="0013414B"/>
    <w:rsid w:val="001345EA"/>
    <w:rsid w:val="00134751"/>
    <w:rsid w:val="0013498E"/>
    <w:rsid w:val="00135150"/>
    <w:rsid w:val="00135273"/>
    <w:rsid w:val="00135B1B"/>
    <w:rsid w:val="00135D7E"/>
    <w:rsid w:val="00135FC9"/>
    <w:rsid w:val="00136002"/>
    <w:rsid w:val="001362B9"/>
    <w:rsid w:val="00136467"/>
    <w:rsid w:val="00137107"/>
    <w:rsid w:val="0013730D"/>
    <w:rsid w:val="00137771"/>
    <w:rsid w:val="00137AA2"/>
    <w:rsid w:val="00140272"/>
    <w:rsid w:val="0014058F"/>
    <w:rsid w:val="001411B5"/>
    <w:rsid w:val="00141214"/>
    <w:rsid w:val="00141533"/>
    <w:rsid w:val="001416FA"/>
    <w:rsid w:val="00141722"/>
    <w:rsid w:val="00142087"/>
    <w:rsid w:val="0014214C"/>
    <w:rsid w:val="001425EF"/>
    <w:rsid w:val="001426F0"/>
    <w:rsid w:val="001429C5"/>
    <w:rsid w:val="00143476"/>
    <w:rsid w:val="00143478"/>
    <w:rsid w:val="001438B7"/>
    <w:rsid w:val="00143A75"/>
    <w:rsid w:val="00143BB3"/>
    <w:rsid w:val="00143C51"/>
    <w:rsid w:val="00143F1E"/>
    <w:rsid w:val="00143F2F"/>
    <w:rsid w:val="0014438F"/>
    <w:rsid w:val="001444DE"/>
    <w:rsid w:val="00144CEB"/>
    <w:rsid w:val="00144D70"/>
    <w:rsid w:val="00144E6E"/>
    <w:rsid w:val="00144F47"/>
    <w:rsid w:val="0014545D"/>
    <w:rsid w:val="001456A1"/>
    <w:rsid w:val="00145B46"/>
    <w:rsid w:val="00145BBF"/>
    <w:rsid w:val="00145E7D"/>
    <w:rsid w:val="00146214"/>
    <w:rsid w:val="00146298"/>
    <w:rsid w:val="00146385"/>
    <w:rsid w:val="0014652C"/>
    <w:rsid w:val="0014655B"/>
    <w:rsid w:val="00146624"/>
    <w:rsid w:val="001468EB"/>
    <w:rsid w:val="00146B09"/>
    <w:rsid w:val="00146F5A"/>
    <w:rsid w:val="001477F1"/>
    <w:rsid w:val="00147932"/>
    <w:rsid w:val="0014798E"/>
    <w:rsid w:val="00147FC4"/>
    <w:rsid w:val="00150376"/>
    <w:rsid w:val="00150B49"/>
    <w:rsid w:val="00150CEA"/>
    <w:rsid w:val="00150E4C"/>
    <w:rsid w:val="00150EEE"/>
    <w:rsid w:val="001510DA"/>
    <w:rsid w:val="00151240"/>
    <w:rsid w:val="00151287"/>
    <w:rsid w:val="00151369"/>
    <w:rsid w:val="001514C0"/>
    <w:rsid w:val="00151674"/>
    <w:rsid w:val="00151750"/>
    <w:rsid w:val="00151819"/>
    <w:rsid w:val="00151908"/>
    <w:rsid w:val="00151DBD"/>
    <w:rsid w:val="00151F04"/>
    <w:rsid w:val="00152323"/>
    <w:rsid w:val="001528E5"/>
    <w:rsid w:val="00152A6E"/>
    <w:rsid w:val="00152C5C"/>
    <w:rsid w:val="00152F8A"/>
    <w:rsid w:val="001531D6"/>
    <w:rsid w:val="001532E5"/>
    <w:rsid w:val="0015374B"/>
    <w:rsid w:val="0015406B"/>
    <w:rsid w:val="00154324"/>
    <w:rsid w:val="0015454F"/>
    <w:rsid w:val="00154821"/>
    <w:rsid w:val="001549BD"/>
    <w:rsid w:val="001550C3"/>
    <w:rsid w:val="00155291"/>
    <w:rsid w:val="00155434"/>
    <w:rsid w:val="001559D8"/>
    <w:rsid w:val="00155BDA"/>
    <w:rsid w:val="00155C77"/>
    <w:rsid w:val="0015611D"/>
    <w:rsid w:val="00156660"/>
    <w:rsid w:val="00156B88"/>
    <w:rsid w:val="00156EC3"/>
    <w:rsid w:val="00156FA7"/>
    <w:rsid w:val="001572C3"/>
    <w:rsid w:val="00157858"/>
    <w:rsid w:val="00157CE2"/>
    <w:rsid w:val="00160078"/>
    <w:rsid w:val="001600A9"/>
    <w:rsid w:val="0016023A"/>
    <w:rsid w:val="00160354"/>
    <w:rsid w:val="0016042C"/>
    <w:rsid w:val="001608AA"/>
    <w:rsid w:val="00160900"/>
    <w:rsid w:val="00160DFA"/>
    <w:rsid w:val="00160EF3"/>
    <w:rsid w:val="00161291"/>
    <w:rsid w:val="001616C3"/>
    <w:rsid w:val="0016177B"/>
    <w:rsid w:val="00161A54"/>
    <w:rsid w:val="00162095"/>
    <w:rsid w:val="0016222D"/>
    <w:rsid w:val="001624EB"/>
    <w:rsid w:val="0016274A"/>
    <w:rsid w:val="00162A64"/>
    <w:rsid w:val="00162AEA"/>
    <w:rsid w:val="00162DBF"/>
    <w:rsid w:val="00162F53"/>
    <w:rsid w:val="0016358D"/>
    <w:rsid w:val="00163B02"/>
    <w:rsid w:val="00163CD9"/>
    <w:rsid w:val="001640AF"/>
    <w:rsid w:val="0016420C"/>
    <w:rsid w:val="00164261"/>
    <w:rsid w:val="0016471C"/>
    <w:rsid w:val="00164A46"/>
    <w:rsid w:val="00164CF8"/>
    <w:rsid w:val="001653AE"/>
    <w:rsid w:val="001654DC"/>
    <w:rsid w:val="001655BF"/>
    <w:rsid w:val="00165692"/>
    <w:rsid w:val="00165D62"/>
    <w:rsid w:val="00165F3B"/>
    <w:rsid w:val="00166049"/>
    <w:rsid w:val="00166052"/>
    <w:rsid w:val="00166100"/>
    <w:rsid w:val="0016619C"/>
    <w:rsid w:val="001665DE"/>
    <w:rsid w:val="00166C29"/>
    <w:rsid w:val="00166E46"/>
    <w:rsid w:val="0016712F"/>
    <w:rsid w:val="001677FA"/>
    <w:rsid w:val="00167945"/>
    <w:rsid w:val="00167A3D"/>
    <w:rsid w:val="00167E25"/>
    <w:rsid w:val="00167FAF"/>
    <w:rsid w:val="00170616"/>
    <w:rsid w:val="001707F2"/>
    <w:rsid w:val="00170D2C"/>
    <w:rsid w:val="00170D5B"/>
    <w:rsid w:val="00170DBA"/>
    <w:rsid w:val="00171159"/>
    <w:rsid w:val="00171557"/>
    <w:rsid w:val="00171BFA"/>
    <w:rsid w:val="00172311"/>
    <w:rsid w:val="00172324"/>
    <w:rsid w:val="00172B74"/>
    <w:rsid w:val="00172B8F"/>
    <w:rsid w:val="00172D44"/>
    <w:rsid w:val="00172D8C"/>
    <w:rsid w:val="00172FA8"/>
    <w:rsid w:val="00173072"/>
    <w:rsid w:val="00173256"/>
    <w:rsid w:val="00173276"/>
    <w:rsid w:val="001736F8"/>
    <w:rsid w:val="001737D8"/>
    <w:rsid w:val="00173D85"/>
    <w:rsid w:val="001741AA"/>
    <w:rsid w:val="001743FF"/>
    <w:rsid w:val="00174461"/>
    <w:rsid w:val="00174789"/>
    <w:rsid w:val="0017480B"/>
    <w:rsid w:val="00174B51"/>
    <w:rsid w:val="00174FD4"/>
    <w:rsid w:val="0017509A"/>
    <w:rsid w:val="00175116"/>
    <w:rsid w:val="001755E5"/>
    <w:rsid w:val="00175A67"/>
    <w:rsid w:val="00175AE8"/>
    <w:rsid w:val="00175BCA"/>
    <w:rsid w:val="00175F13"/>
    <w:rsid w:val="00176195"/>
    <w:rsid w:val="0017621B"/>
    <w:rsid w:val="001769BE"/>
    <w:rsid w:val="00176F62"/>
    <w:rsid w:val="00177B89"/>
    <w:rsid w:val="00177C14"/>
    <w:rsid w:val="00177C27"/>
    <w:rsid w:val="00177DE3"/>
    <w:rsid w:val="00180008"/>
    <w:rsid w:val="0018037E"/>
    <w:rsid w:val="001807D3"/>
    <w:rsid w:val="00180974"/>
    <w:rsid w:val="00180B8D"/>
    <w:rsid w:val="00180C20"/>
    <w:rsid w:val="00181228"/>
    <w:rsid w:val="0018131A"/>
    <w:rsid w:val="00181406"/>
    <w:rsid w:val="0018143F"/>
    <w:rsid w:val="00181756"/>
    <w:rsid w:val="00181805"/>
    <w:rsid w:val="00181899"/>
    <w:rsid w:val="0018240B"/>
    <w:rsid w:val="00182546"/>
    <w:rsid w:val="001827B8"/>
    <w:rsid w:val="001827DE"/>
    <w:rsid w:val="00182928"/>
    <w:rsid w:val="001829FC"/>
    <w:rsid w:val="001832D0"/>
    <w:rsid w:val="00183730"/>
    <w:rsid w:val="00183774"/>
    <w:rsid w:val="00183B21"/>
    <w:rsid w:val="00183E65"/>
    <w:rsid w:val="00183F40"/>
    <w:rsid w:val="0018420B"/>
    <w:rsid w:val="00184289"/>
    <w:rsid w:val="00184603"/>
    <w:rsid w:val="00184B06"/>
    <w:rsid w:val="00184B84"/>
    <w:rsid w:val="00184BAE"/>
    <w:rsid w:val="00184BD1"/>
    <w:rsid w:val="00184CB6"/>
    <w:rsid w:val="00184D26"/>
    <w:rsid w:val="00184D4F"/>
    <w:rsid w:val="00185536"/>
    <w:rsid w:val="00185683"/>
    <w:rsid w:val="0018579F"/>
    <w:rsid w:val="00185AEA"/>
    <w:rsid w:val="0018678E"/>
    <w:rsid w:val="001867A5"/>
    <w:rsid w:val="00186853"/>
    <w:rsid w:val="00186EA3"/>
    <w:rsid w:val="0018711C"/>
    <w:rsid w:val="0018745E"/>
    <w:rsid w:val="00187DD4"/>
    <w:rsid w:val="00187E34"/>
    <w:rsid w:val="00190010"/>
    <w:rsid w:val="00190080"/>
    <w:rsid w:val="00190164"/>
    <w:rsid w:val="0019049A"/>
    <w:rsid w:val="001906A2"/>
    <w:rsid w:val="00190EAC"/>
    <w:rsid w:val="00190F40"/>
    <w:rsid w:val="00191370"/>
    <w:rsid w:val="0019145C"/>
    <w:rsid w:val="0019158F"/>
    <w:rsid w:val="00191700"/>
    <w:rsid w:val="0019177A"/>
    <w:rsid w:val="00191B9D"/>
    <w:rsid w:val="00191C5D"/>
    <w:rsid w:val="00191D98"/>
    <w:rsid w:val="00191D9F"/>
    <w:rsid w:val="00191ED4"/>
    <w:rsid w:val="00191FC3"/>
    <w:rsid w:val="001923EB"/>
    <w:rsid w:val="001925DA"/>
    <w:rsid w:val="00192782"/>
    <w:rsid w:val="00192806"/>
    <w:rsid w:val="001929DC"/>
    <w:rsid w:val="00192F7E"/>
    <w:rsid w:val="001932DF"/>
    <w:rsid w:val="0019362A"/>
    <w:rsid w:val="00193720"/>
    <w:rsid w:val="00193A78"/>
    <w:rsid w:val="00193BA0"/>
    <w:rsid w:val="0019474E"/>
    <w:rsid w:val="0019492F"/>
    <w:rsid w:val="00194D06"/>
    <w:rsid w:val="001952F4"/>
    <w:rsid w:val="001953E4"/>
    <w:rsid w:val="00195588"/>
    <w:rsid w:val="00195728"/>
    <w:rsid w:val="00195731"/>
    <w:rsid w:val="001957AC"/>
    <w:rsid w:val="00195C95"/>
    <w:rsid w:val="00196010"/>
    <w:rsid w:val="00196077"/>
    <w:rsid w:val="0019686C"/>
    <w:rsid w:val="00196B39"/>
    <w:rsid w:val="00196D17"/>
    <w:rsid w:val="00196D59"/>
    <w:rsid w:val="001970C0"/>
    <w:rsid w:val="001972B7"/>
    <w:rsid w:val="0019797E"/>
    <w:rsid w:val="00197C16"/>
    <w:rsid w:val="00197DB9"/>
    <w:rsid w:val="00197DE4"/>
    <w:rsid w:val="00197EAA"/>
    <w:rsid w:val="00197FC0"/>
    <w:rsid w:val="001A0400"/>
    <w:rsid w:val="001A088D"/>
    <w:rsid w:val="001A0918"/>
    <w:rsid w:val="001A097E"/>
    <w:rsid w:val="001A0EBB"/>
    <w:rsid w:val="001A1017"/>
    <w:rsid w:val="001A1265"/>
    <w:rsid w:val="001A1422"/>
    <w:rsid w:val="001A14ED"/>
    <w:rsid w:val="001A1CB7"/>
    <w:rsid w:val="001A1FD7"/>
    <w:rsid w:val="001A229C"/>
    <w:rsid w:val="001A2496"/>
    <w:rsid w:val="001A27F6"/>
    <w:rsid w:val="001A2E2F"/>
    <w:rsid w:val="001A333D"/>
    <w:rsid w:val="001A34D3"/>
    <w:rsid w:val="001A3512"/>
    <w:rsid w:val="001A3597"/>
    <w:rsid w:val="001A38D3"/>
    <w:rsid w:val="001A39A2"/>
    <w:rsid w:val="001A3AA7"/>
    <w:rsid w:val="001A3BAD"/>
    <w:rsid w:val="001A3EA5"/>
    <w:rsid w:val="001A4038"/>
    <w:rsid w:val="001A420B"/>
    <w:rsid w:val="001A472A"/>
    <w:rsid w:val="001A47D6"/>
    <w:rsid w:val="001A4B97"/>
    <w:rsid w:val="001A4D50"/>
    <w:rsid w:val="001A4F7D"/>
    <w:rsid w:val="001A4FB0"/>
    <w:rsid w:val="001A513F"/>
    <w:rsid w:val="001A56E5"/>
    <w:rsid w:val="001A5948"/>
    <w:rsid w:val="001A59A0"/>
    <w:rsid w:val="001A5B7F"/>
    <w:rsid w:val="001A5D32"/>
    <w:rsid w:val="001A608E"/>
    <w:rsid w:val="001A6793"/>
    <w:rsid w:val="001A69E9"/>
    <w:rsid w:val="001A6CFA"/>
    <w:rsid w:val="001A7337"/>
    <w:rsid w:val="001A7880"/>
    <w:rsid w:val="001A7B42"/>
    <w:rsid w:val="001A7B71"/>
    <w:rsid w:val="001A7B7F"/>
    <w:rsid w:val="001A7D8F"/>
    <w:rsid w:val="001A7DF9"/>
    <w:rsid w:val="001A7F5F"/>
    <w:rsid w:val="001B062A"/>
    <w:rsid w:val="001B06CF"/>
    <w:rsid w:val="001B08C5"/>
    <w:rsid w:val="001B0A2F"/>
    <w:rsid w:val="001B0C92"/>
    <w:rsid w:val="001B1148"/>
    <w:rsid w:val="001B1171"/>
    <w:rsid w:val="001B1403"/>
    <w:rsid w:val="001B159D"/>
    <w:rsid w:val="001B198D"/>
    <w:rsid w:val="001B19A4"/>
    <w:rsid w:val="001B1BD1"/>
    <w:rsid w:val="001B1EE2"/>
    <w:rsid w:val="001B2189"/>
    <w:rsid w:val="001B28AD"/>
    <w:rsid w:val="001B292B"/>
    <w:rsid w:val="001B298C"/>
    <w:rsid w:val="001B2A97"/>
    <w:rsid w:val="001B2CD4"/>
    <w:rsid w:val="001B3484"/>
    <w:rsid w:val="001B363E"/>
    <w:rsid w:val="001B3A84"/>
    <w:rsid w:val="001B4444"/>
    <w:rsid w:val="001B45B8"/>
    <w:rsid w:val="001B45E3"/>
    <w:rsid w:val="001B4AF7"/>
    <w:rsid w:val="001B4F00"/>
    <w:rsid w:val="001B5024"/>
    <w:rsid w:val="001B50DE"/>
    <w:rsid w:val="001B50E8"/>
    <w:rsid w:val="001B5551"/>
    <w:rsid w:val="001B5568"/>
    <w:rsid w:val="001B564F"/>
    <w:rsid w:val="001B5CC6"/>
    <w:rsid w:val="001B5CD5"/>
    <w:rsid w:val="001B5D99"/>
    <w:rsid w:val="001B6591"/>
    <w:rsid w:val="001B67C2"/>
    <w:rsid w:val="001B689E"/>
    <w:rsid w:val="001B6AB7"/>
    <w:rsid w:val="001B6B69"/>
    <w:rsid w:val="001B6BD7"/>
    <w:rsid w:val="001B7005"/>
    <w:rsid w:val="001B7329"/>
    <w:rsid w:val="001B746B"/>
    <w:rsid w:val="001B74F4"/>
    <w:rsid w:val="001B77FE"/>
    <w:rsid w:val="001B783E"/>
    <w:rsid w:val="001B7912"/>
    <w:rsid w:val="001B7979"/>
    <w:rsid w:val="001B7B29"/>
    <w:rsid w:val="001B7F59"/>
    <w:rsid w:val="001C0343"/>
    <w:rsid w:val="001C0730"/>
    <w:rsid w:val="001C0D91"/>
    <w:rsid w:val="001C0FD5"/>
    <w:rsid w:val="001C1054"/>
    <w:rsid w:val="001C106A"/>
    <w:rsid w:val="001C174A"/>
    <w:rsid w:val="001C1D05"/>
    <w:rsid w:val="001C1F0A"/>
    <w:rsid w:val="001C2A48"/>
    <w:rsid w:val="001C2AC2"/>
    <w:rsid w:val="001C2D15"/>
    <w:rsid w:val="001C2E12"/>
    <w:rsid w:val="001C3300"/>
    <w:rsid w:val="001C3344"/>
    <w:rsid w:val="001C393A"/>
    <w:rsid w:val="001C3B1F"/>
    <w:rsid w:val="001C3E86"/>
    <w:rsid w:val="001C3E96"/>
    <w:rsid w:val="001C426B"/>
    <w:rsid w:val="001C4869"/>
    <w:rsid w:val="001C4DEB"/>
    <w:rsid w:val="001C4F7A"/>
    <w:rsid w:val="001C534D"/>
    <w:rsid w:val="001C5354"/>
    <w:rsid w:val="001C5406"/>
    <w:rsid w:val="001C5440"/>
    <w:rsid w:val="001C5540"/>
    <w:rsid w:val="001C555B"/>
    <w:rsid w:val="001C585E"/>
    <w:rsid w:val="001C5A54"/>
    <w:rsid w:val="001C5A92"/>
    <w:rsid w:val="001C5B6E"/>
    <w:rsid w:val="001C5CBF"/>
    <w:rsid w:val="001C60AC"/>
    <w:rsid w:val="001C6270"/>
    <w:rsid w:val="001C628D"/>
    <w:rsid w:val="001C6599"/>
    <w:rsid w:val="001C65C6"/>
    <w:rsid w:val="001C6850"/>
    <w:rsid w:val="001C69E3"/>
    <w:rsid w:val="001C6B36"/>
    <w:rsid w:val="001C6DFD"/>
    <w:rsid w:val="001C7150"/>
    <w:rsid w:val="001C7F3D"/>
    <w:rsid w:val="001D010D"/>
    <w:rsid w:val="001D0BB0"/>
    <w:rsid w:val="001D0E82"/>
    <w:rsid w:val="001D1119"/>
    <w:rsid w:val="001D1709"/>
    <w:rsid w:val="001D1A76"/>
    <w:rsid w:val="001D1B44"/>
    <w:rsid w:val="001D1CDD"/>
    <w:rsid w:val="001D1F43"/>
    <w:rsid w:val="001D21AD"/>
    <w:rsid w:val="001D2386"/>
    <w:rsid w:val="001D253A"/>
    <w:rsid w:val="001D26DE"/>
    <w:rsid w:val="001D2783"/>
    <w:rsid w:val="001D27C0"/>
    <w:rsid w:val="001D27CD"/>
    <w:rsid w:val="001D2918"/>
    <w:rsid w:val="001D295D"/>
    <w:rsid w:val="001D2E5A"/>
    <w:rsid w:val="001D2EB5"/>
    <w:rsid w:val="001D2EF3"/>
    <w:rsid w:val="001D32C0"/>
    <w:rsid w:val="001D36E3"/>
    <w:rsid w:val="001D3A64"/>
    <w:rsid w:val="001D3AF5"/>
    <w:rsid w:val="001D3FF3"/>
    <w:rsid w:val="001D4438"/>
    <w:rsid w:val="001D4473"/>
    <w:rsid w:val="001D462D"/>
    <w:rsid w:val="001D48BE"/>
    <w:rsid w:val="001D49D3"/>
    <w:rsid w:val="001D4B34"/>
    <w:rsid w:val="001D4BC0"/>
    <w:rsid w:val="001D4D74"/>
    <w:rsid w:val="001D4F12"/>
    <w:rsid w:val="001D5311"/>
    <w:rsid w:val="001D5343"/>
    <w:rsid w:val="001D5793"/>
    <w:rsid w:val="001D5C59"/>
    <w:rsid w:val="001D648E"/>
    <w:rsid w:val="001D6490"/>
    <w:rsid w:val="001D65A2"/>
    <w:rsid w:val="001D6FD6"/>
    <w:rsid w:val="001D701F"/>
    <w:rsid w:val="001D74A7"/>
    <w:rsid w:val="001D78F8"/>
    <w:rsid w:val="001E0212"/>
    <w:rsid w:val="001E0389"/>
    <w:rsid w:val="001E07CF"/>
    <w:rsid w:val="001E0D62"/>
    <w:rsid w:val="001E1175"/>
    <w:rsid w:val="001E13F0"/>
    <w:rsid w:val="001E15F2"/>
    <w:rsid w:val="001E1D18"/>
    <w:rsid w:val="001E1DFD"/>
    <w:rsid w:val="001E1E61"/>
    <w:rsid w:val="001E2050"/>
    <w:rsid w:val="001E22F7"/>
    <w:rsid w:val="001E25B5"/>
    <w:rsid w:val="001E2749"/>
    <w:rsid w:val="001E3D97"/>
    <w:rsid w:val="001E432A"/>
    <w:rsid w:val="001E465F"/>
    <w:rsid w:val="001E4713"/>
    <w:rsid w:val="001E496F"/>
    <w:rsid w:val="001E49D0"/>
    <w:rsid w:val="001E4C95"/>
    <w:rsid w:val="001E4CD9"/>
    <w:rsid w:val="001E4FE9"/>
    <w:rsid w:val="001E5291"/>
    <w:rsid w:val="001E5296"/>
    <w:rsid w:val="001E5321"/>
    <w:rsid w:val="001E5487"/>
    <w:rsid w:val="001E55AD"/>
    <w:rsid w:val="001E560F"/>
    <w:rsid w:val="001E56BB"/>
    <w:rsid w:val="001E57BD"/>
    <w:rsid w:val="001E59B5"/>
    <w:rsid w:val="001E59DA"/>
    <w:rsid w:val="001E5A37"/>
    <w:rsid w:val="001E63DE"/>
    <w:rsid w:val="001E64A7"/>
    <w:rsid w:val="001E65A8"/>
    <w:rsid w:val="001E66E5"/>
    <w:rsid w:val="001E6BCE"/>
    <w:rsid w:val="001E6CA2"/>
    <w:rsid w:val="001E6DAB"/>
    <w:rsid w:val="001E6DF2"/>
    <w:rsid w:val="001E7583"/>
    <w:rsid w:val="001E789C"/>
    <w:rsid w:val="001E7A6D"/>
    <w:rsid w:val="001E7AD8"/>
    <w:rsid w:val="001F0189"/>
    <w:rsid w:val="001F06C4"/>
    <w:rsid w:val="001F0771"/>
    <w:rsid w:val="001F090A"/>
    <w:rsid w:val="001F0FAB"/>
    <w:rsid w:val="001F10CA"/>
    <w:rsid w:val="001F11D8"/>
    <w:rsid w:val="001F12CE"/>
    <w:rsid w:val="001F12FB"/>
    <w:rsid w:val="001F1B9F"/>
    <w:rsid w:val="001F1D20"/>
    <w:rsid w:val="001F1E31"/>
    <w:rsid w:val="001F1E62"/>
    <w:rsid w:val="001F1ED1"/>
    <w:rsid w:val="001F21E7"/>
    <w:rsid w:val="001F2397"/>
    <w:rsid w:val="001F2474"/>
    <w:rsid w:val="001F26D2"/>
    <w:rsid w:val="001F26E4"/>
    <w:rsid w:val="001F28B1"/>
    <w:rsid w:val="001F2902"/>
    <w:rsid w:val="001F2AD0"/>
    <w:rsid w:val="001F3098"/>
    <w:rsid w:val="001F3410"/>
    <w:rsid w:val="001F3689"/>
    <w:rsid w:val="001F3B46"/>
    <w:rsid w:val="001F3DD1"/>
    <w:rsid w:val="001F3F36"/>
    <w:rsid w:val="001F3FD3"/>
    <w:rsid w:val="001F40D3"/>
    <w:rsid w:val="001F4138"/>
    <w:rsid w:val="001F42D2"/>
    <w:rsid w:val="001F4415"/>
    <w:rsid w:val="001F46EF"/>
    <w:rsid w:val="001F4BC6"/>
    <w:rsid w:val="001F4E92"/>
    <w:rsid w:val="001F5023"/>
    <w:rsid w:val="001F56A7"/>
    <w:rsid w:val="001F5AA0"/>
    <w:rsid w:val="001F5C7E"/>
    <w:rsid w:val="001F6126"/>
    <w:rsid w:val="001F658C"/>
    <w:rsid w:val="001F66CE"/>
    <w:rsid w:val="001F675C"/>
    <w:rsid w:val="001F6A95"/>
    <w:rsid w:val="001F6C78"/>
    <w:rsid w:val="001F6F2F"/>
    <w:rsid w:val="001F6F44"/>
    <w:rsid w:val="001F729F"/>
    <w:rsid w:val="001F72CA"/>
    <w:rsid w:val="001F7563"/>
    <w:rsid w:val="001F768E"/>
    <w:rsid w:val="001F7861"/>
    <w:rsid w:val="001F7D63"/>
    <w:rsid w:val="001F7DB2"/>
    <w:rsid w:val="001F7E27"/>
    <w:rsid w:val="001F7F43"/>
    <w:rsid w:val="00200171"/>
    <w:rsid w:val="00200264"/>
    <w:rsid w:val="002004EC"/>
    <w:rsid w:val="00200592"/>
    <w:rsid w:val="00200915"/>
    <w:rsid w:val="00200C95"/>
    <w:rsid w:val="00200D5B"/>
    <w:rsid w:val="00200DEC"/>
    <w:rsid w:val="00200E21"/>
    <w:rsid w:val="00201ACD"/>
    <w:rsid w:val="00201DDB"/>
    <w:rsid w:val="002020CF"/>
    <w:rsid w:val="00202294"/>
    <w:rsid w:val="002023F1"/>
    <w:rsid w:val="002031AD"/>
    <w:rsid w:val="0020360B"/>
    <w:rsid w:val="002043D5"/>
    <w:rsid w:val="00204700"/>
    <w:rsid w:val="00204DF4"/>
    <w:rsid w:val="00204E10"/>
    <w:rsid w:val="00205119"/>
    <w:rsid w:val="00205154"/>
    <w:rsid w:val="00205230"/>
    <w:rsid w:val="00205240"/>
    <w:rsid w:val="0020550B"/>
    <w:rsid w:val="0020555F"/>
    <w:rsid w:val="00205595"/>
    <w:rsid w:val="0020561B"/>
    <w:rsid w:val="00205666"/>
    <w:rsid w:val="00205BCE"/>
    <w:rsid w:val="00205D1B"/>
    <w:rsid w:val="00205DEB"/>
    <w:rsid w:val="00205EAD"/>
    <w:rsid w:val="00206021"/>
    <w:rsid w:val="00206190"/>
    <w:rsid w:val="002061C5"/>
    <w:rsid w:val="0020648A"/>
    <w:rsid w:val="002066FE"/>
    <w:rsid w:val="002067EF"/>
    <w:rsid w:val="00206AAD"/>
    <w:rsid w:val="00206CCA"/>
    <w:rsid w:val="00206DA5"/>
    <w:rsid w:val="0020755A"/>
    <w:rsid w:val="0020789E"/>
    <w:rsid w:val="00207AA6"/>
    <w:rsid w:val="00207AB1"/>
    <w:rsid w:val="00207F59"/>
    <w:rsid w:val="00207F85"/>
    <w:rsid w:val="00207FD7"/>
    <w:rsid w:val="00210061"/>
    <w:rsid w:val="002100EA"/>
    <w:rsid w:val="00210285"/>
    <w:rsid w:val="0021063B"/>
    <w:rsid w:val="00210679"/>
    <w:rsid w:val="00210904"/>
    <w:rsid w:val="00210B04"/>
    <w:rsid w:val="00210BBD"/>
    <w:rsid w:val="00211023"/>
    <w:rsid w:val="00211DC3"/>
    <w:rsid w:val="00211F55"/>
    <w:rsid w:val="00212009"/>
    <w:rsid w:val="00212081"/>
    <w:rsid w:val="0021214B"/>
    <w:rsid w:val="00212153"/>
    <w:rsid w:val="00212259"/>
    <w:rsid w:val="0021261E"/>
    <w:rsid w:val="00212735"/>
    <w:rsid w:val="00212CA4"/>
    <w:rsid w:val="00212CF1"/>
    <w:rsid w:val="00212D49"/>
    <w:rsid w:val="00213100"/>
    <w:rsid w:val="002133B6"/>
    <w:rsid w:val="002136F2"/>
    <w:rsid w:val="00213866"/>
    <w:rsid w:val="00213B37"/>
    <w:rsid w:val="00213E40"/>
    <w:rsid w:val="00214145"/>
    <w:rsid w:val="002144CB"/>
    <w:rsid w:val="00214662"/>
    <w:rsid w:val="00214675"/>
    <w:rsid w:val="002146FF"/>
    <w:rsid w:val="002148B8"/>
    <w:rsid w:val="002149E6"/>
    <w:rsid w:val="0021532A"/>
    <w:rsid w:val="002155B6"/>
    <w:rsid w:val="002157E4"/>
    <w:rsid w:val="002159B9"/>
    <w:rsid w:val="00215AFB"/>
    <w:rsid w:val="00215B35"/>
    <w:rsid w:val="00215DEA"/>
    <w:rsid w:val="00215EB0"/>
    <w:rsid w:val="0021693A"/>
    <w:rsid w:val="00216940"/>
    <w:rsid w:val="00216F9A"/>
    <w:rsid w:val="002170ED"/>
    <w:rsid w:val="0021767D"/>
    <w:rsid w:val="0021776A"/>
    <w:rsid w:val="00217A63"/>
    <w:rsid w:val="00217D35"/>
    <w:rsid w:val="00217EFE"/>
    <w:rsid w:val="00217F37"/>
    <w:rsid w:val="00217F93"/>
    <w:rsid w:val="00217FB0"/>
    <w:rsid w:val="0021DE77"/>
    <w:rsid w:val="002200D8"/>
    <w:rsid w:val="00220297"/>
    <w:rsid w:val="00220374"/>
    <w:rsid w:val="0022077C"/>
    <w:rsid w:val="0022092B"/>
    <w:rsid w:val="002209C7"/>
    <w:rsid w:val="00220B87"/>
    <w:rsid w:val="00220D9F"/>
    <w:rsid w:val="00220DA6"/>
    <w:rsid w:val="00220F9D"/>
    <w:rsid w:val="00220FBC"/>
    <w:rsid w:val="0022131A"/>
    <w:rsid w:val="0022141C"/>
    <w:rsid w:val="002217EE"/>
    <w:rsid w:val="00221E8E"/>
    <w:rsid w:val="00221FF4"/>
    <w:rsid w:val="0022204D"/>
    <w:rsid w:val="00222200"/>
    <w:rsid w:val="0022222F"/>
    <w:rsid w:val="002223AB"/>
    <w:rsid w:val="00222A50"/>
    <w:rsid w:val="00222C3A"/>
    <w:rsid w:val="00222D80"/>
    <w:rsid w:val="00222EC4"/>
    <w:rsid w:val="0022316A"/>
    <w:rsid w:val="002234DB"/>
    <w:rsid w:val="00223664"/>
    <w:rsid w:val="00223A56"/>
    <w:rsid w:val="00223E10"/>
    <w:rsid w:val="0022400F"/>
    <w:rsid w:val="002248D1"/>
    <w:rsid w:val="002248F4"/>
    <w:rsid w:val="00224B75"/>
    <w:rsid w:val="00225833"/>
    <w:rsid w:val="00225C09"/>
    <w:rsid w:val="00225F4F"/>
    <w:rsid w:val="00225FBA"/>
    <w:rsid w:val="00226095"/>
    <w:rsid w:val="00226704"/>
    <w:rsid w:val="00226F4B"/>
    <w:rsid w:val="00227065"/>
    <w:rsid w:val="002271E1"/>
    <w:rsid w:val="002274F5"/>
    <w:rsid w:val="00227B89"/>
    <w:rsid w:val="00227BE4"/>
    <w:rsid w:val="00227EB8"/>
    <w:rsid w:val="00227F43"/>
    <w:rsid w:val="00227FBB"/>
    <w:rsid w:val="00230315"/>
    <w:rsid w:val="00230531"/>
    <w:rsid w:val="002306BB"/>
    <w:rsid w:val="00230788"/>
    <w:rsid w:val="00230935"/>
    <w:rsid w:val="00230AA1"/>
    <w:rsid w:val="00230E86"/>
    <w:rsid w:val="00231067"/>
    <w:rsid w:val="00231246"/>
    <w:rsid w:val="00231254"/>
    <w:rsid w:val="00231429"/>
    <w:rsid w:val="002319B2"/>
    <w:rsid w:val="00231AFB"/>
    <w:rsid w:val="00231B84"/>
    <w:rsid w:val="00231B97"/>
    <w:rsid w:val="00231C5C"/>
    <w:rsid w:val="00231D3A"/>
    <w:rsid w:val="00231E15"/>
    <w:rsid w:val="00231F43"/>
    <w:rsid w:val="002327FC"/>
    <w:rsid w:val="00232AC2"/>
    <w:rsid w:val="00232AD4"/>
    <w:rsid w:val="00232F10"/>
    <w:rsid w:val="00233DD7"/>
    <w:rsid w:val="00234211"/>
    <w:rsid w:val="00234277"/>
    <w:rsid w:val="002343DD"/>
    <w:rsid w:val="00234640"/>
    <w:rsid w:val="00234C4D"/>
    <w:rsid w:val="00234C76"/>
    <w:rsid w:val="00234CB0"/>
    <w:rsid w:val="002350F6"/>
    <w:rsid w:val="00235708"/>
    <w:rsid w:val="00235CDA"/>
    <w:rsid w:val="00235F02"/>
    <w:rsid w:val="0023608D"/>
    <w:rsid w:val="00236C9E"/>
    <w:rsid w:val="00236E5D"/>
    <w:rsid w:val="0023725D"/>
    <w:rsid w:val="002372AF"/>
    <w:rsid w:val="00237B7C"/>
    <w:rsid w:val="00240043"/>
    <w:rsid w:val="00240106"/>
    <w:rsid w:val="002404D2"/>
    <w:rsid w:val="00240868"/>
    <w:rsid w:val="00240890"/>
    <w:rsid w:val="00240F8B"/>
    <w:rsid w:val="0024111A"/>
    <w:rsid w:val="002411C7"/>
    <w:rsid w:val="0024146D"/>
    <w:rsid w:val="002415B5"/>
    <w:rsid w:val="00241862"/>
    <w:rsid w:val="00241B64"/>
    <w:rsid w:val="00241B7D"/>
    <w:rsid w:val="00242067"/>
    <w:rsid w:val="0024291A"/>
    <w:rsid w:val="00242F4E"/>
    <w:rsid w:val="00242F8B"/>
    <w:rsid w:val="00242F9F"/>
    <w:rsid w:val="00243028"/>
    <w:rsid w:val="002430F8"/>
    <w:rsid w:val="00243CBE"/>
    <w:rsid w:val="00243FAD"/>
    <w:rsid w:val="00244035"/>
    <w:rsid w:val="002440A8"/>
    <w:rsid w:val="00244713"/>
    <w:rsid w:val="0024492D"/>
    <w:rsid w:val="00244A8D"/>
    <w:rsid w:val="00244C4E"/>
    <w:rsid w:val="002452A0"/>
    <w:rsid w:val="002455C1"/>
    <w:rsid w:val="0024585F"/>
    <w:rsid w:val="002458CB"/>
    <w:rsid w:val="002463A6"/>
    <w:rsid w:val="00246472"/>
    <w:rsid w:val="00246ADB"/>
    <w:rsid w:val="00246F38"/>
    <w:rsid w:val="0024717B"/>
    <w:rsid w:val="002472B0"/>
    <w:rsid w:val="00247A00"/>
    <w:rsid w:val="00247A0C"/>
    <w:rsid w:val="002501C9"/>
    <w:rsid w:val="002503D2"/>
    <w:rsid w:val="00250CA6"/>
    <w:rsid w:val="00250FF2"/>
    <w:rsid w:val="00251029"/>
    <w:rsid w:val="002510AE"/>
    <w:rsid w:val="0025122D"/>
    <w:rsid w:val="0025152B"/>
    <w:rsid w:val="002517A5"/>
    <w:rsid w:val="00251811"/>
    <w:rsid w:val="00251B0F"/>
    <w:rsid w:val="00251E6D"/>
    <w:rsid w:val="00251F6C"/>
    <w:rsid w:val="002522CD"/>
    <w:rsid w:val="0025231C"/>
    <w:rsid w:val="0025249C"/>
    <w:rsid w:val="00252BDF"/>
    <w:rsid w:val="00252EEC"/>
    <w:rsid w:val="00253085"/>
    <w:rsid w:val="002531EC"/>
    <w:rsid w:val="00253545"/>
    <w:rsid w:val="0025381B"/>
    <w:rsid w:val="002539ED"/>
    <w:rsid w:val="00253A86"/>
    <w:rsid w:val="00253BA3"/>
    <w:rsid w:val="00253BF4"/>
    <w:rsid w:val="00253FA9"/>
    <w:rsid w:val="002540D3"/>
    <w:rsid w:val="002541F2"/>
    <w:rsid w:val="00254217"/>
    <w:rsid w:val="0025440D"/>
    <w:rsid w:val="0025450E"/>
    <w:rsid w:val="00254516"/>
    <w:rsid w:val="002545B9"/>
    <w:rsid w:val="002545BF"/>
    <w:rsid w:val="002549DF"/>
    <w:rsid w:val="002549F5"/>
    <w:rsid w:val="00254E57"/>
    <w:rsid w:val="00255035"/>
    <w:rsid w:val="00255152"/>
    <w:rsid w:val="0025528E"/>
    <w:rsid w:val="002553AB"/>
    <w:rsid w:val="0025554E"/>
    <w:rsid w:val="0025565F"/>
    <w:rsid w:val="00255783"/>
    <w:rsid w:val="002558F0"/>
    <w:rsid w:val="00255B38"/>
    <w:rsid w:val="00255B8D"/>
    <w:rsid w:val="00255F11"/>
    <w:rsid w:val="00255FA5"/>
    <w:rsid w:val="002566B6"/>
    <w:rsid w:val="00256A6F"/>
    <w:rsid w:val="00256A89"/>
    <w:rsid w:val="00256B76"/>
    <w:rsid w:val="00256BD9"/>
    <w:rsid w:val="00256FA5"/>
    <w:rsid w:val="00257127"/>
    <w:rsid w:val="002574A1"/>
    <w:rsid w:val="002574CA"/>
    <w:rsid w:val="00257588"/>
    <w:rsid w:val="00257A13"/>
    <w:rsid w:val="00257DEB"/>
    <w:rsid w:val="00257EC4"/>
    <w:rsid w:val="00260922"/>
    <w:rsid w:val="00260AB8"/>
    <w:rsid w:val="00260B89"/>
    <w:rsid w:val="00260C62"/>
    <w:rsid w:val="00260CAE"/>
    <w:rsid w:val="00261132"/>
    <w:rsid w:val="00261345"/>
    <w:rsid w:val="002614DB"/>
    <w:rsid w:val="002616DF"/>
    <w:rsid w:val="00261A7E"/>
    <w:rsid w:val="00261FC2"/>
    <w:rsid w:val="0026209E"/>
    <w:rsid w:val="002622BF"/>
    <w:rsid w:val="0026237D"/>
    <w:rsid w:val="002629FF"/>
    <w:rsid w:val="00262DB7"/>
    <w:rsid w:val="002637D9"/>
    <w:rsid w:val="002638B7"/>
    <w:rsid w:val="002638F4"/>
    <w:rsid w:val="0026398E"/>
    <w:rsid w:val="00263CCD"/>
    <w:rsid w:val="00263D77"/>
    <w:rsid w:val="00263EEA"/>
    <w:rsid w:val="0026442F"/>
    <w:rsid w:val="0026447C"/>
    <w:rsid w:val="002644C7"/>
    <w:rsid w:val="002649C0"/>
    <w:rsid w:val="00264AF8"/>
    <w:rsid w:val="002651DB"/>
    <w:rsid w:val="002658AF"/>
    <w:rsid w:val="00265C8D"/>
    <w:rsid w:val="00265D95"/>
    <w:rsid w:val="00265E1E"/>
    <w:rsid w:val="00265F9C"/>
    <w:rsid w:val="0026695A"/>
    <w:rsid w:val="00266A65"/>
    <w:rsid w:val="00266B38"/>
    <w:rsid w:val="00266BBA"/>
    <w:rsid w:val="00266CC6"/>
    <w:rsid w:val="00266DB7"/>
    <w:rsid w:val="00266F5E"/>
    <w:rsid w:val="00267099"/>
    <w:rsid w:val="0026791B"/>
    <w:rsid w:val="00267EEF"/>
    <w:rsid w:val="0027030A"/>
    <w:rsid w:val="002705A0"/>
    <w:rsid w:val="0027067F"/>
    <w:rsid w:val="00270CC5"/>
    <w:rsid w:val="00271272"/>
    <w:rsid w:val="00271464"/>
    <w:rsid w:val="002714D4"/>
    <w:rsid w:val="0027160C"/>
    <w:rsid w:val="00271718"/>
    <w:rsid w:val="00271A23"/>
    <w:rsid w:val="002725B1"/>
    <w:rsid w:val="002726B1"/>
    <w:rsid w:val="00272702"/>
    <w:rsid w:val="0027277A"/>
    <w:rsid w:val="002727BD"/>
    <w:rsid w:val="00272BD7"/>
    <w:rsid w:val="002732B0"/>
    <w:rsid w:val="0027364C"/>
    <w:rsid w:val="00274005"/>
    <w:rsid w:val="002742F8"/>
    <w:rsid w:val="00274333"/>
    <w:rsid w:val="0027466B"/>
    <w:rsid w:val="002746C1"/>
    <w:rsid w:val="00274B51"/>
    <w:rsid w:val="00274C36"/>
    <w:rsid w:val="00274DFA"/>
    <w:rsid w:val="00274F53"/>
    <w:rsid w:val="002751D1"/>
    <w:rsid w:val="00275209"/>
    <w:rsid w:val="002753F4"/>
    <w:rsid w:val="00275402"/>
    <w:rsid w:val="002755A4"/>
    <w:rsid w:val="002755E8"/>
    <w:rsid w:val="00275613"/>
    <w:rsid w:val="0027568D"/>
    <w:rsid w:val="00275958"/>
    <w:rsid w:val="00275C96"/>
    <w:rsid w:val="00275D2A"/>
    <w:rsid w:val="00275E72"/>
    <w:rsid w:val="00276049"/>
    <w:rsid w:val="00276105"/>
    <w:rsid w:val="002762EE"/>
    <w:rsid w:val="002768AD"/>
    <w:rsid w:val="00277007"/>
    <w:rsid w:val="0027718C"/>
    <w:rsid w:val="00277364"/>
    <w:rsid w:val="00277534"/>
    <w:rsid w:val="002777AA"/>
    <w:rsid w:val="00277934"/>
    <w:rsid w:val="00277FC9"/>
    <w:rsid w:val="002806F8"/>
    <w:rsid w:val="002808EF"/>
    <w:rsid w:val="00280B4E"/>
    <w:rsid w:val="00280B9C"/>
    <w:rsid w:val="00281504"/>
    <w:rsid w:val="00281638"/>
    <w:rsid w:val="002819C9"/>
    <w:rsid w:val="00282083"/>
    <w:rsid w:val="00282547"/>
    <w:rsid w:val="002828A0"/>
    <w:rsid w:val="002828D2"/>
    <w:rsid w:val="00282A2F"/>
    <w:rsid w:val="00282A58"/>
    <w:rsid w:val="00282DB8"/>
    <w:rsid w:val="0028326E"/>
    <w:rsid w:val="00283906"/>
    <w:rsid w:val="00283A6D"/>
    <w:rsid w:val="00283B1A"/>
    <w:rsid w:val="00283B79"/>
    <w:rsid w:val="00283CAB"/>
    <w:rsid w:val="00283D6D"/>
    <w:rsid w:val="00284340"/>
    <w:rsid w:val="00285047"/>
    <w:rsid w:val="00285391"/>
    <w:rsid w:val="00286320"/>
    <w:rsid w:val="002863DB"/>
    <w:rsid w:val="00286BD3"/>
    <w:rsid w:val="00287A90"/>
    <w:rsid w:val="00287D20"/>
    <w:rsid w:val="00287D76"/>
    <w:rsid w:val="00287E78"/>
    <w:rsid w:val="002901EE"/>
    <w:rsid w:val="00290553"/>
    <w:rsid w:val="0029055B"/>
    <w:rsid w:val="0029066D"/>
    <w:rsid w:val="00290676"/>
    <w:rsid w:val="0029067A"/>
    <w:rsid w:val="00290AC6"/>
    <w:rsid w:val="00290BD6"/>
    <w:rsid w:val="00290D77"/>
    <w:rsid w:val="00290F2B"/>
    <w:rsid w:val="00291241"/>
    <w:rsid w:val="00291462"/>
    <w:rsid w:val="00291572"/>
    <w:rsid w:val="002915A4"/>
    <w:rsid w:val="00291816"/>
    <w:rsid w:val="00291A16"/>
    <w:rsid w:val="00291ACA"/>
    <w:rsid w:val="00291D74"/>
    <w:rsid w:val="00291E28"/>
    <w:rsid w:val="00291F2C"/>
    <w:rsid w:val="0029211B"/>
    <w:rsid w:val="00292216"/>
    <w:rsid w:val="002923DC"/>
    <w:rsid w:val="0029257F"/>
    <w:rsid w:val="00292D3B"/>
    <w:rsid w:val="00292F1C"/>
    <w:rsid w:val="002939AE"/>
    <w:rsid w:val="00293A2F"/>
    <w:rsid w:val="00293BF2"/>
    <w:rsid w:val="00293E0E"/>
    <w:rsid w:val="0029407B"/>
    <w:rsid w:val="002940B8"/>
    <w:rsid w:val="00294446"/>
    <w:rsid w:val="00294463"/>
    <w:rsid w:val="0029459A"/>
    <w:rsid w:val="002947BD"/>
    <w:rsid w:val="0029495A"/>
    <w:rsid w:val="00294BB1"/>
    <w:rsid w:val="00295376"/>
    <w:rsid w:val="002953FD"/>
    <w:rsid w:val="0029544E"/>
    <w:rsid w:val="00295839"/>
    <w:rsid w:val="002958BC"/>
    <w:rsid w:val="00295BB2"/>
    <w:rsid w:val="002961E5"/>
    <w:rsid w:val="002965F4"/>
    <w:rsid w:val="00296766"/>
    <w:rsid w:val="00296C6A"/>
    <w:rsid w:val="00296CA6"/>
    <w:rsid w:val="00296D0D"/>
    <w:rsid w:val="00297576"/>
    <w:rsid w:val="00297622"/>
    <w:rsid w:val="0029782C"/>
    <w:rsid w:val="00297873"/>
    <w:rsid w:val="00297A50"/>
    <w:rsid w:val="00297BA1"/>
    <w:rsid w:val="00297EA1"/>
    <w:rsid w:val="002A04B4"/>
    <w:rsid w:val="002A07D1"/>
    <w:rsid w:val="002A0986"/>
    <w:rsid w:val="002A0E51"/>
    <w:rsid w:val="002A0EDD"/>
    <w:rsid w:val="002A0FD3"/>
    <w:rsid w:val="002A1293"/>
    <w:rsid w:val="002A145B"/>
    <w:rsid w:val="002A1552"/>
    <w:rsid w:val="002A1710"/>
    <w:rsid w:val="002A18BE"/>
    <w:rsid w:val="002A1AC1"/>
    <w:rsid w:val="002A1B7D"/>
    <w:rsid w:val="002A1DA3"/>
    <w:rsid w:val="002A2087"/>
    <w:rsid w:val="002A2110"/>
    <w:rsid w:val="002A218D"/>
    <w:rsid w:val="002A21ED"/>
    <w:rsid w:val="002A22A6"/>
    <w:rsid w:val="002A22CA"/>
    <w:rsid w:val="002A23B8"/>
    <w:rsid w:val="002A279D"/>
    <w:rsid w:val="002A2B5B"/>
    <w:rsid w:val="002A2BD9"/>
    <w:rsid w:val="002A3247"/>
    <w:rsid w:val="002A35DB"/>
    <w:rsid w:val="002A36F6"/>
    <w:rsid w:val="002A3A72"/>
    <w:rsid w:val="002A3DC2"/>
    <w:rsid w:val="002A4084"/>
    <w:rsid w:val="002A47AF"/>
    <w:rsid w:val="002A4ACC"/>
    <w:rsid w:val="002A4AD6"/>
    <w:rsid w:val="002A4C67"/>
    <w:rsid w:val="002A501B"/>
    <w:rsid w:val="002A5DBF"/>
    <w:rsid w:val="002A6030"/>
    <w:rsid w:val="002A695B"/>
    <w:rsid w:val="002A6B47"/>
    <w:rsid w:val="002A6C06"/>
    <w:rsid w:val="002A7196"/>
    <w:rsid w:val="002A71B6"/>
    <w:rsid w:val="002A7226"/>
    <w:rsid w:val="002A72BC"/>
    <w:rsid w:val="002A7374"/>
    <w:rsid w:val="002A7563"/>
    <w:rsid w:val="002A76AE"/>
    <w:rsid w:val="002A7CCB"/>
    <w:rsid w:val="002B00ED"/>
    <w:rsid w:val="002B012F"/>
    <w:rsid w:val="002B020D"/>
    <w:rsid w:val="002B02BF"/>
    <w:rsid w:val="002B0B3B"/>
    <w:rsid w:val="002B0C90"/>
    <w:rsid w:val="002B0D33"/>
    <w:rsid w:val="002B130B"/>
    <w:rsid w:val="002B1384"/>
    <w:rsid w:val="002B1B98"/>
    <w:rsid w:val="002B1F0E"/>
    <w:rsid w:val="002B2095"/>
    <w:rsid w:val="002B20A5"/>
    <w:rsid w:val="002B2111"/>
    <w:rsid w:val="002B2127"/>
    <w:rsid w:val="002B21AC"/>
    <w:rsid w:val="002B22DB"/>
    <w:rsid w:val="002B2397"/>
    <w:rsid w:val="002B2725"/>
    <w:rsid w:val="002B3118"/>
    <w:rsid w:val="002B316E"/>
    <w:rsid w:val="002B347F"/>
    <w:rsid w:val="002B3681"/>
    <w:rsid w:val="002B374D"/>
    <w:rsid w:val="002B3EF5"/>
    <w:rsid w:val="002B3FD0"/>
    <w:rsid w:val="002B4205"/>
    <w:rsid w:val="002B463E"/>
    <w:rsid w:val="002B47EC"/>
    <w:rsid w:val="002B49AC"/>
    <w:rsid w:val="002B4AFD"/>
    <w:rsid w:val="002B53DA"/>
    <w:rsid w:val="002B5544"/>
    <w:rsid w:val="002B593A"/>
    <w:rsid w:val="002B5B60"/>
    <w:rsid w:val="002B5CDD"/>
    <w:rsid w:val="002B6166"/>
    <w:rsid w:val="002B6203"/>
    <w:rsid w:val="002B667C"/>
    <w:rsid w:val="002B6990"/>
    <w:rsid w:val="002B6D70"/>
    <w:rsid w:val="002B6D98"/>
    <w:rsid w:val="002B7049"/>
    <w:rsid w:val="002B7186"/>
    <w:rsid w:val="002B7337"/>
    <w:rsid w:val="002B7465"/>
    <w:rsid w:val="002B75CB"/>
    <w:rsid w:val="002B78E0"/>
    <w:rsid w:val="002C07B6"/>
    <w:rsid w:val="002C0B7C"/>
    <w:rsid w:val="002C0D04"/>
    <w:rsid w:val="002C0EEC"/>
    <w:rsid w:val="002C11CA"/>
    <w:rsid w:val="002C15BD"/>
    <w:rsid w:val="002C1880"/>
    <w:rsid w:val="002C1F55"/>
    <w:rsid w:val="002C2077"/>
    <w:rsid w:val="002C2248"/>
    <w:rsid w:val="002C2461"/>
    <w:rsid w:val="002C26C7"/>
    <w:rsid w:val="002C285D"/>
    <w:rsid w:val="002C3044"/>
    <w:rsid w:val="002C3412"/>
    <w:rsid w:val="002C351D"/>
    <w:rsid w:val="002C35F6"/>
    <w:rsid w:val="002C3A17"/>
    <w:rsid w:val="002C3DD8"/>
    <w:rsid w:val="002C4289"/>
    <w:rsid w:val="002C43B9"/>
    <w:rsid w:val="002C45E8"/>
    <w:rsid w:val="002C4963"/>
    <w:rsid w:val="002C4E05"/>
    <w:rsid w:val="002C4F5A"/>
    <w:rsid w:val="002C50F4"/>
    <w:rsid w:val="002C5514"/>
    <w:rsid w:val="002C5562"/>
    <w:rsid w:val="002C5706"/>
    <w:rsid w:val="002C5859"/>
    <w:rsid w:val="002C5D96"/>
    <w:rsid w:val="002C5E35"/>
    <w:rsid w:val="002C6045"/>
    <w:rsid w:val="002C6119"/>
    <w:rsid w:val="002C61C6"/>
    <w:rsid w:val="002C6458"/>
    <w:rsid w:val="002C645B"/>
    <w:rsid w:val="002C67EB"/>
    <w:rsid w:val="002C6CD3"/>
    <w:rsid w:val="002C70CE"/>
    <w:rsid w:val="002C71A7"/>
    <w:rsid w:val="002C7773"/>
    <w:rsid w:val="002C7A02"/>
    <w:rsid w:val="002C7A50"/>
    <w:rsid w:val="002C7CC6"/>
    <w:rsid w:val="002D04CB"/>
    <w:rsid w:val="002D0554"/>
    <w:rsid w:val="002D0EA6"/>
    <w:rsid w:val="002D19EE"/>
    <w:rsid w:val="002D273D"/>
    <w:rsid w:val="002D3435"/>
    <w:rsid w:val="002D343E"/>
    <w:rsid w:val="002D355B"/>
    <w:rsid w:val="002D3FF0"/>
    <w:rsid w:val="002D4070"/>
    <w:rsid w:val="002D449E"/>
    <w:rsid w:val="002D44B4"/>
    <w:rsid w:val="002D4AF4"/>
    <w:rsid w:val="002D4F45"/>
    <w:rsid w:val="002D5097"/>
    <w:rsid w:val="002D51D4"/>
    <w:rsid w:val="002D55E4"/>
    <w:rsid w:val="002D5C1B"/>
    <w:rsid w:val="002D5D2E"/>
    <w:rsid w:val="002D5DCD"/>
    <w:rsid w:val="002D6093"/>
    <w:rsid w:val="002D6465"/>
    <w:rsid w:val="002D690D"/>
    <w:rsid w:val="002D6DB2"/>
    <w:rsid w:val="002D7D76"/>
    <w:rsid w:val="002E061C"/>
    <w:rsid w:val="002E08B3"/>
    <w:rsid w:val="002E0A56"/>
    <w:rsid w:val="002E0E6F"/>
    <w:rsid w:val="002E0EA9"/>
    <w:rsid w:val="002E11E0"/>
    <w:rsid w:val="002E1584"/>
    <w:rsid w:val="002E17CE"/>
    <w:rsid w:val="002E199D"/>
    <w:rsid w:val="002E1A71"/>
    <w:rsid w:val="002E1C29"/>
    <w:rsid w:val="002E1CD7"/>
    <w:rsid w:val="002E1DAF"/>
    <w:rsid w:val="002E1DB1"/>
    <w:rsid w:val="002E1DD7"/>
    <w:rsid w:val="002E21DD"/>
    <w:rsid w:val="002E2443"/>
    <w:rsid w:val="002E2449"/>
    <w:rsid w:val="002E31EB"/>
    <w:rsid w:val="002E33EF"/>
    <w:rsid w:val="002E3731"/>
    <w:rsid w:val="002E3808"/>
    <w:rsid w:val="002E3835"/>
    <w:rsid w:val="002E3846"/>
    <w:rsid w:val="002E39E5"/>
    <w:rsid w:val="002E3A74"/>
    <w:rsid w:val="002E3E68"/>
    <w:rsid w:val="002E41D0"/>
    <w:rsid w:val="002E4262"/>
    <w:rsid w:val="002E42DE"/>
    <w:rsid w:val="002E4C77"/>
    <w:rsid w:val="002E4CB6"/>
    <w:rsid w:val="002E4FB5"/>
    <w:rsid w:val="002E53A1"/>
    <w:rsid w:val="002E598C"/>
    <w:rsid w:val="002E5A60"/>
    <w:rsid w:val="002E5B8D"/>
    <w:rsid w:val="002E5F7F"/>
    <w:rsid w:val="002E6278"/>
    <w:rsid w:val="002E6B2F"/>
    <w:rsid w:val="002E6C04"/>
    <w:rsid w:val="002E6CE2"/>
    <w:rsid w:val="002E720F"/>
    <w:rsid w:val="002E7251"/>
    <w:rsid w:val="002E7775"/>
    <w:rsid w:val="002E7AD2"/>
    <w:rsid w:val="002F0B3F"/>
    <w:rsid w:val="002F109A"/>
    <w:rsid w:val="002F132A"/>
    <w:rsid w:val="002F1399"/>
    <w:rsid w:val="002F161A"/>
    <w:rsid w:val="002F1BB1"/>
    <w:rsid w:val="002F2399"/>
    <w:rsid w:val="002F2813"/>
    <w:rsid w:val="002F2B57"/>
    <w:rsid w:val="002F2C68"/>
    <w:rsid w:val="002F2D2B"/>
    <w:rsid w:val="002F2D76"/>
    <w:rsid w:val="002F32AB"/>
    <w:rsid w:val="002F32CF"/>
    <w:rsid w:val="002F32FB"/>
    <w:rsid w:val="002F3321"/>
    <w:rsid w:val="002F3664"/>
    <w:rsid w:val="002F3936"/>
    <w:rsid w:val="002F396A"/>
    <w:rsid w:val="002F396B"/>
    <w:rsid w:val="002F3BB6"/>
    <w:rsid w:val="002F3CD1"/>
    <w:rsid w:val="002F3DB6"/>
    <w:rsid w:val="002F3DFB"/>
    <w:rsid w:val="002F3E08"/>
    <w:rsid w:val="002F405E"/>
    <w:rsid w:val="002F487E"/>
    <w:rsid w:val="002F4931"/>
    <w:rsid w:val="002F497F"/>
    <w:rsid w:val="002F4CCA"/>
    <w:rsid w:val="002F50CA"/>
    <w:rsid w:val="002F5413"/>
    <w:rsid w:val="002F5548"/>
    <w:rsid w:val="002F554E"/>
    <w:rsid w:val="002F5611"/>
    <w:rsid w:val="002F5C04"/>
    <w:rsid w:val="002F5D26"/>
    <w:rsid w:val="002F5F5E"/>
    <w:rsid w:val="002F5F85"/>
    <w:rsid w:val="002F6145"/>
    <w:rsid w:val="002F6651"/>
    <w:rsid w:val="002F693F"/>
    <w:rsid w:val="002F6DFB"/>
    <w:rsid w:val="002F6ECE"/>
    <w:rsid w:val="002F73B2"/>
    <w:rsid w:val="002F74F9"/>
    <w:rsid w:val="002F79AB"/>
    <w:rsid w:val="002F7B7B"/>
    <w:rsid w:val="003000EA"/>
    <w:rsid w:val="0030048B"/>
    <w:rsid w:val="003008CC"/>
    <w:rsid w:val="00301763"/>
    <w:rsid w:val="003017A7"/>
    <w:rsid w:val="00301E63"/>
    <w:rsid w:val="00301EBA"/>
    <w:rsid w:val="00302252"/>
    <w:rsid w:val="00302280"/>
    <w:rsid w:val="00302601"/>
    <w:rsid w:val="003027F4"/>
    <w:rsid w:val="00302A06"/>
    <w:rsid w:val="00302DB9"/>
    <w:rsid w:val="00302F1F"/>
    <w:rsid w:val="003030FF"/>
    <w:rsid w:val="00303187"/>
    <w:rsid w:val="00303383"/>
    <w:rsid w:val="003034B1"/>
    <w:rsid w:val="00303653"/>
    <w:rsid w:val="00303735"/>
    <w:rsid w:val="0030398A"/>
    <w:rsid w:val="00303B33"/>
    <w:rsid w:val="00303C60"/>
    <w:rsid w:val="00303EFB"/>
    <w:rsid w:val="0030407F"/>
    <w:rsid w:val="00304362"/>
    <w:rsid w:val="003043D8"/>
    <w:rsid w:val="00304517"/>
    <w:rsid w:val="00304931"/>
    <w:rsid w:val="00304DE8"/>
    <w:rsid w:val="00304F60"/>
    <w:rsid w:val="00304FB8"/>
    <w:rsid w:val="00304FCA"/>
    <w:rsid w:val="0030507A"/>
    <w:rsid w:val="00305151"/>
    <w:rsid w:val="0030536C"/>
    <w:rsid w:val="003056AB"/>
    <w:rsid w:val="00305AC1"/>
    <w:rsid w:val="00305D46"/>
    <w:rsid w:val="003065D6"/>
    <w:rsid w:val="0030681B"/>
    <w:rsid w:val="00306D56"/>
    <w:rsid w:val="00306FED"/>
    <w:rsid w:val="00307181"/>
    <w:rsid w:val="00307299"/>
    <w:rsid w:val="00307463"/>
    <w:rsid w:val="00307580"/>
    <w:rsid w:val="003077E4"/>
    <w:rsid w:val="00307A90"/>
    <w:rsid w:val="003100B8"/>
    <w:rsid w:val="0031042B"/>
    <w:rsid w:val="003106F0"/>
    <w:rsid w:val="00310B9B"/>
    <w:rsid w:val="00310C3F"/>
    <w:rsid w:val="003112D5"/>
    <w:rsid w:val="003115FA"/>
    <w:rsid w:val="0031161D"/>
    <w:rsid w:val="00311783"/>
    <w:rsid w:val="003121DA"/>
    <w:rsid w:val="003121FC"/>
    <w:rsid w:val="00312291"/>
    <w:rsid w:val="003125E9"/>
    <w:rsid w:val="0031272E"/>
    <w:rsid w:val="0031295C"/>
    <w:rsid w:val="003129C2"/>
    <w:rsid w:val="00312B34"/>
    <w:rsid w:val="0031347C"/>
    <w:rsid w:val="003135C7"/>
    <w:rsid w:val="00313847"/>
    <w:rsid w:val="00313B0E"/>
    <w:rsid w:val="00313BB6"/>
    <w:rsid w:val="00313E8E"/>
    <w:rsid w:val="00313FF9"/>
    <w:rsid w:val="003140D2"/>
    <w:rsid w:val="00314979"/>
    <w:rsid w:val="00314B77"/>
    <w:rsid w:val="00314DE3"/>
    <w:rsid w:val="00314E47"/>
    <w:rsid w:val="0031545D"/>
    <w:rsid w:val="00315508"/>
    <w:rsid w:val="0031581A"/>
    <w:rsid w:val="003158FE"/>
    <w:rsid w:val="00315B04"/>
    <w:rsid w:val="00315E7D"/>
    <w:rsid w:val="00316B7B"/>
    <w:rsid w:val="00316D4F"/>
    <w:rsid w:val="00316D80"/>
    <w:rsid w:val="00316F73"/>
    <w:rsid w:val="00317714"/>
    <w:rsid w:val="00317B62"/>
    <w:rsid w:val="003200D4"/>
    <w:rsid w:val="00320105"/>
    <w:rsid w:val="0032037B"/>
    <w:rsid w:val="00320A17"/>
    <w:rsid w:val="00320AB9"/>
    <w:rsid w:val="00320D57"/>
    <w:rsid w:val="00320E7B"/>
    <w:rsid w:val="003212A2"/>
    <w:rsid w:val="003217AE"/>
    <w:rsid w:val="00321B47"/>
    <w:rsid w:val="00321C08"/>
    <w:rsid w:val="00321CBE"/>
    <w:rsid w:val="00322846"/>
    <w:rsid w:val="00322DA9"/>
    <w:rsid w:val="00323357"/>
    <w:rsid w:val="0032335B"/>
    <w:rsid w:val="0032338C"/>
    <w:rsid w:val="00323914"/>
    <w:rsid w:val="00323AF6"/>
    <w:rsid w:val="003240CE"/>
    <w:rsid w:val="00324346"/>
    <w:rsid w:val="003243B8"/>
    <w:rsid w:val="003251C2"/>
    <w:rsid w:val="0032577A"/>
    <w:rsid w:val="00325A50"/>
    <w:rsid w:val="00325C57"/>
    <w:rsid w:val="00325ED7"/>
    <w:rsid w:val="00325FA0"/>
    <w:rsid w:val="0032629A"/>
    <w:rsid w:val="003263B3"/>
    <w:rsid w:val="00326630"/>
    <w:rsid w:val="0032692E"/>
    <w:rsid w:val="00326F1C"/>
    <w:rsid w:val="00326F62"/>
    <w:rsid w:val="00326FBC"/>
    <w:rsid w:val="00327162"/>
    <w:rsid w:val="00327FBE"/>
    <w:rsid w:val="00330104"/>
    <w:rsid w:val="003308F5"/>
    <w:rsid w:val="00330A0A"/>
    <w:rsid w:val="00330BB1"/>
    <w:rsid w:val="00330DE4"/>
    <w:rsid w:val="0033194F"/>
    <w:rsid w:val="00331A92"/>
    <w:rsid w:val="00331B4B"/>
    <w:rsid w:val="00331E6E"/>
    <w:rsid w:val="003328A9"/>
    <w:rsid w:val="00332A2A"/>
    <w:rsid w:val="00332B2B"/>
    <w:rsid w:val="00332F52"/>
    <w:rsid w:val="00333ED9"/>
    <w:rsid w:val="00334164"/>
    <w:rsid w:val="003345CC"/>
    <w:rsid w:val="00334B87"/>
    <w:rsid w:val="003351E5"/>
    <w:rsid w:val="0033561A"/>
    <w:rsid w:val="00335651"/>
    <w:rsid w:val="00335A39"/>
    <w:rsid w:val="00335BC8"/>
    <w:rsid w:val="00335BE5"/>
    <w:rsid w:val="00336062"/>
    <w:rsid w:val="00336180"/>
    <w:rsid w:val="00336317"/>
    <w:rsid w:val="00336E44"/>
    <w:rsid w:val="003371B5"/>
    <w:rsid w:val="00337787"/>
    <w:rsid w:val="00337A6B"/>
    <w:rsid w:val="00337B01"/>
    <w:rsid w:val="00337B36"/>
    <w:rsid w:val="00337BAF"/>
    <w:rsid w:val="00337F2D"/>
    <w:rsid w:val="003402FD"/>
    <w:rsid w:val="00340341"/>
    <w:rsid w:val="0034097B"/>
    <w:rsid w:val="003409DF"/>
    <w:rsid w:val="00340B02"/>
    <w:rsid w:val="00340CF5"/>
    <w:rsid w:val="00340D64"/>
    <w:rsid w:val="00340F5B"/>
    <w:rsid w:val="00341543"/>
    <w:rsid w:val="003415CE"/>
    <w:rsid w:val="003415E1"/>
    <w:rsid w:val="003416DA"/>
    <w:rsid w:val="003416F5"/>
    <w:rsid w:val="003417B6"/>
    <w:rsid w:val="003417CB"/>
    <w:rsid w:val="00341BC1"/>
    <w:rsid w:val="00341D05"/>
    <w:rsid w:val="00342185"/>
    <w:rsid w:val="003424E2"/>
    <w:rsid w:val="003426C0"/>
    <w:rsid w:val="003435A9"/>
    <w:rsid w:val="00343788"/>
    <w:rsid w:val="0034386A"/>
    <w:rsid w:val="00343BA2"/>
    <w:rsid w:val="00343C25"/>
    <w:rsid w:val="00343FC6"/>
    <w:rsid w:val="0034462C"/>
    <w:rsid w:val="00344649"/>
    <w:rsid w:val="003452B1"/>
    <w:rsid w:val="00345438"/>
    <w:rsid w:val="00345496"/>
    <w:rsid w:val="00345536"/>
    <w:rsid w:val="00345596"/>
    <w:rsid w:val="00345808"/>
    <w:rsid w:val="00345BCF"/>
    <w:rsid w:val="00345E7B"/>
    <w:rsid w:val="0034610C"/>
    <w:rsid w:val="00346242"/>
    <w:rsid w:val="003466F9"/>
    <w:rsid w:val="00346EAB"/>
    <w:rsid w:val="0034741F"/>
    <w:rsid w:val="00347532"/>
    <w:rsid w:val="003477A3"/>
    <w:rsid w:val="00347854"/>
    <w:rsid w:val="00347EFD"/>
    <w:rsid w:val="00350092"/>
    <w:rsid w:val="00350467"/>
    <w:rsid w:val="003505CD"/>
    <w:rsid w:val="00350DA6"/>
    <w:rsid w:val="00351254"/>
    <w:rsid w:val="003515F9"/>
    <w:rsid w:val="0035172E"/>
    <w:rsid w:val="003519AD"/>
    <w:rsid w:val="003519EA"/>
    <w:rsid w:val="00351B7A"/>
    <w:rsid w:val="00351BA1"/>
    <w:rsid w:val="00351C07"/>
    <w:rsid w:val="00351D40"/>
    <w:rsid w:val="00351E0E"/>
    <w:rsid w:val="00351E13"/>
    <w:rsid w:val="00351FC0"/>
    <w:rsid w:val="003524C5"/>
    <w:rsid w:val="00352896"/>
    <w:rsid w:val="00352BB5"/>
    <w:rsid w:val="00352DF9"/>
    <w:rsid w:val="00352E7B"/>
    <w:rsid w:val="00352FA4"/>
    <w:rsid w:val="00352FEE"/>
    <w:rsid w:val="003535CB"/>
    <w:rsid w:val="00353702"/>
    <w:rsid w:val="003538C2"/>
    <w:rsid w:val="00354377"/>
    <w:rsid w:val="00354517"/>
    <w:rsid w:val="003545B4"/>
    <w:rsid w:val="003546F8"/>
    <w:rsid w:val="00354839"/>
    <w:rsid w:val="00354914"/>
    <w:rsid w:val="00354B4E"/>
    <w:rsid w:val="00354B96"/>
    <w:rsid w:val="00354E01"/>
    <w:rsid w:val="00354EB4"/>
    <w:rsid w:val="0035506B"/>
    <w:rsid w:val="00355B46"/>
    <w:rsid w:val="00355B78"/>
    <w:rsid w:val="00355BBA"/>
    <w:rsid w:val="00355CC0"/>
    <w:rsid w:val="00355EF8"/>
    <w:rsid w:val="00356322"/>
    <w:rsid w:val="0035634D"/>
    <w:rsid w:val="00356808"/>
    <w:rsid w:val="003569D6"/>
    <w:rsid w:val="003569E5"/>
    <w:rsid w:val="00356D29"/>
    <w:rsid w:val="00356D9F"/>
    <w:rsid w:val="00356FCD"/>
    <w:rsid w:val="003571C2"/>
    <w:rsid w:val="0035758E"/>
    <w:rsid w:val="00357632"/>
    <w:rsid w:val="00357B54"/>
    <w:rsid w:val="00360076"/>
    <w:rsid w:val="00360199"/>
    <w:rsid w:val="00360301"/>
    <w:rsid w:val="00360C23"/>
    <w:rsid w:val="00360CE6"/>
    <w:rsid w:val="00360E02"/>
    <w:rsid w:val="00361C05"/>
    <w:rsid w:val="00361D47"/>
    <w:rsid w:val="00361E04"/>
    <w:rsid w:val="00361ED4"/>
    <w:rsid w:val="003626AF"/>
    <w:rsid w:val="00362761"/>
    <w:rsid w:val="00362D4E"/>
    <w:rsid w:val="00363208"/>
    <w:rsid w:val="00363497"/>
    <w:rsid w:val="00363A32"/>
    <w:rsid w:val="00363AB9"/>
    <w:rsid w:val="00363C16"/>
    <w:rsid w:val="00363D94"/>
    <w:rsid w:val="00363DFD"/>
    <w:rsid w:val="003640A7"/>
    <w:rsid w:val="0036411E"/>
    <w:rsid w:val="0036479B"/>
    <w:rsid w:val="00364A1A"/>
    <w:rsid w:val="00365447"/>
    <w:rsid w:val="0036599D"/>
    <w:rsid w:val="00365BED"/>
    <w:rsid w:val="0036667E"/>
    <w:rsid w:val="00366799"/>
    <w:rsid w:val="00367597"/>
    <w:rsid w:val="003677C8"/>
    <w:rsid w:val="0036794E"/>
    <w:rsid w:val="00367CDA"/>
    <w:rsid w:val="00367E53"/>
    <w:rsid w:val="003702BA"/>
    <w:rsid w:val="0037030C"/>
    <w:rsid w:val="00370385"/>
    <w:rsid w:val="003703C7"/>
    <w:rsid w:val="003704DB"/>
    <w:rsid w:val="00370517"/>
    <w:rsid w:val="00370CD2"/>
    <w:rsid w:val="00371164"/>
    <w:rsid w:val="003713F6"/>
    <w:rsid w:val="00371526"/>
    <w:rsid w:val="00371690"/>
    <w:rsid w:val="0037176E"/>
    <w:rsid w:val="00371B8D"/>
    <w:rsid w:val="00371FF0"/>
    <w:rsid w:val="00372051"/>
    <w:rsid w:val="00372163"/>
    <w:rsid w:val="00372297"/>
    <w:rsid w:val="003722A5"/>
    <w:rsid w:val="00372507"/>
    <w:rsid w:val="003727B5"/>
    <w:rsid w:val="003728E6"/>
    <w:rsid w:val="00372B2E"/>
    <w:rsid w:val="00372B6B"/>
    <w:rsid w:val="00373525"/>
    <w:rsid w:val="003735A0"/>
    <w:rsid w:val="0037369A"/>
    <w:rsid w:val="00373FB6"/>
    <w:rsid w:val="00374102"/>
    <w:rsid w:val="0037441C"/>
    <w:rsid w:val="00374B2B"/>
    <w:rsid w:val="00374BCE"/>
    <w:rsid w:val="00374D3A"/>
    <w:rsid w:val="00374E3F"/>
    <w:rsid w:val="003754FE"/>
    <w:rsid w:val="003756DF"/>
    <w:rsid w:val="00375780"/>
    <w:rsid w:val="00375D06"/>
    <w:rsid w:val="00375F68"/>
    <w:rsid w:val="00376626"/>
    <w:rsid w:val="0037693B"/>
    <w:rsid w:val="0037705C"/>
    <w:rsid w:val="00377090"/>
    <w:rsid w:val="003776F3"/>
    <w:rsid w:val="00380365"/>
    <w:rsid w:val="00380623"/>
    <w:rsid w:val="00380861"/>
    <w:rsid w:val="0038146C"/>
    <w:rsid w:val="00381669"/>
    <w:rsid w:val="0038174C"/>
    <w:rsid w:val="00381CEF"/>
    <w:rsid w:val="00381D62"/>
    <w:rsid w:val="00382218"/>
    <w:rsid w:val="0038233B"/>
    <w:rsid w:val="003823AC"/>
    <w:rsid w:val="00382406"/>
    <w:rsid w:val="00382609"/>
    <w:rsid w:val="00382731"/>
    <w:rsid w:val="00382ACD"/>
    <w:rsid w:val="00383139"/>
    <w:rsid w:val="00383AD6"/>
    <w:rsid w:val="00383B65"/>
    <w:rsid w:val="00383C5D"/>
    <w:rsid w:val="00383D4E"/>
    <w:rsid w:val="00383FB6"/>
    <w:rsid w:val="00384953"/>
    <w:rsid w:val="00384B26"/>
    <w:rsid w:val="00384B27"/>
    <w:rsid w:val="00384BBC"/>
    <w:rsid w:val="00384DFA"/>
    <w:rsid w:val="00384EEB"/>
    <w:rsid w:val="003853A4"/>
    <w:rsid w:val="003854A7"/>
    <w:rsid w:val="00385614"/>
    <w:rsid w:val="003859AA"/>
    <w:rsid w:val="00385D49"/>
    <w:rsid w:val="00385DC5"/>
    <w:rsid w:val="00386124"/>
    <w:rsid w:val="00386174"/>
    <w:rsid w:val="003863FE"/>
    <w:rsid w:val="003864D5"/>
    <w:rsid w:val="0038650C"/>
    <w:rsid w:val="00386581"/>
    <w:rsid w:val="00386B4E"/>
    <w:rsid w:val="00387097"/>
    <w:rsid w:val="00387266"/>
    <w:rsid w:val="0038780F"/>
    <w:rsid w:val="003879BC"/>
    <w:rsid w:val="00387A2D"/>
    <w:rsid w:val="00387D22"/>
    <w:rsid w:val="00387D95"/>
    <w:rsid w:val="00390202"/>
    <w:rsid w:val="0039021A"/>
    <w:rsid w:val="003903D8"/>
    <w:rsid w:val="00390567"/>
    <w:rsid w:val="003905C7"/>
    <w:rsid w:val="00390664"/>
    <w:rsid w:val="0039066F"/>
    <w:rsid w:val="0039080E"/>
    <w:rsid w:val="00390B84"/>
    <w:rsid w:val="00391689"/>
    <w:rsid w:val="003920E0"/>
    <w:rsid w:val="00392284"/>
    <w:rsid w:val="003922EE"/>
    <w:rsid w:val="00392547"/>
    <w:rsid w:val="00392AAC"/>
    <w:rsid w:val="00392BFF"/>
    <w:rsid w:val="00392C5B"/>
    <w:rsid w:val="00392CD1"/>
    <w:rsid w:val="00393227"/>
    <w:rsid w:val="0039370F"/>
    <w:rsid w:val="00393848"/>
    <w:rsid w:val="00393957"/>
    <w:rsid w:val="00393BFC"/>
    <w:rsid w:val="00393DB4"/>
    <w:rsid w:val="00394074"/>
    <w:rsid w:val="003941E5"/>
    <w:rsid w:val="0039487A"/>
    <w:rsid w:val="003948D2"/>
    <w:rsid w:val="00394BB6"/>
    <w:rsid w:val="003951C4"/>
    <w:rsid w:val="0039528B"/>
    <w:rsid w:val="00395380"/>
    <w:rsid w:val="0039569C"/>
    <w:rsid w:val="0039582C"/>
    <w:rsid w:val="003958E7"/>
    <w:rsid w:val="003959BD"/>
    <w:rsid w:val="003966F6"/>
    <w:rsid w:val="0039677D"/>
    <w:rsid w:val="00396AC6"/>
    <w:rsid w:val="00396ADA"/>
    <w:rsid w:val="00396B4D"/>
    <w:rsid w:val="00396E64"/>
    <w:rsid w:val="003977EB"/>
    <w:rsid w:val="00397968"/>
    <w:rsid w:val="00397CF3"/>
    <w:rsid w:val="00397D9A"/>
    <w:rsid w:val="003A0087"/>
    <w:rsid w:val="003A018E"/>
    <w:rsid w:val="003A03B4"/>
    <w:rsid w:val="003A0415"/>
    <w:rsid w:val="003A0660"/>
    <w:rsid w:val="003A088A"/>
    <w:rsid w:val="003A0B96"/>
    <w:rsid w:val="003A0D52"/>
    <w:rsid w:val="003A114F"/>
    <w:rsid w:val="003A259B"/>
    <w:rsid w:val="003A2629"/>
    <w:rsid w:val="003A2725"/>
    <w:rsid w:val="003A29CC"/>
    <w:rsid w:val="003A2B81"/>
    <w:rsid w:val="003A2E8B"/>
    <w:rsid w:val="003A2ED1"/>
    <w:rsid w:val="003A2FCF"/>
    <w:rsid w:val="003A34D6"/>
    <w:rsid w:val="003A3740"/>
    <w:rsid w:val="003A3AD3"/>
    <w:rsid w:val="003A3BC6"/>
    <w:rsid w:val="003A3E0F"/>
    <w:rsid w:val="003A404B"/>
    <w:rsid w:val="003A4107"/>
    <w:rsid w:val="003A46A7"/>
    <w:rsid w:val="003A4799"/>
    <w:rsid w:val="003A48B0"/>
    <w:rsid w:val="003A4C15"/>
    <w:rsid w:val="003A4C47"/>
    <w:rsid w:val="003A4E4A"/>
    <w:rsid w:val="003A4F7B"/>
    <w:rsid w:val="003A503C"/>
    <w:rsid w:val="003A5298"/>
    <w:rsid w:val="003A53E7"/>
    <w:rsid w:val="003A5582"/>
    <w:rsid w:val="003A56D4"/>
    <w:rsid w:val="003A5AD4"/>
    <w:rsid w:val="003A5C86"/>
    <w:rsid w:val="003A5C93"/>
    <w:rsid w:val="003A5D45"/>
    <w:rsid w:val="003A63A3"/>
    <w:rsid w:val="003A665A"/>
    <w:rsid w:val="003A6724"/>
    <w:rsid w:val="003A6873"/>
    <w:rsid w:val="003A6E1A"/>
    <w:rsid w:val="003A77D9"/>
    <w:rsid w:val="003A7821"/>
    <w:rsid w:val="003B0437"/>
    <w:rsid w:val="003B04CC"/>
    <w:rsid w:val="003B04D8"/>
    <w:rsid w:val="003B05A7"/>
    <w:rsid w:val="003B0AD7"/>
    <w:rsid w:val="003B0BA1"/>
    <w:rsid w:val="003B0C5F"/>
    <w:rsid w:val="003B0DFF"/>
    <w:rsid w:val="003B0E58"/>
    <w:rsid w:val="003B11E8"/>
    <w:rsid w:val="003B13E6"/>
    <w:rsid w:val="003B19EA"/>
    <w:rsid w:val="003B1C75"/>
    <w:rsid w:val="003B1D32"/>
    <w:rsid w:val="003B240B"/>
    <w:rsid w:val="003B2527"/>
    <w:rsid w:val="003B29D1"/>
    <w:rsid w:val="003B2A6B"/>
    <w:rsid w:val="003B2A78"/>
    <w:rsid w:val="003B2D39"/>
    <w:rsid w:val="003B2EC4"/>
    <w:rsid w:val="003B2EF4"/>
    <w:rsid w:val="003B2F04"/>
    <w:rsid w:val="003B315D"/>
    <w:rsid w:val="003B3168"/>
    <w:rsid w:val="003B31A9"/>
    <w:rsid w:val="003B32DA"/>
    <w:rsid w:val="003B3348"/>
    <w:rsid w:val="003B387E"/>
    <w:rsid w:val="003B4549"/>
    <w:rsid w:val="003B4599"/>
    <w:rsid w:val="003B4776"/>
    <w:rsid w:val="003B4D01"/>
    <w:rsid w:val="003B5094"/>
    <w:rsid w:val="003B530C"/>
    <w:rsid w:val="003B5462"/>
    <w:rsid w:val="003B54B1"/>
    <w:rsid w:val="003B5BB8"/>
    <w:rsid w:val="003B5C20"/>
    <w:rsid w:val="003B5C50"/>
    <w:rsid w:val="003B5C89"/>
    <w:rsid w:val="003B5F9F"/>
    <w:rsid w:val="003B60DB"/>
    <w:rsid w:val="003B617A"/>
    <w:rsid w:val="003B61B7"/>
    <w:rsid w:val="003B64E6"/>
    <w:rsid w:val="003B681E"/>
    <w:rsid w:val="003B691B"/>
    <w:rsid w:val="003B6DC0"/>
    <w:rsid w:val="003B6E40"/>
    <w:rsid w:val="003B7131"/>
    <w:rsid w:val="003B71F5"/>
    <w:rsid w:val="003B723A"/>
    <w:rsid w:val="003B74BE"/>
    <w:rsid w:val="003B7584"/>
    <w:rsid w:val="003B772E"/>
    <w:rsid w:val="003B7775"/>
    <w:rsid w:val="003B7A32"/>
    <w:rsid w:val="003B7DE7"/>
    <w:rsid w:val="003C04FE"/>
    <w:rsid w:val="003C0592"/>
    <w:rsid w:val="003C05C5"/>
    <w:rsid w:val="003C0719"/>
    <w:rsid w:val="003C07BB"/>
    <w:rsid w:val="003C0A8B"/>
    <w:rsid w:val="003C0AF6"/>
    <w:rsid w:val="003C0CC0"/>
    <w:rsid w:val="003C0DB9"/>
    <w:rsid w:val="003C113B"/>
    <w:rsid w:val="003C11EA"/>
    <w:rsid w:val="003C13DD"/>
    <w:rsid w:val="003C16B5"/>
    <w:rsid w:val="003C16B7"/>
    <w:rsid w:val="003C16FC"/>
    <w:rsid w:val="003C1800"/>
    <w:rsid w:val="003C1810"/>
    <w:rsid w:val="003C1AE2"/>
    <w:rsid w:val="003C1C1C"/>
    <w:rsid w:val="003C1DC0"/>
    <w:rsid w:val="003C1DED"/>
    <w:rsid w:val="003C216C"/>
    <w:rsid w:val="003C228D"/>
    <w:rsid w:val="003C2733"/>
    <w:rsid w:val="003C2843"/>
    <w:rsid w:val="003C2EC2"/>
    <w:rsid w:val="003C2F15"/>
    <w:rsid w:val="003C2FFF"/>
    <w:rsid w:val="003C3004"/>
    <w:rsid w:val="003C3248"/>
    <w:rsid w:val="003C3599"/>
    <w:rsid w:val="003C37E5"/>
    <w:rsid w:val="003C3F2B"/>
    <w:rsid w:val="003C42F4"/>
    <w:rsid w:val="003C44CF"/>
    <w:rsid w:val="003C482E"/>
    <w:rsid w:val="003C4915"/>
    <w:rsid w:val="003C4935"/>
    <w:rsid w:val="003C49E3"/>
    <w:rsid w:val="003C4CFE"/>
    <w:rsid w:val="003C4F8F"/>
    <w:rsid w:val="003C501B"/>
    <w:rsid w:val="003C54A7"/>
    <w:rsid w:val="003C5530"/>
    <w:rsid w:val="003C595E"/>
    <w:rsid w:val="003C5D2B"/>
    <w:rsid w:val="003C5EC0"/>
    <w:rsid w:val="003C5F64"/>
    <w:rsid w:val="003C6026"/>
    <w:rsid w:val="003C6A64"/>
    <w:rsid w:val="003C6B59"/>
    <w:rsid w:val="003C7294"/>
    <w:rsid w:val="003C72D5"/>
    <w:rsid w:val="003C758C"/>
    <w:rsid w:val="003C759E"/>
    <w:rsid w:val="003C7605"/>
    <w:rsid w:val="003C7AE8"/>
    <w:rsid w:val="003D00A5"/>
    <w:rsid w:val="003D0166"/>
    <w:rsid w:val="003D01C6"/>
    <w:rsid w:val="003D020A"/>
    <w:rsid w:val="003D0D11"/>
    <w:rsid w:val="003D0D7D"/>
    <w:rsid w:val="003D0ECA"/>
    <w:rsid w:val="003D1028"/>
    <w:rsid w:val="003D10C3"/>
    <w:rsid w:val="003D1180"/>
    <w:rsid w:val="003D13DE"/>
    <w:rsid w:val="003D1566"/>
    <w:rsid w:val="003D175F"/>
    <w:rsid w:val="003D1A0E"/>
    <w:rsid w:val="003D1B1E"/>
    <w:rsid w:val="003D1FAD"/>
    <w:rsid w:val="003D2273"/>
    <w:rsid w:val="003D28CA"/>
    <w:rsid w:val="003D299E"/>
    <w:rsid w:val="003D2F62"/>
    <w:rsid w:val="003D3112"/>
    <w:rsid w:val="003D3CA0"/>
    <w:rsid w:val="003D3EFB"/>
    <w:rsid w:val="003D4153"/>
    <w:rsid w:val="003D41B5"/>
    <w:rsid w:val="003D444E"/>
    <w:rsid w:val="003D4701"/>
    <w:rsid w:val="003D52C3"/>
    <w:rsid w:val="003D55E1"/>
    <w:rsid w:val="003D56EE"/>
    <w:rsid w:val="003D57F5"/>
    <w:rsid w:val="003D5A4D"/>
    <w:rsid w:val="003D5BA7"/>
    <w:rsid w:val="003D5FBC"/>
    <w:rsid w:val="003D6299"/>
    <w:rsid w:val="003D641A"/>
    <w:rsid w:val="003D6485"/>
    <w:rsid w:val="003D65E7"/>
    <w:rsid w:val="003D6B0C"/>
    <w:rsid w:val="003D7016"/>
    <w:rsid w:val="003D70EB"/>
    <w:rsid w:val="003D7172"/>
    <w:rsid w:val="003D71EB"/>
    <w:rsid w:val="003D7653"/>
    <w:rsid w:val="003D7BB3"/>
    <w:rsid w:val="003D7E78"/>
    <w:rsid w:val="003E02C3"/>
    <w:rsid w:val="003E030E"/>
    <w:rsid w:val="003E03C1"/>
    <w:rsid w:val="003E04A7"/>
    <w:rsid w:val="003E0510"/>
    <w:rsid w:val="003E06BA"/>
    <w:rsid w:val="003E0806"/>
    <w:rsid w:val="003E0BFC"/>
    <w:rsid w:val="003E14ED"/>
    <w:rsid w:val="003E1584"/>
    <w:rsid w:val="003E1664"/>
    <w:rsid w:val="003E16FD"/>
    <w:rsid w:val="003E18F5"/>
    <w:rsid w:val="003E1A0E"/>
    <w:rsid w:val="003E22CB"/>
    <w:rsid w:val="003E2343"/>
    <w:rsid w:val="003E2E73"/>
    <w:rsid w:val="003E31C0"/>
    <w:rsid w:val="003E3340"/>
    <w:rsid w:val="003E3BC2"/>
    <w:rsid w:val="003E3F14"/>
    <w:rsid w:val="003E406B"/>
    <w:rsid w:val="003E43B9"/>
    <w:rsid w:val="003E4774"/>
    <w:rsid w:val="003E4902"/>
    <w:rsid w:val="003E495A"/>
    <w:rsid w:val="003E4A06"/>
    <w:rsid w:val="003E4B15"/>
    <w:rsid w:val="003E4D07"/>
    <w:rsid w:val="003E4F4B"/>
    <w:rsid w:val="003E4F96"/>
    <w:rsid w:val="003E5285"/>
    <w:rsid w:val="003E57CF"/>
    <w:rsid w:val="003E5CCA"/>
    <w:rsid w:val="003E5D40"/>
    <w:rsid w:val="003E5DB1"/>
    <w:rsid w:val="003E5E57"/>
    <w:rsid w:val="003E5ED4"/>
    <w:rsid w:val="003E5F97"/>
    <w:rsid w:val="003E6210"/>
    <w:rsid w:val="003E628A"/>
    <w:rsid w:val="003E6498"/>
    <w:rsid w:val="003E650C"/>
    <w:rsid w:val="003E671E"/>
    <w:rsid w:val="003E67DA"/>
    <w:rsid w:val="003E6A2E"/>
    <w:rsid w:val="003E6CB8"/>
    <w:rsid w:val="003E6CCC"/>
    <w:rsid w:val="003E7773"/>
    <w:rsid w:val="003E7925"/>
    <w:rsid w:val="003E7D1F"/>
    <w:rsid w:val="003F0367"/>
    <w:rsid w:val="003F04DF"/>
    <w:rsid w:val="003F05AB"/>
    <w:rsid w:val="003F085E"/>
    <w:rsid w:val="003F09BF"/>
    <w:rsid w:val="003F09FC"/>
    <w:rsid w:val="003F0BB5"/>
    <w:rsid w:val="003F115E"/>
    <w:rsid w:val="003F142E"/>
    <w:rsid w:val="003F14C2"/>
    <w:rsid w:val="003F19FE"/>
    <w:rsid w:val="003F1D53"/>
    <w:rsid w:val="003F1E8D"/>
    <w:rsid w:val="003F2210"/>
    <w:rsid w:val="003F2235"/>
    <w:rsid w:val="003F227B"/>
    <w:rsid w:val="003F22C7"/>
    <w:rsid w:val="003F243A"/>
    <w:rsid w:val="003F25E5"/>
    <w:rsid w:val="003F276A"/>
    <w:rsid w:val="003F2D53"/>
    <w:rsid w:val="003F346D"/>
    <w:rsid w:val="003F3523"/>
    <w:rsid w:val="003F367F"/>
    <w:rsid w:val="003F3A21"/>
    <w:rsid w:val="003F4072"/>
    <w:rsid w:val="003F40FE"/>
    <w:rsid w:val="003F42B9"/>
    <w:rsid w:val="003F4303"/>
    <w:rsid w:val="003F44FC"/>
    <w:rsid w:val="003F4520"/>
    <w:rsid w:val="003F4534"/>
    <w:rsid w:val="003F4541"/>
    <w:rsid w:val="003F464F"/>
    <w:rsid w:val="003F4A13"/>
    <w:rsid w:val="003F4BE8"/>
    <w:rsid w:val="003F52B8"/>
    <w:rsid w:val="003F52F9"/>
    <w:rsid w:val="003F535C"/>
    <w:rsid w:val="003F5701"/>
    <w:rsid w:val="003F58C8"/>
    <w:rsid w:val="003F58CE"/>
    <w:rsid w:val="003F5B18"/>
    <w:rsid w:val="003F5C4D"/>
    <w:rsid w:val="003F62D9"/>
    <w:rsid w:val="003F66E6"/>
    <w:rsid w:val="003F7196"/>
    <w:rsid w:val="003F7369"/>
    <w:rsid w:val="003F752C"/>
    <w:rsid w:val="003F7B42"/>
    <w:rsid w:val="003F7C52"/>
    <w:rsid w:val="0040049F"/>
    <w:rsid w:val="00400762"/>
    <w:rsid w:val="004008AF"/>
    <w:rsid w:val="00400A4C"/>
    <w:rsid w:val="00400B5F"/>
    <w:rsid w:val="004013EF"/>
    <w:rsid w:val="00401459"/>
    <w:rsid w:val="004015D8"/>
    <w:rsid w:val="00401781"/>
    <w:rsid w:val="00401DBF"/>
    <w:rsid w:val="00401E9E"/>
    <w:rsid w:val="004021D6"/>
    <w:rsid w:val="00402206"/>
    <w:rsid w:val="0040220B"/>
    <w:rsid w:val="0040269A"/>
    <w:rsid w:val="004028BC"/>
    <w:rsid w:val="00402915"/>
    <w:rsid w:val="00402EBA"/>
    <w:rsid w:val="00403042"/>
    <w:rsid w:val="0040315C"/>
    <w:rsid w:val="004033D9"/>
    <w:rsid w:val="00404956"/>
    <w:rsid w:val="00404A94"/>
    <w:rsid w:val="00404AF1"/>
    <w:rsid w:val="00404DF5"/>
    <w:rsid w:val="00404EAF"/>
    <w:rsid w:val="00405477"/>
    <w:rsid w:val="0040551F"/>
    <w:rsid w:val="00405853"/>
    <w:rsid w:val="00405969"/>
    <w:rsid w:val="00405ECB"/>
    <w:rsid w:val="0040601C"/>
    <w:rsid w:val="004062D2"/>
    <w:rsid w:val="004068BA"/>
    <w:rsid w:val="004073BB"/>
    <w:rsid w:val="004075F4"/>
    <w:rsid w:val="0040771F"/>
    <w:rsid w:val="00407732"/>
    <w:rsid w:val="00407943"/>
    <w:rsid w:val="00410325"/>
    <w:rsid w:val="00410503"/>
    <w:rsid w:val="00410FD5"/>
    <w:rsid w:val="004111F7"/>
    <w:rsid w:val="004113F6"/>
    <w:rsid w:val="0041141E"/>
    <w:rsid w:val="004114C0"/>
    <w:rsid w:val="00411795"/>
    <w:rsid w:val="00411DA9"/>
    <w:rsid w:val="00411F69"/>
    <w:rsid w:val="00411F75"/>
    <w:rsid w:val="00412108"/>
    <w:rsid w:val="0041217D"/>
    <w:rsid w:val="004125C6"/>
    <w:rsid w:val="00412626"/>
    <w:rsid w:val="0041275F"/>
    <w:rsid w:val="00412906"/>
    <w:rsid w:val="00412D5C"/>
    <w:rsid w:val="00412DD5"/>
    <w:rsid w:val="00413926"/>
    <w:rsid w:val="00413A7E"/>
    <w:rsid w:val="00413FC5"/>
    <w:rsid w:val="00414723"/>
    <w:rsid w:val="00414AA9"/>
    <w:rsid w:val="00414E38"/>
    <w:rsid w:val="00415163"/>
    <w:rsid w:val="004154A1"/>
    <w:rsid w:val="00415555"/>
    <w:rsid w:val="0041583F"/>
    <w:rsid w:val="00415BBC"/>
    <w:rsid w:val="00415E4D"/>
    <w:rsid w:val="00415F25"/>
    <w:rsid w:val="00416185"/>
    <w:rsid w:val="00416CE5"/>
    <w:rsid w:val="00417333"/>
    <w:rsid w:val="00417420"/>
    <w:rsid w:val="00417715"/>
    <w:rsid w:val="004178CC"/>
    <w:rsid w:val="00417BD5"/>
    <w:rsid w:val="00420457"/>
    <w:rsid w:val="00420DE6"/>
    <w:rsid w:val="00421821"/>
    <w:rsid w:val="004218B6"/>
    <w:rsid w:val="00421A89"/>
    <w:rsid w:val="00421DAF"/>
    <w:rsid w:val="00421EBC"/>
    <w:rsid w:val="00421F62"/>
    <w:rsid w:val="0042223A"/>
    <w:rsid w:val="004223BC"/>
    <w:rsid w:val="0042298D"/>
    <w:rsid w:val="0042304B"/>
    <w:rsid w:val="004231AD"/>
    <w:rsid w:val="0042328B"/>
    <w:rsid w:val="004232C3"/>
    <w:rsid w:val="004238CC"/>
    <w:rsid w:val="00423E59"/>
    <w:rsid w:val="00424084"/>
    <w:rsid w:val="0042412E"/>
    <w:rsid w:val="004241F2"/>
    <w:rsid w:val="00424597"/>
    <w:rsid w:val="00424A55"/>
    <w:rsid w:val="00424AE4"/>
    <w:rsid w:val="00424AF8"/>
    <w:rsid w:val="00424D0C"/>
    <w:rsid w:val="004250A9"/>
    <w:rsid w:val="00425275"/>
    <w:rsid w:val="00425309"/>
    <w:rsid w:val="0042582A"/>
    <w:rsid w:val="00425904"/>
    <w:rsid w:val="004264A5"/>
    <w:rsid w:val="00426DA8"/>
    <w:rsid w:val="00426DFA"/>
    <w:rsid w:val="00426ED6"/>
    <w:rsid w:val="00426F62"/>
    <w:rsid w:val="00426FFF"/>
    <w:rsid w:val="00427371"/>
    <w:rsid w:val="004273AD"/>
    <w:rsid w:val="004274CD"/>
    <w:rsid w:val="00427B0F"/>
    <w:rsid w:val="00427CE5"/>
    <w:rsid w:val="0043014D"/>
    <w:rsid w:val="00430210"/>
    <w:rsid w:val="00430296"/>
    <w:rsid w:val="004305AE"/>
    <w:rsid w:val="00430D30"/>
    <w:rsid w:val="00430FC9"/>
    <w:rsid w:val="00431356"/>
    <w:rsid w:val="004313DD"/>
    <w:rsid w:val="00431800"/>
    <w:rsid w:val="0043198B"/>
    <w:rsid w:val="00431A3A"/>
    <w:rsid w:val="00431D22"/>
    <w:rsid w:val="00431DF1"/>
    <w:rsid w:val="00431FD1"/>
    <w:rsid w:val="004328B4"/>
    <w:rsid w:val="00432928"/>
    <w:rsid w:val="00432D97"/>
    <w:rsid w:val="00432E8E"/>
    <w:rsid w:val="0043309C"/>
    <w:rsid w:val="0043313D"/>
    <w:rsid w:val="004332B1"/>
    <w:rsid w:val="00433541"/>
    <w:rsid w:val="004336EC"/>
    <w:rsid w:val="0043402F"/>
    <w:rsid w:val="0043406E"/>
    <w:rsid w:val="0043424E"/>
    <w:rsid w:val="004345CC"/>
    <w:rsid w:val="0043478E"/>
    <w:rsid w:val="004347A3"/>
    <w:rsid w:val="004348A1"/>
    <w:rsid w:val="00434944"/>
    <w:rsid w:val="00434E56"/>
    <w:rsid w:val="00434EB7"/>
    <w:rsid w:val="00435170"/>
    <w:rsid w:val="004356AC"/>
    <w:rsid w:val="004359BE"/>
    <w:rsid w:val="00435DFF"/>
    <w:rsid w:val="0043632A"/>
    <w:rsid w:val="0043645D"/>
    <w:rsid w:val="00436514"/>
    <w:rsid w:val="00436CAD"/>
    <w:rsid w:val="004373AC"/>
    <w:rsid w:val="004379AC"/>
    <w:rsid w:val="00437EB5"/>
    <w:rsid w:val="0044018C"/>
    <w:rsid w:val="004408D8"/>
    <w:rsid w:val="00440C72"/>
    <w:rsid w:val="00441617"/>
    <w:rsid w:val="00441910"/>
    <w:rsid w:val="00441979"/>
    <w:rsid w:val="00441B0F"/>
    <w:rsid w:val="00441B1E"/>
    <w:rsid w:val="00441C27"/>
    <w:rsid w:val="004423F7"/>
    <w:rsid w:val="00442480"/>
    <w:rsid w:val="00442530"/>
    <w:rsid w:val="00442808"/>
    <w:rsid w:val="004428DC"/>
    <w:rsid w:val="00442964"/>
    <w:rsid w:val="00442A49"/>
    <w:rsid w:val="00443594"/>
    <w:rsid w:val="00443728"/>
    <w:rsid w:val="00443788"/>
    <w:rsid w:val="0044380B"/>
    <w:rsid w:val="00443D3E"/>
    <w:rsid w:val="00443E52"/>
    <w:rsid w:val="00443F44"/>
    <w:rsid w:val="00443F47"/>
    <w:rsid w:val="004440C8"/>
    <w:rsid w:val="004447FC"/>
    <w:rsid w:val="004448AD"/>
    <w:rsid w:val="00444B06"/>
    <w:rsid w:val="00445070"/>
    <w:rsid w:val="0044510B"/>
    <w:rsid w:val="0044555F"/>
    <w:rsid w:val="00445702"/>
    <w:rsid w:val="004458F9"/>
    <w:rsid w:val="00445AE1"/>
    <w:rsid w:val="00445BE4"/>
    <w:rsid w:val="00445E6A"/>
    <w:rsid w:val="00445ED3"/>
    <w:rsid w:val="00445F3D"/>
    <w:rsid w:val="00445F7D"/>
    <w:rsid w:val="00446087"/>
    <w:rsid w:val="0044613F"/>
    <w:rsid w:val="004461D0"/>
    <w:rsid w:val="00446315"/>
    <w:rsid w:val="00446392"/>
    <w:rsid w:val="00446451"/>
    <w:rsid w:val="004467A9"/>
    <w:rsid w:val="0044690B"/>
    <w:rsid w:val="00446971"/>
    <w:rsid w:val="00446BBE"/>
    <w:rsid w:val="004474B2"/>
    <w:rsid w:val="0044782C"/>
    <w:rsid w:val="00447AAE"/>
    <w:rsid w:val="00447FA0"/>
    <w:rsid w:val="0045002D"/>
    <w:rsid w:val="00450415"/>
    <w:rsid w:val="00450662"/>
    <w:rsid w:val="00450674"/>
    <w:rsid w:val="004506B4"/>
    <w:rsid w:val="00450760"/>
    <w:rsid w:val="00450933"/>
    <w:rsid w:val="0045093D"/>
    <w:rsid w:val="00450F22"/>
    <w:rsid w:val="0045125E"/>
    <w:rsid w:val="00451645"/>
    <w:rsid w:val="00451B0F"/>
    <w:rsid w:val="00451BED"/>
    <w:rsid w:val="0045231E"/>
    <w:rsid w:val="004523E9"/>
    <w:rsid w:val="004523F7"/>
    <w:rsid w:val="00452620"/>
    <w:rsid w:val="0045290F"/>
    <w:rsid w:val="004529CD"/>
    <w:rsid w:val="00452BBC"/>
    <w:rsid w:val="00452FF1"/>
    <w:rsid w:val="004536BF"/>
    <w:rsid w:val="00453B82"/>
    <w:rsid w:val="00453ED7"/>
    <w:rsid w:val="00453F43"/>
    <w:rsid w:val="004540B4"/>
    <w:rsid w:val="00454105"/>
    <w:rsid w:val="0045480A"/>
    <w:rsid w:val="00454AAC"/>
    <w:rsid w:val="00454B36"/>
    <w:rsid w:val="00454BFF"/>
    <w:rsid w:val="00454F8E"/>
    <w:rsid w:val="00455032"/>
    <w:rsid w:val="00455042"/>
    <w:rsid w:val="004555F5"/>
    <w:rsid w:val="004555F6"/>
    <w:rsid w:val="00455A0B"/>
    <w:rsid w:val="00455AB3"/>
    <w:rsid w:val="00455C8C"/>
    <w:rsid w:val="00455DDE"/>
    <w:rsid w:val="00456749"/>
    <w:rsid w:val="00456863"/>
    <w:rsid w:val="00456A2D"/>
    <w:rsid w:val="00456DFB"/>
    <w:rsid w:val="00456E5F"/>
    <w:rsid w:val="00457465"/>
    <w:rsid w:val="004574CB"/>
    <w:rsid w:val="0045750C"/>
    <w:rsid w:val="0045755F"/>
    <w:rsid w:val="00457A13"/>
    <w:rsid w:val="00457D9A"/>
    <w:rsid w:val="004604F7"/>
    <w:rsid w:val="00460690"/>
    <w:rsid w:val="0046071B"/>
    <w:rsid w:val="00460937"/>
    <w:rsid w:val="00460A49"/>
    <w:rsid w:val="00460EC0"/>
    <w:rsid w:val="00461090"/>
    <w:rsid w:val="0046115B"/>
    <w:rsid w:val="004615B5"/>
    <w:rsid w:val="00461A90"/>
    <w:rsid w:val="0046231E"/>
    <w:rsid w:val="0046235B"/>
    <w:rsid w:val="004623F3"/>
    <w:rsid w:val="00462653"/>
    <w:rsid w:val="00462778"/>
    <w:rsid w:val="004627A7"/>
    <w:rsid w:val="0046298A"/>
    <w:rsid w:val="00462CD6"/>
    <w:rsid w:val="00462E29"/>
    <w:rsid w:val="00462F62"/>
    <w:rsid w:val="00463084"/>
    <w:rsid w:val="00463366"/>
    <w:rsid w:val="0046338A"/>
    <w:rsid w:val="0046380D"/>
    <w:rsid w:val="00463946"/>
    <w:rsid w:val="004639AC"/>
    <w:rsid w:val="00463B3C"/>
    <w:rsid w:val="00463CBC"/>
    <w:rsid w:val="00463E5C"/>
    <w:rsid w:val="00463EC7"/>
    <w:rsid w:val="00463FE0"/>
    <w:rsid w:val="004640B7"/>
    <w:rsid w:val="004642DF"/>
    <w:rsid w:val="004644B3"/>
    <w:rsid w:val="004644E8"/>
    <w:rsid w:val="00464567"/>
    <w:rsid w:val="00464954"/>
    <w:rsid w:val="00464B83"/>
    <w:rsid w:val="00464BA7"/>
    <w:rsid w:val="00464F35"/>
    <w:rsid w:val="00464F6C"/>
    <w:rsid w:val="00465009"/>
    <w:rsid w:val="004650FF"/>
    <w:rsid w:val="0046548D"/>
    <w:rsid w:val="00465623"/>
    <w:rsid w:val="004659F6"/>
    <w:rsid w:val="00465C21"/>
    <w:rsid w:val="0046618F"/>
    <w:rsid w:val="00466211"/>
    <w:rsid w:val="00466593"/>
    <w:rsid w:val="00466953"/>
    <w:rsid w:val="00466B62"/>
    <w:rsid w:val="00466D6C"/>
    <w:rsid w:val="00466D7E"/>
    <w:rsid w:val="00466E41"/>
    <w:rsid w:val="00467694"/>
    <w:rsid w:val="0046784D"/>
    <w:rsid w:val="00467A7F"/>
    <w:rsid w:val="004707C6"/>
    <w:rsid w:val="004709CC"/>
    <w:rsid w:val="0047160A"/>
    <w:rsid w:val="004716A4"/>
    <w:rsid w:val="004718D1"/>
    <w:rsid w:val="0047198C"/>
    <w:rsid w:val="00471A02"/>
    <w:rsid w:val="00471D0D"/>
    <w:rsid w:val="004721DA"/>
    <w:rsid w:val="0047257F"/>
    <w:rsid w:val="00472713"/>
    <w:rsid w:val="0047287D"/>
    <w:rsid w:val="004731E7"/>
    <w:rsid w:val="00473205"/>
    <w:rsid w:val="0047328D"/>
    <w:rsid w:val="00473754"/>
    <w:rsid w:val="004739BE"/>
    <w:rsid w:val="004739C5"/>
    <w:rsid w:val="00473CCF"/>
    <w:rsid w:val="00473E1B"/>
    <w:rsid w:val="00473E84"/>
    <w:rsid w:val="004740BD"/>
    <w:rsid w:val="004744F7"/>
    <w:rsid w:val="00474559"/>
    <w:rsid w:val="00474E01"/>
    <w:rsid w:val="00475039"/>
    <w:rsid w:val="0047525D"/>
    <w:rsid w:val="00475621"/>
    <w:rsid w:val="00475A30"/>
    <w:rsid w:val="00475AFE"/>
    <w:rsid w:val="00475BA9"/>
    <w:rsid w:val="00475D68"/>
    <w:rsid w:val="00475FB7"/>
    <w:rsid w:val="0047664D"/>
    <w:rsid w:val="00477173"/>
    <w:rsid w:val="0047719F"/>
    <w:rsid w:val="004771E4"/>
    <w:rsid w:val="004772D2"/>
    <w:rsid w:val="00477873"/>
    <w:rsid w:val="00477917"/>
    <w:rsid w:val="00477952"/>
    <w:rsid w:val="00477D12"/>
    <w:rsid w:val="00480294"/>
    <w:rsid w:val="00480B55"/>
    <w:rsid w:val="00481026"/>
    <w:rsid w:val="004814DF"/>
    <w:rsid w:val="00481639"/>
    <w:rsid w:val="0048180E"/>
    <w:rsid w:val="00481EC5"/>
    <w:rsid w:val="004820CA"/>
    <w:rsid w:val="00482232"/>
    <w:rsid w:val="00482374"/>
    <w:rsid w:val="0048254F"/>
    <w:rsid w:val="0048255C"/>
    <w:rsid w:val="00482804"/>
    <w:rsid w:val="00482B47"/>
    <w:rsid w:val="00482CB0"/>
    <w:rsid w:val="00482FF7"/>
    <w:rsid w:val="0048323E"/>
    <w:rsid w:val="004836AA"/>
    <w:rsid w:val="004838E1"/>
    <w:rsid w:val="00483A34"/>
    <w:rsid w:val="00483CDC"/>
    <w:rsid w:val="00483DB0"/>
    <w:rsid w:val="0048429F"/>
    <w:rsid w:val="00484ADA"/>
    <w:rsid w:val="00484DC5"/>
    <w:rsid w:val="00484E63"/>
    <w:rsid w:val="00484FCE"/>
    <w:rsid w:val="00485675"/>
    <w:rsid w:val="004857E3"/>
    <w:rsid w:val="00485924"/>
    <w:rsid w:val="00485C65"/>
    <w:rsid w:val="00486057"/>
    <w:rsid w:val="004860B4"/>
    <w:rsid w:val="00486B8E"/>
    <w:rsid w:val="00486F12"/>
    <w:rsid w:val="00486F8D"/>
    <w:rsid w:val="004874D2"/>
    <w:rsid w:val="0048788D"/>
    <w:rsid w:val="00487B5E"/>
    <w:rsid w:val="00487C85"/>
    <w:rsid w:val="00487D8B"/>
    <w:rsid w:val="00487F18"/>
    <w:rsid w:val="00490132"/>
    <w:rsid w:val="004903F8"/>
    <w:rsid w:val="004906AA"/>
    <w:rsid w:val="00490D9A"/>
    <w:rsid w:val="00490DC4"/>
    <w:rsid w:val="004914C9"/>
    <w:rsid w:val="004917D4"/>
    <w:rsid w:val="00491E1D"/>
    <w:rsid w:val="0049240F"/>
    <w:rsid w:val="0049246B"/>
    <w:rsid w:val="00492862"/>
    <w:rsid w:val="00492E72"/>
    <w:rsid w:val="00492E8C"/>
    <w:rsid w:val="004936C6"/>
    <w:rsid w:val="00493F40"/>
    <w:rsid w:val="0049422F"/>
    <w:rsid w:val="0049466C"/>
    <w:rsid w:val="004946F6"/>
    <w:rsid w:val="00494705"/>
    <w:rsid w:val="00494B9D"/>
    <w:rsid w:val="00494E74"/>
    <w:rsid w:val="00494F64"/>
    <w:rsid w:val="00495902"/>
    <w:rsid w:val="00495A2C"/>
    <w:rsid w:val="004961A1"/>
    <w:rsid w:val="00496559"/>
    <w:rsid w:val="004965ED"/>
    <w:rsid w:val="004966F9"/>
    <w:rsid w:val="004968CA"/>
    <w:rsid w:val="00496E20"/>
    <w:rsid w:val="00496FB5"/>
    <w:rsid w:val="00497060"/>
    <w:rsid w:val="00497100"/>
    <w:rsid w:val="00497296"/>
    <w:rsid w:val="0049745D"/>
    <w:rsid w:val="00497B02"/>
    <w:rsid w:val="00497B9F"/>
    <w:rsid w:val="004A024A"/>
    <w:rsid w:val="004A0755"/>
    <w:rsid w:val="004A0EA6"/>
    <w:rsid w:val="004A126A"/>
    <w:rsid w:val="004A127F"/>
    <w:rsid w:val="004A17ED"/>
    <w:rsid w:val="004A1D83"/>
    <w:rsid w:val="004A1E08"/>
    <w:rsid w:val="004A1E78"/>
    <w:rsid w:val="004A2084"/>
    <w:rsid w:val="004A20D8"/>
    <w:rsid w:val="004A27CA"/>
    <w:rsid w:val="004A2892"/>
    <w:rsid w:val="004A29D7"/>
    <w:rsid w:val="004A2B24"/>
    <w:rsid w:val="004A30A8"/>
    <w:rsid w:val="004A3371"/>
    <w:rsid w:val="004A3702"/>
    <w:rsid w:val="004A386A"/>
    <w:rsid w:val="004A3870"/>
    <w:rsid w:val="004A39FC"/>
    <w:rsid w:val="004A3A49"/>
    <w:rsid w:val="004A3A5F"/>
    <w:rsid w:val="004A3C02"/>
    <w:rsid w:val="004A3E98"/>
    <w:rsid w:val="004A4375"/>
    <w:rsid w:val="004A43DA"/>
    <w:rsid w:val="004A4430"/>
    <w:rsid w:val="004A4555"/>
    <w:rsid w:val="004A4C7F"/>
    <w:rsid w:val="004A4DA1"/>
    <w:rsid w:val="004A4E9A"/>
    <w:rsid w:val="004A4FDF"/>
    <w:rsid w:val="004A52F7"/>
    <w:rsid w:val="004A5441"/>
    <w:rsid w:val="004A5489"/>
    <w:rsid w:val="004A55BF"/>
    <w:rsid w:val="004A5618"/>
    <w:rsid w:val="004A5752"/>
    <w:rsid w:val="004A5907"/>
    <w:rsid w:val="004A5E73"/>
    <w:rsid w:val="004A60FE"/>
    <w:rsid w:val="004A672E"/>
    <w:rsid w:val="004A699B"/>
    <w:rsid w:val="004A6A8D"/>
    <w:rsid w:val="004A7412"/>
    <w:rsid w:val="004A7604"/>
    <w:rsid w:val="004A7A52"/>
    <w:rsid w:val="004A7C47"/>
    <w:rsid w:val="004A7D4E"/>
    <w:rsid w:val="004B027C"/>
    <w:rsid w:val="004B044A"/>
    <w:rsid w:val="004B06E2"/>
    <w:rsid w:val="004B097D"/>
    <w:rsid w:val="004B098F"/>
    <w:rsid w:val="004B0BA4"/>
    <w:rsid w:val="004B0D62"/>
    <w:rsid w:val="004B1881"/>
    <w:rsid w:val="004B18DE"/>
    <w:rsid w:val="004B19FE"/>
    <w:rsid w:val="004B1BAC"/>
    <w:rsid w:val="004B1D1D"/>
    <w:rsid w:val="004B1D8A"/>
    <w:rsid w:val="004B1E6C"/>
    <w:rsid w:val="004B1F6E"/>
    <w:rsid w:val="004B20BD"/>
    <w:rsid w:val="004B2491"/>
    <w:rsid w:val="004B2A4D"/>
    <w:rsid w:val="004B2C23"/>
    <w:rsid w:val="004B2C79"/>
    <w:rsid w:val="004B2F45"/>
    <w:rsid w:val="004B33C2"/>
    <w:rsid w:val="004B3876"/>
    <w:rsid w:val="004B390F"/>
    <w:rsid w:val="004B3A57"/>
    <w:rsid w:val="004B3D11"/>
    <w:rsid w:val="004B4023"/>
    <w:rsid w:val="004B4214"/>
    <w:rsid w:val="004B473C"/>
    <w:rsid w:val="004B53E6"/>
    <w:rsid w:val="004B5475"/>
    <w:rsid w:val="004B54AA"/>
    <w:rsid w:val="004B55C1"/>
    <w:rsid w:val="004B580A"/>
    <w:rsid w:val="004B58A1"/>
    <w:rsid w:val="004B5BA4"/>
    <w:rsid w:val="004B5EFD"/>
    <w:rsid w:val="004B6175"/>
    <w:rsid w:val="004B6205"/>
    <w:rsid w:val="004B65FE"/>
    <w:rsid w:val="004B6622"/>
    <w:rsid w:val="004B689D"/>
    <w:rsid w:val="004B68F3"/>
    <w:rsid w:val="004B6D80"/>
    <w:rsid w:val="004B6E85"/>
    <w:rsid w:val="004B6EF5"/>
    <w:rsid w:val="004B6FA0"/>
    <w:rsid w:val="004B70D1"/>
    <w:rsid w:val="004B7152"/>
    <w:rsid w:val="004B770C"/>
    <w:rsid w:val="004B79B7"/>
    <w:rsid w:val="004B7CB2"/>
    <w:rsid w:val="004C0224"/>
    <w:rsid w:val="004C0356"/>
    <w:rsid w:val="004C0408"/>
    <w:rsid w:val="004C0980"/>
    <w:rsid w:val="004C0E97"/>
    <w:rsid w:val="004C0F5D"/>
    <w:rsid w:val="004C10A1"/>
    <w:rsid w:val="004C10B4"/>
    <w:rsid w:val="004C1161"/>
    <w:rsid w:val="004C1869"/>
    <w:rsid w:val="004C2025"/>
    <w:rsid w:val="004C23BD"/>
    <w:rsid w:val="004C2BD9"/>
    <w:rsid w:val="004C2C01"/>
    <w:rsid w:val="004C2D30"/>
    <w:rsid w:val="004C2F19"/>
    <w:rsid w:val="004C31AC"/>
    <w:rsid w:val="004C3431"/>
    <w:rsid w:val="004C35FC"/>
    <w:rsid w:val="004C382D"/>
    <w:rsid w:val="004C38F9"/>
    <w:rsid w:val="004C3EFE"/>
    <w:rsid w:val="004C4373"/>
    <w:rsid w:val="004C4687"/>
    <w:rsid w:val="004C46CE"/>
    <w:rsid w:val="004C48C8"/>
    <w:rsid w:val="004C4BBB"/>
    <w:rsid w:val="004C4D2F"/>
    <w:rsid w:val="004C4DE5"/>
    <w:rsid w:val="004C5214"/>
    <w:rsid w:val="004C536F"/>
    <w:rsid w:val="004C53D8"/>
    <w:rsid w:val="004C565E"/>
    <w:rsid w:val="004C58F6"/>
    <w:rsid w:val="004C598D"/>
    <w:rsid w:val="004C5A68"/>
    <w:rsid w:val="004C5F30"/>
    <w:rsid w:val="004C6794"/>
    <w:rsid w:val="004C695A"/>
    <w:rsid w:val="004C711B"/>
    <w:rsid w:val="004C7378"/>
    <w:rsid w:val="004C76BC"/>
    <w:rsid w:val="004C777F"/>
    <w:rsid w:val="004C7831"/>
    <w:rsid w:val="004D0109"/>
    <w:rsid w:val="004D034A"/>
    <w:rsid w:val="004D0D14"/>
    <w:rsid w:val="004D0D62"/>
    <w:rsid w:val="004D0E55"/>
    <w:rsid w:val="004D242C"/>
    <w:rsid w:val="004D298F"/>
    <w:rsid w:val="004D2BE0"/>
    <w:rsid w:val="004D3150"/>
    <w:rsid w:val="004D315D"/>
    <w:rsid w:val="004D33C1"/>
    <w:rsid w:val="004D3897"/>
    <w:rsid w:val="004D3C1D"/>
    <w:rsid w:val="004D4425"/>
    <w:rsid w:val="004D457A"/>
    <w:rsid w:val="004D4691"/>
    <w:rsid w:val="004D4F43"/>
    <w:rsid w:val="004D4F63"/>
    <w:rsid w:val="004D504D"/>
    <w:rsid w:val="004D534A"/>
    <w:rsid w:val="004D597E"/>
    <w:rsid w:val="004D5B4E"/>
    <w:rsid w:val="004D5BA9"/>
    <w:rsid w:val="004D5FD7"/>
    <w:rsid w:val="004D68BE"/>
    <w:rsid w:val="004D6937"/>
    <w:rsid w:val="004D7EC0"/>
    <w:rsid w:val="004D7FBA"/>
    <w:rsid w:val="004D8F96"/>
    <w:rsid w:val="004E0488"/>
    <w:rsid w:val="004E0761"/>
    <w:rsid w:val="004E078F"/>
    <w:rsid w:val="004E0805"/>
    <w:rsid w:val="004E14C2"/>
    <w:rsid w:val="004E1B67"/>
    <w:rsid w:val="004E1CD6"/>
    <w:rsid w:val="004E1E30"/>
    <w:rsid w:val="004E1E5C"/>
    <w:rsid w:val="004E2858"/>
    <w:rsid w:val="004E2981"/>
    <w:rsid w:val="004E2BD6"/>
    <w:rsid w:val="004E2C72"/>
    <w:rsid w:val="004E33DB"/>
    <w:rsid w:val="004E3652"/>
    <w:rsid w:val="004E3685"/>
    <w:rsid w:val="004E3AC9"/>
    <w:rsid w:val="004E3EF3"/>
    <w:rsid w:val="004E41D9"/>
    <w:rsid w:val="004E42A0"/>
    <w:rsid w:val="004E4550"/>
    <w:rsid w:val="004E45A9"/>
    <w:rsid w:val="004E496E"/>
    <w:rsid w:val="004E4ADC"/>
    <w:rsid w:val="004E523E"/>
    <w:rsid w:val="004E5446"/>
    <w:rsid w:val="004E5B4E"/>
    <w:rsid w:val="004E610E"/>
    <w:rsid w:val="004E61EE"/>
    <w:rsid w:val="004E67F3"/>
    <w:rsid w:val="004E6A13"/>
    <w:rsid w:val="004E6C87"/>
    <w:rsid w:val="004E6D6B"/>
    <w:rsid w:val="004E719C"/>
    <w:rsid w:val="004E785A"/>
    <w:rsid w:val="004E78D6"/>
    <w:rsid w:val="004E7974"/>
    <w:rsid w:val="004E7F93"/>
    <w:rsid w:val="004F0204"/>
    <w:rsid w:val="004F02C5"/>
    <w:rsid w:val="004F0DB7"/>
    <w:rsid w:val="004F146A"/>
    <w:rsid w:val="004F1973"/>
    <w:rsid w:val="004F1D8E"/>
    <w:rsid w:val="004F1E57"/>
    <w:rsid w:val="004F2153"/>
    <w:rsid w:val="004F2243"/>
    <w:rsid w:val="004F229D"/>
    <w:rsid w:val="004F288B"/>
    <w:rsid w:val="004F2DC8"/>
    <w:rsid w:val="004F2ED8"/>
    <w:rsid w:val="004F32B8"/>
    <w:rsid w:val="004F3C2B"/>
    <w:rsid w:val="004F3CF3"/>
    <w:rsid w:val="004F4207"/>
    <w:rsid w:val="004F447F"/>
    <w:rsid w:val="004F44D9"/>
    <w:rsid w:val="004F45D6"/>
    <w:rsid w:val="004F475F"/>
    <w:rsid w:val="004F477B"/>
    <w:rsid w:val="004F490B"/>
    <w:rsid w:val="004F49ED"/>
    <w:rsid w:val="004F4FFB"/>
    <w:rsid w:val="004F524A"/>
    <w:rsid w:val="004F5299"/>
    <w:rsid w:val="004F5975"/>
    <w:rsid w:val="004F5B62"/>
    <w:rsid w:val="004F5C2F"/>
    <w:rsid w:val="004F5D89"/>
    <w:rsid w:val="004F678A"/>
    <w:rsid w:val="004F6A87"/>
    <w:rsid w:val="004F6AD3"/>
    <w:rsid w:val="004F6BF6"/>
    <w:rsid w:val="004F6C9F"/>
    <w:rsid w:val="004F6CA5"/>
    <w:rsid w:val="004F6D04"/>
    <w:rsid w:val="004F7224"/>
    <w:rsid w:val="004F746C"/>
    <w:rsid w:val="004F74AF"/>
    <w:rsid w:val="004F78D2"/>
    <w:rsid w:val="004F7909"/>
    <w:rsid w:val="004F792F"/>
    <w:rsid w:val="004F79A6"/>
    <w:rsid w:val="004F7EE0"/>
    <w:rsid w:val="005003CE"/>
    <w:rsid w:val="005004BE"/>
    <w:rsid w:val="005006FD"/>
    <w:rsid w:val="005008AE"/>
    <w:rsid w:val="00500E92"/>
    <w:rsid w:val="00501292"/>
    <w:rsid w:val="00501386"/>
    <w:rsid w:val="00501697"/>
    <w:rsid w:val="005018DB"/>
    <w:rsid w:val="00501A09"/>
    <w:rsid w:val="00501A95"/>
    <w:rsid w:val="00501AE8"/>
    <w:rsid w:val="00501BD9"/>
    <w:rsid w:val="00501C25"/>
    <w:rsid w:val="00501D6A"/>
    <w:rsid w:val="00502216"/>
    <w:rsid w:val="00502394"/>
    <w:rsid w:val="005025A3"/>
    <w:rsid w:val="005027A6"/>
    <w:rsid w:val="00502AAD"/>
    <w:rsid w:val="00502DAE"/>
    <w:rsid w:val="00502FFB"/>
    <w:rsid w:val="005030D4"/>
    <w:rsid w:val="0050388D"/>
    <w:rsid w:val="005038A0"/>
    <w:rsid w:val="005038DE"/>
    <w:rsid w:val="0050398D"/>
    <w:rsid w:val="00503AA8"/>
    <w:rsid w:val="00503CCE"/>
    <w:rsid w:val="0050466A"/>
    <w:rsid w:val="0050468E"/>
    <w:rsid w:val="00504A82"/>
    <w:rsid w:val="00504AD1"/>
    <w:rsid w:val="00504B46"/>
    <w:rsid w:val="00504F1E"/>
    <w:rsid w:val="0050567E"/>
    <w:rsid w:val="0050573F"/>
    <w:rsid w:val="00505804"/>
    <w:rsid w:val="00505B67"/>
    <w:rsid w:val="00505E19"/>
    <w:rsid w:val="00505FD8"/>
    <w:rsid w:val="00506209"/>
    <w:rsid w:val="00506241"/>
    <w:rsid w:val="00506292"/>
    <w:rsid w:val="005064C5"/>
    <w:rsid w:val="00506989"/>
    <w:rsid w:val="005069B1"/>
    <w:rsid w:val="00506B1A"/>
    <w:rsid w:val="00506CD6"/>
    <w:rsid w:val="00506CF5"/>
    <w:rsid w:val="005074AE"/>
    <w:rsid w:val="005075CD"/>
    <w:rsid w:val="00507C81"/>
    <w:rsid w:val="00507D6F"/>
    <w:rsid w:val="00507F71"/>
    <w:rsid w:val="00510108"/>
    <w:rsid w:val="005103C5"/>
    <w:rsid w:val="005104BE"/>
    <w:rsid w:val="005109C4"/>
    <w:rsid w:val="00510A0B"/>
    <w:rsid w:val="00510C41"/>
    <w:rsid w:val="00510ECB"/>
    <w:rsid w:val="005112BA"/>
    <w:rsid w:val="00511643"/>
    <w:rsid w:val="00511902"/>
    <w:rsid w:val="00511C86"/>
    <w:rsid w:val="00511C8B"/>
    <w:rsid w:val="00511FB6"/>
    <w:rsid w:val="00512227"/>
    <w:rsid w:val="0051232B"/>
    <w:rsid w:val="005123EF"/>
    <w:rsid w:val="00512821"/>
    <w:rsid w:val="00512940"/>
    <w:rsid w:val="00512B6B"/>
    <w:rsid w:val="00512CAE"/>
    <w:rsid w:val="00512EEA"/>
    <w:rsid w:val="00513157"/>
    <w:rsid w:val="005131D3"/>
    <w:rsid w:val="0051332D"/>
    <w:rsid w:val="00513388"/>
    <w:rsid w:val="0051352C"/>
    <w:rsid w:val="0051383D"/>
    <w:rsid w:val="005141E1"/>
    <w:rsid w:val="0051460A"/>
    <w:rsid w:val="005146E7"/>
    <w:rsid w:val="0051490F"/>
    <w:rsid w:val="00514CFF"/>
    <w:rsid w:val="00514EA5"/>
    <w:rsid w:val="00514EFE"/>
    <w:rsid w:val="00514FC2"/>
    <w:rsid w:val="00515599"/>
    <w:rsid w:val="00515BD4"/>
    <w:rsid w:val="00515BEA"/>
    <w:rsid w:val="00515BFA"/>
    <w:rsid w:val="00515D49"/>
    <w:rsid w:val="00515F00"/>
    <w:rsid w:val="00515FC9"/>
    <w:rsid w:val="005160EE"/>
    <w:rsid w:val="0051631B"/>
    <w:rsid w:val="00516359"/>
    <w:rsid w:val="00516983"/>
    <w:rsid w:val="00516BBF"/>
    <w:rsid w:val="00516CB9"/>
    <w:rsid w:val="00516D37"/>
    <w:rsid w:val="00516F5A"/>
    <w:rsid w:val="00517250"/>
    <w:rsid w:val="005174C5"/>
    <w:rsid w:val="005175A3"/>
    <w:rsid w:val="00517750"/>
    <w:rsid w:val="00517A86"/>
    <w:rsid w:val="00517CFB"/>
    <w:rsid w:val="00517E1D"/>
    <w:rsid w:val="00520242"/>
    <w:rsid w:val="0052032A"/>
    <w:rsid w:val="005203B5"/>
    <w:rsid w:val="0052049C"/>
    <w:rsid w:val="00520998"/>
    <w:rsid w:val="00520C30"/>
    <w:rsid w:val="00521620"/>
    <w:rsid w:val="00521918"/>
    <w:rsid w:val="00521AA7"/>
    <w:rsid w:val="00521B92"/>
    <w:rsid w:val="00521FB4"/>
    <w:rsid w:val="0052218F"/>
    <w:rsid w:val="005222B1"/>
    <w:rsid w:val="005222B6"/>
    <w:rsid w:val="005225E2"/>
    <w:rsid w:val="0052269F"/>
    <w:rsid w:val="00522D83"/>
    <w:rsid w:val="00523101"/>
    <w:rsid w:val="005232E5"/>
    <w:rsid w:val="00523348"/>
    <w:rsid w:val="0052349D"/>
    <w:rsid w:val="00523693"/>
    <w:rsid w:val="005238D3"/>
    <w:rsid w:val="00523C6C"/>
    <w:rsid w:val="00523C9E"/>
    <w:rsid w:val="0052457D"/>
    <w:rsid w:val="00524A37"/>
    <w:rsid w:val="00524ACF"/>
    <w:rsid w:val="00524BE8"/>
    <w:rsid w:val="00524F68"/>
    <w:rsid w:val="00524FA7"/>
    <w:rsid w:val="0052505F"/>
    <w:rsid w:val="005252B8"/>
    <w:rsid w:val="0052575D"/>
    <w:rsid w:val="00525985"/>
    <w:rsid w:val="005259AF"/>
    <w:rsid w:val="00525D7B"/>
    <w:rsid w:val="00525D8C"/>
    <w:rsid w:val="00525D8E"/>
    <w:rsid w:val="005261C4"/>
    <w:rsid w:val="005265F4"/>
    <w:rsid w:val="00526C92"/>
    <w:rsid w:val="00526E61"/>
    <w:rsid w:val="005271E0"/>
    <w:rsid w:val="00527250"/>
    <w:rsid w:val="005272AE"/>
    <w:rsid w:val="005274EF"/>
    <w:rsid w:val="005275FC"/>
    <w:rsid w:val="0052762B"/>
    <w:rsid w:val="0052768C"/>
    <w:rsid w:val="00527C13"/>
    <w:rsid w:val="00530007"/>
    <w:rsid w:val="0053006C"/>
    <w:rsid w:val="00530626"/>
    <w:rsid w:val="00530884"/>
    <w:rsid w:val="00530896"/>
    <w:rsid w:val="00530D99"/>
    <w:rsid w:val="00530EAA"/>
    <w:rsid w:val="00530FE9"/>
    <w:rsid w:val="005310AF"/>
    <w:rsid w:val="00531174"/>
    <w:rsid w:val="00531444"/>
    <w:rsid w:val="005314A2"/>
    <w:rsid w:val="00531A00"/>
    <w:rsid w:val="00531CB4"/>
    <w:rsid w:val="00531FA6"/>
    <w:rsid w:val="005326D1"/>
    <w:rsid w:val="005327F6"/>
    <w:rsid w:val="00532A5F"/>
    <w:rsid w:val="00532AAA"/>
    <w:rsid w:val="00532CA7"/>
    <w:rsid w:val="00532CB7"/>
    <w:rsid w:val="0053352A"/>
    <w:rsid w:val="00533541"/>
    <w:rsid w:val="005336C2"/>
    <w:rsid w:val="00533858"/>
    <w:rsid w:val="005338A0"/>
    <w:rsid w:val="00533C02"/>
    <w:rsid w:val="005341A7"/>
    <w:rsid w:val="0053420D"/>
    <w:rsid w:val="005342C3"/>
    <w:rsid w:val="0053439A"/>
    <w:rsid w:val="005345F7"/>
    <w:rsid w:val="0053477C"/>
    <w:rsid w:val="0053478C"/>
    <w:rsid w:val="00535039"/>
    <w:rsid w:val="005356DB"/>
    <w:rsid w:val="00535720"/>
    <w:rsid w:val="00535ECD"/>
    <w:rsid w:val="005362F5"/>
    <w:rsid w:val="005365E2"/>
    <w:rsid w:val="0053686F"/>
    <w:rsid w:val="0053698E"/>
    <w:rsid w:val="00536BCB"/>
    <w:rsid w:val="0053725B"/>
    <w:rsid w:val="005372A7"/>
    <w:rsid w:val="00537731"/>
    <w:rsid w:val="0053793C"/>
    <w:rsid w:val="00537987"/>
    <w:rsid w:val="005379E3"/>
    <w:rsid w:val="00537A33"/>
    <w:rsid w:val="00540221"/>
    <w:rsid w:val="005407BF"/>
    <w:rsid w:val="0054091A"/>
    <w:rsid w:val="00540971"/>
    <w:rsid w:val="00540AC9"/>
    <w:rsid w:val="00540C0A"/>
    <w:rsid w:val="00540C57"/>
    <w:rsid w:val="00540F7B"/>
    <w:rsid w:val="00541082"/>
    <w:rsid w:val="00541559"/>
    <w:rsid w:val="00541AA3"/>
    <w:rsid w:val="00541C4E"/>
    <w:rsid w:val="00541E19"/>
    <w:rsid w:val="00541F0E"/>
    <w:rsid w:val="00542237"/>
    <w:rsid w:val="005427D4"/>
    <w:rsid w:val="00542EA4"/>
    <w:rsid w:val="00542EB0"/>
    <w:rsid w:val="005437D7"/>
    <w:rsid w:val="005439B2"/>
    <w:rsid w:val="00543B54"/>
    <w:rsid w:val="00543B62"/>
    <w:rsid w:val="00543C1D"/>
    <w:rsid w:val="00543E41"/>
    <w:rsid w:val="00544069"/>
    <w:rsid w:val="005440C1"/>
    <w:rsid w:val="005445DE"/>
    <w:rsid w:val="00544A7B"/>
    <w:rsid w:val="00544E91"/>
    <w:rsid w:val="00545182"/>
    <w:rsid w:val="005452DF"/>
    <w:rsid w:val="005453A5"/>
    <w:rsid w:val="005454C4"/>
    <w:rsid w:val="00545999"/>
    <w:rsid w:val="00545B58"/>
    <w:rsid w:val="00545BEC"/>
    <w:rsid w:val="005462D3"/>
    <w:rsid w:val="005463E3"/>
    <w:rsid w:val="005467A0"/>
    <w:rsid w:val="00547085"/>
    <w:rsid w:val="0054729E"/>
    <w:rsid w:val="00547837"/>
    <w:rsid w:val="00550016"/>
    <w:rsid w:val="005503A8"/>
    <w:rsid w:val="005503D1"/>
    <w:rsid w:val="005503EA"/>
    <w:rsid w:val="005509D4"/>
    <w:rsid w:val="00550B81"/>
    <w:rsid w:val="00551325"/>
    <w:rsid w:val="0055192D"/>
    <w:rsid w:val="005519CB"/>
    <w:rsid w:val="00551E33"/>
    <w:rsid w:val="005526CD"/>
    <w:rsid w:val="005531BD"/>
    <w:rsid w:val="005532B7"/>
    <w:rsid w:val="0055353E"/>
    <w:rsid w:val="00553605"/>
    <w:rsid w:val="005538E7"/>
    <w:rsid w:val="00553931"/>
    <w:rsid w:val="00553A3A"/>
    <w:rsid w:val="00553B3B"/>
    <w:rsid w:val="00553DB4"/>
    <w:rsid w:val="00553E61"/>
    <w:rsid w:val="005543FF"/>
    <w:rsid w:val="0055463D"/>
    <w:rsid w:val="00554805"/>
    <w:rsid w:val="005551D6"/>
    <w:rsid w:val="00555498"/>
    <w:rsid w:val="00555724"/>
    <w:rsid w:val="00555C35"/>
    <w:rsid w:val="00555D92"/>
    <w:rsid w:val="00555DC5"/>
    <w:rsid w:val="00555EF6"/>
    <w:rsid w:val="005567B2"/>
    <w:rsid w:val="005567B5"/>
    <w:rsid w:val="00556956"/>
    <w:rsid w:val="00556C32"/>
    <w:rsid w:val="00556E01"/>
    <w:rsid w:val="00557326"/>
    <w:rsid w:val="0055774B"/>
    <w:rsid w:val="005577CE"/>
    <w:rsid w:val="00557870"/>
    <w:rsid w:val="00557A25"/>
    <w:rsid w:val="00557C68"/>
    <w:rsid w:val="00557CE9"/>
    <w:rsid w:val="00557F31"/>
    <w:rsid w:val="00560277"/>
    <w:rsid w:val="00560437"/>
    <w:rsid w:val="005607CC"/>
    <w:rsid w:val="00560846"/>
    <w:rsid w:val="00560938"/>
    <w:rsid w:val="00560AF1"/>
    <w:rsid w:val="00560B80"/>
    <w:rsid w:val="00560D9F"/>
    <w:rsid w:val="00561562"/>
    <w:rsid w:val="00561B59"/>
    <w:rsid w:val="00561D0C"/>
    <w:rsid w:val="00561D95"/>
    <w:rsid w:val="00561FAF"/>
    <w:rsid w:val="00562040"/>
    <w:rsid w:val="00562372"/>
    <w:rsid w:val="005625BD"/>
    <w:rsid w:val="005628F9"/>
    <w:rsid w:val="005629A1"/>
    <w:rsid w:val="00562B28"/>
    <w:rsid w:val="00563ADC"/>
    <w:rsid w:val="00563B07"/>
    <w:rsid w:val="00563DE6"/>
    <w:rsid w:val="00563E75"/>
    <w:rsid w:val="00564617"/>
    <w:rsid w:val="005646DA"/>
    <w:rsid w:val="00564D10"/>
    <w:rsid w:val="00564EFE"/>
    <w:rsid w:val="0056519B"/>
    <w:rsid w:val="005651A6"/>
    <w:rsid w:val="005651CE"/>
    <w:rsid w:val="0056528D"/>
    <w:rsid w:val="005652C2"/>
    <w:rsid w:val="00565381"/>
    <w:rsid w:val="005653E5"/>
    <w:rsid w:val="00565CA1"/>
    <w:rsid w:val="00565DDC"/>
    <w:rsid w:val="00565EAF"/>
    <w:rsid w:val="005661B7"/>
    <w:rsid w:val="0056628B"/>
    <w:rsid w:val="00566298"/>
    <w:rsid w:val="00566AD2"/>
    <w:rsid w:val="00567083"/>
    <w:rsid w:val="005671F7"/>
    <w:rsid w:val="00567665"/>
    <w:rsid w:val="00567671"/>
    <w:rsid w:val="00567708"/>
    <w:rsid w:val="00567DD6"/>
    <w:rsid w:val="00567E94"/>
    <w:rsid w:val="00570036"/>
    <w:rsid w:val="0057022A"/>
    <w:rsid w:val="0057056B"/>
    <w:rsid w:val="0057069D"/>
    <w:rsid w:val="0057091E"/>
    <w:rsid w:val="00570B5D"/>
    <w:rsid w:val="00570E2A"/>
    <w:rsid w:val="005712C1"/>
    <w:rsid w:val="0057151E"/>
    <w:rsid w:val="00571696"/>
    <w:rsid w:val="00571972"/>
    <w:rsid w:val="00571E9B"/>
    <w:rsid w:val="00572259"/>
    <w:rsid w:val="00572265"/>
    <w:rsid w:val="005723D6"/>
    <w:rsid w:val="0057264B"/>
    <w:rsid w:val="005729F0"/>
    <w:rsid w:val="005729F3"/>
    <w:rsid w:val="00572B06"/>
    <w:rsid w:val="00572B50"/>
    <w:rsid w:val="00572C3B"/>
    <w:rsid w:val="00572D91"/>
    <w:rsid w:val="00572E28"/>
    <w:rsid w:val="005731CB"/>
    <w:rsid w:val="005731F6"/>
    <w:rsid w:val="00573493"/>
    <w:rsid w:val="00573550"/>
    <w:rsid w:val="00573611"/>
    <w:rsid w:val="005736D8"/>
    <w:rsid w:val="00573C40"/>
    <w:rsid w:val="005740CF"/>
    <w:rsid w:val="005741CB"/>
    <w:rsid w:val="00574536"/>
    <w:rsid w:val="005745DC"/>
    <w:rsid w:val="00574A65"/>
    <w:rsid w:val="00574A6E"/>
    <w:rsid w:val="00574A75"/>
    <w:rsid w:val="00574D56"/>
    <w:rsid w:val="00574E52"/>
    <w:rsid w:val="00575076"/>
    <w:rsid w:val="00575164"/>
    <w:rsid w:val="00575298"/>
    <w:rsid w:val="00575B49"/>
    <w:rsid w:val="00575E3E"/>
    <w:rsid w:val="00575F1A"/>
    <w:rsid w:val="0057617C"/>
    <w:rsid w:val="00576262"/>
    <w:rsid w:val="0057685B"/>
    <w:rsid w:val="00576978"/>
    <w:rsid w:val="005769E4"/>
    <w:rsid w:val="00576B37"/>
    <w:rsid w:val="00576DA9"/>
    <w:rsid w:val="00576EDF"/>
    <w:rsid w:val="00577145"/>
    <w:rsid w:val="005773BE"/>
    <w:rsid w:val="00577BE5"/>
    <w:rsid w:val="00577C3D"/>
    <w:rsid w:val="00577E15"/>
    <w:rsid w:val="00577E35"/>
    <w:rsid w:val="005804C4"/>
    <w:rsid w:val="0058074F"/>
    <w:rsid w:val="0058084A"/>
    <w:rsid w:val="00580965"/>
    <w:rsid w:val="00580AE1"/>
    <w:rsid w:val="00580B5E"/>
    <w:rsid w:val="005810A0"/>
    <w:rsid w:val="00581114"/>
    <w:rsid w:val="00581630"/>
    <w:rsid w:val="005817F7"/>
    <w:rsid w:val="005818AA"/>
    <w:rsid w:val="00581A27"/>
    <w:rsid w:val="00581F02"/>
    <w:rsid w:val="00581F2C"/>
    <w:rsid w:val="00582365"/>
    <w:rsid w:val="005825EF"/>
    <w:rsid w:val="0058306F"/>
    <w:rsid w:val="0058313C"/>
    <w:rsid w:val="005833CB"/>
    <w:rsid w:val="005842EF"/>
    <w:rsid w:val="005843E8"/>
    <w:rsid w:val="005845B1"/>
    <w:rsid w:val="0058469E"/>
    <w:rsid w:val="00584906"/>
    <w:rsid w:val="0058497E"/>
    <w:rsid w:val="00584D8C"/>
    <w:rsid w:val="005853AB"/>
    <w:rsid w:val="0058592F"/>
    <w:rsid w:val="005859DA"/>
    <w:rsid w:val="00585B32"/>
    <w:rsid w:val="00585C1B"/>
    <w:rsid w:val="00585F46"/>
    <w:rsid w:val="00586158"/>
    <w:rsid w:val="00586310"/>
    <w:rsid w:val="005864EE"/>
    <w:rsid w:val="005865EB"/>
    <w:rsid w:val="00587639"/>
    <w:rsid w:val="0058769A"/>
    <w:rsid w:val="00587768"/>
    <w:rsid w:val="005879C6"/>
    <w:rsid w:val="00587D37"/>
    <w:rsid w:val="005901E6"/>
    <w:rsid w:val="005902C8"/>
    <w:rsid w:val="005905F8"/>
    <w:rsid w:val="00590621"/>
    <w:rsid w:val="005907F4"/>
    <w:rsid w:val="0059087D"/>
    <w:rsid w:val="005908AD"/>
    <w:rsid w:val="00590A9D"/>
    <w:rsid w:val="00590E1F"/>
    <w:rsid w:val="00590E33"/>
    <w:rsid w:val="005911CA"/>
    <w:rsid w:val="0059165F"/>
    <w:rsid w:val="0059187E"/>
    <w:rsid w:val="005918F5"/>
    <w:rsid w:val="00591BBF"/>
    <w:rsid w:val="00591DB8"/>
    <w:rsid w:val="00591F6A"/>
    <w:rsid w:val="005921FF"/>
    <w:rsid w:val="00592638"/>
    <w:rsid w:val="0059263D"/>
    <w:rsid w:val="00592762"/>
    <w:rsid w:val="0059279B"/>
    <w:rsid w:val="005928BF"/>
    <w:rsid w:val="00592D8A"/>
    <w:rsid w:val="00592EE3"/>
    <w:rsid w:val="00593138"/>
    <w:rsid w:val="00593338"/>
    <w:rsid w:val="0059373E"/>
    <w:rsid w:val="005939BE"/>
    <w:rsid w:val="00593A33"/>
    <w:rsid w:val="00593AB9"/>
    <w:rsid w:val="00593D65"/>
    <w:rsid w:val="00593FCE"/>
    <w:rsid w:val="00593FF5"/>
    <w:rsid w:val="00594321"/>
    <w:rsid w:val="005946F2"/>
    <w:rsid w:val="005947B5"/>
    <w:rsid w:val="00594E2D"/>
    <w:rsid w:val="00595237"/>
    <w:rsid w:val="00595B55"/>
    <w:rsid w:val="00595C82"/>
    <w:rsid w:val="00595EAD"/>
    <w:rsid w:val="00595F0E"/>
    <w:rsid w:val="00595F5C"/>
    <w:rsid w:val="005960BB"/>
    <w:rsid w:val="005960CA"/>
    <w:rsid w:val="0059614C"/>
    <w:rsid w:val="00596428"/>
    <w:rsid w:val="005965D9"/>
    <w:rsid w:val="005966EB"/>
    <w:rsid w:val="00596EE7"/>
    <w:rsid w:val="005971AF"/>
    <w:rsid w:val="0059736A"/>
    <w:rsid w:val="005973B6"/>
    <w:rsid w:val="00597407"/>
    <w:rsid w:val="0059754B"/>
    <w:rsid w:val="00597CFA"/>
    <w:rsid w:val="00597DCB"/>
    <w:rsid w:val="00597F79"/>
    <w:rsid w:val="005A00B5"/>
    <w:rsid w:val="005A025B"/>
    <w:rsid w:val="005A0496"/>
    <w:rsid w:val="005A05FA"/>
    <w:rsid w:val="005A0CDA"/>
    <w:rsid w:val="005A0DF1"/>
    <w:rsid w:val="005A13C6"/>
    <w:rsid w:val="005A1479"/>
    <w:rsid w:val="005A15FE"/>
    <w:rsid w:val="005A1904"/>
    <w:rsid w:val="005A1BB3"/>
    <w:rsid w:val="005A1D37"/>
    <w:rsid w:val="005A2073"/>
    <w:rsid w:val="005A22F8"/>
    <w:rsid w:val="005A2556"/>
    <w:rsid w:val="005A2663"/>
    <w:rsid w:val="005A2987"/>
    <w:rsid w:val="005A2BD5"/>
    <w:rsid w:val="005A2DD0"/>
    <w:rsid w:val="005A35BC"/>
    <w:rsid w:val="005A39AB"/>
    <w:rsid w:val="005A3BA7"/>
    <w:rsid w:val="005A3C2C"/>
    <w:rsid w:val="005A4047"/>
    <w:rsid w:val="005A40A1"/>
    <w:rsid w:val="005A4384"/>
    <w:rsid w:val="005A44AA"/>
    <w:rsid w:val="005A47B3"/>
    <w:rsid w:val="005A48EF"/>
    <w:rsid w:val="005A4E7F"/>
    <w:rsid w:val="005A5A5A"/>
    <w:rsid w:val="005A5B73"/>
    <w:rsid w:val="005A5D84"/>
    <w:rsid w:val="005A6037"/>
    <w:rsid w:val="005A65AC"/>
    <w:rsid w:val="005A6AE1"/>
    <w:rsid w:val="005A6D2D"/>
    <w:rsid w:val="005A6F0E"/>
    <w:rsid w:val="005A7012"/>
    <w:rsid w:val="005A7525"/>
    <w:rsid w:val="005A7A5E"/>
    <w:rsid w:val="005A7FD4"/>
    <w:rsid w:val="005B0007"/>
    <w:rsid w:val="005B010B"/>
    <w:rsid w:val="005B03C1"/>
    <w:rsid w:val="005B043B"/>
    <w:rsid w:val="005B0489"/>
    <w:rsid w:val="005B0876"/>
    <w:rsid w:val="005B0D46"/>
    <w:rsid w:val="005B132E"/>
    <w:rsid w:val="005B1659"/>
    <w:rsid w:val="005B1941"/>
    <w:rsid w:val="005B1B10"/>
    <w:rsid w:val="005B1C07"/>
    <w:rsid w:val="005B1FC6"/>
    <w:rsid w:val="005B1FE1"/>
    <w:rsid w:val="005B217F"/>
    <w:rsid w:val="005B23C1"/>
    <w:rsid w:val="005B2BB4"/>
    <w:rsid w:val="005B2C12"/>
    <w:rsid w:val="005B2D19"/>
    <w:rsid w:val="005B32F4"/>
    <w:rsid w:val="005B3432"/>
    <w:rsid w:val="005B37B4"/>
    <w:rsid w:val="005B3AA3"/>
    <w:rsid w:val="005B3BD6"/>
    <w:rsid w:val="005B3C0F"/>
    <w:rsid w:val="005B3F05"/>
    <w:rsid w:val="005B484E"/>
    <w:rsid w:val="005B4C23"/>
    <w:rsid w:val="005B53A6"/>
    <w:rsid w:val="005B5542"/>
    <w:rsid w:val="005B5B19"/>
    <w:rsid w:val="005B5F08"/>
    <w:rsid w:val="005B61F8"/>
    <w:rsid w:val="005B6A48"/>
    <w:rsid w:val="005B6B15"/>
    <w:rsid w:val="005B6BEF"/>
    <w:rsid w:val="005B74DA"/>
    <w:rsid w:val="005B7D6C"/>
    <w:rsid w:val="005B7E29"/>
    <w:rsid w:val="005B7ECD"/>
    <w:rsid w:val="005BEE3B"/>
    <w:rsid w:val="005C05CF"/>
    <w:rsid w:val="005C0601"/>
    <w:rsid w:val="005C07E6"/>
    <w:rsid w:val="005C0A27"/>
    <w:rsid w:val="005C0BCA"/>
    <w:rsid w:val="005C1975"/>
    <w:rsid w:val="005C1C51"/>
    <w:rsid w:val="005C1CE1"/>
    <w:rsid w:val="005C2026"/>
    <w:rsid w:val="005C20A7"/>
    <w:rsid w:val="005C277A"/>
    <w:rsid w:val="005C33A6"/>
    <w:rsid w:val="005C3796"/>
    <w:rsid w:val="005C39DF"/>
    <w:rsid w:val="005C3B6B"/>
    <w:rsid w:val="005C3BBF"/>
    <w:rsid w:val="005C3E70"/>
    <w:rsid w:val="005C4638"/>
    <w:rsid w:val="005C46C0"/>
    <w:rsid w:val="005C4A44"/>
    <w:rsid w:val="005C4ADA"/>
    <w:rsid w:val="005C5084"/>
    <w:rsid w:val="005C50B6"/>
    <w:rsid w:val="005C5103"/>
    <w:rsid w:val="005C51E9"/>
    <w:rsid w:val="005C553F"/>
    <w:rsid w:val="005C56CE"/>
    <w:rsid w:val="005C576A"/>
    <w:rsid w:val="005C5BAE"/>
    <w:rsid w:val="005C5C49"/>
    <w:rsid w:val="005C5CB4"/>
    <w:rsid w:val="005C5E0C"/>
    <w:rsid w:val="005C5F6A"/>
    <w:rsid w:val="005C5F7A"/>
    <w:rsid w:val="005C5F9C"/>
    <w:rsid w:val="005C62B4"/>
    <w:rsid w:val="005C6318"/>
    <w:rsid w:val="005C63AA"/>
    <w:rsid w:val="005C64EE"/>
    <w:rsid w:val="005C6BC1"/>
    <w:rsid w:val="005C6C5E"/>
    <w:rsid w:val="005C6E60"/>
    <w:rsid w:val="005C7111"/>
    <w:rsid w:val="005C7215"/>
    <w:rsid w:val="005C7363"/>
    <w:rsid w:val="005C73C4"/>
    <w:rsid w:val="005C7539"/>
    <w:rsid w:val="005C7701"/>
    <w:rsid w:val="005C773D"/>
    <w:rsid w:val="005D00EA"/>
    <w:rsid w:val="005D023B"/>
    <w:rsid w:val="005D0A0A"/>
    <w:rsid w:val="005D0AC1"/>
    <w:rsid w:val="005D0B9C"/>
    <w:rsid w:val="005D0BAD"/>
    <w:rsid w:val="005D0F15"/>
    <w:rsid w:val="005D0F9D"/>
    <w:rsid w:val="005D11EF"/>
    <w:rsid w:val="005D17D7"/>
    <w:rsid w:val="005D1A2B"/>
    <w:rsid w:val="005D1C0C"/>
    <w:rsid w:val="005D1DB8"/>
    <w:rsid w:val="005D22CB"/>
    <w:rsid w:val="005D22DE"/>
    <w:rsid w:val="005D2304"/>
    <w:rsid w:val="005D2673"/>
    <w:rsid w:val="005D26DD"/>
    <w:rsid w:val="005D2D74"/>
    <w:rsid w:val="005D2EA6"/>
    <w:rsid w:val="005D3227"/>
    <w:rsid w:val="005D349C"/>
    <w:rsid w:val="005D3A04"/>
    <w:rsid w:val="005D3A1C"/>
    <w:rsid w:val="005D413E"/>
    <w:rsid w:val="005D4611"/>
    <w:rsid w:val="005D46AD"/>
    <w:rsid w:val="005D48FE"/>
    <w:rsid w:val="005D49A3"/>
    <w:rsid w:val="005D4B1D"/>
    <w:rsid w:val="005D4F17"/>
    <w:rsid w:val="005D51B0"/>
    <w:rsid w:val="005D522D"/>
    <w:rsid w:val="005D53F6"/>
    <w:rsid w:val="005D550C"/>
    <w:rsid w:val="005D5665"/>
    <w:rsid w:val="005D5B47"/>
    <w:rsid w:val="005D64C1"/>
    <w:rsid w:val="005D6EF6"/>
    <w:rsid w:val="005D714F"/>
    <w:rsid w:val="005D7471"/>
    <w:rsid w:val="005D749D"/>
    <w:rsid w:val="005D7A4A"/>
    <w:rsid w:val="005D7B36"/>
    <w:rsid w:val="005E0499"/>
    <w:rsid w:val="005E066D"/>
    <w:rsid w:val="005E07D6"/>
    <w:rsid w:val="005E07EF"/>
    <w:rsid w:val="005E0982"/>
    <w:rsid w:val="005E0B1C"/>
    <w:rsid w:val="005E0C47"/>
    <w:rsid w:val="005E147A"/>
    <w:rsid w:val="005E17C6"/>
    <w:rsid w:val="005E1814"/>
    <w:rsid w:val="005E192D"/>
    <w:rsid w:val="005E1A5A"/>
    <w:rsid w:val="005E1A65"/>
    <w:rsid w:val="005E1B16"/>
    <w:rsid w:val="005E1BE6"/>
    <w:rsid w:val="005E1F2E"/>
    <w:rsid w:val="005E2121"/>
    <w:rsid w:val="005E2282"/>
    <w:rsid w:val="005E23A3"/>
    <w:rsid w:val="005E2702"/>
    <w:rsid w:val="005E30B0"/>
    <w:rsid w:val="005E3355"/>
    <w:rsid w:val="005E37F8"/>
    <w:rsid w:val="005E3D24"/>
    <w:rsid w:val="005E3F60"/>
    <w:rsid w:val="005E40EB"/>
    <w:rsid w:val="005E40EC"/>
    <w:rsid w:val="005E41BE"/>
    <w:rsid w:val="005E4370"/>
    <w:rsid w:val="005E47EE"/>
    <w:rsid w:val="005E4E9B"/>
    <w:rsid w:val="005E507A"/>
    <w:rsid w:val="005E56D0"/>
    <w:rsid w:val="005E5874"/>
    <w:rsid w:val="005E62FE"/>
    <w:rsid w:val="005E6B69"/>
    <w:rsid w:val="005E7010"/>
    <w:rsid w:val="005E73EA"/>
    <w:rsid w:val="005E754D"/>
    <w:rsid w:val="005E75D5"/>
    <w:rsid w:val="005E77B8"/>
    <w:rsid w:val="005E7890"/>
    <w:rsid w:val="005E7B17"/>
    <w:rsid w:val="005E7DE7"/>
    <w:rsid w:val="005F044B"/>
    <w:rsid w:val="005F06BF"/>
    <w:rsid w:val="005F0794"/>
    <w:rsid w:val="005F0837"/>
    <w:rsid w:val="005F0EB3"/>
    <w:rsid w:val="005F10FB"/>
    <w:rsid w:val="005F12DE"/>
    <w:rsid w:val="005F1431"/>
    <w:rsid w:val="005F1555"/>
    <w:rsid w:val="005F1757"/>
    <w:rsid w:val="005F1C32"/>
    <w:rsid w:val="005F1F0D"/>
    <w:rsid w:val="005F2017"/>
    <w:rsid w:val="005F2172"/>
    <w:rsid w:val="005F2311"/>
    <w:rsid w:val="005F2978"/>
    <w:rsid w:val="005F2DAD"/>
    <w:rsid w:val="005F30D6"/>
    <w:rsid w:val="005F3204"/>
    <w:rsid w:val="005F362D"/>
    <w:rsid w:val="005F3895"/>
    <w:rsid w:val="005F3A75"/>
    <w:rsid w:val="005F3DC1"/>
    <w:rsid w:val="005F4504"/>
    <w:rsid w:val="005F4591"/>
    <w:rsid w:val="005F4721"/>
    <w:rsid w:val="005F483C"/>
    <w:rsid w:val="005F485D"/>
    <w:rsid w:val="005F4984"/>
    <w:rsid w:val="005F4E0F"/>
    <w:rsid w:val="005F4F5C"/>
    <w:rsid w:val="005F4F66"/>
    <w:rsid w:val="005F4FB8"/>
    <w:rsid w:val="005F564C"/>
    <w:rsid w:val="005F57C8"/>
    <w:rsid w:val="005F5896"/>
    <w:rsid w:val="005F5907"/>
    <w:rsid w:val="005F5AF1"/>
    <w:rsid w:val="005F6101"/>
    <w:rsid w:val="005F61EA"/>
    <w:rsid w:val="005F641A"/>
    <w:rsid w:val="005F6823"/>
    <w:rsid w:val="005F6F28"/>
    <w:rsid w:val="005F720A"/>
    <w:rsid w:val="005F76FD"/>
    <w:rsid w:val="005F7846"/>
    <w:rsid w:val="00600174"/>
    <w:rsid w:val="006003C2"/>
    <w:rsid w:val="006004A0"/>
    <w:rsid w:val="00600530"/>
    <w:rsid w:val="00600782"/>
    <w:rsid w:val="006007DC"/>
    <w:rsid w:val="00600912"/>
    <w:rsid w:val="00600B64"/>
    <w:rsid w:val="00600C1F"/>
    <w:rsid w:val="00600C26"/>
    <w:rsid w:val="00600C6B"/>
    <w:rsid w:val="00600EF3"/>
    <w:rsid w:val="00601167"/>
    <w:rsid w:val="006012B6"/>
    <w:rsid w:val="006015D5"/>
    <w:rsid w:val="006016E5"/>
    <w:rsid w:val="00601D41"/>
    <w:rsid w:val="00602063"/>
    <w:rsid w:val="0060230F"/>
    <w:rsid w:val="0060233B"/>
    <w:rsid w:val="00602F43"/>
    <w:rsid w:val="00603164"/>
    <w:rsid w:val="00603335"/>
    <w:rsid w:val="0060355D"/>
    <w:rsid w:val="006035A6"/>
    <w:rsid w:val="006037F8"/>
    <w:rsid w:val="00603B08"/>
    <w:rsid w:val="00603C78"/>
    <w:rsid w:val="00603C8E"/>
    <w:rsid w:val="00603EC5"/>
    <w:rsid w:val="00603F19"/>
    <w:rsid w:val="006040AA"/>
    <w:rsid w:val="006040F1"/>
    <w:rsid w:val="00604742"/>
    <w:rsid w:val="00604DB0"/>
    <w:rsid w:val="00604F72"/>
    <w:rsid w:val="00605776"/>
    <w:rsid w:val="0060605A"/>
    <w:rsid w:val="00606182"/>
    <w:rsid w:val="0060622E"/>
    <w:rsid w:val="006064DB"/>
    <w:rsid w:val="0060652A"/>
    <w:rsid w:val="0060653D"/>
    <w:rsid w:val="00606661"/>
    <w:rsid w:val="00606EAB"/>
    <w:rsid w:val="00607000"/>
    <w:rsid w:val="0060757B"/>
    <w:rsid w:val="006078AF"/>
    <w:rsid w:val="00610162"/>
    <w:rsid w:val="00610643"/>
    <w:rsid w:val="006108B8"/>
    <w:rsid w:val="006109C7"/>
    <w:rsid w:val="00610ABA"/>
    <w:rsid w:val="0061112F"/>
    <w:rsid w:val="006112B6"/>
    <w:rsid w:val="006119ED"/>
    <w:rsid w:val="00611BB2"/>
    <w:rsid w:val="00611DD5"/>
    <w:rsid w:val="00611F7B"/>
    <w:rsid w:val="0061209D"/>
    <w:rsid w:val="00612184"/>
    <w:rsid w:val="00612412"/>
    <w:rsid w:val="00612709"/>
    <w:rsid w:val="006129E7"/>
    <w:rsid w:val="00612A15"/>
    <w:rsid w:val="00612AB4"/>
    <w:rsid w:val="00612C88"/>
    <w:rsid w:val="00613037"/>
    <w:rsid w:val="00613390"/>
    <w:rsid w:val="006135AB"/>
    <w:rsid w:val="006138E4"/>
    <w:rsid w:val="00613C01"/>
    <w:rsid w:val="00614206"/>
    <w:rsid w:val="00614434"/>
    <w:rsid w:val="00614456"/>
    <w:rsid w:val="006144F6"/>
    <w:rsid w:val="006148D3"/>
    <w:rsid w:val="00614B45"/>
    <w:rsid w:val="00614B6F"/>
    <w:rsid w:val="00614BAA"/>
    <w:rsid w:val="0061515C"/>
    <w:rsid w:val="00615218"/>
    <w:rsid w:val="006154E7"/>
    <w:rsid w:val="006154F0"/>
    <w:rsid w:val="00615579"/>
    <w:rsid w:val="006161DE"/>
    <w:rsid w:val="00616219"/>
    <w:rsid w:val="0061631B"/>
    <w:rsid w:val="00616407"/>
    <w:rsid w:val="00616ED7"/>
    <w:rsid w:val="00616EFF"/>
    <w:rsid w:val="006175C0"/>
    <w:rsid w:val="00620094"/>
    <w:rsid w:val="00620580"/>
    <w:rsid w:val="00620E5A"/>
    <w:rsid w:val="00620EC7"/>
    <w:rsid w:val="00621050"/>
    <w:rsid w:val="0062136E"/>
    <w:rsid w:val="006217A2"/>
    <w:rsid w:val="00621898"/>
    <w:rsid w:val="00621A33"/>
    <w:rsid w:val="00621B28"/>
    <w:rsid w:val="00621B7D"/>
    <w:rsid w:val="006220CC"/>
    <w:rsid w:val="00622164"/>
    <w:rsid w:val="00622171"/>
    <w:rsid w:val="00622908"/>
    <w:rsid w:val="006232FC"/>
    <w:rsid w:val="00623967"/>
    <w:rsid w:val="00623AD9"/>
    <w:rsid w:val="00623DBF"/>
    <w:rsid w:val="00623E38"/>
    <w:rsid w:val="00624212"/>
    <w:rsid w:val="00624294"/>
    <w:rsid w:val="006245CB"/>
    <w:rsid w:val="00624758"/>
    <w:rsid w:val="00624887"/>
    <w:rsid w:val="006248D2"/>
    <w:rsid w:val="00624A78"/>
    <w:rsid w:val="00624F0F"/>
    <w:rsid w:val="00624F8E"/>
    <w:rsid w:val="006250E9"/>
    <w:rsid w:val="00625AB0"/>
    <w:rsid w:val="00625B11"/>
    <w:rsid w:val="00625E27"/>
    <w:rsid w:val="00625F27"/>
    <w:rsid w:val="0062672A"/>
    <w:rsid w:val="00626869"/>
    <w:rsid w:val="0062690E"/>
    <w:rsid w:val="00627051"/>
    <w:rsid w:val="00627769"/>
    <w:rsid w:val="00627912"/>
    <w:rsid w:val="00630014"/>
    <w:rsid w:val="0063007F"/>
    <w:rsid w:val="006308AC"/>
    <w:rsid w:val="00630AA8"/>
    <w:rsid w:val="00630D21"/>
    <w:rsid w:val="00630E98"/>
    <w:rsid w:val="00630EC9"/>
    <w:rsid w:val="00630F43"/>
    <w:rsid w:val="00630FAE"/>
    <w:rsid w:val="006312FF"/>
    <w:rsid w:val="00631465"/>
    <w:rsid w:val="006317BC"/>
    <w:rsid w:val="00631B74"/>
    <w:rsid w:val="006323C1"/>
    <w:rsid w:val="00632537"/>
    <w:rsid w:val="006329CE"/>
    <w:rsid w:val="006329D8"/>
    <w:rsid w:val="00632B08"/>
    <w:rsid w:val="006330B0"/>
    <w:rsid w:val="0063327D"/>
    <w:rsid w:val="006337D7"/>
    <w:rsid w:val="00633B2F"/>
    <w:rsid w:val="00633BB3"/>
    <w:rsid w:val="00633E3F"/>
    <w:rsid w:val="00633E6C"/>
    <w:rsid w:val="00634722"/>
    <w:rsid w:val="00634C19"/>
    <w:rsid w:val="006350D8"/>
    <w:rsid w:val="006350E3"/>
    <w:rsid w:val="006355FB"/>
    <w:rsid w:val="0063576C"/>
    <w:rsid w:val="006357CC"/>
    <w:rsid w:val="00635AC6"/>
    <w:rsid w:val="00635C0E"/>
    <w:rsid w:val="00635CD7"/>
    <w:rsid w:val="006360C6"/>
    <w:rsid w:val="00636207"/>
    <w:rsid w:val="00636454"/>
    <w:rsid w:val="006369E7"/>
    <w:rsid w:val="00636BF0"/>
    <w:rsid w:val="006374DD"/>
    <w:rsid w:val="00637A0A"/>
    <w:rsid w:val="00637C78"/>
    <w:rsid w:val="00637D5C"/>
    <w:rsid w:val="006402E0"/>
    <w:rsid w:val="006404B1"/>
    <w:rsid w:val="00640754"/>
    <w:rsid w:val="00640A03"/>
    <w:rsid w:val="00640C31"/>
    <w:rsid w:val="00640F6D"/>
    <w:rsid w:val="006414A4"/>
    <w:rsid w:val="006415A1"/>
    <w:rsid w:val="0064163B"/>
    <w:rsid w:val="006417A2"/>
    <w:rsid w:val="006418D8"/>
    <w:rsid w:val="006419D2"/>
    <w:rsid w:val="00641A7E"/>
    <w:rsid w:val="00641D62"/>
    <w:rsid w:val="00641DAF"/>
    <w:rsid w:val="006424EF"/>
    <w:rsid w:val="006429ED"/>
    <w:rsid w:val="00642B56"/>
    <w:rsid w:val="00643058"/>
    <w:rsid w:val="00643226"/>
    <w:rsid w:val="006433FE"/>
    <w:rsid w:val="00643925"/>
    <w:rsid w:val="00643D74"/>
    <w:rsid w:val="00644005"/>
    <w:rsid w:val="006440CE"/>
    <w:rsid w:val="00644205"/>
    <w:rsid w:val="0064442F"/>
    <w:rsid w:val="0064467D"/>
    <w:rsid w:val="00644B71"/>
    <w:rsid w:val="00644CF9"/>
    <w:rsid w:val="00644F3D"/>
    <w:rsid w:val="00645031"/>
    <w:rsid w:val="0064527C"/>
    <w:rsid w:val="00645532"/>
    <w:rsid w:val="006456FC"/>
    <w:rsid w:val="00645924"/>
    <w:rsid w:val="006459EF"/>
    <w:rsid w:val="00645DC6"/>
    <w:rsid w:val="00645DEB"/>
    <w:rsid w:val="00645F73"/>
    <w:rsid w:val="0064640C"/>
    <w:rsid w:val="00646521"/>
    <w:rsid w:val="006465F3"/>
    <w:rsid w:val="00646B48"/>
    <w:rsid w:val="00646E7B"/>
    <w:rsid w:val="00646EA4"/>
    <w:rsid w:val="006501D8"/>
    <w:rsid w:val="006504BD"/>
    <w:rsid w:val="006506C4"/>
    <w:rsid w:val="0065097D"/>
    <w:rsid w:val="0065106C"/>
    <w:rsid w:val="0065108C"/>
    <w:rsid w:val="006516AC"/>
    <w:rsid w:val="006521A3"/>
    <w:rsid w:val="006522E6"/>
    <w:rsid w:val="006524D2"/>
    <w:rsid w:val="0065288F"/>
    <w:rsid w:val="00652944"/>
    <w:rsid w:val="00652A4A"/>
    <w:rsid w:val="00652D0B"/>
    <w:rsid w:val="00653102"/>
    <w:rsid w:val="006531CC"/>
    <w:rsid w:val="006533DD"/>
    <w:rsid w:val="00653459"/>
    <w:rsid w:val="006534BF"/>
    <w:rsid w:val="006537D7"/>
    <w:rsid w:val="0065396E"/>
    <w:rsid w:val="00653A58"/>
    <w:rsid w:val="00653AD8"/>
    <w:rsid w:val="00653F73"/>
    <w:rsid w:val="006543D5"/>
    <w:rsid w:val="0065444A"/>
    <w:rsid w:val="00654497"/>
    <w:rsid w:val="006545E9"/>
    <w:rsid w:val="00654722"/>
    <w:rsid w:val="00654807"/>
    <w:rsid w:val="006549BB"/>
    <w:rsid w:val="00654D20"/>
    <w:rsid w:val="00654EAE"/>
    <w:rsid w:val="00654F68"/>
    <w:rsid w:val="00655198"/>
    <w:rsid w:val="006552A8"/>
    <w:rsid w:val="006553E4"/>
    <w:rsid w:val="006556CB"/>
    <w:rsid w:val="006558FB"/>
    <w:rsid w:val="00655CF9"/>
    <w:rsid w:val="00655D45"/>
    <w:rsid w:val="00655D89"/>
    <w:rsid w:val="00655F53"/>
    <w:rsid w:val="0065633A"/>
    <w:rsid w:val="00656625"/>
    <w:rsid w:val="00656A1B"/>
    <w:rsid w:val="00656BDE"/>
    <w:rsid w:val="00656C1E"/>
    <w:rsid w:val="00656D2E"/>
    <w:rsid w:val="006570B3"/>
    <w:rsid w:val="0065714C"/>
    <w:rsid w:val="0065715B"/>
    <w:rsid w:val="006571C2"/>
    <w:rsid w:val="006579B1"/>
    <w:rsid w:val="00657C35"/>
    <w:rsid w:val="00660337"/>
    <w:rsid w:val="0066039E"/>
    <w:rsid w:val="0066042A"/>
    <w:rsid w:val="0066071A"/>
    <w:rsid w:val="00660A74"/>
    <w:rsid w:val="00660F4E"/>
    <w:rsid w:val="006611C3"/>
    <w:rsid w:val="006611D8"/>
    <w:rsid w:val="00661B5E"/>
    <w:rsid w:val="00661CCD"/>
    <w:rsid w:val="00661E70"/>
    <w:rsid w:val="00661F62"/>
    <w:rsid w:val="0066203E"/>
    <w:rsid w:val="0066212B"/>
    <w:rsid w:val="00662201"/>
    <w:rsid w:val="00662D70"/>
    <w:rsid w:val="00662E5F"/>
    <w:rsid w:val="00662EFC"/>
    <w:rsid w:val="00662F4C"/>
    <w:rsid w:val="00662F70"/>
    <w:rsid w:val="006636E3"/>
    <w:rsid w:val="00663EA5"/>
    <w:rsid w:val="00664434"/>
    <w:rsid w:val="00664501"/>
    <w:rsid w:val="00664737"/>
    <w:rsid w:val="00664853"/>
    <w:rsid w:val="00664930"/>
    <w:rsid w:val="00665095"/>
    <w:rsid w:val="00665274"/>
    <w:rsid w:val="006654FD"/>
    <w:rsid w:val="00665511"/>
    <w:rsid w:val="00665554"/>
    <w:rsid w:val="0066561F"/>
    <w:rsid w:val="00665A97"/>
    <w:rsid w:val="00665D88"/>
    <w:rsid w:val="00665FF0"/>
    <w:rsid w:val="006661F2"/>
    <w:rsid w:val="00666931"/>
    <w:rsid w:val="00666A20"/>
    <w:rsid w:val="00666A58"/>
    <w:rsid w:val="00666C59"/>
    <w:rsid w:val="00666DF2"/>
    <w:rsid w:val="00666FED"/>
    <w:rsid w:val="00667624"/>
    <w:rsid w:val="006676EE"/>
    <w:rsid w:val="00667752"/>
    <w:rsid w:val="00667907"/>
    <w:rsid w:val="00667BD9"/>
    <w:rsid w:val="00670247"/>
    <w:rsid w:val="00670650"/>
    <w:rsid w:val="0067079C"/>
    <w:rsid w:val="00670899"/>
    <w:rsid w:val="00670DB5"/>
    <w:rsid w:val="00671074"/>
    <w:rsid w:val="00671135"/>
    <w:rsid w:val="006712AD"/>
    <w:rsid w:val="006712C0"/>
    <w:rsid w:val="0067149A"/>
    <w:rsid w:val="00671711"/>
    <w:rsid w:val="00671730"/>
    <w:rsid w:val="00671C4E"/>
    <w:rsid w:val="00671D48"/>
    <w:rsid w:val="00671EDF"/>
    <w:rsid w:val="00672079"/>
    <w:rsid w:val="0067258A"/>
    <w:rsid w:val="006728CD"/>
    <w:rsid w:val="00672D4D"/>
    <w:rsid w:val="006730CF"/>
    <w:rsid w:val="00673408"/>
    <w:rsid w:val="00673790"/>
    <w:rsid w:val="00673BE8"/>
    <w:rsid w:val="00674002"/>
    <w:rsid w:val="006744AC"/>
    <w:rsid w:val="00674794"/>
    <w:rsid w:val="00674AAC"/>
    <w:rsid w:val="00674C7D"/>
    <w:rsid w:val="00674CB0"/>
    <w:rsid w:val="00674FE5"/>
    <w:rsid w:val="0067505C"/>
    <w:rsid w:val="00675076"/>
    <w:rsid w:val="006750E4"/>
    <w:rsid w:val="0067514A"/>
    <w:rsid w:val="00675289"/>
    <w:rsid w:val="0067529E"/>
    <w:rsid w:val="0067536B"/>
    <w:rsid w:val="006755A0"/>
    <w:rsid w:val="006756BF"/>
    <w:rsid w:val="00675858"/>
    <w:rsid w:val="006759B4"/>
    <w:rsid w:val="00675BFF"/>
    <w:rsid w:val="00676586"/>
    <w:rsid w:val="00676650"/>
    <w:rsid w:val="006768C2"/>
    <w:rsid w:val="006769ED"/>
    <w:rsid w:val="006769FA"/>
    <w:rsid w:val="00676B93"/>
    <w:rsid w:val="00676DC2"/>
    <w:rsid w:val="00676E5F"/>
    <w:rsid w:val="00677420"/>
    <w:rsid w:val="006777ED"/>
    <w:rsid w:val="00677ADB"/>
    <w:rsid w:val="00677C9A"/>
    <w:rsid w:val="006801B9"/>
    <w:rsid w:val="0068059E"/>
    <w:rsid w:val="0068061F"/>
    <w:rsid w:val="00680675"/>
    <w:rsid w:val="006806E2"/>
    <w:rsid w:val="00680863"/>
    <w:rsid w:val="00680893"/>
    <w:rsid w:val="00680B40"/>
    <w:rsid w:val="00680BEE"/>
    <w:rsid w:val="00680C6A"/>
    <w:rsid w:val="00680C8E"/>
    <w:rsid w:val="00680D40"/>
    <w:rsid w:val="00680E5B"/>
    <w:rsid w:val="0068106A"/>
    <w:rsid w:val="0068110F"/>
    <w:rsid w:val="006812D0"/>
    <w:rsid w:val="00681383"/>
    <w:rsid w:val="00681638"/>
    <w:rsid w:val="006817AC"/>
    <w:rsid w:val="00681A6F"/>
    <w:rsid w:val="00681EC9"/>
    <w:rsid w:val="00682067"/>
    <w:rsid w:val="006822A5"/>
    <w:rsid w:val="006822FA"/>
    <w:rsid w:val="0068268D"/>
    <w:rsid w:val="0068284F"/>
    <w:rsid w:val="0068288C"/>
    <w:rsid w:val="00682C5D"/>
    <w:rsid w:val="00682F4C"/>
    <w:rsid w:val="00683094"/>
    <w:rsid w:val="006836E4"/>
    <w:rsid w:val="006837F6"/>
    <w:rsid w:val="00683993"/>
    <w:rsid w:val="00683F36"/>
    <w:rsid w:val="00684647"/>
    <w:rsid w:val="006849B0"/>
    <w:rsid w:val="00684CF5"/>
    <w:rsid w:val="00684DFD"/>
    <w:rsid w:val="00684F7E"/>
    <w:rsid w:val="0068515E"/>
    <w:rsid w:val="0068554C"/>
    <w:rsid w:val="00685589"/>
    <w:rsid w:val="00685A0E"/>
    <w:rsid w:val="00685C21"/>
    <w:rsid w:val="0068647E"/>
    <w:rsid w:val="0068666D"/>
    <w:rsid w:val="0068682C"/>
    <w:rsid w:val="00686A3F"/>
    <w:rsid w:val="00687656"/>
    <w:rsid w:val="0068775C"/>
    <w:rsid w:val="006878F4"/>
    <w:rsid w:val="00687BD0"/>
    <w:rsid w:val="00687DA5"/>
    <w:rsid w:val="00690046"/>
    <w:rsid w:val="00690095"/>
    <w:rsid w:val="006901E0"/>
    <w:rsid w:val="0069030B"/>
    <w:rsid w:val="0069066F"/>
    <w:rsid w:val="006910D9"/>
    <w:rsid w:val="00691179"/>
    <w:rsid w:val="006911F2"/>
    <w:rsid w:val="006911FC"/>
    <w:rsid w:val="00691967"/>
    <w:rsid w:val="00691A0B"/>
    <w:rsid w:val="00691EE4"/>
    <w:rsid w:val="0069245A"/>
    <w:rsid w:val="0069256E"/>
    <w:rsid w:val="006927F2"/>
    <w:rsid w:val="00692EE9"/>
    <w:rsid w:val="006933A6"/>
    <w:rsid w:val="00693413"/>
    <w:rsid w:val="006938AA"/>
    <w:rsid w:val="00693B31"/>
    <w:rsid w:val="00693B39"/>
    <w:rsid w:val="00693DA4"/>
    <w:rsid w:val="00694443"/>
    <w:rsid w:val="00694547"/>
    <w:rsid w:val="006946E2"/>
    <w:rsid w:val="006946EE"/>
    <w:rsid w:val="0069474B"/>
    <w:rsid w:val="0069475D"/>
    <w:rsid w:val="0069488F"/>
    <w:rsid w:val="00695016"/>
    <w:rsid w:val="00695056"/>
    <w:rsid w:val="006951E4"/>
    <w:rsid w:val="006952B5"/>
    <w:rsid w:val="00695354"/>
    <w:rsid w:val="00695447"/>
    <w:rsid w:val="00695757"/>
    <w:rsid w:val="00695AAA"/>
    <w:rsid w:val="00695B4A"/>
    <w:rsid w:val="00695B76"/>
    <w:rsid w:val="00695DED"/>
    <w:rsid w:val="00695FAE"/>
    <w:rsid w:val="00696339"/>
    <w:rsid w:val="00697188"/>
    <w:rsid w:val="0069721E"/>
    <w:rsid w:val="006973AE"/>
    <w:rsid w:val="00697713"/>
    <w:rsid w:val="00697784"/>
    <w:rsid w:val="00697966"/>
    <w:rsid w:val="00697AB3"/>
    <w:rsid w:val="00697F31"/>
    <w:rsid w:val="006A00B7"/>
    <w:rsid w:val="006A01A1"/>
    <w:rsid w:val="006A0AF4"/>
    <w:rsid w:val="006A0D2B"/>
    <w:rsid w:val="006A0D3E"/>
    <w:rsid w:val="006A0F1D"/>
    <w:rsid w:val="006A1560"/>
    <w:rsid w:val="006A15C3"/>
    <w:rsid w:val="006A1A6F"/>
    <w:rsid w:val="006A1AF9"/>
    <w:rsid w:val="006A2284"/>
    <w:rsid w:val="006A2344"/>
    <w:rsid w:val="006A27CF"/>
    <w:rsid w:val="006A2C75"/>
    <w:rsid w:val="006A2EED"/>
    <w:rsid w:val="006A346F"/>
    <w:rsid w:val="006A36EC"/>
    <w:rsid w:val="006A37CF"/>
    <w:rsid w:val="006A39BF"/>
    <w:rsid w:val="006A3A2B"/>
    <w:rsid w:val="006A4167"/>
    <w:rsid w:val="006A43A9"/>
    <w:rsid w:val="006A48F6"/>
    <w:rsid w:val="006A4BE9"/>
    <w:rsid w:val="006A4DCE"/>
    <w:rsid w:val="006A4EF3"/>
    <w:rsid w:val="006A54A9"/>
    <w:rsid w:val="006A5986"/>
    <w:rsid w:val="006A6024"/>
    <w:rsid w:val="006A6164"/>
    <w:rsid w:val="006A6295"/>
    <w:rsid w:val="006A6354"/>
    <w:rsid w:val="006A64C0"/>
    <w:rsid w:val="006A6739"/>
    <w:rsid w:val="006A68F5"/>
    <w:rsid w:val="006A6BC1"/>
    <w:rsid w:val="006A6BF1"/>
    <w:rsid w:val="006A6F03"/>
    <w:rsid w:val="006A76FE"/>
    <w:rsid w:val="006A7F36"/>
    <w:rsid w:val="006B0059"/>
    <w:rsid w:val="006B057D"/>
    <w:rsid w:val="006B1148"/>
    <w:rsid w:val="006B1284"/>
    <w:rsid w:val="006B18BF"/>
    <w:rsid w:val="006B193E"/>
    <w:rsid w:val="006B1BB4"/>
    <w:rsid w:val="006B1E88"/>
    <w:rsid w:val="006B2118"/>
    <w:rsid w:val="006B240E"/>
    <w:rsid w:val="006B2AF4"/>
    <w:rsid w:val="006B2C79"/>
    <w:rsid w:val="006B301F"/>
    <w:rsid w:val="006B3032"/>
    <w:rsid w:val="006B3202"/>
    <w:rsid w:val="006B3E9F"/>
    <w:rsid w:val="006B3EEF"/>
    <w:rsid w:val="006B3F15"/>
    <w:rsid w:val="006B41D6"/>
    <w:rsid w:val="006B44EA"/>
    <w:rsid w:val="006B4ADC"/>
    <w:rsid w:val="006B4B4A"/>
    <w:rsid w:val="006B4E2A"/>
    <w:rsid w:val="006B4FD7"/>
    <w:rsid w:val="006B508C"/>
    <w:rsid w:val="006B560C"/>
    <w:rsid w:val="006B57CE"/>
    <w:rsid w:val="006B58F7"/>
    <w:rsid w:val="006B5DB6"/>
    <w:rsid w:val="006B5F48"/>
    <w:rsid w:val="006B68D6"/>
    <w:rsid w:val="006B6D40"/>
    <w:rsid w:val="006B7450"/>
    <w:rsid w:val="006B7498"/>
    <w:rsid w:val="006B75C6"/>
    <w:rsid w:val="006B78BA"/>
    <w:rsid w:val="006B7913"/>
    <w:rsid w:val="006B799A"/>
    <w:rsid w:val="006B7D1E"/>
    <w:rsid w:val="006C02DA"/>
    <w:rsid w:val="006C06CB"/>
    <w:rsid w:val="006C07A1"/>
    <w:rsid w:val="006C08D8"/>
    <w:rsid w:val="006C08E7"/>
    <w:rsid w:val="006C09E0"/>
    <w:rsid w:val="006C0F04"/>
    <w:rsid w:val="006C116A"/>
    <w:rsid w:val="006C1CAC"/>
    <w:rsid w:val="006C1EC6"/>
    <w:rsid w:val="006C1FF6"/>
    <w:rsid w:val="006C2027"/>
    <w:rsid w:val="006C21C5"/>
    <w:rsid w:val="006C25C5"/>
    <w:rsid w:val="006C26B2"/>
    <w:rsid w:val="006C295C"/>
    <w:rsid w:val="006C2B6E"/>
    <w:rsid w:val="006C2BAF"/>
    <w:rsid w:val="006C2D14"/>
    <w:rsid w:val="006C2D56"/>
    <w:rsid w:val="006C30F1"/>
    <w:rsid w:val="006C3356"/>
    <w:rsid w:val="006C354C"/>
    <w:rsid w:val="006C38F9"/>
    <w:rsid w:val="006C390A"/>
    <w:rsid w:val="006C3949"/>
    <w:rsid w:val="006C3B76"/>
    <w:rsid w:val="006C3E83"/>
    <w:rsid w:val="006C3F5B"/>
    <w:rsid w:val="006C4560"/>
    <w:rsid w:val="006C4572"/>
    <w:rsid w:val="006C4A14"/>
    <w:rsid w:val="006C4FE5"/>
    <w:rsid w:val="006C5673"/>
    <w:rsid w:val="006C5AC9"/>
    <w:rsid w:val="006C5B05"/>
    <w:rsid w:val="006C5F60"/>
    <w:rsid w:val="006C61E1"/>
    <w:rsid w:val="006C62B8"/>
    <w:rsid w:val="006C631A"/>
    <w:rsid w:val="006C64DD"/>
    <w:rsid w:val="006C655A"/>
    <w:rsid w:val="006C70C4"/>
    <w:rsid w:val="006C748C"/>
    <w:rsid w:val="006C7B03"/>
    <w:rsid w:val="006C7BA0"/>
    <w:rsid w:val="006C7E4F"/>
    <w:rsid w:val="006C7FDB"/>
    <w:rsid w:val="006D0125"/>
    <w:rsid w:val="006D0437"/>
    <w:rsid w:val="006D096E"/>
    <w:rsid w:val="006D0CFE"/>
    <w:rsid w:val="006D0EC2"/>
    <w:rsid w:val="006D1DB0"/>
    <w:rsid w:val="006D1FFA"/>
    <w:rsid w:val="006D20D4"/>
    <w:rsid w:val="006D2123"/>
    <w:rsid w:val="006D2674"/>
    <w:rsid w:val="006D27DE"/>
    <w:rsid w:val="006D35C9"/>
    <w:rsid w:val="006D3738"/>
    <w:rsid w:val="006D3829"/>
    <w:rsid w:val="006D39BD"/>
    <w:rsid w:val="006D41EB"/>
    <w:rsid w:val="006D44FF"/>
    <w:rsid w:val="006D48C6"/>
    <w:rsid w:val="006D4C72"/>
    <w:rsid w:val="006D4CF9"/>
    <w:rsid w:val="006D4E4C"/>
    <w:rsid w:val="006D4E6A"/>
    <w:rsid w:val="006D52D1"/>
    <w:rsid w:val="006D549E"/>
    <w:rsid w:val="006D5585"/>
    <w:rsid w:val="006D591D"/>
    <w:rsid w:val="006D5AA7"/>
    <w:rsid w:val="006D5F76"/>
    <w:rsid w:val="006D5F80"/>
    <w:rsid w:val="006D5FAF"/>
    <w:rsid w:val="006D618B"/>
    <w:rsid w:val="006D6B71"/>
    <w:rsid w:val="006D6D96"/>
    <w:rsid w:val="006D7211"/>
    <w:rsid w:val="006D75C8"/>
    <w:rsid w:val="006D75D1"/>
    <w:rsid w:val="006D778B"/>
    <w:rsid w:val="006D77DA"/>
    <w:rsid w:val="006D7BB1"/>
    <w:rsid w:val="006D7CC3"/>
    <w:rsid w:val="006E06F6"/>
    <w:rsid w:val="006E089F"/>
    <w:rsid w:val="006E09AF"/>
    <w:rsid w:val="006E0A93"/>
    <w:rsid w:val="006E0B47"/>
    <w:rsid w:val="006E0EE4"/>
    <w:rsid w:val="006E0F1A"/>
    <w:rsid w:val="006E0FA5"/>
    <w:rsid w:val="006E118E"/>
    <w:rsid w:val="006E1AA1"/>
    <w:rsid w:val="006E2AF4"/>
    <w:rsid w:val="006E2C1A"/>
    <w:rsid w:val="006E302B"/>
    <w:rsid w:val="006E30B6"/>
    <w:rsid w:val="006E34E9"/>
    <w:rsid w:val="006E37D4"/>
    <w:rsid w:val="006E3B6B"/>
    <w:rsid w:val="006E3DA0"/>
    <w:rsid w:val="006E3E74"/>
    <w:rsid w:val="006E422B"/>
    <w:rsid w:val="006E44AB"/>
    <w:rsid w:val="006E4B77"/>
    <w:rsid w:val="006E4C57"/>
    <w:rsid w:val="006E4ED2"/>
    <w:rsid w:val="006E4F77"/>
    <w:rsid w:val="006E51CA"/>
    <w:rsid w:val="006E52C4"/>
    <w:rsid w:val="006E5316"/>
    <w:rsid w:val="006E5362"/>
    <w:rsid w:val="006E53AF"/>
    <w:rsid w:val="006E5A71"/>
    <w:rsid w:val="006E5AC3"/>
    <w:rsid w:val="006E5E57"/>
    <w:rsid w:val="006E612E"/>
    <w:rsid w:val="006E63D2"/>
    <w:rsid w:val="006E656B"/>
    <w:rsid w:val="006E6B8E"/>
    <w:rsid w:val="006E6F1B"/>
    <w:rsid w:val="006E706D"/>
    <w:rsid w:val="006E70A3"/>
    <w:rsid w:val="006E737B"/>
    <w:rsid w:val="006E7386"/>
    <w:rsid w:val="006E74B5"/>
    <w:rsid w:val="006E78B2"/>
    <w:rsid w:val="006E7AF0"/>
    <w:rsid w:val="006E7BA2"/>
    <w:rsid w:val="006E7C22"/>
    <w:rsid w:val="006E7D5D"/>
    <w:rsid w:val="006F0023"/>
    <w:rsid w:val="006F088A"/>
    <w:rsid w:val="006F0C18"/>
    <w:rsid w:val="006F0D30"/>
    <w:rsid w:val="006F0D46"/>
    <w:rsid w:val="006F0D85"/>
    <w:rsid w:val="006F0E5A"/>
    <w:rsid w:val="006F2288"/>
    <w:rsid w:val="006F23DD"/>
    <w:rsid w:val="006F2487"/>
    <w:rsid w:val="006F2618"/>
    <w:rsid w:val="006F2819"/>
    <w:rsid w:val="006F2878"/>
    <w:rsid w:val="006F2E3B"/>
    <w:rsid w:val="006F36CF"/>
    <w:rsid w:val="006F3773"/>
    <w:rsid w:val="006F3779"/>
    <w:rsid w:val="006F3927"/>
    <w:rsid w:val="006F3996"/>
    <w:rsid w:val="006F3A45"/>
    <w:rsid w:val="006F3DBB"/>
    <w:rsid w:val="006F3ECF"/>
    <w:rsid w:val="006F3FDD"/>
    <w:rsid w:val="006F453A"/>
    <w:rsid w:val="006F4C80"/>
    <w:rsid w:val="006F50AF"/>
    <w:rsid w:val="006F50F1"/>
    <w:rsid w:val="006F5158"/>
    <w:rsid w:val="006F56B0"/>
    <w:rsid w:val="006F59B0"/>
    <w:rsid w:val="006F5C41"/>
    <w:rsid w:val="006F5F89"/>
    <w:rsid w:val="006F61A8"/>
    <w:rsid w:val="006F690B"/>
    <w:rsid w:val="006F69AC"/>
    <w:rsid w:val="006F6A3D"/>
    <w:rsid w:val="006F6D3D"/>
    <w:rsid w:val="006F6F05"/>
    <w:rsid w:val="006F6F54"/>
    <w:rsid w:val="006F724B"/>
    <w:rsid w:val="006F74C4"/>
    <w:rsid w:val="006F7845"/>
    <w:rsid w:val="006F78B7"/>
    <w:rsid w:val="006F78C6"/>
    <w:rsid w:val="006F78CA"/>
    <w:rsid w:val="006F7AEE"/>
    <w:rsid w:val="006F7BBD"/>
    <w:rsid w:val="006F7E8E"/>
    <w:rsid w:val="007001B8"/>
    <w:rsid w:val="00700870"/>
    <w:rsid w:val="00700950"/>
    <w:rsid w:val="00700DD5"/>
    <w:rsid w:val="00701136"/>
    <w:rsid w:val="00701154"/>
    <w:rsid w:val="007012A9"/>
    <w:rsid w:val="00701472"/>
    <w:rsid w:val="00701F25"/>
    <w:rsid w:val="00702019"/>
    <w:rsid w:val="007021DC"/>
    <w:rsid w:val="007026AF"/>
    <w:rsid w:val="007028F1"/>
    <w:rsid w:val="0070306A"/>
    <w:rsid w:val="0070319A"/>
    <w:rsid w:val="007031C3"/>
    <w:rsid w:val="0070367E"/>
    <w:rsid w:val="007037C8"/>
    <w:rsid w:val="00703CB4"/>
    <w:rsid w:val="00703D84"/>
    <w:rsid w:val="00704176"/>
    <w:rsid w:val="007045F9"/>
    <w:rsid w:val="00704A8E"/>
    <w:rsid w:val="00704C46"/>
    <w:rsid w:val="0070501F"/>
    <w:rsid w:val="00705B78"/>
    <w:rsid w:val="00705BD9"/>
    <w:rsid w:val="00705D82"/>
    <w:rsid w:val="00705FCF"/>
    <w:rsid w:val="007060E2"/>
    <w:rsid w:val="00706348"/>
    <w:rsid w:val="0070709A"/>
    <w:rsid w:val="007075B3"/>
    <w:rsid w:val="0070791C"/>
    <w:rsid w:val="00707C18"/>
    <w:rsid w:val="0071007B"/>
    <w:rsid w:val="0071019C"/>
    <w:rsid w:val="007103A9"/>
    <w:rsid w:val="00710C03"/>
    <w:rsid w:val="00710CDF"/>
    <w:rsid w:val="00711239"/>
    <w:rsid w:val="00711376"/>
    <w:rsid w:val="007116FB"/>
    <w:rsid w:val="0071187A"/>
    <w:rsid w:val="0071189F"/>
    <w:rsid w:val="0071260F"/>
    <w:rsid w:val="00712C47"/>
    <w:rsid w:val="00712D19"/>
    <w:rsid w:val="007134EE"/>
    <w:rsid w:val="007143D5"/>
    <w:rsid w:val="00714762"/>
    <w:rsid w:val="007149A2"/>
    <w:rsid w:val="00714ECA"/>
    <w:rsid w:val="0071558D"/>
    <w:rsid w:val="00715A5A"/>
    <w:rsid w:val="00715CFE"/>
    <w:rsid w:val="00715DBA"/>
    <w:rsid w:val="00715FE2"/>
    <w:rsid w:val="00716AD2"/>
    <w:rsid w:val="0071759E"/>
    <w:rsid w:val="00717675"/>
    <w:rsid w:val="00717B4A"/>
    <w:rsid w:val="00717C4F"/>
    <w:rsid w:val="00717D10"/>
    <w:rsid w:val="0071C0A0"/>
    <w:rsid w:val="007203CA"/>
    <w:rsid w:val="007208A4"/>
    <w:rsid w:val="00720D0D"/>
    <w:rsid w:val="00720E87"/>
    <w:rsid w:val="00720FBD"/>
    <w:rsid w:val="0072172A"/>
    <w:rsid w:val="00721802"/>
    <w:rsid w:val="0072182D"/>
    <w:rsid w:val="007219AF"/>
    <w:rsid w:val="007225F2"/>
    <w:rsid w:val="007226F5"/>
    <w:rsid w:val="00722B44"/>
    <w:rsid w:val="00722E5E"/>
    <w:rsid w:val="00723097"/>
    <w:rsid w:val="00723100"/>
    <w:rsid w:val="007233D8"/>
    <w:rsid w:val="00723491"/>
    <w:rsid w:val="0072371B"/>
    <w:rsid w:val="00723812"/>
    <w:rsid w:val="00723B03"/>
    <w:rsid w:val="00723B2C"/>
    <w:rsid w:val="00723E2C"/>
    <w:rsid w:val="0072429A"/>
    <w:rsid w:val="00724A32"/>
    <w:rsid w:val="00724ED0"/>
    <w:rsid w:val="00724F71"/>
    <w:rsid w:val="00724F92"/>
    <w:rsid w:val="0072520C"/>
    <w:rsid w:val="007252AF"/>
    <w:rsid w:val="007253D6"/>
    <w:rsid w:val="007256C0"/>
    <w:rsid w:val="0072578A"/>
    <w:rsid w:val="0072597A"/>
    <w:rsid w:val="00725C8E"/>
    <w:rsid w:val="00725DCE"/>
    <w:rsid w:val="00726080"/>
    <w:rsid w:val="00726410"/>
    <w:rsid w:val="00726994"/>
    <w:rsid w:val="00726D6F"/>
    <w:rsid w:val="007273E2"/>
    <w:rsid w:val="00727420"/>
    <w:rsid w:val="00727475"/>
    <w:rsid w:val="00727992"/>
    <w:rsid w:val="00727B90"/>
    <w:rsid w:val="00727E33"/>
    <w:rsid w:val="0073026D"/>
    <w:rsid w:val="0073063D"/>
    <w:rsid w:val="0073070D"/>
    <w:rsid w:val="00730ABF"/>
    <w:rsid w:val="00730C6F"/>
    <w:rsid w:val="00730CEA"/>
    <w:rsid w:val="00730FB1"/>
    <w:rsid w:val="00730FE0"/>
    <w:rsid w:val="007311F7"/>
    <w:rsid w:val="007313A6"/>
    <w:rsid w:val="00731682"/>
    <w:rsid w:val="00731819"/>
    <w:rsid w:val="00731961"/>
    <w:rsid w:val="00731C27"/>
    <w:rsid w:val="00731E88"/>
    <w:rsid w:val="00731EE0"/>
    <w:rsid w:val="007325D2"/>
    <w:rsid w:val="00732D20"/>
    <w:rsid w:val="00732DE9"/>
    <w:rsid w:val="007331CF"/>
    <w:rsid w:val="007331F9"/>
    <w:rsid w:val="007332C5"/>
    <w:rsid w:val="007333A7"/>
    <w:rsid w:val="007335C3"/>
    <w:rsid w:val="00733957"/>
    <w:rsid w:val="00733AF6"/>
    <w:rsid w:val="00733E6C"/>
    <w:rsid w:val="00734061"/>
    <w:rsid w:val="0073429A"/>
    <w:rsid w:val="007344E2"/>
    <w:rsid w:val="00734852"/>
    <w:rsid w:val="00734859"/>
    <w:rsid w:val="007349C0"/>
    <w:rsid w:val="00734C66"/>
    <w:rsid w:val="00734E8F"/>
    <w:rsid w:val="00735019"/>
    <w:rsid w:val="00735270"/>
    <w:rsid w:val="00735897"/>
    <w:rsid w:val="00735B53"/>
    <w:rsid w:val="00735E39"/>
    <w:rsid w:val="0073622C"/>
    <w:rsid w:val="00736698"/>
    <w:rsid w:val="0073673C"/>
    <w:rsid w:val="00736A88"/>
    <w:rsid w:val="00736C58"/>
    <w:rsid w:val="00736E95"/>
    <w:rsid w:val="00736F1A"/>
    <w:rsid w:val="007370AF"/>
    <w:rsid w:val="0073792C"/>
    <w:rsid w:val="00737A77"/>
    <w:rsid w:val="00737BEA"/>
    <w:rsid w:val="0074008E"/>
    <w:rsid w:val="007402AB"/>
    <w:rsid w:val="007403D5"/>
    <w:rsid w:val="00740BED"/>
    <w:rsid w:val="00740CBC"/>
    <w:rsid w:val="00740D0A"/>
    <w:rsid w:val="00740F51"/>
    <w:rsid w:val="00741345"/>
    <w:rsid w:val="00741362"/>
    <w:rsid w:val="00741451"/>
    <w:rsid w:val="007414AE"/>
    <w:rsid w:val="0074154C"/>
    <w:rsid w:val="0074179C"/>
    <w:rsid w:val="0074183B"/>
    <w:rsid w:val="0074191D"/>
    <w:rsid w:val="0074194A"/>
    <w:rsid w:val="0074200D"/>
    <w:rsid w:val="0074203C"/>
    <w:rsid w:val="00742458"/>
    <w:rsid w:val="0074257A"/>
    <w:rsid w:val="00742643"/>
    <w:rsid w:val="00742EC0"/>
    <w:rsid w:val="007431E0"/>
    <w:rsid w:val="007434F5"/>
    <w:rsid w:val="00743602"/>
    <w:rsid w:val="007436BD"/>
    <w:rsid w:val="007436E7"/>
    <w:rsid w:val="00743A20"/>
    <w:rsid w:val="00744454"/>
    <w:rsid w:val="007445D0"/>
    <w:rsid w:val="00744AA7"/>
    <w:rsid w:val="00744EE1"/>
    <w:rsid w:val="00745115"/>
    <w:rsid w:val="0074537C"/>
    <w:rsid w:val="007453DB"/>
    <w:rsid w:val="007456A9"/>
    <w:rsid w:val="007456AB"/>
    <w:rsid w:val="007456BF"/>
    <w:rsid w:val="007459B9"/>
    <w:rsid w:val="00745F81"/>
    <w:rsid w:val="0074617E"/>
    <w:rsid w:val="007463AA"/>
    <w:rsid w:val="0074656F"/>
    <w:rsid w:val="0074660A"/>
    <w:rsid w:val="00746888"/>
    <w:rsid w:val="00746CBA"/>
    <w:rsid w:val="00746EB1"/>
    <w:rsid w:val="0074726C"/>
    <w:rsid w:val="007473F3"/>
    <w:rsid w:val="00747434"/>
    <w:rsid w:val="007475C0"/>
    <w:rsid w:val="007475C3"/>
    <w:rsid w:val="007475FE"/>
    <w:rsid w:val="00747609"/>
    <w:rsid w:val="0074788B"/>
    <w:rsid w:val="00747951"/>
    <w:rsid w:val="00750147"/>
    <w:rsid w:val="00750239"/>
    <w:rsid w:val="00750250"/>
    <w:rsid w:val="007504A2"/>
    <w:rsid w:val="0075073F"/>
    <w:rsid w:val="007507BA"/>
    <w:rsid w:val="0075098B"/>
    <w:rsid w:val="00750A43"/>
    <w:rsid w:val="00750F8F"/>
    <w:rsid w:val="00751065"/>
    <w:rsid w:val="0075137C"/>
    <w:rsid w:val="0075161B"/>
    <w:rsid w:val="00751685"/>
    <w:rsid w:val="0075169F"/>
    <w:rsid w:val="0075176C"/>
    <w:rsid w:val="00751E2C"/>
    <w:rsid w:val="00751E98"/>
    <w:rsid w:val="00752170"/>
    <w:rsid w:val="0075288D"/>
    <w:rsid w:val="00752D32"/>
    <w:rsid w:val="00753122"/>
    <w:rsid w:val="00753D27"/>
    <w:rsid w:val="00753F02"/>
    <w:rsid w:val="0075418A"/>
    <w:rsid w:val="007543C6"/>
    <w:rsid w:val="00754663"/>
    <w:rsid w:val="00754858"/>
    <w:rsid w:val="007548D1"/>
    <w:rsid w:val="00754EBD"/>
    <w:rsid w:val="00755381"/>
    <w:rsid w:val="00755BC6"/>
    <w:rsid w:val="00755D95"/>
    <w:rsid w:val="00755ED8"/>
    <w:rsid w:val="007560F0"/>
    <w:rsid w:val="0075680D"/>
    <w:rsid w:val="00756EE0"/>
    <w:rsid w:val="00756EF0"/>
    <w:rsid w:val="007571F1"/>
    <w:rsid w:val="007572FD"/>
    <w:rsid w:val="00757425"/>
    <w:rsid w:val="00757694"/>
    <w:rsid w:val="00757797"/>
    <w:rsid w:val="007601E9"/>
    <w:rsid w:val="00760225"/>
    <w:rsid w:val="00760883"/>
    <w:rsid w:val="00760FF2"/>
    <w:rsid w:val="0076122A"/>
    <w:rsid w:val="00761309"/>
    <w:rsid w:val="0076160C"/>
    <w:rsid w:val="00761732"/>
    <w:rsid w:val="00761937"/>
    <w:rsid w:val="00761B07"/>
    <w:rsid w:val="00761C0E"/>
    <w:rsid w:val="00761D4D"/>
    <w:rsid w:val="0076260D"/>
    <w:rsid w:val="00762A65"/>
    <w:rsid w:val="00762B1D"/>
    <w:rsid w:val="00762DE4"/>
    <w:rsid w:val="0076378D"/>
    <w:rsid w:val="007638A6"/>
    <w:rsid w:val="00763975"/>
    <w:rsid w:val="00763B32"/>
    <w:rsid w:val="00763B77"/>
    <w:rsid w:val="00763DC5"/>
    <w:rsid w:val="00763DDC"/>
    <w:rsid w:val="0076409C"/>
    <w:rsid w:val="0076411E"/>
    <w:rsid w:val="007644AC"/>
    <w:rsid w:val="00764C89"/>
    <w:rsid w:val="00764D21"/>
    <w:rsid w:val="00764ED2"/>
    <w:rsid w:val="00765040"/>
    <w:rsid w:val="0076548C"/>
    <w:rsid w:val="00765714"/>
    <w:rsid w:val="007660FC"/>
    <w:rsid w:val="00766242"/>
    <w:rsid w:val="0076654E"/>
    <w:rsid w:val="0076672B"/>
    <w:rsid w:val="0076679D"/>
    <w:rsid w:val="0076702C"/>
    <w:rsid w:val="007673BF"/>
    <w:rsid w:val="00767729"/>
    <w:rsid w:val="007678B2"/>
    <w:rsid w:val="007679CC"/>
    <w:rsid w:val="00767F6C"/>
    <w:rsid w:val="00767FE9"/>
    <w:rsid w:val="00770567"/>
    <w:rsid w:val="00770710"/>
    <w:rsid w:val="00770B05"/>
    <w:rsid w:val="00770B60"/>
    <w:rsid w:val="00770E67"/>
    <w:rsid w:val="00771335"/>
    <w:rsid w:val="007714EB"/>
    <w:rsid w:val="00771733"/>
    <w:rsid w:val="007718D4"/>
    <w:rsid w:val="00771B93"/>
    <w:rsid w:val="00772372"/>
    <w:rsid w:val="0077252C"/>
    <w:rsid w:val="00772829"/>
    <w:rsid w:val="0077286C"/>
    <w:rsid w:val="00772C07"/>
    <w:rsid w:val="00772FFE"/>
    <w:rsid w:val="00773195"/>
    <w:rsid w:val="007731BC"/>
    <w:rsid w:val="007735A9"/>
    <w:rsid w:val="00773826"/>
    <w:rsid w:val="00773879"/>
    <w:rsid w:val="00773D22"/>
    <w:rsid w:val="00774226"/>
    <w:rsid w:val="0077485B"/>
    <w:rsid w:val="00774894"/>
    <w:rsid w:val="007750F4"/>
    <w:rsid w:val="00775782"/>
    <w:rsid w:val="00776144"/>
    <w:rsid w:val="007762AF"/>
    <w:rsid w:val="00776377"/>
    <w:rsid w:val="0077658E"/>
    <w:rsid w:val="00776624"/>
    <w:rsid w:val="00776730"/>
    <w:rsid w:val="007769E1"/>
    <w:rsid w:val="00776D86"/>
    <w:rsid w:val="00776DD2"/>
    <w:rsid w:val="00776F64"/>
    <w:rsid w:val="0077751B"/>
    <w:rsid w:val="00777848"/>
    <w:rsid w:val="00777893"/>
    <w:rsid w:val="00777A77"/>
    <w:rsid w:val="00777A93"/>
    <w:rsid w:val="00777AAA"/>
    <w:rsid w:val="00777BC3"/>
    <w:rsid w:val="00777C42"/>
    <w:rsid w:val="00777F77"/>
    <w:rsid w:val="00780094"/>
    <w:rsid w:val="0078057B"/>
    <w:rsid w:val="007806E7"/>
    <w:rsid w:val="00780C4F"/>
    <w:rsid w:val="00780CB0"/>
    <w:rsid w:val="00780EC1"/>
    <w:rsid w:val="007810C5"/>
    <w:rsid w:val="0078131C"/>
    <w:rsid w:val="00781396"/>
    <w:rsid w:val="00781B3D"/>
    <w:rsid w:val="00782132"/>
    <w:rsid w:val="0078232C"/>
    <w:rsid w:val="007828C9"/>
    <w:rsid w:val="00782AAC"/>
    <w:rsid w:val="00782F74"/>
    <w:rsid w:val="00782FBA"/>
    <w:rsid w:val="0078305D"/>
    <w:rsid w:val="00783177"/>
    <w:rsid w:val="00783264"/>
    <w:rsid w:val="00783435"/>
    <w:rsid w:val="0078351F"/>
    <w:rsid w:val="007836A2"/>
    <w:rsid w:val="007840CB"/>
    <w:rsid w:val="0078434D"/>
    <w:rsid w:val="00784C26"/>
    <w:rsid w:val="00784DE7"/>
    <w:rsid w:val="00784E2B"/>
    <w:rsid w:val="00784F53"/>
    <w:rsid w:val="007850BF"/>
    <w:rsid w:val="007851C6"/>
    <w:rsid w:val="007851D3"/>
    <w:rsid w:val="007852E9"/>
    <w:rsid w:val="00785339"/>
    <w:rsid w:val="00785575"/>
    <w:rsid w:val="007859AD"/>
    <w:rsid w:val="007859B5"/>
    <w:rsid w:val="00785E9F"/>
    <w:rsid w:val="00786B54"/>
    <w:rsid w:val="0078701B"/>
    <w:rsid w:val="00787580"/>
    <w:rsid w:val="00787C9F"/>
    <w:rsid w:val="00787E55"/>
    <w:rsid w:val="00787EB3"/>
    <w:rsid w:val="0079023D"/>
    <w:rsid w:val="00790515"/>
    <w:rsid w:val="00790538"/>
    <w:rsid w:val="00790596"/>
    <w:rsid w:val="0079078A"/>
    <w:rsid w:val="00790975"/>
    <w:rsid w:val="00790982"/>
    <w:rsid w:val="00790B15"/>
    <w:rsid w:val="00790F2D"/>
    <w:rsid w:val="00790F49"/>
    <w:rsid w:val="007911C5"/>
    <w:rsid w:val="0079169F"/>
    <w:rsid w:val="007916BB"/>
    <w:rsid w:val="00791C3D"/>
    <w:rsid w:val="00791C7D"/>
    <w:rsid w:val="00792735"/>
    <w:rsid w:val="00792DFF"/>
    <w:rsid w:val="0079313A"/>
    <w:rsid w:val="007931CB"/>
    <w:rsid w:val="00793333"/>
    <w:rsid w:val="0079352A"/>
    <w:rsid w:val="007940AA"/>
    <w:rsid w:val="00794ACB"/>
    <w:rsid w:val="00795000"/>
    <w:rsid w:val="007951D4"/>
    <w:rsid w:val="0079530A"/>
    <w:rsid w:val="007957C5"/>
    <w:rsid w:val="00795949"/>
    <w:rsid w:val="00795D75"/>
    <w:rsid w:val="00796369"/>
    <w:rsid w:val="00796642"/>
    <w:rsid w:val="007967F3"/>
    <w:rsid w:val="00797028"/>
    <w:rsid w:val="0079723A"/>
    <w:rsid w:val="007974D5"/>
    <w:rsid w:val="00797541"/>
    <w:rsid w:val="00797674"/>
    <w:rsid w:val="007976D5"/>
    <w:rsid w:val="00797AA9"/>
    <w:rsid w:val="00797AC5"/>
    <w:rsid w:val="00797BC5"/>
    <w:rsid w:val="00797C46"/>
    <w:rsid w:val="007A01D6"/>
    <w:rsid w:val="007A027F"/>
    <w:rsid w:val="007A0C0E"/>
    <w:rsid w:val="007A0C5F"/>
    <w:rsid w:val="007A0EE3"/>
    <w:rsid w:val="007A0FC2"/>
    <w:rsid w:val="007A1117"/>
    <w:rsid w:val="007A1546"/>
    <w:rsid w:val="007A17D9"/>
    <w:rsid w:val="007A17FE"/>
    <w:rsid w:val="007A18EE"/>
    <w:rsid w:val="007A1949"/>
    <w:rsid w:val="007A19F6"/>
    <w:rsid w:val="007A1DFF"/>
    <w:rsid w:val="007A2238"/>
    <w:rsid w:val="007A2311"/>
    <w:rsid w:val="007A26FB"/>
    <w:rsid w:val="007A2B65"/>
    <w:rsid w:val="007A2B7B"/>
    <w:rsid w:val="007A3349"/>
    <w:rsid w:val="007A357E"/>
    <w:rsid w:val="007A38C9"/>
    <w:rsid w:val="007A38EB"/>
    <w:rsid w:val="007A38FF"/>
    <w:rsid w:val="007A3B92"/>
    <w:rsid w:val="007A47D3"/>
    <w:rsid w:val="007A49E1"/>
    <w:rsid w:val="007A4DAF"/>
    <w:rsid w:val="007A4FB1"/>
    <w:rsid w:val="007A503C"/>
    <w:rsid w:val="007A50A7"/>
    <w:rsid w:val="007A5324"/>
    <w:rsid w:val="007A53F7"/>
    <w:rsid w:val="007A5617"/>
    <w:rsid w:val="007A5A36"/>
    <w:rsid w:val="007A5D77"/>
    <w:rsid w:val="007A5E69"/>
    <w:rsid w:val="007A5F1A"/>
    <w:rsid w:val="007A635B"/>
    <w:rsid w:val="007A63F1"/>
    <w:rsid w:val="007A698B"/>
    <w:rsid w:val="007A6BCD"/>
    <w:rsid w:val="007A6C51"/>
    <w:rsid w:val="007A6D5D"/>
    <w:rsid w:val="007A6F03"/>
    <w:rsid w:val="007A72C8"/>
    <w:rsid w:val="007A754B"/>
    <w:rsid w:val="007A763F"/>
    <w:rsid w:val="007A7812"/>
    <w:rsid w:val="007A7A67"/>
    <w:rsid w:val="007A7B5C"/>
    <w:rsid w:val="007A7B91"/>
    <w:rsid w:val="007A7C0D"/>
    <w:rsid w:val="007A7CFE"/>
    <w:rsid w:val="007A7DD9"/>
    <w:rsid w:val="007A7FB4"/>
    <w:rsid w:val="007B0245"/>
    <w:rsid w:val="007B083F"/>
    <w:rsid w:val="007B0880"/>
    <w:rsid w:val="007B0B63"/>
    <w:rsid w:val="007B0D01"/>
    <w:rsid w:val="007B0DEA"/>
    <w:rsid w:val="007B0E81"/>
    <w:rsid w:val="007B121B"/>
    <w:rsid w:val="007B1566"/>
    <w:rsid w:val="007B2085"/>
    <w:rsid w:val="007B21C3"/>
    <w:rsid w:val="007B22D5"/>
    <w:rsid w:val="007B246B"/>
    <w:rsid w:val="007B2730"/>
    <w:rsid w:val="007B2B41"/>
    <w:rsid w:val="007B2B5E"/>
    <w:rsid w:val="007B2DC1"/>
    <w:rsid w:val="007B2FDC"/>
    <w:rsid w:val="007B3036"/>
    <w:rsid w:val="007B3279"/>
    <w:rsid w:val="007B3289"/>
    <w:rsid w:val="007B32B6"/>
    <w:rsid w:val="007B335F"/>
    <w:rsid w:val="007B34B7"/>
    <w:rsid w:val="007B3881"/>
    <w:rsid w:val="007B38A0"/>
    <w:rsid w:val="007B38B7"/>
    <w:rsid w:val="007B3A60"/>
    <w:rsid w:val="007B3C12"/>
    <w:rsid w:val="007B3D83"/>
    <w:rsid w:val="007B40E1"/>
    <w:rsid w:val="007B4155"/>
    <w:rsid w:val="007B4367"/>
    <w:rsid w:val="007B4BEA"/>
    <w:rsid w:val="007B4C59"/>
    <w:rsid w:val="007B4F7B"/>
    <w:rsid w:val="007B51D7"/>
    <w:rsid w:val="007B5488"/>
    <w:rsid w:val="007B5779"/>
    <w:rsid w:val="007B580D"/>
    <w:rsid w:val="007B583D"/>
    <w:rsid w:val="007B5AAF"/>
    <w:rsid w:val="007B5E75"/>
    <w:rsid w:val="007B606F"/>
    <w:rsid w:val="007B6228"/>
    <w:rsid w:val="007B6684"/>
    <w:rsid w:val="007B69F9"/>
    <w:rsid w:val="007B6AB5"/>
    <w:rsid w:val="007B6B21"/>
    <w:rsid w:val="007B6B61"/>
    <w:rsid w:val="007B6C68"/>
    <w:rsid w:val="007B6C77"/>
    <w:rsid w:val="007B7024"/>
    <w:rsid w:val="007B75F0"/>
    <w:rsid w:val="007B7610"/>
    <w:rsid w:val="007B78D4"/>
    <w:rsid w:val="007B7C63"/>
    <w:rsid w:val="007C01B5"/>
    <w:rsid w:val="007C0390"/>
    <w:rsid w:val="007C0DC9"/>
    <w:rsid w:val="007C14A2"/>
    <w:rsid w:val="007C163A"/>
    <w:rsid w:val="007C18FC"/>
    <w:rsid w:val="007C2192"/>
    <w:rsid w:val="007C25CA"/>
    <w:rsid w:val="007C26FB"/>
    <w:rsid w:val="007C2B69"/>
    <w:rsid w:val="007C2C4E"/>
    <w:rsid w:val="007C300E"/>
    <w:rsid w:val="007C328D"/>
    <w:rsid w:val="007C3320"/>
    <w:rsid w:val="007C336F"/>
    <w:rsid w:val="007C356D"/>
    <w:rsid w:val="007C374C"/>
    <w:rsid w:val="007C393B"/>
    <w:rsid w:val="007C3A0E"/>
    <w:rsid w:val="007C41B1"/>
    <w:rsid w:val="007C41D4"/>
    <w:rsid w:val="007C4518"/>
    <w:rsid w:val="007C470D"/>
    <w:rsid w:val="007C4852"/>
    <w:rsid w:val="007C543E"/>
    <w:rsid w:val="007C54CF"/>
    <w:rsid w:val="007C586D"/>
    <w:rsid w:val="007C6C06"/>
    <w:rsid w:val="007C6D1B"/>
    <w:rsid w:val="007C6FD5"/>
    <w:rsid w:val="007C71DB"/>
    <w:rsid w:val="007C7247"/>
    <w:rsid w:val="007C72B1"/>
    <w:rsid w:val="007C764A"/>
    <w:rsid w:val="007C7A9E"/>
    <w:rsid w:val="007C7ABD"/>
    <w:rsid w:val="007C7CF6"/>
    <w:rsid w:val="007C7D89"/>
    <w:rsid w:val="007C7DC2"/>
    <w:rsid w:val="007C7F9D"/>
    <w:rsid w:val="007D02AF"/>
    <w:rsid w:val="007D064B"/>
    <w:rsid w:val="007D0681"/>
    <w:rsid w:val="007D0746"/>
    <w:rsid w:val="007D0D02"/>
    <w:rsid w:val="007D0E31"/>
    <w:rsid w:val="007D0F81"/>
    <w:rsid w:val="007D1387"/>
    <w:rsid w:val="007D16A7"/>
    <w:rsid w:val="007D1790"/>
    <w:rsid w:val="007D1A88"/>
    <w:rsid w:val="007D1C10"/>
    <w:rsid w:val="007D2741"/>
    <w:rsid w:val="007D29D6"/>
    <w:rsid w:val="007D29E1"/>
    <w:rsid w:val="007D2AA5"/>
    <w:rsid w:val="007D2B0D"/>
    <w:rsid w:val="007D3040"/>
    <w:rsid w:val="007D30B7"/>
    <w:rsid w:val="007D3234"/>
    <w:rsid w:val="007D32FA"/>
    <w:rsid w:val="007D333F"/>
    <w:rsid w:val="007D337F"/>
    <w:rsid w:val="007D3A52"/>
    <w:rsid w:val="007D3B30"/>
    <w:rsid w:val="007D44EF"/>
    <w:rsid w:val="007D4566"/>
    <w:rsid w:val="007D46A8"/>
    <w:rsid w:val="007D4CFA"/>
    <w:rsid w:val="007D4F99"/>
    <w:rsid w:val="007D5193"/>
    <w:rsid w:val="007D6490"/>
    <w:rsid w:val="007D684C"/>
    <w:rsid w:val="007D6941"/>
    <w:rsid w:val="007D698A"/>
    <w:rsid w:val="007D6A29"/>
    <w:rsid w:val="007D70DA"/>
    <w:rsid w:val="007D736D"/>
    <w:rsid w:val="007D753A"/>
    <w:rsid w:val="007D770C"/>
    <w:rsid w:val="007D7C0A"/>
    <w:rsid w:val="007D7D9F"/>
    <w:rsid w:val="007D7DB6"/>
    <w:rsid w:val="007D7E4B"/>
    <w:rsid w:val="007E01A6"/>
    <w:rsid w:val="007E0580"/>
    <w:rsid w:val="007E05C2"/>
    <w:rsid w:val="007E06BB"/>
    <w:rsid w:val="007E07C2"/>
    <w:rsid w:val="007E09B4"/>
    <w:rsid w:val="007E0A98"/>
    <w:rsid w:val="007E109C"/>
    <w:rsid w:val="007E12A2"/>
    <w:rsid w:val="007E1369"/>
    <w:rsid w:val="007E1573"/>
    <w:rsid w:val="007E15AD"/>
    <w:rsid w:val="007E1D7F"/>
    <w:rsid w:val="007E23F4"/>
    <w:rsid w:val="007E24F9"/>
    <w:rsid w:val="007E25ED"/>
    <w:rsid w:val="007E2726"/>
    <w:rsid w:val="007E2BC0"/>
    <w:rsid w:val="007E343D"/>
    <w:rsid w:val="007E3A42"/>
    <w:rsid w:val="007E3C62"/>
    <w:rsid w:val="007E3F0A"/>
    <w:rsid w:val="007E4384"/>
    <w:rsid w:val="007E46F7"/>
    <w:rsid w:val="007E4704"/>
    <w:rsid w:val="007E491D"/>
    <w:rsid w:val="007E4B75"/>
    <w:rsid w:val="007E4D08"/>
    <w:rsid w:val="007E4DD4"/>
    <w:rsid w:val="007E506A"/>
    <w:rsid w:val="007E50AA"/>
    <w:rsid w:val="007E5212"/>
    <w:rsid w:val="007E5261"/>
    <w:rsid w:val="007E5596"/>
    <w:rsid w:val="007E5D7D"/>
    <w:rsid w:val="007E5EEA"/>
    <w:rsid w:val="007E5F5B"/>
    <w:rsid w:val="007E66B2"/>
    <w:rsid w:val="007E67C6"/>
    <w:rsid w:val="007E68FD"/>
    <w:rsid w:val="007E6914"/>
    <w:rsid w:val="007E6950"/>
    <w:rsid w:val="007E6952"/>
    <w:rsid w:val="007E6ABC"/>
    <w:rsid w:val="007E6D91"/>
    <w:rsid w:val="007E6F0C"/>
    <w:rsid w:val="007E7054"/>
    <w:rsid w:val="007E71B6"/>
    <w:rsid w:val="007E72F3"/>
    <w:rsid w:val="007E73D0"/>
    <w:rsid w:val="007E77D3"/>
    <w:rsid w:val="007E78FD"/>
    <w:rsid w:val="007E7C79"/>
    <w:rsid w:val="007E7DB3"/>
    <w:rsid w:val="007F00BE"/>
    <w:rsid w:val="007F052B"/>
    <w:rsid w:val="007F069F"/>
    <w:rsid w:val="007F0EAB"/>
    <w:rsid w:val="007F110C"/>
    <w:rsid w:val="007F1487"/>
    <w:rsid w:val="007F149C"/>
    <w:rsid w:val="007F1614"/>
    <w:rsid w:val="007F1A95"/>
    <w:rsid w:val="007F1E90"/>
    <w:rsid w:val="007F2033"/>
    <w:rsid w:val="007F21D2"/>
    <w:rsid w:val="007F2E95"/>
    <w:rsid w:val="007F345D"/>
    <w:rsid w:val="007F34EE"/>
    <w:rsid w:val="007F3C71"/>
    <w:rsid w:val="007F3F49"/>
    <w:rsid w:val="007F486C"/>
    <w:rsid w:val="007F4AE9"/>
    <w:rsid w:val="007F4B1B"/>
    <w:rsid w:val="007F4D44"/>
    <w:rsid w:val="007F5050"/>
    <w:rsid w:val="007F51D8"/>
    <w:rsid w:val="007F5245"/>
    <w:rsid w:val="007F5A8F"/>
    <w:rsid w:val="007F5E85"/>
    <w:rsid w:val="007F5F93"/>
    <w:rsid w:val="007F6048"/>
    <w:rsid w:val="007F649A"/>
    <w:rsid w:val="007F65D2"/>
    <w:rsid w:val="007F6602"/>
    <w:rsid w:val="007F67E9"/>
    <w:rsid w:val="007F69FE"/>
    <w:rsid w:val="007F7210"/>
    <w:rsid w:val="007F7C7B"/>
    <w:rsid w:val="007F7F2F"/>
    <w:rsid w:val="00800365"/>
    <w:rsid w:val="008003A2"/>
    <w:rsid w:val="008004C1"/>
    <w:rsid w:val="008005FA"/>
    <w:rsid w:val="0080061E"/>
    <w:rsid w:val="00800925"/>
    <w:rsid w:val="00800E11"/>
    <w:rsid w:val="00800EC0"/>
    <w:rsid w:val="008012A0"/>
    <w:rsid w:val="00801340"/>
    <w:rsid w:val="0080149A"/>
    <w:rsid w:val="00801BD5"/>
    <w:rsid w:val="00801CC2"/>
    <w:rsid w:val="0080245F"/>
    <w:rsid w:val="00802764"/>
    <w:rsid w:val="008027BD"/>
    <w:rsid w:val="008029B1"/>
    <w:rsid w:val="00802AB5"/>
    <w:rsid w:val="00802AE9"/>
    <w:rsid w:val="00802D96"/>
    <w:rsid w:val="00802E0C"/>
    <w:rsid w:val="008031F1"/>
    <w:rsid w:val="00803264"/>
    <w:rsid w:val="0080329A"/>
    <w:rsid w:val="00803966"/>
    <w:rsid w:val="00803AB7"/>
    <w:rsid w:val="00803BB1"/>
    <w:rsid w:val="00803F09"/>
    <w:rsid w:val="008040A2"/>
    <w:rsid w:val="0080410F"/>
    <w:rsid w:val="00804470"/>
    <w:rsid w:val="00804632"/>
    <w:rsid w:val="008046AA"/>
    <w:rsid w:val="00804DD9"/>
    <w:rsid w:val="00804EA7"/>
    <w:rsid w:val="008054D9"/>
    <w:rsid w:val="00805942"/>
    <w:rsid w:val="00805B39"/>
    <w:rsid w:val="00805C50"/>
    <w:rsid w:val="00806567"/>
    <w:rsid w:val="00806688"/>
    <w:rsid w:val="0080670F"/>
    <w:rsid w:val="00806964"/>
    <w:rsid w:val="00806D07"/>
    <w:rsid w:val="00807219"/>
    <w:rsid w:val="00807266"/>
    <w:rsid w:val="00807873"/>
    <w:rsid w:val="00807A3E"/>
    <w:rsid w:val="00807F4B"/>
    <w:rsid w:val="00810338"/>
    <w:rsid w:val="00810C01"/>
    <w:rsid w:val="0081147D"/>
    <w:rsid w:val="008117EE"/>
    <w:rsid w:val="00811CCC"/>
    <w:rsid w:val="00812112"/>
    <w:rsid w:val="00812282"/>
    <w:rsid w:val="00812479"/>
    <w:rsid w:val="00812716"/>
    <w:rsid w:val="008128B8"/>
    <w:rsid w:val="00812EB5"/>
    <w:rsid w:val="0081319A"/>
    <w:rsid w:val="00813496"/>
    <w:rsid w:val="0081355A"/>
    <w:rsid w:val="0081358C"/>
    <w:rsid w:val="0081360D"/>
    <w:rsid w:val="00813689"/>
    <w:rsid w:val="008137CB"/>
    <w:rsid w:val="00813EF4"/>
    <w:rsid w:val="00813F42"/>
    <w:rsid w:val="00813F58"/>
    <w:rsid w:val="00814514"/>
    <w:rsid w:val="00814660"/>
    <w:rsid w:val="00814694"/>
    <w:rsid w:val="008146FB"/>
    <w:rsid w:val="008148E4"/>
    <w:rsid w:val="00814CC6"/>
    <w:rsid w:val="008150DB"/>
    <w:rsid w:val="008154D3"/>
    <w:rsid w:val="008157F1"/>
    <w:rsid w:val="0081592D"/>
    <w:rsid w:val="00815A7F"/>
    <w:rsid w:val="00816035"/>
    <w:rsid w:val="00816582"/>
    <w:rsid w:val="008168E8"/>
    <w:rsid w:val="00816AD5"/>
    <w:rsid w:val="00816DE4"/>
    <w:rsid w:val="00816EC2"/>
    <w:rsid w:val="008170A4"/>
    <w:rsid w:val="0081758F"/>
    <w:rsid w:val="008178D1"/>
    <w:rsid w:val="00817C96"/>
    <w:rsid w:val="00817ECD"/>
    <w:rsid w:val="00817EE9"/>
    <w:rsid w:val="00817FC7"/>
    <w:rsid w:val="00820085"/>
    <w:rsid w:val="008203AD"/>
    <w:rsid w:val="008203B6"/>
    <w:rsid w:val="00820586"/>
    <w:rsid w:val="0082058B"/>
    <w:rsid w:val="008206C9"/>
    <w:rsid w:val="00820CC3"/>
    <w:rsid w:val="00820D21"/>
    <w:rsid w:val="00820D72"/>
    <w:rsid w:val="00821131"/>
    <w:rsid w:val="0082118A"/>
    <w:rsid w:val="00821379"/>
    <w:rsid w:val="00821461"/>
    <w:rsid w:val="008217A1"/>
    <w:rsid w:val="00821853"/>
    <w:rsid w:val="00821914"/>
    <w:rsid w:val="00821989"/>
    <w:rsid w:val="00821EF5"/>
    <w:rsid w:val="008222A5"/>
    <w:rsid w:val="008228B9"/>
    <w:rsid w:val="00822A16"/>
    <w:rsid w:val="00822BC2"/>
    <w:rsid w:val="00822C40"/>
    <w:rsid w:val="008230BB"/>
    <w:rsid w:val="00823170"/>
    <w:rsid w:val="0082321A"/>
    <w:rsid w:val="00823270"/>
    <w:rsid w:val="008233E9"/>
    <w:rsid w:val="008234D5"/>
    <w:rsid w:val="008236E1"/>
    <w:rsid w:val="00823BDA"/>
    <w:rsid w:val="00823D25"/>
    <w:rsid w:val="00823D36"/>
    <w:rsid w:val="00823EC9"/>
    <w:rsid w:val="00823FAD"/>
    <w:rsid w:val="00824458"/>
    <w:rsid w:val="008249F7"/>
    <w:rsid w:val="00824B74"/>
    <w:rsid w:val="008254A2"/>
    <w:rsid w:val="00825673"/>
    <w:rsid w:val="008256BE"/>
    <w:rsid w:val="0082589E"/>
    <w:rsid w:val="008258D3"/>
    <w:rsid w:val="00825FAB"/>
    <w:rsid w:val="00826599"/>
    <w:rsid w:val="0082662F"/>
    <w:rsid w:val="0082685F"/>
    <w:rsid w:val="00826A00"/>
    <w:rsid w:val="00826C81"/>
    <w:rsid w:val="00826F26"/>
    <w:rsid w:val="00827027"/>
    <w:rsid w:val="008272DF"/>
    <w:rsid w:val="008277D8"/>
    <w:rsid w:val="00827844"/>
    <w:rsid w:val="008278A5"/>
    <w:rsid w:val="0083032B"/>
    <w:rsid w:val="00830B78"/>
    <w:rsid w:val="00830EB8"/>
    <w:rsid w:val="00830EFC"/>
    <w:rsid w:val="00830F4B"/>
    <w:rsid w:val="008310AB"/>
    <w:rsid w:val="00831198"/>
    <w:rsid w:val="00831241"/>
    <w:rsid w:val="00831C53"/>
    <w:rsid w:val="008320ED"/>
    <w:rsid w:val="008323A7"/>
    <w:rsid w:val="008326A4"/>
    <w:rsid w:val="008326AE"/>
    <w:rsid w:val="008329B2"/>
    <w:rsid w:val="00832D39"/>
    <w:rsid w:val="00833655"/>
    <w:rsid w:val="00833DB6"/>
    <w:rsid w:val="00833DC9"/>
    <w:rsid w:val="00834126"/>
    <w:rsid w:val="00834275"/>
    <w:rsid w:val="008346A1"/>
    <w:rsid w:val="008349E2"/>
    <w:rsid w:val="00834ADA"/>
    <w:rsid w:val="00834E25"/>
    <w:rsid w:val="00834E53"/>
    <w:rsid w:val="00834F8D"/>
    <w:rsid w:val="00835135"/>
    <w:rsid w:val="008354C1"/>
    <w:rsid w:val="00835759"/>
    <w:rsid w:val="008358F5"/>
    <w:rsid w:val="008359E9"/>
    <w:rsid w:val="00835B92"/>
    <w:rsid w:val="00835CBF"/>
    <w:rsid w:val="00835E65"/>
    <w:rsid w:val="00835EC9"/>
    <w:rsid w:val="00836156"/>
    <w:rsid w:val="00836335"/>
    <w:rsid w:val="008364FC"/>
    <w:rsid w:val="00836A21"/>
    <w:rsid w:val="00836E6B"/>
    <w:rsid w:val="00836F89"/>
    <w:rsid w:val="00836F8B"/>
    <w:rsid w:val="00837464"/>
    <w:rsid w:val="00837942"/>
    <w:rsid w:val="00837D07"/>
    <w:rsid w:val="008405F4"/>
    <w:rsid w:val="008406C2"/>
    <w:rsid w:val="00840A5B"/>
    <w:rsid w:val="00840AB0"/>
    <w:rsid w:val="00840F4E"/>
    <w:rsid w:val="00841015"/>
    <w:rsid w:val="0084123C"/>
    <w:rsid w:val="00841388"/>
    <w:rsid w:val="008413EC"/>
    <w:rsid w:val="00841656"/>
    <w:rsid w:val="00841781"/>
    <w:rsid w:val="008417AF"/>
    <w:rsid w:val="00841810"/>
    <w:rsid w:val="00841E3E"/>
    <w:rsid w:val="00841EFB"/>
    <w:rsid w:val="00841F44"/>
    <w:rsid w:val="00841FC9"/>
    <w:rsid w:val="00842081"/>
    <w:rsid w:val="008424C7"/>
    <w:rsid w:val="008429C5"/>
    <w:rsid w:val="00842AA7"/>
    <w:rsid w:val="00842AC1"/>
    <w:rsid w:val="00842C82"/>
    <w:rsid w:val="0084319A"/>
    <w:rsid w:val="0084358D"/>
    <w:rsid w:val="008436D7"/>
    <w:rsid w:val="00843755"/>
    <w:rsid w:val="00843A22"/>
    <w:rsid w:val="00843AF1"/>
    <w:rsid w:val="008440FE"/>
    <w:rsid w:val="00844155"/>
    <w:rsid w:val="008444A4"/>
    <w:rsid w:val="0084452A"/>
    <w:rsid w:val="0084454A"/>
    <w:rsid w:val="008446F7"/>
    <w:rsid w:val="008447DD"/>
    <w:rsid w:val="008449FE"/>
    <w:rsid w:val="0084512B"/>
    <w:rsid w:val="008454E4"/>
    <w:rsid w:val="008455CD"/>
    <w:rsid w:val="00845621"/>
    <w:rsid w:val="0084597C"/>
    <w:rsid w:val="00845D77"/>
    <w:rsid w:val="00845F3D"/>
    <w:rsid w:val="00845F8C"/>
    <w:rsid w:val="00846119"/>
    <w:rsid w:val="008462ED"/>
    <w:rsid w:val="008464A6"/>
    <w:rsid w:val="008466D2"/>
    <w:rsid w:val="00846A4F"/>
    <w:rsid w:val="00846B42"/>
    <w:rsid w:val="00846DAF"/>
    <w:rsid w:val="008474D7"/>
    <w:rsid w:val="008474E3"/>
    <w:rsid w:val="0084794A"/>
    <w:rsid w:val="00847CAD"/>
    <w:rsid w:val="00847CBF"/>
    <w:rsid w:val="00847CC6"/>
    <w:rsid w:val="0085025C"/>
    <w:rsid w:val="00850ACD"/>
    <w:rsid w:val="00850DD5"/>
    <w:rsid w:val="00851272"/>
    <w:rsid w:val="008515E0"/>
    <w:rsid w:val="0085235A"/>
    <w:rsid w:val="008527ED"/>
    <w:rsid w:val="00852CA6"/>
    <w:rsid w:val="0085350A"/>
    <w:rsid w:val="008537F7"/>
    <w:rsid w:val="008540B0"/>
    <w:rsid w:val="008546BE"/>
    <w:rsid w:val="008546F7"/>
    <w:rsid w:val="00854ED6"/>
    <w:rsid w:val="00854F3C"/>
    <w:rsid w:val="00854FDD"/>
    <w:rsid w:val="008550F3"/>
    <w:rsid w:val="00855140"/>
    <w:rsid w:val="0085527D"/>
    <w:rsid w:val="00855353"/>
    <w:rsid w:val="008554E3"/>
    <w:rsid w:val="0085559B"/>
    <w:rsid w:val="008555E2"/>
    <w:rsid w:val="00855836"/>
    <w:rsid w:val="00855AA2"/>
    <w:rsid w:val="00855F05"/>
    <w:rsid w:val="00856001"/>
    <w:rsid w:val="0085601B"/>
    <w:rsid w:val="00856074"/>
    <w:rsid w:val="0085613E"/>
    <w:rsid w:val="00856266"/>
    <w:rsid w:val="0085651F"/>
    <w:rsid w:val="008566BB"/>
    <w:rsid w:val="00856A54"/>
    <w:rsid w:val="00856C78"/>
    <w:rsid w:val="00856F2B"/>
    <w:rsid w:val="0085730B"/>
    <w:rsid w:val="00857949"/>
    <w:rsid w:val="00857A82"/>
    <w:rsid w:val="00860112"/>
    <w:rsid w:val="008609A9"/>
    <w:rsid w:val="00860A6B"/>
    <w:rsid w:val="0086126C"/>
    <w:rsid w:val="00861645"/>
    <w:rsid w:val="00861808"/>
    <w:rsid w:val="0086192D"/>
    <w:rsid w:val="008623B8"/>
    <w:rsid w:val="00862920"/>
    <w:rsid w:val="00862BE5"/>
    <w:rsid w:val="00862C60"/>
    <w:rsid w:val="008635BF"/>
    <w:rsid w:val="00863709"/>
    <w:rsid w:val="00863B3C"/>
    <w:rsid w:val="00863D00"/>
    <w:rsid w:val="00863E0E"/>
    <w:rsid w:val="00863E44"/>
    <w:rsid w:val="00863F52"/>
    <w:rsid w:val="00864583"/>
    <w:rsid w:val="00864B51"/>
    <w:rsid w:val="00864E4C"/>
    <w:rsid w:val="00864E95"/>
    <w:rsid w:val="008654A5"/>
    <w:rsid w:val="008655E3"/>
    <w:rsid w:val="00865B57"/>
    <w:rsid w:val="008662D5"/>
    <w:rsid w:val="008663F5"/>
    <w:rsid w:val="008669A6"/>
    <w:rsid w:val="00866B32"/>
    <w:rsid w:val="00867193"/>
    <w:rsid w:val="00867FFE"/>
    <w:rsid w:val="00870273"/>
    <w:rsid w:val="008703A7"/>
    <w:rsid w:val="008705F2"/>
    <w:rsid w:val="00870618"/>
    <w:rsid w:val="00870B22"/>
    <w:rsid w:val="00870F17"/>
    <w:rsid w:val="008716B7"/>
    <w:rsid w:val="0087170B"/>
    <w:rsid w:val="00871945"/>
    <w:rsid w:val="008719F1"/>
    <w:rsid w:val="00871E1F"/>
    <w:rsid w:val="00871EE9"/>
    <w:rsid w:val="00871FEA"/>
    <w:rsid w:val="0087261F"/>
    <w:rsid w:val="0087277A"/>
    <w:rsid w:val="00872A47"/>
    <w:rsid w:val="00872D65"/>
    <w:rsid w:val="00873045"/>
    <w:rsid w:val="008736E2"/>
    <w:rsid w:val="008740FB"/>
    <w:rsid w:val="00874565"/>
    <w:rsid w:val="00874835"/>
    <w:rsid w:val="00874954"/>
    <w:rsid w:val="00874A43"/>
    <w:rsid w:val="0087503D"/>
    <w:rsid w:val="008750EE"/>
    <w:rsid w:val="00875170"/>
    <w:rsid w:val="00875661"/>
    <w:rsid w:val="00875924"/>
    <w:rsid w:val="00875C00"/>
    <w:rsid w:val="00875DAB"/>
    <w:rsid w:val="00875DD7"/>
    <w:rsid w:val="00875E16"/>
    <w:rsid w:val="00875FC0"/>
    <w:rsid w:val="00876068"/>
    <w:rsid w:val="0087610C"/>
    <w:rsid w:val="0087618E"/>
    <w:rsid w:val="008765AC"/>
    <w:rsid w:val="00876C14"/>
    <w:rsid w:val="00876E44"/>
    <w:rsid w:val="00876E4D"/>
    <w:rsid w:val="00876EBD"/>
    <w:rsid w:val="00877247"/>
    <w:rsid w:val="008777C4"/>
    <w:rsid w:val="00877B96"/>
    <w:rsid w:val="00877CAB"/>
    <w:rsid w:val="00877F19"/>
    <w:rsid w:val="00877FEA"/>
    <w:rsid w:val="008801AE"/>
    <w:rsid w:val="008804A6"/>
    <w:rsid w:val="008807D3"/>
    <w:rsid w:val="00880AA3"/>
    <w:rsid w:val="00880EDF"/>
    <w:rsid w:val="008810CF"/>
    <w:rsid w:val="008812D9"/>
    <w:rsid w:val="0088137A"/>
    <w:rsid w:val="008814CE"/>
    <w:rsid w:val="00881548"/>
    <w:rsid w:val="00881806"/>
    <w:rsid w:val="00882272"/>
    <w:rsid w:val="00882667"/>
    <w:rsid w:val="00882886"/>
    <w:rsid w:val="00882CED"/>
    <w:rsid w:val="00882D0B"/>
    <w:rsid w:val="00883183"/>
    <w:rsid w:val="0088324A"/>
    <w:rsid w:val="0088326C"/>
    <w:rsid w:val="00883653"/>
    <w:rsid w:val="008837E9"/>
    <w:rsid w:val="00883820"/>
    <w:rsid w:val="008838BB"/>
    <w:rsid w:val="00883BD4"/>
    <w:rsid w:val="00883EB5"/>
    <w:rsid w:val="00883EEE"/>
    <w:rsid w:val="00883FDA"/>
    <w:rsid w:val="00883FEF"/>
    <w:rsid w:val="0088421C"/>
    <w:rsid w:val="0088445B"/>
    <w:rsid w:val="008844B5"/>
    <w:rsid w:val="00884882"/>
    <w:rsid w:val="00884A94"/>
    <w:rsid w:val="00885669"/>
    <w:rsid w:val="00885751"/>
    <w:rsid w:val="00885EA1"/>
    <w:rsid w:val="00885EED"/>
    <w:rsid w:val="0088668D"/>
    <w:rsid w:val="008866B4"/>
    <w:rsid w:val="008869BE"/>
    <w:rsid w:val="00886BA3"/>
    <w:rsid w:val="0088715F"/>
    <w:rsid w:val="0088751E"/>
    <w:rsid w:val="00887596"/>
    <w:rsid w:val="00887A2C"/>
    <w:rsid w:val="00887C1C"/>
    <w:rsid w:val="00887EA2"/>
    <w:rsid w:val="00890487"/>
    <w:rsid w:val="008908AC"/>
    <w:rsid w:val="0089096A"/>
    <w:rsid w:val="00890A14"/>
    <w:rsid w:val="00890B1F"/>
    <w:rsid w:val="00890D7C"/>
    <w:rsid w:val="00890E60"/>
    <w:rsid w:val="00890F23"/>
    <w:rsid w:val="0089139E"/>
    <w:rsid w:val="00891532"/>
    <w:rsid w:val="00891AF6"/>
    <w:rsid w:val="00891B04"/>
    <w:rsid w:val="00891B7F"/>
    <w:rsid w:val="00891BC3"/>
    <w:rsid w:val="00891C76"/>
    <w:rsid w:val="00891E26"/>
    <w:rsid w:val="00892137"/>
    <w:rsid w:val="00892C7F"/>
    <w:rsid w:val="00892D4B"/>
    <w:rsid w:val="008935B0"/>
    <w:rsid w:val="0089375B"/>
    <w:rsid w:val="008937B0"/>
    <w:rsid w:val="008937C8"/>
    <w:rsid w:val="008939F0"/>
    <w:rsid w:val="00893BAA"/>
    <w:rsid w:val="00893C24"/>
    <w:rsid w:val="0089467B"/>
    <w:rsid w:val="00894884"/>
    <w:rsid w:val="00894887"/>
    <w:rsid w:val="00894CDF"/>
    <w:rsid w:val="008951F9"/>
    <w:rsid w:val="008955A2"/>
    <w:rsid w:val="0089585D"/>
    <w:rsid w:val="0089593F"/>
    <w:rsid w:val="0089654A"/>
    <w:rsid w:val="008967C4"/>
    <w:rsid w:val="00897110"/>
    <w:rsid w:val="0089715F"/>
    <w:rsid w:val="00897424"/>
    <w:rsid w:val="008978E7"/>
    <w:rsid w:val="00897F30"/>
    <w:rsid w:val="00897F66"/>
    <w:rsid w:val="008A05BD"/>
    <w:rsid w:val="008A096F"/>
    <w:rsid w:val="008A0AB3"/>
    <w:rsid w:val="008A0D2A"/>
    <w:rsid w:val="008A0D7B"/>
    <w:rsid w:val="008A1291"/>
    <w:rsid w:val="008A131F"/>
    <w:rsid w:val="008A13F1"/>
    <w:rsid w:val="008A1693"/>
    <w:rsid w:val="008A180B"/>
    <w:rsid w:val="008A1917"/>
    <w:rsid w:val="008A191E"/>
    <w:rsid w:val="008A1943"/>
    <w:rsid w:val="008A1BC1"/>
    <w:rsid w:val="008A1BF5"/>
    <w:rsid w:val="008A1EDA"/>
    <w:rsid w:val="008A20DE"/>
    <w:rsid w:val="008A211D"/>
    <w:rsid w:val="008A237F"/>
    <w:rsid w:val="008A254F"/>
    <w:rsid w:val="008A2630"/>
    <w:rsid w:val="008A2726"/>
    <w:rsid w:val="008A29EA"/>
    <w:rsid w:val="008A2BC2"/>
    <w:rsid w:val="008A341C"/>
    <w:rsid w:val="008A37F3"/>
    <w:rsid w:val="008A3DA2"/>
    <w:rsid w:val="008A3E1F"/>
    <w:rsid w:val="008A4649"/>
    <w:rsid w:val="008A4709"/>
    <w:rsid w:val="008A4929"/>
    <w:rsid w:val="008A4E08"/>
    <w:rsid w:val="008A4F23"/>
    <w:rsid w:val="008A524E"/>
    <w:rsid w:val="008A56C9"/>
    <w:rsid w:val="008A5731"/>
    <w:rsid w:val="008A5776"/>
    <w:rsid w:val="008A5833"/>
    <w:rsid w:val="008A59AA"/>
    <w:rsid w:val="008A59B0"/>
    <w:rsid w:val="008A5C49"/>
    <w:rsid w:val="008A5D6E"/>
    <w:rsid w:val="008A648B"/>
    <w:rsid w:val="008A6B94"/>
    <w:rsid w:val="008A7371"/>
    <w:rsid w:val="008A73E2"/>
    <w:rsid w:val="008A7679"/>
    <w:rsid w:val="008A778B"/>
    <w:rsid w:val="008A7A2F"/>
    <w:rsid w:val="008A7C0C"/>
    <w:rsid w:val="008B0033"/>
    <w:rsid w:val="008B00B9"/>
    <w:rsid w:val="008B0152"/>
    <w:rsid w:val="008B050E"/>
    <w:rsid w:val="008B0BF9"/>
    <w:rsid w:val="008B0CC3"/>
    <w:rsid w:val="008B0D13"/>
    <w:rsid w:val="008B0D41"/>
    <w:rsid w:val="008B1530"/>
    <w:rsid w:val="008B157F"/>
    <w:rsid w:val="008B1639"/>
    <w:rsid w:val="008B1707"/>
    <w:rsid w:val="008B1718"/>
    <w:rsid w:val="008B1FD9"/>
    <w:rsid w:val="008B267B"/>
    <w:rsid w:val="008B2D56"/>
    <w:rsid w:val="008B2F38"/>
    <w:rsid w:val="008B377C"/>
    <w:rsid w:val="008B3A52"/>
    <w:rsid w:val="008B3A88"/>
    <w:rsid w:val="008B3B64"/>
    <w:rsid w:val="008B4BFC"/>
    <w:rsid w:val="008B4FC5"/>
    <w:rsid w:val="008B51B4"/>
    <w:rsid w:val="008B52CD"/>
    <w:rsid w:val="008B5B67"/>
    <w:rsid w:val="008B5D7A"/>
    <w:rsid w:val="008B6330"/>
    <w:rsid w:val="008B6404"/>
    <w:rsid w:val="008B66E3"/>
    <w:rsid w:val="008B6A1F"/>
    <w:rsid w:val="008B6C60"/>
    <w:rsid w:val="008B70B9"/>
    <w:rsid w:val="008B7848"/>
    <w:rsid w:val="008B7962"/>
    <w:rsid w:val="008B7AD4"/>
    <w:rsid w:val="008B7BB8"/>
    <w:rsid w:val="008B7CBC"/>
    <w:rsid w:val="008C09B7"/>
    <w:rsid w:val="008C0A6D"/>
    <w:rsid w:val="008C0E5C"/>
    <w:rsid w:val="008C0EDC"/>
    <w:rsid w:val="008C1007"/>
    <w:rsid w:val="008C1351"/>
    <w:rsid w:val="008C1C27"/>
    <w:rsid w:val="008C1E05"/>
    <w:rsid w:val="008C1EB4"/>
    <w:rsid w:val="008C20B2"/>
    <w:rsid w:val="008C254B"/>
    <w:rsid w:val="008C2B73"/>
    <w:rsid w:val="008C2CD4"/>
    <w:rsid w:val="008C32AA"/>
    <w:rsid w:val="008C34BB"/>
    <w:rsid w:val="008C3A94"/>
    <w:rsid w:val="008C3B6B"/>
    <w:rsid w:val="008C45E2"/>
    <w:rsid w:val="008C58C5"/>
    <w:rsid w:val="008C5961"/>
    <w:rsid w:val="008C5F07"/>
    <w:rsid w:val="008C5F13"/>
    <w:rsid w:val="008C6029"/>
    <w:rsid w:val="008C629A"/>
    <w:rsid w:val="008C66B0"/>
    <w:rsid w:val="008C67A3"/>
    <w:rsid w:val="008C6887"/>
    <w:rsid w:val="008C6BAE"/>
    <w:rsid w:val="008C6C22"/>
    <w:rsid w:val="008C6DE4"/>
    <w:rsid w:val="008C7042"/>
    <w:rsid w:val="008C7430"/>
    <w:rsid w:val="008C7E22"/>
    <w:rsid w:val="008D0068"/>
    <w:rsid w:val="008D00CB"/>
    <w:rsid w:val="008D0234"/>
    <w:rsid w:val="008D04DA"/>
    <w:rsid w:val="008D04E0"/>
    <w:rsid w:val="008D0D52"/>
    <w:rsid w:val="008D1090"/>
    <w:rsid w:val="008D155A"/>
    <w:rsid w:val="008D1AE6"/>
    <w:rsid w:val="008D1DF2"/>
    <w:rsid w:val="008D2092"/>
    <w:rsid w:val="008D21A0"/>
    <w:rsid w:val="008D2699"/>
    <w:rsid w:val="008D26A3"/>
    <w:rsid w:val="008D296F"/>
    <w:rsid w:val="008D2A0D"/>
    <w:rsid w:val="008D2B8B"/>
    <w:rsid w:val="008D2CE5"/>
    <w:rsid w:val="008D32BE"/>
    <w:rsid w:val="008D33D6"/>
    <w:rsid w:val="008D3726"/>
    <w:rsid w:val="008D3AED"/>
    <w:rsid w:val="008D3B38"/>
    <w:rsid w:val="008D3DE0"/>
    <w:rsid w:val="008D405C"/>
    <w:rsid w:val="008D40BA"/>
    <w:rsid w:val="008D42A3"/>
    <w:rsid w:val="008D437A"/>
    <w:rsid w:val="008D4687"/>
    <w:rsid w:val="008D46B3"/>
    <w:rsid w:val="008D479F"/>
    <w:rsid w:val="008D48F0"/>
    <w:rsid w:val="008D4C9E"/>
    <w:rsid w:val="008D4CB0"/>
    <w:rsid w:val="008D4CBF"/>
    <w:rsid w:val="008D540B"/>
    <w:rsid w:val="008D5A86"/>
    <w:rsid w:val="008D6184"/>
    <w:rsid w:val="008D6322"/>
    <w:rsid w:val="008D6350"/>
    <w:rsid w:val="008D6397"/>
    <w:rsid w:val="008D63D6"/>
    <w:rsid w:val="008D643B"/>
    <w:rsid w:val="008D6464"/>
    <w:rsid w:val="008D6666"/>
    <w:rsid w:val="008D691C"/>
    <w:rsid w:val="008D6D3A"/>
    <w:rsid w:val="008D7307"/>
    <w:rsid w:val="008D73C9"/>
    <w:rsid w:val="008D7419"/>
    <w:rsid w:val="008D7616"/>
    <w:rsid w:val="008D7763"/>
    <w:rsid w:val="008D7C93"/>
    <w:rsid w:val="008D7CDF"/>
    <w:rsid w:val="008E01B6"/>
    <w:rsid w:val="008E071D"/>
    <w:rsid w:val="008E071F"/>
    <w:rsid w:val="008E0831"/>
    <w:rsid w:val="008E0A49"/>
    <w:rsid w:val="008E0F3D"/>
    <w:rsid w:val="008E12A1"/>
    <w:rsid w:val="008E13CB"/>
    <w:rsid w:val="008E13EB"/>
    <w:rsid w:val="008E1562"/>
    <w:rsid w:val="008E16BF"/>
    <w:rsid w:val="008E1811"/>
    <w:rsid w:val="008E18A9"/>
    <w:rsid w:val="008E1E9E"/>
    <w:rsid w:val="008E1F67"/>
    <w:rsid w:val="008E289A"/>
    <w:rsid w:val="008E2B43"/>
    <w:rsid w:val="008E2C83"/>
    <w:rsid w:val="008E2EF8"/>
    <w:rsid w:val="008E3049"/>
    <w:rsid w:val="008E309A"/>
    <w:rsid w:val="008E3488"/>
    <w:rsid w:val="008E35A3"/>
    <w:rsid w:val="008E35C3"/>
    <w:rsid w:val="008E36A2"/>
    <w:rsid w:val="008E3881"/>
    <w:rsid w:val="008E3A5C"/>
    <w:rsid w:val="008E3ABD"/>
    <w:rsid w:val="008E3C34"/>
    <w:rsid w:val="008E3CF8"/>
    <w:rsid w:val="008E3F48"/>
    <w:rsid w:val="008E546F"/>
    <w:rsid w:val="008E5CA3"/>
    <w:rsid w:val="008E64BB"/>
    <w:rsid w:val="008E67DB"/>
    <w:rsid w:val="008E6897"/>
    <w:rsid w:val="008E6D0A"/>
    <w:rsid w:val="008E6E38"/>
    <w:rsid w:val="008E7274"/>
    <w:rsid w:val="008E76B9"/>
    <w:rsid w:val="008E783F"/>
    <w:rsid w:val="008E7C4F"/>
    <w:rsid w:val="008F0562"/>
    <w:rsid w:val="008F0885"/>
    <w:rsid w:val="008F098F"/>
    <w:rsid w:val="008F0A43"/>
    <w:rsid w:val="008F1047"/>
    <w:rsid w:val="008F117E"/>
    <w:rsid w:val="008F1393"/>
    <w:rsid w:val="008F13ED"/>
    <w:rsid w:val="008F1D3C"/>
    <w:rsid w:val="008F2407"/>
    <w:rsid w:val="008F260B"/>
    <w:rsid w:val="008F2A69"/>
    <w:rsid w:val="008F2B66"/>
    <w:rsid w:val="008F2EDE"/>
    <w:rsid w:val="008F2F32"/>
    <w:rsid w:val="008F30E8"/>
    <w:rsid w:val="008F3524"/>
    <w:rsid w:val="008F35A0"/>
    <w:rsid w:val="008F372D"/>
    <w:rsid w:val="008F379E"/>
    <w:rsid w:val="008F3CDA"/>
    <w:rsid w:val="008F3E31"/>
    <w:rsid w:val="008F408D"/>
    <w:rsid w:val="008F4311"/>
    <w:rsid w:val="008F45E0"/>
    <w:rsid w:val="008F474C"/>
    <w:rsid w:val="008F4B31"/>
    <w:rsid w:val="008F4EEC"/>
    <w:rsid w:val="008F56B4"/>
    <w:rsid w:val="008F5B6F"/>
    <w:rsid w:val="008F5CDB"/>
    <w:rsid w:val="008F5D7B"/>
    <w:rsid w:val="008F5F9E"/>
    <w:rsid w:val="008F5FBD"/>
    <w:rsid w:val="008F6014"/>
    <w:rsid w:val="008F60C0"/>
    <w:rsid w:val="008F6241"/>
    <w:rsid w:val="008F64E7"/>
    <w:rsid w:val="008F6A2E"/>
    <w:rsid w:val="008F6A3F"/>
    <w:rsid w:val="008F6B3B"/>
    <w:rsid w:val="008F7289"/>
    <w:rsid w:val="008F79B8"/>
    <w:rsid w:val="008F7C95"/>
    <w:rsid w:val="008F7F64"/>
    <w:rsid w:val="009000B5"/>
    <w:rsid w:val="00900157"/>
    <w:rsid w:val="00900463"/>
    <w:rsid w:val="00900487"/>
    <w:rsid w:val="00900629"/>
    <w:rsid w:val="0090069F"/>
    <w:rsid w:val="00900D5B"/>
    <w:rsid w:val="00900F8A"/>
    <w:rsid w:val="009011E7"/>
    <w:rsid w:val="00901DA3"/>
    <w:rsid w:val="00901DD8"/>
    <w:rsid w:val="009023EF"/>
    <w:rsid w:val="009029C7"/>
    <w:rsid w:val="00902E0E"/>
    <w:rsid w:val="00903056"/>
    <w:rsid w:val="0090399D"/>
    <w:rsid w:val="00904217"/>
    <w:rsid w:val="00904227"/>
    <w:rsid w:val="009045A0"/>
    <w:rsid w:val="009046BC"/>
    <w:rsid w:val="00904725"/>
    <w:rsid w:val="0090479C"/>
    <w:rsid w:val="00904A7E"/>
    <w:rsid w:val="00904BE0"/>
    <w:rsid w:val="00904E7D"/>
    <w:rsid w:val="00905069"/>
    <w:rsid w:val="00905114"/>
    <w:rsid w:val="0090524E"/>
    <w:rsid w:val="009057F8"/>
    <w:rsid w:val="00905A3F"/>
    <w:rsid w:val="00905B3D"/>
    <w:rsid w:val="00905C7C"/>
    <w:rsid w:val="009060FC"/>
    <w:rsid w:val="0090656E"/>
    <w:rsid w:val="00906C57"/>
    <w:rsid w:val="00906C81"/>
    <w:rsid w:val="00906D3E"/>
    <w:rsid w:val="00906E65"/>
    <w:rsid w:val="0090718E"/>
    <w:rsid w:val="009072B0"/>
    <w:rsid w:val="00907E14"/>
    <w:rsid w:val="00910008"/>
    <w:rsid w:val="009103CE"/>
    <w:rsid w:val="00910B14"/>
    <w:rsid w:val="00910B67"/>
    <w:rsid w:val="00910D1D"/>
    <w:rsid w:val="00910EB8"/>
    <w:rsid w:val="00910F53"/>
    <w:rsid w:val="00911139"/>
    <w:rsid w:val="009117F0"/>
    <w:rsid w:val="00911A16"/>
    <w:rsid w:val="00911AB5"/>
    <w:rsid w:val="00911DA4"/>
    <w:rsid w:val="00912854"/>
    <w:rsid w:val="00912A72"/>
    <w:rsid w:val="00912BB0"/>
    <w:rsid w:val="00912F8F"/>
    <w:rsid w:val="0091347C"/>
    <w:rsid w:val="00913532"/>
    <w:rsid w:val="00913EB5"/>
    <w:rsid w:val="00913F86"/>
    <w:rsid w:val="009141C5"/>
    <w:rsid w:val="009144D5"/>
    <w:rsid w:val="00914517"/>
    <w:rsid w:val="00914877"/>
    <w:rsid w:val="0091489A"/>
    <w:rsid w:val="00914B91"/>
    <w:rsid w:val="00914E09"/>
    <w:rsid w:val="00915441"/>
    <w:rsid w:val="0091589D"/>
    <w:rsid w:val="009158A3"/>
    <w:rsid w:val="00915C45"/>
    <w:rsid w:val="00915E28"/>
    <w:rsid w:val="00915EAA"/>
    <w:rsid w:val="00915F70"/>
    <w:rsid w:val="00915F98"/>
    <w:rsid w:val="00915FA3"/>
    <w:rsid w:val="009167A6"/>
    <w:rsid w:val="009167F3"/>
    <w:rsid w:val="00916853"/>
    <w:rsid w:val="00916CA8"/>
    <w:rsid w:val="00916CF6"/>
    <w:rsid w:val="00916D06"/>
    <w:rsid w:val="00916EED"/>
    <w:rsid w:val="00916FA4"/>
    <w:rsid w:val="0091705B"/>
    <w:rsid w:val="009176C6"/>
    <w:rsid w:val="00917B80"/>
    <w:rsid w:val="0092007C"/>
    <w:rsid w:val="009202EF"/>
    <w:rsid w:val="009209FC"/>
    <w:rsid w:val="00920A7A"/>
    <w:rsid w:val="00920A9C"/>
    <w:rsid w:val="00920C25"/>
    <w:rsid w:val="009212DA"/>
    <w:rsid w:val="0092146E"/>
    <w:rsid w:val="00921714"/>
    <w:rsid w:val="009217F8"/>
    <w:rsid w:val="009219F8"/>
    <w:rsid w:val="00921B07"/>
    <w:rsid w:val="00921C9F"/>
    <w:rsid w:val="00922115"/>
    <w:rsid w:val="0092224B"/>
    <w:rsid w:val="00922324"/>
    <w:rsid w:val="00922560"/>
    <w:rsid w:val="00922E72"/>
    <w:rsid w:val="00923614"/>
    <w:rsid w:val="0092361E"/>
    <w:rsid w:val="00924130"/>
    <w:rsid w:val="00924680"/>
    <w:rsid w:val="0092470E"/>
    <w:rsid w:val="00924A2E"/>
    <w:rsid w:val="00924A99"/>
    <w:rsid w:val="00924B94"/>
    <w:rsid w:val="00924C3C"/>
    <w:rsid w:val="00924ECE"/>
    <w:rsid w:val="00924F11"/>
    <w:rsid w:val="00925187"/>
    <w:rsid w:val="00925E01"/>
    <w:rsid w:val="009267E8"/>
    <w:rsid w:val="00926D93"/>
    <w:rsid w:val="0092709C"/>
    <w:rsid w:val="0092717F"/>
    <w:rsid w:val="009273A9"/>
    <w:rsid w:val="009273C9"/>
    <w:rsid w:val="00927518"/>
    <w:rsid w:val="00927744"/>
    <w:rsid w:val="00927958"/>
    <w:rsid w:val="00927B05"/>
    <w:rsid w:val="00927C55"/>
    <w:rsid w:val="00927EA2"/>
    <w:rsid w:val="00930185"/>
    <w:rsid w:val="0093078C"/>
    <w:rsid w:val="00930B71"/>
    <w:rsid w:val="00930F4E"/>
    <w:rsid w:val="00931942"/>
    <w:rsid w:val="00931A2C"/>
    <w:rsid w:val="00931C09"/>
    <w:rsid w:val="00931D92"/>
    <w:rsid w:val="00931DFB"/>
    <w:rsid w:val="00931E3E"/>
    <w:rsid w:val="00931EEF"/>
    <w:rsid w:val="00932549"/>
    <w:rsid w:val="00932B89"/>
    <w:rsid w:val="00932DFD"/>
    <w:rsid w:val="00933279"/>
    <w:rsid w:val="00933506"/>
    <w:rsid w:val="009338CB"/>
    <w:rsid w:val="00934624"/>
    <w:rsid w:val="00934675"/>
    <w:rsid w:val="009348BA"/>
    <w:rsid w:val="00934A2B"/>
    <w:rsid w:val="00935076"/>
    <w:rsid w:val="009354BA"/>
    <w:rsid w:val="00935703"/>
    <w:rsid w:val="00935A38"/>
    <w:rsid w:val="00935A70"/>
    <w:rsid w:val="00935DFB"/>
    <w:rsid w:val="00935E71"/>
    <w:rsid w:val="00935F67"/>
    <w:rsid w:val="00936062"/>
    <w:rsid w:val="00936165"/>
    <w:rsid w:val="00936637"/>
    <w:rsid w:val="00936B4F"/>
    <w:rsid w:val="00936FE1"/>
    <w:rsid w:val="009370BC"/>
    <w:rsid w:val="00937449"/>
    <w:rsid w:val="009377CE"/>
    <w:rsid w:val="00937A6A"/>
    <w:rsid w:val="00937CBE"/>
    <w:rsid w:val="0094011E"/>
    <w:rsid w:val="0094026C"/>
    <w:rsid w:val="00940327"/>
    <w:rsid w:val="009404B7"/>
    <w:rsid w:val="009405CD"/>
    <w:rsid w:val="0094091A"/>
    <w:rsid w:val="009409E4"/>
    <w:rsid w:val="009409EF"/>
    <w:rsid w:val="00940BFC"/>
    <w:rsid w:val="00941971"/>
    <w:rsid w:val="00941982"/>
    <w:rsid w:val="009421D6"/>
    <w:rsid w:val="00942669"/>
    <w:rsid w:val="0094276F"/>
    <w:rsid w:val="00942919"/>
    <w:rsid w:val="009429FD"/>
    <w:rsid w:val="00942D44"/>
    <w:rsid w:val="009430D4"/>
    <w:rsid w:val="009433C7"/>
    <w:rsid w:val="009436E6"/>
    <w:rsid w:val="009437FC"/>
    <w:rsid w:val="00943822"/>
    <w:rsid w:val="00943ABC"/>
    <w:rsid w:val="00943BBB"/>
    <w:rsid w:val="00943C46"/>
    <w:rsid w:val="00943C85"/>
    <w:rsid w:val="00944033"/>
    <w:rsid w:val="00944087"/>
    <w:rsid w:val="00944232"/>
    <w:rsid w:val="0094430F"/>
    <w:rsid w:val="0094452B"/>
    <w:rsid w:val="00944601"/>
    <w:rsid w:val="0094470B"/>
    <w:rsid w:val="0094488D"/>
    <w:rsid w:val="00944CFC"/>
    <w:rsid w:val="00944E74"/>
    <w:rsid w:val="0094537E"/>
    <w:rsid w:val="009457E0"/>
    <w:rsid w:val="00945F78"/>
    <w:rsid w:val="00946254"/>
    <w:rsid w:val="009464F2"/>
    <w:rsid w:val="00946633"/>
    <w:rsid w:val="00946811"/>
    <w:rsid w:val="009468B2"/>
    <w:rsid w:val="00946905"/>
    <w:rsid w:val="00946938"/>
    <w:rsid w:val="009473A1"/>
    <w:rsid w:val="00947447"/>
    <w:rsid w:val="00947506"/>
    <w:rsid w:val="00947520"/>
    <w:rsid w:val="009476E3"/>
    <w:rsid w:val="00947BBD"/>
    <w:rsid w:val="00947CF8"/>
    <w:rsid w:val="00947FF7"/>
    <w:rsid w:val="0095012E"/>
    <w:rsid w:val="00950426"/>
    <w:rsid w:val="009507A3"/>
    <w:rsid w:val="00950B11"/>
    <w:rsid w:val="00950E10"/>
    <w:rsid w:val="00950F72"/>
    <w:rsid w:val="0095153F"/>
    <w:rsid w:val="009516EB"/>
    <w:rsid w:val="009518B1"/>
    <w:rsid w:val="00951934"/>
    <w:rsid w:val="00951E4F"/>
    <w:rsid w:val="0095207B"/>
    <w:rsid w:val="00952AB9"/>
    <w:rsid w:val="00952C1E"/>
    <w:rsid w:val="009530EA"/>
    <w:rsid w:val="00953365"/>
    <w:rsid w:val="00953A24"/>
    <w:rsid w:val="00953C4B"/>
    <w:rsid w:val="00953EE7"/>
    <w:rsid w:val="00954510"/>
    <w:rsid w:val="00954719"/>
    <w:rsid w:val="0095479C"/>
    <w:rsid w:val="00954BBD"/>
    <w:rsid w:val="00954C8C"/>
    <w:rsid w:val="00954EC6"/>
    <w:rsid w:val="009550D3"/>
    <w:rsid w:val="00955307"/>
    <w:rsid w:val="009554E5"/>
    <w:rsid w:val="00955501"/>
    <w:rsid w:val="00955EAE"/>
    <w:rsid w:val="00956140"/>
    <w:rsid w:val="009561DD"/>
    <w:rsid w:val="009563B3"/>
    <w:rsid w:val="00956581"/>
    <w:rsid w:val="009565EC"/>
    <w:rsid w:val="00956ACE"/>
    <w:rsid w:val="00956E4C"/>
    <w:rsid w:val="009570D7"/>
    <w:rsid w:val="0095711E"/>
    <w:rsid w:val="009572A0"/>
    <w:rsid w:val="00957341"/>
    <w:rsid w:val="00957370"/>
    <w:rsid w:val="0095797C"/>
    <w:rsid w:val="00957D24"/>
    <w:rsid w:val="00957FF2"/>
    <w:rsid w:val="009600A4"/>
    <w:rsid w:val="00960117"/>
    <w:rsid w:val="009602F7"/>
    <w:rsid w:val="00960DCF"/>
    <w:rsid w:val="009614F4"/>
    <w:rsid w:val="00961521"/>
    <w:rsid w:val="009615CB"/>
    <w:rsid w:val="0096166A"/>
    <w:rsid w:val="00961979"/>
    <w:rsid w:val="00961B53"/>
    <w:rsid w:val="00961CD0"/>
    <w:rsid w:val="00961D66"/>
    <w:rsid w:val="00961E47"/>
    <w:rsid w:val="00961F1A"/>
    <w:rsid w:val="009621AE"/>
    <w:rsid w:val="00962314"/>
    <w:rsid w:val="009624D4"/>
    <w:rsid w:val="00962898"/>
    <w:rsid w:val="009628A9"/>
    <w:rsid w:val="00962D55"/>
    <w:rsid w:val="00963264"/>
    <w:rsid w:val="0096333C"/>
    <w:rsid w:val="00963826"/>
    <w:rsid w:val="0096389D"/>
    <w:rsid w:val="009638BB"/>
    <w:rsid w:val="00963C13"/>
    <w:rsid w:val="0096505B"/>
    <w:rsid w:val="0096517F"/>
    <w:rsid w:val="00965748"/>
    <w:rsid w:val="00965CE3"/>
    <w:rsid w:val="00965F6A"/>
    <w:rsid w:val="00966573"/>
    <w:rsid w:val="00966581"/>
    <w:rsid w:val="00966A2B"/>
    <w:rsid w:val="00966A31"/>
    <w:rsid w:val="00966A60"/>
    <w:rsid w:val="00966D46"/>
    <w:rsid w:val="00966D52"/>
    <w:rsid w:val="00966F83"/>
    <w:rsid w:val="00967234"/>
    <w:rsid w:val="009672E1"/>
    <w:rsid w:val="00967549"/>
    <w:rsid w:val="009676C0"/>
    <w:rsid w:val="009679A4"/>
    <w:rsid w:val="00967D09"/>
    <w:rsid w:val="0097026D"/>
    <w:rsid w:val="00970433"/>
    <w:rsid w:val="00970560"/>
    <w:rsid w:val="00970812"/>
    <w:rsid w:val="00970B0B"/>
    <w:rsid w:val="00970B9E"/>
    <w:rsid w:val="009710CE"/>
    <w:rsid w:val="009716D3"/>
    <w:rsid w:val="009718A1"/>
    <w:rsid w:val="00971B9D"/>
    <w:rsid w:val="00972212"/>
    <w:rsid w:val="0097232D"/>
    <w:rsid w:val="009723F5"/>
    <w:rsid w:val="00972408"/>
    <w:rsid w:val="0097247A"/>
    <w:rsid w:val="009729C0"/>
    <w:rsid w:val="00972E41"/>
    <w:rsid w:val="00972EFA"/>
    <w:rsid w:val="00974087"/>
    <w:rsid w:val="00974A0B"/>
    <w:rsid w:val="00974B36"/>
    <w:rsid w:val="00974C73"/>
    <w:rsid w:val="00974D71"/>
    <w:rsid w:val="00975534"/>
    <w:rsid w:val="00975609"/>
    <w:rsid w:val="009759D5"/>
    <w:rsid w:val="00976471"/>
    <w:rsid w:val="00976882"/>
    <w:rsid w:val="00976F9B"/>
    <w:rsid w:val="009775BA"/>
    <w:rsid w:val="009777F5"/>
    <w:rsid w:val="00977936"/>
    <w:rsid w:val="00977A28"/>
    <w:rsid w:val="00977B5A"/>
    <w:rsid w:val="00977F78"/>
    <w:rsid w:val="00977F96"/>
    <w:rsid w:val="00980041"/>
    <w:rsid w:val="009803A9"/>
    <w:rsid w:val="009803CB"/>
    <w:rsid w:val="009803D4"/>
    <w:rsid w:val="009807A2"/>
    <w:rsid w:val="00980A6B"/>
    <w:rsid w:val="00980BC1"/>
    <w:rsid w:val="009811B3"/>
    <w:rsid w:val="00981454"/>
    <w:rsid w:val="009814C1"/>
    <w:rsid w:val="00981572"/>
    <w:rsid w:val="00981866"/>
    <w:rsid w:val="00981907"/>
    <w:rsid w:val="0098194D"/>
    <w:rsid w:val="0098199C"/>
    <w:rsid w:val="00981C24"/>
    <w:rsid w:val="00981F6F"/>
    <w:rsid w:val="00982094"/>
    <w:rsid w:val="00982202"/>
    <w:rsid w:val="00982381"/>
    <w:rsid w:val="0098256E"/>
    <w:rsid w:val="009825DC"/>
    <w:rsid w:val="0098268D"/>
    <w:rsid w:val="00982823"/>
    <w:rsid w:val="00982B2B"/>
    <w:rsid w:val="00983017"/>
    <w:rsid w:val="0098319B"/>
    <w:rsid w:val="009831C5"/>
    <w:rsid w:val="00983321"/>
    <w:rsid w:val="009833DA"/>
    <w:rsid w:val="00983465"/>
    <w:rsid w:val="00983698"/>
    <w:rsid w:val="00983772"/>
    <w:rsid w:val="00983BD7"/>
    <w:rsid w:val="00984549"/>
    <w:rsid w:val="0098458A"/>
    <w:rsid w:val="00984872"/>
    <w:rsid w:val="00984A42"/>
    <w:rsid w:val="00984B4E"/>
    <w:rsid w:val="00984E73"/>
    <w:rsid w:val="0098510E"/>
    <w:rsid w:val="0098528F"/>
    <w:rsid w:val="009857E1"/>
    <w:rsid w:val="00985996"/>
    <w:rsid w:val="00985B82"/>
    <w:rsid w:val="00985B95"/>
    <w:rsid w:val="00985FC6"/>
    <w:rsid w:val="00986591"/>
    <w:rsid w:val="00986622"/>
    <w:rsid w:val="009866F7"/>
    <w:rsid w:val="00986873"/>
    <w:rsid w:val="00986CF2"/>
    <w:rsid w:val="00986DCD"/>
    <w:rsid w:val="00987103"/>
    <w:rsid w:val="009871CC"/>
    <w:rsid w:val="009873F3"/>
    <w:rsid w:val="00987CE3"/>
    <w:rsid w:val="00987D40"/>
    <w:rsid w:val="009903E2"/>
    <w:rsid w:val="00990681"/>
    <w:rsid w:val="00990D84"/>
    <w:rsid w:val="0099111D"/>
    <w:rsid w:val="009911EF"/>
    <w:rsid w:val="0099148E"/>
    <w:rsid w:val="00991678"/>
    <w:rsid w:val="00991763"/>
    <w:rsid w:val="00991935"/>
    <w:rsid w:val="00991AF3"/>
    <w:rsid w:val="00991DFA"/>
    <w:rsid w:val="00992142"/>
    <w:rsid w:val="00992757"/>
    <w:rsid w:val="00992899"/>
    <w:rsid w:val="00992BC3"/>
    <w:rsid w:val="00992FC1"/>
    <w:rsid w:val="009932C1"/>
    <w:rsid w:val="00993407"/>
    <w:rsid w:val="00993441"/>
    <w:rsid w:val="00993498"/>
    <w:rsid w:val="00993678"/>
    <w:rsid w:val="00993773"/>
    <w:rsid w:val="00993845"/>
    <w:rsid w:val="00993FDD"/>
    <w:rsid w:val="009944F7"/>
    <w:rsid w:val="009945A7"/>
    <w:rsid w:val="0099466D"/>
    <w:rsid w:val="00994B86"/>
    <w:rsid w:val="00994D5F"/>
    <w:rsid w:val="00994DBA"/>
    <w:rsid w:val="009956C0"/>
    <w:rsid w:val="009957F2"/>
    <w:rsid w:val="00995807"/>
    <w:rsid w:val="00995C1F"/>
    <w:rsid w:val="00995CBA"/>
    <w:rsid w:val="00995E5F"/>
    <w:rsid w:val="00995E98"/>
    <w:rsid w:val="009960A9"/>
    <w:rsid w:val="0099664B"/>
    <w:rsid w:val="0099683F"/>
    <w:rsid w:val="0099697E"/>
    <w:rsid w:val="00996A07"/>
    <w:rsid w:val="00996AA0"/>
    <w:rsid w:val="00996C43"/>
    <w:rsid w:val="00996F0F"/>
    <w:rsid w:val="00996F15"/>
    <w:rsid w:val="00997023"/>
    <w:rsid w:val="00997BA8"/>
    <w:rsid w:val="00997E68"/>
    <w:rsid w:val="009A06F4"/>
    <w:rsid w:val="009A0AA9"/>
    <w:rsid w:val="009A16FB"/>
    <w:rsid w:val="009A17D2"/>
    <w:rsid w:val="009A18AE"/>
    <w:rsid w:val="009A1F9E"/>
    <w:rsid w:val="009A2046"/>
    <w:rsid w:val="009A2F16"/>
    <w:rsid w:val="009A3010"/>
    <w:rsid w:val="009A3608"/>
    <w:rsid w:val="009A3743"/>
    <w:rsid w:val="009A3778"/>
    <w:rsid w:val="009A3821"/>
    <w:rsid w:val="009A3E2E"/>
    <w:rsid w:val="009A4002"/>
    <w:rsid w:val="009A4381"/>
    <w:rsid w:val="009A4541"/>
    <w:rsid w:val="009A4588"/>
    <w:rsid w:val="009A47A5"/>
    <w:rsid w:val="009A4975"/>
    <w:rsid w:val="009A4E7B"/>
    <w:rsid w:val="009A4F46"/>
    <w:rsid w:val="009A4F81"/>
    <w:rsid w:val="009A5170"/>
    <w:rsid w:val="009A592C"/>
    <w:rsid w:val="009A5948"/>
    <w:rsid w:val="009A5B8A"/>
    <w:rsid w:val="009A6592"/>
    <w:rsid w:val="009A68C8"/>
    <w:rsid w:val="009A68EB"/>
    <w:rsid w:val="009A6DF7"/>
    <w:rsid w:val="009A6E61"/>
    <w:rsid w:val="009A7031"/>
    <w:rsid w:val="009A73CB"/>
    <w:rsid w:val="009A76ED"/>
    <w:rsid w:val="009A7704"/>
    <w:rsid w:val="009A7913"/>
    <w:rsid w:val="009A7C32"/>
    <w:rsid w:val="009A7CAF"/>
    <w:rsid w:val="009A7F34"/>
    <w:rsid w:val="009B02B5"/>
    <w:rsid w:val="009B0426"/>
    <w:rsid w:val="009B11AE"/>
    <w:rsid w:val="009B1292"/>
    <w:rsid w:val="009B12DD"/>
    <w:rsid w:val="009B1A6D"/>
    <w:rsid w:val="009B1D0D"/>
    <w:rsid w:val="009B212E"/>
    <w:rsid w:val="009B213C"/>
    <w:rsid w:val="009B2180"/>
    <w:rsid w:val="009B2245"/>
    <w:rsid w:val="009B258E"/>
    <w:rsid w:val="009B2ADD"/>
    <w:rsid w:val="009B2C5A"/>
    <w:rsid w:val="009B2E72"/>
    <w:rsid w:val="009B3978"/>
    <w:rsid w:val="009B3FC8"/>
    <w:rsid w:val="009B45BD"/>
    <w:rsid w:val="009B478F"/>
    <w:rsid w:val="009B4AAB"/>
    <w:rsid w:val="009B4BC9"/>
    <w:rsid w:val="009B4CC5"/>
    <w:rsid w:val="009B5211"/>
    <w:rsid w:val="009B52AC"/>
    <w:rsid w:val="009B5824"/>
    <w:rsid w:val="009B5997"/>
    <w:rsid w:val="009B5ADB"/>
    <w:rsid w:val="009B5ED6"/>
    <w:rsid w:val="009B6080"/>
    <w:rsid w:val="009B6138"/>
    <w:rsid w:val="009B65F1"/>
    <w:rsid w:val="009B6716"/>
    <w:rsid w:val="009B6B23"/>
    <w:rsid w:val="009B6BFA"/>
    <w:rsid w:val="009B702D"/>
    <w:rsid w:val="009B72D1"/>
    <w:rsid w:val="009B747A"/>
    <w:rsid w:val="009B752B"/>
    <w:rsid w:val="009B75FD"/>
    <w:rsid w:val="009B792C"/>
    <w:rsid w:val="009B7A4D"/>
    <w:rsid w:val="009B7ABD"/>
    <w:rsid w:val="009C0156"/>
    <w:rsid w:val="009C01C7"/>
    <w:rsid w:val="009C035B"/>
    <w:rsid w:val="009C0455"/>
    <w:rsid w:val="009C0736"/>
    <w:rsid w:val="009C095B"/>
    <w:rsid w:val="009C0BE9"/>
    <w:rsid w:val="009C0FCC"/>
    <w:rsid w:val="009C1695"/>
    <w:rsid w:val="009C18CC"/>
    <w:rsid w:val="009C18E1"/>
    <w:rsid w:val="009C1D27"/>
    <w:rsid w:val="009C1F87"/>
    <w:rsid w:val="009C22DF"/>
    <w:rsid w:val="009C2662"/>
    <w:rsid w:val="009C2B03"/>
    <w:rsid w:val="009C2CA0"/>
    <w:rsid w:val="009C37E1"/>
    <w:rsid w:val="009C3BCC"/>
    <w:rsid w:val="009C3BD9"/>
    <w:rsid w:val="009C3CFF"/>
    <w:rsid w:val="009C3EE2"/>
    <w:rsid w:val="009C3FB7"/>
    <w:rsid w:val="009C42BA"/>
    <w:rsid w:val="009C479A"/>
    <w:rsid w:val="009C4A27"/>
    <w:rsid w:val="009C4B60"/>
    <w:rsid w:val="009C4D30"/>
    <w:rsid w:val="009C4D49"/>
    <w:rsid w:val="009C4FF6"/>
    <w:rsid w:val="009C51B5"/>
    <w:rsid w:val="009C57C1"/>
    <w:rsid w:val="009C5A2F"/>
    <w:rsid w:val="009C5B82"/>
    <w:rsid w:val="009C602D"/>
    <w:rsid w:val="009C60DB"/>
    <w:rsid w:val="009C6396"/>
    <w:rsid w:val="009C63D3"/>
    <w:rsid w:val="009C6513"/>
    <w:rsid w:val="009C6593"/>
    <w:rsid w:val="009C68C5"/>
    <w:rsid w:val="009C7009"/>
    <w:rsid w:val="009C712F"/>
    <w:rsid w:val="009C7156"/>
    <w:rsid w:val="009C71BC"/>
    <w:rsid w:val="009C756E"/>
    <w:rsid w:val="009C7967"/>
    <w:rsid w:val="009C7A8B"/>
    <w:rsid w:val="009C7F8D"/>
    <w:rsid w:val="009D0008"/>
    <w:rsid w:val="009D055A"/>
    <w:rsid w:val="009D060D"/>
    <w:rsid w:val="009D075E"/>
    <w:rsid w:val="009D0DD7"/>
    <w:rsid w:val="009D0F8C"/>
    <w:rsid w:val="009D11AB"/>
    <w:rsid w:val="009D1610"/>
    <w:rsid w:val="009D1A82"/>
    <w:rsid w:val="009D1CB8"/>
    <w:rsid w:val="009D2124"/>
    <w:rsid w:val="009D2131"/>
    <w:rsid w:val="009D21BE"/>
    <w:rsid w:val="009D223A"/>
    <w:rsid w:val="009D2253"/>
    <w:rsid w:val="009D25E7"/>
    <w:rsid w:val="009D2B70"/>
    <w:rsid w:val="009D34AB"/>
    <w:rsid w:val="009D369B"/>
    <w:rsid w:val="009D3C3D"/>
    <w:rsid w:val="009D3D3D"/>
    <w:rsid w:val="009D4612"/>
    <w:rsid w:val="009D4800"/>
    <w:rsid w:val="009D4936"/>
    <w:rsid w:val="009D4A95"/>
    <w:rsid w:val="009D4D20"/>
    <w:rsid w:val="009D5288"/>
    <w:rsid w:val="009D55C0"/>
    <w:rsid w:val="009D584F"/>
    <w:rsid w:val="009D5ABA"/>
    <w:rsid w:val="009D5BD1"/>
    <w:rsid w:val="009D5C74"/>
    <w:rsid w:val="009D5E8E"/>
    <w:rsid w:val="009D63B3"/>
    <w:rsid w:val="009D6F5F"/>
    <w:rsid w:val="009D7335"/>
    <w:rsid w:val="009D74D0"/>
    <w:rsid w:val="009D75D6"/>
    <w:rsid w:val="009D777C"/>
    <w:rsid w:val="009D7C79"/>
    <w:rsid w:val="009D7E40"/>
    <w:rsid w:val="009E0744"/>
    <w:rsid w:val="009E11B0"/>
    <w:rsid w:val="009E1290"/>
    <w:rsid w:val="009E161B"/>
    <w:rsid w:val="009E2528"/>
    <w:rsid w:val="009E28F6"/>
    <w:rsid w:val="009E2AD3"/>
    <w:rsid w:val="009E2B54"/>
    <w:rsid w:val="009E2B6C"/>
    <w:rsid w:val="009E2C88"/>
    <w:rsid w:val="009E2EDE"/>
    <w:rsid w:val="009E2F1B"/>
    <w:rsid w:val="009E326B"/>
    <w:rsid w:val="009E340E"/>
    <w:rsid w:val="009E34F5"/>
    <w:rsid w:val="009E357D"/>
    <w:rsid w:val="009E38DA"/>
    <w:rsid w:val="009E3AF0"/>
    <w:rsid w:val="009E3BF7"/>
    <w:rsid w:val="009E3C80"/>
    <w:rsid w:val="009E4378"/>
    <w:rsid w:val="009E47E5"/>
    <w:rsid w:val="009E4A76"/>
    <w:rsid w:val="009E4A96"/>
    <w:rsid w:val="009E4BBE"/>
    <w:rsid w:val="009E4E20"/>
    <w:rsid w:val="009E4FD7"/>
    <w:rsid w:val="009E5146"/>
    <w:rsid w:val="009E5273"/>
    <w:rsid w:val="009E5876"/>
    <w:rsid w:val="009E5A79"/>
    <w:rsid w:val="009E5CBB"/>
    <w:rsid w:val="009E6123"/>
    <w:rsid w:val="009E6140"/>
    <w:rsid w:val="009E61AE"/>
    <w:rsid w:val="009E634F"/>
    <w:rsid w:val="009E640D"/>
    <w:rsid w:val="009E6575"/>
    <w:rsid w:val="009E684A"/>
    <w:rsid w:val="009E6BE5"/>
    <w:rsid w:val="009E6C52"/>
    <w:rsid w:val="009E6E9F"/>
    <w:rsid w:val="009E7142"/>
    <w:rsid w:val="009E77AA"/>
    <w:rsid w:val="009E7924"/>
    <w:rsid w:val="009E7938"/>
    <w:rsid w:val="009E7984"/>
    <w:rsid w:val="009E7AC7"/>
    <w:rsid w:val="009E7C34"/>
    <w:rsid w:val="009E7FA3"/>
    <w:rsid w:val="009E9EA4"/>
    <w:rsid w:val="009F0040"/>
    <w:rsid w:val="009F020E"/>
    <w:rsid w:val="009F0AFB"/>
    <w:rsid w:val="009F0CB6"/>
    <w:rsid w:val="009F0EB6"/>
    <w:rsid w:val="009F1067"/>
    <w:rsid w:val="009F11DB"/>
    <w:rsid w:val="009F1436"/>
    <w:rsid w:val="009F146F"/>
    <w:rsid w:val="009F19D9"/>
    <w:rsid w:val="009F1B09"/>
    <w:rsid w:val="009F27B1"/>
    <w:rsid w:val="009F2BDB"/>
    <w:rsid w:val="009F2D45"/>
    <w:rsid w:val="009F2EA3"/>
    <w:rsid w:val="009F33E7"/>
    <w:rsid w:val="009F36D2"/>
    <w:rsid w:val="009F37E4"/>
    <w:rsid w:val="009F3AE8"/>
    <w:rsid w:val="009F3C75"/>
    <w:rsid w:val="009F409C"/>
    <w:rsid w:val="009F42F9"/>
    <w:rsid w:val="009F46BF"/>
    <w:rsid w:val="009F4803"/>
    <w:rsid w:val="009F59D5"/>
    <w:rsid w:val="009F5C5F"/>
    <w:rsid w:val="009F5D26"/>
    <w:rsid w:val="009F5DD2"/>
    <w:rsid w:val="009F5E0B"/>
    <w:rsid w:val="009F62AE"/>
    <w:rsid w:val="009F6578"/>
    <w:rsid w:val="009F68F5"/>
    <w:rsid w:val="009F69BE"/>
    <w:rsid w:val="009F6BD2"/>
    <w:rsid w:val="009F6C3D"/>
    <w:rsid w:val="009F778A"/>
    <w:rsid w:val="009F7D76"/>
    <w:rsid w:val="00A0037E"/>
    <w:rsid w:val="00A0041E"/>
    <w:rsid w:val="00A00469"/>
    <w:rsid w:val="00A00A86"/>
    <w:rsid w:val="00A00B38"/>
    <w:rsid w:val="00A00D34"/>
    <w:rsid w:val="00A00EA6"/>
    <w:rsid w:val="00A01303"/>
    <w:rsid w:val="00A013EA"/>
    <w:rsid w:val="00A01720"/>
    <w:rsid w:val="00A01906"/>
    <w:rsid w:val="00A01973"/>
    <w:rsid w:val="00A01AE3"/>
    <w:rsid w:val="00A022D7"/>
    <w:rsid w:val="00A02B5F"/>
    <w:rsid w:val="00A02C4F"/>
    <w:rsid w:val="00A02D32"/>
    <w:rsid w:val="00A02DF7"/>
    <w:rsid w:val="00A0348A"/>
    <w:rsid w:val="00A03494"/>
    <w:rsid w:val="00A038BD"/>
    <w:rsid w:val="00A03A41"/>
    <w:rsid w:val="00A03C43"/>
    <w:rsid w:val="00A042E6"/>
    <w:rsid w:val="00A0488D"/>
    <w:rsid w:val="00A04A09"/>
    <w:rsid w:val="00A04A30"/>
    <w:rsid w:val="00A04CEA"/>
    <w:rsid w:val="00A04ED6"/>
    <w:rsid w:val="00A04F7C"/>
    <w:rsid w:val="00A05821"/>
    <w:rsid w:val="00A0583C"/>
    <w:rsid w:val="00A05D1D"/>
    <w:rsid w:val="00A05EA2"/>
    <w:rsid w:val="00A0616D"/>
    <w:rsid w:val="00A06C13"/>
    <w:rsid w:val="00A06C74"/>
    <w:rsid w:val="00A06E0B"/>
    <w:rsid w:val="00A06E64"/>
    <w:rsid w:val="00A0707C"/>
    <w:rsid w:val="00A0718D"/>
    <w:rsid w:val="00A07673"/>
    <w:rsid w:val="00A076CC"/>
    <w:rsid w:val="00A07852"/>
    <w:rsid w:val="00A079AC"/>
    <w:rsid w:val="00A07A49"/>
    <w:rsid w:val="00A102E6"/>
    <w:rsid w:val="00A104DC"/>
    <w:rsid w:val="00A105A5"/>
    <w:rsid w:val="00A11099"/>
    <w:rsid w:val="00A11268"/>
    <w:rsid w:val="00A1165C"/>
    <w:rsid w:val="00A11A24"/>
    <w:rsid w:val="00A11FB6"/>
    <w:rsid w:val="00A125D6"/>
    <w:rsid w:val="00A12906"/>
    <w:rsid w:val="00A12AC8"/>
    <w:rsid w:val="00A12EB2"/>
    <w:rsid w:val="00A13153"/>
    <w:rsid w:val="00A1343E"/>
    <w:rsid w:val="00A13537"/>
    <w:rsid w:val="00A13811"/>
    <w:rsid w:val="00A13854"/>
    <w:rsid w:val="00A13EED"/>
    <w:rsid w:val="00A14B7F"/>
    <w:rsid w:val="00A14E53"/>
    <w:rsid w:val="00A15572"/>
    <w:rsid w:val="00A15580"/>
    <w:rsid w:val="00A15588"/>
    <w:rsid w:val="00A15860"/>
    <w:rsid w:val="00A15A08"/>
    <w:rsid w:val="00A15F8C"/>
    <w:rsid w:val="00A15F92"/>
    <w:rsid w:val="00A16449"/>
    <w:rsid w:val="00A16977"/>
    <w:rsid w:val="00A16B2B"/>
    <w:rsid w:val="00A16C08"/>
    <w:rsid w:val="00A16CC1"/>
    <w:rsid w:val="00A16D87"/>
    <w:rsid w:val="00A1736E"/>
    <w:rsid w:val="00A1762F"/>
    <w:rsid w:val="00A17990"/>
    <w:rsid w:val="00A201B8"/>
    <w:rsid w:val="00A203FD"/>
    <w:rsid w:val="00A20498"/>
    <w:rsid w:val="00A208F9"/>
    <w:rsid w:val="00A209B2"/>
    <w:rsid w:val="00A20BB6"/>
    <w:rsid w:val="00A21553"/>
    <w:rsid w:val="00A219FB"/>
    <w:rsid w:val="00A21BC6"/>
    <w:rsid w:val="00A222D1"/>
    <w:rsid w:val="00A225F1"/>
    <w:rsid w:val="00A22ECC"/>
    <w:rsid w:val="00A22EFC"/>
    <w:rsid w:val="00A22FBC"/>
    <w:rsid w:val="00A23424"/>
    <w:rsid w:val="00A235AD"/>
    <w:rsid w:val="00A236B8"/>
    <w:rsid w:val="00A23955"/>
    <w:rsid w:val="00A23C90"/>
    <w:rsid w:val="00A23CED"/>
    <w:rsid w:val="00A24E5C"/>
    <w:rsid w:val="00A252FB"/>
    <w:rsid w:val="00A25520"/>
    <w:rsid w:val="00A25A85"/>
    <w:rsid w:val="00A25AD7"/>
    <w:rsid w:val="00A25B3D"/>
    <w:rsid w:val="00A25B79"/>
    <w:rsid w:val="00A25E50"/>
    <w:rsid w:val="00A25EEF"/>
    <w:rsid w:val="00A26022"/>
    <w:rsid w:val="00A26389"/>
    <w:rsid w:val="00A26DB6"/>
    <w:rsid w:val="00A27213"/>
    <w:rsid w:val="00A27240"/>
    <w:rsid w:val="00A27258"/>
    <w:rsid w:val="00A277F9"/>
    <w:rsid w:val="00A27BE4"/>
    <w:rsid w:val="00A300FB"/>
    <w:rsid w:val="00A303B8"/>
    <w:rsid w:val="00A30724"/>
    <w:rsid w:val="00A30B39"/>
    <w:rsid w:val="00A3157B"/>
    <w:rsid w:val="00A3159F"/>
    <w:rsid w:val="00A31611"/>
    <w:rsid w:val="00A31741"/>
    <w:rsid w:val="00A319E9"/>
    <w:rsid w:val="00A31A38"/>
    <w:rsid w:val="00A31B08"/>
    <w:rsid w:val="00A31EDF"/>
    <w:rsid w:val="00A3259C"/>
    <w:rsid w:val="00A32BA7"/>
    <w:rsid w:val="00A342B1"/>
    <w:rsid w:val="00A345BF"/>
    <w:rsid w:val="00A3483E"/>
    <w:rsid w:val="00A34B31"/>
    <w:rsid w:val="00A35791"/>
    <w:rsid w:val="00A35CEB"/>
    <w:rsid w:val="00A35D05"/>
    <w:rsid w:val="00A361C3"/>
    <w:rsid w:val="00A36226"/>
    <w:rsid w:val="00A3675D"/>
    <w:rsid w:val="00A36CF2"/>
    <w:rsid w:val="00A36EFB"/>
    <w:rsid w:val="00A36F67"/>
    <w:rsid w:val="00A3701C"/>
    <w:rsid w:val="00A37498"/>
    <w:rsid w:val="00A37F44"/>
    <w:rsid w:val="00A40AAC"/>
    <w:rsid w:val="00A40C8F"/>
    <w:rsid w:val="00A410F2"/>
    <w:rsid w:val="00A411FA"/>
    <w:rsid w:val="00A41421"/>
    <w:rsid w:val="00A41BE5"/>
    <w:rsid w:val="00A41C49"/>
    <w:rsid w:val="00A41E15"/>
    <w:rsid w:val="00A41E57"/>
    <w:rsid w:val="00A426F1"/>
    <w:rsid w:val="00A42A93"/>
    <w:rsid w:val="00A42B36"/>
    <w:rsid w:val="00A42FB5"/>
    <w:rsid w:val="00A437B0"/>
    <w:rsid w:val="00A43C46"/>
    <w:rsid w:val="00A43F8A"/>
    <w:rsid w:val="00A43FD9"/>
    <w:rsid w:val="00A442A3"/>
    <w:rsid w:val="00A44457"/>
    <w:rsid w:val="00A44744"/>
    <w:rsid w:val="00A44EC1"/>
    <w:rsid w:val="00A454B3"/>
    <w:rsid w:val="00A455E0"/>
    <w:rsid w:val="00A45649"/>
    <w:rsid w:val="00A45B3C"/>
    <w:rsid w:val="00A45BF2"/>
    <w:rsid w:val="00A45E46"/>
    <w:rsid w:val="00A45E52"/>
    <w:rsid w:val="00A4641A"/>
    <w:rsid w:val="00A46652"/>
    <w:rsid w:val="00A46769"/>
    <w:rsid w:val="00A46AEA"/>
    <w:rsid w:val="00A46B9D"/>
    <w:rsid w:val="00A46D15"/>
    <w:rsid w:val="00A46F61"/>
    <w:rsid w:val="00A47009"/>
    <w:rsid w:val="00A4701A"/>
    <w:rsid w:val="00A4713D"/>
    <w:rsid w:val="00A471B3"/>
    <w:rsid w:val="00A47274"/>
    <w:rsid w:val="00A47980"/>
    <w:rsid w:val="00A479D6"/>
    <w:rsid w:val="00A501EA"/>
    <w:rsid w:val="00A504B4"/>
    <w:rsid w:val="00A50EF0"/>
    <w:rsid w:val="00A50FAC"/>
    <w:rsid w:val="00A51011"/>
    <w:rsid w:val="00A5131C"/>
    <w:rsid w:val="00A51B8D"/>
    <w:rsid w:val="00A5257F"/>
    <w:rsid w:val="00A52628"/>
    <w:rsid w:val="00A5285B"/>
    <w:rsid w:val="00A52F5A"/>
    <w:rsid w:val="00A53189"/>
    <w:rsid w:val="00A5323B"/>
    <w:rsid w:val="00A5340C"/>
    <w:rsid w:val="00A534E9"/>
    <w:rsid w:val="00A5371F"/>
    <w:rsid w:val="00A53757"/>
    <w:rsid w:val="00A5399D"/>
    <w:rsid w:val="00A53FBA"/>
    <w:rsid w:val="00A54245"/>
    <w:rsid w:val="00A547F4"/>
    <w:rsid w:val="00A548C7"/>
    <w:rsid w:val="00A5490C"/>
    <w:rsid w:val="00A549F8"/>
    <w:rsid w:val="00A54FB4"/>
    <w:rsid w:val="00A55253"/>
    <w:rsid w:val="00A5582E"/>
    <w:rsid w:val="00A55981"/>
    <w:rsid w:val="00A559B3"/>
    <w:rsid w:val="00A55A18"/>
    <w:rsid w:val="00A55D1D"/>
    <w:rsid w:val="00A561E3"/>
    <w:rsid w:val="00A562D7"/>
    <w:rsid w:val="00A568B8"/>
    <w:rsid w:val="00A56C68"/>
    <w:rsid w:val="00A56DE0"/>
    <w:rsid w:val="00A5709C"/>
    <w:rsid w:val="00A570D2"/>
    <w:rsid w:val="00A5716D"/>
    <w:rsid w:val="00A57252"/>
    <w:rsid w:val="00A57411"/>
    <w:rsid w:val="00A577D4"/>
    <w:rsid w:val="00A57835"/>
    <w:rsid w:val="00A57AFE"/>
    <w:rsid w:val="00A57C3A"/>
    <w:rsid w:val="00A57F62"/>
    <w:rsid w:val="00A60192"/>
    <w:rsid w:val="00A6066D"/>
    <w:rsid w:val="00A60687"/>
    <w:rsid w:val="00A60774"/>
    <w:rsid w:val="00A60946"/>
    <w:rsid w:val="00A60CF4"/>
    <w:rsid w:val="00A6123C"/>
    <w:rsid w:val="00A6133A"/>
    <w:rsid w:val="00A61694"/>
    <w:rsid w:val="00A6172B"/>
    <w:rsid w:val="00A617BD"/>
    <w:rsid w:val="00A630CB"/>
    <w:rsid w:val="00A63334"/>
    <w:rsid w:val="00A634E2"/>
    <w:rsid w:val="00A63680"/>
    <w:rsid w:val="00A63C18"/>
    <w:rsid w:val="00A63C83"/>
    <w:rsid w:val="00A63D61"/>
    <w:rsid w:val="00A642AC"/>
    <w:rsid w:val="00A6435A"/>
    <w:rsid w:val="00A64A2B"/>
    <w:rsid w:val="00A64A67"/>
    <w:rsid w:val="00A64B04"/>
    <w:rsid w:val="00A64DAB"/>
    <w:rsid w:val="00A65CD7"/>
    <w:rsid w:val="00A65FDB"/>
    <w:rsid w:val="00A65FDF"/>
    <w:rsid w:val="00A662BE"/>
    <w:rsid w:val="00A662DC"/>
    <w:rsid w:val="00A6654E"/>
    <w:rsid w:val="00A665CA"/>
    <w:rsid w:val="00A6666B"/>
    <w:rsid w:val="00A66F59"/>
    <w:rsid w:val="00A67149"/>
    <w:rsid w:val="00A6741B"/>
    <w:rsid w:val="00A6749A"/>
    <w:rsid w:val="00A67FA4"/>
    <w:rsid w:val="00A69A6E"/>
    <w:rsid w:val="00A6D188"/>
    <w:rsid w:val="00A70659"/>
    <w:rsid w:val="00A70ADD"/>
    <w:rsid w:val="00A710C2"/>
    <w:rsid w:val="00A711BD"/>
    <w:rsid w:val="00A71353"/>
    <w:rsid w:val="00A7159C"/>
    <w:rsid w:val="00A71759"/>
    <w:rsid w:val="00A718F5"/>
    <w:rsid w:val="00A71905"/>
    <w:rsid w:val="00A71A24"/>
    <w:rsid w:val="00A71CCD"/>
    <w:rsid w:val="00A71D04"/>
    <w:rsid w:val="00A7208B"/>
    <w:rsid w:val="00A7227E"/>
    <w:rsid w:val="00A722B0"/>
    <w:rsid w:val="00A723C5"/>
    <w:rsid w:val="00A72D02"/>
    <w:rsid w:val="00A72E16"/>
    <w:rsid w:val="00A730C6"/>
    <w:rsid w:val="00A7320D"/>
    <w:rsid w:val="00A73503"/>
    <w:rsid w:val="00A73B2C"/>
    <w:rsid w:val="00A73E35"/>
    <w:rsid w:val="00A74226"/>
    <w:rsid w:val="00A74432"/>
    <w:rsid w:val="00A7530B"/>
    <w:rsid w:val="00A75538"/>
    <w:rsid w:val="00A755CB"/>
    <w:rsid w:val="00A757B0"/>
    <w:rsid w:val="00A758D2"/>
    <w:rsid w:val="00A75B23"/>
    <w:rsid w:val="00A7639A"/>
    <w:rsid w:val="00A76878"/>
    <w:rsid w:val="00A7698A"/>
    <w:rsid w:val="00A76BC1"/>
    <w:rsid w:val="00A770B0"/>
    <w:rsid w:val="00A7719D"/>
    <w:rsid w:val="00A776A4"/>
    <w:rsid w:val="00A779ED"/>
    <w:rsid w:val="00A77B3B"/>
    <w:rsid w:val="00A800A8"/>
    <w:rsid w:val="00A802AC"/>
    <w:rsid w:val="00A80352"/>
    <w:rsid w:val="00A8049D"/>
    <w:rsid w:val="00A80593"/>
    <w:rsid w:val="00A80670"/>
    <w:rsid w:val="00A8086A"/>
    <w:rsid w:val="00A80FFF"/>
    <w:rsid w:val="00A81252"/>
    <w:rsid w:val="00A81CA9"/>
    <w:rsid w:val="00A81E22"/>
    <w:rsid w:val="00A822C2"/>
    <w:rsid w:val="00A82990"/>
    <w:rsid w:val="00A82D82"/>
    <w:rsid w:val="00A83018"/>
    <w:rsid w:val="00A831B3"/>
    <w:rsid w:val="00A831CE"/>
    <w:rsid w:val="00A8334C"/>
    <w:rsid w:val="00A83742"/>
    <w:rsid w:val="00A837BA"/>
    <w:rsid w:val="00A83BCA"/>
    <w:rsid w:val="00A83C05"/>
    <w:rsid w:val="00A83F63"/>
    <w:rsid w:val="00A84064"/>
    <w:rsid w:val="00A844E5"/>
    <w:rsid w:val="00A8491B"/>
    <w:rsid w:val="00A84FFD"/>
    <w:rsid w:val="00A85240"/>
    <w:rsid w:val="00A85806"/>
    <w:rsid w:val="00A85D35"/>
    <w:rsid w:val="00A866A7"/>
    <w:rsid w:val="00A8675C"/>
    <w:rsid w:val="00A867A0"/>
    <w:rsid w:val="00A86882"/>
    <w:rsid w:val="00A86D72"/>
    <w:rsid w:val="00A86EDB"/>
    <w:rsid w:val="00A87361"/>
    <w:rsid w:val="00A8775A"/>
    <w:rsid w:val="00A87CF7"/>
    <w:rsid w:val="00A9033C"/>
    <w:rsid w:val="00A90401"/>
    <w:rsid w:val="00A90427"/>
    <w:rsid w:val="00A9042A"/>
    <w:rsid w:val="00A906FA"/>
    <w:rsid w:val="00A90A29"/>
    <w:rsid w:val="00A910A4"/>
    <w:rsid w:val="00A91304"/>
    <w:rsid w:val="00A91543"/>
    <w:rsid w:val="00A916C7"/>
    <w:rsid w:val="00A91728"/>
    <w:rsid w:val="00A920CE"/>
    <w:rsid w:val="00A921CF"/>
    <w:rsid w:val="00A921E3"/>
    <w:rsid w:val="00A923AC"/>
    <w:rsid w:val="00A925CF"/>
    <w:rsid w:val="00A9282E"/>
    <w:rsid w:val="00A92A05"/>
    <w:rsid w:val="00A9302E"/>
    <w:rsid w:val="00A933E9"/>
    <w:rsid w:val="00A934D1"/>
    <w:rsid w:val="00A935B6"/>
    <w:rsid w:val="00A93974"/>
    <w:rsid w:val="00A93DBB"/>
    <w:rsid w:val="00A9400A"/>
    <w:rsid w:val="00A94302"/>
    <w:rsid w:val="00A94684"/>
    <w:rsid w:val="00A9483D"/>
    <w:rsid w:val="00A94D20"/>
    <w:rsid w:val="00A951DE"/>
    <w:rsid w:val="00A95421"/>
    <w:rsid w:val="00A95585"/>
    <w:rsid w:val="00A955FE"/>
    <w:rsid w:val="00A9561D"/>
    <w:rsid w:val="00A9566D"/>
    <w:rsid w:val="00A95FC1"/>
    <w:rsid w:val="00A96019"/>
    <w:rsid w:val="00A96183"/>
    <w:rsid w:val="00A963BA"/>
    <w:rsid w:val="00A968FF"/>
    <w:rsid w:val="00A96AC7"/>
    <w:rsid w:val="00A96DC6"/>
    <w:rsid w:val="00A96EA5"/>
    <w:rsid w:val="00A96F81"/>
    <w:rsid w:val="00A973B6"/>
    <w:rsid w:val="00A9752B"/>
    <w:rsid w:val="00A975F1"/>
    <w:rsid w:val="00A97602"/>
    <w:rsid w:val="00A9765A"/>
    <w:rsid w:val="00A97D11"/>
    <w:rsid w:val="00AA00D0"/>
    <w:rsid w:val="00AA0620"/>
    <w:rsid w:val="00AA0622"/>
    <w:rsid w:val="00AA13A3"/>
    <w:rsid w:val="00AA13FB"/>
    <w:rsid w:val="00AA1D87"/>
    <w:rsid w:val="00AA1E57"/>
    <w:rsid w:val="00AA2461"/>
    <w:rsid w:val="00AA2548"/>
    <w:rsid w:val="00AA263B"/>
    <w:rsid w:val="00AA2865"/>
    <w:rsid w:val="00AA2F9A"/>
    <w:rsid w:val="00AA2FFA"/>
    <w:rsid w:val="00AA3021"/>
    <w:rsid w:val="00AA30E9"/>
    <w:rsid w:val="00AA37F8"/>
    <w:rsid w:val="00AA3A9B"/>
    <w:rsid w:val="00AA3BF1"/>
    <w:rsid w:val="00AA3F4A"/>
    <w:rsid w:val="00AA4008"/>
    <w:rsid w:val="00AA428F"/>
    <w:rsid w:val="00AA43F2"/>
    <w:rsid w:val="00AA4623"/>
    <w:rsid w:val="00AA4A5D"/>
    <w:rsid w:val="00AA5283"/>
    <w:rsid w:val="00AA53DB"/>
    <w:rsid w:val="00AA5410"/>
    <w:rsid w:val="00AA5D5D"/>
    <w:rsid w:val="00AA5F19"/>
    <w:rsid w:val="00AA60B0"/>
    <w:rsid w:val="00AA6211"/>
    <w:rsid w:val="00AA6282"/>
    <w:rsid w:val="00AA6B64"/>
    <w:rsid w:val="00AA6F7E"/>
    <w:rsid w:val="00AA7022"/>
    <w:rsid w:val="00AA7346"/>
    <w:rsid w:val="00AA74B5"/>
    <w:rsid w:val="00AA750C"/>
    <w:rsid w:val="00AA78F3"/>
    <w:rsid w:val="00AA7975"/>
    <w:rsid w:val="00AA79DC"/>
    <w:rsid w:val="00AA7BB7"/>
    <w:rsid w:val="00AB018F"/>
    <w:rsid w:val="00AB07F4"/>
    <w:rsid w:val="00AB0AAB"/>
    <w:rsid w:val="00AB0E78"/>
    <w:rsid w:val="00AB0E7E"/>
    <w:rsid w:val="00AB0FA2"/>
    <w:rsid w:val="00AB1210"/>
    <w:rsid w:val="00AB14F9"/>
    <w:rsid w:val="00AB15DE"/>
    <w:rsid w:val="00AB187A"/>
    <w:rsid w:val="00AB1941"/>
    <w:rsid w:val="00AB1A3F"/>
    <w:rsid w:val="00AB1BE6"/>
    <w:rsid w:val="00AB2082"/>
    <w:rsid w:val="00AB20DC"/>
    <w:rsid w:val="00AB21C6"/>
    <w:rsid w:val="00AB2252"/>
    <w:rsid w:val="00AB2450"/>
    <w:rsid w:val="00AB24FA"/>
    <w:rsid w:val="00AB26DD"/>
    <w:rsid w:val="00AB2841"/>
    <w:rsid w:val="00AB29EB"/>
    <w:rsid w:val="00AB2B1F"/>
    <w:rsid w:val="00AB2BFF"/>
    <w:rsid w:val="00AB2D7A"/>
    <w:rsid w:val="00AB39A4"/>
    <w:rsid w:val="00AB40AC"/>
    <w:rsid w:val="00AB42B1"/>
    <w:rsid w:val="00AB4344"/>
    <w:rsid w:val="00AB4668"/>
    <w:rsid w:val="00AB49B0"/>
    <w:rsid w:val="00AB5517"/>
    <w:rsid w:val="00AB55B3"/>
    <w:rsid w:val="00AB57E5"/>
    <w:rsid w:val="00AB5AC4"/>
    <w:rsid w:val="00AB5D94"/>
    <w:rsid w:val="00AB5E65"/>
    <w:rsid w:val="00AB5FF5"/>
    <w:rsid w:val="00AB646A"/>
    <w:rsid w:val="00AB648C"/>
    <w:rsid w:val="00AB6807"/>
    <w:rsid w:val="00AB69AB"/>
    <w:rsid w:val="00AB69F3"/>
    <w:rsid w:val="00AB6ACC"/>
    <w:rsid w:val="00AB6B7D"/>
    <w:rsid w:val="00AB6EB4"/>
    <w:rsid w:val="00AB6FBB"/>
    <w:rsid w:val="00AB7022"/>
    <w:rsid w:val="00AB7216"/>
    <w:rsid w:val="00AB7435"/>
    <w:rsid w:val="00AB77EA"/>
    <w:rsid w:val="00AB7B09"/>
    <w:rsid w:val="00AC033B"/>
    <w:rsid w:val="00AC0914"/>
    <w:rsid w:val="00AC0ACD"/>
    <w:rsid w:val="00AC0C58"/>
    <w:rsid w:val="00AC0F5C"/>
    <w:rsid w:val="00AC161A"/>
    <w:rsid w:val="00AC1711"/>
    <w:rsid w:val="00AC174B"/>
    <w:rsid w:val="00AC1891"/>
    <w:rsid w:val="00AC190D"/>
    <w:rsid w:val="00AC1911"/>
    <w:rsid w:val="00AC1FC3"/>
    <w:rsid w:val="00AC20F2"/>
    <w:rsid w:val="00AC2461"/>
    <w:rsid w:val="00AC2798"/>
    <w:rsid w:val="00AC3168"/>
    <w:rsid w:val="00AC3379"/>
    <w:rsid w:val="00AC3CA4"/>
    <w:rsid w:val="00AC3E99"/>
    <w:rsid w:val="00AC4139"/>
    <w:rsid w:val="00AC41A4"/>
    <w:rsid w:val="00AC4AEA"/>
    <w:rsid w:val="00AC4CAB"/>
    <w:rsid w:val="00AC4DB7"/>
    <w:rsid w:val="00AC4ECC"/>
    <w:rsid w:val="00AC558F"/>
    <w:rsid w:val="00AC5B2A"/>
    <w:rsid w:val="00AC5BC0"/>
    <w:rsid w:val="00AC5C82"/>
    <w:rsid w:val="00AC65F5"/>
    <w:rsid w:val="00AC6636"/>
    <w:rsid w:val="00AC6B32"/>
    <w:rsid w:val="00AC6F7D"/>
    <w:rsid w:val="00AC70B1"/>
    <w:rsid w:val="00AC720A"/>
    <w:rsid w:val="00AC793B"/>
    <w:rsid w:val="00AC7BB1"/>
    <w:rsid w:val="00AC7E11"/>
    <w:rsid w:val="00AD0705"/>
    <w:rsid w:val="00AD0C39"/>
    <w:rsid w:val="00AD142C"/>
    <w:rsid w:val="00AD148C"/>
    <w:rsid w:val="00AD1B88"/>
    <w:rsid w:val="00AD1D20"/>
    <w:rsid w:val="00AD1D96"/>
    <w:rsid w:val="00AD1F26"/>
    <w:rsid w:val="00AD20FD"/>
    <w:rsid w:val="00AD285B"/>
    <w:rsid w:val="00AD3055"/>
    <w:rsid w:val="00AD3060"/>
    <w:rsid w:val="00AD308C"/>
    <w:rsid w:val="00AD33A4"/>
    <w:rsid w:val="00AD363D"/>
    <w:rsid w:val="00AD3983"/>
    <w:rsid w:val="00AD3FCD"/>
    <w:rsid w:val="00AD4214"/>
    <w:rsid w:val="00AD4664"/>
    <w:rsid w:val="00AD473D"/>
    <w:rsid w:val="00AD4824"/>
    <w:rsid w:val="00AD4A22"/>
    <w:rsid w:val="00AD4DAC"/>
    <w:rsid w:val="00AD5276"/>
    <w:rsid w:val="00AD53B3"/>
    <w:rsid w:val="00AD55AA"/>
    <w:rsid w:val="00AD58AA"/>
    <w:rsid w:val="00AD5E65"/>
    <w:rsid w:val="00AD60EA"/>
    <w:rsid w:val="00AD61AF"/>
    <w:rsid w:val="00AD67D4"/>
    <w:rsid w:val="00AD6D68"/>
    <w:rsid w:val="00AD6E59"/>
    <w:rsid w:val="00AD7BE0"/>
    <w:rsid w:val="00AD7D21"/>
    <w:rsid w:val="00AE0360"/>
    <w:rsid w:val="00AE0609"/>
    <w:rsid w:val="00AE0700"/>
    <w:rsid w:val="00AE0915"/>
    <w:rsid w:val="00AE0AF2"/>
    <w:rsid w:val="00AE0E82"/>
    <w:rsid w:val="00AE1812"/>
    <w:rsid w:val="00AE19E4"/>
    <w:rsid w:val="00AE2048"/>
    <w:rsid w:val="00AE2064"/>
    <w:rsid w:val="00AE27A5"/>
    <w:rsid w:val="00AE2A54"/>
    <w:rsid w:val="00AE2B61"/>
    <w:rsid w:val="00AE2F59"/>
    <w:rsid w:val="00AE2F83"/>
    <w:rsid w:val="00AE40EA"/>
    <w:rsid w:val="00AE4331"/>
    <w:rsid w:val="00AE46F4"/>
    <w:rsid w:val="00AE47AE"/>
    <w:rsid w:val="00AE4859"/>
    <w:rsid w:val="00AE48CC"/>
    <w:rsid w:val="00AE49CB"/>
    <w:rsid w:val="00AE4B1C"/>
    <w:rsid w:val="00AE4F8D"/>
    <w:rsid w:val="00AE5024"/>
    <w:rsid w:val="00AE5A9D"/>
    <w:rsid w:val="00AE5BD4"/>
    <w:rsid w:val="00AE5C65"/>
    <w:rsid w:val="00AE5CB3"/>
    <w:rsid w:val="00AE5FB2"/>
    <w:rsid w:val="00AE614D"/>
    <w:rsid w:val="00AE6368"/>
    <w:rsid w:val="00AE6745"/>
    <w:rsid w:val="00AE677E"/>
    <w:rsid w:val="00AE6B6F"/>
    <w:rsid w:val="00AE721A"/>
    <w:rsid w:val="00AE7505"/>
    <w:rsid w:val="00AE7849"/>
    <w:rsid w:val="00AE78D0"/>
    <w:rsid w:val="00AE7977"/>
    <w:rsid w:val="00AE7A21"/>
    <w:rsid w:val="00AE7C21"/>
    <w:rsid w:val="00AE7D22"/>
    <w:rsid w:val="00AE7D2C"/>
    <w:rsid w:val="00AE7D2D"/>
    <w:rsid w:val="00AE7EDE"/>
    <w:rsid w:val="00AF0584"/>
    <w:rsid w:val="00AF0594"/>
    <w:rsid w:val="00AF07DF"/>
    <w:rsid w:val="00AF07F2"/>
    <w:rsid w:val="00AF1130"/>
    <w:rsid w:val="00AF1470"/>
    <w:rsid w:val="00AF17C9"/>
    <w:rsid w:val="00AF1D6A"/>
    <w:rsid w:val="00AF1F10"/>
    <w:rsid w:val="00AF1F45"/>
    <w:rsid w:val="00AF2FE1"/>
    <w:rsid w:val="00AF2FFD"/>
    <w:rsid w:val="00AF3D39"/>
    <w:rsid w:val="00AF3F71"/>
    <w:rsid w:val="00AF42F2"/>
    <w:rsid w:val="00AF4325"/>
    <w:rsid w:val="00AF44E4"/>
    <w:rsid w:val="00AF44EC"/>
    <w:rsid w:val="00AF478B"/>
    <w:rsid w:val="00AF497B"/>
    <w:rsid w:val="00AF49A6"/>
    <w:rsid w:val="00AF4A7B"/>
    <w:rsid w:val="00AF4D4F"/>
    <w:rsid w:val="00AF558D"/>
    <w:rsid w:val="00AF5783"/>
    <w:rsid w:val="00AF5813"/>
    <w:rsid w:val="00AF589B"/>
    <w:rsid w:val="00AF61AC"/>
    <w:rsid w:val="00AF62AF"/>
    <w:rsid w:val="00AF690C"/>
    <w:rsid w:val="00AF6947"/>
    <w:rsid w:val="00AF6A4C"/>
    <w:rsid w:val="00AF6AB8"/>
    <w:rsid w:val="00AF6C91"/>
    <w:rsid w:val="00AF6EE5"/>
    <w:rsid w:val="00AF70A8"/>
    <w:rsid w:val="00AF70AF"/>
    <w:rsid w:val="00AF7458"/>
    <w:rsid w:val="00AF7934"/>
    <w:rsid w:val="00AF7B25"/>
    <w:rsid w:val="00AF7B62"/>
    <w:rsid w:val="00AF7C0B"/>
    <w:rsid w:val="00AF7E87"/>
    <w:rsid w:val="00B005EF"/>
    <w:rsid w:val="00B006D8"/>
    <w:rsid w:val="00B0080B"/>
    <w:rsid w:val="00B00C1E"/>
    <w:rsid w:val="00B01618"/>
    <w:rsid w:val="00B0165B"/>
    <w:rsid w:val="00B01669"/>
    <w:rsid w:val="00B0187A"/>
    <w:rsid w:val="00B0190C"/>
    <w:rsid w:val="00B01BE9"/>
    <w:rsid w:val="00B02183"/>
    <w:rsid w:val="00B024AF"/>
    <w:rsid w:val="00B02722"/>
    <w:rsid w:val="00B02750"/>
    <w:rsid w:val="00B028CF"/>
    <w:rsid w:val="00B02A05"/>
    <w:rsid w:val="00B038E0"/>
    <w:rsid w:val="00B03969"/>
    <w:rsid w:val="00B03C8E"/>
    <w:rsid w:val="00B03E8C"/>
    <w:rsid w:val="00B041F9"/>
    <w:rsid w:val="00B045FD"/>
    <w:rsid w:val="00B047C2"/>
    <w:rsid w:val="00B04CB1"/>
    <w:rsid w:val="00B04D08"/>
    <w:rsid w:val="00B0538E"/>
    <w:rsid w:val="00B05635"/>
    <w:rsid w:val="00B058D5"/>
    <w:rsid w:val="00B05A8A"/>
    <w:rsid w:val="00B05A9F"/>
    <w:rsid w:val="00B05E1C"/>
    <w:rsid w:val="00B05E97"/>
    <w:rsid w:val="00B06A99"/>
    <w:rsid w:val="00B06D11"/>
    <w:rsid w:val="00B06D29"/>
    <w:rsid w:val="00B07044"/>
    <w:rsid w:val="00B07552"/>
    <w:rsid w:val="00B07620"/>
    <w:rsid w:val="00B076BE"/>
    <w:rsid w:val="00B103F1"/>
    <w:rsid w:val="00B10724"/>
    <w:rsid w:val="00B109EC"/>
    <w:rsid w:val="00B10B0E"/>
    <w:rsid w:val="00B110EE"/>
    <w:rsid w:val="00B1110B"/>
    <w:rsid w:val="00B111A5"/>
    <w:rsid w:val="00B114C9"/>
    <w:rsid w:val="00B11771"/>
    <w:rsid w:val="00B12361"/>
    <w:rsid w:val="00B123DD"/>
    <w:rsid w:val="00B1240C"/>
    <w:rsid w:val="00B12549"/>
    <w:rsid w:val="00B12610"/>
    <w:rsid w:val="00B126F0"/>
    <w:rsid w:val="00B127BB"/>
    <w:rsid w:val="00B128CC"/>
    <w:rsid w:val="00B1314D"/>
    <w:rsid w:val="00B1314F"/>
    <w:rsid w:val="00B13744"/>
    <w:rsid w:val="00B13A7B"/>
    <w:rsid w:val="00B13B33"/>
    <w:rsid w:val="00B13E40"/>
    <w:rsid w:val="00B13F14"/>
    <w:rsid w:val="00B13F73"/>
    <w:rsid w:val="00B141A4"/>
    <w:rsid w:val="00B141EA"/>
    <w:rsid w:val="00B143C1"/>
    <w:rsid w:val="00B14492"/>
    <w:rsid w:val="00B144E0"/>
    <w:rsid w:val="00B14A5C"/>
    <w:rsid w:val="00B151CF"/>
    <w:rsid w:val="00B151F8"/>
    <w:rsid w:val="00B15D1D"/>
    <w:rsid w:val="00B15D6E"/>
    <w:rsid w:val="00B16160"/>
    <w:rsid w:val="00B169C4"/>
    <w:rsid w:val="00B16B49"/>
    <w:rsid w:val="00B16C03"/>
    <w:rsid w:val="00B174CB"/>
    <w:rsid w:val="00B201B3"/>
    <w:rsid w:val="00B20368"/>
    <w:rsid w:val="00B20533"/>
    <w:rsid w:val="00B205AD"/>
    <w:rsid w:val="00B20DD5"/>
    <w:rsid w:val="00B21237"/>
    <w:rsid w:val="00B21410"/>
    <w:rsid w:val="00B214D3"/>
    <w:rsid w:val="00B215E6"/>
    <w:rsid w:val="00B216DF"/>
    <w:rsid w:val="00B2189A"/>
    <w:rsid w:val="00B21B57"/>
    <w:rsid w:val="00B21E95"/>
    <w:rsid w:val="00B21F13"/>
    <w:rsid w:val="00B222AB"/>
    <w:rsid w:val="00B2233C"/>
    <w:rsid w:val="00B229B4"/>
    <w:rsid w:val="00B22E91"/>
    <w:rsid w:val="00B22EA1"/>
    <w:rsid w:val="00B2344C"/>
    <w:rsid w:val="00B237B8"/>
    <w:rsid w:val="00B2392D"/>
    <w:rsid w:val="00B23B26"/>
    <w:rsid w:val="00B23EED"/>
    <w:rsid w:val="00B23F60"/>
    <w:rsid w:val="00B2400F"/>
    <w:rsid w:val="00B2402A"/>
    <w:rsid w:val="00B247AD"/>
    <w:rsid w:val="00B2486B"/>
    <w:rsid w:val="00B24B10"/>
    <w:rsid w:val="00B24B5F"/>
    <w:rsid w:val="00B24F88"/>
    <w:rsid w:val="00B25734"/>
    <w:rsid w:val="00B2590F"/>
    <w:rsid w:val="00B25A3B"/>
    <w:rsid w:val="00B25A41"/>
    <w:rsid w:val="00B25A90"/>
    <w:rsid w:val="00B25D05"/>
    <w:rsid w:val="00B25F32"/>
    <w:rsid w:val="00B2605A"/>
    <w:rsid w:val="00B264E4"/>
    <w:rsid w:val="00B26622"/>
    <w:rsid w:val="00B26669"/>
    <w:rsid w:val="00B266D0"/>
    <w:rsid w:val="00B2670E"/>
    <w:rsid w:val="00B26A80"/>
    <w:rsid w:val="00B27343"/>
    <w:rsid w:val="00B276B4"/>
    <w:rsid w:val="00B27D36"/>
    <w:rsid w:val="00B30314"/>
    <w:rsid w:val="00B3032E"/>
    <w:rsid w:val="00B303F6"/>
    <w:rsid w:val="00B30541"/>
    <w:rsid w:val="00B30575"/>
    <w:rsid w:val="00B307B7"/>
    <w:rsid w:val="00B309BB"/>
    <w:rsid w:val="00B30C63"/>
    <w:rsid w:val="00B30F1A"/>
    <w:rsid w:val="00B30F50"/>
    <w:rsid w:val="00B3133E"/>
    <w:rsid w:val="00B319CD"/>
    <w:rsid w:val="00B31F29"/>
    <w:rsid w:val="00B321EB"/>
    <w:rsid w:val="00B3220F"/>
    <w:rsid w:val="00B32492"/>
    <w:rsid w:val="00B3285A"/>
    <w:rsid w:val="00B32A00"/>
    <w:rsid w:val="00B32ED8"/>
    <w:rsid w:val="00B3328D"/>
    <w:rsid w:val="00B33510"/>
    <w:rsid w:val="00B33516"/>
    <w:rsid w:val="00B33983"/>
    <w:rsid w:val="00B33B9C"/>
    <w:rsid w:val="00B33C3E"/>
    <w:rsid w:val="00B33DE0"/>
    <w:rsid w:val="00B33E14"/>
    <w:rsid w:val="00B342D8"/>
    <w:rsid w:val="00B3452D"/>
    <w:rsid w:val="00B345ED"/>
    <w:rsid w:val="00B3483A"/>
    <w:rsid w:val="00B34D6B"/>
    <w:rsid w:val="00B354F6"/>
    <w:rsid w:val="00B35E7D"/>
    <w:rsid w:val="00B36028"/>
    <w:rsid w:val="00B3613C"/>
    <w:rsid w:val="00B36265"/>
    <w:rsid w:val="00B3629D"/>
    <w:rsid w:val="00B36665"/>
    <w:rsid w:val="00B3667E"/>
    <w:rsid w:val="00B3684D"/>
    <w:rsid w:val="00B36B5B"/>
    <w:rsid w:val="00B36D4B"/>
    <w:rsid w:val="00B36DB8"/>
    <w:rsid w:val="00B370CA"/>
    <w:rsid w:val="00B37888"/>
    <w:rsid w:val="00B3789E"/>
    <w:rsid w:val="00B37A4C"/>
    <w:rsid w:val="00B37C2D"/>
    <w:rsid w:val="00B37CC7"/>
    <w:rsid w:val="00B37F2D"/>
    <w:rsid w:val="00B40064"/>
    <w:rsid w:val="00B40120"/>
    <w:rsid w:val="00B40509"/>
    <w:rsid w:val="00B407DC"/>
    <w:rsid w:val="00B40A43"/>
    <w:rsid w:val="00B411CB"/>
    <w:rsid w:val="00B415ED"/>
    <w:rsid w:val="00B416B5"/>
    <w:rsid w:val="00B41BFD"/>
    <w:rsid w:val="00B41EB1"/>
    <w:rsid w:val="00B41FFC"/>
    <w:rsid w:val="00B420B9"/>
    <w:rsid w:val="00B426C8"/>
    <w:rsid w:val="00B426D2"/>
    <w:rsid w:val="00B42AF5"/>
    <w:rsid w:val="00B43726"/>
    <w:rsid w:val="00B43936"/>
    <w:rsid w:val="00B4393F"/>
    <w:rsid w:val="00B43D4E"/>
    <w:rsid w:val="00B43EC9"/>
    <w:rsid w:val="00B44132"/>
    <w:rsid w:val="00B445BF"/>
    <w:rsid w:val="00B452AE"/>
    <w:rsid w:val="00B453F6"/>
    <w:rsid w:val="00B454F8"/>
    <w:rsid w:val="00B45B97"/>
    <w:rsid w:val="00B45CB6"/>
    <w:rsid w:val="00B45D23"/>
    <w:rsid w:val="00B45DB8"/>
    <w:rsid w:val="00B45FA2"/>
    <w:rsid w:val="00B46526"/>
    <w:rsid w:val="00B4655C"/>
    <w:rsid w:val="00B467D7"/>
    <w:rsid w:val="00B47053"/>
    <w:rsid w:val="00B474E6"/>
    <w:rsid w:val="00B47823"/>
    <w:rsid w:val="00B47EF4"/>
    <w:rsid w:val="00B5021F"/>
    <w:rsid w:val="00B50755"/>
    <w:rsid w:val="00B509BA"/>
    <w:rsid w:val="00B50A0B"/>
    <w:rsid w:val="00B50A44"/>
    <w:rsid w:val="00B50E70"/>
    <w:rsid w:val="00B50F66"/>
    <w:rsid w:val="00B515C6"/>
    <w:rsid w:val="00B5169D"/>
    <w:rsid w:val="00B516EA"/>
    <w:rsid w:val="00B51824"/>
    <w:rsid w:val="00B52786"/>
    <w:rsid w:val="00B52D20"/>
    <w:rsid w:val="00B52F19"/>
    <w:rsid w:val="00B52F46"/>
    <w:rsid w:val="00B52FAA"/>
    <w:rsid w:val="00B5341E"/>
    <w:rsid w:val="00B53F42"/>
    <w:rsid w:val="00B53FA2"/>
    <w:rsid w:val="00B53FFD"/>
    <w:rsid w:val="00B54289"/>
    <w:rsid w:val="00B54354"/>
    <w:rsid w:val="00B544AA"/>
    <w:rsid w:val="00B54913"/>
    <w:rsid w:val="00B54B26"/>
    <w:rsid w:val="00B54B2C"/>
    <w:rsid w:val="00B54BAA"/>
    <w:rsid w:val="00B54C0D"/>
    <w:rsid w:val="00B55229"/>
    <w:rsid w:val="00B55524"/>
    <w:rsid w:val="00B5558B"/>
    <w:rsid w:val="00B55CE3"/>
    <w:rsid w:val="00B55DC0"/>
    <w:rsid w:val="00B56616"/>
    <w:rsid w:val="00B56CAC"/>
    <w:rsid w:val="00B57016"/>
    <w:rsid w:val="00B5709E"/>
    <w:rsid w:val="00B57134"/>
    <w:rsid w:val="00B57179"/>
    <w:rsid w:val="00B57489"/>
    <w:rsid w:val="00B575BF"/>
    <w:rsid w:val="00B5762D"/>
    <w:rsid w:val="00B579B4"/>
    <w:rsid w:val="00B60088"/>
    <w:rsid w:val="00B60452"/>
    <w:rsid w:val="00B6071C"/>
    <w:rsid w:val="00B6091C"/>
    <w:rsid w:val="00B60C55"/>
    <w:rsid w:val="00B612EA"/>
    <w:rsid w:val="00B612F0"/>
    <w:rsid w:val="00B61384"/>
    <w:rsid w:val="00B613DB"/>
    <w:rsid w:val="00B614DC"/>
    <w:rsid w:val="00B61661"/>
    <w:rsid w:val="00B61795"/>
    <w:rsid w:val="00B619B1"/>
    <w:rsid w:val="00B61AE9"/>
    <w:rsid w:val="00B61C66"/>
    <w:rsid w:val="00B61F59"/>
    <w:rsid w:val="00B62069"/>
    <w:rsid w:val="00B623E2"/>
    <w:rsid w:val="00B62482"/>
    <w:rsid w:val="00B6249E"/>
    <w:rsid w:val="00B62604"/>
    <w:rsid w:val="00B62795"/>
    <w:rsid w:val="00B6289B"/>
    <w:rsid w:val="00B62DF2"/>
    <w:rsid w:val="00B6305B"/>
    <w:rsid w:val="00B631EE"/>
    <w:rsid w:val="00B63255"/>
    <w:rsid w:val="00B63488"/>
    <w:rsid w:val="00B634E3"/>
    <w:rsid w:val="00B63C39"/>
    <w:rsid w:val="00B63DCA"/>
    <w:rsid w:val="00B643C3"/>
    <w:rsid w:val="00B649BB"/>
    <w:rsid w:val="00B64CCE"/>
    <w:rsid w:val="00B65191"/>
    <w:rsid w:val="00B65265"/>
    <w:rsid w:val="00B6560A"/>
    <w:rsid w:val="00B65A93"/>
    <w:rsid w:val="00B65AB2"/>
    <w:rsid w:val="00B65BE8"/>
    <w:rsid w:val="00B65EBC"/>
    <w:rsid w:val="00B66846"/>
    <w:rsid w:val="00B66A87"/>
    <w:rsid w:val="00B66C05"/>
    <w:rsid w:val="00B6736F"/>
    <w:rsid w:val="00B67617"/>
    <w:rsid w:val="00B6778A"/>
    <w:rsid w:val="00B67803"/>
    <w:rsid w:val="00B67948"/>
    <w:rsid w:val="00B67E90"/>
    <w:rsid w:val="00B70AF3"/>
    <w:rsid w:val="00B70E9F"/>
    <w:rsid w:val="00B71130"/>
    <w:rsid w:val="00B7115A"/>
    <w:rsid w:val="00B7126D"/>
    <w:rsid w:val="00B712D0"/>
    <w:rsid w:val="00B715D4"/>
    <w:rsid w:val="00B717A4"/>
    <w:rsid w:val="00B71B16"/>
    <w:rsid w:val="00B7210E"/>
    <w:rsid w:val="00B722BF"/>
    <w:rsid w:val="00B722D5"/>
    <w:rsid w:val="00B72831"/>
    <w:rsid w:val="00B72C83"/>
    <w:rsid w:val="00B72F70"/>
    <w:rsid w:val="00B7308F"/>
    <w:rsid w:val="00B732CE"/>
    <w:rsid w:val="00B732EC"/>
    <w:rsid w:val="00B733FA"/>
    <w:rsid w:val="00B735E8"/>
    <w:rsid w:val="00B73777"/>
    <w:rsid w:val="00B738B8"/>
    <w:rsid w:val="00B73BF3"/>
    <w:rsid w:val="00B73D91"/>
    <w:rsid w:val="00B73E93"/>
    <w:rsid w:val="00B74230"/>
    <w:rsid w:val="00B745EB"/>
    <w:rsid w:val="00B747F2"/>
    <w:rsid w:val="00B74882"/>
    <w:rsid w:val="00B74DD6"/>
    <w:rsid w:val="00B752F8"/>
    <w:rsid w:val="00B755E4"/>
    <w:rsid w:val="00B757E5"/>
    <w:rsid w:val="00B75BDC"/>
    <w:rsid w:val="00B75D6C"/>
    <w:rsid w:val="00B75DF1"/>
    <w:rsid w:val="00B75F02"/>
    <w:rsid w:val="00B7654F"/>
    <w:rsid w:val="00B76699"/>
    <w:rsid w:val="00B76915"/>
    <w:rsid w:val="00B76C15"/>
    <w:rsid w:val="00B76CBF"/>
    <w:rsid w:val="00B76E87"/>
    <w:rsid w:val="00B7710D"/>
    <w:rsid w:val="00B7776E"/>
    <w:rsid w:val="00B778C1"/>
    <w:rsid w:val="00B779F8"/>
    <w:rsid w:val="00B77DDD"/>
    <w:rsid w:val="00B80035"/>
    <w:rsid w:val="00B802B4"/>
    <w:rsid w:val="00B806FC"/>
    <w:rsid w:val="00B80A05"/>
    <w:rsid w:val="00B80BC9"/>
    <w:rsid w:val="00B80C8B"/>
    <w:rsid w:val="00B81178"/>
    <w:rsid w:val="00B8143E"/>
    <w:rsid w:val="00B8174B"/>
    <w:rsid w:val="00B8182A"/>
    <w:rsid w:val="00B81E97"/>
    <w:rsid w:val="00B81F38"/>
    <w:rsid w:val="00B8226C"/>
    <w:rsid w:val="00B82406"/>
    <w:rsid w:val="00B8251E"/>
    <w:rsid w:val="00B826B7"/>
    <w:rsid w:val="00B82C0C"/>
    <w:rsid w:val="00B834B3"/>
    <w:rsid w:val="00B8361F"/>
    <w:rsid w:val="00B83768"/>
    <w:rsid w:val="00B8385C"/>
    <w:rsid w:val="00B83962"/>
    <w:rsid w:val="00B83A72"/>
    <w:rsid w:val="00B83B62"/>
    <w:rsid w:val="00B83F11"/>
    <w:rsid w:val="00B84109"/>
    <w:rsid w:val="00B8433B"/>
    <w:rsid w:val="00B847B4"/>
    <w:rsid w:val="00B84BA4"/>
    <w:rsid w:val="00B84F7E"/>
    <w:rsid w:val="00B84FB0"/>
    <w:rsid w:val="00B85217"/>
    <w:rsid w:val="00B8535F"/>
    <w:rsid w:val="00B855BE"/>
    <w:rsid w:val="00B85642"/>
    <w:rsid w:val="00B85B5B"/>
    <w:rsid w:val="00B85D66"/>
    <w:rsid w:val="00B85EE8"/>
    <w:rsid w:val="00B85FE4"/>
    <w:rsid w:val="00B861F6"/>
    <w:rsid w:val="00B86484"/>
    <w:rsid w:val="00B86749"/>
    <w:rsid w:val="00B86930"/>
    <w:rsid w:val="00B86975"/>
    <w:rsid w:val="00B86990"/>
    <w:rsid w:val="00B86D48"/>
    <w:rsid w:val="00B8726B"/>
    <w:rsid w:val="00B878CD"/>
    <w:rsid w:val="00B87917"/>
    <w:rsid w:val="00B901A9"/>
    <w:rsid w:val="00B905B4"/>
    <w:rsid w:val="00B908D2"/>
    <w:rsid w:val="00B909B5"/>
    <w:rsid w:val="00B90A7E"/>
    <w:rsid w:val="00B90DBC"/>
    <w:rsid w:val="00B90E5D"/>
    <w:rsid w:val="00B912E1"/>
    <w:rsid w:val="00B9189A"/>
    <w:rsid w:val="00B91A32"/>
    <w:rsid w:val="00B91CB1"/>
    <w:rsid w:val="00B9249B"/>
    <w:rsid w:val="00B926DA"/>
    <w:rsid w:val="00B9273B"/>
    <w:rsid w:val="00B9404E"/>
    <w:rsid w:val="00B94050"/>
    <w:rsid w:val="00B9455D"/>
    <w:rsid w:val="00B945E7"/>
    <w:rsid w:val="00B9473B"/>
    <w:rsid w:val="00B94784"/>
    <w:rsid w:val="00B94810"/>
    <w:rsid w:val="00B94B96"/>
    <w:rsid w:val="00B94BA9"/>
    <w:rsid w:val="00B95244"/>
    <w:rsid w:val="00B952F4"/>
    <w:rsid w:val="00B9536C"/>
    <w:rsid w:val="00B956A3"/>
    <w:rsid w:val="00B95752"/>
    <w:rsid w:val="00B9589E"/>
    <w:rsid w:val="00B95B6D"/>
    <w:rsid w:val="00B96229"/>
    <w:rsid w:val="00B96853"/>
    <w:rsid w:val="00B96C9D"/>
    <w:rsid w:val="00B96F1C"/>
    <w:rsid w:val="00B96F55"/>
    <w:rsid w:val="00B9709A"/>
    <w:rsid w:val="00B9740E"/>
    <w:rsid w:val="00B97644"/>
    <w:rsid w:val="00B97A54"/>
    <w:rsid w:val="00B97C4A"/>
    <w:rsid w:val="00B97E8D"/>
    <w:rsid w:val="00BA02EA"/>
    <w:rsid w:val="00BA0802"/>
    <w:rsid w:val="00BA0A64"/>
    <w:rsid w:val="00BA0B1A"/>
    <w:rsid w:val="00BA0CA2"/>
    <w:rsid w:val="00BA0CDD"/>
    <w:rsid w:val="00BA0EED"/>
    <w:rsid w:val="00BA1238"/>
    <w:rsid w:val="00BA1244"/>
    <w:rsid w:val="00BA1898"/>
    <w:rsid w:val="00BA1B1F"/>
    <w:rsid w:val="00BA1B74"/>
    <w:rsid w:val="00BA1D08"/>
    <w:rsid w:val="00BA1DF8"/>
    <w:rsid w:val="00BA1FEB"/>
    <w:rsid w:val="00BA1FFB"/>
    <w:rsid w:val="00BA2156"/>
    <w:rsid w:val="00BA21B8"/>
    <w:rsid w:val="00BA2B3F"/>
    <w:rsid w:val="00BA2EC9"/>
    <w:rsid w:val="00BA3627"/>
    <w:rsid w:val="00BA369E"/>
    <w:rsid w:val="00BA3D8D"/>
    <w:rsid w:val="00BA3F21"/>
    <w:rsid w:val="00BA40B2"/>
    <w:rsid w:val="00BA456D"/>
    <w:rsid w:val="00BA4811"/>
    <w:rsid w:val="00BA4920"/>
    <w:rsid w:val="00BA4C82"/>
    <w:rsid w:val="00BA4E45"/>
    <w:rsid w:val="00BA51F7"/>
    <w:rsid w:val="00BA566E"/>
    <w:rsid w:val="00BA5744"/>
    <w:rsid w:val="00BA59FB"/>
    <w:rsid w:val="00BA5A4B"/>
    <w:rsid w:val="00BA5C00"/>
    <w:rsid w:val="00BA68B6"/>
    <w:rsid w:val="00BA692F"/>
    <w:rsid w:val="00BA6F44"/>
    <w:rsid w:val="00BA732E"/>
    <w:rsid w:val="00BA75A9"/>
    <w:rsid w:val="00BA7761"/>
    <w:rsid w:val="00BA78B8"/>
    <w:rsid w:val="00BA78D9"/>
    <w:rsid w:val="00BA7AD7"/>
    <w:rsid w:val="00BA7C90"/>
    <w:rsid w:val="00BA7D45"/>
    <w:rsid w:val="00BA7DB4"/>
    <w:rsid w:val="00BA7F05"/>
    <w:rsid w:val="00BB0B02"/>
    <w:rsid w:val="00BB0BD6"/>
    <w:rsid w:val="00BB1041"/>
    <w:rsid w:val="00BB13A5"/>
    <w:rsid w:val="00BB13B5"/>
    <w:rsid w:val="00BB14A3"/>
    <w:rsid w:val="00BB16D2"/>
    <w:rsid w:val="00BB180C"/>
    <w:rsid w:val="00BB1EF2"/>
    <w:rsid w:val="00BB1F44"/>
    <w:rsid w:val="00BB24EE"/>
    <w:rsid w:val="00BB2521"/>
    <w:rsid w:val="00BB2C25"/>
    <w:rsid w:val="00BB2CC8"/>
    <w:rsid w:val="00BB325B"/>
    <w:rsid w:val="00BB3454"/>
    <w:rsid w:val="00BB350F"/>
    <w:rsid w:val="00BB3D61"/>
    <w:rsid w:val="00BB3FA3"/>
    <w:rsid w:val="00BB4A3E"/>
    <w:rsid w:val="00BB4B26"/>
    <w:rsid w:val="00BB4E3E"/>
    <w:rsid w:val="00BB4FF4"/>
    <w:rsid w:val="00BB5041"/>
    <w:rsid w:val="00BB5165"/>
    <w:rsid w:val="00BB52AB"/>
    <w:rsid w:val="00BB54D4"/>
    <w:rsid w:val="00BB564D"/>
    <w:rsid w:val="00BB56AC"/>
    <w:rsid w:val="00BB570B"/>
    <w:rsid w:val="00BB5772"/>
    <w:rsid w:val="00BB5CF9"/>
    <w:rsid w:val="00BB5D3B"/>
    <w:rsid w:val="00BB64F1"/>
    <w:rsid w:val="00BB655E"/>
    <w:rsid w:val="00BB6BBA"/>
    <w:rsid w:val="00BB6D1D"/>
    <w:rsid w:val="00BB6EED"/>
    <w:rsid w:val="00BB6F7E"/>
    <w:rsid w:val="00BB7146"/>
    <w:rsid w:val="00BB73AE"/>
    <w:rsid w:val="00BB751B"/>
    <w:rsid w:val="00BB7625"/>
    <w:rsid w:val="00BB7B67"/>
    <w:rsid w:val="00BB7D01"/>
    <w:rsid w:val="00BB7FCB"/>
    <w:rsid w:val="00BC01AA"/>
    <w:rsid w:val="00BC0A54"/>
    <w:rsid w:val="00BC0DBC"/>
    <w:rsid w:val="00BC12AE"/>
    <w:rsid w:val="00BC15DE"/>
    <w:rsid w:val="00BC17C8"/>
    <w:rsid w:val="00BC213B"/>
    <w:rsid w:val="00BC273A"/>
    <w:rsid w:val="00BC2780"/>
    <w:rsid w:val="00BC3361"/>
    <w:rsid w:val="00BC3471"/>
    <w:rsid w:val="00BC369C"/>
    <w:rsid w:val="00BC3A4A"/>
    <w:rsid w:val="00BC3D7F"/>
    <w:rsid w:val="00BC4064"/>
    <w:rsid w:val="00BC468B"/>
    <w:rsid w:val="00BC479E"/>
    <w:rsid w:val="00BC480F"/>
    <w:rsid w:val="00BC4972"/>
    <w:rsid w:val="00BC528B"/>
    <w:rsid w:val="00BC54E1"/>
    <w:rsid w:val="00BC55B3"/>
    <w:rsid w:val="00BC56E2"/>
    <w:rsid w:val="00BC5741"/>
    <w:rsid w:val="00BC5C30"/>
    <w:rsid w:val="00BC63B0"/>
    <w:rsid w:val="00BC6632"/>
    <w:rsid w:val="00BC6648"/>
    <w:rsid w:val="00BC66C4"/>
    <w:rsid w:val="00BC688B"/>
    <w:rsid w:val="00BC6897"/>
    <w:rsid w:val="00BC68A6"/>
    <w:rsid w:val="00BC6BB0"/>
    <w:rsid w:val="00BC6C7D"/>
    <w:rsid w:val="00BC7167"/>
    <w:rsid w:val="00BC76DC"/>
    <w:rsid w:val="00BC77B0"/>
    <w:rsid w:val="00BC79DF"/>
    <w:rsid w:val="00BC7BE1"/>
    <w:rsid w:val="00BD0206"/>
    <w:rsid w:val="00BD0265"/>
    <w:rsid w:val="00BD05C2"/>
    <w:rsid w:val="00BD0A97"/>
    <w:rsid w:val="00BD0DCF"/>
    <w:rsid w:val="00BD10BB"/>
    <w:rsid w:val="00BD1332"/>
    <w:rsid w:val="00BD1951"/>
    <w:rsid w:val="00BD1A03"/>
    <w:rsid w:val="00BD1E36"/>
    <w:rsid w:val="00BD20A2"/>
    <w:rsid w:val="00BD20F0"/>
    <w:rsid w:val="00BD28C8"/>
    <w:rsid w:val="00BD2A46"/>
    <w:rsid w:val="00BD2C6E"/>
    <w:rsid w:val="00BD2D25"/>
    <w:rsid w:val="00BD2E80"/>
    <w:rsid w:val="00BD33D4"/>
    <w:rsid w:val="00BD3716"/>
    <w:rsid w:val="00BD3E4A"/>
    <w:rsid w:val="00BD40B1"/>
    <w:rsid w:val="00BD431F"/>
    <w:rsid w:val="00BD450C"/>
    <w:rsid w:val="00BD4A2C"/>
    <w:rsid w:val="00BD4D5F"/>
    <w:rsid w:val="00BD4EA3"/>
    <w:rsid w:val="00BD516C"/>
    <w:rsid w:val="00BD54E5"/>
    <w:rsid w:val="00BD54FE"/>
    <w:rsid w:val="00BD58E1"/>
    <w:rsid w:val="00BD5A9E"/>
    <w:rsid w:val="00BD604B"/>
    <w:rsid w:val="00BD6519"/>
    <w:rsid w:val="00BD6845"/>
    <w:rsid w:val="00BD69D4"/>
    <w:rsid w:val="00BD6AE8"/>
    <w:rsid w:val="00BD730F"/>
    <w:rsid w:val="00BD747C"/>
    <w:rsid w:val="00BD7516"/>
    <w:rsid w:val="00BD7703"/>
    <w:rsid w:val="00BD7824"/>
    <w:rsid w:val="00BD7D3E"/>
    <w:rsid w:val="00BD7F34"/>
    <w:rsid w:val="00BE0086"/>
    <w:rsid w:val="00BE02CB"/>
    <w:rsid w:val="00BE088C"/>
    <w:rsid w:val="00BE12DF"/>
    <w:rsid w:val="00BE15D3"/>
    <w:rsid w:val="00BE18F9"/>
    <w:rsid w:val="00BE1CC3"/>
    <w:rsid w:val="00BE1CF1"/>
    <w:rsid w:val="00BE22A6"/>
    <w:rsid w:val="00BE22D1"/>
    <w:rsid w:val="00BE2696"/>
    <w:rsid w:val="00BE27E0"/>
    <w:rsid w:val="00BE324F"/>
    <w:rsid w:val="00BE3284"/>
    <w:rsid w:val="00BE344D"/>
    <w:rsid w:val="00BE35AB"/>
    <w:rsid w:val="00BE3707"/>
    <w:rsid w:val="00BE3C98"/>
    <w:rsid w:val="00BE3CFC"/>
    <w:rsid w:val="00BE47BF"/>
    <w:rsid w:val="00BE4F63"/>
    <w:rsid w:val="00BE50BA"/>
    <w:rsid w:val="00BE50D2"/>
    <w:rsid w:val="00BE52D8"/>
    <w:rsid w:val="00BE52E9"/>
    <w:rsid w:val="00BE5374"/>
    <w:rsid w:val="00BE563E"/>
    <w:rsid w:val="00BE5859"/>
    <w:rsid w:val="00BE58F2"/>
    <w:rsid w:val="00BE627A"/>
    <w:rsid w:val="00BE641B"/>
    <w:rsid w:val="00BE6A9F"/>
    <w:rsid w:val="00BE6AAC"/>
    <w:rsid w:val="00BE6CE8"/>
    <w:rsid w:val="00BE6D3A"/>
    <w:rsid w:val="00BE6DF3"/>
    <w:rsid w:val="00BE73B0"/>
    <w:rsid w:val="00BE75A0"/>
    <w:rsid w:val="00BE76E8"/>
    <w:rsid w:val="00BE793A"/>
    <w:rsid w:val="00BE7A2B"/>
    <w:rsid w:val="00BE7A8E"/>
    <w:rsid w:val="00BE7CCB"/>
    <w:rsid w:val="00BE7E26"/>
    <w:rsid w:val="00BE7F09"/>
    <w:rsid w:val="00BF07B1"/>
    <w:rsid w:val="00BF0B0A"/>
    <w:rsid w:val="00BF0D47"/>
    <w:rsid w:val="00BF0ECB"/>
    <w:rsid w:val="00BF12CD"/>
    <w:rsid w:val="00BF18C8"/>
    <w:rsid w:val="00BF1C85"/>
    <w:rsid w:val="00BF23C3"/>
    <w:rsid w:val="00BF2B69"/>
    <w:rsid w:val="00BF32BD"/>
    <w:rsid w:val="00BF3503"/>
    <w:rsid w:val="00BF384A"/>
    <w:rsid w:val="00BF3EF1"/>
    <w:rsid w:val="00BF436A"/>
    <w:rsid w:val="00BF4972"/>
    <w:rsid w:val="00BF510A"/>
    <w:rsid w:val="00BF54E1"/>
    <w:rsid w:val="00BF5511"/>
    <w:rsid w:val="00BF55E1"/>
    <w:rsid w:val="00BF5678"/>
    <w:rsid w:val="00BF57A7"/>
    <w:rsid w:val="00BF599C"/>
    <w:rsid w:val="00BF5B21"/>
    <w:rsid w:val="00BF5B8A"/>
    <w:rsid w:val="00BF5BE2"/>
    <w:rsid w:val="00BF5CE2"/>
    <w:rsid w:val="00BF6230"/>
    <w:rsid w:val="00BF6470"/>
    <w:rsid w:val="00BF6B68"/>
    <w:rsid w:val="00BF6EA7"/>
    <w:rsid w:val="00BF71C4"/>
    <w:rsid w:val="00BF723C"/>
    <w:rsid w:val="00BF7C54"/>
    <w:rsid w:val="00BF7EF4"/>
    <w:rsid w:val="00C00236"/>
    <w:rsid w:val="00C00315"/>
    <w:rsid w:val="00C004D8"/>
    <w:rsid w:val="00C00614"/>
    <w:rsid w:val="00C0191A"/>
    <w:rsid w:val="00C01A93"/>
    <w:rsid w:val="00C01B54"/>
    <w:rsid w:val="00C01D5F"/>
    <w:rsid w:val="00C01DC6"/>
    <w:rsid w:val="00C02065"/>
    <w:rsid w:val="00C021D2"/>
    <w:rsid w:val="00C02D0A"/>
    <w:rsid w:val="00C02DE3"/>
    <w:rsid w:val="00C02E58"/>
    <w:rsid w:val="00C030F8"/>
    <w:rsid w:val="00C0345A"/>
    <w:rsid w:val="00C03511"/>
    <w:rsid w:val="00C03521"/>
    <w:rsid w:val="00C03583"/>
    <w:rsid w:val="00C0426D"/>
    <w:rsid w:val="00C04276"/>
    <w:rsid w:val="00C04360"/>
    <w:rsid w:val="00C04796"/>
    <w:rsid w:val="00C04947"/>
    <w:rsid w:val="00C04BD9"/>
    <w:rsid w:val="00C04C3A"/>
    <w:rsid w:val="00C05237"/>
    <w:rsid w:val="00C0536E"/>
    <w:rsid w:val="00C05490"/>
    <w:rsid w:val="00C05700"/>
    <w:rsid w:val="00C05ED0"/>
    <w:rsid w:val="00C06307"/>
    <w:rsid w:val="00C0638C"/>
    <w:rsid w:val="00C067D2"/>
    <w:rsid w:val="00C0691E"/>
    <w:rsid w:val="00C069E9"/>
    <w:rsid w:val="00C06C31"/>
    <w:rsid w:val="00C06E37"/>
    <w:rsid w:val="00C07094"/>
    <w:rsid w:val="00C070F4"/>
    <w:rsid w:val="00C071F4"/>
    <w:rsid w:val="00C072B1"/>
    <w:rsid w:val="00C07445"/>
    <w:rsid w:val="00C074CD"/>
    <w:rsid w:val="00C07796"/>
    <w:rsid w:val="00C07AA9"/>
    <w:rsid w:val="00C07ACD"/>
    <w:rsid w:val="00C07D0F"/>
    <w:rsid w:val="00C07D75"/>
    <w:rsid w:val="00C07E6C"/>
    <w:rsid w:val="00C100CB"/>
    <w:rsid w:val="00C107C3"/>
    <w:rsid w:val="00C10B9E"/>
    <w:rsid w:val="00C10C3A"/>
    <w:rsid w:val="00C10D1B"/>
    <w:rsid w:val="00C110A3"/>
    <w:rsid w:val="00C1133F"/>
    <w:rsid w:val="00C11529"/>
    <w:rsid w:val="00C115A0"/>
    <w:rsid w:val="00C117F1"/>
    <w:rsid w:val="00C1183E"/>
    <w:rsid w:val="00C11D1D"/>
    <w:rsid w:val="00C11D3B"/>
    <w:rsid w:val="00C11D84"/>
    <w:rsid w:val="00C12554"/>
    <w:rsid w:val="00C12692"/>
    <w:rsid w:val="00C12D6D"/>
    <w:rsid w:val="00C12F16"/>
    <w:rsid w:val="00C12FA3"/>
    <w:rsid w:val="00C12FF8"/>
    <w:rsid w:val="00C130FB"/>
    <w:rsid w:val="00C13520"/>
    <w:rsid w:val="00C135C0"/>
    <w:rsid w:val="00C13673"/>
    <w:rsid w:val="00C13A6A"/>
    <w:rsid w:val="00C13AD2"/>
    <w:rsid w:val="00C13DB0"/>
    <w:rsid w:val="00C142FD"/>
    <w:rsid w:val="00C14302"/>
    <w:rsid w:val="00C14353"/>
    <w:rsid w:val="00C14BAE"/>
    <w:rsid w:val="00C14F9B"/>
    <w:rsid w:val="00C14FAB"/>
    <w:rsid w:val="00C150E7"/>
    <w:rsid w:val="00C15377"/>
    <w:rsid w:val="00C15516"/>
    <w:rsid w:val="00C156B0"/>
    <w:rsid w:val="00C1570E"/>
    <w:rsid w:val="00C157A7"/>
    <w:rsid w:val="00C15893"/>
    <w:rsid w:val="00C15E07"/>
    <w:rsid w:val="00C15F42"/>
    <w:rsid w:val="00C15FD0"/>
    <w:rsid w:val="00C1610B"/>
    <w:rsid w:val="00C1611D"/>
    <w:rsid w:val="00C16220"/>
    <w:rsid w:val="00C16311"/>
    <w:rsid w:val="00C163A9"/>
    <w:rsid w:val="00C1641E"/>
    <w:rsid w:val="00C1656C"/>
    <w:rsid w:val="00C16753"/>
    <w:rsid w:val="00C16864"/>
    <w:rsid w:val="00C16C9A"/>
    <w:rsid w:val="00C16F44"/>
    <w:rsid w:val="00C17183"/>
    <w:rsid w:val="00C17576"/>
    <w:rsid w:val="00C175E4"/>
    <w:rsid w:val="00C1765D"/>
    <w:rsid w:val="00C179B7"/>
    <w:rsid w:val="00C202C6"/>
    <w:rsid w:val="00C203E0"/>
    <w:rsid w:val="00C20716"/>
    <w:rsid w:val="00C20AB7"/>
    <w:rsid w:val="00C20B09"/>
    <w:rsid w:val="00C20CDF"/>
    <w:rsid w:val="00C20F6C"/>
    <w:rsid w:val="00C20FCD"/>
    <w:rsid w:val="00C21049"/>
    <w:rsid w:val="00C21120"/>
    <w:rsid w:val="00C21423"/>
    <w:rsid w:val="00C21746"/>
    <w:rsid w:val="00C217DB"/>
    <w:rsid w:val="00C21BB4"/>
    <w:rsid w:val="00C21D66"/>
    <w:rsid w:val="00C21E09"/>
    <w:rsid w:val="00C22BC2"/>
    <w:rsid w:val="00C22C15"/>
    <w:rsid w:val="00C22F17"/>
    <w:rsid w:val="00C22F81"/>
    <w:rsid w:val="00C232E0"/>
    <w:rsid w:val="00C23387"/>
    <w:rsid w:val="00C2356F"/>
    <w:rsid w:val="00C23688"/>
    <w:rsid w:val="00C238AC"/>
    <w:rsid w:val="00C23B3F"/>
    <w:rsid w:val="00C23FF1"/>
    <w:rsid w:val="00C2436C"/>
    <w:rsid w:val="00C24442"/>
    <w:rsid w:val="00C244CD"/>
    <w:rsid w:val="00C24761"/>
    <w:rsid w:val="00C24770"/>
    <w:rsid w:val="00C2477A"/>
    <w:rsid w:val="00C248DD"/>
    <w:rsid w:val="00C2497F"/>
    <w:rsid w:val="00C24B34"/>
    <w:rsid w:val="00C24B5E"/>
    <w:rsid w:val="00C24EE3"/>
    <w:rsid w:val="00C24F97"/>
    <w:rsid w:val="00C2507F"/>
    <w:rsid w:val="00C2534F"/>
    <w:rsid w:val="00C25403"/>
    <w:rsid w:val="00C254C4"/>
    <w:rsid w:val="00C25E14"/>
    <w:rsid w:val="00C26128"/>
    <w:rsid w:val="00C264B2"/>
    <w:rsid w:val="00C26E18"/>
    <w:rsid w:val="00C271DC"/>
    <w:rsid w:val="00C27759"/>
    <w:rsid w:val="00C27D47"/>
    <w:rsid w:val="00C27FDE"/>
    <w:rsid w:val="00C30058"/>
    <w:rsid w:val="00C302A8"/>
    <w:rsid w:val="00C30370"/>
    <w:rsid w:val="00C303B9"/>
    <w:rsid w:val="00C3088A"/>
    <w:rsid w:val="00C30C9E"/>
    <w:rsid w:val="00C31245"/>
    <w:rsid w:val="00C31583"/>
    <w:rsid w:val="00C3163A"/>
    <w:rsid w:val="00C3171D"/>
    <w:rsid w:val="00C317A2"/>
    <w:rsid w:val="00C31CA0"/>
    <w:rsid w:val="00C32026"/>
    <w:rsid w:val="00C3252B"/>
    <w:rsid w:val="00C32ECB"/>
    <w:rsid w:val="00C330E3"/>
    <w:rsid w:val="00C3342C"/>
    <w:rsid w:val="00C334EE"/>
    <w:rsid w:val="00C335CA"/>
    <w:rsid w:val="00C33F23"/>
    <w:rsid w:val="00C343FC"/>
    <w:rsid w:val="00C3452C"/>
    <w:rsid w:val="00C349FD"/>
    <w:rsid w:val="00C3531A"/>
    <w:rsid w:val="00C3533F"/>
    <w:rsid w:val="00C35970"/>
    <w:rsid w:val="00C359DE"/>
    <w:rsid w:val="00C3609B"/>
    <w:rsid w:val="00C360BC"/>
    <w:rsid w:val="00C36377"/>
    <w:rsid w:val="00C3651F"/>
    <w:rsid w:val="00C365AC"/>
    <w:rsid w:val="00C36633"/>
    <w:rsid w:val="00C368D5"/>
    <w:rsid w:val="00C36DB8"/>
    <w:rsid w:val="00C36E9D"/>
    <w:rsid w:val="00C3722D"/>
    <w:rsid w:val="00C3765D"/>
    <w:rsid w:val="00C376B9"/>
    <w:rsid w:val="00C37892"/>
    <w:rsid w:val="00C378A8"/>
    <w:rsid w:val="00C37A43"/>
    <w:rsid w:val="00C37BC6"/>
    <w:rsid w:val="00C37C86"/>
    <w:rsid w:val="00C400B7"/>
    <w:rsid w:val="00C40693"/>
    <w:rsid w:val="00C40976"/>
    <w:rsid w:val="00C40A2F"/>
    <w:rsid w:val="00C40D74"/>
    <w:rsid w:val="00C40EA9"/>
    <w:rsid w:val="00C412B1"/>
    <w:rsid w:val="00C41798"/>
    <w:rsid w:val="00C41BC3"/>
    <w:rsid w:val="00C41E1B"/>
    <w:rsid w:val="00C4214D"/>
    <w:rsid w:val="00C421DD"/>
    <w:rsid w:val="00C4259F"/>
    <w:rsid w:val="00C429F8"/>
    <w:rsid w:val="00C42ADB"/>
    <w:rsid w:val="00C4318B"/>
    <w:rsid w:val="00C431B8"/>
    <w:rsid w:val="00C432E1"/>
    <w:rsid w:val="00C43396"/>
    <w:rsid w:val="00C433DC"/>
    <w:rsid w:val="00C43469"/>
    <w:rsid w:val="00C4361A"/>
    <w:rsid w:val="00C4436C"/>
    <w:rsid w:val="00C44D7B"/>
    <w:rsid w:val="00C4553C"/>
    <w:rsid w:val="00C458BF"/>
    <w:rsid w:val="00C45A7F"/>
    <w:rsid w:val="00C45E12"/>
    <w:rsid w:val="00C45E7C"/>
    <w:rsid w:val="00C461B2"/>
    <w:rsid w:val="00C469D4"/>
    <w:rsid w:val="00C47348"/>
    <w:rsid w:val="00C478AB"/>
    <w:rsid w:val="00C47945"/>
    <w:rsid w:val="00C47C68"/>
    <w:rsid w:val="00C47C8E"/>
    <w:rsid w:val="00C5125E"/>
    <w:rsid w:val="00C513C2"/>
    <w:rsid w:val="00C51B12"/>
    <w:rsid w:val="00C51D9F"/>
    <w:rsid w:val="00C51F6E"/>
    <w:rsid w:val="00C51F77"/>
    <w:rsid w:val="00C520CB"/>
    <w:rsid w:val="00C526EE"/>
    <w:rsid w:val="00C52B04"/>
    <w:rsid w:val="00C52B49"/>
    <w:rsid w:val="00C52C06"/>
    <w:rsid w:val="00C52FD1"/>
    <w:rsid w:val="00C53062"/>
    <w:rsid w:val="00C532FC"/>
    <w:rsid w:val="00C5359B"/>
    <w:rsid w:val="00C53941"/>
    <w:rsid w:val="00C53A10"/>
    <w:rsid w:val="00C53AF7"/>
    <w:rsid w:val="00C53C1B"/>
    <w:rsid w:val="00C53F7D"/>
    <w:rsid w:val="00C5409C"/>
    <w:rsid w:val="00C544AC"/>
    <w:rsid w:val="00C545CE"/>
    <w:rsid w:val="00C54791"/>
    <w:rsid w:val="00C550F9"/>
    <w:rsid w:val="00C5510B"/>
    <w:rsid w:val="00C554B5"/>
    <w:rsid w:val="00C556BD"/>
    <w:rsid w:val="00C5591F"/>
    <w:rsid w:val="00C55B9C"/>
    <w:rsid w:val="00C55D38"/>
    <w:rsid w:val="00C55D43"/>
    <w:rsid w:val="00C562F8"/>
    <w:rsid w:val="00C56588"/>
    <w:rsid w:val="00C56949"/>
    <w:rsid w:val="00C569E2"/>
    <w:rsid w:val="00C56A1F"/>
    <w:rsid w:val="00C56B17"/>
    <w:rsid w:val="00C56BFA"/>
    <w:rsid w:val="00C56ED6"/>
    <w:rsid w:val="00C56EF2"/>
    <w:rsid w:val="00C570A6"/>
    <w:rsid w:val="00C570BE"/>
    <w:rsid w:val="00C579F3"/>
    <w:rsid w:val="00C600B3"/>
    <w:rsid w:val="00C60334"/>
    <w:rsid w:val="00C60642"/>
    <w:rsid w:val="00C60902"/>
    <w:rsid w:val="00C60DD3"/>
    <w:rsid w:val="00C61368"/>
    <w:rsid w:val="00C61464"/>
    <w:rsid w:val="00C61533"/>
    <w:rsid w:val="00C61B50"/>
    <w:rsid w:val="00C61BF7"/>
    <w:rsid w:val="00C61BFB"/>
    <w:rsid w:val="00C6250E"/>
    <w:rsid w:val="00C62A90"/>
    <w:rsid w:val="00C62DE4"/>
    <w:rsid w:val="00C6333A"/>
    <w:rsid w:val="00C63343"/>
    <w:rsid w:val="00C6370B"/>
    <w:rsid w:val="00C644E4"/>
    <w:rsid w:val="00C649E5"/>
    <w:rsid w:val="00C64C7D"/>
    <w:rsid w:val="00C64CA0"/>
    <w:rsid w:val="00C657C1"/>
    <w:rsid w:val="00C659CB"/>
    <w:rsid w:val="00C65EF7"/>
    <w:rsid w:val="00C6618B"/>
    <w:rsid w:val="00C66376"/>
    <w:rsid w:val="00C663DF"/>
    <w:rsid w:val="00C66888"/>
    <w:rsid w:val="00C670F5"/>
    <w:rsid w:val="00C6714B"/>
    <w:rsid w:val="00C6719D"/>
    <w:rsid w:val="00C673D9"/>
    <w:rsid w:val="00C67A3F"/>
    <w:rsid w:val="00C67ABF"/>
    <w:rsid w:val="00C67C20"/>
    <w:rsid w:val="00C67E8E"/>
    <w:rsid w:val="00C7034C"/>
    <w:rsid w:val="00C70648"/>
    <w:rsid w:val="00C708AB"/>
    <w:rsid w:val="00C70908"/>
    <w:rsid w:val="00C70955"/>
    <w:rsid w:val="00C70B40"/>
    <w:rsid w:val="00C7112D"/>
    <w:rsid w:val="00C71D6A"/>
    <w:rsid w:val="00C71E10"/>
    <w:rsid w:val="00C72164"/>
    <w:rsid w:val="00C72177"/>
    <w:rsid w:val="00C721D9"/>
    <w:rsid w:val="00C723B9"/>
    <w:rsid w:val="00C72C8B"/>
    <w:rsid w:val="00C72CEC"/>
    <w:rsid w:val="00C73257"/>
    <w:rsid w:val="00C73393"/>
    <w:rsid w:val="00C73AC7"/>
    <w:rsid w:val="00C7402D"/>
    <w:rsid w:val="00C742AF"/>
    <w:rsid w:val="00C743ED"/>
    <w:rsid w:val="00C746CC"/>
    <w:rsid w:val="00C74B8C"/>
    <w:rsid w:val="00C74D53"/>
    <w:rsid w:val="00C75435"/>
    <w:rsid w:val="00C75532"/>
    <w:rsid w:val="00C756FD"/>
    <w:rsid w:val="00C75887"/>
    <w:rsid w:val="00C75A97"/>
    <w:rsid w:val="00C75CDF"/>
    <w:rsid w:val="00C75E28"/>
    <w:rsid w:val="00C75E6C"/>
    <w:rsid w:val="00C7601A"/>
    <w:rsid w:val="00C764FD"/>
    <w:rsid w:val="00C7655A"/>
    <w:rsid w:val="00C76678"/>
    <w:rsid w:val="00C766B9"/>
    <w:rsid w:val="00C76BFA"/>
    <w:rsid w:val="00C76FCB"/>
    <w:rsid w:val="00C77478"/>
    <w:rsid w:val="00C77DBF"/>
    <w:rsid w:val="00C80250"/>
    <w:rsid w:val="00C80387"/>
    <w:rsid w:val="00C80A76"/>
    <w:rsid w:val="00C80E14"/>
    <w:rsid w:val="00C81009"/>
    <w:rsid w:val="00C81061"/>
    <w:rsid w:val="00C810F9"/>
    <w:rsid w:val="00C814FC"/>
    <w:rsid w:val="00C81514"/>
    <w:rsid w:val="00C8178A"/>
    <w:rsid w:val="00C81A82"/>
    <w:rsid w:val="00C81B2C"/>
    <w:rsid w:val="00C81BFE"/>
    <w:rsid w:val="00C823EF"/>
    <w:rsid w:val="00C8240E"/>
    <w:rsid w:val="00C8268F"/>
    <w:rsid w:val="00C8285D"/>
    <w:rsid w:val="00C82D7E"/>
    <w:rsid w:val="00C83535"/>
    <w:rsid w:val="00C83646"/>
    <w:rsid w:val="00C83A17"/>
    <w:rsid w:val="00C83B22"/>
    <w:rsid w:val="00C83D84"/>
    <w:rsid w:val="00C84036"/>
    <w:rsid w:val="00C84D23"/>
    <w:rsid w:val="00C84EC9"/>
    <w:rsid w:val="00C856B7"/>
    <w:rsid w:val="00C85925"/>
    <w:rsid w:val="00C85F01"/>
    <w:rsid w:val="00C86056"/>
    <w:rsid w:val="00C86969"/>
    <w:rsid w:val="00C86A70"/>
    <w:rsid w:val="00C87048"/>
    <w:rsid w:val="00C87436"/>
    <w:rsid w:val="00C8758D"/>
    <w:rsid w:val="00C8780E"/>
    <w:rsid w:val="00C879AD"/>
    <w:rsid w:val="00C90020"/>
    <w:rsid w:val="00C907A6"/>
    <w:rsid w:val="00C90887"/>
    <w:rsid w:val="00C909BC"/>
    <w:rsid w:val="00C909D2"/>
    <w:rsid w:val="00C909E2"/>
    <w:rsid w:val="00C90A15"/>
    <w:rsid w:val="00C90B60"/>
    <w:rsid w:val="00C90CA0"/>
    <w:rsid w:val="00C90ED6"/>
    <w:rsid w:val="00C91371"/>
    <w:rsid w:val="00C91393"/>
    <w:rsid w:val="00C91544"/>
    <w:rsid w:val="00C91651"/>
    <w:rsid w:val="00C917A4"/>
    <w:rsid w:val="00C917D0"/>
    <w:rsid w:val="00C919CF"/>
    <w:rsid w:val="00C91B52"/>
    <w:rsid w:val="00C91C04"/>
    <w:rsid w:val="00C922A2"/>
    <w:rsid w:val="00C927EE"/>
    <w:rsid w:val="00C93036"/>
    <w:rsid w:val="00C935E4"/>
    <w:rsid w:val="00C93815"/>
    <w:rsid w:val="00C9391C"/>
    <w:rsid w:val="00C93C18"/>
    <w:rsid w:val="00C93C2F"/>
    <w:rsid w:val="00C93CFE"/>
    <w:rsid w:val="00C93D11"/>
    <w:rsid w:val="00C93F5B"/>
    <w:rsid w:val="00C93F72"/>
    <w:rsid w:val="00C93F73"/>
    <w:rsid w:val="00C9409E"/>
    <w:rsid w:val="00C9436A"/>
    <w:rsid w:val="00C9462E"/>
    <w:rsid w:val="00C9497D"/>
    <w:rsid w:val="00C949BB"/>
    <w:rsid w:val="00C94C47"/>
    <w:rsid w:val="00C94DC3"/>
    <w:rsid w:val="00C953FD"/>
    <w:rsid w:val="00C95670"/>
    <w:rsid w:val="00C957F3"/>
    <w:rsid w:val="00C95A7D"/>
    <w:rsid w:val="00C9605B"/>
    <w:rsid w:val="00C96164"/>
    <w:rsid w:val="00C961EE"/>
    <w:rsid w:val="00C9667B"/>
    <w:rsid w:val="00C968C3"/>
    <w:rsid w:val="00C96C6A"/>
    <w:rsid w:val="00C96F3F"/>
    <w:rsid w:val="00C96F8B"/>
    <w:rsid w:val="00C9725D"/>
    <w:rsid w:val="00C97353"/>
    <w:rsid w:val="00C97450"/>
    <w:rsid w:val="00C97631"/>
    <w:rsid w:val="00C97677"/>
    <w:rsid w:val="00C978AF"/>
    <w:rsid w:val="00C97CEE"/>
    <w:rsid w:val="00C97E7D"/>
    <w:rsid w:val="00CA03C1"/>
    <w:rsid w:val="00CA0A29"/>
    <w:rsid w:val="00CA0ABA"/>
    <w:rsid w:val="00CA0D5B"/>
    <w:rsid w:val="00CA100C"/>
    <w:rsid w:val="00CA1954"/>
    <w:rsid w:val="00CA1A63"/>
    <w:rsid w:val="00CA1A82"/>
    <w:rsid w:val="00CA1D33"/>
    <w:rsid w:val="00CA1F78"/>
    <w:rsid w:val="00CA21AD"/>
    <w:rsid w:val="00CA222E"/>
    <w:rsid w:val="00CA255E"/>
    <w:rsid w:val="00CA26EA"/>
    <w:rsid w:val="00CA27D3"/>
    <w:rsid w:val="00CA2D60"/>
    <w:rsid w:val="00CA2FB2"/>
    <w:rsid w:val="00CA3133"/>
    <w:rsid w:val="00CA3169"/>
    <w:rsid w:val="00CA31EE"/>
    <w:rsid w:val="00CA3613"/>
    <w:rsid w:val="00CA3620"/>
    <w:rsid w:val="00CA36FF"/>
    <w:rsid w:val="00CA37A6"/>
    <w:rsid w:val="00CA3B2F"/>
    <w:rsid w:val="00CA3D04"/>
    <w:rsid w:val="00CA3D3A"/>
    <w:rsid w:val="00CA411F"/>
    <w:rsid w:val="00CA42D6"/>
    <w:rsid w:val="00CA4549"/>
    <w:rsid w:val="00CA4D06"/>
    <w:rsid w:val="00CA4D1A"/>
    <w:rsid w:val="00CA4E93"/>
    <w:rsid w:val="00CA4EC5"/>
    <w:rsid w:val="00CA4ECD"/>
    <w:rsid w:val="00CA528A"/>
    <w:rsid w:val="00CA55C5"/>
    <w:rsid w:val="00CA560D"/>
    <w:rsid w:val="00CA5931"/>
    <w:rsid w:val="00CA5C31"/>
    <w:rsid w:val="00CA5FCF"/>
    <w:rsid w:val="00CA6043"/>
    <w:rsid w:val="00CA60C8"/>
    <w:rsid w:val="00CA62A4"/>
    <w:rsid w:val="00CA6758"/>
    <w:rsid w:val="00CA6806"/>
    <w:rsid w:val="00CA693D"/>
    <w:rsid w:val="00CA73E4"/>
    <w:rsid w:val="00CA78AE"/>
    <w:rsid w:val="00CB01A2"/>
    <w:rsid w:val="00CB060F"/>
    <w:rsid w:val="00CB07C7"/>
    <w:rsid w:val="00CB0EE4"/>
    <w:rsid w:val="00CB15E9"/>
    <w:rsid w:val="00CB1998"/>
    <w:rsid w:val="00CB19D1"/>
    <w:rsid w:val="00CB218C"/>
    <w:rsid w:val="00CB2459"/>
    <w:rsid w:val="00CB26D5"/>
    <w:rsid w:val="00CB276F"/>
    <w:rsid w:val="00CB2BD5"/>
    <w:rsid w:val="00CB34B0"/>
    <w:rsid w:val="00CB4230"/>
    <w:rsid w:val="00CB43CE"/>
    <w:rsid w:val="00CB45E9"/>
    <w:rsid w:val="00CB4758"/>
    <w:rsid w:val="00CB478A"/>
    <w:rsid w:val="00CB4A86"/>
    <w:rsid w:val="00CB4E74"/>
    <w:rsid w:val="00CB5528"/>
    <w:rsid w:val="00CB5560"/>
    <w:rsid w:val="00CB58C5"/>
    <w:rsid w:val="00CB5976"/>
    <w:rsid w:val="00CB5C55"/>
    <w:rsid w:val="00CB62DF"/>
    <w:rsid w:val="00CB62EB"/>
    <w:rsid w:val="00CB68BF"/>
    <w:rsid w:val="00CB6E0A"/>
    <w:rsid w:val="00CB703D"/>
    <w:rsid w:val="00CB72B5"/>
    <w:rsid w:val="00CB73B8"/>
    <w:rsid w:val="00CB7C7C"/>
    <w:rsid w:val="00CB7D2B"/>
    <w:rsid w:val="00CB7E3E"/>
    <w:rsid w:val="00CC0060"/>
    <w:rsid w:val="00CC06B1"/>
    <w:rsid w:val="00CC0D60"/>
    <w:rsid w:val="00CC15C5"/>
    <w:rsid w:val="00CC180A"/>
    <w:rsid w:val="00CC1834"/>
    <w:rsid w:val="00CC1D0E"/>
    <w:rsid w:val="00CC1D1A"/>
    <w:rsid w:val="00CC1D30"/>
    <w:rsid w:val="00CC2417"/>
    <w:rsid w:val="00CC24B6"/>
    <w:rsid w:val="00CC28EE"/>
    <w:rsid w:val="00CC2CD3"/>
    <w:rsid w:val="00CC2D31"/>
    <w:rsid w:val="00CC318D"/>
    <w:rsid w:val="00CC3AD8"/>
    <w:rsid w:val="00CC3FC4"/>
    <w:rsid w:val="00CC4308"/>
    <w:rsid w:val="00CC48F4"/>
    <w:rsid w:val="00CC4C81"/>
    <w:rsid w:val="00CC4CA2"/>
    <w:rsid w:val="00CC4EE5"/>
    <w:rsid w:val="00CC5181"/>
    <w:rsid w:val="00CC559A"/>
    <w:rsid w:val="00CC5652"/>
    <w:rsid w:val="00CC5770"/>
    <w:rsid w:val="00CC5E1E"/>
    <w:rsid w:val="00CC5E28"/>
    <w:rsid w:val="00CC5E89"/>
    <w:rsid w:val="00CC5EBF"/>
    <w:rsid w:val="00CC6260"/>
    <w:rsid w:val="00CC62DF"/>
    <w:rsid w:val="00CC65B0"/>
    <w:rsid w:val="00CC65E4"/>
    <w:rsid w:val="00CC66F3"/>
    <w:rsid w:val="00CC6923"/>
    <w:rsid w:val="00CC6AF6"/>
    <w:rsid w:val="00CC7735"/>
    <w:rsid w:val="00CC780A"/>
    <w:rsid w:val="00CC78A2"/>
    <w:rsid w:val="00CC792F"/>
    <w:rsid w:val="00CC7E28"/>
    <w:rsid w:val="00CD0082"/>
    <w:rsid w:val="00CD016E"/>
    <w:rsid w:val="00CD02E8"/>
    <w:rsid w:val="00CD0591"/>
    <w:rsid w:val="00CD06DD"/>
    <w:rsid w:val="00CD0929"/>
    <w:rsid w:val="00CD09E3"/>
    <w:rsid w:val="00CD0E00"/>
    <w:rsid w:val="00CD0E91"/>
    <w:rsid w:val="00CD0FCD"/>
    <w:rsid w:val="00CD1404"/>
    <w:rsid w:val="00CD14EA"/>
    <w:rsid w:val="00CD1797"/>
    <w:rsid w:val="00CD1CC0"/>
    <w:rsid w:val="00CD1CE5"/>
    <w:rsid w:val="00CD1E53"/>
    <w:rsid w:val="00CD20D7"/>
    <w:rsid w:val="00CD217F"/>
    <w:rsid w:val="00CD2244"/>
    <w:rsid w:val="00CD226A"/>
    <w:rsid w:val="00CD22D0"/>
    <w:rsid w:val="00CD28D2"/>
    <w:rsid w:val="00CD2F5B"/>
    <w:rsid w:val="00CD3320"/>
    <w:rsid w:val="00CD3502"/>
    <w:rsid w:val="00CD4894"/>
    <w:rsid w:val="00CD4A7C"/>
    <w:rsid w:val="00CD4CA6"/>
    <w:rsid w:val="00CD52C3"/>
    <w:rsid w:val="00CD544F"/>
    <w:rsid w:val="00CD5583"/>
    <w:rsid w:val="00CD5C8E"/>
    <w:rsid w:val="00CD5F2F"/>
    <w:rsid w:val="00CD6419"/>
    <w:rsid w:val="00CD64FD"/>
    <w:rsid w:val="00CD65E4"/>
    <w:rsid w:val="00CD6701"/>
    <w:rsid w:val="00CD6D64"/>
    <w:rsid w:val="00CD7A7C"/>
    <w:rsid w:val="00CD7C28"/>
    <w:rsid w:val="00CE0186"/>
    <w:rsid w:val="00CE0378"/>
    <w:rsid w:val="00CE0633"/>
    <w:rsid w:val="00CE09A5"/>
    <w:rsid w:val="00CE1718"/>
    <w:rsid w:val="00CE1C74"/>
    <w:rsid w:val="00CE1DE2"/>
    <w:rsid w:val="00CE28E3"/>
    <w:rsid w:val="00CE2B59"/>
    <w:rsid w:val="00CE2E74"/>
    <w:rsid w:val="00CE2F95"/>
    <w:rsid w:val="00CE2FFB"/>
    <w:rsid w:val="00CE31B2"/>
    <w:rsid w:val="00CE3250"/>
    <w:rsid w:val="00CE32AC"/>
    <w:rsid w:val="00CE4777"/>
    <w:rsid w:val="00CE4998"/>
    <w:rsid w:val="00CE4AD5"/>
    <w:rsid w:val="00CE51DB"/>
    <w:rsid w:val="00CE521C"/>
    <w:rsid w:val="00CE5452"/>
    <w:rsid w:val="00CE57F6"/>
    <w:rsid w:val="00CE5A75"/>
    <w:rsid w:val="00CE5CC5"/>
    <w:rsid w:val="00CE6216"/>
    <w:rsid w:val="00CE6898"/>
    <w:rsid w:val="00CE6982"/>
    <w:rsid w:val="00CE7356"/>
    <w:rsid w:val="00CE79B5"/>
    <w:rsid w:val="00CE7B44"/>
    <w:rsid w:val="00CE7DFE"/>
    <w:rsid w:val="00CF0165"/>
    <w:rsid w:val="00CF05D4"/>
    <w:rsid w:val="00CF07D1"/>
    <w:rsid w:val="00CF0A04"/>
    <w:rsid w:val="00CF0BBE"/>
    <w:rsid w:val="00CF1065"/>
    <w:rsid w:val="00CF10B2"/>
    <w:rsid w:val="00CF10F8"/>
    <w:rsid w:val="00CF11A2"/>
    <w:rsid w:val="00CF1844"/>
    <w:rsid w:val="00CF186D"/>
    <w:rsid w:val="00CF1A2D"/>
    <w:rsid w:val="00CF1B4A"/>
    <w:rsid w:val="00CF2466"/>
    <w:rsid w:val="00CF250D"/>
    <w:rsid w:val="00CF2695"/>
    <w:rsid w:val="00CF2913"/>
    <w:rsid w:val="00CF2930"/>
    <w:rsid w:val="00CF307C"/>
    <w:rsid w:val="00CF3479"/>
    <w:rsid w:val="00CF34DF"/>
    <w:rsid w:val="00CF3975"/>
    <w:rsid w:val="00CF3A81"/>
    <w:rsid w:val="00CF3E8A"/>
    <w:rsid w:val="00CF3FEA"/>
    <w:rsid w:val="00CF407D"/>
    <w:rsid w:val="00CF439F"/>
    <w:rsid w:val="00CF4629"/>
    <w:rsid w:val="00CF4D16"/>
    <w:rsid w:val="00CF4EA5"/>
    <w:rsid w:val="00CF4F0F"/>
    <w:rsid w:val="00CF51A0"/>
    <w:rsid w:val="00CF54AE"/>
    <w:rsid w:val="00CF55D8"/>
    <w:rsid w:val="00CF5638"/>
    <w:rsid w:val="00CF612A"/>
    <w:rsid w:val="00CF6561"/>
    <w:rsid w:val="00CF6605"/>
    <w:rsid w:val="00CF6ACB"/>
    <w:rsid w:val="00CF6B02"/>
    <w:rsid w:val="00CF6BCE"/>
    <w:rsid w:val="00CF6C14"/>
    <w:rsid w:val="00CF7120"/>
    <w:rsid w:val="00CF724C"/>
    <w:rsid w:val="00CF7677"/>
    <w:rsid w:val="00CF7D71"/>
    <w:rsid w:val="00CF7FFC"/>
    <w:rsid w:val="00D001B4"/>
    <w:rsid w:val="00D003B7"/>
    <w:rsid w:val="00D00E36"/>
    <w:rsid w:val="00D01435"/>
    <w:rsid w:val="00D01C19"/>
    <w:rsid w:val="00D02150"/>
    <w:rsid w:val="00D022C2"/>
    <w:rsid w:val="00D02807"/>
    <w:rsid w:val="00D02881"/>
    <w:rsid w:val="00D02F4F"/>
    <w:rsid w:val="00D030CE"/>
    <w:rsid w:val="00D035E5"/>
    <w:rsid w:val="00D03733"/>
    <w:rsid w:val="00D03920"/>
    <w:rsid w:val="00D03B29"/>
    <w:rsid w:val="00D04275"/>
    <w:rsid w:val="00D043A5"/>
    <w:rsid w:val="00D044BD"/>
    <w:rsid w:val="00D04BDE"/>
    <w:rsid w:val="00D04CB3"/>
    <w:rsid w:val="00D04E85"/>
    <w:rsid w:val="00D04E92"/>
    <w:rsid w:val="00D05352"/>
    <w:rsid w:val="00D05470"/>
    <w:rsid w:val="00D05514"/>
    <w:rsid w:val="00D05C56"/>
    <w:rsid w:val="00D063BE"/>
    <w:rsid w:val="00D06489"/>
    <w:rsid w:val="00D06547"/>
    <w:rsid w:val="00D066E4"/>
    <w:rsid w:val="00D06D6E"/>
    <w:rsid w:val="00D071B6"/>
    <w:rsid w:val="00D071BB"/>
    <w:rsid w:val="00D07953"/>
    <w:rsid w:val="00D07E81"/>
    <w:rsid w:val="00D1036B"/>
    <w:rsid w:val="00D103F1"/>
    <w:rsid w:val="00D104DE"/>
    <w:rsid w:val="00D10A50"/>
    <w:rsid w:val="00D10C27"/>
    <w:rsid w:val="00D1103C"/>
    <w:rsid w:val="00D111D0"/>
    <w:rsid w:val="00D1125C"/>
    <w:rsid w:val="00D11920"/>
    <w:rsid w:val="00D11EF7"/>
    <w:rsid w:val="00D122D5"/>
    <w:rsid w:val="00D1238D"/>
    <w:rsid w:val="00D1249B"/>
    <w:rsid w:val="00D1315B"/>
    <w:rsid w:val="00D133D1"/>
    <w:rsid w:val="00D137FC"/>
    <w:rsid w:val="00D13813"/>
    <w:rsid w:val="00D13865"/>
    <w:rsid w:val="00D13870"/>
    <w:rsid w:val="00D13A8A"/>
    <w:rsid w:val="00D141CE"/>
    <w:rsid w:val="00D14377"/>
    <w:rsid w:val="00D14794"/>
    <w:rsid w:val="00D14AF6"/>
    <w:rsid w:val="00D14C57"/>
    <w:rsid w:val="00D14D5C"/>
    <w:rsid w:val="00D14E59"/>
    <w:rsid w:val="00D15236"/>
    <w:rsid w:val="00D1546B"/>
    <w:rsid w:val="00D154AF"/>
    <w:rsid w:val="00D15C43"/>
    <w:rsid w:val="00D15FB7"/>
    <w:rsid w:val="00D15FF8"/>
    <w:rsid w:val="00D164DF"/>
    <w:rsid w:val="00D16602"/>
    <w:rsid w:val="00D16AF3"/>
    <w:rsid w:val="00D16FD1"/>
    <w:rsid w:val="00D17122"/>
    <w:rsid w:val="00D172C5"/>
    <w:rsid w:val="00D173F4"/>
    <w:rsid w:val="00D174BA"/>
    <w:rsid w:val="00D17551"/>
    <w:rsid w:val="00D17653"/>
    <w:rsid w:val="00D17789"/>
    <w:rsid w:val="00D1784A"/>
    <w:rsid w:val="00D20031"/>
    <w:rsid w:val="00D20111"/>
    <w:rsid w:val="00D201C4"/>
    <w:rsid w:val="00D20773"/>
    <w:rsid w:val="00D20838"/>
    <w:rsid w:val="00D20F63"/>
    <w:rsid w:val="00D21081"/>
    <w:rsid w:val="00D211E7"/>
    <w:rsid w:val="00D21203"/>
    <w:rsid w:val="00D21389"/>
    <w:rsid w:val="00D21523"/>
    <w:rsid w:val="00D215E2"/>
    <w:rsid w:val="00D2160F"/>
    <w:rsid w:val="00D21888"/>
    <w:rsid w:val="00D21AE3"/>
    <w:rsid w:val="00D21B5F"/>
    <w:rsid w:val="00D21D93"/>
    <w:rsid w:val="00D22133"/>
    <w:rsid w:val="00D2224B"/>
    <w:rsid w:val="00D2224E"/>
    <w:rsid w:val="00D2237C"/>
    <w:rsid w:val="00D22F67"/>
    <w:rsid w:val="00D22FA6"/>
    <w:rsid w:val="00D23A95"/>
    <w:rsid w:val="00D23B06"/>
    <w:rsid w:val="00D23C25"/>
    <w:rsid w:val="00D23CEB"/>
    <w:rsid w:val="00D23D4C"/>
    <w:rsid w:val="00D24337"/>
    <w:rsid w:val="00D24426"/>
    <w:rsid w:val="00D24431"/>
    <w:rsid w:val="00D2452B"/>
    <w:rsid w:val="00D24677"/>
    <w:rsid w:val="00D25031"/>
    <w:rsid w:val="00D2510E"/>
    <w:rsid w:val="00D254F8"/>
    <w:rsid w:val="00D25515"/>
    <w:rsid w:val="00D2578C"/>
    <w:rsid w:val="00D25BBC"/>
    <w:rsid w:val="00D25E9F"/>
    <w:rsid w:val="00D25FBF"/>
    <w:rsid w:val="00D26733"/>
    <w:rsid w:val="00D26959"/>
    <w:rsid w:val="00D26BA0"/>
    <w:rsid w:val="00D26D3B"/>
    <w:rsid w:val="00D26E89"/>
    <w:rsid w:val="00D2712B"/>
    <w:rsid w:val="00D27ABB"/>
    <w:rsid w:val="00D27C56"/>
    <w:rsid w:val="00D27EB8"/>
    <w:rsid w:val="00D30148"/>
    <w:rsid w:val="00D30C92"/>
    <w:rsid w:val="00D31027"/>
    <w:rsid w:val="00D3111C"/>
    <w:rsid w:val="00D313B3"/>
    <w:rsid w:val="00D3179B"/>
    <w:rsid w:val="00D31C04"/>
    <w:rsid w:val="00D31CFD"/>
    <w:rsid w:val="00D31DF1"/>
    <w:rsid w:val="00D323D4"/>
    <w:rsid w:val="00D32696"/>
    <w:rsid w:val="00D3280D"/>
    <w:rsid w:val="00D3292B"/>
    <w:rsid w:val="00D32F6D"/>
    <w:rsid w:val="00D332F6"/>
    <w:rsid w:val="00D338C7"/>
    <w:rsid w:val="00D33DFA"/>
    <w:rsid w:val="00D33E1F"/>
    <w:rsid w:val="00D33F02"/>
    <w:rsid w:val="00D34430"/>
    <w:rsid w:val="00D34C17"/>
    <w:rsid w:val="00D34C73"/>
    <w:rsid w:val="00D34F75"/>
    <w:rsid w:val="00D35079"/>
    <w:rsid w:val="00D358F7"/>
    <w:rsid w:val="00D35ECA"/>
    <w:rsid w:val="00D36282"/>
    <w:rsid w:val="00D36376"/>
    <w:rsid w:val="00D3648C"/>
    <w:rsid w:val="00D36B9F"/>
    <w:rsid w:val="00D36DC0"/>
    <w:rsid w:val="00D36E67"/>
    <w:rsid w:val="00D36EC5"/>
    <w:rsid w:val="00D36FCD"/>
    <w:rsid w:val="00D3706F"/>
    <w:rsid w:val="00D37243"/>
    <w:rsid w:val="00D37CF3"/>
    <w:rsid w:val="00D37EF5"/>
    <w:rsid w:val="00D401B4"/>
    <w:rsid w:val="00D40376"/>
    <w:rsid w:val="00D40483"/>
    <w:rsid w:val="00D404F4"/>
    <w:rsid w:val="00D4078A"/>
    <w:rsid w:val="00D40932"/>
    <w:rsid w:val="00D40BFD"/>
    <w:rsid w:val="00D40CDB"/>
    <w:rsid w:val="00D40F13"/>
    <w:rsid w:val="00D419C9"/>
    <w:rsid w:val="00D41A9B"/>
    <w:rsid w:val="00D41B89"/>
    <w:rsid w:val="00D41DAD"/>
    <w:rsid w:val="00D42012"/>
    <w:rsid w:val="00D422C8"/>
    <w:rsid w:val="00D428B9"/>
    <w:rsid w:val="00D42D66"/>
    <w:rsid w:val="00D42F00"/>
    <w:rsid w:val="00D43246"/>
    <w:rsid w:val="00D43D0B"/>
    <w:rsid w:val="00D43E9C"/>
    <w:rsid w:val="00D43F3D"/>
    <w:rsid w:val="00D4467A"/>
    <w:rsid w:val="00D447FC"/>
    <w:rsid w:val="00D44AD5"/>
    <w:rsid w:val="00D4506C"/>
    <w:rsid w:val="00D4560A"/>
    <w:rsid w:val="00D45750"/>
    <w:rsid w:val="00D457EA"/>
    <w:rsid w:val="00D45C42"/>
    <w:rsid w:val="00D46105"/>
    <w:rsid w:val="00D461F6"/>
    <w:rsid w:val="00D462CB"/>
    <w:rsid w:val="00D46364"/>
    <w:rsid w:val="00D466D7"/>
    <w:rsid w:val="00D46725"/>
    <w:rsid w:val="00D468D3"/>
    <w:rsid w:val="00D468EA"/>
    <w:rsid w:val="00D46972"/>
    <w:rsid w:val="00D46999"/>
    <w:rsid w:val="00D46A79"/>
    <w:rsid w:val="00D46B60"/>
    <w:rsid w:val="00D46C41"/>
    <w:rsid w:val="00D470F2"/>
    <w:rsid w:val="00D4714A"/>
    <w:rsid w:val="00D47244"/>
    <w:rsid w:val="00D47467"/>
    <w:rsid w:val="00D47530"/>
    <w:rsid w:val="00D4762A"/>
    <w:rsid w:val="00D478B8"/>
    <w:rsid w:val="00D47AE1"/>
    <w:rsid w:val="00D47BB3"/>
    <w:rsid w:val="00D47C3C"/>
    <w:rsid w:val="00D5014E"/>
    <w:rsid w:val="00D50282"/>
    <w:rsid w:val="00D50466"/>
    <w:rsid w:val="00D507F8"/>
    <w:rsid w:val="00D50B35"/>
    <w:rsid w:val="00D50BAC"/>
    <w:rsid w:val="00D50DE4"/>
    <w:rsid w:val="00D50EBC"/>
    <w:rsid w:val="00D518AC"/>
    <w:rsid w:val="00D519DE"/>
    <w:rsid w:val="00D52365"/>
    <w:rsid w:val="00D525D6"/>
    <w:rsid w:val="00D5280E"/>
    <w:rsid w:val="00D529AD"/>
    <w:rsid w:val="00D529C2"/>
    <w:rsid w:val="00D52E2F"/>
    <w:rsid w:val="00D52E54"/>
    <w:rsid w:val="00D52EC3"/>
    <w:rsid w:val="00D52FF5"/>
    <w:rsid w:val="00D5344C"/>
    <w:rsid w:val="00D53499"/>
    <w:rsid w:val="00D534EC"/>
    <w:rsid w:val="00D53569"/>
    <w:rsid w:val="00D536EA"/>
    <w:rsid w:val="00D538F3"/>
    <w:rsid w:val="00D53B37"/>
    <w:rsid w:val="00D53D3E"/>
    <w:rsid w:val="00D5421D"/>
    <w:rsid w:val="00D5443E"/>
    <w:rsid w:val="00D54555"/>
    <w:rsid w:val="00D54577"/>
    <w:rsid w:val="00D5477F"/>
    <w:rsid w:val="00D54A04"/>
    <w:rsid w:val="00D54D6C"/>
    <w:rsid w:val="00D54DBB"/>
    <w:rsid w:val="00D553E7"/>
    <w:rsid w:val="00D55416"/>
    <w:rsid w:val="00D554A9"/>
    <w:rsid w:val="00D55512"/>
    <w:rsid w:val="00D555DF"/>
    <w:rsid w:val="00D55AF3"/>
    <w:rsid w:val="00D55D27"/>
    <w:rsid w:val="00D56057"/>
    <w:rsid w:val="00D565A0"/>
    <w:rsid w:val="00D565C2"/>
    <w:rsid w:val="00D56622"/>
    <w:rsid w:val="00D56626"/>
    <w:rsid w:val="00D568C0"/>
    <w:rsid w:val="00D56909"/>
    <w:rsid w:val="00D56A27"/>
    <w:rsid w:val="00D56A66"/>
    <w:rsid w:val="00D56BCF"/>
    <w:rsid w:val="00D56DFA"/>
    <w:rsid w:val="00D571E6"/>
    <w:rsid w:val="00D5797D"/>
    <w:rsid w:val="00D57D73"/>
    <w:rsid w:val="00D57F63"/>
    <w:rsid w:val="00D60437"/>
    <w:rsid w:val="00D60D2B"/>
    <w:rsid w:val="00D60E22"/>
    <w:rsid w:val="00D61302"/>
    <w:rsid w:val="00D61355"/>
    <w:rsid w:val="00D615FA"/>
    <w:rsid w:val="00D61B92"/>
    <w:rsid w:val="00D61E69"/>
    <w:rsid w:val="00D61FA9"/>
    <w:rsid w:val="00D62064"/>
    <w:rsid w:val="00D62125"/>
    <w:rsid w:val="00D622BA"/>
    <w:rsid w:val="00D6254F"/>
    <w:rsid w:val="00D62914"/>
    <w:rsid w:val="00D62984"/>
    <w:rsid w:val="00D629B2"/>
    <w:rsid w:val="00D62ACF"/>
    <w:rsid w:val="00D62F4D"/>
    <w:rsid w:val="00D635B0"/>
    <w:rsid w:val="00D63842"/>
    <w:rsid w:val="00D63A8F"/>
    <w:rsid w:val="00D63B2E"/>
    <w:rsid w:val="00D63F93"/>
    <w:rsid w:val="00D63FBF"/>
    <w:rsid w:val="00D641CE"/>
    <w:rsid w:val="00D64236"/>
    <w:rsid w:val="00D64665"/>
    <w:rsid w:val="00D648A7"/>
    <w:rsid w:val="00D64CB3"/>
    <w:rsid w:val="00D64F43"/>
    <w:rsid w:val="00D64F75"/>
    <w:rsid w:val="00D64FF6"/>
    <w:rsid w:val="00D65101"/>
    <w:rsid w:val="00D652D9"/>
    <w:rsid w:val="00D65CF2"/>
    <w:rsid w:val="00D66095"/>
    <w:rsid w:val="00D660E1"/>
    <w:rsid w:val="00D6633C"/>
    <w:rsid w:val="00D663C8"/>
    <w:rsid w:val="00D67003"/>
    <w:rsid w:val="00D679E0"/>
    <w:rsid w:val="00D67FF9"/>
    <w:rsid w:val="00D707E8"/>
    <w:rsid w:val="00D709D1"/>
    <w:rsid w:val="00D70D65"/>
    <w:rsid w:val="00D70D76"/>
    <w:rsid w:val="00D70DC2"/>
    <w:rsid w:val="00D70DDA"/>
    <w:rsid w:val="00D70F93"/>
    <w:rsid w:val="00D71351"/>
    <w:rsid w:val="00D7137F"/>
    <w:rsid w:val="00D71419"/>
    <w:rsid w:val="00D71674"/>
    <w:rsid w:val="00D719AC"/>
    <w:rsid w:val="00D71B72"/>
    <w:rsid w:val="00D71F3B"/>
    <w:rsid w:val="00D72265"/>
    <w:rsid w:val="00D72EE1"/>
    <w:rsid w:val="00D733FF"/>
    <w:rsid w:val="00D735AF"/>
    <w:rsid w:val="00D73808"/>
    <w:rsid w:val="00D73AD9"/>
    <w:rsid w:val="00D73AFF"/>
    <w:rsid w:val="00D73FA8"/>
    <w:rsid w:val="00D740D5"/>
    <w:rsid w:val="00D741AB"/>
    <w:rsid w:val="00D743DC"/>
    <w:rsid w:val="00D745D5"/>
    <w:rsid w:val="00D7462B"/>
    <w:rsid w:val="00D74CFD"/>
    <w:rsid w:val="00D74E64"/>
    <w:rsid w:val="00D74FD4"/>
    <w:rsid w:val="00D75321"/>
    <w:rsid w:val="00D75405"/>
    <w:rsid w:val="00D75AC5"/>
    <w:rsid w:val="00D76568"/>
    <w:rsid w:val="00D7664E"/>
    <w:rsid w:val="00D767BD"/>
    <w:rsid w:val="00D76887"/>
    <w:rsid w:val="00D768F9"/>
    <w:rsid w:val="00D7722E"/>
    <w:rsid w:val="00D77303"/>
    <w:rsid w:val="00D776B3"/>
    <w:rsid w:val="00D77777"/>
    <w:rsid w:val="00D77901"/>
    <w:rsid w:val="00D77A19"/>
    <w:rsid w:val="00D77E55"/>
    <w:rsid w:val="00D80085"/>
    <w:rsid w:val="00D80A24"/>
    <w:rsid w:val="00D80A4A"/>
    <w:rsid w:val="00D80A93"/>
    <w:rsid w:val="00D80C02"/>
    <w:rsid w:val="00D80C29"/>
    <w:rsid w:val="00D813BE"/>
    <w:rsid w:val="00D815E6"/>
    <w:rsid w:val="00D816C5"/>
    <w:rsid w:val="00D819EC"/>
    <w:rsid w:val="00D8220E"/>
    <w:rsid w:val="00D824A6"/>
    <w:rsid w:val="00D824AF"/>
    <w:rsid w:val="00D82634"/>
    <w:rsid w:val="00D82802"/>
    <w:rsid w:val="00D82AFB"/>
    <w:rsid w:val="00D82BE9"/>
    <w:rsid w:val="00D82FAC"/>
    <w:rsid w:val="00D82FDC"/>
    <w:rsid w:val="00D8316D"/>
    <w:rsid w:val="00D8322E"/>
    <w:rsid w:val="00D83269"/>
    <w:rsid w:val="00D838A5"/>
    <w:rsid w:val="00D83B43"/>
    <w:rsid w:val="00D83B51"/>
    <w:rsid w:val="00D83BFF"/>
    <w:rsid w:val="00D83F19"/>
    <w:rsid w:val="00D83F3D"/>
    <w:rsid w:val="00D844DD"/>
    <w:rsid w:val="00D84ECA"/>
    <w:rsid w:val="00D84F3D"/>
    <w:rsid w:val="00D8525E"/>
    <w:rsid w:val="00D852FE"/>
    <w:rsid w:val="00D8532D"/>
    <w:rsid w:val="00D85487"/>
    <w:rsid w:val="00D8567F"/>
    <w:rsid w:val="00D85C1F"/>
    <w:rsid w:val="00D85E71"/>
    <w:rsid w:val="00D85EF9"/>
    <w:rsid w:val="00D85FD6"/>
    <w:rsid w:val="00D861E6"/>
    <w:rsid w:val="00D8621A"/>
    <w:rsid w:val="00D8642D"/>
    <w:rsid w:val="00D864A6"/>
    <w:rsid w:val="00D8676E"/>
    <w:rsid w:val="00D868BF"/>
    <w:rsid w:val="00D8690F"/>
    <w:rsid w:val="00D86C37"/>
    <w:rsid w:val="00D86F17"/>
    <w:rsid w:val="00D8705A"/>
    <w:rsid w:val="00D8739E"/>
    <w:rsid w:val="00D87DAD"/>
    <w:rsid w:val="00D8B18E"/>
    <w:rsid w:val="00D90124"/>
    <w:rsid w:val="00D9014F"/>
    <w:rsid w:val="00D90350"/>
    <w:rsid w:val="00D9041B"/>
    <w:rsid w:val="00D904DF"/>
    <w:rsid w:val="00D90AD3"/>
    <w:rsid w:val="00D90CC2"/>
    <w:rsid w:val="00D90D63"/>
    <w:rsid w:val="00D90DBB"/>
    <w:rsid w:val="00D90F33"/>
    <w:rsid w:val="00D90F4D"/>
    <w:rsid w:val="00D911CB"/>
    <w:rsid w:val="00D91237"/>
    <w:rsid w:val="00D9141D"/>
    <w:rsid w:val="00D915E3"/>
    <w:rsid w:val="00D916CC"/>
    <w:rsid w:val="00D91C6D"/>
    <w:rsid w:val="00D91D7F"/>
    <w:rsid w:val="00D91D9C"/>
    <w:rsid w:val="00D91FAD"/>
    <w:rsid w:val="00D9260B"/>
    <w:rsid w:val="00D9264B"/>
    <w:rsid w:val="00D92B37"/>
    <w:rsid w:val="00D92D5B"/>
    <w:rsid w:val="00D92E06"/>
    <w:rsid w:val="00D9301B"/>
    <w:rsid w:val="00D93054"/>
    <w:rsid w:val="00D93436"/>
    <w:rsid w:val="00D93702"/>
    <w:rsid w:val="00D93B61"/>
    <w:rsid w:val="00D93BAE"/>
    <w:rsid w:val="00D93DD7"/>
    <w:rsid w:val="00D93E58"/>
    <w:rsid w:val="00D93FE0"/>
    <w:rsid w:val="00D9449E"/>
    <w:rsid w:val="00D946C9"/>
    <w:rsid w:val="00D94AFA"/>
    <w:rsid w:val="00D94CF3"/>
    <w:rsid w:val="00D94E6B"/>
    <w:rsid w:val="00D9514C"/>
    <w:rsid w:val="00D952D6"/>
    <w:rsid w:val="00D95A3C"/>
    <w:rsid w:val="00D95F11"/>
    <w:rsid w:val="00D95F67"/>
    <w:rsid w:val="00D9600B"/>
    <w:rsid w:val="00D96511"/>
    <w:rsid w:val="00D96576"/>
    <w:rsid w:val="00D965A1"/>
    <w:rsid w:val="00D967A8"/>
    <w:rsid w:val="00D96A62"/>
    <w:rsid w:val="00D96DD6"/>
    <w:rsid w:val="00D96DF1"/>
    <w:rsid w:val="00D97290"/>
    <w:rsid w:val="00D9743D"/>
    <w:rsid w:val="00D97499"/>
    <w:rsid w:val="00D97526"/>
    <w:rsid w:val="00D977E0"/>
    <w:rsid w:val="00D979D5"/>
    <w:rsid w:val="00D97AE8"/>
    <w:rsid w:val="00D97D80"/>
    <w:rsid w:val="00D97FB3"/>
    <w:rsid w:val="00DA007D"/>
    <w:rsid w:val="00DA00A5"/>
    <w:rsid w:val="00DA02CB"/>
    <w:rsid w:val="00DA03EE"/>
    <w:rsid w:val="00DA044C"/>
    <w:rsid w:val="00DA058E"/>
    <w:rsid w:val="00DA06CC"/>
    <w:rsid w:val="00DA0839"/>
    <w:rsid w:val="00DA091B"/>
    <w:rsid w:val="00DA0F36"/>
    <w:rsid w:val="00DA1011"/>
    <w:rsid w:val="00DA126C"/>
    <w:rsid w:val="00DA18E3"/>
    <w:rsid w:val="00DA18F7"/>
    <w:rsid w:val="00DA1ACF"/>
    <w:rsid w:val="00DA1E3C"/>
    <w:rsid w:val="00DA1FB2"/>
    <w:rsid w:val="00DA2261"/>
    <w:rsid w:val="00DA24FB"/>
    <w:rsid w:val="00DA2606"/>
    <w:rsid w:val="00DA2756"/>
    <w:rsid w:val="00DA2DBA"/>
    <w:rsid w:val="00DA2EB8"/>
    <w:rsid w:val="00DA386F"/>
    <w:rsid w:val="00DA387C"/>
    <w:rsid w:val="00DA38BD"/>
    <w:rsid w:val="00DA39D6"/>
    <w:rsid w:val="00DA3B85"/>
    <w:rsid w:val="00DA3DBA"/>
    <w:rsid w:val="00DA3EC4"/>
    <w:rsid w:val="00DA3F64"/>
    <w:rsid w:val="00DA411B"/>
    <w:rsid w:val="00DA4288"/>
    <w:rsid w:val="00DA44A8"/>
    <w:rsid w:val="00DA4AC5"/>
    <w:rsid w:val="00DA4CF8"/>
    <w:rsid w:val="00DA4ED8"/>
    <w:rsid w:val="00DA512C"/>
    <w:rsid w:val="00DA529C"/>
    <w:rsid w:val="00DA53F7"/>
    <w:rsid w:val="00DA541B"/>
    <w:rsid w:val="00DA5697"/>
    <w:rsid w:val="00DA5798"/>
    <w:rsid w:val="00DA5A50"/>
    <w:rsid w:val="00DA5DEA"/>
    <w:rsid w:val="00DA6080"/>
    <w:rsid w:val="00DA6474"/>
    <w:rsid w:val="00DA64A2"/>
    <w:rsid w:val="00DA6765"/>
    <w:rsid w:val="00DA6927"/>
    <w:rsid w:val="00DA6BC1"/>
    <w:rsid w:val="00DA75C6"/>
    <w:rsid w:val="00DA7D3A"/>
    <w:rsid w:val="00DB003C"/>
    <w:rsid w:val="00DB019F"/>
    <w:rsid w:val="00DB0303"/>
    <w:rsid w:val="00DB050D"/>
    <w:rsid w:val="00DB07BE"/>
    <w:rsid w:val="00DB0862"/>
    <w:rsid w:val="00DB08B2"/>
    <w:rsid w:val="00DB0B46"/>
    <w:rsid w:val="00DB0E96"/>
    <w:rsid w:val="00DB0EAC"/>
    <w:rsid w:val="00DB0F7D"/>
    <w:rsid w:val="00DB1043"/>
    <w:rsid w:val="00DB1982"/>
    <w:rsid w:val="00DB1E91"/>
    <w:rsid w:val="00DB1FBF"/>
    <w:rsid w:val="00DB2331"/>
    <w:rsid w:val="00DB2812"/>
    <w:rsid w:val="00DB28DD"/>
    <w:rsid w:val="00DB2996"/>
    <w:rsid w:val="00DB29DE"/>
    <w:rsid w:val="00DB32A5"/>
    <w:rsid w:val="00DB3B7B"/>
    <w:rsid w:val="00DB43F6"/>
    <w:rsid w:val="00DB4410"/>
    <w:rsid w:val="00DB4569"/>
    <w:rsid w:val="00DB4B16"/>
    <w:rsid w:val="00DB4D0C"/>
    <w:rsid w:val="00DB5117"/>
    <w:rsid w:val="00DB593D"/>
    <w:rsid w:val="00DB5DE5"/>
    <w:rsid w:val="00DB6031"/>
    <w:rsid w:val="00DB62EC"/>
    <w:rsid w:val="00DB643C"/>
    <w:rsid w:val="00DB65BA"/>
    <w:rsid w:val="00DB664A"/>
    <w:rsid w:val="00DB673C"/>
    <w:rsid w:val="00DB686F"/>
    <w:rsid w:val="00DB69A5"/>
    <w:rsid w:val="00DB6A50"/>
    <w:rsid w:val="00DB6A8E"/>
    <w:rsid w:val="00DB6DD0"/>
    <w:rsid w:val="00DB7463"/>
    <w:rsid w:val="00DB7575"/>
    <w:rsid w:val="00DB7857"/>
    <w:rsid w:val="00DB7CE3"/>
    <w:rsid w:val="00DB7D8F"/>
    <w:rsid w:val="00DC0465"/>
    <w:rsid w:val="00DC056F"/>
    <w:rsid w:val="00DC0746"/>
    <w:rsid w:val="00DC0930"/>
    <w:rsid w:val="00DC0B4C"/>
    <w:rsid w:val="00DC100E"/>
    <w:rsid w:val="00DC14AF"/>
    <w:rsid w:val="00DC1557"/>
    <w:rsid w:val="00DC1595"/>
    <w:rsid w:val="00DC1720"/>
    <w:rsid w:val="00DC1ADA"/>
    <w:rsid w:val="00DC2CDF"/>
    <w:rsid w:val="00DC30F8"/>
    <w:rsid w:val="00DC35B9"/>
    <w:rsid w:val="00DC3633"/>
    <w:rsid w:val="00DC37C2"/>
    <w:rsid w:val="00DC3FEC"/>
    <w:rsid w:val="00DC4108"/>
    <w:rsid w:val="00DC45D7"/>
    <w:rsid w:val="00DC4A22"/>
    <w:rsid w:val="00DC4CD7"/>
    <w:rsid w:val="00DC4D8D"/>
    <w:rsid w:val="00DC4E5E"/>
    <w:rsid w:val="00DC4EC7"/>
    <w:rsid w:val="00DC4F64"/>
    <w:rsid w:val="00DC50C5"/>
    <w:rsid w:val="00DC53BE"/>
    <w:rsid w:val="00DC548E"/>
    <w:rsid w:val="00DC5772"/>
    <w:rsid w:val="00DC5FB8"/>
    <w:rsid w:val="00DC61C4"/>
    <w:rsid w:val="00DC642A"/>
    <w:rsid w:val="00DC64A7"/>
    <w:rsid w:val="00DC65B5"/>
    <w:rsid w:val="00DC6708"/>
    <w:rsid w:val="00DC6B3A"/>
    <w:rsid w:val="00DC6CF1"/>
    <w:rsid w:val="00DC7620"/>
    <w:rsid w:val="00DC7681"/>
    <w:rsid w:val="00DC7A8C"/>
    <w:rsid w:val="00DC7B21"/>
    <w:rsid w:val="00DC7BA4"/>
    <w:rsid w:val="00DC7C72"/>
    <w:rsid w:val="00DD001A"/>
    <w:rsid w:val="00DD001F"/>
    <w:rsid w:val="00DD0050"/>
    <w:rsid w:val="00DD02F0"/>
    <w:rsid w:val="00DD0953"/>
    <w:rsid w:val="00DD0C6F"/>
    <w:rsid w:val="00DD0E5F"/>
    <w:rsid w:val="00DD1635"/>
    <w:rsid w:val="00DD1718"/>
    <w:rsid w:val="00DD1A95"/>
    <w:rsid w:val="00DD1DEC"/>
    <w:rsid w:val="00DD2212"/>
    <w:rsid w:val="00DD2331"/>
    <w:rsid w:val="00DD2654"/>
    <w:rsid w:val="00DD2689"/>
    <w:rsid w:val="00DD2B5B"/>
    <w:rsid w:val="00DD2C81"/>
    <w:rsid w:val="00DD2DEF"/>
    <w:rsid w:val="00DD30A3"/>
    <w:rsid w:val="00DD360A"/>
    <w:rsid w:val="00DD37A6"/>
    <w:rsid w:val="00DD3C0B"/>
    <w:rsid w:val="00DD4107"/>
    <w:rsid w:val="00DD423A"/>
    <w:rsid w:val="00DD429E"/>
    <w:rsid w:val="00DD4842"/>
    <w:rsid w:val="00DD48EE"/>
    <w:rsid w:val="00DD4926"/>
    <w:rsid w:val="00DD4D99"/>
    <w:rsid w:val="00DD5496"/>
    <w:rsid w:val="00DD5F1E"/>
    <w:rsid w:val="00DD6040"/>
    <w:rsid w:val="00DD6046"/>
    <w:rsid w:val="00DD63EE"/>
    <w:rsid w:val="00DD6A70"/>
    <w:rsid w:val="00DD6AB2"/>
    <w:rsid w:val="00DD7213"/>
    <w:rsid w:val="00DD778B"/>
    <w:rsid w:val="00DD78CF"/>
    <w:rsid w:val="00DD7AAB"/>
    <w:rsid w:val="00DE035C"/>
    <w:rsid w:val="00DE049A"/>
    <w:rsid w:val="00DE05FF"/>
    <w:rsid w:val="00DE0E88"/>
    <w:rsid w:val="00DE10DD"/>
    <w:rsid w:val="00DE1276"/>
    <w:rsid w:val="00DE13EA"/>
    <w:rsid w:val="00DE1680"/>
    <w:rsid w:val="00DE16E9"/>
    <w:rsid w:val="00DE1B3C"/>
    <w:rsid w:val="00DE221B"/>
    <w:rsid w:val="00DE22C6"/>
    <w:rsid w:val="00DE23DC"/>
    <w:rsid w:val="00DE2442"/>
    <w:rsid w:val="00DE2487"/>
    <w:rsid w:val="00DE2496"/>
    <w:rsid w:val="00DE2BE7"/>
    <w:rsid w:val="00DE2D0C"/>
    <w:rsid w:val="00DE2F78"/>
    <w:rsid w:val="00DE3228"/>
    <w:rsid w:val="00DE3263"/>
    <w:rsid w:val="00DE36AB"/>
    <w:rsid w:val="00DE36AE"/>
    <w:rsid w:val="00DE39C3"/>
    <w:rsid w:val="00DE3BE9"/>
    <w:rsid w:val="00DE3FB6"/>
    <w:rsid w:val="00DE4328"/>
    <w:rsid w:val="00DE4CCB"/>
    <w:rsid w:val="00DE4DA6"/>
    <w:rsid w:val="00DE533C"/>
    <w:rsid w:val="00DE54A9"/>
    <w:rsid w:val="00DE56CC"/>
    <w:rsid w:val="00DE5A26"/>
    <w:rsid w:val="00DE5B00"/>
    <w:rsid w:val="00DE5B47"/>
    <w:rsid w:val="00DE5F7F"/>
    <w:rsid w:val="00DE6129"/>
    <w:rsid w:val="00DE6517"/>
    <w:rsid w:val="00DE680E"/>
    <w:rsid w:val="00DE69F2"/>
    <w:rsid w:val="00DE6E34"/>
    <w:rsid w:val="00DE7064"/>
    <w:rsid w:val="00DE7099"/>
    <w:rsid w:val="00DE70A0"/>
    <w:rsid w:val="00DE7107"/>
    <w:rsid w:val="00DE7471"/>
    <w:rsid w:val="00DE74FC"/>
    <w:rsid w:val="00DE79E3"/>
    <w:rsid w:val="00DE7ACF"/>
    <w:rsid w:val="00DE7D1B"/>
    <w:rsid w:val="00DF0290"/>
    <w:rsid w:val="00DF06BE"/>
    <w:rsid w:val="00DF073B"/>
    <w:rsid w:val="00DF0A90"/>
    <w:rsid w:val="00DF0BE7"/>
    <w:rsid w:val="00DF0EAA"/>
    <w:rsid w:val="00DF0FAA"/>
    <w:rsid w:val="00DF0FC9"/>
    <w:rsid w:val="00DF137D"/>
    <w:rsid w:val="00DF155D"/>
    <w:rsid w:val="00DF1584"/>
    <w:rsid w:val="00DF179B"/>
    <w:rsid w:val="00DF18DC"/>
    <w:rsid w:val="00DF1B28"/>
    <w:rsid w:val="00DF1DE0"/>
    <w:rsid w:val="00DF1E9B"/>
    <w:rsid w:val="00DF2087"/>
    <w:rsid w:val="00DF22B5"/>
    <w:rsid w:val="00DF24A5"/>
    <w:rsid w:val="00DF336A"/>
    <w:rsid w:val="00DF341B"/>
    <w:rsid w:val="00DF387C"/>
    <w:rsid w:val="00DF39E9"/>
    <w:rsid w:val="00DF3A55"/>
    <w:rsid w:val="00DF3AE9"/>
    <w:rsid w:val="00DF3E5D"/>
    <w:rsid w:val="00DF431B"/>
    <w:rsid w:val="00DF43F0"/>
    <w:rsid w:val="00DF47FD"/>
    <w:rsid w:val="00DF48B6"/>
    <w:rsid w:val="00DF4934"/>
    <w:rsid w:val="00DF4BB7"/>
    <w:rsid w:val="00DF5484"/>
    <w:rsid w:val="00DF5868"/>
    <w:rsid w:val="00DF5F08"/>
    <w:rsid w:val="00DF5FCC"/>
    <w:rsid w:val="00DF6296"/>
    <w:rsid w:val="00DF65A8"/>
    <w:rsid w:val="00DF65EC"/>
    <w:rsid w:val="00DF69F1"/>
    <w:rsid w:val="00DF6B5F"/>
    <w:rsid w:val="00DF6BD6"/>
    <w:rsid w:val="00DF6DCF"/>
    <w:rsid w:val="00DF71FB"/>
    <w:rsid w:val="00DF72D5"/>
    <w:rsid w:val="00DF72FB"/>
    <w:rsid w:val="00DF74D9"/>
    <w:rsid w:val="00DF77F6"/>
    <w:rsid w:val="00DF7AA5"/>
    <w:rsid w:val="00DF7E98"/>
    <w:rsid w:val="00E00C73"/>
    <w:rsid w:val="00E0115D"/>
    <w:rsid w:val="00E01696"/>
    <w:rsid w:val="00E01814"/>
    <w:rsid w:val="00E0223B"/>
    <w:rsid w:val="00E02333"/>
    <w:rsid w:val="00E024D5"/>
    <w:rsid w:val="00E027AB"/>
    <w:rsid w:val="00E0296F"/>
    <w:rsid w:val="00E02978"/>
    <w:rsid w:val="00E02D9B"/>
    <w:rsid w:val="00E02DCB"/>
    <w:rsid w:val="00E02E97"/>
    <w:rsid w:val="00E03002"/>
    <w:rsid w:val="00E03294"/>
    <w:rsid w:val="00E034C3"/>
    <w:rsid w:val="00E0360B"/>
    <w:rsid w:val="00E0368D"/>
    <w:rsid w:val="00E03A96"/>
    <w:rsid w:val="00E03C98"/>
    <w:rsid w:val="00E03D43"/>
    <w:rsid w:val="00E03DAF"/>
    <w:rsid w:val="00E03E4A"/>
    <w:rsid w:val="00E041A6"/>
    <w:rsid w:val="00E04252"/>
    <w:rsid w:val="00E044E3"/>
    <w:rsid w:val="00E04661"/>
    <w:rsid w:val="00E0468B"/>
    <w:rsid w:val="00E046E7"/>
    <w:rsid w:val="00E04746"/>
    <w:rsid w:val="00E049D3"/>
    <w:rsid w:val="00E04C17"/>
    <w:rsid w:val="00E04C6A"/>
    <w:rsid w:val="00E04D7B"/>
    <w:rsid w:val="00E04D7D"/>
    <w:rsid w:val="00E04E65"/>
    <w:rsid w:val="00E051B1"/>
    <w:rsid w:val="00E0523A"/>
    <w:rsid w:val="00E05495"/>
    <w:rsid w:val="00E057D6"/>
    <w:rsid w:val="00E0581C"/>
    <w:rsid w:val="00E05D56"/>
    <w:rsid w:val="00E05DA6"/>
    <w:rsid w:val="00E078C1"/>
    <w:rsid w:val="00E079B8"/>
    <w:rsid w:val="00E07C61"/>
    <w:rsid w:val="00E07FB1"/>
    <w:rsid w:val="00E07FCF"/>
    <w:rsid w:val="00E10538"/>
    <w:rsid w:val="00E105A9"/>
    <w:rsid w:val="00E10718"/>
    <w:rsid w:val="00E1083B"/>
    <w:rsid w:val="00E110D6"/>
    <w:rsid w:val="00E11287"/>
    <w:rsid w:val="00E112C9"/>
    <w:rsid w:val="00E1153F"/>
    <w:rsid w:val="00E1166B"/>
    <w:rsid w:val="00E11BBE"/>
    <w:rsid w:val="00E11C32"/>
    <w:rsid w:val="00E11D15"/>
    <w:rsid w:val="00E12511"/>
    <w:rsid w:val="00E12BFA"/>
    <w:rsid w:val="00E12F1B"/>
    <w:rsid w:val="00E133A9"/>
    <w:rsid w:val="00E1350F"/>
    <w:rsid w:val="00E13A59"/>
    <w:rsid w:val="00E13AA8"/>
    <w:rsid w:val="00E13CF2"/>
    <w:rsid w:val="00E13E0F"/>
    <w:rsid w:val="00E13FF0"/>
    <w:rsid w:val="00E1408D"/>
    <w:rsid w:val="00E142A1"/>
    <w:rsid w:val="00E145A5"/>
    <w:rsid w:val="00E14654"/>
    <w:rsid w:val="00E1467F"/>
    <w:rsid w:val="00E147F7"/>
    <w:rsid w:val="00E14D80"/>
    <w:rsid w:val="00E15056"/>
    <w:rsid w:val="00E1573F"/>
    <w:rsid w:val="00E15AD3"/>
    <w:rsid w:val="00E15DB1"/>
    <w:rsid w:val="00E15E37"/>
    <w:rsid w:val="00E162EE"/>
    <w:rsid w:val="00E1637E"/>
    <w:rsid w:val="00E16654"/>
    <w:rsid w:val="00E16823"/>
    <w:rsid w:val="00E16D70"/>
    <w:rsid w:val="00E16E05"/>
    <w:rsid w:val="00E16E91"/>
    <w:rsid w:val="00E173AC"/>
    <w:rsid w:val="00E17552"/>
    <w:rsid w:val="00E175EF"/>
    <w:rsid w:val="00E1771D"/>
    <w:rsid w:val="00E177EE"/>
    <w:rsid w:val="00E17887"/>
    <w:rsid w:val="00E17EE2"/>
    <w:rsid w:val="00E17EE3"/>
    <w:rsid w:val="00E20188"/>
    <w:rsid w:val="00E201AC"/>
    <w:rsid w:val="00E2029A"/>
    <w:rsid w:val="00E202B2"/>
    <w:rsid w:val="00E203E5"/>
    <w:rsid w:val="00E20A2C"/>
    <w:rsid w:val="00E20BF7"/>
    <w:rsid w:val="00E2123D"/>
    <w:rsid w:val="00E212E0"/>
    <w:rsid w:val="00E2152E"/>
    <w:rsid w:val="00E21B03"/>
    <w:rsid w:val="00E21FFB"/>
    <w:rsid w:val="00E22445"/>
    <w:rsid w:val="00E224A3"/>
    <w:rsid w:val="00E225A7"/>
    <w:rsid w:val="00E225CB"/>
    <w:rsid w:val="00E228E8"/>
    <w:rsid w:val="00E22D67"/>
    <w:rsid w:val="00E23094"/>
    <w:rsid w:val="00E236F5"/>
    <w:rsid w:val="00E246F9"/>
    <w:rsid w:val="00E2562F"/>
    <w:rsid w:val="00E25888"/>
    <w:rsid w:val="00E25A4E"/>
    <w:rsid w:val="00E25DC8"/>
    <w:rsid w:val="00E260A3"/>
    <w:rsid w:val="00E260F5"/>
    <w:rsid w:val="00E26829"/>
    <w:rsid w:val="00E26D15"/>
    <w:rsid w:val="00E27555"/>
    <w:rsid w:val="00E27950"/>
    <w:rsid w:val="00E2795C"/>
    <w:rsid w:val="00E27972"/>
    <w:rsid w:val="00E27A24"/>
    <w:rsid w:val="00E27B2D"/>
    <w:rsid w:val="00E27DDB"/>
    <w:rsid w:val="00E300A0"/>
    <w:rsid w:val="00E302CC"/>
    <w:rsid w:val="00E303CC"/>
    <w:rsid w:val="00E30444"/>
    <w:rsid w:val="00E30885"/>
    <w:rsid w:val="00E313C1"/>
    <w:rsid w:val="00E3168F"/>
    <w:rsid w:val="00E316DD"/>
    <w:rsid w:val="00E31702"/>
    <w:rsid w:val="00E3184A"/>
    <w:rsid w:val="00E319E9"/>
    <w:rsid w:val="00E31B75"/>
    <w:rsid w:val="00E31BA3"/>
    <w:rsid w:val="00E31C18"/>
    <w:rsid w:val="00E31CCE"/>
    <w:rsid w:val="00E31CDE"/>
    <w:rsid w:val="00E31D40"/>
    <w:rsid w:val="00E31E30"/>
    <w:rsid w:val="00E31E9E"/>
    <w:rsid w:val="00E3216D"/>
    <w:rsid w:val="00E321E3"/>
    <w:rsid w:val="00E32363"/>
    <w:rsid w:val="00E3242E"/>
    <w:rsid w:val="00E3251E"/>
    <w:rsid w:val="00E32AB1"/>
    <w:rsid w:val="00E330C9"/>
    <w:rsid w:val="00E331CA"/>
    <w:rsid w:val="00E3330E"/>
    <w:rsid w:val="00E3348F"/>
    <w:rsid w:val="00E3351F"/>
    <w:rsid w:val="00E3359D"/>
    <w:rsid w:val="00E3362E"/>
    <w:rsid w:val="00E33698"/>
    <w:rsid w:val="00E33992"/>
    <w:rsid w:val="00E33B77"/>
    <w:rsid w:val="00E340BD"/>
    <w:rsid w:val="00E34246"/>
    <w:rsid w:val="00E34ADA"/>
    <w:rsid w:val="00E35922"/>
    <w:rsid w:val="00E35B2D"/>
    <w:rsid w:val="00E360E1"/>
    <w:rsid w:val="00E36462"/>
    <w:rsid w:val="00E36499"/>
    <w:rsid w:val="00E365E0"/>
    <w:rsid w:val="00E367BE"/>
    <w:rsid w:val="00E36DD6"/>
    <w:rsid w:val="00E37335"/>
    <w:rsid w:val="00E3748E"/>
    <w:rsid w:val="00E37557"/>
    <w:rsid w:val="00E3757E"/>
    <w:rsid w:val="00E37926"/>
    <w:rsid w:val="00E37A83"/>
    <w:rsid w:val="00E37C82"/>
    <w:rsid w:val="00E40661"/>
    <w:rsid w:val="00E4073D"/>
    <w:rsid w:val="00E4088E"/>
    <w:rsid w:val="00E40D76"/>
    <w:rsid w:val="00E40DAE"/>
    <w:rsid w:val="00E40F62"/>
    <w:rsid w:val="00E4123F"/>
    <w:rsid w:val="00E412E8"/>
    <w:rsid w:val="00E41518"/>
    <w:rsid w:val="00E41651"/>
    <w:rsid w:val="00E41B01"/>
    <w:rsid w:val="00E41CC4"/>
    <w:rsid w:val="00E41D03"/>
    <w:rsid w:val="00E42E52"/>
    <w:rsid w:val="00E4310E"/>
    <w:rsid w:val="00E4312B"/>
    <w:rsid w:val="00E43249"/>
    <w:rsid w:val="00E43279"/>
    <w:rsid w:val="00E433CA"/>
    <w:rsid w:val="00E436A2"/>
    <w:rsid w:val="00E438FE"/>
    <w:rsid w:val="00E43C94"/>
    <w:rsid w:val="00E43E26"/>
    <w:rsid w:val="00E44140"/>
    <w:rsid w:val="00E44823"/>
    <w:rsid w:val="00E44970"/>
    <w:rsid w:val="00E44CCD"/>
    <w:rsid w:val="00E45392"/>
    <w:rsid w:val="00E453D8"/>
    <w:rsid w:val="00E454F2"/>
    <w:rsid w:val="00E45674"/>
    <w:rsid w:val="00E456E3"/>
    <w:rsid w:val="00E458D8"/>
    <w:rsid w:val="00E4626B"/>
    <w:rsid w:val="00E4649F"/>
    <w:rsid w:val="00E46596"/>
    <w:rsid w:val="00E465FC"/>
    <w:rsid w:val="00E4679E"/>
    <w:rsid w:val="00E46EA2"/>
    <w:rsid w:val="00E46F10"/>
    <w:rsid w:val="00E47129"/>
    <w:rsid w:val="00E47420"/>
    <w:rsid w:val="00E47744"/>
    <w:rsid w:val="00E47790"/>
    <w:rsid w:val="00E4782E"/>
    <w:rsid w:val="00E47F45"/>
    <w:rsid w:val="00E502B3"/>
    <w:rsid w:val="00E5035B"/>
    <w:rsid w:val="00E50383"/>
    <w:rsid w:val="00E503CC"/>
    <w:rsid w:val="00E50A65"/>
    <w:rsid w:val="00E50C5B"/>
    <w:rsid w:val="00E51006"/>
    <w:rsid w:val="00E5110B"/>
    <w:rsid w:val="00E511CE"/>
    <w:rsid w:val="00E51318"/>
    <w:rsid w:val="00E517A2"/>
    <w:rsid w:val="00E518A7"/>
    <w:rsid w:val="00E519A0"/>
    <w:rsid w:val="00E5285D"/>
    <w:rsid w:val="00E528A8"/>
    <w:rsid w:val="00E529F5"/>
    <w:rsid w:val="00E52E4E"/>
    <w:rsid w:val="00E52EC9"/>
    <w:rsid w:val="00E53445"/>
    <w:rsid w:val="00E5356B"/>
    <w:rsid w:val="00E536FD"/>
    <w:rsid w:val="00E53E00"/>
    <w:rsid w:val="00E53FEE"/>
    <w:rsid w:val="00E541C5"/>
    <w:rsid w:val="00E541E9"/>
    <w:rsid w:val="00E54221"/>
    <w:rsid w:val="00E54394"/>
    <w:rsid w:val="00E551C2"/>
    <w:rsid w:val="00E55351"/>
    <w:rsid w:val="00E553E5"/>
    <w:rsid w:val="00E5552C"/>
    <w:rsid w:val="00E5567D"/>
    <w:rsid w:val="00E559A3"/>
    <w:rsid w:val="00E55AF1"/>
    <w:rsid w:val="00E55B00"/>
    <w:rsid w:val="00E55FD0"/>
    <w:rsid w:val="00E56198"/>
    <w:rsid w:val="00E561C5"/>
    <w:rsid w:val="00E5650A"/>
    <w:rsid w:val="00E567CB"/>
    <w:rsid w:val="00E56844"/>
    <w:rsid w:val="00E568ED"/>
    <w:rsid w:val="00E56998"/>
    <w:rsid w:val="00E56A75"/>
    <w:rsid w:val="00E56E55"/>
    <w:rsid w:val="00E574EC"/>
    <w:rsid w:val="00E577A0"/>
    <w:rsid w:val="00E57AD3"/>
    <w:rsid w:val="00E57F9C"/>
    <w:rsid w:val="00E60283"/>
    <w:rsid w:val="00E605CE"/>
    <w:rsid w:val="00E60663"/>
    <w:rsid w:val="00E60EB1"/>
    <w:rsid w:val="00E60FE4"/>
    <w:rsid w:val="00E615F9"/>
    <w:rsid w:val="00E618FC"/>
    <w:rsid w:val="00E6193C"/>
    <w:rsid w:val="00E61BEC"/>
    <w:rsid w:val="00E62305"/>
    <w:rsid w:val="00E62332"/>
    <w:rsid w:val="00E62749"/>
    <w:rsid w:val="00E6289C"/>
    <w:rsid w:val="00E628B3"/>
    <w:rsid w:val="00E629DB"/>
    <w:rsid w:val="00E62A26"/>
    <w:rsid w:val="00E62A6E"/>
    <w:rsid w:val="00E62BC2"/>
    <w:rsid w:val="00E6310A"/>
    <w:rsid w:val="00E63C93"/>
    <w:rsid w:val="00E63DA5"/>
    <w:rsid w:val="00E63DAA"/>
    <w:rsid w:val="00E643DC"/>
    <w:rsid w:val="00E647D6"/>
    <w:rsid w:val="00E64A9D"/>
    <w:rsid w:val="00E64D21"/>
    <w:rsid w:val="00E6589F"/>
    <w:rsid w:val="00E65A1F"/>
    <w:rsid w:val="00E65BC4"/>
    <w:rsid w:val="00E65C67"/>
    <w:rsid w:val="00E660B5"/>
    <w:rsid w:val="00E660F9"/>
    <w:rsid w:val="00E665FA"/>
    <w:rsid w:val="00E666E8"/>
    <w:rsid w:val="00E67297"/>
    <w:rsid w:val="00E676D0"/>
    <w:rsid w:val="00E679AA"/>
    <w:rsid w:val="00E67BA5"/>
    <w:rsid w:val="00E67E8C"/>
    <w:rsid w:val="00E70090"/>
    <w:rsid w:val="00E7050B"/>
    <w:rsid w:val="00E70618"/>
    <w:rsid w:val="00E70A88"/>
    <w:rsid w:val="00E7101E"/>
    <w:rsid w:val="00E71652"/>
    <w:rsid w:val="00E71720"/>
    <w:rsid w:val="00E71D05"/>
    <w:rsid w:val="00E7221D"/>
    <w:rsid w:val="00E7240F"/>
    <w:rsid w:val="00E72431"/>
    <w:rsid w:val="00E72C9C"/>
    <w:rsid w:val="00E72D30"/>
    <w:rsid w:val="00E72E77"/>
    <w:rsid w:val="00E72FC1"/>
    <w:rsid w:val="00E72FF5"/>
    <w:rsid w:val="00E72FF6"/>
    <w:rsid w:val="00E73063"/>
    <w:rsid w:val="00E73282"/>
    <w:rsid w:val="00E73665"/>
    <w:rsid w:val="00E73884"/>
    <w:rsid w:val="00E738DD"/>
    <w:rsid w:val="00E739C4"/>
    <w:rsid w:val="00E73CE0"/>
    <w:rsid w:val="00E741B7"/>
    <w:rsid w:val="00E741E2"/>
    <w:rsid w:val="00E74778"/>
    <w:rsid w:val="00E74EE5"/>
    <w:rsid w:val="00E752C6"/>
    <w:rsid w:val="00E7542D"/>
    <w:rsid w:val="00E756A4"/>
    <w:rsid w:val="00E7615F"/>
    <w:rsid w:val="00E76358"/>
    <w:rsid w:val="00E765B2"/>
    <w:rsid w:val="00E767DD"/>
    <w:rsid w:val="00E76AE0"/>
    <w:rsid w:val="00E76BA8"/>
    <w:rsid w:val="00E779CD"/>
    <w:rsid w:val="00E77BE5"/>
    <w:rsid w:val="00E800C1"/>
    <w:rsid w:val="00E80206"/>
    <w:rsid w:val="00E80352"/>
    <w:rsid w:val="00E803E6"/>
    <w:rsid w:val="00E803E9"/>
    <w:rsid w:val="00E80953"/>
    <w:rsid w:val="00E819D0"/>
    <w:rsid w:val="00E81A87"/>
    <w:rsid w:val="00E82914"/>
    <w:rsid w:val="00E82E28"/>
    <w:rsid w:val="00E82FD6"/>
    <w:rsid w:val="00E836EA"/>
    <w:rsid w:val="00E83948"/>
    <w:rsid w:val="00E83CF9"/>
    <w:rsid w:val="00E8449A"/>
    <w:rsid w:val="00E8451A"/>
    <w:rsid w:val="00E84614"/>
    <w:rsid w:val="00E84A1A"/>
    <w:rsid w:val="00E84B29"/>
    <w:rsid w:val="00E84FFB"/>
    <w:rsid w:val="00E8545A"/>
    <w:rsid w:val="00E855C2"/>
    <w:rsid w:val="00E85C78"/>
    <w:rsid w:val="00E85DA0"/>
    <w:rsid w:val="00E860C4"/>
    <w:rsid w:val="00E860C6"/>
    <w:rsid w:val="00E862B9"/>
    <w:rsid w:val="00E86465"/>
    <w:rsid w:val="00E86771"/>
    <w:rsid w:val="00E868B9"/>
    <w:rsid w:val="00E868F2"/>
    <w:rsid w:val="00E86D10"/>
    <w:rsid w:val="00E86E92"/>
    <w:rsid w:val="00E87343"/>
    <w:rsid w:val="00E873C3"/>
    <w:rsid w:val="00E875D1"/>
    <w:rsid w:val="00E8787C"/>
    <w:rsid w:val="00E87F92"/>
    <w:rsid w:val="00E90093"/>
    <w:rsid w:val="00E9021B"/>
    <w:rsid w:val="00E909F1"/>
    <w:rsid w:val="00E90A25"/>
    <w:rsid w:val="00E90AEF"/>
    <w:rsid w:val="00E90C49"/>
    <w:rsid w:val="00E90C85"/>
    <w:rsid w:val="00E90D5B"/>
    <w:rsid w:val="00E910E9"/>
    <w:rsid w:val="00E914C1"/>
    <w:rsid w:val="00E918F1"/>
    <w:rsid w:val="00E91A7E"/>
    <w:rsid w:val="00E91BB8"/>
    <w:rsid w:val="00E91D39"/>
    <w:rsid w:val="00E91E1D"/>
    <w:rsid w:val="00E91E48"/>
    <w:rsid w:val="00E91F8F"/>
    <w:rsid w:val="00E920D4"/>
    <w:rsid w:val="00E921B6"/>
    <w:rsid w:val="00E922B4"/>
    <w:rsid w:val="00E92974"/>
    <w:rsid w:val="00E92DFC"/>
    <w:rsid w:val="00E92E1A"/>
    <w:rsid w:val="00E92F98"/>
    <w:rsid w:val="00E92FD5"/>
    <w:rsid w:val="00E9331D"/>
    <w:rsid w:val="00E9353A"/>
    <w:rsid w:val="00E936D2"/>
    <w:rsid w:val="00E939AA"/>
    <w:rsid w:val="00E93DBB"/>
    <w:rsid w:val="00E94046"/>
    <w:rsid w:val="00E940F8"/>
    <w:rsid w:val="00E945B8"/>
    <w:rsid w:val="00E94649"/>
    <w:rsid w:val="00E9480E"/>
    <w:rsid w:val="00E94B51"/>
    <w:rsid w:val="00E950FF"/>
    <w:rsid w:val="00E95322"/>
    <w:rsid w:val="00E95490"/>
    <w:rsid w:val="00E95499"/>
    <w:rsid w:val="00E95C62"/>
    <w:rsid w:val="00E96026"/>
    <w:rsid w:val="00E9619B"/>
    <w:rsid w:val="00E96322"/>
    <w:rsid w:val="00E968C1"/>
    <w:rsid w:val="00E9699F"/>
    <w:rsid w:val="00E971F6"/>
    <w:rsid w:val="00E975D9"/>
    <w:rsid w:val="00E976A1"/>
    <w:rsid w:val="00E97793"/>
    <w:rsid w:val="00E979A9"/>
    <w:rsid w:val="00E97A2B"/>
    <w:rsid w:val="00E97DCD"/>
    <w:rsid w:val="00E97F14"/>
    <w:rsid w:val="00EA01C0"/>
    <w:rsid w:val="00EA0212"/>
    <w:rsid w:val="00EA02F6"/>
    <w:rsid w:val="00EA078D"/>
    <w:rsid w:val="00EA0E54"/>
    <w:rsid w:val="00EA1769"/>
    <w:rsid w:val="00EA2216"/>
    <w:rsid w:val="00EA2CA8"/>
    <w:rsid w:val="00EA324C"/>
    <w:rsid w:val="00EA3671"/>
    <w:rsid w:val="00EA37C0"/>
    <w:rsid w:val="00EA3B06"/>
    <w:rsid w:val="00EA3CB4"/>
    <w:rsid w:val="00EA3D2A"/>
    <w:rsid w:val="00EA3DBC"/>
    <w:rsid w:val="00EA46CA"/>
    <w:rsid w:val="00EA49CA"/>
    <w:rsid w:val="00EA4C6E"/>
    <w:rsid w:val="00EA4E63"/>
    <w:rsid w:val="00EA504A"/>
    <w:rsid w:val="00EA53EF"/>
    <w:rsid w:val="00EA5508"/>
    <w:rsid w:val="00EA5683"/>
    <w:rsid w:val="00EA5B17"/>
    <w:rsid w:val="00EA5CA1"/>
    <w:rsid w:val="00EA62E9"/>
    <w:rsid w:val="00EA636B"/>
    <w:rsid w:val="00EA69D9"/>
    <w:rsid w:val="00EA6EE4"/>
    <w:rsid w:val="00EA7A19"/>
    <w:rsid w:val="00EA7B1F"/>
    <w:rsid w:val="00EA7D1C"/>
    <w:rsid w:val="00EB0751"/>
    <w:rsid w:val="00EB0DEA"/>
    <w:rsid w:val="00EB0E7A"/>
    <w:rsid w:val="00EB0EC7"/>
    <w:rsid w:val="00EB151D"/>
    <w:rsid w:val="00EB1C1C"/>
    <w:rsid w:val="00EB1C2F"/>
    <w:rsid w:val="00EB1EB9"/>
    <w:rsid w:val="00EB1F63"/>
    <w:rsid w:val="00EB1FF4"/>
    <w:rsid w:val="00EB2464"/>
    <w:rsid w:val="00EB24A1"/>
    <w:rsid w:val="00EB27BC"/>
    <w:rsid w:val="00EB2D35"/>
    <w:rsid w:val="00EB302A"/>
    <w:rsid w:val="00EB3762"/>
    <w:rsid w:val="00EB3807"/>
    <w:rsid w:val="00EB3E80"/>
    <w:rsid w:val="00EB3F3E"/>
    <w:rsid w:val="00EB4546"/>
    <w:rsid w:val="00EB498E"/>
    <w:rsid w:val="00EB49C9"/>
    <w:rsid w:val="00EB49E6"/>
    <w:rsid w:val="00EB4A2A"/>
    <w:rsid w:val="00EB55EC"/>
    <w:rsid w:val="00EB56EC"/>
    <w:rsid w:val="00EB5D21"/>
    <w:rsid w:val="00EB5F1A"/>
    <w:rsid w:val="00EB6003"/>
    <w:rsid w:val="00EB62C8"/>
    <w:rsid w:val="00EB6315"/>
    <w:rsid w:val="00EB6353"/>
    <w:rsid w:val="00EB6785"/>
    <w:rsid w:val="00EB6A32"/>
    <w:rsid w:val="00EB6DF9"/>
    <w:rsid w:val="00EB6F19"/>
    <w:rsid w:val="00EB71EE"/>
    <w:rsid w:val="00EB73E4"/>
    <w:rsid w:val="00EB7424"/>
    <w:rsid w:val="00EB76E8"/>
    <w:rsid w:val="00EB793E"/>
    <w:rsid w:val="00EB7D2C"/>
    <w:rsid w:val="00EC036C"/>
    <w:rsid w:val="00EC0430"/>
    <w:rsid w:val="00EC074B"/>
    <w:rsid w:val="00EC0824"/>
    <w:rsid w:val="00EC0915"/>
    <w:rsid w:val="00EC0C8A"/>
    <w:rsid w:val="00EC0C8F"/>
    <w:rsid w:val="00EC10B6"/>
    <w:rsid w:val="00EC12E4"/>
    <w:rsid w:val="00EC14B0"/>
    <w:rsid w:val="00EC15A3"/>
    <w:rsid w:val="00EC1E32"/>
    <w:rsid w:val="00EC1F81"/>
    <w:rsid w:val="00EC23B7"/>
    <w:rsid w:val="00EC2E43"/>
    <w:rsid w:val="00EC303B"/>
    <w:rsid w:val="00EC31E0"/>
    <w:rsid w:val="00EC3209"/>
    <w:rsid w:val="00EC33A0"/>
    <w:rsid w:val="00EC3BE2"/>
    <w:rsid w:val="00EC3D0A"/>
    <w:rsid w:val="00EC42A4"/>
    <w:rsid w:val="00EC4836"/>
    <w:rsid w:val="00EC4A59"/>
    <w:rsid w:val="00EC4CBA"/>
    <w:rsid w:val="00EC4DE9"/>
    <w:rsid w:val="00EC4E15"/>
    <w:rsid w:val="00EC5088"/>
    <w:rsid w:val="00EC5551"/>
    <w:rsid w:val="00EC5694"/>
    <w:rsid w:val="00EC58A4"/>
    <w:rsid w:val="00EC5C46"/>
    <w:rsid w:val="00EC5CF0"/>
    <w:rsid w:val="00EC609E"/>
    <w:rsid w:val="00EC61D4"/>
    <w:rsid w:val="00EC66F9"/>
    <w:rsid w:val="00EC6842"/>
    <w:rsid w:val="00EC70BE"/>
    <w:rsid w:val="00EC74D4"/>
    <w:rsid w:val="00EC77A8"/>
    <w:rsid w:val="00EC77EA"/>
    <w:rsid w:val="00EC7D59"/>
    <w:rsid w:val="00EC7E09"/>
    <w:rsid w:val="00ED02DD"/>
    <w:rsid w:val="00ED08B5"/>
    <w:rsid w:val="00ED0C62"/>
    <w:rsid w:val="00ED0CCC"/>
    <w:rsid w:val="00ED0E33"/>
    <w:rsid w:val="00ED0F3D"/>
    <w:rsid w:val="00ED0F75"/>
    <w:rsid w:val="00ED0FEE"/>
    <w:rsid w:val="00ED10BF"/>
    <w:rsid w:val="00ED10C7"/>
    <w:rsid w:val="00ED116C"/>
    <w:rsid w:val="00ED1810"/>
    <w:rsid w:val="00ED19A0"/>
    <w:rsid w:val="00ED1C68"/>
    <w:rsid w:val="00ED1D35"/>
    <w:rsid w:val="00ED1EA8"/>
    <w:rsid w:val="00ED2A90"/>
    <w:rsid w:val="00ED2D1D"/>
    <w:rsid w:val="00ED2D62"/>
    <w:rsid w:val="00ED2FB0"/>
    <w:rsid w:val="00ED3264"/>
    <w:rsid w:val="00ED36CA"/>
    <w:rsid w:val="00ED36E2"/>
    <w:rsid w:val="00ED37B9"/>
    <w:rsid w:val="00ED3D7F"/>
    <w:rsid w:val="00ED4644"/>
    <w:rsid w:val="00ED4859"/>
    <w:rsid w:val="00ED4DA8"/>
    <w:rsid w:val="00ED5249"/>
    <w:rsid w:val="00ED580E"/>
    <w:rsid w:val="00ED595B"/>
    <w:rsid w:val="00ED5C5E"/>
    <w:rsid w:val="00ED5E38"/>
    <w:rsid w:val="00ED5EA8"/>
    <w:rsid w:val="00ED66D9"/>
    <w:rsid w:val="00ED6727"/>
    <w:rsid w:val="00ED6958"/>
    <w:rsid w:val="00ED6B00"/>
    <w:rsid w:val="00ED6C63"/>
    <w:rsid w:val="00ED6D39"/>
    <w:rsid w:val="00ED70A0"/>
    <w:rsid w:val="00ED70CD"/>
    <w:rsid w:val="00ED70D2"/>
    <w:rsid w:val="00ED70FA"/>
    <w:rsid w:val="00ED71B3"/>
    <w:rsid w:val="00ED73A1"/>
    <w:rsid w:val="00ED745D"/>
    <w:rsid w:val="00ED7988"/>
    <w:rsid w:val="00ED7AA2"/>
    <w:rsid w:val="00EE0293"/>
    <w:rsid w:val="00EE09EA"/>
    <w:rsid w:val="00EE0CBA"/>
    <w:rsid w:val="00EE0D84"/>
    <w:rsid w:val="00EE0F27"/>
    <w:rsid w:val="00EE1645"/>
    <w:rsid w:val="00EE1881"/>
    <w:rsid w:val="00EE1C27"/>
    <w:rsid w:val="00EE1CAC"/>
    <w:rsid w:val="00EE1CF5"/>
    <w:rsid w:val="00EE1D00"/>
    <w:rsid w:val="00EE1F46"/>
    <w:rsid w:val="00EE25D0"/>
    <w:rsid w:val="00EE2600"/>
    <w:rsid w:val="00EE2734"/>
    <w:rsid w:val="00EE2871"/>
    <w:rsid w:val="00EE2F7E"/>
    <w:rsid w:val="00EE31EB"/>
    <w:rsid w:val="00EE3352"/>
    <w:rsid w:val="00EE3873"/>
    <w:rsid w:val="00EE3EE7"/>
    <w:rsid w:val="00EE4107"/>
    <w:rsid w:val="00EE435B"/>
    <w:rsid w:val="00EE439A"/>
    <w:rsid w:val="00EE4490"/>
    <w:rsid w:val="00EE4668"/>
    <w:rsid w:val="00EE4938"/>
    <w:rsid w:val="00EE4C95"/>
    <w:rsid w:val="00EE4E2E"/>
    <w:rsid w:val="00EE4EEF"/>
    <w:rsid w:val="00EE51C0"/>
    <w:rsid w:val="00EE551A"/>
    <w:rsid w:val="00EE555D"/>
    <w:rsid w:val="00EE5664"/>
    <w:rsid w:val="00EE57AA"/>
    <w:rsid w:val="00EE5D2A"/>
    <w:rsid w:val="00EE5D69"/>
    <w:rsid w:val="00EE60CE"/>
    <w:rsid w:val="00EE6473"/>
    <w:rsid w:val="00EE66DE"/>
    <w:rsid w:val="00EE6832"/>
    <w:rsid w:val="00EE6A70"/>
    <w:rsid w:val="00EE7308"/>
    <w:rsid w:val="00EE7311"/>
    <w:rsid w:val="00EE7737"/>
    <w:rsid w:val="00EE775F"/>
    <w:rsid w:val="00EE78C0"/>
    <w:rsid w:val="00EE7C94"/>
    <w:rsid w:val="00EE7DB9"/>
    <w:rsid w:val="00EE7DF3"/>
    <w:rsid w:val="00EE7EF2"/>
    <w:rsid w:val="00EF001E"/>
    <w:rsid w:val="00EF05C5"/>
    <w:rsid w:val="00EF08C3"/>
    <w:rsid w:val="00EF08D8"/>
    <w:rsid w:val="00EF0A15"/>
    <w:rsid w:val="00EF0DBA"/>
    <w:rsid w:val="00EF14E8"/>
    <w:rsid w:val="00EF1669"/>
    <w:rsid w:val="00EF1755"/>
    <w:rsid w:val="00EF19ED"/>
    <w:rsid w:val="00EF1AB2"/>
    <w:rsid w:val="00EF314F"/>
    <w:rsid w:val="00EF319C"/>
    <w:rsid w:val="00EF32EF"/>
    <w:rsid w:val="00EF36F5"/>
    <w:rsid w:val="00EF3CAB"/>
    <w:rsid w:val="00EF3D58"/>
    <w:rsid w:val="00EF3FB6"/>
    <w:rsid w:val="00EF48F8"/>
    <w:rsid w:val="00EF4A12"/>
    <w:rsid w:val="00EF4FD5"/>
    <w:rsid w:val="00EF5052"/>
    <w:rsid w:val="00EF53B2"/>
    <w:rsid w:val="00EF5BBF"/>
    <w:rsid w:val="00EF5D61"/>
    <w:rsid w:val="00EF5DBB"/>
    <w:rsid w:val="00EF6268"/>
    <w:rsid w:val="00EF69E9"/>
    <w:rsid w:val="00EF7007"/>
    <w:rsid w:val="00EF7063"/>
    <w:rsid w:val="00EF7084"/>
    <w:rsid w:val="00EF7615"/>
    <w:rsid w:val="00EF7818"/>
    <w:rsid w:val="00EF7ACF"/>
    <w:rsid w:val="00EF7D18"/>
    <w:rsid w:val="00EF7EF5"/>
    <w:rsid w:val="00F00C34"/>
    <w:rsid w:val="00F00D70"/>
    <w:rsid w:val="00F012FC"/>
    <w:rsid w:val="00F01378"/>
    <w:rsid w:val="00F01723"/>
    <w:rsid w:val="00F01BD6"/>
    <w:rsid w:val="00F01C5E"/>
    <w:rsid w:val="00F01CF6"/>
    <w:rsid w:val="00F01CFF"/>
    <w:rsid w:val="00F023CC"/>
    <w:rsid w:val="00F0252D"/>
    <w:rsid w:val="00F02850"/>
    <w:rsid w:val="00F02B16"/>
    <w:rsid w:val="00F03141"/>
    <w:rsid w:val="00F03338"/>
    <w:rsid w:val="00F03552"/>
    <w:rsid w:val="00F03B39"/>
    <w:rsid w:val="00F03B58"/>
    <w:rsid w:val="00F04052"/>
    <w:rsid w:val="00F0405F"/>
    <w:rsid w:val="00F040D0"/>
    <w:rsid w:val="00F040EC"/>
    <w:rsid w:val="00F043DE"/>
    <w:rsid w:val="00F043FC"/>
    <w:rsid w:val="00F04658"/>
    <w:rsid w:val="00F04FED"/>
    <w:rsid w:val="00F0509C"/>
    <w:rsid w:val="00F0511B"/>
    <w:rsid w:val="00F052C9"/>
    <w:rsid w:val="00F05579"/>
    <w:rsid w:val="00F056BB"/>
    <w:rsid w:val="00F05943"/>
    <w:rsid w:val="00F059B5"/>
    <w:rsid w:val="00F05B53"/>
    <w:rsid w:val="00F05BDF"/>
    <w:rsid w:val="00F05E14"/>
    <w:rsid w:val="00F060BD"/>
    <w:rsid w:val="00F063DC"/>
    <w:rsid w:val="00F06673"/>
    <w:rsid w:val="00F067D7"/>
    <w:rsid w:val="00F06961"/>
    <w:rsid w:val="00F06AF1"/>
    <w:rsid w:val="00F07013"/>
    <w:rsid w:val="00F07128"/>
    <w:rsid w:val="00F07269"/>
    <w:rsid w:val="00F072C4"/>
    <w:rsid w:val="00F073E1"/>
    <w:rsid w:val="00F07EE1"/>
    <w:rsid w:val="00F07F1E"/>
    <w:rsid w:val="00F1056A"/>
    <w:rsid w:val="00F1066F"/>
    <w:rsid w:val="00F10868"/>
    <w:rsid w:val="00F10F25"/>
    <w:rsid w:val="00F11B59"/>
    <w:rsid w:val="00F11C28"/>
    <w:rsid w:val="00F11CCA"/>
    <w:rsid w:val="00F11D92"/>
    <w:rsid w:val="00F12560"/>
    <w:rsid w:val="00F12C2D"/>
    <w:rsid w:val="00F12C56"/>
    <w:rsid w:val="00F132FE"/>
    <w:rsid w:val="00F133BF"/>
    <w:rsid w:val="00F133D5"/>
    <w:rsid w:val="00F135E2"/>
    <w:rsid w:val="00F1385A"/>
    <w:rsid w:val="00F1391A"/>
    <w:rsid w:val="00F13B05"/>
    <w:rsid w:val="00F13DB9"/>
    <w:rsid w:val="00F13F8F"/>
    <w:rsid w:val="00F1415F"/>
    <w:rsid w:val="00F14201"/>
    <w:rsid w:val="00F14A89"/>
    <w:rsid w:val="00F14C8A"/>
    <w:rsid w:val="00F14CD4"/>
    <w:rsid w:val="00F14EB2"/>
    <w:rsid w:val="00F14F4E"/>
    <w:rsid w:val="00F1508C"/>
    <w:rsid w:val="00F1510D"/>
    <w:rsid w:val="00F153C1"/>
    <w:rsid w:val="00F155D8"/>
    <w:rsid w:val="00F1578E"/>
    <w:rsid w:val="00F159E1"/>
    <w:rsid w:val="00F15AA0"/>
    <w:rsid w:val="00F15C24"/>
    <w:rsid w:val="00F15EA2"/>
    <w:rsid w:val="00F15F28"/>
    <w:rsid w:val="00F1653E"/>
    <w:rsid w:val="00F16997"/>
    <w:rsid w:val="00F16AF9"/>
    <w:rsid w:val="00F16BEE"/>
    <w:rsid w:val="00F16F6E"/>
    <w:rsid w:val="00F17020"/>
    <w:rsid w:val="00F1723E"/>
    <w:rsid w:val="00F1724F"/>
    <w:rsid w:val="00F17557"/>
    <w:rsid w:val="00F17817"/>
    <w:rsid w:val="00F17E9F"/>
    <w:rsid w:val="00F17ED8"/>
    <w:rsid w:val="00F17FB1"/>
    <w:rsid w:val="00F20092"/>
    <w:rsid w:val="00F2015C"/>
    <w:rsid w:val="00F20551"/>
    <w:rsid w:val="00F20763"/>
    <w:rsid w:val="00F20A5C"/>
    <w:rsid w:val="00F20BAA"/>
    <w:rsid w:val="00F21639"/>
    <w:rsid w:val="00F2221D"/>
    <w:rsid w:val="00F227C8"/>
    <w:rsid w:val="00F22CD0"/>
    <w:rsid w:val="00F22DE3"/>
    <w:rsid w:val="00F22E49"/>
    <w:rsid w:val="00F234FE"/>
    <w:rsid w:val="00F2374B"/>
    <w:rsid w:val="00F239F2"/>
    <w:rsid w:val="00F23B36"/>
    <w:rsid w:val="00F23CB7"/>
    <w:rsid w:val="00F23FB9"/>
    <w:rsid w:val="00F24039"/>
    <w:rsid w:val="00F24442"/>
    <w:rsid w:val="00F244F1"/>
    <w:rsid w:val="00F2453A"/>
    <w:rsid w:val="00F24E7F"/>
    <w:rsid w:val="00F257B5"/>
    <w:rsid w:val="00F2582E"/>
    <w:rsid w:val="00F25B4D"/>
    <w:rsid w:val="00F264CE"/>
    <w:rsid w:val="00F2656D"/>
    <w:rsid w:val="00F265AF"/>
    <w:rsid w:val="00F2687C"/>
    <w:rsid w:val="00F26AFD"/>
    <w:rsid w:val="00F2700A"/>
    <w:rsid w:val="00F2720E"/>
    <w:rsid w:val="00F2769A"/>
    <w:rsid w:val="00F2776D"/>
    <w:rsid w:val="00F278C0"/>
    <w:rsid w:val="00F27AFB"/>
    <w:rsid w:val="00F27FCE"/>
    <w:rsid w:val="00F3013E"/>
    <w:rsid w:val="00F301A6"/>
    <w:rsid w:val="00F302B9"/>
    <w:rsid w:val="00F306A3"/>
    <w:rsid w:val="00F31E95"/>
    <w:rsid w:val="00F32291"/>
    <w:rsid w:val="00F3247E"/>
    <w:rsid w:val="00F324DD"/>
    <w:rsid w:val="00F325AB"/>
    <w:rsid w:val="00F32793"/>
    <w:rsid w:val="00F327A9"/>
    <w:rsid w:val="00F3294E"/>
    <w:rsid w:val="00F329BC"/>
    <w:rsid w:val="00F32B6A"/>
    <w:rsid w:val="00F32BA5"/>
    <w:rsid w:val="00F3323C"/>
    <w:rsid w:val="00F33561"/>
    <w:rsid w:val="00F33713"/>
    <w:rsid w:val="00F33DE8"/>
    <w:rsid w:val="00F33F10"/>
    <w:rsid w:val="00F346E6"/>
    <w:rsid w:val="00F3492A"/>
    <w:rsid w:val="00F34CFD"/>
    <w:rsid w:val="00F34D41"/>
    <w:rsid w:val="00F350AF"/>
    <w:rsid w:val="00F356AD"/>
    <w:rsid w:val="00F35E77"/>
    <w:rsid w:val="00F36334"/>
    <w:rsid w:val="00F364DA"/>
    <w:rsid w:val="00F3657B"/>
    <w:rsid w:val="00F367E4"/>
    <w:rsid w:val="00F36979"/>
    <w:rsid w:val="00F36A22"/>
    <w:rsid w:val="00F37035"/>
    <w:rsid w:val="00F37A70"/>
    <w:rsid w:val="00F37BB7"/>
    <w:rsid w:val="00F37D26"/>
    <w:rsid w:val="00F40296"/>
    <w:rsid w:val="00F40864"/>
    <w:rsid w:val="00F4087E"/>
    <w:rsid w:val="00F40BD4"/>
    <w:rsid w:val="00F40C5D"/>
    <w:rsid w:val="00F40C84"/>
    <w:rsid w:val="00F40CA9"/>
    <w:rsid w:val="00F40DF9"/>
    <w:rsid w:val="00F4117A"/>
    <w:rsid w:val="00F4141D"/>
    <w:rsid w:val="00F41467"/>
    <w:rsid w:val="00F41ABB"/>
    <w:rsid w:val="00F41ADC"/>
    <w:rsid w:val="00F41C25"/>
    <w:rsid w:val="00F425A3"/>
    <w:rsid w:val="00F42689"/>
    <w:rsid w:val="00F42CDC"/>
    <w:rsid w:val="00F43535"/>
    <w:rsid w:val="00F4414A"/>
    <w:rsid w:val="00F44229"/>
    <w:rsid w:val="00F443DA"/>
    <w:rsid w:val="00F444DC"/>
    <w:rsid w:val="00F44855"/>
    <w:rsid w:val="00F44875"/>
    <w:rsid w:val="00F44895"/>
    <w:rsid w:val="00F44B92"/>
    <w:rsid w:val="00F44CCB"/>
    <w:rsid w:val="00F44D9A"/>
    <w:rsid w:val="00F450B5"/>
    <w:rsid w:val="00F451F8"/>
    <w:rsid w:val="00F455D2"/>
    <w:rsid w:val="00F46166"/>
    <w:rsid w:val="00F46670"/>
    <w:rsid w:val="00F46722"/>
    <w:rsid w:val="00F46726"/>
    <w:rsid w:val="00F46816"/>
    <w:rsid w:val="00F46C1C"/>
    <w:rsid w:val="00F472E6"/>
    <w:rsid w:val="00F473C5"/>
    <w:rsid w:val="00F47404"/>
    <w:rsid w:val="00F47D8D"/>
    <w:rsid w:val="00F47D9C"/>
    <w:rsid w:val="00F47F41"/>
    <w:rsid w:val="00F503F5"/>
    <w:rsid w:val="00F50585"/>
    <w:rsid w:val="00F50599"/>
    <w:rsid w:val="00F50ED8"/>
    <w:rsid w:val="00F516E3"/>
    <w:rsid w:val="00F51B0A"/>
    <w:rsid w:val="00F51C10"/>
    <w:rsid w:val="00F51CE4"/>
    <w:rsid w:val="00F51DF6"/>
    <w:rsid w:val="00F51EFB"/>
    <w:rsid w:val="00F52001"/>
    <w:rsid w:val="00F522EF"/>
    <w:rsid w:val="00F524B8"/>
    <w:rsid w:val="00F5255E"/>
    <w:rsid w:val="00F52620"/>
    <w:rsid w:val="00F5268F"/>
    <w:rsid w:val="00F5297E"/>
    <w:rsid w:val="00F52A61"/>
    <w:rsid w:val="00F52ACD"/>
    <w:rsid w:val="00F52AEB"/>
    <w:rsid w:val="00F52BC7"/>
    <w:rsid w:val="00F52BF7"/>
    <w:rsid w:val="00F52F47"/>
    <w:rsid w:val="00F52FB7"/>
    <w:rsid w:val="00F5331E"/>
    <w:rsid w:val="00F533DE"/>
    <w:rsid w:val="00F5340B"/>
    <w:rsid w:val="00F535DE"/>
    <w:rsid w:val="00F5368D"/>
    <w:rsid w:val="00F5373F"/>
    <w:rsid w:val="00F53859"/>
    <w:rsid w:val="00F53A03"/>
    <w:rsid w:val="00F54116"/>
    <w:rsid w:val="00F54294"/>
    <w:rsid w:val="00F543E3"/>
    <w:rsid w:val="00F54685"/>
    <w:rsid w:val="00F54832"/>
    <w:rsid w:val="00F54B0D"/>
    <w:rsid w:val="00F55742"/>
    <w:rsid w:val="00F55EDC"/>
    <w:rsid w:val="00F5622A"/>
    <w:rsid w:val="00F56322"/>
    <w:rsid w:val="00F56B2D"/>
    <w:rsid w:val="00F56C2C"/>
    <w:rsid w:val="00F574BB"/>
    <w:rsid w:val="00F57733"/>
    <w:rsid w:val="00F5777B"/>
    <w:rsid w:val="00F57885"/>
    <w:rsid w:val="00F57FF2"/>
    <w:rsid w:val="00F60686"/>
    <w:rsid w:val="00F60796"/>
    <w:rsid w:val="00F60A9C"/>
    <w:rsid w:val="00F60C10"/>
    <w:rsid w:val="00F60D77"/>
    <w:rsid w:val="00F61053"/>
    <w:rsid w:val="00F6110E"/>
    <w:rsid w:val="00F6154C"/>
    <w:rsid w:val="00F61D51"/>
    <w:rsid w:val="00F61D5B"/>
    <w:rsid w:val="00F61F25"/>
    <w:rsid w:val="00F62186"/>
    <w:rsid w:val="00F6241E"/>
    <w:rsid w:val="00F6250A"/>
    <w:rsid w:val="00F62D56"/>
    <w:rsid w:val="00F636EC"/>
    <w:rsid w:val="00F63F15"/>
    <w:rsid w:val="00F63FB4"/>
    <w:rsid w:val="00F6443D"/>
    <w:rsid w:val="00F65023"/>
    <w:rsid w:val="00F6506F"/>
    <w:rsid w:val="00F653A2"/>
    <w:rsid w:val="00F65453"/>
    <w:rsid w:val="00F654D4"/>
    <w:rsid w:val="00F654E6"/>
    <w:rsid w:val="00F6565D"/>
    <w:rsid w:val="00F6592D"/>
    <w:rsid w:val="00F66144"/>
    <w:rsid w:val="00F661B5"/>
    <w:rsid w:val="00F6628B"/>
    <w:rsid w:val="00F667DF"/>
    <w:rsid w:val="00F66D08"/>
    <w:rsid w:val="00F66D5E"/>
    <w:rsid w:val="00F6713F"/>
    <w:rsid w:val="00F6722C"/>
    <w:rsid w:val="00F672A0"/>
    <w:rsid w:val="00F679DE"/>
    <w:rsid w:val="00F67BAA"/>
    <w:rsid w:val="00F700CF"/>
    <w:rsid w:val="00F7084B"/>
    <w:rsid w:val="00F70A92"/>
    <w:rsid w:val="00F70B08"/>
    <w:rsid w:val="00F70F96"/>
    <w:rsid w:val="00F71353"/>
    <w:rsid w:val="00F71412"/>
    <w:rsid w:val="00F71487"/>
    <w:rsid w:val="00F717DC"/>
    <w:rsid w:val="00F7193E"/>
    <w:rsid w:val="00F71BF2"/>
    <w:rsid w:val="00F71D48"/>
    <w:rsid w:val="00F71E67"/>
    <w:rsid w:val="00F7204D"/>
    <w:rsid w:val="00F7250F"/>
    <w:rsid w:val="00F725C4"/>
    <w:rsid w:val="00F72E2D"/>
    <w:rsid w:val="00F72E46"/>
    <w:rsid w:val="00F736A3"/>
    <w:rsid w:val="00F73713"/>
    <w:rsid w:val="00F73918"/>
    <w:rsid w:val="00F73C92"/>
    <w:rsid w:val="00F73C9D"/>
    <w:rsid w:val="00F7413A"/>
    <w:rsid w:val="00F743F8"/>
    <w:rsid w:val="00F74534"/>
    <w:rsid w:val="00F745AB"/>
    <w:rsid w:val="00F747FF"/>
    <w:rsid w:val="00F748AD"/>
    <w:rsid w:val="00F74B0F"/>
    <w:rsid w:val="00F74B51"/>
    <w:rsid w:val="00F7506D"/>
    <w:rsid w:val="00F754AF"/>
    <w:rsid w:val="00F75605"/>
    <w:rsid w:val="00F757C5"/>
    <w:rsid w:val="00F75F3E"/>
    <w:rsid w:val="00F76003"/>
    <w:rsid w:val="00F76163"/>
    <w:rsid w:val="00F762EA"/>
    <w:rsid w:val="00F7683E"/>
    <w:rsid w:val="00F76934"/>
    <w:rsid w:val="00F7693F"/>
    <w:rsid w:val="00F76B1C"/>
    <w:rsid w:val="00F76DE8"/>
    <w:rsid w:val="00F770E1"/>
    <w:rsid w:val="00F77B66"/>
    <w:rsid w:val="00F77E1E"/>
    <w:rsid w:val="00F77E79"/>
    <w:rsid w:val="00F800B4"/>
    <w:rsid w:val="00F80C7D"/>
    <w:rsid w:val="00F81362"/>
    <w:rsid w:val="00F81565"/>
    <w:rsid w:val="00F8175A"/>
    <w:rsid w:val="00F817D4"/>
    <w:rsid w:val="00F81ACB"/>
    <w:rsid w:val="00F81E16"/>
    <w:rsid w:val="00F81E28"/>
    <w:rsid w:val="00F8240C"/>
    <w:rsid w:val="00F8246C"/>
    <w:rsid w:val="00F8269B"/>
    <w:rsid w:val="00F826DF"/>
    <w:rsid w:val="00F82831"/>
    <w:rsid w:val="00F82ACE"/>
    <w:rsid w:val="00F8318A"/>
    <w:rsid w:val="00F8342E"/>
    <w:rsid w:val="00F836C9"/>
    <w:rsid w:val="00F836F1"/>
    <w:rsid w:val="00F83845"/>
    <w:rsid w:val="00F83F97"/>
    <w:rsid w:val="00F84653"/>
    <w:rsid w:val="00F84B14"/>
    <w:rsid w:val="00F84CC7"/>
    <w:rsid w:val="00F84D64"/>
    <w:rsid w:val="00F84D91"/>
    <w:rsid w:val="00F85097"/>
    <w:rsid w:val="00F850B3"/>
    <w:rsid w:val="00F850DE"/>
    <w:rsid w:val="00F85274"/>
    <w:rsid w:val="00F854EE"/>
    <w:rsid w:val="00F85AC2"/>
    <w:rsid w:val="00F85CE1"/>
    <w:rsid w:val="00F863B1"/>
    <w:rsid w:val="00F86560"/>
    <w:rsid w:val="00F865ED"/>
    <w:rsid w:val="00F86C63"/>
    <w:rsid w:val="00F87049"/>
    <w:rsid w:val="00F8721A"/>
    <w:rsid w:val="00F872CB"/>
    <w:rsid w:val="00F87CB4"/>
    <w:rsid w:val="00F87E37"/>
    <w:rsid w:val="00F9044F"/>
    <w:rsid w:val="00F9060E"/>
    <w:rsid w:val="00F9082B"/>
    <w:rsid w:val="00F90832"/>
    <w:rsid w:val="00F90A6F"/>
    <w:rsid w:val="00F90C90"/>
    <w:rsid w:val="00F90E90"/>
    <w:rsid w:val="00F9107D"/>
    <w:rsid w:val="00F91353"/>
    <w:rsid w:val="00F913F0"/>
    <w:rsid w:val="00F91CF6"/>
    <w:rsid w:val="00F91EF8"/>
    <w:rsid w:val="00F92034"/>
    <w:rsid w:val="00F9208F"/>
    <w:rsid w:val="00F921BE"/>
    <w:rsid w:val="00F9235A"/>
    <w:rsid w:val="00F92DBA"/>
    <w:rsid w:val="00F93252"/>
    <w:rsid w:val="00F9350A"/>
    <w:rsid w:val="00F93642"/>
    <w:rsid w:val="00F9391E"/>
    <w:rsid w:val="00F9397E"/>
    <w:rsid w:val="00F93987"/>
    <w:rsid w:val="00F93A6C"/>
    <w:rsid w:val="00F93C2C"/>
    <w:rsid w:val="00F94564"/>
    <w:rsid w:val="00F94DA9"/>
    <w:rsid w:val="00F94E3D"/>
    <w:rsid w:val="00F95124"/>
    <w:rsid w:val="00F952A8"/>
    <w:rsid w:val="00F952AD"/>
    <w:rsid w:val="00F95300"/>
    <w:rsid w:val="00F95C86"/>
    <w:rsid w:val="00F9610D"/>
    <w:rsid w:val="00F96143"/>
    <w:rsid w:val="00F96352"/>
    <w:rsid w:val="00F9684A"/>
    <w:rsid w:val="00F9684F"/>
    <w:rsid w:val="00F968F6"/>
    <w:rsid w:val="00F96912"/>
    <w:rsid w:val="00F96B2A"/>
    <w:rsid w:val="00F96CAC"/>
    <w:rsid w:val="00F96F31"/>
    <w:rsid w:val="00F970BF"/>
    <w:rsid w:val="00F9742B"/>
    <w:rsid w:val="00F97594"/>
    <w:rsid w:val="00F977EF"/>
    <w:rsid w:val="00F97AC5"/>
    <w:rsid w:val="00F97D6E"/>
    <w:rsid w:val="00F9C63A"/>
    <w:rsid w:val="00FA0141"/>
    <w:rsid w:val="00FA0640"/>
    <w:rsid w:val="00FA0825"/>
    <w:rsid w:val="00FA088C"/>
    <w:rsid w:val="00FA08AD"/>
    <w:rsid w:val="00FA0920"/>
    <w:rsid w:val="00FA0C5E"/>
    <w:rsid w:val="00FA0D84"/>
    <w:rsid w:val="00FA1525"/>
    <w:rsid w:val="00FA159B"/>
    <w:rsid w:val="00FA16AF"/>
    <w:rsid w:val="00FA18A0"/>
    <w:rsid w:val="00FA18A5"/>
    <w:rsid w:val="00FA1AF8"/>
    <w:rsid w:val="00FA1B25"/>
    <w:rsid w:val="00FA1C3C"/>
    <w:rsid w:val="00FA1C4C"/>
    <w:rsid w:val="00FA1F20"/>
    <w:rsid w:val="00FA2318"/>
    <w:rsid w:val="00FA28BA"/>
    <w:rsid w:val="00FA2A82"/>
    <w:rsid w:val="00FA2C8F"/>
    <w:rsid w:val="00FA2C9D"/>
    <w:rsid w:val="00FA2D24"/>
    <w:rsid w:val="00FA2F27"/>
    <w:rsid w:val="00FA3182"/>
    <w:rsid w:val="00FA328D"/>
    <w:rsid w:val="00FA3A57"/>
    <w:rsid w:val="00FA3A87"/>
    <w:rsid w:val="00FA3B9F"/>
    <w:rsid w:val="00FA3BF5"/>
    <w:rsid w:val="00FA3C50"/>
    <w:rsid w:val="00FA4150"/>
    <w:rsid w:val="00FA442F"/>
    <w:rsid w:val="00FA4437"/>
    <w:rsid w:val="00FA45DC"/>
    <w:rsid w:val="00FA4974"/>
    <w:rsid w:val="00FA4BFE"/>
    <w:rsid w:val="00FA5006"/>
    <w:rsid w:val="00FA5162"/>
    <w:rsid w:val="00FA5436"/>
    <w:rsid w:val="00FA5766"/>
    <w:rsid w:val="00FA59F4"/>
    <w:rsid w:val="00FA5D3B"/>
    <w:rsid w:val="00FA610D"/>
    <w:rsid w:val="00FA6458"/>
    <w:rsid w:val="00FA6D9C"/>
    <w:rsid w:val="00FA7131"/>
    <w:rsid w:val="00FA7D35"/>
    <w:rsid w:val="00FA7D7D"/>
    <w:rsid w:val="00FB0788"/>
    <w:rsid w:val="00FB0896"/>
    <w:rsid w:val="00FB0A37"/>
    <w:rsid w:val="00FB0E1E"/>
    <w:rsid w:val="00FB13D5"/>
    <w:rsid w:val="00FB1A85"/>
    <w:rsid w:val="00FB2552"/>
    <w:rsid w:val="00FB28DD"/>
    <w:rsid w:val="00FB2E72"/>
    <w:rsid w:val="00FB35EB"/>
    <w:rsid w:val="00FB368F"/>
    <w:rsid w:val="00FB382A"/>
    <w:rsid w:val="00FB389A"/>
    <w:rsid w:val="00FB394E"/>
    <w:rsid w:val="00FB3A64"/>
    <w:rsid w:val="00FB3B80"/>
    <w:rsid w:val="00FB3F62"/>
    <w:rsid w:val="00FB4107"/>
    <w:rsid w:val="00FB440B"/>
    <w:rsid w:val="00FB443B"/>
    <w:rsid w:val="00FB4776"/>
    <w:rsid w:val="00FB5022"/>
    <w:rsid w:val="00FB5574"/>
    <w:rsid w:val="00FB565D"/>
    <w:rsid w:val="00FB58E6"/>
    <w:rsid w:val="00FB5A62"/>
    <w:rsid w:val="00FB5F93"/>
    <w:rsid w:val="00FB6029"/>
    <w:rsid w:val="00FB602B"/>
    <w:rsid w:val="00FB6044"/>
    <w:rsid w:val="00FB609A"/>
    <w:rsid w:val="00FB620D"/>
    <w:rsid w:val="00FB65AA"/>
    <w:rsid w:val="00FB6603"/>
    <w:rsid w:val="00FB6678"/>
    <w:rsid w:val="00FB6725"/>
    <w:rsid w:val="00FB6A44"/>
    <w:rsid w:val="00FB6D36"/>
    <w:rsid w:val="00FB6F67"/>
    <w:rsid w:val="00FB6FB1"/>
    <w:rsid w:val="00FB74EC"/>
    <w:rsid w:val="00FB76BD"/>
    <w:rsid w:val="00FB791A"/>
    <w:rsid w:val="00FB7945"/>
    <w:rsid w:val="00FC0429"/>
    <w:rsid w:val="00FC05F0"/>
    <w:rsid w:val="00FC0973"/>
    <w:rsid w:val="00FC0A54"/>
    <w:rsid w:val="00FC0AD7"/>
    <w:rsid w:val="00FC0BED"/>
    <w:rsid w:val="00FC0D03"/>
    <w:rsid w:val="00FC10DE"/>
    <w:rsid w:val="00FC10E8"/>
    <w:rsid w:val="00FC1256"/>
    <w:rsid w:val="00FC136A"/>
    <w:rsid w:val="00FC1761"/>
    <w:rsid w:val="00FC185D"/>
    <w:rsid w:val="00FC1D3D"/>
    <w:rsid w:val="00FC1F2B"/>
    <w:rsid w:val="00FC1F6A"/>
    <w:rsid w:val="00FC241A"/>
    <w:rsid w:val="00FC26EB"/>
    <w:rsid w:val="00FC26F8"/>
    <w:rsid w:val="00FC2A09"/>
    <w:rsid w:val="00FC2ACE"/>
    <w:rsid w:val="00FC2C98"/>
    <w:rsid w:val="00FC2CCF"/>
    <w:rsid w:val="00FC2D5F"/>
    <w:rsid w:val="00FC3367"/>
    <w:rsid w:val="00FC3688"/>
    <w:rsid w:val="00FC3754"/>
    <w:rsid w:val="00FC3997"/>
    <w:rsid w:val="00FC3AAD"/>
    <w:rsid w:val="00FC3B39"/>
    <w:rsid w:val="00FC3C62"/>
    <w:rsid w:val="00FC3C6D"/>
    <w:rsid w:val="00FC45F7"/>
    <w:rsid w:val="00FC46F5"/>
    <w:rsid w:val="00FC4833"/>
    <w:rsid w:val="00FC4D2B"/>
    <w:rsid w:val="00FC4E7C"/>
    <w:rsid w:val="00FC51B1"/>
    <w:rsid w:val="00FC5603"/>
    <w:rsid w:val="00FC56FA"/>
    <w:rsid w:val="00FC5A47"/>
    <w:rsid w:val="00FC5B74"/>
    <w:rsid w:val="00FC5BCB"/>
    <w:rsid w:val="00FC5BD2"/>
    <w:rsid w:val="00FC5C84"/>
    <w:rsid w:val="00FC5D07"/>
    <w:rsid w:val="00FC62EE"/>
    <w:rsid w:val="00FC646F"/>
    <w:rsid w:val="00FC67EB"/>
    <w:rsid w:val="00FC71E5"/>
    <w:rsid w:val="00FC74E5"/>
    <w:rsid w:val="00FC7566"/>
    <w:rsid w:val="00FC764F"/>
    <w:rsid w:val="00FC7A59"/>
    <w:rsid w:val="00FC7A90"/>
    <w:rsid w:val="00FC7C48"/>
    <w:rsid w:val="00FD039F"/>
    <w:rsid w:val="00FD03AF"/>
    <w:rsid w:val="00FD0422"/>
    <w:rsid w:val="00FD0916"/>
    <w:rsid w:val="00FD0987"/>
    <w:rsid w:val="00FD0AC3"/>
    <w:rsid w:val="00FD0B28"/>
    <w:rsid w:val="00FD0CC1"/>
    <w:rsid w:val="00FD15D0"/>
    <w:rsid w:val="00FD17BA"/>
    <w:rsid w:val="00FD18A5"/>
    <w:rsid w:val="00FD18F6"/>
    <w:rsid w:val="00FD1D97"/>
    <w:rsid w:val="00FD1F29"/>
    <w:rsid w:val="00FD242A"/>
    <w:rsid w:val="00FD24E5"/>
    <w:rsid w:val="00FD2525"/>
    <w:rsid w:val="00FD254E"/>
    <w:rsid w:val="00FD257E"/>
    <w:rsid w:val="00FD25C6"/>
    <w:rsid w:val="00FD2A21"/>
    <w:rsid w:val="00FD2C9D"/>
    <w:rsid w:val="00FD2F74"/>
    <w:rsid w:val="00FD2F83"/>
    <w:rsid w:val="00FD3B94"/>
    <w:rsid w:val="00FD40DD"/>
    <w:rsid w:val="00FD43B3"/>
    <w:rsid w:val="00FD476D"/>
    <w:rsid w:val="00FD4791"/>
    <w:rsid w:val="00FD4F1D"/>
    <w:rsid w:val="00FD526D"/>
    <w:rsid w:val="00FD6295"/>
    <w:rsid w:val="00FD6345"/>
    <w:rsid w:val="00FD6D0F"/>
    <w:rsid w:val="00FD6F38"/>
    <w:rsid w:val="00FD7727"/>
    <w:rsid w:val="00FD7FB6"/>
    <w:rsid w:val="00FE000C"/>
    <w:rsid w:val="00FE0514"/>
    <w:rsid w:val="00FE07A0"/>
    <w:rsid w:val="00FE092D"/>
    <w:rsid w:val="00FE0ACB"/>
    <w:rsid w:val="00FE0C11"/>
    <w:rsid w:val="00FE0C9B"/>
    <w:rsid w:val="00FE0E59"/>
    <w:rsid w:val="00FE0F4E"/>
    <w:rsid w:val="00FE1118"/>
    <w:rsid w:val="00FE1281"/>
    <w:rsid w:val="00FE157E"/>
    <w:rsid w:val="00FE1D36"/>
    <w:rsid w:val="00FE22C4"/>
    <w:rsid w:val="00FE28AA"/>
    <w:rsid w:val="00FE28AF"/>
    <w:rsid w:val="00FE2903"/>
    <w:rsid w:val="00FE2BC9"/>
    <w:rsid w:val="00FE30ED"/>
    <w:rsid w:val="00FE3186"/>
    <w:rsid w:val="00FE3752"/>
    <w:rsid w:val="00FE37BA"/>
    <w:rsid w:val="00FE38E0"/>
    <w:rsid w:val="00FE3F71"/>
    <w:rsid w:val="00FE400F"/>
    <w:rsid w:val="00FE4057"/>
    <w:rsid w:val="00FE40E5"/>
    <w:rsid w:val="00FE4143"/>
    <w:rsid w:val="00FE4258"/>
    <w:rsid w:val="00FE4739"/>
    <w:rsid w:val="00FE4A1A"/>
    <w:rsid w:val="00FE4B96"/>
    <w:rsid w:val="00FE4BB4"/>
    <w:rsid w:val="00FE4D2E"/>
    <w:rsid w:val="00FE4DB2"/>
    <w:rsid w:val="00FE51CF"/>
    <w:rsid w:val="00FE5885"/>
    <w:rsid w:val="00FE5A38"/>
    <w:rsid w:val="00FE5CDD"/>
    <w:rsid w:val="00FE5D56"/>
    <w:rsid w:val="00FE6455"/>
    <w:rsid w:val="00FE6701"/>
    <w:rsid w:val="00FE67AA"/>
    <w:rsid w:val="00FE681D"/>
    <w:rsid w:val="00FE689A"/>
    <w:rsid w:val="00FE695C"/>
    <w:rsid w:val="00FE6A88"/>
    <w:rsid w:val="00FE6C7D"/>
    <w:rsid w:val="00FE6D91"/>
    <w:rsid w:val="00FE74DF"/>
    <w:rsid w:val="00FE76B7"/>
    <w:rsid w:val="00FE7734"/>
    <w:rsid w:val="00FE7A4F"/>
    <w:rsid w:val="00FE7DFE"/>
    <w:rsid w:val="00FE7F06"/>
    <w:rsid w:val="00FE7FC9"/>
    <w:rsid w:val="00FF0408"/>
    <w:rsid w:val="00FF051C"/>
    <w:rsid w:val="00FF0730"/>
    <w:rsid w:val="00FF0740"/>
    <w:rsid w:val="00FF0805"/>
    <w:rsid w:val="00FF0A4A"/>
    <w:rsid w:val="00FF0DBD"/>
    <w:rsid w:val="00FF0E39"/>
    <w:rsid w:val="00FF1199"/>
    <w:rsid w:val="00FF1284"/>
    <w:rsid w:val="00FF152A"/>
    <w:rsid w:val="00FF1780"/>
    <w:rsid w:val="00FF17C6"/>
    <w:rsid w:val="00FF2100"/>
    <w:rsid w:val="00FF2AA6"/>
    <w:rsid w:val="00FF2BD5"/>
    <w:rsid w:val="00FF3168"/>
    <w:rsid w:val="00FF3775"/>
    <w:rsid w:val="00FF398A"/>
    <w:rsid w:val="00FF3A07"/>
    <w:rsid w:val="00FF3D49"/>
    <w:rsid w:val="00FF3FEA"/>
    <w:rsid w:val="00FF41BB"/>
    <w:rsid w:val="00FF441F"/>
    <w:rsid w:val="00FF46C7"/>
    <w:rsid w:val="00FF47D2"/>
    <w:rsid w:val="00FF4905"/>
    <w:rsid w:val="00FF49CF"/>
    <w:rsid w:val="00FF49E4"/>
    <w:rsid w:val="00FF4C68"/>
    <w:rsid w:val="00FF5008"/>
    <w:rsid w:val="00FF61D1"/>
    <w:rsid w:val="00FF633E"/>
    <w:rsid w:val="00FF6538"/>
    <w:rsid w:val="00FF65A7"/>
    <w:rsid w:val="00FF67FA"/>
    <w:rsid w:val="00FF6945"/>
    <w:rsid w:val="00FF6A49"/>
    <w:rsid w:val="00FF77CF"/>
    <w:rsid w:val="00FF7B86"/>
    <w:rsid w:val="0109D881"/>
    <w:rsid w:val="0113AF3D"/>
    <w:rsid w:val="0132F5F9"/>
    <w:rsid w:val="015F43DB"/>
    <w:rsid w:val="0161954D"/>
    <w:rsid w:val="016BEC8D"/>
    <w:rsid w:val="01785318"/>
    <w:rsid w:val="01794550"/>
    <w:rsid w:val="0185F246"/>
    <w:rsid w:val="01A28AA3"/>
    <w:rsid w:val="01AF7017"/>
    <w:rsid w:val="01B92AC8"/>
    <w:rsid w:val="01C5AA29"/>
    <w:rsid w:val="020187D3"/>
    <w:rsid w:val="02114DBC"/>
    <w:rsid w:val="0218BCFF"/>
    <w:rsid w:val="022869BE"/>
    <w:rsid w:val="024F324F"/>
    <w:rsid w:val="026336F3"/>
    <w:rsid w:val="0284ADCC"/>
    <w:rsid w:val="02B69F38"/>
    <w:rsid w:val="02B91EBB"/>
    <w:rsid w:val="02FD6293"/>
    <w:rsid w:val="03329121"/>
    <w:rsid w:val="033F6C28"/>
    <w:rsid w:val="037C9473"/>
    <w:rsid w:val="03843472"/>
    <w:rsid w:val="03B3A3EE"/>
    <w:rsid w:val="043166C7"/>
    <w:rsid w:val="0438B33C"/>
    <w:rsid w:val="0461DD62"/>
    <w:rsid w:val="046C220C"/>
    <w:rsid w:val="04979BCC"/>
    <w:rsid w:val="04D07872"/>
    <w:rsid w:val="04D0AB43"/>
    <w:rsid w:val="04D7368C"/>
    <w:rsid w:val="051BD608"/>
    <w:rsid w:val="0531677E"/>
    <w:rsid w:val="055E0EB5"/>
    <w:rsid w:val="0564F725"/>
    <w:rsid w:val="0567CFEC"/>
    <w:rsid w:val="05BA555D"/>
    <w:rsid w:val="05C153CE"/>
    <w:rsid w:val="05D04A19"/>
    <w:rsid w:val="05F5340C"/>
    <w:rsid w:val="05FABC7B"/>
    <w:rsid w:val="06187D1E"/>
    <w:rsid w:val="0639F304"/>
    <w:rsid w:val="067FF620"/>
    <w:rsid w:val="069EAD1A"/>
    <w:rsid w:val="06EEB032"/>
    <w:rsid w:val="070058E3"/>
    <w:rsid w:val="0710334E"/>
    <w:rsid w:val="072A79CF"/>
    <w:rsid w:val="0772BCBD"/>
    <w:rsid w:val="0795D66B"/>
    <w:rsid w:val="07B57E8C"/>
    <w:rsid w:val="07B9D93B"/>
    <w:rsid w:val="07C09375"/>
    <w:rsid w:val="07F0B381"/>
    <w:rsid w:val="07F7AC6A"/>
    <w:rsid w:val="08226E63"/>
    <w:rsid w:val="0856384B"/>
    <w:rsid w:val="08849539"/>
    <w:rsid w:val="08A2FD27"/>
    <w:rsid w:val="08B9D691"/>
    <w:rsid w:val="08C48162"/>
    <w:rsid w:val="08CCA09D"/>
    <w:rsid w:val="08E4DED9"/>
    <w:rsid w:val="08FCE6E7"/>
    <w:rsid w:val="08FFF51E"/>
    <w:rsid w:val="09165B65"/>
    <w:rsid w:val="093A82E2"/>
    <w:rsid w:val="09560ADB"/>
    <w:rsid w:val="09660FA2"/>
    <w:rsid w:val="096813F7"/>
    <w:rsid w:val="0980544A"/>
    <w:rsid w:val="09CA285A"/>
    <w:rsid w:val="0A0330EC"/>
    <w:rsid w:val="0A11B223"/>
    <w:rsid w:val="0A243675"/>
    <w:rsid w:val="0A6C93DD"/>
    <w:rsid w:val="0AA6737C"/>
    <w:rsid w:val="0AAD3F7F"/>
    <w:rsid w:val="0AADDF8D"/>
    <w:rsid w:val="0AB72DD9"/>
    <w:rsid w:val="0AD7DD1F"/>
    <w:rsid w:val="0AE4690B"/>
    <w:rsid w:val="0AFC490B"/>
    <w:rsid w:val="0B001AE0"/>
    <w:rsid w:val="0B1E55F7"/>
    <w:rsid w:val="0B64FCFA"/>
    <w:rsid w:val="0B696537"/>
    <w:rsid w:val="0B7AC496"/>
    <w:rsid w:val="0BD559DF"/>
    <w:rsid w:val="0BE9A11C"/>
    <w:rsid w:val="0BFE8F7D"/>
    <w:rsid w:val="0C0AB329"/>
    <w:rsid w:val="0C3DB113"/>
    <w:rsid w:val="0C490FE0"/>
    <w:rsid w:val="0C969827"/>
    <w:rsid w:val="0C977738"/>
    <w:rsid w:val="0CA70247"/>
    <w:rsid w:val="0CFE7126"/>
    <w:rsid w:val="0D00C33F"/>
    <w:rsid w:val="0D3D4552"/>
    <w:rsid w:val="0D51AD30"/>
    <w:rsid w:val="0D61A2E7"/>
    <w:rsid w:val="0D7A055F"/>
    <w:rsid w:val="0D973416"/>
    <w:rsid w:val="0DEA1204"/>
    <w:rsid w:val="0E0A91EF"/>
    <w:rsid w:val="0E0D420E"/>
    <w:rsid w:val="0E2F90B8"/>
    <w:rsid w:val="0E569BDA"/>
    <w:rsid w:val="0E593AE8"/>
    <w:rsid w:val="0EAED22B"/>
    <w:rsid w:val="0EB27C1C"/>
    <w:rsid w:val="0ECD7028"/>
    <w:rsid w:val="0EDA4A82"/>
    <w:rsid w:val="0F375C1B"/>
    <w:rsid w:val="0F426006"/>
    <w:rsid w:val="0F49E7E7"/>
    <w:rsid w:val="0FCAF239"/>
    <w:rsid w:val="1006C256"/>
    <w:rsid w:val="106338BE"/>
    <w:rsid w:val="106A7250"/>
    <w:rsid w:val="10968BA3"/>
    <w:rsid w:val="1102D7A9"/>
    <w:rsid w:val="1104C8F1"/>
    <w:rsid w:val="11A5B71B"/>
    <w:rsid w:val="11C28986"/>
    <w:rsid w:val="11CE92A5"/>
    <w:rsid w:val="11D54505"/>
    <w:rsid w:val="11F55983"/>
    <w:rsid w:val="11F8C3E2"/>
    <w:rsid w:val="120176A9"/>
    <w:rsid w:val="120662F9"/>
    <w:rsid w:val="121D8F65"/>
    <w:rsid w:val="121E18FF"/>
    <w:rsid w:val="12372807"/>
    <w:rsid w:val="12518DD8"/>
    <w:rsid w:val="12731EF2"/>
    <w:rsid w:val="12C79595"/>
    <w:rsid w:val="12CD278F"/>
    <w:rsid w:val="12F2032D"/>
    <w:rsid w:val="12F478BA"/>
    <w:rsid w:val="12F9D70C"/>
    <w:rsid w:val="12FF7800"/>
    <w:rsid w:val="13266183"/>
    <w:rsid w:val="13284115"/>
    <w:rsid w:val="1363D98E"/>
    <w:rsid w:val="139BB222"/>
    <w:rsid w:val="13A5DD28"/>
    <w:rsid w:val="13DF93A4"/>
    <w:rsid w:val="142AF617"/>
    <w:rsid w:val="142E9CBF"/>
    <w:rsid w:val="14377050"/>
    <w:rsid w:val="145297EC"/>
    <w:rsid w:val="146B8C50"/>
    <w:rsid w:val="14869049"/>
    <w:rsid w:val="149908CE"/>
    <w:rsid w:val="14B45E75"/>
    <w:rsid w:val="15001497"/>
    <w:rsid w:val="15309D4E"/>
    <w:rsid w:val="15379C9C"/>
    <w:rsid w:val="15390055"/>
    <w:rsid w:val="15584A95"/>
    <w:rsid w:val="15D9A372"/>
    <w:rsid w:val="15F9D3AC"/>
    <w:rsid w:val="16000A49"/>
    <w:rsid w:val="1622FF14"/>
    <w:rsid w:val="1638A05D"/>
    <w:rsid w:val="16546103"/>
    <w:rsid w:val="1680F952"/>
    <w:rsid w:val="16F663BD"/>
    <w:rsid w:val="170DB514"/>
    <w:rsid w:val="1715E149"/>
    <w:rsid w:val="174EF8C0"/>
    <w:rsid w:val="174FBDD3"/>
    <w:rsid w:val="1753B258"/>
    <w:rsid w:val="17817EE9"/>
    <w:rsid w:val="179446CD"/>
    <w:rsid w:val="17A5E4CB"/>
    <w:rsid w:val="17BB5EC2"/>
    <w:rsid w:val="17F66BB9"/>
    <w:rsid w:val="17FE6437"/>
    <w:rsid w:val="1830E42E"/>
    <w:rsid w:val="183E9431"/>
    <w:rsid w:val="185BDC93"/>
    <w:rsid w:val="1867959C"/>
    <w:rsid w:val="18737116"/>
    <w:rsid w:val="18771AAB"/>
    <w:rsid w:val="18D361F6"/>
    <w:rsid w:val="1937A450"/>
    <w:rsid w:val="193F7AE6"/>
    <w:rsid w:val="19907021"/>
    <w:rsid w:val="1994183F"/>
    <w:rsid w:val="19A444DF"/>
    <w:rsid w:val="19BA1E29"/>
    <w:rsid w:val="1A2494F3"/>
    <w:rsid w:val="1A3167FC"/>
    <w:rsid w:val="1A472644"/>
    <w:rsid w:val="1A6C11FC"/>
    <w:rsid w:val="1A77B755"/>
    <w:rsid w:val="1A8687F5"/>
    <w:rsid w:val="1A8B27D3"/>
    <w:rsid w:val="1A914EB1"/>
    <w:rsid w:val="1A9908AB"/>
    <w:rsid w:val="1AB9122B"/>
    <w:rsid w:val="1ABDAF76"/>
    <w:rsid w:val="1ACBBC18"/>
    <w:rsid w:val="1B0CA12D"/>
    <w:rsid w:val="1B0DCDA6"/>
    <w:rsid w:val="1B1DFAF9"/>
    <w:rsid w:val="1B285DE8"/>
    <w:rsid w:val="1B350D9E"/>
    <w:rsid w:val="1B55950B"/>
    <w:rsid w:val="1B5C371D"/>
    <w:rsid w:val="1B671920"/>
    <w:rsid w:val="1B6831CD"/>
    <w:rsid w:val="1B6DB0DD"/>
    <w:rsid w:val="1B72C37F"/>
    <w:rsid w:val="1B92E824"/>
    <w:rsid w:val="1BC80502"/>
    <w:rsid w:val="1C0EAC18"/>
    <w:rsid w:val="1C50873A"/>
    <w:rsid w:val="1C669928"/>
    <w:rsid w:val="1C698CC1"/>
    <w:rsid w:val="1C804529"/>
    <w:rsid w:val="1C842587"/>
    <w:rsid w:val="1C8BD696"/>
    <w:rsid w:val="1C928760"/>
    <w:rsid w:val="1CAD8AF1"/>
    <w:rsid w:val="1CB26EDA"/>
    <w:rsid w:val="1CB94806"/>
    <w:rsid w:val="1CDF2B31"/>
    <w:rsid w:val="1CFEF0B5"/>
    <w:rsid w:val="1D06039E"/>
    <w:rsid w:val="1D0D7E5C"/>
    <w:rsid w:val="1D3BE961"/>
    <w:rsid w:val="1D6AB8AA"/>
    <w:rsid w:val="1D778C53"/>
    <w:rsid w:val="1D878B37"/>
    <w:rsid w:val="1D94EE8D"/>
    <w:rsid w:val="1DAEA031"/>
    <w:rsid w:val="1DD4A922"/>
    <w:rsid w:val="1DE47DF8"/>
    <w:rsid w:val="1DE5D9B1"/>
    <w:rsid w:val="1DEAC22F"/>
    <w:rsid w:val="1DFC31AC"/>
    <w:rsid w:val="1E4C6C3A"/>
    <w:rsid w:val="1E518847"/>
    <w:rsid w:val="1E71985D"/>
    <w:rsid w:val="1E7FC076"/>
    <w:rsid w:val="1E8241E6"/>
    <w:rsid w:val="1E99BC8E"/>
    <w:rsid w:val="1EA7A2FE"/>
    <w:rsid w:val="1ECC6700"/>
    <w:rsid w:val="1EDC89AC"/>
    <w:rsid w:val="1EF133FE"/>
    <w:rsid w:val="1F0714FB"/>
    <w:rsid w:val="1F5A3840"/>
    <w:rsid w:val="1FB69F0C"/>
    <w:rsid w:val="1FBEEB1B"/>
    <w:rsid w:val="1FE2E79B"/>
    <w:rsid w:val="1FE923AA"/>
    <w:rsid w:val="202A84FF"/>
    <w:rsid w:val="20321E83"/>
    <w:rsid w:val="20563EC2"/>
    <w:rsid w:val="207839D2"/>
    <w:rsid w:val="20AF5EE7"/>
    <w:rsid w:val="20BCD973"/>
    <w:rsid w:val="20F5CCC5"/>
    <w:rsid w:val="21040329"/>
    <w:rsid w:val="2124E10E"/>
    <w:rsid w:val="21301315"/>
    <w:rsid w:val="2136316D"/>
    <w:rsid w:val="213B6C94"/>
    <w:rsid w:val="2164B11D"/>
    <w:rsid w:val="2176F9F1"/>
    <w:rsid w:val="21B715EC"/>
    <w:rsid w:val="21B80EBD"/>
    <w:rsid w:val="222F7226"/>
    <w:rsid w:val="225E04A1"/>
    <w:rsid w:val="22604B6D"/>
    <w:rsid w:val="226E7832"/>
    <w:rsid w:val="22704396"/>
    <w:rsid w:val="22867D0B"/>
    <w:rsid w:val="22931C6A"/>
    <w:rsid w:val="22B34895"/>
    <w:rsid w:val="22B6D992"/>
    <w:rsid w:val="22CEEE2F"/>
    <w:rsid w:val="22D4B2CB"/>
    <w:rsid w:val="22DB10D5"/>
    <w:rsid w:val="22F88D91"/>
    <w:rsid w:val="23171839"/>
    <w:rsid w:val="2362E4FF"/>
    <w:rsid w:val="23679D61"/>
    <w:rsid w:val="23BD387D"/>
    <w:rsid w:val="23C354DA"/>
    <w:rsid w:val="23C90192"/>
    <w:rsid w:val="23E35FE6"/>
    <w:rsid w:val="2412430F"/>
    <w:rsid w:val="2470B9AA"/>
    <w:rsid w:val="248352F7"/>
    <w:rsid w:val="2484D748"/>
    <w:rsid w:val="2489E3F9"/>
    <w:rsid w:val="248BB9A6"/>
    <w:rsid w:val="2495591F"/>
    <w:rsid w:val="24D1808B"/>
    <w:rsid w:val="24E52C3B"/>
    <w:rsid w:val="254B1364"/>
    <w:rsid w:val="254B3ED1"/>
    <w:rsid w:val="254E7673"/>
    <w:rsid w:val="255C36BC"/>
    <w:rsid w:val="2573CA15"/>
    <w:rsid w:val="259514D1"/>
    <w:rsid w:val="25A49B5E"/>
    <w:rsid w:val="25BEFC88"/>
    <w:rsid w:val="25E0028C"/>
    <w:rsid w:val="261D96BD"/>
    <w:rsid w:val="26647A19"/>
    <w:rsid w:val="266D8EA0"/>
    <w:rsid w:val="2679A41F"/>
    <w:rsid w:val="267E7F9B"/>
    <w:rsid w:val="26A29A26"/>
    <w:rsid w:val="27208E40"/>
    <w:rsid w:val="273F6FE0"/>
    <w:rsid w:val="2769373F"/>
    <w:rsid w:val="27A3A029"/>
    <w:rsid w:val="2802AE85"/>
    <w:rsid w:val="284ED6BD"/>
    <w:rsid w:val="28500FE9"/>
    <w:rsid w:val="285E4911"/>
    <w:rsid w:val="289F1020"/>
    <w:rsid w:val="28E049DD"/>
    <w:rsid w:val="28F0239D"/>
    <w:rsid w:val="28F1779B"/>
    <w:rsid w:val="290E5B8A"/>
    <w:rsid w:val="2932260F"/>
    <w:rsid w:val="2A250113"/>
    <w:rsid w:val="2A31D4BB"/>
    <w:rsid w:val="2A4C5CE2"/>
    <w:rsid w:val="2A5A6E68"/>
    <w:rsid w:val="2A842ADA"/>
    <w:rsid w:val="2AF061ED"/>
    <w:rsid w:val="2B040E11"/>
    <w:rsid w:val="2B359BB7"/>
    <w:rsid w:val="2B4C1B03"/>
    <w:rsid w:val="2B5BF396"/>
    <w:rsid w:val="2B6FFD9A"/>
    <w:rsid w:val="2BB32F10"/>
    <w:rsid w:val="2BC16A80"/>
    <w:rsid w:val="2BD95D02"/>
    <w:rsid w:val="2BF6DF62"/>
    <w:rsid w:val="2BF7C36F"/>
    <w:rsid w:val="2C3C3B54"/>
    <w:rsid w:val="2C4B2E37"/>
    <w:rsid w:val="2C593A91"/>
    <w:rsid w:val="2C6664C5"/>
    <w:rsid w:val="2C691CDD"/>
    <w:rsid w:val="2C78F042"/>
    <w:rsid w:val="2C7C2BDA"/>
    <w:rsid w:val="2CA46167"/>
    <w:rsid w:val="2CEC6154"/>
    <w:rsid w:val="2CEDDFB0"/>
    <w:rsid w:val="2CFC8B61"/>
    <w:rsid w:val="2D05101F"/>
    <w:rsid w:val="2D6A0A0C"/>
    <w:rsid w:val="2D70C501"/>
    <w:rsid w:val="2D7CD4EB"/>
    <w:rsid w:val="2D9416DA"/>
    <w:rsid w:val="2D9E114F"/>
    <w:rsid w:val="2DFC12E1"/>
    <w:rsid w:val="2E2142D0"/>
    <w:rsid w:val="2E33A703"/>
    <w:rsid w:val="2EC0AA40"/>
    <w:rsid w:val="2EDF436D"/>
    <w:rsid w:val="2EF8EB04"/>
    <w:rsid w:val="2F1243AC"/>
    <w:rsid w:val="2F2ADCBE"/>
    <w:rsid w:val="2F5F9313"/>
    <w:rsid w:val="2FAF547E"/>
    <w:rsid w:val="2FDAC07A"/>
    <w:rsid w:val="2FEA0B30"/>
    <w:rsid w:val="300004A5"/>
    <w:rsid w:val="30383B34"/>
    <w:rsid w:val="303CC08E"/>
    <w:rsid w:val="30723F47"/>
    <w:rsid w:val="30AB7079"/>
    <w:rsid w:val="310F36F3"/>
    <w:rsid w:val="313C3A24"/>
    <w:rsid w:val="3144846E"/>
    <w:rsid w:val="314844E2"/>
    <w:rsid w:val="314FA794"/>
    <w:rsid w:val="31D1BA23"/>
    <w:rsid w:val="3256605F"/>
    <w:rsid w:val="326AC175"/>
    <w:rsid w:val="32AE59D2"/>
    <w:rsid w:val="3327B4C2"/>
    <w:rsid w:val="335939B8"/>
    <w:rsid w:val="3366655F"/>
    <w:rsid w:val="339EDC18"/>
    <w:rsid w:val="33B8E330"/>
    <w:rsid w:val="33C8D9D2"/>
    <w:rsid w:val="33E55002"/>
    <w:rsid w:val="3441821B"/>
    <w:rsid w:val="34479361"/>
    <w:rsid w:val="34BAE259"/>
    <w:rsid w:val="34C99EF7"/>
    <w:rsid w:val="34FF4B19"/>
    <w:rsid w:val="350BF7F9"/>
    <w:rsid w:val="351F0482"/>
    <w:rsid w:val="35C57257"/>
    <w:rsid w:val="35E81420"/>
    <w:rsid w:val="35EB0803"/>
    <w:rsid w:val="360DCC4C"/>
    <w:rsid w:val="364F8F96"/>
    <w:rsid w:val="367486F5"/>
    <w:rsid w:val="36905CD1"/>
    <w:rsid w:val="3694AFEF"/>
    <w:rsid w:val="36B500A8"/>
    <w:rsid w:val="36D48682"/>
    <w:rsid w:val="374CB953"/>
    <w:rsid w:val="3774613E"/>
    <w:rsid w:val="37BE39CF"/>
    <w:rsid w:val="37D59BC4"/>
    <w:rsid w:val="37ECB932"/>
    <w:rsid w:val="37ED737A"/>
    <w:rsid w:val="381E5988"/>
    <w:rsid w:val="38253E3A"/>
    <w:rsid w:val="38303332"/>
    <w:rsid w:val="383AB589"/>
    <w:rsid w:val="383D7651"/>
    <w:rsid w:val="38547E34"/>
    <w:rsid w:val="38662A69"/>
    <w:rsid w:val="3872AC1B"/>
    <w:rsid w:val="389DF623"/>
    <w:rsid w:val="38DC16E4"/>
    <w:rsid w:val="38E23128"/>
    <w:rsid w:val="38F63C68"/>
    <w:rsid w:val="3915B607"/>
    <w:rsid w:val="394AF3D9"/>
    <w:rsid w:val="394F6B3D"/>
    <w:rsid w:val="39B9710C"/>
    <w:rsid w:val="39EA25F0"/>
    <w:rsid w:val="3A22DD19"/>
    <w:rsid w:val="3A6BC409"/>
    <w:rsid w:val="3A784181"/>
    <w:rsid w:val="3A7A9F72"/>
    <w:rsid w:val="3ADB270F"/>
    <w:rsid w:val="3B7B34E8"/>
    <w:rsid w:val="3B916887"/>
    <w:rsid w:val="3BB614FA"/>
    <w:rsid w:val="3BC0A37E"/>
    <w:rsid w:val="3BC59ECE"/>
    <w:rsid w:val="3BD232F9"/>
    <w:rsid w:val="3BDCC297"/>
    <w:rsid w:val="3BE212C8"/>
    <w:rsid w:val="3C003D6F"/>
    <w:rsid w:val="3C455CE5"/>
    <w:rsid w:val="3C802FDC"/>
    <w:rsid w:val="3CA3E1E8"/>
    <w:rsid w:val="3CAD094E"/>
    <w:rsid w:val="3D397463"/>
    <w:rsid w:val="3D4B2E1C"/>
    <w:rsid w:val="3D501D14"/>
    <w:rsid w:val="3D52C6B8"/>
    <w:rsid w:val="3E180CDC"/>
    <w:rsid w:val="3E26FF83"/>
    <w:rsid w:val="3E2BCCBA"/>
    <w:rsid w:val="3E33B179"/>
    <w:rsid w:val="3E64680F"/>
    <w:rsid w:val="3EA6FAB9"/>
    <w:rsid w:val="3EB4E107"/>
    <w:rsid w:val="3ED8298A"/>
    <w:rsid w:val="3EE9CF9C"/>
    <w:rsid w:val="3F15A412"/>
    <w:rsid w:val="3F1D5D60"/>
    <w:rsid w:val="3F751DC2"/>
    <w:rsid w:val="3F7580D1"/>
    <w:rsid w:val="3F9119A0"/>
    <w:rsid w:val="3FA97B13"/>
    <w:rsid w:val="3FC0CD0A"/>
    <w:rsid w:val="3FD3D7AB"/>
    <w:rsid w:val="3FD7406D"/>
    <w:rsid w:val="3FEDE827"/>
    <w:rsid w:val="3FF0B9F7"/>
    <w:rsid w:val="4000F81A"/>
    <w:rsid w:val="402C1BCA"/>
    <w:rsid w:val="40371240"/>
    <w:rsid w:val="40B1954C"/>
    <w:rsid w:val="40BEFA19"/>
    <w:rsid w:val="40DFAACA"/>
    <w:rsid w:val="40EE6312"/>
    <w:rsid w:val="41115132"/>
    <w:rsid w:val="41299BD4"/>
    <w:rsid w:val="4132A383"/>
    <w:rsid w:val="41938418"/>
    <w:rsid w:val="41A36D3A"/>
    <w:rsid w:val="41AD23EE"/>
    <w:rsid w:val="41B89237"/>
    <w:rsid w:val="4262709C"/>
    <w:rsid w:val="4267C004"/>
    <w:rsid w:val="428283AF"/>
    <w:rsid w:val="428A8F6C"/>
    <w:rsid w:val="42CE73E4"/>
    <w:rsid w:val="432D5280"/>
    <w:rsid w:val="43B503D4"/>
    <w:rsid w:val="43C3E209"/>
    <w:rsid w:val="43DD8504"/>
    <w:rsid w:val="43E3F335"/>
    <w:rsid w:val="43FE4857"/>
    <w:rsid w:val="44068062"/>
    <w:rsid w:val="440F005D"/>
    <w:rsid w:val="442B862F"/>
    <w:rsid w:val="445C34B5"/>
    <w:rsid w:val="447B3308"/>
    <w:rsid w:val="44839ED7"/>
    <w:rsid w:val="448B505A"/>
    <w:rsid w:val="44AC4AAC"/>
    <w:rsid w:val="44D4AA12"/>
    <w:rsid w:val="44FD9DDE"/>
    <w:rsid w:val="450A5B2A"/>
    <w:rsid w:val="451EC26D"/>
    <w:rsid w:val="452B870D"/>
    <w:rsid w:val="456F3113"/>
    <w:rsid w:val="459F101A"/>
    <w:rsid w:val="45B02848"/>
    <w:rsid w:val="45E9C508"/>
    <w:rsid w:val="45F61F71"/>
    <w:rsid w:val="45FC5486"/>
    <w:rsid w:val="46365751"/>
    <w:rsid w:val="464E6499"/>
    <w:rsid w:val="46591F3E"/>
    <w:rsid w:val="46A37383"/>
    <w:rsid w:val="46C34386"/>
    <w:rsid w:val="46D3177A"/>
    <w:rsid w:val="475704E1"/>
    <w:rsid w:val="476791B0"/>
    <w:rsid w:val="4768C2D7"/>
    <w:rsid w:val="4776F344"/>
    <w:rsid w:val="47A3C639"/>
    <w:rsid w:val="47CF1F67"/>
    <w:rsid w:val="483534E3"/>
    <w:rsid w:val="487D0354"/>
    <w:rsid w:val="48829225"/>
    <w:rsid w:val="489F1F09"/>
    <w:rsid w:val="48C378EF"/>
    <w:rsid w:val="48E7873A"/>
    <w:rsid w:val="490B2840"/>
    <w:rsid w:val="493FC6C4"/>
    <w:rsid w:val="49690DA8"/>
    <w:rsid w:val="49983EC8"/>
    <w:rsid w:val="49A6343B"/>
    <w:rsid w:val="4A3CB0DA"/>
    <w:rsid w:val="4A5A7ED0"/>
    <w:rsid w:val="4A65FBFA"/>
    <w:rsid w:val="4AD60FAD"/>
    <w:rsid w:val="4AD8E9C0"/>
    <w:rsid w:val="4AF13040"/>
    <w:rsid w:val="4B1CF106"/>
    <w:rsid w:val="4B232029"/>
    <w:rsid w:val="4B241410"/>
    <w:rsid w:val="4B5F5993"/>
    <w:rsid w:val="4BDE26E6"/>
    <w:rsid w:val="4BED0D39"/>
    <w:rsid w:val="4C1BE4B7"/>
    <w:rsid w:val="4C2631E9"/>
    <w:rsid w:val="4C5A3003"/>
    <w:rsid w:val="4C9C4605"/>
    <w:rsid w:val="4CA19EF5"/>
    <w:rsid w:val="4CAAED99"/>
    <w:rsid w:val="4CAD4444"/>
    <w:rsid w:val="4CCB7DF2"/>
    <w:rsid w:val="4CD59FFD"/>
    <w:rsid w:val="4CD75BF4"/>
    <w:rsid w:val="4D09C042"/>
    <w:rsid w:val="4D582662"/>
    <w:rsid w:val="4D61EADF"/>
    <w:rsid w:val="4D64E03F"/>
    <w:rsid w:val="4D6AB4AB"/>
    <w:rsid w:val="4DCF559A"/>
    <w:rsid w:val="4DE1D25C"/>
    <w:rsid w:val="4E083463"/>
    <w:rsid w:val="4E10B389"/>
    <w:rsid w:val="4E304B2F"/>
    <w:rsid w:val="4E473CA6"/>
    <w:rsid w:val="4E4B3565"/>
    <w:rsid w:val="4E82219F"/>
    <w:rsid w:val="4E8FFE9B"/>
    <w:rsid w:val="4EC8A1AA"/>
    <w:rsid w:val="4EE53677"/>
    <w:rsid w:val="4EFFAD3D"/>
    <w:rsid w:val="4F41FADE"/>
    <w:rsid w:val="4F45B62F"/>
    <w:rsid w:val="4FA8F4D5"/>
    <w:rsid w:val="4FD9C3D6"/>
    <w:rsid w:val="500BDA47"/>
    <w:rsid w:val="5017F433"/>
    <w:rsid w:val="502DAB28"/>
    <w:rsid w:val="508589FE"/>
    <w:rsid w:val="50D41265"/>
    <w:rsid w:val="50EEE15F"/>
    <w:rsid w:val="51108E3F"/>
    <w:rsid w:val="51150590"/>
    <w:rsid w:val="51270C84"/>
    <w:rsid w:val="5138FD67"/>
    <w:rsid w:val="514EAAFA"/>
    <w:rsid w:val="516AEECB"/>
    <w:rsid w:val="516F0F2E"/>
    <w:rsid w:val="51787D58"/>
    <w:rsid w:val="5184AA38"/>
    <w:rsid w:val="518F4CD6"/>
    <w:rsid w:val="51D4C7D4"/>
    <w:rsid w:val="51E3207A"/>
    <w:rsid w:val="51FAFEDC"/>
    <w:rsid w:val="528AC138"/>
    <w:rsid w:val="52D397A2"/>
    <w:rsid w:val="53066CE1"/>
    <w:rsid w:val="5318C067"/>
    <w:rsid w:val="53494265"/>
    <w:rsid w:val="535FEC4D"/>
    <w:rsid w:val="539E1140"/>
    <w:rsid w:val="53C380E4"/>
    <w:rsid w:val="53F67BC6"/>
    <w:rsid w:val="544BAC58"/>
    <w:rsid w:val="545A8008"/>
    <w:rsid w:val="5461C4C6"/>
    <w:rsid w:val="5464DC55"/>
    <w:rsid w:val="54695923"/>
    <w:rsid w:val="547A5A25"/>
    <w:rsid w:val="54C535CB"/>
    <w:rsid w:val="54C6BA85"/>
    <w:rsid w:val="55135826"/>
    <w:rsid w:val="552733CD"/>
    <w:rsid w:val="5582D04F"/>
    <w:rsid w:val="55DFEE09"/>
    <w:rsid w:val="55EBF83D"/>
    <w:rsid w:val="55EC4869"/>
    <w:rsid w:val="55FDC10B"/>
    <w:rsid w:val="56184B2F"/>
    <w:rsid w:val="56290EEC"/>
    <w:rsid w:val="5638CAA4"/>
    <w:rsid w:val="572DA1B6"/>
    <w:rsid w:val="57584FF9"/>
    <w:rsid w:val="57750E9C"/>
    <w:rsid w:val="57809388"/>
    <w:rsid w:val="579D6B18"/>
    <w:rsid w:val="57C6FC1C"/>
    <w:rsid w:val="57D94884"/>
    <w:rsid w:val="57E7333D"/>
    <w:rsid w:val="57F78534"/>
    <w:rsid w:val="5814E831"/>
    <w:rsid w:val="588D5A62"/>
    <w:rsid w:val="589FB1D3"/>
    <w:rsid w:val="58B30369"/>
    <w:rsid w:val="58D43ABA"/>
    <w:rsid w:val="58DCB273"/>
    <w:rsid w:val="58E079C4"/>
    <w:rsid w:val="590A7380"/>
    <w:rsid w:val="5947512F"/>
    <w:rsid w:val="598B6311"/>
    <w:rsid w:val="5990A190"/>
    <w:rsid w:val="599A59BA"/>
    <w:rsid w:val="59B58EB1"/>
    <w:rsid w:val="59BF7CA9"/>
    <w:rsid w:val="59D5AFAE"/>
    <w:rsid w:val="59D768F0"/>
    <w:rsid w:val="59F92C50"/>
    <w:rsid w:val="5A0E793A"/>
    <w:rsid w:val="5A18E17E"/>
    <w:rsid w:val="5A2929D1"/>
    <w:rsid w:val="5A32E320"/>
    <w:rsid w:val="5A9676F8"/>
    <w:rsid w:val="5AC8A1F3"/>
    <w:rsid w:val="5AF8893A"/>
    <w:rsid w:val="5B091DE1"/>
    <w:rsid w:val="5B241C65"/>
    <w:rsid w:val="5B27B1CB"/>
    <w:rsid w:val="5BA0F16A"/>
    <w:rsid w:val="5BBEAC53"/>
    <w:rsid w:val="5BC16BF3"/>
    <w:rsid w:val="5BC2F077"/>
    <w:rsid w:val="5BCFDC2B"/>
    <w:rsid w:val="5BD05460"/>
    <w:rsid w:val="5BD78364"/>
    <w:rsid w:val="5BD7B49F"/>
    <w:rsid w:val="5C145181"/>
    <w:rsid w:val="5C35B82B"/>
    <w:rsid w:val="5C8E3338"/>
    <w:rsid w:val="5CAD4386"/>
    <w:rsid w:val="5CC4FBBE"/>
    <w:rsid w:val="5CEE8231"/>
    <w:rsid w:val="5CF3894A"/>
    <w:rsid w:val="5D2ACCF0"/>
    <w:rsid w:val="5D8E2640"/>
    <w:rsid w:val="5D91F05D"/>
    <w:rsid w:val="5DA389F6"/>
    <w:rsid w:val="5E0B713F"/>
    <w:rsid w:val="5E47E6D7"/>
    <w:rsid w:val="5E6C9BED"/>
    <w:rsid w:val="5EAD9C16"/>
    <w:rsid w:val="5F13128D"/>
    <w:rsid w:val="5F310146"/>
    <w:rsid w:val="5F312F11"/>
    <w:rsid w:val="5F6F81E2"/>
    <w:rsid w:val="5F94F63B"/>
    <w:rsid w:val="5FDAF007"/>
    <w:rsid w:val="5FE9B848"/>
    <w:rsid w:val="5FFCB4F6"/>
    <w:rsid w:val="600FBB85"/>
    <w:rsid w:val="601C5424"/>
    <w:rsid w:val="60E0FB47"/>
    <w:rsid w:val="60E6462D"/>
    <w:rsid w:val="611745A4"/>
    <w:rsid w:val="611EC39D"/>
    <w:rsid w:val="612A003A"/>
    <w:rsid w:val="614CFDDC"/>
    <w:rsid w:val="617169C7"/>
    <w:rsid w:val="61ACDBE0"/>
    <w:rsid w:val="61F5D6BA"/>
    <w:rsid w:val="62905C16"/>
    <w:rsid w:val="62A3E0AC"/>
    <w:rsid w:val="62C1E7EE"/>
    <w:rsid w:val="62F11420"/>
    <w:rsid w:val="6331123A"/>
    <w:rsid w:val="63375B5C"/>
    <w:rsid w:val="636F8D33"/>
    <w:rsid w:val="637D1C05"/>
    <w:rsid w:val="63C0D381"/>
    <w:rsid w:val="63CED31E"/>
    <w:rsid w:val="63D813FD"/>
    <w:rsid w:val="64431F1E"/>
    <w:rsid w:val="6451057D"/>
    <w:rsid w:val="646AF80F"/>
    <w:rsid w:val="64E34978"/>
    <w:rsid w:val="64E940CB"/>
    <w:rsid w:val="650A3CB4"/>
    <w:rsid w:val="650DAB33"/>
    <w:rsid w:val="65142074"/>
    <w:rsid w:val="653911B8"/>
    <w:rsid w:val="654D7F30"/>
    <w:rsid w:val="655CC9F3"/>
    <w:rsid w:val="65896FA6"/>
    <w:rsid w:val="658B2B9B"/>
    <w:rsid w:val="65948276"/>
    <w:rsid w:val="65B27364"/>
    <w:rsid w:val="65F5AD7A"/>
    <w:rsid w:val="661EFE4E"/>
    <w:rsid w:val="6677492B"/>
    <w:rsid w:val="6680AFE7"/>
    <w:rsid w:val="669B2193"/>
    <w:rsid w:val="66B06759"/>
    <w:rsid w:val="66C36FB8"/>
    <w:rsid w:val="66EDA5C3"/>
    <w:rsid w:val="670CBEC0"/>
    <w:rsid w:val="6733D36F"/>
    <w:rsid w:val="6774B52C"/>
    <w:rsid w:val="6798C4E7"/>
    <w:rsid w:val="679C4CCC"/>
    <w:rsid w:val="67A14132"/>
    <w:rsid w:val="67AEFA44"/>
    <w:rsid w:val="67CB9629"/>
    <w:rsid w:val="67DB277D"/>
    <w:rsid w:val="67E83C4D"/>
    <w:rsid w:val="681D5AC7"/>
    <w:rsid w:val="68450F3C"/>
    <w:rsid w:val="688DDBDF"/>
    <w:rsid w:val="68ABAFF1"/>
    <w:rsid w:val="68AF60DA"/>
    <w:rsid w:val="68AF9C95"/>
    <w:rsid w:val="68DFE735"/>
    <w:rsid w:val="68E66FD8"/>
    <w:rsid w:val="68EB4B83"/>
    <w:rsid w:val="68EC1274"/>
    <w:rsid w:val="6900C8FE"/>
    <w:rsid w:val="691B8DCD"/>
    <w:rsid w:val="69405A13"/>
    <w:rsid w:val="695E6B89"/>
    <w:rsid w:val="695F9F97"/>
    <w:rsid w:val="6969EDD1"/>
    <w:rsid w:val="697B37D3"/>
    <w:rsid w:val="698502EF"/>
    <w:rsid w:val="6996A3CB"/>
    <w:rsid w:val="69B53702"/>
    <w:rsid w:val="69C74CC0"/>
    <w:rsid w:val="6A1FD466"/>
    <w:rsid w:val="6A258A2E"/>
    <w:rsid w:val="6A2FB28D"/>
    <w:rsid w:val="6A711816"/>
    <w:rsid w:val="6A72330D"/>
    <w:rsid w:val="6A91B5D7"/>
    <w:rsid w:val="6B0AE396"/>
    <w:rsid w:val="6B0F012E"/>
    <w:rsid w:val="6B25C21B"/>
    <w:rsid w:val="6B3B3B04"/>
    <w:rsid w:val="6B4A354A"/>
    <w:rsid w:val="6B623ED3"/>
    <w:rsid w:val="6B6F92BC"/>
    <w:rsid w:val="6B7D3110"/>
    <w:rsid w:val="6B88FF56"/>
    <w:rsid w:val="6B89B6F9"/>
    <w:rsid w:val="6C2DA7B0"/>
    <w:rsid w:val="6C647CCA"/>
    <w:rsid w:val="6C79F424"/>
    <w:rsid w:val="6CF97F43"/>
    <w:rsid w:val="6D272774"/>
    <w:rsid w:val="6D34A32F"/>
    <w:rsid w:val="6D3A416B"/>
    <w:rsid w:val="6D680501"/>
    <w:rsid w:val="6DA44E47"/>
    <w:rsid w:val="6DC494D0"/>
    <w:rsid w:val="6DD3611B"/>
    <w:rsid w:val="6E48EA7B"/>
    <w:rsid w:val="6E71ABC8"/>
    <w:rsid w:val="6E764CC8"/>
    <w:rsid w:val="6E7EC1CC"/>
    <w:rsid w:val="6E8D6074"/>
    <w:rsid w:val="6EB6B9F1"/>
    <w:rsid w:val="6F15202D"/>
    <w:rsid w:val="6F32C9FA"/>
    <w:rsid w:val="6F33C289"/>
    <w:rsid w:val="6FC0E6A7"/>
    <w:rsid w:val="6FC36264"/>
    <w:rsid w:val="6FCEB415"/>
    <w:rsid w:val="6FDE28D2"/>
    <w:rsid w:val="6FE3AB80"/>
    <w:rsid w:val="6FF65A9C"/>
    <w:rsid w:val="6FF7CF59"/>
    <w:rsid w:val="6FF7D023"/>
    <w:rsid w:val="700796C2"/>
    <w:rsid w:val="7010414E"/>
    <w:rsid w:val="7020B772"/>
    <w:rsid w:val="703706F8"/>
    <w:rsid w:val="704CE83D"/>
    <w:rsid w:val="705077F5"/>
    <w:rsid w:val="705E8E02"/>
    <w:rsid w:val="70A3964F"/>
    <w:rsid w:val="70A8C4A9"/>
    <w:rsid w:val="70E8880A"/>
    <w:rsid w:val="71099C37"/>
    <w:rsid w:val="710DD38C"/>
    <w:rsid w:val="711CB874"/>
    <w:rsid w:val="712E55B0"/>
    <w:rsid w:val="713059EB"/>
    <w:rsid w:val="7134343E"/>
    <w:rsid w:val="713DAA40"/>
    <w:rsid w:val="71450D8C"/>
    <w:rsid w:val="714FC0F4"/>
    <w:rsid w:val="7152E377"/>
    <w:rsid w:val="71856625"/>
    <w:rsid w:val="71933E80"/>
    <w:rsid w:val="71998E9B"/>
    <w:rsid w:val="71B5B79A"/>
    <w:rsid w:val="71E90BA6"/>
    <w:rsid w:val="72237DB5"/>
    <w:rsid w:val="723EBEB1"/>
    <w:rsid w:val="7253EBC4"/>
    <w:rsid w:val="72731673"/>
    <w:rsid w:val="7287D9A8"/>
    <w:rsid w:val="72891B0E"/>
    <w:rsid w:val="729627A3"/>
    <w:rsid w:val="72AA7F92"/>
    <w:rsid w:val="72BCC23A"/>
    <w:rsid w:val="72CBE195"/>
    <w:rsid w:val="72E24834"/>
    <w:rsid w:val="72E58425"/>
    <w:rsid w:val="731024F8"/>
    <w:rsid w:val="73609D91"/>
    <w:rsid w:val="73AEDFDB"/>
    <w:rsid w:val="73E55CFD"/>
    <w:rsid w:val="73FF6D81"/>
    <w:rsid w:val="7407342C"/>
    <w:rsid w:val="746AB857"/>
    <w:rsid w:val="7499D737"/>
    <w:rsid w:val="74A0999C"/>
    <w:rsid w:val="74B38C2C"/>
    <w:rsid w:val="74BA14AE"/>
    <w:rsid w:val="74E340D4"/>
    <w:rsid w:val="74EBCCB8"/>
    <w:rsid w:val="74FFC3CE"/>
    <w:rsid w:val="751178B2"/>
    <w:rsid w:val="7598A87B"/>
    <w:rsid w:val="7598FD1A"/>
    <w:rsid w:val="75B770A8"/>
    <w:rsid w:val="75D92E06"/>
    <w:rsid w:val="7613DAAE"/>
    <w:rsid w:val="768CB19A"/>
    <w:rsid w:val="76A586B7"/>
    <w:rsid w:val="76A656B5"/>
    <w:rsid w:val="770C623E"/>
    <w:rsid w:val="771177D1"/>
    <w:rsid w:val="773C2191"/>
    <w:rsid w:val="774B8A4A"/>
    <w:rsid w:val="77743EA9"/>
    <w:rsid w:val="77E24BDC"/>
    <w:rsid w:val="77FFCAA4"/>
    <w:rsid w:val="7859512F"/>
    <w:rsid w:val="7885E819"/>
    <w:rsid w:val="78A34EBB"/>
    <w:rsid w:val="78DF3E8F"/>
    <w:rsid w:val="78F2F3F2"/>
    <w:rsid w:val="78F56E3C"/>
    <w:rsid w:val="7926DA63"/>
    <w:rsid w:val="792BBFA9"/>
    <w:rsid w:val="792FBEE0"/>
    <w:rsid w:val="7936A9DD"/>
    <w:rsid w:val="79656DC7"/>
    <w:rsid w:val="797CCB61"/>
    <w:rsid w:val="79D3CA19"/>
    <w:rsid w:val="7A438C99"/>
    <w:rsid w:val="7A4E08B8"/>
    <w:rsid w:val="7A589B17"/>
    <w:rsid w:val="7A5E473D"/>
    <w:rsid w:val="7AFC5EAB"/>
    <w:rsid w:val="7B01D48D"/>
    <w:rsid w:val="7B19BA26"/>
    <w:rsid w:val="7B1B52E7"/>
    <w:rsid w:val="7BB71F2A"/>
    <w:rsid w:val="7BC70C8A"/>
    <w:rsid w:val="7BCAB3A1"/>
    <w:rsid w:val="7BFE87A9"/>
    <w:rsid w:val="7C1E1A1C"/>
    <w:rsid w:val="7C3840F4"/>
    <w:rsid w:val="7C573FFA"/>
    <w:rsid w:val="7C7656E1"/>
    <w:rsid w:val="7C7E4188"/>
    <w:rsid w:val="7C8BCEF3"/>
    <w:rsid w:val="7C99B7E6"/>
    <w:rsid w:val="7CA0287E"/>
    <w:rsid w:val="7CA6C17C"/>
    <w:rsid w:val="7CCF2E14"/>
    <w:rsid w:val="7CD37301"/>
    <w:rsid w:val="7CED7638"/>
    <w:rsid w:val="7D17D89F"/>
    <w:rsid w:val="7DEE239A"/>
    <w:rsid w:val="7E3E68B1"/>
    <w:rsid w:val="7E704EDB"/>
    <w:rsid w:val="7E706BAC"/>
    <w:rsid w:val="7EA9570C"/>
    <w:rsid w:val="7EC0B52B"/>
    <w:rsid w:val="7EC39327"/>
    <w:rsid w:val="7EE110F5"/>
    <w:rsid w:val="7EF79316"/>
    <w:rsid w:val="7F5E61B1"/>
    <w:rsid w:val="7F6943DB"/>
    <w:rsid w:val="7F7D97F9"/>
    <w:rsid w:val="7F854101"/>
    <w:rsid w:val="7FAA7B90"/>
    <w:rsid w:val="7FAC3C88"/>
    <w:rsid w:val="7FE9C006"/>
    <w:rsid w:val="7FFDAC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1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41467"/>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E567CB"/>
    <w:pPr>
      <w:keepNext/>
      <w:keepLines/>
      <w:tabs>
        <w:tab w:val="left" w:pos="851"/>
      </w:tabs>
      <w:spacing w:before="360" w:after="200" w:line="240" w:lineRule="auto"/>
      <w:outlineLvl w:val="2"/>
    </w:pPr>
    <w:rPr>
      <w:rFonts w:ascii="Franklin Gothic Medium" w:eastAsiaTheme="majorEastAsia" w:hAnsi="Franklin Gothic Medium" w:cstheme="majorBidi"/>
      <w:sz w:val="26"/>
      <w:szCs w:val="24"/>
    </w:rPr>
  </w:style>
  <w:style w:type="paragraph" w:styleId="Heading4">
    <w:name w:val="heading 4"/>
    <w:basedOn w:val="Heading3"/>
    <w:next w:val="Normal"/>
    <w:link w:val="Heading4Char"/>
    <w:uiPriority w:val="9"/>
    <w:unhideWhenUsed/>
    <w:qFormat/>
    <w:rsid w:val="00E567CB"/>
    <w:pPr>
      <w:outlineLvl w:val="3"/>
    </w:pPr>
    <w:rPr>
      <w:i/>
      <w:sz w:val="24"/>
    </w:rPr>
  </w:style>
  <w:style w:type="paragraph" w:styleId="Heading5">
    <w:name w:val="heading 5"/>
    <w:basedOn w:val="Normal"/>
    <w:next w:val="Normal"/>
    <w:link w:val="Heading5Char"/>
    <w:uiPriority w:val="9"/>
    <w:unhideWhenUsed/>
    <w:qFormat/>
    <w:rsid w:val="00616219"/>
    <w:pPr>
      <w:keepNext/>
      <w:keepLines/>
      <w:spacing w:before="40" w:after="0"/>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unhideWhenUsed/>
    <w:qFormat/>
    <w:rsid w:val="00387D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F41467"/>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E567CB"/>
    <w:rPr>
      <w:rFonts w:ascii="Franklin Gothic Medium" w:eastAsiaTheme="majorEastAsia" w:hAnsi="Franklin Gothic Medium" w:cstheme="majorBidi"/>
      <w:sz w:val="26"/>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CMA Table Templat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724F92"/>
    <w:pPr>
      <w:ind w:left="720"/>
      <w:contextualSpacing/>
    </w:pPr>
  </w:style>
  <w:style w:type="character" w:styleId="Strong">
    <w:name w:val="Strong"/>
    <w:basedOn w:val="DefaultParagraphFont"/>
    <w:uiPriority w:val="22"/>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E567CB"/>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463084"/>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C02065"/>
    <w:pPr>
      <w:tabs>
        <w:tab w:val="left" w:pos="284"/>
      </w:tabs>
      <w:spacing w:before="0"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C0206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571E9B"/>
    <w:pPr>
      <w:spacing w:before="6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571E9B"/>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ilvl w:val="0"/>
        <w:numId w:val="7"/>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8"/>
      </w:numPr>
      <w:spacing w:after="40"/>
      <w:ind w:left="714" w:hanging="357"/>
    </w:pPr>
  </w:style>
  <w:style w:type="paragraph" w:customStyle="1" w:styleId="Instructionaltext">
    <w:name w:val="Instructional text"/>
    <w:basedOn w:val="Normal"/>
    <w:link w:val="InstructionaltextChar"/>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rsid w:val="002463A6"/>
    <w:pPr>
      <w:numPr>
        <w:numId w:val="9"/>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rsid w:val="000B6462"/>
    <w:pPr>
      <w:spacing w:after="0" w:line="240" w:lineRule="auto"/>
    </w:pPr>
    <w:rPr>
      <w:rFonts w:ascii="Franklin Gothic Book" w:hAnsi="Franklin Gothic Book"/>
    </w:rPr>
  </w:style>
  <w:style w:type="character" w:customStyle="1" w:styleId="Heading5Char">
    <w:name w:val="Heading 5 Char"/>
    <w:basedOn w:val="DefaultParagraphFont"/>
    <w:link w:val="Heading5"/>
    <w:uiPriority w:val="9"/>
    <w:rsid w:val="0061621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387D95"/>
    <w:rPr>
      <w:rFonts w:asciiTheme="majorHAnsi" w:eastAsiaTheme="majorEastAsia" w:hAnsiTheme="majorHAnsi" w:cstheme="majorBidi"/>
      <w:color w:val="1F4D78" w:themeColor="accent1" w:themeShade="7F"/>
    </w:rPr>
  </w:style>
  <w:style w:type="table" w:customStyle="1" w:styleId="ASDTable1">
    <w:name w:val="ASD Table1"/>
    <w:basedOn w:val="TableNormal"/>
    <w:next w:val="TableGrid"/>
    <w:uiPriority w:val="59"/>
    <w:rsid w:val="0066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qFormat/>
    <w:rsid w:val="00DC61C4"/>
    <w:pPr>
      <w:spacing w:after="240" w:line="240" w:lineRule="auto"/>
    </w:pPr>
    <w:rPr>
      <w:rFonts w:ascii="Arial Narrow" w:eastAsia="Times New Roman" w:hAnsi="Arial Narrow" w:cs="Times New Roman"/>
      <w:sz w:val="20"/>
      <w:szCs w:val="20"/>
      <w:lang w:eastAsia="en-AU"/>
    </w:rPr>
  </w:style>
  <w:style w:type="character" w:customStyle="1" w:styleId="TablebodyChar">
    <w:name w:val="Table body Char"/>
    <w:basedOn w:val="DefaultParagraphFont"/>
    <w:link w:val="Tablebody"/>
    <w:rsid w:val="00DC61C4"/>
    <w:rPr>
      <w:rFonts w:ascii="Arial Narrow" w:eastAsia="Times New Roman" w:hAnsi="Arial Narrow" w:cs="Times New Roman"/>
      <w:sz w:val="20"/>
      <w:szCs w:val="20"/>
      <w:lang w:eastAsia="en-AU"/>
    </w:rPr>
  </w:style>
  <w:style w:type="paragraph" w:customStyle="1" w:styleId="Default">
    <w:name w:val="Default"/>
    <w:rsid w:val="006812D0"/>
    <w:pPr>
      <w:autoSpaceDE w:val="0"/>
      <w:autoSpaceDN w:val="0"/>
      <w:adjustRightInd w:val="0"/>
      <w:spacing w:after="0" w:line="240" w:lineRule="auto"/>
    </w:pPr>
    <w:rPr>
      <w:rFonts w:ascii="Garamond" w:hAnsi="Garamond" w:cs="Garamond"/>
      <w:color w:val="000000"/>
      <w:sz w:val="24"/>
      <w:szCs w:val="24"/>
    </w:rPr>
  </w:style>
  <w:style w:type="table" w:styleId="TableGridLight">
    <w:name w:val="Grid Table Light"/>
    <w:basedOn w:val="TableNormal"/>
    <w:uiPriority w:val="40"/>
    <w:rsid w:val="005B6B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nTenderTable">
    <w:name w:val="Ben Tender Table"/>
    <w:basedOn w:val="TableNormal"/>
    <w:uiPriority w:val="99"/>
    <w:rsid w:val="00952AB9"/>
    <w:pPr>
      <w:spacing w:before="40" w:after="40" w:line="240" w:lineRule="auto"/>
    </w:pPr>
    <w:rPr>
      <w:color w:val="595959" w:themeColor="text1" w:themeTint="A6"/>
      <w:sz w:val="20"/>
      <w:szCs w:val="20"/>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character" w:styleId="UnresolvedMention">
    <w:name w:val="Unresolved Mention"/>
    <w:basedOn w:val="DefaultParagraphFont"/>
    <w:uiPriority w:val="99"/>
    <w:unhideWhenUsed/>
    <w:rsid w:val="00F9391E"/>
    <w:rPr>
      <w:color w:val="605E5C"/>
      <w:shd w:val="clear" w:color="auto" w:fill="E1DFDD"/>
    </w:rPr>
  </w:style>
  <w:style w:type="character" w:styleId="BookTitle">
    <w:name w:val="Book Title"/>
    <w:basedOn w:val="DefaultParagraphFont"/>
    <w:uiPriority w:val="33"/>
    <w:qFormat/>
    <w:rsid w:val="00CF4EA5"/>
    <w:rPr>
      <w:b/>
      <w:bCs/>
      <w:i/>
      <w:iCs/>
      <w:spacing w:val="5"/>
    </w:rPr>
  </w:style>
  <w:style w:type="character" w:customStyle="1" w:styleId="ui-provider">
    <w:name w:val="ui-provider"/>
    <w:basedOn w:val="DefaultParagraphFont"/>
    <w:rsid w:val="001223D8"/>
  </w:style>
  <w:style w:type="table" w:customStyle="1" w:styleId="HealthConsult1">
    <w:name w:val="HealthConsult1"/>
    <w:basedOn w:val="TableNormal"/>
    <w:next w:val="TableGrid"/>
    <w:uiPriority w:val="59"/>
    <w:rsid w:val="00EC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BF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91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59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445BF"/>
  </w:style>
  <w:style w:type="paragraph" w:customStyle="1" w:styleId="EndNoteBibliographyTitle">
    <w:name w:val="EndNote Bibliography Title"/>
    <w:basedOn w:val="Normal"/>
    <w:link w:val="EndNoteBibliographyTitleChar"/>
    <w:rsid w:val="00496FB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96FB5"/>
    <w:rPr>
      <w:rFonts w:ascii="Franklin Gothic Book" w:hAnsi="Franklin Gothic Book"/>
      <w:noProof/>
      <w:lang w:val="en-US"/>
    </w:rPr>
  </w:style>
  <w:style w:type="paragraph" w:customStyle="1" w:styleId="EndNoteBibliography">
    <w:name w:val="EndNote Bibliography"/>
    <w:basedOn w:val="Normal"/>
    <w:link w:val="EndNoteBibliographyChar"/>
    <w:rsid w:val="00496FB5"/>
    <w:pPr>
      <w:spacing w:line="240" w:lineRule="auto"/>
    </w:pPr>
    <w:rPr>
      <w:noProof/>
      <w:lang w:val="en-US"/>
    </w:rPr>
  </w:style>
  <w:style w:type="character" w:customStyle="1" w:styleId="EndNoteBibliographyChar">
    <w:name w:val="EndNote Bibliography Char"/>
    <w:basedOn w:val="DefaultParagraphFont"/>
    <w:link w:val="EndNoteBibliography"/>
    <w:rsid w:val="00496FB5"/>
    <w:rPr>
      <w:rFonts w:ascii="Franklin Gothic Book" w:hAnsi="Franklin Gothic Book"/>
      <w:noProof/>
      <w:lang w:val="en-US"/>
    </w:rPr>
  </w:style>
  <w:style w:type="table" w:customStyle="1" w:styleId="TableGrid21">
    <w:name w:val="Table Grid21"/>
    <w:basedOn w:val="TableNormal"/>
    <w:rsid w:val="005345F7"/>
    <w:pPr>
      <w:spacing w:after="0" w:line="36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345F7"/>
    <w:pPr>
      <w:numPr>
        <w:numId w:val="18"/>
      </w:numPr>
      <w:spacing w:before="0" w:after="0" w:line="240" w:lineRule="auto"/>
      <w:contextualSpacing/>
      <w:jc w:val="both"/>
    </w:pPr>
    <w:rPr>
      <w:rFonts w:ascii="Calibri" w:eastAsia="Times New Roman" w:hAnsi="Calibri" w:cs="Arial"/>
      <w:sz w:val="24"/>
      <w:szCs w:val="24"/>
      <w:lang w:eastAsia="en-AU"/>
    </w:rPr>
  </w:style>
  <w:style w:type="character" w:styleId="Mention">
    <w:name w:val="Mention"/>
    <w:basedOn w:val="DefaultParagraphFont"/>
    <w:uiPriority w:val="99"/>
    <w:unhideWhenUsed/>
    <w:rsid w:val="00A0718D"/>
    <w:rPr>
      <w:color w:val="2B579A"/>
      <w:shd w:val="clear" w:color="auto" w:fill="E1DFDD"/>
    </w:rPr>
  </w:style>
  <w:style w:type="paragraph" w:styleId="NormalWeb">
    <w:name w:val="Normal (Web)"/>
    <w:basedOn w:val="Normal"/>
    <w:uiPriority w:val="99"/>
    <w:semiHidden/>
    <w:unhideWhenUsed/>
    <w:rsid w:val="0036019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next w:val="TableGrid"/>
    <w:locked/>
    <w:rsid w:val="00733E6C"/>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table" w:customStyle="1" w:styleId="PBACTableStyle1">
    <w:name w:val="PBAC Table Style1"/>
    <w:basedOn w:val="TableGrid10"/>
    <w:uiPriority w:val="99"/>
    <w:rsid w:val="00733E6C"/>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BodyText">
    <w:name w:val="Body Text"/>
    <w:basedOn w:val="Normal"/>
    <w:link w:val="BodyTextChar"/>
    <w:rsid w:val="00521918"/>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521918"/>
    <w:rPr>
      <w:rFonts w:ascii="Book Antiqua" w:eastAsia="Times New Roman" w:hAnsi="Book Antiqua" w:cs="Times New Roman"/>
      <w:sz w:val="24"/>
      <w:szCs w:val="20"/>
    </w:rPr>
  </w:style>
  <w:style w:type="character" w:customStyle="1" w:styleId="gmail-normaltextrun">
    <w:name w:val="gmail-normaltextrun"/>
    <w:basedOn w:val="DefaultParagraphFont"/>
    <w:rsid w:val="007D29E1"/>
  </w:style>
  <w:style w:type="character" w:customStyle="1" w:styleId="eop">
    <w:name w:val="eop"/>
    <w:basedOn w:val="DefaultParagraphFont"/>
    <w:rsid w:val="007D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086">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1704996">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917105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9627912">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4233113">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6524193">
      <w:bodyDiv w:val="1"/>
      <w:marLeft w:val="0"/>
      <w:marRight w:val="0"/>
      <w:marTop w:val="0"/>
      <w:marBottom w:val="0"/>
      <w:divBdr>
        <w:top w:val="none" w:sz="0" w:space="0" w:color="auto"/>
        <w:left w:val="none" w:sz="0" w:space="0" w:color="auto"/>
        <w:bottom w:val="none" w:sz="0" w:space="0" w:color="auto"/>
        <w:right w:val="none" w:sz="0" w:space="0" w:color="auto"/>
      </w:divBdr>
    </w:div>
    <w:div w:id="601651531">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4890933">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131758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63471303">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15658691">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4454993">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2783663">
      <w:bodyDiv w:val="1"/>
      <w:marLeft w:val="0"/>
      <w:marRight w:val="0"/>
      <w:marTop w:val="0"/>
      <w:marBottom w:val="0"/>
      <w:divBdr>
        <w:top w:val="none" w:sz="0" w:space="0" w:color="auto"/>
        <w:left w:val="none" w:sz="0" w:space="0" w:color="auto"/>
        <w:bottom w:val="none" w:sz="0" w:space="0" w:color="auto"/>
        <w:right w:val="none" w:sz="0" w:space="0" w:color="auto"/>
      </w:divBdr>
      <w:divsChild>
        <w:div w:id="643118376">
          <w:marLeft w:val="0"/>
          <w:marRight w:val="0"/>
          <w:marTop w:val="0"/>
          <w:marBottom w:val="0"/>
          <w:divBdr>
            <w:top w:val="none" w:sz="0" w:space="0" w:color="auto"/>
            <w:left w:val="none" w:sz="0" w:space="0" w:color="auto"/>
            <w:bottom w:val="none" w:sz="0" w:space="0" w:color="auto"/>
            <w:right w:val="none" w:sz="0" w:space="0" w:color="auto"/>
          </w:divBdr>
          <w:divsChild>
            <w:div w:id="662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9506828">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23905002">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0879201">
      <w:bodyDiv w:val="1"/>
      <w:marLeft w:val="0"/>
      <w:marRight w:val="0"/>
      <w:marTop w:val="0"/>
      <w:marBottom w:val="0"/>
      <w:divBdr>
        <w:top w:val="none" w:sz="0" w:space="0" w:color="auto"/>
        <w:left w:val="none" w:sz="0" w:space="0" w:color="auto"/>
        <w:bottom w:val="none" w:sz="0" w:space="0" w:color="auto"/>
        <w:right w:val="none" w:sz="0" w:space="0" w:color="auto"/>
      </w:divBdr>
    </w:div>
    <w:div w:id="2103064599">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abs.gov.au/statistics/people/population/population-projections-australia/latest-relea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s.gov.au/statistics/people/population/births-australia/latest-rele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plore.data.abs.gov.au/vis?fs%5b0%5d=People%2C0%7CPopulation%23POPULATION%23&amp;pg=20&amp;fc=People&amp;df%5bds%5d=PEOPLE_TOPICS&amp;df%5bid%5d=POP_PROJ_REGION_2012_2061&amp;df%5bag%5d=ABS&amp;df%5bvs%5d=1.0.0&amp;pd=2022%2C2026&amp;dq=8%2B7%2B6%2B5%2B4%2B3%2B2%2B1.3.0.2.2.2.2.A&amp;ly%5bcl%5d=TIME_PERIOD&amp;ly%5brw%5d=REGION" TargetMode="External"/><Relationship Id="rId4" Type="http://schemas.openxmlformats.org/officeDocument/2006/relationships/settings" Target="settings.xml"/><Relationship Id="rId9" Type="http://schemas.openxmlformats.org/officeDocument/2006/relationships/hyperlink" Target="https://www.abs.gov.au/statistics/people/population/births-australia/latest-release" TargetMode="External"/><Relationship Id="rId14"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2023-03/national-immunisation-program-schedule.pdf" TargetMode="External"/><Relationship Id="rId2" Type="http://schemas.openxmlformats.org/officeDocument/2006/relationships/hyperlink" Target="https://www.health.gov.au/resources/publications/newborn-bloodspot-screening-national-policyframework?language=en" TargetMode="External"/><Relationship Id="rId1" Type="http://schemas.openxmlformats.org/officeDocument/2006/relationships/hyperlink" Target="http://www.msac.gov.au/internet/msac/publishing.nsf/Content/1737-public" TargetMode="External"/><Relationship Id="rId4" Type="http://schemas.openxmlformats.org/officeDocument/2006/relationships/hyperlink" Target="https://www.health.gov.au/sites/default/files/2023-03/national-immunisation-program-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F331-7BD3-4A5D-A2DF-11A6CCD5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19060</Words>
  <Characters>108646</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127452</CharactersWithSpaces>
  <SharedDoc>false</SharedDoc>
  <HLinks>
    <vt:vector size="72" baseType="variant">
      <vt:variant>
        <vt:i4>6684716</vt:i4>
      </vt:variant>
      <vt:variant>
        <vt:i4>277</vt:i4>
      </vt:variant>
      <vt:variant>
        <vt:i4>0</vt:i4>
      </vt:variant>
      <vt:variant>
        <vt:i4>5</vt:i4>
      </vt:variant>
      <vt:variant>
        <vt:lpwstr>http://msac.gov.au/internet/msac/publishing.nsf/Content/Home-1</vt:lpwstr>
      </vt:variant>
      <vt:variant>
        <vt:lpwstr/>
      </vt:variant>
      <vt:variant>
        <vt:i4>7143526</vt:i4>
      </vt:variant>
      <vt:variant>
        <vt:i4>226</vt:i4>
      </vt:variant>
      <vt:variant>
        <vt:i4>0</vt:i4>
      </vt:variant>
      <vt:variant>
        <vt:i4>5</vt:i4>
      </vt:variant>
      <vt:variant>
        <vt:lpwstr>https://www.abs.gov.au/statistics/people/population/population-projections-australia/latest-release</vt:lpwstr>
      </vt:variant>
      <vt:variant>
        <vt:lpwstr/>
      </vt:variant>
      <vt:variant>
        <vt:i4>7143480</vt:i4>
      </vt:variant>
      <vt:variant>
        <vt:i4>223</vt:i4>
      </vt:variant>
      <vt:variant>
        <vt:i4>0</vt:i4>
      </vt:variant>
      <vt:variant>
        <vt:i4>5</vt:i4>
      </vt:variant>
      <vt:variant>
        <vt:lpwstr>https://www.abs.gov.au/statistics/people/population/births-australia/latest-release</vt:lpwstr>
      </vt:variant>
      <vt:variant>
        <vt:lpwstr/>
      </vt:variant>
      <vt:variant>
        <vt:i4>6094951</vt:i4>
      </vt:variant>
      <vt:variant>
        <vt:i4>154</vt:i4>
      </vt:variant>
      <vt:variant>
        <vt:i4>0</vt:i4>
      </vt:variant>
      <vt:variant>
        <vt:i4>5</vt:i4>
      </vt:variant>
      <vt:variant>
        <vt:lpwstr>https://explore.data.abs.gov.au/vis?fs%5b0%5d=People%2C0%7CPopulation%23POPULATION%23&amp;pg=20&amp;fc=People&amp;df%5bds%5d=PEOPLE_TOPICS&amp;df%5bid%5d=POP_PROJ_REGION_2012_2061&amp;df%5bag%5d=ABS&amp;df%5bvs%5d=1.0.0&amp;pd=2022%2C2026&amp;dq=8%2B7%2B6%2B5%2B4%2B3%2B2%2B1.3.0.2.2.2.2.A&amp;ly%5bcl%5d=TIME_PERIOD&amp;ly%5brw%5d=REGION</vt:lpwstr>
      </vt:variant>
      <vt:variant>
        <vt:lpwstr/>
      </vt:variant>
      <vt:variant>
        <vt:i4>7143480</vt:i4>
      </vt:variant>
      <vt:variant>
        <vt:i4>151</vt:i4>
      </vt:variant>
      <vt:variant>
        <vt:i4>0</vt:i4>
      </vt:variant>
      <vt:variant>
        <vt:i4>5</vt:i4>
      </vt:variant>
      <vt:variant>
        <vt:lpwstr>https://www.abs.gov.au/statistics/people/population/births-australia/latest-release</vt:lpwstr>
      </vt:variant>
      <vt:variant>
        <vt:lpwstr/>
      </vt:variant>
      <vt:variant>
        <vt:i4>3997744</vt:i4>
      </vt:variant>
      <vt:variant>
        <vt:i4>0</vt:i4>
      </vt:variant>
      <vt:variant>
        <vt:i4>0</vt:i4>
      </vt:variant>
      <vt:variant>
        <vt:i4>5</vt:i4>
      </vt:variant>
      <vt:variant>
        <vt:lpwstr>http://www.msac.gov.au/</vt:lpwstr>
      </vt:variant>
      <vt:variant>
        <vt:lpwstr/>
      </vt:variant>
      <vt:variant>
        <vt:i4>5308480</vt:i4>
      </vt:variant>
      <vt:variant>
        <vt:i4>9</vt:i4>
      </vt:variant>
      <vt:variant>
        <vt:i4>0</vt:i4>
      </vt:variant>
      <vt:variant>
        <vt:i4>5</vt:i4>
      </vt:variant>
      <vt:variant>
        <vt:lpwstr>https://www.health.gov.au/sites/default/files/2023-03/national-immunisation-program-schedule.pdf</vt:lpwstr>
      </vt:variant>
      <vt:variant>
        <vt:lpwstr/>
      </vt:variant>
      <vt:variant>
        <vt:i4>5308480</vt:i4>
      </vt:variant>
      <vt:variant>
        <vt:i4>6</vt:i4>
      </vt:variant>
      <vt:variant>
        <vt:i4>0</vt:i4>
      </vt:variant>
      <vt:variant>
        <vt:i4>5</vt:i4>
      </vt:variant>
      <vt:variant>
        <vt:lpwstr>https://www.health.gov.au/sites/default/files/2023-03/national-immunisation-program-schedule.pdf</vt:lpwstr>
      </vt:variant>
      <vt:variant>
        <vt:lpwstr/>
      </vt:variant>
      <vt:variant>
        <vt:i4>5046286</vt:i4>
      </vt:variant>
      <vt:variant>
        <vt:i4>3</vt:i4>
      </vt:variant>
      <vt:variant>
        <vt:i4>0</vt:i4>
      </vt:variant>
      <vt:variant>
        <vt:i4>5</vt:i4>
      </vt:variant>
      <vt:variant>
        <vt:lpwstr>https://www.health.gov.au/resources/publications/newborn-bloodspot-screening-national-policyframework?language=en</vt:lpwstr>
      </vt:variant>
      <vt:variant>
        <vt:lpwstr/>
      </vt:variant>
      <vt:variant>
        <vt:i4>2490475</vt:i4>
      </vt:variant>
      <vt:variant>
        <vt:i4>0</vt:i4>
      </vt:variant>
      <vt:variant>
        <vt:i4>0</vt:i4>
      </vt:variant>
      <vt:variant>
        <vt:i4>5</vt:i4>
      </vt:variant>
      <vt:variant>
        <vt:lpwstr>http://www.msac.gov.au/internet/msac/publishing.nsf/Content/1737-public</vt:lpwstr>
      </vt:variant>
      <vt:variant>
        <vt:lpwstr/>
      </vt:variant>
      <vt:variant>
        <vt:i4>7209049</vt:i4>
      </vt:variant>
      <vt:variant>
        <vt:i4>3</vt:i4>
      </vt:variant>
      <vt:variant>
        <vt:i4>0</vt:i4>
      </vt:variant>
      <vt:variant>
        <vt:i4>5</vt:i4>
      </vt:variant>
      <vt:variant>
        <vt:lpwstr>mailto:Divya.Muthiah@health.gov.au</vt:lpwstr>
      </vt:variant>
      <vt:variant>
        <vt:lpwstr/>
      </vt:variant>
      <vt:variant>
        <vt:i4>2555948</vt:i4>
      </vt:variant>
      <vt:variant>
        <vt:i4>0</vt:i4>
      </vt:variant>
      <vt:variant>
        <vt:i4>0</vt:i4>
      </vt:variant>
      <vt:variant>
        <vt:i4>5</vt:i4>
      </vt:variant>
      <vt:variant>
        <vt:lpwstr>https://onlinelibrary.wiley.com/doi/full/10.1111/imj.16297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2024-02-06T05:23:00Z</dcterms:created>
  <dcterms:modified xsi:type="dcterms:W3CDTF">2024-02-08T04:44:00Z</dcterms:modified>
</cp:coreProperties>
</file>