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FEE41"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13FC19FD" wp14:editId="6AE84FCC">
            <wp:extent cx="2627630" cy="1078865"/>
            <wp:effectExtent l="0" t="0" r="1270" b="6985"/>
            <wp:docPr id="2" name="Picture 2" descr="Medical Services Advisory Committee logo,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7C41D1E" w14:textId="77777777" w:rsidR="00BC1364" w:rsidRPr="008D5885" w:rsidRDefault="00BC1364" w:rsidP="008D5885"/>
    <w:p w14:paraId="099DB1C9" w14:textId="77777777" w:rsidR="00C67DD2" w:rsidRPr="008D5885" w:rsidRDefault="00C67DD2" w:rsidP="008D5885"/>
    <w:p w14:paraId="01BA341B" w14:textId="77777777" w:rsidR="00BC1364" w:rsidRPr="00060CE1" w:rsidRDefault="00BF479B" w:rsidP="00060CE1">
      <w:pPr>
        <w:pStyle w:val="Title"/>
      </w:pPr>
      <w:r w:rsidRPr="006842BE">
        <w:t>Public Summa</w:t>
      </w:r>
      <w:bookmarkStart w:id="0" w:name="_GoBack"/>
      <w:bookmarkEnd w:id="0"/>
      <w:r w:rsidRPr="006842BE">
        <w:t>ry Document</w:t>
      </w:r>
    </w:p>
    <w:p w14:paraId="5F6D993E" w14:textId="77777777" w:rsidR="00BC1364" w:rsidRPr="007B32D1" w:rsidRDefault="00BC1364" w:rsidP="007B32D1"/>
    <w:p w14:paraId="49A086FD" w14:textId="77777777" w:rsidR="007A3B4B" w:rsidRPr="00060CE1" w:rsidRDefault="00BC1364" w:rsidP="00060CE1">
      <w:pPr>
        <w:pStyle w:val="Subtitle"/>
      </w:pPr>
      <w:r w:rsidRPr="00060CE1">
        <w:t xml:space="preserve">Application No. </w:t>
      </w:r>
      <w:r w:rsidR="000661A0" w:rsidRPr="00060CE1">
        <w:t>1366</w:t>
      </w:r>
      <w:r w:rsidRPr="00060CE1">
        <w:t xml:space="preserve"> – </w:t>
      </w:r>
      <w:r w:rsidR="007A3B4B" w:rsidRPr="00060CE1">
        <w:t xml:space="preserve">Transient </w:t>
      </w:r>
      <w:proofErr w:type="spellStart"/>
      <w:r w:rsidR="007A3B4B" w:rsidRPr="00060CE1">
        <w:t>Elastography</w:t>
      </w:r>
      <w:proofErr w:type="spellEnd"/>
      <w:r w:rsidR="007A3B4B" w:rsidRPr="00060CE1">
        <w:t xml:space="preserve"> at 50Hz for the diagnosis of liver fibrosis in patients with </w:t>
      </w:r>
    </w:p>
    <w:p w14:paraId="0A9CCA87" w14:textId="2E677379" w:rsidR="00BC1364" w:rsidRPr="00060CE1" w:rsidRDefault="007A3B4B" w:rsidP="00060CE1">
      <w:pPr>
        <w:pStyle w:val="Subtitle"/>
      </w:pPr>
      <w:proofErr w:type="gramStart"/>
      <w:r w:rsidRPr="00060CE1">
        <w:t>confirmed</w:t>
      </w:r>
      <w:proofErr w:type="gramEnd"/>
      <w:r w:rsidRPr="00060CE1">
        <w:t xml:space="preserve"> Hepatitis B or C.</w:t>
      </w:r>
    </w:p>
    <w:p w14:paraId="3C124FD8" w14:textId="77777777" w:rsidR="00BC1364" w:rsidRDefault="00BC1364" w:rsidP="00065623">
      <w:pPr>
        <w:tabs>
          <w:tab w:val="left" w:pos="3600"/>
        </w:tabs>
        <w:ind w:left="3600" w:hanging="3600"/>
        <w:rPr>
          <w:szCs w:val="24"/>
        </w:rPr>
      </w:pPr>
    </w:p>
    <w:p w14:paraId="258DF127" w14:textId="77777777" w:rsidR="00BC1364" w:rsidRPr="00707064" w:rsidRDefault="00BC1364" w:rsidP="00036865">
      <w:pPr>
        <w:tabs>
          <w:tab w:val="left" w:pos="3600"/>
        </w:tabs>
        <w:ind w:left="3600" w:hanging="3600"/>
        <w:rPr>
          <w:szCs w:val="24"/>
        </w:rPr>
      </w:pPr>
    </w:p>
    <w:p w14:paraId="51693D48" w14:textId="2DD663CE" w:rsidR="00BC1364" w:rsidRPr="00D90A38" w:rsidRDefault="00B35595" w:rsidP="00036865">
      <w:pPr>
        <w:tabs>
          <w:tab w:val="left" w:pos="3686"/>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036865" w:rsidRPr="000661A0">
        <w:rPr>
          <w:rFonts w:ascii="Arial" w:hAnsi="Arial" w:cs="Arial"/>
          <w:b/>
          <w:szCs w:val="24"/>
        </w:rPr>
        <w:t xml:space="preserve"> </w:t>
      </w:r>
      <w:r w:rsidR="00036865">
        <w:rPr>
          <w:rFonts w:ascii="Arial" w:hAnsi="Arial" w:cs="Arial"/>
          <w:b/>
          <w:szCs w:val="24"/>
        </w:rPr>
        <w:tab/>
      </w:r>
      <w:r w:rsidR="000661A0" w:rsidRPr="000661A0">
        <w:rPr>
          <w:rFonts w:ascii="Arial" w:hAnsi="Arial" w:cs="Arial"/>
          <w:b/>
          <w:szCs w:val="24"/>
        </w:rPr>
        <w:t>Medical Technologies Australia Pty Ltd</w:t>
      </w:r>
    </w:p>
    <w:p w14:paraId="4D60E45F" w14:textId="77777777" w:rsidR="00BC1364" w:rsidRPr="00D90A38" w:rsidRDefault="00BC1364" w:rsidP="00065623">
      <w:pPr>
        <w:tabs>
          <w:tab w:val="left" w:pos="2265"/>
          <w:tab w:val="left" w:pos="3420"/>
          <w:tab w:val="left" w:pos="4320"/>
        </w:tabs>
        <w:rPr>
          <w:rFonts w:ascii="Arial" w:hAnsi="Arial" w:cs="Arial"/>
          <w:b/>
        </w:rPr>
      </w:pPr>
    </w:p>
    <w:p w14:paraId="1925FBF6" w14:textId="4253D013" w:rsidR="00BC1364" w:rsidRPr="00D90A38" w:rsidRDefault="00BC1364" w:rsidP="00036865">
      <w:pPr>
        <w:tabs>
          <w:tab w:val="left" w:pos="3686"/>
        </w:tabs>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0661A0">
        <w:rPr>
          <w:rFonts w:ascii="Arial" w:hAnsi="Arial" w:cs="Arial"/>
          <w:b/>
          <w:szCs w:val="24"/>
        </w:rPr>
        <w:t>6</w:t>
      </w:r>
      <w:r w:rsidR="000661A0" w:rsidRPr="000661A0">
        <w:rPr>
          <w:rFonts w:ascii="Arial" w:hAnsi="Arial" w:cs="Arial"/>
          <w:b/>
          <w:szCs w:val="24"/>
          <w:vertAlign w:val="superscript"/>
        </w:rPr>
        <w:t>th</w:t>
      </w:r>
      <w:r w:rsidR="000661A0">
        <w:rPr>
          <w:rFonts w:ascii="Arial" w:hAnsi="Arial" w:cs="Arial"/>
          <w:b/>
          <w:szCs w:val="24"/>
        </w:rPr>
        <w:t xml:space="preserve"> </w:t>
      </w:r>
      <w:r w:rsidRPr="00D90A38">
        <w:rPr>
          <w:rFonts w:ascii="Arial" w:hAnsi="Arial" w:cs="Arial"/>
          <w:b/>
          <w:szCs w:val="24"/>
        </w:rPr>
        <w:t xml:space="preserve">Meeting, </w:t>
      </w:r>
      <w:r w:rsidR="005B2878">
        <w:rPr>
          <w:rFonts w:ascii="Arial" w:hAnsi="Arial" w:cs="Arial"/>
          <w:b/>
          <w:szCs w:val="24"/>
        </w:rPr>
        <w:t>30-</w:t>
      </w:r>
      <w:r w:rsidR="000661A0">
        <w:rPr>
          <w:rFonts w:ascii="Arial" w:hAnsi="Arial" w:cs="Arial"/>
          <w:b/>
          <w:szCs w:val="24"/>
        </w:rPr>
        <w:t>31 March 2016</w:t>
      </w:r>
    </w:p>
    <w:p w14:paraId="613FD1F9" w14:textId="77777777" w:rsidR="00BC1364" w:rsidRDefault="00BC1364" w:rsidP="00065623">
      <w:pPr>
        <w:rPr>
          <w:szCs w:val="24"/>
        </w:rPr>
      </w:pPr>
    </w:p>
    <w:p w14:paraId="686733D7" w14:textId="0205F0A2" w:rsidR="0041758C" w:rsidRDefault="006A0D97" w:rsidP="00065623">
      <w:pPr>
        <w:rPr>
          <w:szCs w:val="24"/>
        </w:rPr>
      </w:pPr>
      <w:r>
        <w:rPr>
          <w:szCs w:val="24"/>
        </w:rPr>
        <w:t xml:space="preserve">Context for decision: MSAC makes its advice in accordance with its Terms of Reference, see at </w:t>
      </w:r>
      <w:hyperlink r:id="rId10" w:tooltip="Medical Services Advisory Committee website link" w:history="1">
        <w:r w:rsidRPr="000A74FE">
          <w:rPr>
            <w:rStyle w:val="Hyperlink"/>
            <w:szCs w:val="24"/>
          </w:rPr>
          <w:t>www.msac.gov.au</w:t>
        </w:r>
      </w:hyperlink>
    </w:p>
    <w:p w14:paraId="5A3CBF02" w14:textId="77777777" w:rsidR="0041758C" w:rsidRDefault="0041758C" w:rsidP="00065623">
      <w:pPr>
        <w:rPr>
          <w:szCs w:val="24"/>
        </w:rPr>
      </w:pPr>
    </w:p>
    <w:p w14:paraId="67788BE3" w14:textId="77777777" w:rsidR="00F41812" w:rsidRDefault="00F41812" w:rsidP="00065623">
      <w:pPr>
        <w:rPr>
          <w:szCs w:val="24"/>
        </w:rPr>
      </w:pPr>
    </w:p>
    <w:p w14:paraId="169B6D57"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63BE6F55" w14:textId="77777777" w:rsidR="003D7F29" w:rsidRPr="00EE3423" w:rsidRDefault="003D7F29" w:rsidP="00EE3423">
      <w:pPr>
        <w:tabs>
          <w:tab w:val="left" w:pos="720"/>
          <w:tab w:val="left" w:pos="1140"/>
        </w:tabs>
        <w:rPr>
          <w:bCs/>
          <w:szCs w:val="24"/>
        </w:rPr>
      </w:pPr>
    </w:p>
    <w:p w14:paraId="1BC1E9B8" w14:textId="5664003F" w:rsidR="00C9395D" w:rsidRPr="00CD04E6" w:rsidRDefault="0043526D" w:rsidP="00C9395D">
      <w:pPr>
        <w:tabs>
          <w:tab w:val="left" w:pos="0"/>
          <w:tab w:val="left" w:pos="1140"/>
        </w:tabs>
        <w:rPr>
          <w:szCs w:val="24"/>
        </w:rPr>
      </w:pPr>
      <w:r>
        <w:rPr>
          <w:szCs w:val="24"/>
        </w:rPr>
        <w:t xml:space="preserve">An application </w:t>
      </w:r>
      <w:r w:rsidR="00FC111C">
        <w:rPr>
          <w:szCs w:val="24"/>
        </w:rPr>
        <w:t>requesting</w:t>
      </w:r>
      <w:r w:rsidR="006F36D7">
        <w:rPr>
          <w:szCs w:val="24"/>
        </w:rPr>
        <w:t xml:space="preserve"> </w:t>
      </w:r>
      <w:r w:rsidR="00AC077A">
        <w:rPr>
          <w:szCs w:val="24"/>
        </w:rPr>
        <w:t xml:space="preserve">a new </w:t>
      </w:r>
      <w:r w:rsidR="006F36D7">
        <w:t>Medicare Benefits Schedule (MBS)</w:t>
      </w:r>
      <w:r>
        <w:t xml:space="preserve"> listing</w:t>
      </w:r>
      <w:r w:rsidR="006F36D7">
        <w:t xml:space="preserve"> </w:t>
      </w:r>
      <w:r w:rsidR="00AC077A">
        <w:t>for</w:t>
      </w:r>
      <w:r w:rsidR="006F36D7" w:rsidRPr="00CD04E6">
        <w:rPr>
          <w:szCs w:val="24"/>
        </w:rPr>
        <w:t xml:space="preserve"> transient </w:t>
      </w:r>
      <w:proofErr w:type="spellStart"/>
      <w:r w:rsidR="006F36D7" w:rsidRPr="00CD04E6">
        <w:rPr>
          <w:szCs w:val="24"/>
        </w:rPr>
        <w:t>elastography</w:t>
      </w:r>
      <w:proofErr w:type="spellEnd"/>
      <w:r w:rsidR="006F36D7" w:rsidRPr="00CD04E6">
        <w:rPr>
          <w:szCs w:val="24"/>
        </w:rPr>
        <w:t xml:space="preserve"> (TE) at 50Hz for the diagnosis of liver fibrosis in patients with </w:t>
      </w:r>
      <w:r w:rsidR="00DB7C1D">
        <w:rPr>
          <w:szCs w:val="24"/>
        </w:rPr>
        <w:t>confirmed</w:t>
      </w:r>
      <w:r w:rsidR="00DB7C1D" w:rsidRPr="00CD04E6">
        <w:rPr>
          <w:szCs w:val="24"/>
        </w:rPr>
        <w:t xml:space="preserve"> </w:t>
      </w:r>
      <w:r w:rsidR="006F36D7" w:rsidRPr="00CD04E6">
        <w:rPr>
          <w:szCs w:val="24"/>
        </w:rPr>
        <w:t>hepatitis</w:t>
      </w:r>
      <w:r w:rsidR="00BD38CA">
        <w:rPr>
          <w:szCs w:val="24"/>
        </w:rPr>
        <w:t> </w:t>
      </w:r>
      <w:r w:rsidR="006F36D7" w:rsidRPr="00CD04E6">
        <w:rPr>
          <w:szCs w:val="24"/>
        </w:rPr>
        <w:t>B or C</w:t>
      </w:r>
      <w:r>
        <w:rPr>
          <w:szCs w:val="24"/>
        </w:rPr>
        <w:t xml:space="preserve"> was received from </w:t>
      </w:r>
      <w:r w:rsidRPr="00CD04E6">
        <w:rPr>
          <w:szCs w:val="24"/>
        </w:rPr>
        <w:t>Medical Technologies Australia Pty Ltd</w:t>
      </w:r>
      <w:r w:rsidR="00EE3423">
        <w:rPr>
          <w:szCs w:val="24"/>
        </w:rPr>
        <w:t>.</w:t>
      </w:r>
    </w:p>
    <w:p w14:paraId="79300983" w14:textId="77777777" w:rsidR="00C9395D" w:rsidRPr="00CD04E6" w:rsidRDefault="00C9395D" w:rsidP="00C9395D">
      <w:pPr>
        <w:tabs>
          <w:tab w:val="left" w:pos="0"/>
          <w:tab w:val="left" w:pos="1140"/>
        </w:tabs>
        <w:rPr>
          <w:szCs w:val="24"/>
        </w:rPr>
      </w:pPr>
    </w:p>
    <w:p w14:paraId="21B005CA" w14:textId="77777777" w:rsidR="00E977EE" w:rsidRDefault="00E977EE" w:rsidP="00E977EE">
      <w:pPr>
        <w:pStyle w:val="Heading1"/>
        <w:numPr>
          <w:ilvl w:val="0"/>
          <w:numId w:val="23"/>
        </w:numPr>
        <w:ind w:hanging="720"/>
      </w:pPr>
      <w:r w:rsidRPr="008D5885">
        <w:t>MSAC’s advice to the Minister</w:t>
      </w:r>
    </w:p>
    <w:p w14:paraId="78DADE3C" w14:textId="77777777" w:rsidR="00E977EE" w:rsidRPr="00EE3423" w:rsidRDefault="00E977EE" w:rsidP="00E977EE">
      <w:pPr>
        <w:tabs>
          <w:tab w:val="left" w:pos="720"/>
        </w:tabs>
        <w:ind w:left="709" w:hanging="709"/>
        <w:rPr>
          <w:szCs w:val="24"/>
        </w:rPr>
      </w:pPr>
    </w:p>
    <w:p w14:paraId="7F8CAB6A" w14:textId="390D49C8" w:rsidR="005D2045" w:rsidRPr="00A92CE5" w:rsidRDefault="005D2045" w:rsidP="005D2045">
      <w:r w:rsidRPr="00A92CE5">
        <w:t>After considering the strength of the available evidence in relation to the comparative safety, clinical effec</w:t>
      </w:r>
      <w:r>
        <w:t xml:space="preserve">tiveness and cost-effectiveness, </w:t>
      </w:r>
      <w:r w:rsidRPr="00A92CE5">
        <w:t>MSAC d</w:t>
      </w:r>
      <w:r w:rsidR="00AC077A">
        <w:t>id</w:t>
      </w:r>
      <w:r w:rsidRPr="00A92CE5">
        <w:t xml:space="preserve"> not support public funding for </w:t>
      </w:r>
      <w:r w:rsidR="00AC077A">
        <w:t>TE</w:t>
      </w:r>
      <w:r w:rsidRPr="00A92CE5">
        <w:t xml:space="preserve"> at 50Hz for the diagnosis of </w:t>
      </w:r>
      <w:r w:rsidR="00AC077A">
        <w:t>l</w:t>
      </w:r>
      <w:r w:rsidRPr="00A92CE5">
        <w:t xml:space="preserve">iver </w:t>
      </w:r>
      <w:r w:rsidR="00AC077A">
        <w:t>f</w:t>
      </w:r>
      <w:r w:rsidRPr="00A92CE5">
        <w:t xml:space="preserve">ibrosis in patients with </w:t>
      </w:r>
      <w:proofErr w:type="spellStart"/>
      <w:r w:rsidR="0048535F">
        <w:t>chronic</w:t>
      </w:r>
      <w:r w:rsidR="00AC077A">
        <w:t>h</w:t>
      </w:r>
      <w:r w:rsidRPr="00A92CE5">
        <w:t>epatitis</w:t>
      </w:r>
      <w:proofErr w:type="spellEnd"/>
      <w:r w:rsidRPr="00A92CE5">
        <w:t xml:space="preserve"> B </w:t>
      </w:r>
      <w:r w:rsidR="00AC077A">
        <w:t xml:space="preserve">(HBV) </w:t>
      </w:r>
      <w:r w:rsidRPr="00A92CE5">
        <w:t xml:space="preserve">or </w:t>
      </w:r>
      <w:r w:rsidR="0048535F">
        <w:t xml:space="preserve">chronic </w:t>
      </w:r>
      <w:r w:rsidR="00AC077A">
        <w:t>h</w:t>
      </w:r>
      <w:r>
        <w:t>epatitis C</w:t>
      </w:r>
      <w:r w:rsidR="00AC077A">
        <w:t xml:space="preserve"> (HCV)</w:t>
      </w:r>
      <w:r>
        <w:t>. While MSAC accept</w:t>
      </w:r>
      <w:r w:rsidR="00A17CA0">
        <w:t>ed</w:t>
      </w:r>
      <w:r w:rsidRPr="00A92CE5">
        <w:t xml:space="preserve"> that TE is being used by </w:t>
      </w:r>
      <w:proofErr w:type="spellStart"/>
      <w:r w:rsidRPr="00A92CE5">
        <w:t>hepatologists</w:t>
      </w:r>
      <w:proofErr w:type="spellEnd"/>
      <w:r w:rsidRPr="00A92CE5">
        <w:t xml:space="preserve"> as part of routine practice, the evidence that it improve</w:t>
      </w:r>
      <w:r w:rsidR="00A17CA0">
        <w:t>s</w:t>
      </w:r>
      <w:r w:rsidRPr="00A92CE5">
        <w:t xml:space="preserve"> patient outcomes by changing treatment decisions for either HBV or HCV </w:t>
      </w:r>
      <w:r>
        <w:t>is</w:t>
      </w:r>
      <w:r w:rsidRPr="00A92CE5">
        <w:t xml:space="preserve"> </w:t>
      </w:r>
      <w:r w:rsidR="00DA3B7D">
        <w:t>negligible</w:t>
      </w:r>
      <w:r w:rsidRPr="00A92CE5">
        <w:t>. MSAC</w:t>
      </w:r>
      <w:r>
        <w:t xml:space="preserve"> remain</w:t>
      </w:r>
      <w:r w:rsidR="00A17CA0">
        <w:t>ed</w:t>
      </w:r>
      <w:r w:rsidRPr="00A92CE5">
        <w:t xml:space="preserve"> unconvinced by the economic modelling and </w:t>
      </w:r>
      <w:r>
        <w:t>is</w:t>
      </w:r>
      <w:r w:rsidRPr="00A92CE5">
        <w:t xml:space="preserve"> concerned </w:t>
      </w:r>
      <w:r w:rsidR="008C70AC">
        <w:t xml:space="preserve">about the potential for </w:t>
      </w:r>
      <w:r>
        <w:t>use in other liver conditions</w:t>
      </w:r>
      <w:r w:rsidR="008C70AC">
        <w:t>,</w:t>
      </w:r>
      <w:r w:rsidRPr="00A92CE5">
        <w:t xml:space="preserve"> and for monitoring </w:t>
      </w:r>
      <w:r w:rsidR="008C70AC">
        <w:t xml:space="preserve">of treatment responses in HBV and HCV, resulting in substantial </w:t>
      </w:r>
      <w:r w:rsidR="00DA3B7D">
        <w:t xml:space="preserve">additional </w:t>
      </w:r>
      <w:r w:rsidR="008C70AC">
        <w:t>costs and no clear health gains.</w:t>
      </w:r>
    </w:p>
    <w:p w14:paraId="519603DD" w14:textId="77777777" w:rsidR="00E977EE" w:rsidRPr="00EE3423" w:rsidRDefault="00E977EE" w:rsidP="00EE3423">
      <w:pPr>
        <w:pStyle w:val="Default"/>
        <w:rPr>
          <w:color w:val="auto"/>
        </w:rPr>
      </w:pPr>
    </w:p>
    <w:p w14:paraId="031F2754" w14:textId="77777777" w:rsidR="00550354" w:rsidRDefault="00550354" w:rsidP="00550354">
      <w:pPr>
        <w:pStyle w:val="Heading1"/>
        <w:numPr>
          <w:ilvl w:val="0"/>
          <w:numId w:val="23"/>
        </w:numPr>
        <w:ind w:hanging="720"/>
      </w:pPr>
      <w:r w:rsidRPr="008D5885">
        <w:t>Summary of consideration and rationale for MSAC’s advice</w:t>
      </w:r>
      <w:r w:rsidRPr="00707064">
        <w:t xml:space="preserve"> </w:t>
      </w:r>
    </w:p>
    <w:p w14:paraId="5D348686" w14:textId="77777777" w:rsidR="00550354" w:rsidRDefault="00550354" w:rsidP="00550354">
      <w:pPr>
        <w:rPr>
          <w:szCs w:val="24"/>
        </w:rPr>
      </w:pPr>
    </w:p>
    <w:p w14:paraId="4319A7AF" w14:textId="593404B3" w:rsidR="00902A21" w:rsidRPr="00A92CE5" w:rsidRDefault="00902A21" w:rsidP="00902A21">
      <w:r>
        <w:t xml:space="preserve">MSAC noted that </w:t>
      </w:r>
      <w:r w:rsidRPr="00A92CE5">
        <w:t xml:space="preserve">TE, </w:t>
      </w:r>
      <w:r w:rsidR="00EE3423">
        <w:t xml:space="preserve">supplied </w:t>
      </w:r>
      <w:r w:rsidR="002677A0">
        <w:t xml:space="preserve">as a device with the requested characteristics </w:t>
      </w:r>
      <w:r w:rsidR="00EE3423">
        <w:t xml:space="preserve">in Australia using the brand name </w:t>
      </w:r>
      <w:proofErr w:type="spellStart"/>
      <w:r w:rsidRPr="00A92CE5">
        <w:t>Fibroscan</w:t>
      </w:r>
      <w:proofErr w:type="spellEnd"/>
      <w:r w:rsidR="00EE3423" w:rsidRPr="00EE3423">
        <w:rPr>
          <w:vertAlign w:val="superscript"/>
        </w:rPr>
        <w:t>®</w:t>
      </w:r>
      <w:r w:rsidRPr="00A92CE5">
        <w:t>, is a non-invasive method of measuring the stiffness of liver tissue which in turn provides an indication of the level of fibrosis (liver scarring). It can be used in conjunction with other clinical information to assess the level of fibrosis in people with HBV or HCV</w:t>
      </w:r>
      <w:r w:rsidR="00EE3423">
        <w:t>. W</w:t>
      </w:r>
      <w:r w:rsidRPr="00A92CE5">
        <w:t xml:space="preserve">hile not currently subsidised </w:t>
      </w:r>
      <w:r w:rsidR="00EE3423">
        <w:t>via</w:t>
      </w:r>
      <w:r w:rsidRPr="00A92CE5">
        <w:t xml:space="preserve"> the MBS, TE is available in Australia, mainly through public hospitals.</w:t>
      </w:r>
    </w:p>
    <w:p w14:paraId="4A42CFB9" w14:textId="77777777" w:rsidR="00902A21" w:rsidRPr="00A92CE5" w:rsidRDefault="00902A21" w:rsidP="00902A21"/>
    <w:p w14:paraId="0027BC4F" w14:textId="63AC71A5" w:rsidR="00902A21" w:rsidRPr="00A92CE5" w:rsidRDefault="00902A21" w:rsidP="00902A21">
      <w:r>
        <w:lastRenderedPageBreak/>
        <w:t>MSAC noted that</w:t>
      </w:r>
      <w:r w:rsidR="00140DAD">
        <w:t xml:space="preserve"> </w:t>
      </w:r>
      <w:r>
        <w:t>t</w:t>
      </w:r>
      <w:r w:rsidRPr="00A92CE5">
        <w:t xml:space="preserve">here are around half a million Australians </w:t>
      </w:r>
      <w:proofErr w:type="gramStart"/>
      <w:r w:rsidRPr="00A92CE5">
        <w:t xml:space="preserve">with </w:t>
      </w:r>
      <w:r w:rsidR="00DB7C1D">
        <w:t xml:space="preserve"> </w:t>
      </w:r>
      <w:proofErr w:type="spellStart"/>
      <w:r w:rsidR="0048535F">
        <w:t>chronic</w:t>
      </w:r>
      <w:r w:rsidRPr="00A92CE5">
        <w:t>HBV</w:t>
      </w:r>
      <w:proofErr w:type="spellEnd"/>
      <w:proofErr w:type="gramEnd"/>
      <w:r w:rsidRPr="00A92CE5">
        <w:t xml:space="preserve"> (~225,000 people) or HCV (~230,000 people). </w:t>
      </w:r>
      <w:r w:rsidR="00BD38CA">
        <w:t>I</w:t>
      </w:r>
      <w:r w:rsidRPr="00A92CE5">
        <w:t xml:space="preserve">n recent years, new antivirals to treat HCV have become available </w:t>
      </w:r>
      <w:r w:rsidR="00896814">
        <w:t xml:space="preserve">on </w:t>
      </w:r>
      <w:r w:rsidRPr="00A92CE5">
        <w:t xml:space="preserve">the </w:t>
      </w:r>
      <w:r w:rsidR="00A17CA0">
        <w:t>Pharmaceutical Benefits Scheme (</w:t>
      </w:r>
      <w:r w:rsidRPr="00A92CE5">
        <w:t>PBS</w:t>
      </w:r>
      <w:r w:rsidR="00A17CA0">
        <w:t>)</w:t>
      </w:r>
      <w:r>
        <w:t xml:space="preserve"> and that </w:t>
      </w:r>
      <w:r w:rsidRPr="00A92CE5">
        <w:t xml:space="preserve">these new medicines are able to cure most people with the condition. </w:t>
      </w:r>
      <w:r>
        <w:t>MSAC noted that, i</w:t>
      </w:r>
      <w:r w:rsidRPr="00A92CE5">
        <w:t>n contrast, medicines to treat HBV do not cure the condition but aim to slow progression of the disease</w:t>
      </w:r>
      <w:r w:rsidR="008C70AC">
        <w:t>,</w:t>
      </w:r>
      <w:r>
        <w:t xml:space="preserve"> and o</w:t>
      </w:r>
      <w:r w:rsidRPr="00A92CE5">
        <w:t>nce treatment for HBV is begun</w:t>
      </w:r>
      <w:r w:rsidR="008C70AC">
        <w:t>,</w:t>
      </w:r>
      <w:r w:rsidR="00EE3423">
        <w:t xml:space="preserve"> it is </w:t>
      </w:r>
      <w:proofErr w:type="gramStart"/>
      <w:r w:rsidR="00EE3423">
        <w:t>lifelong</w:t>
      </w:r>
      <w:proofErr w:type="gramEnd"/>
      <w:r w:rsidR="00EE3423">
        <w:t>.</w:t>
      </w:r>
    </w:p>
    <w:p w14:paraId="0F6FDCD9" w14:textId="77777777" w:rsidR="00902A21" w:rsidRPr="00A92CE5" w:rsidRDefault="00902A21" w:rsidP="00902A21"/>
    <w:p w14:paraId="51782283" w14:textId="71B84BF7" w:rsidR="008C70AC" w:rsidRDefault="00902A21" w:rsidP="00902A21">
      <w:r>
        <w:t>MSAC noted that, b</w:t>
      </w:r>
      <w:r w:rsidRPr="00A92CE5">
        <w:t>oth</w:t>
      </w:r>
      <w:r w:rsidR="00DB7C1D">
        <w:t xml:space="preserve"> </w:t>
      </w:r>
      <w:r w:rsidR="0048535F">
        <w:t>chronic</w:t>
      </w:r>
      <w:r w:rsidR="00DB7C1D">
        <w:t xml:space="preserve"> </w:t>
      </w:r>
      <w:r w:rsidRPr="00A92CE5">
        <w:t xml:space="preserve">HBV and </w:t>
      </w:r>
      <w:r w:rsidR="0048535F">
        <w:t>chronic</w:t>
      </w:r>
      <w:r w:rsidR="00DB7C1D">
        <w:t xml:space="preserve"> </w:t>
      </w:r>
      <w:r w:rsidRPr="00A92CE5">
        <w:t>HCV cause liver damage including fibrosis</w:t>
      </w:r>
      <w:r w:rsidR="00BD38CA">
        <w:t>. A</w:t>
      </w:r>
      <w:r w:rsidRPr="00A92CE5">
        <w:t>t its most severe, fibrosis occurs throughout the liver (cirrhosis)</w:t>
      </w:r>
      <w:r w:rsidR="00C0501A">
        <w:t>.</w:t>
      </w:r>
      <w:r w:rsidRPr="00A92CE5">
        <w:t xml:space="preserve"> </w:t>
      </w:r>
      <w:r w:rsidR="00C0501A">
        <w:t>T</w:t>
      </w:r>
      <w:r w:rsidRPr="00A92CE5">
        <w:t>he METAVIR system is a way to grade the severity of fibrosis.</w:t>
      </w:r>
    </w:p>
    <w:p w14:paraId="4D75A3BF" w14:textId="77777777" w:rsidR="00902A21" w:rsidRPr="00A92CE5" w:rsidRDefault="00902A21" w:rsidP="00902A21"/>
    <w:p w14:paraId="3517ACC8" w14:textId="150A5C4D" w:rsidR="00902A21" w:rsidRPr="00A92CE5" w:rsidRDefault="00902A21" w:rsidP="00902A21">
      <w:r w:rsidRPr="00A92CE5">
        <w:t xml:space="preserve">MSAC noted that since the preparation of the application for TE, new </w:t>
      </w:r>
      <w:hyperlink r:id="rId11" w:tooltip="Website link to consensus statement from GESA" w:history="1">
        <w:r w:rsidRPr="00A92CE5">
          <w:rPr>
            <w:rStyle w:val="Hyperlink"/>
          </w:rPr>
          <w:t>consensus recommendations</w:t>
        </w:r>
      </w:hyperlink>
      <w:r w:rsidRPr="00A92CE5">
        <w:t xml:space="preserve"> from the Hepatitis C Virus Infection Consensus Statement Working Group for the management of HCV (hereafter the 2016 consensus statement) were published and new curative antivirals for treating HCV were listed </w:t>
      </w:r>
      <w:r w:rsidR="00C0501A">
        <w:t>on</w:t>
      </w:r>
      <w:r w:rsidR="00C0501A" w:rsidRPr="00A92CE5">
        <w:t xml:space="preserve"> </w:t>
      </w:r>
      <w:r w:rsidRPr="00A92CE5">
        <w:t xml:space="preserve">the </w:t>
      </w:r>
      <w:r w:rsidR="00C0501A">
        <w:t>PBS</w:t>
      </w:r>
      <w:r w:rsidRPr="00A92CE5">
        <w:t>.</w:t>
      </w:r>
    </w:p>
    <w:p w14:paraId="684C38B0" w14:textId="77777777" w:rsidR="00902A21" w:rsidRPr="00A92CE5" w:rsidRDefault="00902A21" w:rsidP="00902A21"/>
    <w:p w14:paraId="4F27B571" w14:textId="3BA53E8A" w:rsidR="00902A21" w:rsidRPr="00A92CE5" w:rsidRDefault="00902A21" w:rsidP="00902A21">
      <w:r w:rsidRPr="00A92CE5">
        <w:t xml:space="preserve">MSAC considered that the most appropriate comparator for TE was clinical assessment rather than liver biopsy. </w:t>
      </w:r>
      <w:r w:rsidR="00EE3423">
        <w:t>Although l</w:t>
      </w:r>
      <w:r w:rsidRPr="00A92CE5">
        <w:t xml:space="preserve">iver biopsy </w:t>
      </w:r>
      <w:r w:rsidR="0054665C">
        <w:t>is</w:t>
      </w:r>
      <w:r w:rsidR="00EE3423">
        <w:t xml:space="preserve"> an appropriate reference standard</w:t>
      </w:r>
      <w:r w:rsidR="0054665C">
        <w:t xml:space="preserve"> for the assessment of analytical validity</w:t>
      </w:r>
      <w:r w:rsidR="00EE3423">
        <w:t xml:space="preserve">, it </w:t>
      </w:r>
      <w:r w:rsidRPr="00A92CE5">
        <w:t xml:space="preserve">is invasive, associated with a risk of complications and is not routinely done. </w:t>
      </w:r>
      <w:r w:rsidR="008C70AC">
        <w:t xml:space="preserve">Clinical assessment is inherently complex and involves all the clinical and laboratory tests (used in combination) </w:t>
      </w:r>
      <w:r w:rsidR="00EE3423">
        <w:t xml:space="preserve">routinely </w:t>
      </w:r>
      <w:r w:rsidR="008C70AC">
        <w:t>performed in patients with HBV or HCV as detailed in the consensus recommendations.</w:t>
      </w:r>
    </w:p>
    <w:p w14:paraId="41689368" w14:textId="77777777" w:rsidR="00902A21" w:rsidRPr="00A92CE5" w:rsidRDefault="00902A21" w:rsidP="00902A21"/>
    <w:p w14:paraId="63EBD113" w14:textId="77777777" w:rsidR="00902A21" w:rsidRPr="00A92CE5" w:rsidRDefault="00902A21" w:rsidP="00902A21">
      <w:r w:rsidRPr="00A92CE5">
        <w:t xml:space="preserve">MSAC agreed that TE was </w:t>
      </w:r>
      <w:r w:rsidR="008C70AC">
        <w:t xml:space="preserve">reasonably </w:t>
      </w:r>
      <w:r w:rsidRPr="00A92CE5">
        <w:t>accurate in detecting cirrhosis as a standalone test when compared with liver biopsy. A number of meta-analyses reported on the diagnostic accuracy of TE alone compared with liver biopsy. In HBV, sensitivity ranged from 67% to 86% and specificity ranged from 76% to 89% for detection of cirrhosis. In HCV, sensitivity ranged from 83% to 89% and specificity ranged from 90% to 95% for cirrhosis. When compared with liver biopsy, the accuracy of TE in identifying HBV patients with significant fibrosis requiring treatment (METAVIR score ≥ 2), sensitivity ranged from 71% to 84% and specificity ranged from 72% to 84% for detection of significant fibrosis. In HCV, sensitivity for significant fibrosis ranged from 70% to 79% and specificity ranged from 80% to 86%.</w:t>
      </w:r>
    </w:p>
    <w:p w14:paraId="68C0AD00" w14:textId="77777777" w:rsidR="00902A21" w:rsidRPr="00A92CE5" w:rsidRDefault="00902A21" w:rsidP="00902A21"/>
    <w:p w14:paraId="42B9D6CE" w14:textId="0DA2D8DA" w:rsidR="00902A21" w:rsidRPr="00A92CE5" w:rsidRDefault="00902A21" w:rsidP="00902A21">
      <w:r>
        <w:t>MSAC noted that, e</w:t>
      </w:r>
      <w:r w:rsidRPr="00A92CE5">
        <w:t>vidence comparing the diagnostic accuracy of TE with clinical assessment relied on four observational studies of varying quality. Only one of these studies compared the ability of TE and TE plus ultrasound to detect significant fibrosis (Wang et al, 2009). It found TE alone was better than ultrasound</w:t>
      </w:r>
      <w:r w:rsidR="0054665C">
        <w:t>,</w:t>
      </w:r>
      <w:r w:rsidRPr="00A92CE5">
        <w:t xml:space="preserve"> but the performance of TE plus ultrasound (area under the receiver operating curve [AUROC] 0.87, 95% CI 0.83 to 0.90) was similar to TE alone (AU</w:t>
      </w:r>
      <w:r w:rsidR="0054665C">
        <w:t>ROC 0.82, 95% CI 0.78 to 0.87).</w:t>
      </w:r>
    </w:p>
    <w:p w14:paraId="6E7275B3" w14:textId="77777777" w:rsidR="00902A21" w:rsidRPr="00A92CE5" w:rsidRDefault="00902A21" w:rsidP="00902A21"/>
    <w:p w14:paraId="381A3E34" w14:textId="4D5D031B" w:rsidR="00902A21" w:rsidRPr="00A92CE5" w:rsidRDefault="00902A21" w:rsidP="00902A21">
      <w:r>
        <w:t>MSAC noted a</w:t>
      </w:r>
      <w:r w:rsidRPr="00A92CE5">
        <w:t xml:space="preserve"> trend towards improved diagnostic accuracy in the detection of cirrhosis was reported by three studies</w:t>
      </w:r>
      <w:r w:rsidR="00BD38CA">
        <w:t>. However,</w:t>
      </w:r>
      <w:r w:rsidRPr="00A92CE5">
        <w:t xml:space="preserve"> this did not reach significance for the two studies which compared TE alone with TE plus ultrasound (Wang et al, 2009; Chen et al, 2012). The third study compared TE alone (AUROC 0.88, 95% CI 0.81 to 0.94) with TE plus ultrasound plus platelets (AUROC 0.91, 95% CI 0.86 to 0.97)</w:t>
      </w:r>
      <w:r w:rsidR="00772C98">
        <w:t>,</w:t>
      </w:r>
      <w:r w:rsidRPr="00A92CE5">
        <w:t xml:space="preserve"> but significance testing was not reported (Kim et al, 20</w:t>
      </w:r>
      <w:r w:rsidR="001E4A20">
        <w:t>09</w:t>
      </w:r>
      <w:r w:rsidRPr="00A92CE5">
        <w:t>). A fourth poor quality study (</w:t>
      </w:r>
      <w:proofErr w:type="spellStart"/>
      <w:r w:rsidRPr="00A92CE5">
        <w:t>Gobel</w:t>
      </w:r>
      <w:proofErr w:type="spellEnd"/>
      <w:r w:rsidRPr="00A92CE5">
        <w:t xml:space="preserve"> et al, 2015) compared the sensitivity and specificity in detecting cirrhosis of TE alone (</w:t>
      </w:r>
      <w:r w:rsidR="00772C98">
        <w:t>se</w:t>
      </w:r>
      <w:r w:rsidRPr="00A92CE5">
        <w:t>n</w:t>
      </w:r>
      <w:r w:rsidR="00772C98">
        <w:t>sitivity</w:t>
      </w:r>
      <w:r w:rsidRPr="00A92CE5">
        <w:t xml:space="preserve"> 91%, </w:t>
      </w:r>
      <w:r w:rsidR="00772C98">
        <w:t>specificity</w:t>
      </w:r>
      <w:r w:rsidRPr="00A92CE5">
        <w:t xml:space="preserve"> 44%) with TE plus ultrasound (</w:t>
      </w:r>
      <w:r w:rsidR="00772C98">
        <w:t>sensitivity</w:t>
      </w:r>
      <w:r w:rsidRPr="00A92CE5">
        <w:t xml:space="preserve"> 96%, </w:t>
      </w:r>
      <w:r w:rsidR="00772C98">
        <w:t>sensitivity</w:t>
      </w:r>
      <w:r w:rsidRPr="00A92CE5">
        <w:t xml:space="preserve"> 51%), TE plus platelets (</w:t>
      </w:r>
      <w:r w:rsidR="00772C98">
        <w:t>sensitivity</w:t>
      </w:r>
      <w:r w:rsidRPr="00A92CE5">
        <w:t xml:space="preserve"> 94%, </w:t>
      </w:r>
      <w:r w:rsidR="00772C98">
        <w:t>specificity</w:t>
      </w:r>
      <w:r w:rsidRPr="00A92CE5">
        <w:t xml:space="preserve"> 49%) and ultrasound combined with physica</w:t>
      </w:r>
      <w:r w:rsidR="0054665C">
        <w:t>l examination (</w:t>
      </w:r>
      <w:r w:rsidR="00772C98">
        <w:t>sensitivity</w:t>
      </w:r>
      <w:r w:rsidR="0054665C">
        <w:t xml:space="preserve"> 88%, </w:t>
      </w:r>
      <w:r w:rsidR="00772C98">
        <w:t>specificity</w:t>
      </w:r>
      <w:r w:rsidR="0054665C">
        <w:t xml:space="preserve"> 62%).</w:t>
      </w:r>
    </w:p>
    <w:p w14:paraId="61D11333" w14:textId="77777777" w:rsidR="00902A21" w:rsidRPr="00A92CE5" w:rsidRDefault="00902A21" w:rsidP="00902A21"/>
    <w:p w14:paraId="2CDA8237" w14:textId="77777777" w:rsidR="00902A21" w:rsidRPr="00A92CE5" w:rsidRDefault="00902A21" w:rsidP="00902A21">
      <w:r w:rsidRPr="00A92CE5">
        <w:t xml:space="preserve">MSAC noted that because all four studies comparing TE with clinical assessment were conducted in high risk patients in tertiary care settings, the positive predictive value of TE </w:t>
      </w:r>
      <w:r w:rsidRPr="00A92CE5">
        <w:lastRenderedPageBreak/>
        <w:t xml:space="preserve">could be lower if it is used in lower risk settings where the prevalence of significant fibrosis and/or cirrhosis may be lower. Furthermore, MSAC noted the limited evidence base meant </w:t>
      </w:r>
      <w:r w:rsidR="008C70AC">
        <w:t xml:space="preserve">that substantial </w:t>
      </w:r>
      <w:r w:rsidRPr="00A92CE5">
        <w:t xml:space="preserve">uncertainty remained about the relative diagnostic accuracy of TE compared with the combination of tests </w:t>
      </w:r>
      <w:r w:rsidR="008C70AC">
        <w:t xml:space="preserve">as </w:t>
      </w:r>
      <w:r w:rsidRPr="00A92CE5">
        <w:t>used in current clinical practice.</w:t>
      </w:r>
    </w:p>
    <w:p w14:paraId="55C24707" w14:textId="77777777" w:rsidR="00902A21" w:rsidRPr="00A92CE5" w:rsidRDefault="00902A21" w:rsidP="00902A21"/>
    <w:p w14:paraId="192BC996" w14:textId="044D0DE3" w:rsidR="00902A21" w:rsidRPr="00A92CE5" w:rsidRDefault="00902A21" w:rsidP="00902A21">
      <w:r w:rsidRPr="00A92CE5">
        <w:t xml:space="preserve">MSAC was unable to establish to what extent, if any, TE changes clinical management in HBV or HCV, particularly in the context of the multiplicity of other investigations routinely undertaken as part of a </w:t>
      </w:r>
      <w:r w:rsidR="007A12E5">
        <w:t>patient’s ongoing</w:t>
      </w:r>
      <w:r w:rsidRPr="00A92CE5">
        <w:t xml:space="preserve"> assessment.</w:t>
      </w:r>
    </w:p>
    <w:p w14:paraId="3FE14480" w14:textId="77777777" w:rsidR="00902A21" w:rsidRPr="00A92CE5" w:rsidRDefault="00902A21" w:rsidP="00902A21"/>
    <w:p w14:paraId="400DC781" w14:textId="1B1A603C" w:rsidR="00902A21" w:rsidRPr="00A92CE5" w:rsidRDefault="00902A21" w:rsidP="00902A21">
      <w:r w:rsidRPr="00A92CE5">
        <w:t xml:space="preserve">MSAC noted that the clinical algorithm included in the application preceded recent changes in the management of HCV and the PBS listing of the new curative antivirals. The algorithm in the application suggested that people with HCV and significant fibrosis would be treated while those without significant fibrosis would not be treated. However, the 2016 consensus statement recommends treatment be considered in </w:t>
      </w:r>
      <w:r w:rsidRPr="00A92CE5">
        <w:rPr>
          <w:u w:val="single"/>
        </w:rPr>
        <w:t>all</w:t>
      </w:r>
      <w:r w:rsidRPr="00A92CE5">
        <w:t xml:space="preserve"> people with chronic HCV. Improved health outcomes for patients with chronic HCV will be driven by uptake of the new curative antivirals and </w:t>
      </w:r>
      <w:r w:rsidR="008C70AC">
        <w:t xml:space="preserve">MSAC was not convinced that the </w:t>
      </w:r>
      <w:r w:rsidRPr="00A92CE5">
        <w:t xml:space="preserve">availability of TE on the MBS will impact upon access to these medicines. While the PBS restrictions require information on whether a patient does or does not have cirrhosis to be provided at the time of application, the approach to treatment (as per the 2016 consensus statement) does not vary according to whether or not a patient has cirrhosis. The only exception to this is for the combination of </w:t>
      </w:r>
      <w:proofErr w:type="spellStart"/>
      <w:r w:rsidRPr="00A92CE5">
        <w:t>sofosbuvir</w:t>
      </w:r>
      <w:proofErr w:type="spellEnd"/>
      <w:r w:rsidRPr="00A92CE5">
        <w:t xml:space="preserve"> + </w:t>
      </w:r>
      <w:proofErr w:type="spellStart"/>
      <w:r w:rsidRPr="00A92CE5">
        <w:t>daclatasvir</w:t>
      </w:r>
      <w:proofErr w:type="spellEnd"/>
      <w:r w:rsidRPr="00A92CE5">
        <w:t xml:space="preserve"> in people with genotype 3 HCV infection</w:t>
      </w:r>
      <w:r w:rsidR="00F96BAF">
        <w:t>,</w:t>
      </w:r>
      <w:r w:rsidRPr="00A92CE5">
        <w:t xml:space="preserve"> used for 12 weeks if a patient does not have cirrhosis and 24 weeks if they do. </w:t>
      </w:r>
      <w:r w:rsidR="008C70AC">
        <w:t xml:space="preserve">It was noted that the basis for the difference in the duration of treatment was uncertain. </w:t>
      </w:r>
      <w:r w:rsidRPr="00A92CE5">
        <w:t xml:space="preserve">Furthermore, </w:t>
      </w:r>
      <w:r w:rsidR="00F96BAF">
        <w:t>MSAC</w:t>
      </w:r>
      <w:r w:rsidRPr="00A92CE5">
        <w:t xml:space="preserve"> noted that TE was only one of many tests that could be done to determine whether a patient has cirrhosis including physical examination and clinical history, blood tests and serum markers, ultrasound and other non-invasive tests. Given this, MSAC concluded that there is n</w:t>
      </w:r>
      <w:r w:rsidR="00DA3B7D">
        <w:t>egligible</w:t>
      </w:r>
      <w:r w:rsidRPr="00A92CE5">
        <w:t xml:space="preserve"> evidence that the use of TE in people with HCV will</w:t>
      </w:r>
      <w:r w:rsidR="008C70AC">
        <w:t xml:space="preserve"> lead to important </w:t>
      </w:r>
      <w:r w:rsidRPr="00A92CE5">
        <w:t>change</w:t>
      </w:r>
      <w:r w:rsidR="008C70AC">
        <w:t>s in</w:t>
      </w:r>
      <w:r w:rsidRPr="00A92CE5">
        <w:t xml:space="preserve"> treatment or improve clinical outcomes.</w:t>
      </w:r>
    </w:p>
    <w:p w14:paraId="6BAB7401" w14:textId="77777777" w:rsidR="00902A21" w:rsidRPr="00A92CE5" w:rsidRDefault="00902A21" w:rsidP="00902A21"/>
    <w:p w14:paraId="2B8E49E5" w14:textId="4983B7FC" w:rsidR="00902A21" w:rsidRPr="00A92CE5" w:rsidRDefault="00902A21" w:rsidP="00902A21">
      <w:r w:rsidRPr="00A92CE5">
        <w:t>MSAC also noted that the presence or absence of cirrhosis had little impact upon a patient’s ability to access medicines to treat HBV. The aim of HBV treatment is control — it is not cu</w:t>
      </w:r>
      <w:r w:rsidR="00DA3B7D">
        <w:t>rative. Patients can access PBS-</w:t>
      </w:r>
      <w:r w:rsidRPr="00A92CE5">
        <w:t xml:space="preserve">subsidised treatment for HBV whether they have cirrhosis or not because access is dependent upon viral DNA load. If a patient has cirrhosis, then levels of HBV DNA must be detectable while patients without cirrhosis must have elevated levels of HBV DNA as well as elevated liver enzymes and/or a liver biopsy (see </w:t>
      </w:r>
      <w:r w:rsidR="008C0CD5">
        <w:fldChar w:fldCharType="begin"/>
      </w:r>
      <w:r w:rsidR="006842BE">
        <w:instrText>HYPERLINK "http://www.pbs.gov.au/pbs/home" \o "Website link to PBS webpage, which outlines PBS restrictions"</w:instrText>
      </w:r>
      <w:r w:rsidR="008C0CD5">
        <w:fldChar w:fldCharType="separate"/>
      </w:r>
      <w:r w:rsidRPr="00A92CE5">
        <w:rPr>
          <w:rStyle w:val="Hyperlink"/>
        </w:rPr>
        <w:t>PBS restrictions</w:t>
      </w:r>
      <w:r w:rsidR="008C0CD5">
        <w:rPr>
          <w:rStyle w:val="Hyperlink"/>
        </w:rPr>
        <w:fldChar w:fldCharType="end"/>
      </w:r>
      <w:r w:rsidRPr="00A92CE5">
        <w:t xml:space="preserve"> for lamivudine, </w:t>
      </w:r>
      <w:proofErr w:type="spellStart"/>
      <w:r w:rsidRPr="00A92CE5">
        <w:t>entecavir</w:t>
      </w:r>
      <w:proofErr w:type="spellEnd"/>
      <w:r w:rsidRPr="00A92CE5">
        <w:t xml:space="preserve">, </w:t>
      </w:r>
      <w:proofErr w:type="spellStart"/>
      <w:r w:rsidRPr="00A92CE5">
        <w:t>tenofovir</w:t>
      </w:r>
      <w:proofErr w:type="spellEnd"/>
      <w:r w:rsidRPr="00A92CE5">
        <w:t xml:space="preserve"> and </w:t>
      </w:r>
      <w:proofErr w:type="spellStart"/>
      <w:r w:rsidRPr="00A92CE5">
        <w:t>peginterferon</w:t>
      </w:r>
      <w:proofErr w:type="spellEnd"/>
      <w:r w:rsidRPr="00A92CE5">
        <w:t xml:space="preserve">). Therefore the decision to treat HBV relies largely upon viral loads and serum markers. As for HCV, </w:t>
      </w:r>
      <w:r w:rsidR="00F96BAF">
        <w:t>MSAC</w:t>
      </w:r>
      <w:r w:rsidRPr="00A92CE5">
        <w:t xml:space="preserve"> noted that TE was only one of many tests that could be done to determine whether a patient has cirrhosis. Given this, MSAC concluded that there is no </w:t>
      </w:r>
      <w:r w:rsidR="008C70AC">
        <w:t xml:space="preserve">compelling </w:t>
      </w:r>
      <w:r w:rsidRPr="00A92CE5">
        <w:t xml:space="preserve">evidence that the use of TE in people with HBV will </w:t>
      </w:r>
      <w:r w:rsidR="00F43E88">
        <w:t xml:space="preserve">meaningfully improve their clinical management </w:t>
      </w:r>
      <w:r w:rsidRPr="00A92CE5">
        <w:t xml:space="preserve">or improve </w:t>
      </w:r>
      <w:r w:rsidR="00F43E88">
        <w:t xml:space="preserve">their </w:t>
      </w:r>
      <w:r w:rsidRPr="00A92CE5">
        <w:t>clinical outcomes.</w:t>
      </w:r>
    </w:p>
    <w:p w14:paraId="0CB58FAA" w14:textId="77777777" w:rsidR="00902A21" w:rsidRPr="00A92CE5" w:rsidRDefault="00902A21" w:rsidP="00902A21"/>
    <w:p w14:paraId="2C552C73" w14:textId="2410CB86" w:rsidR="00902A21" w:rsidRPr="00A92CE5" w:rsidRDefault="00902A21" w:rsidP="00902A21">
      <w:r w:rsidRPr="00A92CE5">
        <w:t>MSAC accepted that TE is able to provide some prognostic information and was able to predict complications such as liver cancer, cirrhosis and portal hypertension.</w:t>
      </w:r>
    </w:p>
    <w:p w14:paraId="5A96FA63" w14:textId="77777777" w:rsidR="00902A21" w:rsidRPr="00A92CE5" w:rsidRDefault="00902A21" w:rsidP="00902A21"/>
    <w:p w14:paraId="6D109429" w14:textId="0C71E97B" w:rsidR="007D712C" w:rsidRPr="00A92CE5" w:rsidRDefault="00DA3B7D" w:rsidP="007D712C">
      <w:r>
        <w:t xml:space="preserve">MSAC considered that a consequence of any MBS listing would be to extend the use of TE is beyond the public hospital sector where it is already available, to include the private sector, and from the specialist setting to include the GP setting. As stated above, </w:t>
      </w:r>
      <w:r w:rsidR="00902A21" w:rsidRPr="00A92CE5">
        <w:t xml:space="preserve">MSAC </w:t>
      </w:r>
      <w:r w:rsidR="007D712C">
        <w:t xml:space="preserve">noted </w:t>
      </w:r>
      <w:r w:rsidR="00902A21" w:rsidRPr="00A92CE5">
        <w:t xml:space="preserve">all of the evidence on the diagnostic accuracy of TE </w:t>
      </w:r>
      <w:r w:rsidR="003D7162">
        <w:t>was</w:t>
      </w:r>
      <w:r w:rsidR="00902A21" w:rsidRPr="00A92CE5">
        <w:t xml:space="preserve"> collected in high risk patients receiving specialist or hospital care. Patients being managed by GPs are more likely to be lower risk patients and as a result, the positive predictive value of TE (i.e. the likelihood that a person with a positive test has the disease) will be lower than in tertiary care settings. This may mean </w:t>
      </w:r>
      <w:r w:rsidR="00902A21" w:rsidRPr="00A92CE5">
        <w:lastRenderedPageBreak/>
        <w:t xml:space="preserve">that the number of people falsely identified by TE as having cirrhosis or significant fibrosis (false positives) will be higher in the primary care setting than </w:t>
      </w:r>
      <w:r w:rsidR="003D7162">
        <w:t>w</w:t>
      </w:r>
      <w:r w:rsidR="00902A21" w:rsidRPr="00A92CE5">
        <w:t>as seen in studies conducted in tertiary care.</w:t>
      </w:r>
      <w:r w:rsidR="007D712C">
        <w:t xml:space="preserve"> However</w:t>
      </w:r>
      <w:r w:rsidR="00F96BAF">
        <w:t>,</w:t>
      </w:r>
      <w:r w:rsidR="007D712C">
        <w:t xml:space="preserve"> </w:t>
      </w:r>
      <w:r w:rsidR="007D712C" w:rsidRPr="00A92CE5">
        <w:t xml:space="preserve">MSAC </w:t>
      </w:r>
      <w:r w:rsidR="007D712C">
        <w:t>also considered that there were considerable financial barriers to the use of TE by GP</w:t>
      </w:r>
      <w:r w:rsidR="003D7162">
        <w:t xml:space="preserve"> practice</w:t>
      </w:r>
      <w:r w:rsidR="007D712C">
        <w:t xml:space="preserve">s, given the high </w:t>
      </w:r>
      <w:r w:rsidR="007D712C" w:rsidRPr="00A92CE5">
        <w:t>purchas</w:t>
      </w:r>
      <w:r w:rsidR="007D712C">
        <w:t>e</w:t>
      </w:r>
      <w:r w:rsidR="007D712C" w:rsidRPr="00A92CE5">
        <w:t xml:space="preserve"> ($107,000–$180,000) and maintena</w:t>
      </w:r>
      <w:r w:rsidR="007D712C">
        <w:t>nce</w:t>
      </w:r>
      <w:r w:rsidR="007D712C" w:rsidRPr="00A92CE5">
        <w:t xml:space="preserve"> </w:t>
      </w:r>
      <w:r w:rsidR="007D712C">
        <w:t xml:space="preserve">costs of </w:t>
      </w:r>
      <w:r w:rsidR="007D712C" w:rsidRPr="00A92CE5">
        <w:t>the machine ($11,400 per year).</w:t>
      </w:r>
    </w:p>
    <w:p w14:paraId="3010CDD3" w14:textId="77777777" w:rsidR="00902A21" w:rsidRPr="00A92CE5" w:rsidRDefault="00902A21" w:rsidP="00902A21"/>
    <w:p w14:paraId="29BE562C" w14:textId="4F9BF49C" w:rsidR="00902A21" w:rsidRPr="00A92CE5" w:rsidRDefault="00902A21" w:rsidP="00902A21">
      <w:r w:rsidRPr="00A92CE5">
        <w:t>MSAC accepted that TE is a safer, more acceptable and more convenient method to measure fibrosis than liver biopsy. No adverse effects associated with the use of TE were reported in the evidence before the committee.</w:t>
      </w:r>
    </w:p>
    <w:p w14:paraId="05FCB12D" w14:textId="77777777" w:rsidR="00902A21" w:rsidRPr="00A92CE5" w:rsidRDefault="00902A21" w:rsidP="00902A21"/>
    <w:p w14:paraId="4A25C0FF" w14:textId="438137FB" w:rsidR="00902A21" w:rsidRPr="00A92CE5" w:rsidRDefault="00902A21" w:rsidP="00902A21">
      <w:r w:rsidRPr="00A92CE5">
        <w:t xml:space="preserve">MSAC noted that there was considerable uncertainty around the economic modelling presented in the application. </w:t>
      </w:r>
      <w:r w:rsidR="00ED23D9">
        <w:t>As stated above, the algorithm one which t</w:t>
      </w:r>
      <w:r w:rsidRPr="00A92CE5">
        <w:t xml:space="preserve">he model for HCV was </w:t>
      </w:r>
      <w:r w:rsidR="00ED23D9">
        <w:t xml:space="preserve">based was </w:t>
      </w:r>
      <w:r w:rsidRPr="00A92CE5">
        <w:t>not consistent with current recommendations</w:t>
      </w:r>
      <w:r w:rsidR="00ED23D9">
        <w:t>,</w:t>
      </w:r>
      <w:r w:rsidR="007D712C">
        <w:t xml:space="preserve"> and </w:t>
      </w:r>
      <w:r w:rsidR="00ED23D9">
        <w:t xml:space="preserve">it also </w:t>
      </w:r>
      <w:r w:rsidRPr="00A92CE5">
        <w:t>did not include the antivirals</w:t>
      </w:r>
      <w:r w:rsidR="002677A0">
        <w:t xml:space="preserve"> most recently listed in the PBS</w:t>
      </w:r>
      <w:r w:rsidR="007D712C">
        <w:t xml:space="preserve">. </w:t>
      </w:r>
      <w:r w:rsidR="002677A0">
        <w:t>Based on the algorithm which MSAC did not accept, the model estimated that u</w:t>
      </w:r>
      <w:r w:rsidRPr="00A92CE5">
        <w:t xml:space="preserve">sing TE in the initial diagnosis and annual monitoring of liver stiffness would incur an average cost of $46,673 and gain 6.38 QALYs compared with $44,187 and 6.37 QALYs for clinical assessment alone resulting in an ICER of $226,560 per QALY. In sensitivity analyses, the only scenario where TE plus clinical assessment was acceptably cost-effective (ICER $11,483 per QALY gained) was if the prevalence of significant fibrosis in the patient population was increased from 53% in the base case model to 83%. In the </w:t>
      </w:r>
      <w:r w:rsidR="002677A0">
        <w:t xml:space="preserve">version of the </w:t>
      </w:r>
      <w:r w:rsidRPr="00A92CE5">
        <w:t>model in which TE was used for initial diagnosis only, the incremental cost-effectiveness of adding TE to clinical assessment was not acceptable (ICER of $112,992 per QALY gained).</w:t>
      </w:r>
      <w:r w:rsidR="007D712C" w:rsidRPr="007D712C">
        <w:t xml:space="preserve"> </w:t>
      </w:r>
      <w:r w:rsidR="007D712C">
        <w:t>On the basis of this information, t</w:t>
      </w:r>
      <w:r w:rsidR="007D712C" w:rsidRPr="00A92CE5">
        <w:t xml:space="preserve">he </w:t>
      </w:r>
      <w:r w:rsidR="002677A0">
        <w:t xml:space="preserve">modelled </w:t>
      </w:r>
      <w:r w:rsidR="007D712C" w:rsidRPr="00A92CE5">
        <w:t>incremental cost-effectiveness of adding TE to clinical assessment was not acceptable.</w:t>
      </w:r>
    </w:p>
    <w:p w14:paraId="2569D293" w14:textId="77777777" w:rsidR="00902A21" w:rsidRPr="00A92CE5" w:rsidRDefault="00902A21" w:rsidP="00902A21"/>
    <w:p w14:paraId="67C0265E" w14:textId="02D3F714" w:rsidR="00902A21" w:rsidRPr="00A92CE5" w:rsidRDefault="00902A21" w:rsidP="00902A21">
      <w:r w:rsidRPr="00A92CE5">
        <w:t xml:space="preserve">MSAC were </w:t>
      </w:r>
      <w:r w:rsidR="002677A0">
        <w:t xml:space="preserve">also </w:t>
      </w:r>
      <w:r w:rsidRPr="00A92CE5">
        <w:t xml:space="preserve">unconvinced by the economic modelling for HBV as </w:t>
      </w:r>
      <w:r w:rsidR="009823D1">
        <w:t>it was unclear</w:t>
      </w:r>
      <w:r w:rsidRPr="00A92CE5">
        <w:t xml:space="preserve"> </w:t>
      </w:r>
      <w:r w:rsidR="009C5703">
        <w:t>that</w:t>
      </w:r>
      <w:r w:rsidRPr="00A92CE5">
        <w:t xml:space="preserve"> TE would change decisions around </w:t>
      </w:r>
      <w:r w:rsidR="009823D1">
        <w:t>commencing treatment with</w:t>
      </w:r>
      <w:r w:rsidR="009823D1" w:rsidRPr="00A92CE5">
        <w:t xml:space="preserve"> </w:t>
      </w:r>
      <w:r w:rsidRPr="00A92CE5">
        <w:t>HBV medicines</w:t>
      </w:r>
      <w:r w:rsidR="009C5703">
        <w:t xml:space="preserve"> as assumed for the model</w:t>
      </w:r>
      <w:r w:rsidRPr="00A92CE5">
        <w:t>. While it was argued that TE could identify an additional 9% of patients with significant fibrosis</w:t>
      </w:r>
      <w:r w:rsidR="009C5703">
        <w:t xml:space="preserve"> </w:t>
      </w:r>
      <w:r w:rsidR="00ED23D9" w:rsidRPr="00A92CE5">
        <w:t>(METAVIR scores</w:t>
      </w:r>
      <w:r w:rsidR="00ED23D9">
        <w:t xml:space="preserve"> F</w:t>
      </w:r>
      <w:r w:rsidR="00ED23D9" w:rsidRPr="00A92CE5">
        <w:t> ≥ 2)</w:t>
      </w:r>
      <w:r w:rsidR="00ED23D9">
        <w:t xml:space="preserve"> </w:t>
      </w:r>
      <w:r w:rsidR="009C5703">
        <w:t>who would then commence treatment</w:t>
      </w:r>
      <w:r w:rsidRPr="00A92CE5">
        <w:t xml:space="preserve">, MSAC noted that fibrosis is not the main driver for access to PBS medicines to treat HBV. Instead, access to these medicines was linked to viral load and as such it was difficult to </w:t>
      </w:r>
      <w:r w:rsidR="009823D1">
        <w:t>determine</w:t>
      </w:r>
      <w:r w:rsidR="009823D1" w:rsidRPr="00A92CE5">
        <w:t xml:space="preserve"> </w:t>
      </w:r>
      <w:r w:rsidRPr="00A92CE5">
        <w:t xml:space="preserve">how use of TE would impact upon the decision to start HBV medicines. </w:t>
      </w:r>
      <w:r w:rsidR="00ED23D9" w:rsidRPr="00A92CE5">
        <w:t xml:space="preserve">The </w:t>
      </w:r>
      <w:r w:rsidR="00ED23D9">
        <w:t xml:space="preserve">results of the </w:t>
      </w:r>
      <w:r w:rsidR="00ED23D9" w:rsidRPr="00A92CE5">
        <w:t xml:space="preserve">model </w:t>
      </w:r>
      <w:r w:rsidR="00ED23D9">
        <w:t xml:space="preserve">as designed </w:t>
      </w:r>
      <w:r w:rsidR="00ED23D9" w:rsidRPr="00A92CE5">
        <w:t xml:space="preserve">suggested that using TE plus clinical assessment for initial diagnosis and annual monitoring dominated clinical assessment alone. There was a small gain in QALYs of 0.01 using TE plus clinical assessment instead of clinical assessment alone. This gain was due to </w:t>
      </w:r>
      <w:r w:rsidR="00ED23D9">
        <w:t>the</w:t>
      </w:r>
      <w:r w:rsidR="00ED23D9" w:rsidRPr="00A92CE5">
        <w:t xml:space="preserve"> small improvement in the detection of significant fibrosis. </w:t>
      </w:r>
      <w:r w:rsidRPr="00A92CE5">
        <w:t xml:space="preserve">In the </w:t>
      </w:r>
      <w:r w:rsidR="002677A0">
        <w:t xml:space="preserve">version of the </w:t>
      </w:r>
      <w:r w:rsidRPr="00A92CE5">
        <w:t>model in which TE was used for initial diagnosis only, the incremental cost-effectiveness of adding TE to clinical assessment was not acceptable (ICE</w:t>
      </w:r>
      <w:r w:rsidR="00ED23D9">
        <w:t>R of $148,044 per QALY gained).</w:t>
      </w:r>
    </w:p>
    <w:p w14:paraId="518CE39A" w14:textId="77777777" w:rsidR="00902A21" w:rsidRPr="00A92CE5" w:rsidRDefault="00902A21" w:rsidP="00902A21"/>
    <w:p w14:paraId="347026A2" w14:textId="1B5A6E6C" w:rsidR="008C70AC" w:rsidRPr="00A92CE5" w:rsidRDefault="00902A21" w:rsidP="00902A21">
      <w:r>
        <w:t xml:space="preserve">MSAC </w:t>
      </w:r>
      <w:r w:rsidR="00F96BAF">
        <w:t xml:space="preserve">considered </w:t>
      </w:r>
      <w:r>
        <w:t>that t</w:t>
      </w:r>
      <w:r w:rsidRPr="00A92CE5">
        <w:t xml:space="preserve">he proposed fee for </w:t>
      </w:r>
      <w:r w:rsidR="002677A0">
        <w:t xml:space="preserve">each </w:t>
      </w:r>
      <w:r w:rsidRPr="00A92CE5">
        <w:t xml:space="preserve">TE </w:t>
      </w:r>
      <w:r w:rsidR="002677A0">
        <w:t xml:space="preserve">service </w:t>
      </w:r>
      <w:r w:rsidRPr="00A92CE5">
        <w:t xml:space="preserve">was high. While the fee was linked to the cost of MBS item 55014 for abdominal ultrasound, MSAC felt that this was inappropriate given </w:t>
      </w:r>
      <w:r w:rsidR="002677A0">
        <w:t xml:space="preserve">that the delivery of a </w:t>
      </w:r>
      <w:r w:rsidRPr="00A92CE5">
        <w:t xml:space="preserve">TE </w:t>
      </w:r>
      <w:r w:rsidR="002677A0">
        <w:t xml:space="preserve">service </w:t>
      </w:r>
      <w:r w:rsidRPr="00A92CE5">
        <w:t xml:space="preserve">is much less complex than </w:t>
      </w:r>
      <w:r w:rsidR="002677A0">
        <w:t xml:space="preserve">of </w:t>
      </w:r>
      <w:r w:rsidRPr="00A92CE5">
        <w:t xml:space="preserve">an abdominal ultrasound </w:t>
      </w:r>
      <w:r w:rsidR="002677A0">
        <w:t xml:space="preserve">service </w:t>
      </w:r>
      <w:r w:rsidRPr="00A92CE5">
        <w:t>and does not require a skilled operator.</w:t>
      </w:r>
    </w:p>
    <w:p w14:paraId="4D86DF54" w14:textId="77777777" w:rsidR="00902A21" w:rsidRPr="00A92CE5" w:rsidRDefault="00902A21" w:rsidP="00902A21"/>
    <w:p w14:paraId="4A32887C" w14:textId="0AF13588" w:rsidR="000F2679" w:rsidRDefault="00902A21" w:rsidP="00902A21">
      <w:r w:rsidRPr="00A92CE5">
        <w:t xml:space="preserve">MSAC was concerned about the potential for TE to be used in other liver conditions (fatty liver disease, alcoholic liver disease). It may also be used for regular monitoring of liver conditions despite a lack of evidence of </w:t>
      </w:r>
      <w:r w:rsidR="002677A0">
        <w:t xml:space="preserve">incremental </w:t>
      </w:r>
      <w:r w:rsidRPr="00A92CE5">
        <w:t xml:space="preserve">clinical utility. This could mean that the financial estimates </w:t>
      </w:r>
      <w:r w:rsidR="009D3C36">
        <w:t xml:space="preserve">of the use of </w:t>
      </w:r>
      <w:r w:rsidR="000608E8">
        <w:t xml:space="preserve">TE </w:t>
      </w:r>
      <w:r w:rsidRPr="00A92CE5">
        <w:t xml:space="preserve">provided to </w:t>
      </w:r>
      <w:r w:rsidR="00F96BAF">
        <w:t>MSAC</w:t>
      </w:r>
      <w:r w:rsidRPr="00A92CE5">
        <w:t xml:space="preserve"> (approximately $8 million to the MBS over five years) </w:t>
      </w:r>
      <w:r w:rsidR="002677A0">
        <w:t>would be substantial underestimates.</w:t>
      </w:r>
    </w:p>
    <w:p w14:paraId="629F5BBA" w14:textId="77777777" w:rsidR="000F2679" w:rsidRDefault="000F2679">
      <w:r>
        <w:br w:type="page"/>
      </w:r>
    </w:p>
    <w:p w14:paraId="2810F37E" w14:textId="77777777" w:rsidR="00BC1364" w:rsidRPr="00D90A38" w:rsidRDefault="00BC1364" w:rsidP="007B32D1">
      <w:pPr>
        <w:pStyle w:val="Heading1"/>
        <w:numPr>
          <w:ilvl w:val="0"/>
          <w:numId w:val="23"/>
        </w:numPr>
        <w:ind w:hanging="720"/>
      </w:pPr>
      <w:r w:rsidRPr="00D90A38">
        <w:lastRenderedPageBreak/>
        <w:t>Background</w:t>
      </w:r>
    </w:p>
    <w:p w14:paraId="2D59ED8F" w14:textId="77777777" w:rsidR="00BC1364" w:rsidRPr="002677A0" w:rsidRDefault="00BC1364" w:rsidP="00DD2858">
      <w:pPr>
        <w:rPr>
          <w:szCs w:val="24"/>
        </w:rPr>
      </w:pPr>
    </w:p>
    <w:p w14:paraId="6DFB570C" w14:textId="77777777" w:rsidR="007B32D1" w:rsidRDefault="00C9395D" w:rsidP="007B32D1">
      <w:pPr>
        <w:rPr>
          <w:szCs w:val="24"/>
        </w:rPr>
      </w:pPr>
      <w:r w:rsidRPr="008D599D">
        <w:rPr>
          <w:szCs w:val="24"/>
        </w:rPr>
        <w:t xml:space="preserve">MSAC has not </w:t>
      </w:r>
      <w:r>
        <w:rPr>
          <w:szCs w:val="24"/>
        </w:rPr>
        <w:t xml:space="preserve">previously </w:t>
      </w:r>
      <w:r w:rsidRPr="008D599D">
        <w:rPr>
          <w:szCs w:val="24"/>
        </w:rPr>
        <w:t>considered an application for TE.</w:t>
      </w:r>
    </w:p>
    <w:p w14:paraId="5E4747DE" w14:textId="77777777" w:rsidR="00C9395D" w:rsidRPr="007B32D1" w:rsidRDefault="00C9395D" w:rsidP="007B32D1"/>
    <w:p w14:paraId="6F9CE7B0" w14:textId="77777777" w:rsidR="00BC1364" w:rsidRPr="00D90A38" w:rsidRDefault="00BC1364" w:rsidP="007B32D1">
      <w:pPr>
        <w:pStyle w:val="Heading1"/>
        <w:numPr>
          <w:ilvl w:val="0"/>
          <w:numId w:val="23"/>
        </w:numPr>
        <w:ind w:hanging="720"/>
      </w:pPr>
      <w:r w:rsidRPr="00D90A38">
        <w:t>Prerequisites to implementation of any funding advice</w:t>
      </w:r>
    </w:p>
    <w:p w14:paraId="7171352F" w14:textId="77777777" w:rsidR="00BC1364" w:rsidRPr="002677A0" w:rsidRDefault="00BC1364" w:rsidP="002677A0">
      <w:pPr>
        <w:tabs>
          <w:tab w:val="left" w:pos="720"/>
          <w:tab w:val="left" w:pos="1140"/>
        </w:tabs>
        <w:rPr>
          <w:szCs w:val="24"/>
        </w:rPr>
      </w:pPr>
    </w:p>
    <w:p w14:paraId="1F123BCB" w14:textId="77777777" w:rsidR="00C9395D" w:rsidRPr="006C09E4" w:rsidRDefault="00C9395D" w:rsidP="00C9395D">
      <w:r w:rsidRPr="006C09E4">
        <w:t xml:space="preserve">The device that delivers </w:t>
      </w:r>
      <w:r>
        <w:t>TE</w:t>
      </w:r>
      <w:r w:rsidRPr="006C09E4">
        <w:t xml:space="preserve"> at 50Hz is registered on the Australian Register of Therapeutic Goods (151894) as an ‘External non-invasive ultrasound </w:t>
      </w:r>
      <w:proofErr w:type="spellStart"/>
      <w:r w:rsidRPr="006C09E4">
        <w:t>elastography</w:t>
      </w:r>
      <w:proofErr w:type="spellEnd"/>
      <w:r w:rsidRPr="006C09E4">
        <w:t xml:space="preserve"> device for measuring elasticity of organs such as the liver’. </w:t>
      </w:r>
      <w:r>
        <w:t>T</w:t>
      </w:r>
      <w:r w:rsidRPr="006C09E4">
        <w:t xml:space="preserve">he </w:t>
      </w:r>
      <w:proofErr w:type="spellStart"/>
      <w:r w:rsidRPr="006C09E4">
        <w:t>elastography</w:t>
      </w:r>
      <w:proofErr w:type="spellEnd"/>
      <w:r w:rsidRPr="006C09E4">
        <w:t xml:space="preserve"> ‘applicator’</w:t>
      </w:r>
      <w:r>
        <w:t xml:space="preserve"> is listed</w:t>
      </w:r>
      <w:r w:rsidRPr="006C09E4">
        <w:t xml:space="preserve"> </w:t>
      </w:r>
      <w:proofErr w:type="gramStart"/>
      <w:r w:rsidRPr="006C09E4">
        <w:t>under</w:t>
      </w:r>
      <w:proofErr w:type="gramEnd"/>
      <w:r w:rsidRPr="006C09E4">
        <w:t xml:space="preserve"> 206567. The device is classified by the Therapeutic Goods Administration as a medical device Class </w:t>
      </w:r>
      <w:proofErr w:type="spellStart"/>
      <w:r w:rsidRPr="006C09E4">
        <w:t>IIa</w:t>
      </w:r>
      <w:proofErr w:type="spellEnd"/>
      <w:r w:rsidRPr="006C09E4">
        <w:t xml:space="preserve"> and is considered low-medium risk.</w:t>
      </w:r>
    </w:p>
    <w:p w14:paraId="198CADFE" w14:textId="77777777" w:rsidR="00C9395D" w:rsidRDefault="00C9395D" w:rsidP="00C9395D">
      <w:pPr>
        <w:tabs>
          <w:tab w:val="left" w:pos="567"/>
          <w:tab w:val="left" w:pos="1140"/>
        </w:tabs>
      </w:pPr>
    </w:p>
    <w:p w14:paraId="44FBBB8B" w14:textId="168725A4" w:rsidR="00C9395D" w:rsidRPr="00FC111C" w:rsidRDefault="00C9395D" w:rsidP="00C9395D">
      <w:pPr>
        <w:tabs>
          <w:tab w:val="left" w:pos="567"/>
          <w:tab w:val="left" w:pos="1140"/>
        </w:tabs>
        <w:rPr>
          <w:szCs w:val="24"/>
        </w:rPr>
      </w:pPr>
      <w:r w:rsidRPr="00887A0B">
        <w:t xml:space="preserve">TE can be conducted by any adequately trained health professional; it does not require an ultrasound accredited professional, as it is </w:t>
      </w:r>
      <w:r>
        <w:t xml:space="preserve">considered </w:t>
      </w:r>
      <w:r w:rsidRPr="00887A0B">
        <w:t xml:space="preserve">a measuring technology rather than an imaging technology. </w:t>
      </w:r>
      <w:r w:rsidRPr="00FC111C">
        <w:t>H</w:t>
      </w:r>
      <w:r w:rsidRPr="00FC111C">
        <w:rPr>
          <w:szCs w:val="24"/>
        </w:rPr>
        <w:t xml:space="preserve">owever, </w:t>
      </w:r>
      <w:r w:rsidR="00AC077A">
        <w:rPr>
          <w:szCs w:val="24"/>
        </w:rPr>
        <w:t>MSAC</w:t>
      </w:r>
      <w:r w:rsidR="00AC077A" w:rsidRPr="00FC111C">
        <w:rPr>
          <w:szCs w:val="24"/>
        </w:rPr>
        <w:t xml:space="preserve"> </w:t>
      </w:r>
      <w:r w:rsidRPr="00FC111C">
        <w:rPr>
          <w:szCs w:val="24"/>
        </w:rPr>
        <w:t>noted policy advice that interpreting the results does require a degree of expertise, such as by a general practitioner.</w:t>
      </w:r>
    </w:p>
    <w:p w14:paraId="3F520EB0" w14:textId="77777777" w:rsidR="00BC1364" w:rsidRPr="002677A0" w:rsidRDefault="00BC1364" w:rsidP="009E0D98">
      <w:pPr>
        <w:tabs>
          <w:tab w:val="left" w:pos="720"/>
          <w:tab w:val="left" w:pos="1140"/>
        </w:tabs>
        <w:rPr>
          <w:szCs w:val="24"/>
        </w:rPr>
      </w:pPr>
    </w:p>
    <w:p w14:paraId="4A0A4C1B" w14:textId="77777777" w:rsidR="00BC1364" w:rsidRPr="007B32D1" w:rsidRDefault="00BC1364" w:rsidP="007B32D1">
      <w:pPr>
        <w:pStyle w:val="Heading1"/>
        <w:numPr>
          <w:ilvl w:val="0"/>
          <w:numId w:val="23"/>
        </w:numPr>
        <w:ind w:hanging="720"/>
      </w:pPr>
      <w:r w:rsidRPr="007B32D1">
        <w:t>Proposal for public funding</w:t>
      </w:r>
    </w:p>
    <w:p w14:paraId="08168BB1" w14:textId="77777777" w:rsidR="00BC1364" w:rsidRDefault="00BC1364" w:rsidP="00AB3BFC">
      <w:pPr>
        <w:tabs>
          <w:tab w:val="left" w:pos="720"/>
          <w:tab w:val="left" w:pos="1140"/>
        </w:tabs>
        <w:rPr>
          <w:sz w:val="23"/>
          <w:szCs w:val="23"/>
        </w:rPr>
      </w:pPr>
    </w:p>
    <w:p w14:paraId="0BD41836" w14:textId="12EC931D" w:rsidR="00AC077A" w:rsidRDefault="0098336B" w:rsidP="0098336B">
      <w:pPr>
        <w:tabs>
          <w:tab w:val="left" w:pos="567"/>
        </w:tabs>
      </w:pPr>
      <w:r w:rsidRPr="00887A0B">
        <w:t xml:space="preserve">The proposed new MBS item is shown </w:t>
      </w:r>
      <w:r w:rsidR="00F96BAF">
        <w:t>in Table 1</w:t>
      </w:r>
      <w:r w:rsidRPr="00887A0B">
        <w:t>. The applicant state</w:t>
      </w:r>
      <w:r w:rsidR="00F96BAF">
        <w:t>d</w:t>
      </w:r>
      <w:r w:rsidRPr="00887A0B">
        <w:t xml:space="preserve"> that the test takes </w:t>
      </w:r>
    </w:p>
    <w:p w14:paraId="63F9BDA5" w14:textId="440DD851" w:rsidR="0098336B" w:rsidRDefault="0098336B" w:rsidP="0098336B">
      <w:pPr>
        <w:tabs>
          <w:tab w:val="left" w:pos="567"/>
        </w:tabs>
      </w:pPr>
      <w:r w:rsidRPr="00887A0B">
        <w:t>10–20</w:t>
      </w:r>
      <w:r w:rsidR="00AC077A">
        <w:t> </w:t>
      </w:r>
      <w:r w:rsidRPr="00887A0B">
        <w:t>minutes and is undertaken by a suitably trained health professional. TE needs to be performed with physical examination and other tests including liver function tests, serum biomarkers, and ultrasound to assess liver structure. Furthermore, as a diagnostic procedure, a patient consultation is required to advise subsequent care based on the interpretation of the test results. Therefore, a fee for the service w</w:t>
      </w:r>
      <w:r w:rsidR="002677A0">
        <w:t>as claimed to</w:t>
      </w:r>
      <w:r w:rsidRPr="00887A0B">
        <w:t xml:space="preserve"> be in line with other </w:t>
      </w:r>
      <w:r w:rsidR="002677A0">
        <w:t>point-of-care testing services.</w:t>
      </w:r>
    </w:p>
    <w:p w14:paraId="0546381C" w14:textId="77777777" w:rsidR="00F96BAF" w:rsidRPr="00887A0B" w:rsidRDefault="00F96BAF" w:rsidP="0098336B">
      <w:pPr>
        <w:tabs>
          <w:tab w:val="left" w:pos="567"/>
        </w:tabs>
      </w:pPr>
    </w:p>
    <w:p w14:paraId="7EED538E" w14:textId="642A56A2" w:rsidR="0098336B" w:rsidRPr="001E4A20" w:rsidRDefault="00ED23D9" w:rsidP="00FC111C">
      <w:pPr>
        <w:pStyle w:val="ListParagraph"/>
        <w:ind w:left="0"/>
        <w:rPr>
          <w:rFonts w:ascii="Arial Narrow" w:hAnsi="Arial Narrow" w:cs="Arial"/>
          <w:b/>
          <w:sz w:val="20"/>
        </w:rPr>
      </w:pPr>
      <w:r>
        <w:rPr>
          <w:rFonts w:ascii="Arial Narrow" w:hAnsi="Arial Narrow" w:cs="Arial"/>
          <w:b/>
          <w:sz w:val="20"/>
        </w:rPr>
        <w:t>Table 1 – Proposed MBS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osed new MBS item descriptor"/>
        <w:tblDescription w:val="Text below this table describes the proposed item descriptor."/>
      </w:tblPr>
      <w:tblGrid>
        <w:gridCol w:w="9134"/>
      </w:tblGrid>
      <w:tr w:rsidR="0098336B" w:rsidRPr="00075E36" w14:paraId="58CEACD1" w14:textId="77777777" w:rsidTr="00060CE1">
        <w:tc>
          <w:tcPr>
            <w:tcW w:w="9134" w:type="dxa"/>
          </w:tcPr>
          <w:p w14:paraId="71AB6F03" w14:textId="77777777" w:rsidR="0098336B" w:rsidRPr="002D04A0" w:rsidRDefault="0098336B" w:rsidP="000638D2">
            <w:pPr>
              <w:pStyle w:val="TableText"/>
              <w:rPr>
                <w:b/>
                <w:sz w:val="20"/>
                <w:szCs w:val="20"/>
                <w:lang w:eastAsia="ja-JP"/>
              </w:rPr>
            </w:pPr>
            <w:r w:rsidRPr="002D04A0">
              <w:rPr>
                <w:b/>
                <w:sz w:val="20"/>
                <w:szCs w:val="20"/>
                <w:lang w:eastAsia="ja-JP"/>
              </w:rPr>
              <w:t>Category 5 – DIAGNOSTIC IMAGING SERVICES</w:t>
            </w:r>
          </w:p>
        </w:tc>
      </w:tr>
      <w:tr w:rsidR="0098336B" w:rsidRPr="00075E36" w14:paraId="64DD8CBA" w14:textId="77777777" w:rsidTr="00060CE1">
        <w:tc>
          <w:tcPr>
            <w:tcW w:w="9134" w:type="dxa"/>
          </w:tcPr>
          <w:p w14:paraId="0BC8A8F8" w14:textId="77777777" w:rsidR="0098336B" w:rsidRDefault="0098336B" w:rsidP="000638D2">
            <w:pPr>
              <w:pStyle w:val="TableText"/>
              <w:rPr>
                <w:sz w:val="20"/>
                <w:szCs w:val="20"/>
                <w:lang w:eastAsia="ja-JP"/>
              </w:rPr>
            </w:pPr>
            <w:r w:rsidRPr="002D04A0">
              <w:rPr>
                <w:sz w:val="20"/>
                <w:szCs w:val="20"/>
                <w:lang w:eastAsia="ja-JP"/>
              </w:rPr>
              <w:t xml:space="preserve">MBS </w:t>
            </w:r>
            <w:r>
              <w:rPr>
                <w:sz w:val="20"/>
                <w:szCs w:val="20"/>
                <w:lang w:eastAsia="ja-JP"/>
              </w:rPr>
              <w:t>XXXX</w:t>
            </w:r>
          </w:p>
          <w:p w14:paraId="2C06D9CF" w14:textId="77777777" w:rsidR="0098336B" w:rsidRPr="002D04A0" w:rsidRDefault="0098336B" w:rsidP="000638D2">
            <w:pPr>
              <w:pStyle w:val="TableText"/>
              <w:rPr>
                <w:sz w:val="20"/>
                <w:szCs w:val="20"/>
                <w:lang w:eastAsia="ja-JP"/>
              </w:rPr>
            </w:pPr>
          </w:p>
          <w:p w14:paraId="1DDE9804" w14:textId="77777777" w:rsidR="0098336B" w:rsidRPr="002D04A0" w:rsidRDefault="0098336B" w:rsidP="000638D2">
            <w:pPr>
              <w:pStyle w:val="TableText"/>
              <w:rPr>
                <w:sz w:val="20"/>
                <w:szCs w:val="20"/>
                <w:lang w:eastAsia="ja-JP"/>
              </w:rPr>
            </w:pPr>
            <w:r w:rsidRPr="002D04A0">
              <w:rPr>
                <w:sz w:val="20"/>
                <w:szCs w:val="20"/>
                <w:lang w:eastAsia="ja-JP"/>
              </w:rPr>
              <w:t xml:space="preserve">Transient </w:t>
            </w:r>
            <w:proofErr w:type="spellStart"/>
            <w:r w:rsidRPr="002D04A0">
              <w:rPr>
                <w:sz w:val="20"/>
                <w:szCs w:val="20"/>
                <w:lang w:eastAsia="ja-JP"/>
              </w:rPr>
              <w:t>Elastography</w:t>
            </w:r>
            <w:proofErr w:type="spellEnd"/>
            <w:r w:rsidRPr="002D04A0">
              <w:rPr>
                <w:sz w:val="20"/>
                <w:szCs w:val="20"/>
                <w:lang w:eastAsia="ja-JP"/>
              </w:rPr>
              <w:t xml:space="preserve"> at 50 Hz (performed by </w:t>
            </w:r>
            <w:r w:rsidRPr="002D04A0">
              <w:rPr>
                <w:sz w:val="20"/>
                <w:szCs w:val="20"/>
                <w:lang w:val="en-AU" w:eastAsia="ja-JP"/>
              </w:rPr>
              <w:t>a suitably trained health professional</w:t>
            </w:r>
            <w:r w:rsidRPr="002D04A0">
              <w:rPr>
                <w:sz w:val="20"/>
                <w:szCs w:val="20"/>
                <w:lang w:eastAsia="ja-JP"/>
              </w:rPr>
              <w:t>) for the assessment of liver fibrosis in patients with chronic hepatitis B or C</w:t>
            </w:r>
          </w:p>
          <w:p w14:paraId="7F7AA5AB" w14:textId="4A7D0406" w:rsidR="0098336B" w:rsidRPr="002D04A0" w:rsidRDefault="0098336B" w:rsidP="000638D2">
            <w:pPr>
              <w:pStyle w:val="TableText"/>
              <w:rPr>
                <w:sz w:val="20"/>
                <w:szCs w:val="20"/>
                <w:lang w:eastAsia="ja-JP"/>
              </w:rPr>
            </w:pPr>
            <w:r w:rsidRPr="002D04A0">
              <w:rPr>
                <w:sz w:val="20"/>
                <w:szCs w:val="20"/>
                <w:lang w:eastAsia="ja-JP"/>
              </w:rPr>
              <w:t>Used on the liver – 1 service only in a period of 12 consecutive months - including interpretation and report</w:t>
            </w:r>
          </w:p>
          <w:p w14:paraId="1F32979F" w14:textId="77777777" w:rsidR="0098336B" w:rsidRPr="002D04A0" w:rsidRDefault="0098336B" w:rsidP="000638D2">
            <w:pPr>
              <w:pStyle w:val="TableText"/>
              <w:rPr>
                <w:sz w:val="20"/>
                <w:szCs w:val="20"/>
                <w:lang w:eastAsia="ja-JP"/>
              </w:rPr>
            </w:pPr>
          </w:p>
          <w:p w14:paraId="72EF6408" w14:textId="77777777" w:rsidR="0098336B" w:rsidRPr="002D04A0" w:rsidRDefault="0098336B" w:rsidP="000638D2">
            <w:pPr>
              <w:pStyle w:val="TableText"/>
              <w:rPr>
                <w:color w:val="000000"/>
                <w:sz w:val="20"/>
                <w:szCs w:val="20"/>
                <w:lang w:eastAsia="ja-JP"/>
              </w:rPr>
            </w:pPr>
            <w:r w:rsidRPr="002D04A0">
              <w:rPr>
                <w:b/>
                <w:sz w:val="20"/>
                <w:szCs w:val="20"/>
                <w:lang w:eastAsia="ja-JP"/>
              </w:rPr>
              <w:t>Fee:</w:t>
            </w:r>
            <w:r w:rsidRPr="002D04A0">
              <w:rPr>
                <w:sz w:val="20"/>
                <w:szCs w:val="20"/>
                <w:lang w:eastAsia="ja-JP"/>
              </w:rPr>
              <w:t xml:space="preserve"> $55.65 </w:t>
            </w:r>
            <w:r w:rsidRPr="002D04A0">
              <w:rPr>
                <w:b/>
                <w:sz w:val="20"/>
                <w:szCs w:val="20"/>
                <w:lang w:eastAsia="ja-JP"/>
              </w:rPr>
              <w:t>Benefit:</w:t>
            </w:r>
            <w:r w:rsidRPr="002D04A0">
              <w:rPr>
                <w:sz w:val="20"/>
                <w:szCs w:val="20"/>
                <w:lang w:eastAsia="ja-JP"/>
              </w:rPr>
              <w:t xml:space="preserve"> 75% = $41.74   85% = $47.30</w:t>
            </w:r>
          </w:p>
        </w:tc>
      </w:tr>
    </w:tbl>
    <w:p w14:paraId="21E9E2A6" w14:textId="77777777" w:rsidR="0098336B" w:rsidRPr="0098336B" w:rsidRDefault="0098336B" w:rsidP="0098336B"/>
    <w:p w14:paraId="24A8CB61" w14:textId="3359D0ED" w:rsidR="0098336B" w:rsidRPr="00555DC8" w:rsidRDefault="00AC077A" w:rsidP="0098336B">
      <w:pPr>
        <w:rPr>
          <w:i/>
          <w:szCs w:val="24"/>
        </w:rPr>
      </w:pPr>
      <w:r>
        <w:rPr>
          <w:szCs w:val="24"/>
        </w:rPr>
        <w:t>MSAC</w:t>
      </w:r>
      <w:r w:rsidRPr="0098336B">
        <w:rPr>
          <w:szCs w:val="24"/>
        </w:rPr>
        <w:t xml:space="preserve"> </w:t>
      </w:r>
      <w:r w:rsidR="0098336B" w:rsidRPr="0098336B">
        <w:rPr>
          <w:szCs w:val="24"/>
        </w:rPr>
        <w:t>noted policy advice that the proposed service would be better placed under Category</w:t>
      </w:r>
      <w:r w:rsidR="00FC111C">
        <w:rPr>
          <w:szCs w:val="24"/>
        </w:rPr>
        <w:t> </w:t>
      </w:r>
      <w:r w:rsidR="0098336B" w:rsidRPr="0098336B">
        <w:rPr>
          <w:szCs w:val="24"/>
        </w:rPr>
        <w:t>2 of the MBS (Diagnostic Procedures and Investigations), as the technolog</w:t>
      </w:r>
      <w:r w:rsidR="00772C98">
        <w:rPr>
          <w:szCs w:val="24"/>
        </w:rPr>
        <w:t>y is for measuring not imaging.</w:t>
      </w:r>
    </w:p>
    <w:p w14:paraId="7A8F103E" w14:textId="77777777" w:rsidR="00BC1364" w:rsidRPr="00772C98" w:rsidRDefault="00BC1364" w:rsidP="00AB3BFC">
      <w:pPr>
        <w:tabs>
          <w:tab w:val="left" w:pos="720"/>
          <w:tab w:val="left" w:pos="1140"/>
        </w:tabs>
        <w:rPr>
          <w:szCs w:val="24"/>
        </w:rPr>
      </w:pPr>
    </w:p>
    <w:p w14:paraId="5D6F09B7" w14:textId="77777777"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14:paraId="07D4A09A" w14:textId="77777777" w:rsidR="00BC1364" w:rsidRPr="00772C98" w:rsidRDefault="00BC1364" w:rsidP="00DD2858">
      <w:pPr>
        <w:rPr>
          <w:szCs w:val="24"/>
        </w:rPr>
      </w:pPr>
    </w:p>
    <w:p w14:paraId="0321F5BD" w14:textId="2BEC2466" w:rsidR="00C00DCA" w:rsidRDefault="00C00DCA" w:rsidP="00C00DCA">
      <w:pPr>
        <w:tabs>
          <w:tab w:val="left" w:pos="720"/>
          <w:tab w:val="left" w:pos="1140"/>
        </w:tabs>
        <w:rPr>
          <w:szCs w:val="24"/>
        </w:rPr>
      </w:pPr>
      <w:r>
        <w:rPr>
          <w:szCs w:val="24"/>
        </w:rPr>
        <w:t>As the procedure is currently available in public hospitals, there is a risk that moving the service to private clinics will introduce out-of-pocket expenses</w:t>
      </w:r>
      <w:r w:rsidRPr="00D65E43">
        <w:rPr>
          <w:szCs w:val="24"/>
        </w:rPr>
        <w:t xml:space="preserve"> </w:t>
      </w:r>
      <w:r>
        <w:rPr>
          <w:szCs w:val="24"/>
        </w:rPr>
        <w:t>to patients. Consumers ha</w:t>
      </w:r>
      <w:r w:rsidR="00F96BAF">
        <w:rPr>
          <w:szCs w:val="24"/>
        </w:rPr>
        <w:t>d</w:t>
      </w:r>
      <w:r>
        <w:rPr>
          <w:szCs w:val="24"/>
        </w:rPr>
        <w:t xml:space="preserve"> no safety concerns about it being performed in a private setting.</w:t>
      </w:r>
    </w:p>
    <w:p w14:paraId="48DCF334" w14:textId="77777777" w:rsidR="00BC1364" w:rsidRPr="00772C98" w:rsidRDefault="00BC1364" w:rsidP="00DD2858">
      <w:pPr>
        <w:rPr>
          <w:szCs w:val="24"/>
        </w:rPr>
      </w:pPr>
    </w:p>
    <w:p w14:paraId="47E93FA5" w14:textId="77777777" w:rsidR="00F96BAF" w:rsidRDefault="00F96BAF">
      <w:pPr>
        <w:rPr>
          <w:rFonts w:ascii="Arial" w:hAnsi="Arial"/>
          <w:b/>
          <w:bCs/>
          <w:szCs w:val="28"/>
        </w:rPr>
      </w:pPr>
      <w:r>
        <w:br w:type="page"/>
      </w:r>
    </w:p>
    <w:p w14:paraId="5F6AFDCA" w14:textId="6F73C8BF" w:rsidR="00BC1364" w:rsidRDefault="00BC1364" w:rsidP="007B32D1">
      <w:pPr>
        <w:pStyle w:val="Heading1"/>
        <w:numPr>
          <w:ilvl w:val="0"/>
          <w:numId w:val="23"/>
        </w:numPr>
        <w:ind w:hanging="720"/>
      </w:pPr>
      <w:r w:rsidRPr="00D90A38">
        <w:lastRenderedPageBreak/>
        <w:t>Proposed intervention’s place in clinical management</w:t>
      </w:r>
    </w:p>
    <w:p w14:paraId="26970E71" w14:textId="77777777" w:rsidR="00BC1364" w:rsidRPr="00772C98" w:rsidRDefault="00BC1364" w:rsidP="00DD2858">
      <w:pPr>
        <w:rPr>
          <w:szCs w:val="24"/>
        </w:rPr>
      </w:pPr>
    </w:p>
    <w:p w14:paraId="0C11D9A6" w14:textId="57E53F09" w:rsidR="00C00DCA" w:rsidRDefault="00C00DCA" w:rsidP="00C00DCA">
      <w:pPr>
        <w:jc w:val="both"/>
        <w:rPr>
          <w:bCs/>
        </w:rPr>
      </w:pPr>
      <w:r>
        <w:rPr>
          <w:bCs/>
        </w:rPr>
        <w:t xml:space="preserve">The </w:t>
      </w:r>
      <w:r w:rsidR="00AC077A">
        <w:rPr>
          <w:bCs/>
        </w:rPr>
        <w:t xml:space="preserve">proposed </w:t>
      </w:r>
      <w:r w:rsidR="00ED23D9">
        <w:rPr>
          <w:bCs/>
        </w:rPr>
        <w:t>clinical management algorithm wa</w:t>
      </w:r>
      <w:r>
        <w:rPr>
          <w:bCs/>
        </w:rPr>
        <w:t>s:</w:t>
      </w:r>
    </w:p>
    <w:p w14:paraId="23D76B8E" w14:textId="77777777" w:rsidR="00C00DCA" w:rsidRDefault="00C00DCA" w:rsidP="00C00DCA">
      <w:pPr>
        <w:jc w:val="both"/>
        <w:rPr>
          <w:bCs/>
        </w:rPr>
      </w:pPr>
      <w:r>
        <w:rPr>
          <w:rFonts w:ascii="Garamond" w:hAnsi="Garamond"/>
          <w:noProof/>
        </w:rPr>
        <w:drawing>
          <wp:inline distT="0" distB="0" distL="0" distR="0" wp14:anchorId="77F77D33" wp14:editId="41343A21">
            <wp:extent cx="5732485" cy="4914900"/>
            <wp:effectExtent l="0" t="0" r="1905" b="0"/>
            <wp:docPr id="14" name="Picture 14" title="Clinical management algorithm for patients with hep B or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 algorithm.tif"/>
                    <pic:cNvPicPr/>
                  </pic:nvPicPr>
                  <pic:blipFill>
                    <a:blip r:embed="rId12">
                      <a:extLst>
                        <a:ext uri="{28A0092B-C50C-407E-A947-70E740481C1C}">
                          <a14:useLocalDpi xmlns:a14="http://schemas.microsoft.com/office/drawing/2010/main" val="0"/>
                        </a:ext>
                      </a:extLst>
                    </a:blip>
                    <a:stretch>
                      <a:fillRect/>
                    </a:stretch>
                  </pic:blipFill>
                  <pic:spPr>
                    <a:xfrm>
                      <a:off x="0" y="0"/>
                      <a:ext cx="5733415" cy="4915697"/>
                    </a:xfrm>
                    <a:prstGeom prst="rect">
                      <a:avLst/>
                    </a:prstGeom>
                  </pic:spPr>
                </pic:pic>
              </a:graphicData>
            </a:graphic>
          </wp:inline>
        </w:drawing>
      </w:r>
    </w:p>
    <w:p w14:paraId="1A45ED8C" w14:textId="77777777" w:rsidR="00C00DCA" w:rsidRDefault="00C00DCA" w:rsidP="00C00DCA">
      <w:pPr>
        <w:jc w:val="both"/>
        <w:rPr>
          <w:bCs/>
        </w:rPr>
      </w:pPr>
    </w:p>
    <w:p w14:paraId="07B6C7DD" w14:textId="59A7C8CD" w:rsidR="00C00DCA" w:rsidRPr="006C09E4" w:rsidRDefault="00C00DCA" w:rsidP="00FC111C">
      <w:pPr>
        <w:rPr>
          <w:bCs/>
        </w:rPr>
      </w:pPr>
      <w:r w:rsidRPr="006C09E4">
        <w:rPr>
          <w:bCs/>
        </w:rPr>
        <w:t>Patients with confirmed chronic hepatitis B or C are initially assessed with clinical assessment comprising physical examination, liver function tests, and ultrasound. TE w</w:t>
      </w:r>
      <w:r w:rsidR="00772C98">
        <w:rPr>
          <w:bCs/>
        </w:rPr>
        <w:t>ill</w:t>
      </w:r>
      <w:r w:rsidRPr="006C09E4">
        <w:rPr>
          <w:bCs/>
        </w:rPr>
        <w:t xml:space="preserve"> be added to clinical assessment for the initial evaluation of liver fibr</w:t>
      </w:r>
      <w:r w:rsidR="00772C98">
        <w:rPr>
          <w:bCs/>
        </w:rPr>
        <w:t>osis in this group of patients.</w:t>
      </w:r>
    </w:p>
    <w:p w14:paraId="0A1E1F03" w14:textId="77777777" w:rsidR="00C00DCA" w:rsidRPr="006C09E4" w:rsidRDefault="00C00DCA" w:rsidP="00C00DCA">
      <w:pPr>
        <w:jc w:val="both"/>
        <w:rPr>
          <w:bCs/>
        </w:rPr>
      </w:pPr>
    </w:p>
    <w:p w14:paraId="409872A2" w14:textId="13EEF1AB" w:rsidR="00C00DCA" w:rsidRPr="006C09E4" w:rsidRDefault="00C00DCA" w:rsidP="00C00DCA">
      <w:pPr>
        <w:rPr>
          <w:bCs/>
        </w:rPr>
      </w:pPr>
      <w:r w:rsidRPr="006C09E4">
        <w:rPr>
          <w:bCs/>
        </w:rPr>
        <w:t>The METAVIR system is commonly used to grade the severity of liver fibrosis on a scale from 0 to 4. In general, significant liver fibrosis, defined as METAVIR score F</w:t>
      </w:r>
      <w:r w:rsidR="00772C98">
        <w:rPr>
          <w:bCs/>
        </w:rPr>
        <w:t> </w:t>
      </w:r>
      <w:r w:rsidRPr="006C09E4">
        <w:rPr>
          <w:bCs/>
        </w:rPr>
        <w:t>≥</w:t>
      </w:r>
      <w:r w:rsidR="00772C98">
        <w:rPr>
          <w:bCs/>
        </w:rPr>
        <w:t> </w:t>
      </w:r>
      <w:r w:rsidRPr="006C09E4">
        <w:rPr>
          <w:bCs/>
        </w:rPr>
        <w:t xml:space="preserve">2, would require treatment, but no treatment is required </w:t>
      </w:r>
      <w:r>
        <w:rPr>
          <w:bCs/>
        </w:rPr>
        <w:t>for zero</w:t>
      </w:r>
      <w:r w:rsidRPr="006C09E4">
        <w:rPr>
          <w:bCs/>
        </w:rPr>
        <w:t xml:space="preserve"> or minimal fibrosis (i.e. METAVIR score F</w:t>
      </w:r>
      <w:r w:rsidR="00772C98">
        <w:rPr>
          <w:bCs/>
        </w:rPr>
        <w:t> </w:t>
      </w:r>
      <w:r w:rsidRPr="006C09E4">
        <w:rPr>
          <w:bCs/>
        </w:rPr>
        <w:t>≤</w:t>
      </w:r>
      <w:r w:rsidR="00772C98">
        <w:rPr>
          <w:bCs/>
        </w:rPr>
        <w:t> </w:t>
      </w:r>
      <w:r w:rsidRPr="006C09E4">
        <w:rPr>
          <w:bCs/>
        </w:rPr>
        <w:t>1). Screening for cancer and other liver complications is warranted with cirrhosis (i.e. METAVIR score F</w:t>
      </w:r>
      <w:r w:rsidR="00772C98">
        <w:rPr>
          <w:bCs/>
        </w:rPr>
        <w:t> </w:t>
      </w:r>
      <w:r w:rsidRPr="006C09E4">
        <w:rPr>
          <w:bCs/>
        </w:rPr>
        <w:t>=</w:t>
      </w:r>
      <w:r w:rsidR="00772C98">
        <w:rPr>
          <w:bCs/>
        </w:rPr>
        <w:t> </w:t>
      </w:r>
      <w:r w:rsidRPr="006C09E4">
        <w:rPr>
          <w:bCs/>
        </w:rPr>
        <w:t xml:space="preserve">4). When there is </w:t>
      </w:r>
      <w:r w:rsidR="00772C98">
        <w:rPr>
          <w:bCs/>
        </w:rPr>
        <w:t xml:space="preserve">further </w:t>
      </w:r>
      <w:r w:rsidRPr="006C09E4">
        <w:rPr>
          <w:bCs/>
        </w:rPr>
        <w:t>clinical uncertainty about fibrosis diagnosis, a liver biopsy would be taken to confirm the findings.</w:t>
      </w:r>
    </w:p>
    <w:p w14:paraId="337281B3" w14:textId="77777777" w:rsidR="00C00DCA" w:rsidRPr="006C09E4" w:rsidRDefault="00C00DCA" w:rsidP="00C00DCA">
      <w:pPr>
        <w:jc w:val="both"/>
      </w:pPr>
    </w:p>
    <w:p w14:paraId="4AE6897E" w14:textId="77777777" w:rsidR="00C00DCA" w:rsidRPr="00C77463" w:rsidRDefault="00C00DCA" w:rsidP="00C00DCA">
      <w:r w:rsidRPr="006C09E4">
        <w:t>Patients with treatment failure or those untreated with an initial TE result indicating an intermediate risk of cirrhosis</w:t>
      </w:r>
      <w:r w:rsidRPr="006C09E4">
        <w:rPr>
          <w:bCs/>
        </w:rPr>
        <w:t xml:space="preserve"> will be monitored annually with TE plus clinical assessment.</w:t>
      </w:r>
      <w:r w:rsidRPr="006C09E4">
        <w:t xml:space="preserve"> </w:t>
      </w:r>
      <w:r>
        <w:t>T</w:t>
      </w:r>
      <w:r w:rsidRPr="006C09E4">
        <w:t>he degree of hepatic fibrosis can be inferred from the liver hardness. The shear wave velocity is directly related to the tissue stiffness, with a higher velocity equating to higher tissue stiffness, corresponding to increasing severity of fibrosis. Ten validated measurements are required, with the median value taken as the final result, which is expressed in units of kilopascals (</w:t>
      </w:r>
      <w:proofErr w:type="spellStart"/>
      <w:r w:rsidRPr="006C09E4">
        <w:t>kPa</w:t>
      </w:r>
      <w:proofErr w:type="spellEnd"/>
      <w:r w:rsidRPr="006C09E4">
        <w:t>).</w:t>
      </w:r>
    </w:p>
    <w:p w14:paraId="61DFCBEC" w14:textId="77777777" w:rsidR="00BC1364" w:rsidRPr="00772C98" w:rsidRDefault="00BC1364" w:rsidP="00DD2858">
      <w:pPr>
        <w:rPr>
          <w:szCs w:val="24"/>
        </w:rPr>
      </w:pPr>
    </w:p>
    <w:p w14:paraId="0D0AB0A5" w14:textId="77777777" w:rsidR="001D2850" w:rsidRDefault="001D2850">
      <w:pPr>
        <w:rPr>
          <w:rFonts w:ascii="Arial" w:hAnsi="Arial"/>
          <w:b/>
          <w:bCs/>
          <w:szCs w:val="28"/>
        </w:rPr>
      </w:pPr>
      <w:r>
        <w:br w:type="page"/>
      </w:r>
    </w:p>
    <w:p w14:paraId="619EFA18" w14:textId="2DF7A28E" w:rsidR="00BC1364" w:rsidRPr="008D5885" w:rsidRDefault="00772C98" w:rsidP="007B32D1">
      <w:pPr>
        <w:pStyle w:val="Heading1"/>
        <w:numPr>
          <w:ilvl w:val="0"/>
          <w:numId w:val="23"/>
        </w:numPr>
        <w:ind w:hanging="720"/>
      </w:pPr>
      <w:r>
        <w:lastRenderedPageBreak/>
        <w:t>Comparator</w:t>
      </w:r>
    </w:p>
    <w:p w14:paraId="2AED50FF" w14:textId="77777777" w:rsidR="00BC1364" w:rsidRPr="00772C98" w:rsidRDefault="00BC1364" w:rsidP="00DD2858">
      <w:pPr>
        <w:rPr>
          <w:szCs w:val="24"/>
        </w:rPr>
      </w:pPr>
    </w:p>
    <w:p w14:paraId="6D491E27" w14:textId="77777777" w:rsidR="00C00DCA" w:rsidRPr="006C09E4" w:rsidRDefault="00C00DCA" w:rsidP="00C00DCA">
      <w:pPr>
        <w:rPr>
          <w:bCs/>
        </w:rPr>
      </w:pPr>
      <w:r w:rsidRPr="006C09E4">
        <w:rPr>
          <w:bCs/>
        </w:rPr>
        <w:t xml:space="preserve">Two comparators </w:t>
      </w:r>
      <w:r>
        <w:rPr>
          <w:bCs/>
        </w:rPr>
        <w:t>were</w:t>
      </w:r>
      <w:r w:rsidRPr="006C09E4">
        <w:rPr>
          <w:bCs/>
        </w:rPr>
        <w:t xml:space="preserve"> </w:t>
      </w:r>
      <w:r>
        <w:rPr>
          <w:bCs/>
        </w:rPr>
        <w:t>proposed by the applicant</w:t>
      </w:r>
      <w:r w:rsidRPr="006C09E4">
        <w:rPr>
          <w:bCs/>
        </w:rPr>
        <w:t>:</w:t>
      </w:r>
    </w:p>
    <w:p w14:paraId="29169E01" w14:textId="13ED377C" w:rsidR="00C00DCA" w:rsidRPr="006C09E4" w:rsidRDefault="00772C98" w:rsidP="00C00DCA">
      <w:pPr>
        <w:pStyle w:val="ListParagraph"/>
        <w:numPr>
          <w:ilvl w:val="0"/>
          <w:numId w:val="26"/>
        </w:numPr>
        <w:rPr>
          <w:bCs/>
        </w:rPr>
      </w:pPr>
      <w:r>
        <w:rPr>
          <w:bCs/>
        </w:rPr>
        <w:t>Clinical assessment without TE</w:t>
      </w:r>
    </w:p>
    <w:p w14:paraId="63B84C20" w14:textId="3910476D" w:rsidR="00C00DCA" w:rsidRPr="006C09E4" w:rsidRDefault="00C00DCA" w:rsidP="00C00DCA">
      <w:pPr>
        <w:pStyle w:val="ListParagraph"/>
        <w:numPr>
          <w:ilvl w:val="0"/>
          <w:numId w:val="26"/>
        </w:numPr>
        <w:rPr>
          <w:bCs/>
        </w:rPr>
      </w:pPr>
      <w:r w:rsidRPr="006C09E4">
        <w:rPr>
          <w:bCs/>
        </w:rPr>
        <w:t>Liver biopsy</w:t>
      </w:r>
      <w:r w:rsidR="00772C98">
        <w:rPr>
          <w:bCs/>
        </w:rPr>
        <w:t>.</w:t>
      </w:r>
    </w:p>
    <w:p w14:paraId="304D5792" w14:textId="77777777" w:rsidR="00C00DCA" w:rsidRPr="006C09E4" w:rsidRDefault="00C00DCA" w:rsidP="00C00DCA">
      <w:pPr>
        <w:rPr>
          <w:bCs/>
        </w:rPr>
      </w:pPr>
    </w:p>
    <w:p w14:paraId="22253DC1" w14:textId="77777777" w:rsidR="00C00DCA" w:rsidRPr="006C09E4" w:rsidRDefault="00C00DCA" w:rsidP="00C00DCA">
      <w:pPr>
        <w:rPr>
          <w:bCs/>
        </w:rPr>
      </w:pPr>
      <w:r w:rsidRPr="006C09E4">
        <w:rPr>
          <w:bCs/>
        </w:rPr>
        <w:t>In keeping with the Protocol</w:t>
      </w:r>
      <w:r>
        <w:rPr>
          <w:bCs/>
        </w:rPr>
        <w:t xml:space="preserve"> for this application</w:t>
      </w:r>
      <w:r w:rsidRPr="006C09E4">
        <w:rPr>
          <w:bCs/>
        </w:rPr>
        <w:t xml:space="preserve">, other non-invasive tests were not considered as comparators in this assessment including: </w:t>
      </w:r>
    </w:p>
    <w:p w14:paraId="09BED40F" w14:textId="77777777" w:rsidR="00C00DCA" w:rsidRPr="006C09E4" w:rsidRDefault="00C00DCA" w:rsidP="00C00DCA">
      <w:pPr>
        <w:pStyle w:val="ListParagraph"/>
        <w:numPr>
          <w:ilvl w:val="0"/>
          <w:numId w:val="27"/>
        </w:numPr>
      </w:pPr>
      <w:r w:rsidRPr="006C09E4">
        <w:rPr>
          <w:bCs/>
        </w:rPr>
        <w:t xml:space="preserve">indirect blood tests (e.g. </w:t>
      </w:r>
      <w:r w:rsidRPr="006C09E4">
        <w:t>aspartate aminotransferase-to-platelet ratio i</w:t>
      </w:r>
      <w:r>
        <w:t xml:space="preserve">ndex and the Fibrosis4 </w:t>
      </w:r>
      <w:r w:rsidRPr="006C09E4">
        <w:t>scores);</w:t>
      </w:r>
    </w:p>
    <w:p w14:paraId="78D9E6BD" w14:textId="77777777" w:rsidR="00C00DCA" w:rsidRPr="006C09E4" w:rsidRDefault="00C00DCA" w:rsidP="00C00DCA">
      <w:pPr>
        <w:pStyle w:val="ListParagraph"/>
        <w:numPr>
          <w:ilvl w:val="0"/>
          <w:numId w:val="27"/>
        </w:numPr>
      </w:pPr>
      <w:r w:rsidRPr="006C09E4">
        <w:t xml:space="preserve">direct markers of fibrosis (e.g. </w:t>
      </w:r>
      <w:proofErr w:type="spellStart"/>
      <w:r w:rsidRPr="006C09E4">
        <w:t>haptoglobin</w:t>
      </w:r>
      <w:proofErr w:type="spellEnd"/>
      <w:r w:rsidRPr="006C09E4">
        <w:t xml:space="preserve">, </w:t>
      </w:r>
      <w:proofErr w:type="spellStart"/>
      <w:r w:rsidRPr="006C09E4">
        <w:t>Fibrotest</w:t>
      </w:r>
      <w:proofErr w:type="spellEnd"/>
      <w:r w:rsidRPr="006C09E4">
        <w:t xml:space="preserve">); and </w:t>
      </w:r>
    </w:p>
    <w:p w14:paraId="5A75CFB4" w14:textId="77777777" w:rsidR="00C00DCA" w:rsidRPr="006C09E4" w:rsidRDefault="00C00DCA" w:rsidP="00C00DCA">
      <w:pPr>
        <w:pStyle w:val="ListParagraph"/>
        <w:numPr>
          <w:ilvl w:val="0"/>
          <w:numId w:val="27"/>
        </w:numPr>
        <w:rPr>
          <w:bCs/>
        </w:rPr>
      </w:pPr>
      <w:proofErr w:type="gramStart"/>
      <w:r w:rsidRPr="006C09E4">
        <w:t>other</w:t>
      </w:r>
      <w:proofErr w:type="gramEnd"/>
      <w:r w:rsidRPr="006C09E4">
        <w:t xml:space="preserve"> imaging technologies (e.g. acoustic radiation for</w:t>
      </w:r>
      <w:r>
        <w:t>ce impulse imaging and 3</w:t>
      </w:r>
      <w:r w:rsidRPr="006C09E4">
        <w:t xml:space="preserve">D magnetic resonance </w:t>
      </w:r>
      <w:proofErr w:type="spellStart"/>
      <w:r w:rsidRPr="006C09E4">
        <w:t>elastography</w:t>
      </w:r>
      <w:proofErr w:type="spellEnd"/>
      <w:r w:rsidRPr="006C09E4">
        <w:t>).</w:t>
      </w:r>
    </w:p>
    <w:p w14:paraId="74AE0DB8" w14:textId="77777777" w:rsidR="00C00DCA" w:rsidRPr="00772C98" w:rsidRDefault="00C00DCA" w:rsidP="00C00DCA">
      <w:pPr>
        <w:tabs>
          <w:tab w:val="left" w:pos="720"/>
          <w:tab w:val="left" w:pos="1140"/>
        </w:tabs>
        <w:rPr>
          <w:szCs w:val="24"/>
        </w:rPr>
      </w:pPr>
    </w:p>
    <w:p w14:paraId="3C105917" w14:textId="48ACEA16" w:rsidR="00A17CA0" w:rsidRDefault="00A17CA0" w:rsidP="00C00DCA">
      <w:pPr>
        <w:tabs>
          <w:tab w:val="left" w:pos="720"/>
          <w:tab w:val="left" w:pos="1140"/>
        </w:tabs>
      </w:pPr>
      <w:r w:rsidRPr="00A92CE5">
        <w:t xml:space="preserve">MSAC considered that the most appropriate comparator for TE was clinical assessment </w:t>
      </w:r>
      <w:r w:rsidR="00772C98">
        <w:t xml:space="preserve">without TE </w:t>
      </w:r>
      <w:r w:rsidRPr="00A92CE5">
        <w:t>rather than liver biopsy.</w:t>
      </w:r>
    </w:p>
    <w:p w14:paraId="34AFD0AD" w14:textId="77777777" w:rsidR="00BC1364" w:rsidRPr="00772C98" w:rsidRDefault="00BC1364" w:rsidP="00DD2858">
      <w:pPr>
        <w:rPr>
          <w:szCs w:val="24"/>
        </w:rPr>
      </w:pPr>
    </w:p>
    <w:p w14:paraId="57E55231" w14:textId="77777777" w:rsidR="00BC1364" w:rsidRPr="008D5885" w:rsidRDefault="00BC1364" w:rsidP="007B32D1">
      <w:pPr>
        <w:pStyle w:val="Heading1"/>
        <w:numPr>
          <w:ilvl w:val="0"/>
          <w:numId w:val="23"/>
        </w:numPr>
        <w:ind w:hanging="720"/>
      </w:pPr>
      <w:r w:rsidRPr="008D5885">
        <w:t>Comparative safety</w:t>
      </w:r>
    </w:p>
    <w:p w14:paraId="138EF75F" w14:textId="77777777" w:rsidR="00BC1364" w:rsidRPr="00772C98" w:rsidRDefault="00BC1364" w:rsidP="00DD2858">
      <w:pPr>
        <w:pStyle w:val="ListParagraph"/>
        <w:ind w:left="0"/>
        <w:rPr>
          <w:szCs w:val="24"/>
        </w:rPr>
      </w:pPr>
    </w:p>
    <w:p w14:paraId="6EB4BB9E" w14:textId="26D6C7FB" w:rsidR="00C00DCA" w:rsidRPr="006C09E4" w:rsidRDefault="00C00DCA" w:rsidP="00C00DCA">
      <w:pPr>
        <w:tabs>
          <w:tab w:val="left" w:pos="720"/>
          <w:tab w:val="left" w:pos="1140"/>
        </w:tabs>
        <w:rPr>
          <w:szCs w:val="24"/>
        </w:rPr>
      </w:pPr>
      <w:r w:rsidRPr="006C09E4">
        <w:rPr>
          <w:szCs w:val="24"/>
        </w:rPr>
        <w:t>TE is an ultrasound-based non-invasive test that has been reported to be painless, rapid and easily performed by trained staff (</w:t>
      </w:r>
      <w:proofErr w:type="spellStart"/>
      <w:r w:rsidRPr="006C09E4">
        <w:rPr>
          <w:szCs w:val="24"/>
        </w:rPr>
        <w:t>Crossan</w:t>
      </w:r>
      <w:proofErr w:type="spellEnd"/>
      <w:r w:rsidRPr="006C09E4">
        <w:rPr>
          <w:szCs w:val="24"/>
        </w:rPr>
        <w:t xml:space="preserve">, </w:t>
      </w:r>
      <w:proofErr w:type="spellStart"/>
      <w:r w:rsidRPr="006C09E4">
        <w:rPr>
          <w:szCs w:val="24"/>
        </w:rPr>
        <w:t>Tsochatzis</w:t>
      </w:r>
      <w:proofErr w:type="spellEnd"/>
      <w:r w:rsidRPr="006C09E4">
        <w:rPr>
          <w:szCs w:val="24"/>
        </w:rPr>
        <w:t xml:space="preserve"> et al. 2015; Kemp, Levy et al. 2015). There have been no reported adverse events associated with TE use (</w:t>
      </w:r>
      <w:proofErr w:type="spellStart"/>
      <w:r w:rsidRPr="006C09E4">
        <w:rPr>
          <w:szCs w:val="24"/>
        </w:rPr>
        <w:t>Crossan</w:t>
      </w:r>
      <w:proofErr w:type="spellEnd"/>
      <w:r w:rsidRPr="006C09E4">
        <w:rPr>
          <w:szCs w:val="24"/>
        </w:rPr>
        <w:t xml:space="preserve">, </w:t>
      </w:r>
      <w:proofErr w:type="spellStart"/>
      <w:r w:rsidRPr="006C09E4">
        <w:rPr>
          <w:szCs w:val="24"/>
        </w:rPr>
        <w:t>Tsochatzis</w:t>
      </w:r>
      <w:proofErr w:type="spellEnd"/>
      <w:r w:rsidRPr="006C09E4">
        <w:rPr>
          <w:szCs w:val="24"/>
        </w:rPr>
        <w:t xml:space="preserve"> et al.</w:t>
      </w:r>
      <w:r w:rsidR="00772C98">
        <w:rPr>
          <w:szCs w:val="24"/>
        </w:rPr>
        <w:t xml:space="preserve"> 2015; Kemp, Levy et al. 2015).</w:t>
      </w:r>
    </w:p>
    <w:p w14:paraId="268EA0E0" w14:textId="77777777" w:rsidR="00C00DCA" w:rsidRPr="006C09E4" w:rsidRDefault="00C00DCA" w:rsidP="00C00DCA">
      <w:pPr>
        <w:tabs>
          <w:tab w:val="left" w:pos="720"/>
          <w:tab w:val="left" w:pos="1140"/>
        </w:tabs>
        <w:rPr>
          <w:szCs w:val="24"/>
        </w:rPr>
      </w:pPr>
    </w:p>
    <w:p w14:paraId="48BE6A3F" w14:textId="77777777" w:rsidR="00C00DCA" w:rsidRPr="006C09E4" w:rsidRDefault="00C00DCA" w:rsidP="00C00DCA">
      <w:pPr>
        <w:tabs>
          <w:tab w:val="left" w:pos="720"/>
          <w:tab w:val="left" w:pos="1140"/>
        </w:tabs>
        <w:rPr>
          <w:szCs w:val="24"/>
        </w:rPr>
      </w:pPr>
      <w:r w:rsidRPr="006C09E4">
        <w:rPr>
          <w:szCs w:val="24"/>
        </w:rPr>
        <w:t xml:space="preserve">TE is </w:t>
      </w:r>
      <w:r>
        <w:rPr>
          <w:szCs w:val="24"/>
        </w:rPr>
        <w:t>considered by surveyed patients to be a</w:t>
      </w:r>
      <w:r w:rsidRPr="006C09E4">
        <w:rPr>
          <w:szCs w:val="24"/>
        </w:rPr>
        <w:t xml:space="preserve"> more acceptable and more convenient method of measuring fibrosis than liver biopsy. TE </w:t>
      </w:r>
      <w:r>
        <w:rPr>
          <w:szCs w:val="24"/>
        </w:rPr>
        <w:t>i</w:t>
      </w:r>
      <w:r w:rsidRPr="006C09E4">
        <w:rPr>
          <w:szCs w:val="24"/>
        </w:rPr>
        <w:t>s associated with greater comfort and no feelings of anxiety compared to biopsy. The surveyed patients perceived TE as a fast procedure with shorter test duration and short wait for the test result compared with liver biopsy (</w:t>
      </w:r>
      <w:proofErr w:type="spellStart"/>
      <w:r w:rsidRPr="006C09E4">
        <w:rPr>
          <w:szCs w:val="24"/>
        </w:rPr>
        <w:t>Kan</w:t>
      </w:r>
      <w:proofErr w:type="spellEnd"/>
      <w:r w:rsidRPr="006C09E4">
        <w:rPr>
          <w:szCs w:val="24"/>
        </w:rPr>
        <w:t xml:space="preserve">, Marquez </w:t>
      </w:r>
      <w:proofErr w:type="spellStart"/>
      <w:r w:rsidRPr="006C09E4">
        <w:rPr>
          <w:szCs w:val="24"/>
        </w:rPr>
        <w:t>Azalgara</w:t>
      </w:r>
      <w:proofErr w:type="spellEnd"/>
      <w:r w:rsidRPr="006C09E4">
        <w:rPr>
          <w:szCs w:val="24"/>
        </w:rPr>
        <w:t xml:space="preserve"> et al. 2015).</w:t>
      </w:r>
    </w:p>
    <w:p w14:paraId="45D41275" w14:textId="77777777" w:rsidR="00BC1364" w:rsidRPr="00772C98" w:rsidRDefault="00BC1364" w:rsidP="00DD2858">
      <w:pPr>
        <w:pStyle w:val="ListParagraph"/>
        <w:ind w:left="0"/>
        <w:rPr>
          <w:szCs w:val="24"/>
        </w:rPr>
      </w:pPr>
    </w:p>
    <w:p w14:paraId="73D4ED3D" w14:textId="77777777" w:rsidR="00BC1364" w:rsidRPr="008D5885" w:rsidRDefault="00BC1364" w:rsidP="007B32D1">
      <w:pPr>
        <w:pStyle w:val="Heading1"/>
        <w:numPr>
          <w:ilvl w:val="0"/>
          <w:numId w:val="23"/>
        </w:numPr>
        <w:ind w:hanging="720"/>
      </w:pPr>
      <w:r w:rsidRPr="008D5885">
        <w:t>Comparative effectiveness</w:t>
      </w:r>
    </w:p>
    <w:p w14:paraId="4A9E3C17" w14:textId="77777777" w:rsidR="00BC1364" w:rsidRPr="00772C98" w:rsidRDefault="00BC1364" w:rsidP="00DD2858"/>
    <w:p w14:paraId="33740CCE" w14:textId="0E764C38" w:rsidR="000638D2" w:rsidRDefault="000638D2" w:rsidP="000638D2">
      <w:r w:rsidRPr="00BF6D8B">
        <w:t>Four prospective cohort studies evaluated the diagnostic accuracy of TE with clinical assessment in the detection of liver cirrhosis</w:t>
      </w:r>
      <w:r>
        <w:t xml:space="preserve"> </w:t>
      </w:r>
      <w:r w:rsidRPr="00BF6D8B">
        <w:t xml:space="preserve">(Kim, Kim et al. 2009; Wang, </w:t>
      </w:r>
      <w:proofErr w:type="spellStart"/>
      <w:r w:rsidRPr="00BF6D8B">
        <w:t>Changchien</w:t>
      </w:r>
      <w:proofErr w:type="spellEnd"/>
      <w:r w:rsidRPr="00BF6D8B">
        <w:t xml:space="preserve"> et al. 2009; Chen, Liang et al. 2012; </w:t>
      </w:r>
      <w:proofErr w:type="spellStart"/>
      <w:r w:rsidRPr="00BF6D8B">
        <w:t>Gobel</w:t>
      </w:r>
      <w:proofErr w:type="spellEnd"/>
      <w:r w:rsidRPr="00BF6D8B">
        <w:t xml:space="preserve">, </w:t>
      </w:r>
      <w:proofErr w:type="spellStart"/>
      <w:r w:rsidRPr="00BF6D8B">
        <w:t>Sch</w:t>
      </w:r>
      <w:r w:rsidR="00772C98">
        <w:t>adewaldt-Tummers</w:t>
      </w:r>
      <w:proofErr w:type="spellEnd"/>
      <w:r w:rsidR="00772C98">
        <w:t xml:space="preserve"> et al. 2015). </w:t>
      </w:r>
      <w:r w:rsidRPr="00BF6D8B">
        <w:t>The four studies were observational and their quality varied. TE with clinical assessment appeared to be superi</w:t>
      </w:r>
      <w:r>
        <w:t>or to clinical assessment alone. H</w:t>
      </w:r>
      <w:r w:rsidRPr="00BF6D8B">
        <w:t xml:space="preserve">owever, the addition of clinical assessment (mainly ultrasound) to TE does not significantly improve the diagnostic accuracy of TE alone </w:t>
      </w:r>
      <w:r w:rsidRPr="00BF6D8B">
        <w:rPr>
          <w:noProof/>
        </w:rPr>
        <w:t>(</w:t>
      </w:r>
      <w:hyperlink w:anchor="_ENREF_59" w:tooltip="Wang, 2009 #1058" w:history="1">
        <w:r w:rsidRPr="00BF6D8B">
          <w:rPr>
            <w:noProof/>
          </w:rPr>
          <w:t>Wang et al., 2009</w:t>
        </w:r>
      </w:hyperlink>
      <w:r w:rsidRPr="00BF6D8B">
        <w:rPr>
          <w:noProof/>
        </w:rPr>
        <w:t xml:space="preserve">, </w:t>
      </w:r>
      <w:hyperlink w:anchor="_ENREF_15" w:tooltip="Chen, 2012 #216" w:history="1">
        <w:r w:rsidRPr="00BF6D8B">
          <w:rPr>
            <w:noProof/>
          </w:rPr>
          <w:t>Chen et al., 2012</w:t>
        </w:r>
      </w:hyperlink>
      <w:r w:rsidRPr="00BF6D8B">
        <w:rPr>
          <w:noProof/>
        </w:rPr>
        <w:t>).</w:t>
      </w:r>
    </w:p>
    <w:p w14:paraId="061C1B7F" w14:textId="77777777" w:rsidR="000638D2" w:rsidRDefault="000638D2" w:rsidP="000638D2"/>
    <w:p w14:paraId="7F5796BF" w14:textId="79BC9962" w:rsidR="000638D2" w:rsidRDefault="000638D2" w:rsidP="000638D2">
      <w:r>
        <w:t>With liver biopsy as a reference, TE alone has proven accuracy in the diagnosis of liver fibrosis/cirrhosis in patients with chronic hepatitis B or C. There is strong evidence from a number of meta-analyses to support the diagnostic accuracy of TE with a range of cut-offs for each liver disease and fibrosis level. In patients with hepatitis B, the cut-offs for significant fibrosis ranged from 6 to 9</w:t>
      </w:r>
      <w:r w:rsidR="00772C98">
        <w:t> </w:t>
      </w:r>
      <w:proofErr w:type="spellStart"/>
      <w:r>
        <w:t>kPa</w:t>
      </w:r>
      <w:proofErr w:type="spellEnd"/>
      <w:r>
        <w:t xml:space="preserve"> with 84% sensitivity a</w:t>
      </w:r>
      <w:r w:rsidR="00772C98">
        <w:t>nd 84% specificity, and 8 to 18 </w:t>
      </w:r>
      <w:proofErr w:type="spellStart"/>
      <w:r>
        <w:t>kPa</w:t>
      </w:r>
      <w:proofErr w:type="spellEnd"/>
      <w:r>
        <w:t xml:space="preserve"> for cirrhosis with sensitivity and specificity of 86% and 89%, respectively (</w:t>
      </w:r>
      <w:proofErr w:type="spellStart"/>
      <w:r>
        <w:t>Tsochatzis</w:t>
      </w:r>
      <w:proofErr w:type="spellEnd"/>
      <w:r>
        <w:t xml:space="preserve">, </w:t>
      </w:r>
      <w:proofErr w:type="spellStart"/>
      <w:r>
        <w:t>Gurusamy</w:t>
      </w:r>
      <w:proofErr w:type="spellEnd"/>
      <w:r>
        <w:t xml:space="preserve"> et al. 2011; Chon, Choi et al. 2012; </w:t>
      </w:r>
      <w:proofErr w:type="spellStart"/>
      <w:r>
        <w:t>Crossan</w:t>
      </w:r>
      <w:proofErr w:type="spellEnd"/>
      <w:r>
        <w:t xml:space="preserve">, </w:t>
      </w:r>
      <w:proofErr w:type="spellStart"/>
      <w:r>
        <w:t>Tsochatzis</w:t>
      </w:r>
      <w:proofErr w:type="spellEnd"/>
      <w:r>
        <w:t xml:space="preserve"> et al. 2015; Xu, Su et al. 2015). In hepatitis C, the cut-offs for significa</w:t>
      </w:r>
      <w:r w:rsidR="001E4A20">
        <w:t>nt fibrosis ranged from 5 to 10 </w:t>
      </w:r>
      <w:proofErr w:type="spellStart"/>
      <w:r>
        <w:t>kPa</w:t>
      </w:r>
      <w:proofErr w:type="spellEnd"/>
      <w:r>
        <w:t xml:space="preserve"> with 79% sensitivity, and 86% specificity whereas when</w:t>
      </w:r>
      <w:r w:rsidR="001E4A20">
        <w:t xml:space="preserve"> the cut-offs were from 9 to 17 </w:t>
      </w:r>
      <w:proofErr w:type="spellStart"/>
      <w:r>
        <w:t>kPa</w:t>
      </w:r>
      <w:proofErr w:type="spellEnd"/>
      <w:r>
        <w:t xml:space="preserve"> for cirrhosis, TE had 90% sensitivity and 91% specificity (</w:t>
      </w:r>
      <w:proofErr w:type="spellStart"/>
      <w:r>
        <w:t>Tsochatzis</w:t>
      </w:r>
      <w:proofErr w:type="spellEnd"/>
      <w:r>
        <w:t xml:space="preserve">, </w:t>
      </w:r>
      <w:proofErr w:type="spellStart"/>
      <w:r>
        <w:t>Gurusamy</w:t>
      </w:r>
      <w:proofErr w:type="spellEnd"/>
      <w:r>
        <w:t xml:space="preserve"> et al. 2011; Steadman, Myers et al. 2013). The accuracy of TE is adversely affected by food; and </w:t>
      </w:r>
      <w:r>
        <w:lastRenderedPageBreak/>
        <w:t xml:space="preserve">therefore, patients undergoing this test should fast for at least two hours (Arena, </w:t>
      </w:r>
      <w:proofErr w:type="spellStart"/>
      <w:r>
        <w:t>Lupsor</w:t>
      </w:r>
      <w:proofErr w:type="spellEnd"/>
      <w:r>
        <w:t xml:space="preserve"> </w:t>
      </w:r>
      <w:proofErr w:type="spellStart"/>
      <w:r>
        <w:t>Platon</w:t>
      </w:r>
      <w:proofErr w:type="spellEnd"/>
      <w:r>
        <w:t xml:space="preserve"> et al. 2013; </w:t>
      </w:r>
      <w:proofErr w:type="spellStart"/>
      <w:r>
        <w:t>Berzig</w:t>
      </w:r>
      <w:r w:rsidR="00772C98">
        <w:t>otti</w:t>
      </w:r>
      <w:proofErr w:type="spellEnd"/>
      <w:r w:rsidR="00772C98">
        <w:t xml:space="preserve">, De </w:t>
      </w:r>
      <w:proofErr w:type="spellStart"/>
      <w:r w:rsidR="00772C98">
        <w:t>Gottardi</w:t>
      </w:r>
      <w:proofErr w:type="spellEnd"/>
      <w:r w:rsidR="00772C98">
        <w:t xml:space="preserve"> et al. 2013).</w:t>
      </w:r>
    </w:p>
    <w:p w14:paraId="5E3F25C1" w14:textId="77777777" w:rsidR="000638D2" w:rsidRDefault="000638D2" w:rsidP="000638D2"/>
    <w:p w14:paraId="37984D6E" w14:textId="0AB5F3B8" w:rsidR="000638D2" w:rsidRDefault="000638D2" w:rsidP="000638D2">
      <w:r>
        <w:t>Two studies have investigated the accuracy of TE in monitoring liver fibrosis in patients who are not on antivirus treatment (</w:t>
      </w:r>
      <w:proofErr w:type="spellStart"/>
      <w:r>
        <w:t>Crisan</w:t>
      </w:r>
      <w:proofErr w:type="spellEnd"/>
      <w:r>
        <w:t xml:space="preserve">, </w:t>
      </w:r>
      <w:proofErr w:type="spellStart"/>
      <w:r>
        <w:t>Radu</w:t>
      </w:r>
      <w:proofErr w:type="spellEnd"/>
      <w:r>
        <w:t xml:space="preserve"> et al. 2012; Christiansen, </w:t>
      </w:r>
      <w:proofErr w:type="spellStart"/>
      <w:r>
        <w:t>Mossner</w:t>
      </w:r>
      <w:proofErr w:type="spellEnd"/>
      <w:r>
        <w:t xml:space="preserve"> et al. 2014). TE was performed at least once yearly and more frequently when necessary. In the study by </w:t>
      </w:r>
      <w:proofErr w:type="spellStart"/>
      <w:r>
        <w:t>Crisan</w:t>
      </w:r>
      <w:proofErr w:type="spellEnd"/>
      <w:r>
        <w:t xml:space="preserve"> et al (2012), untreated patients yielded constant values of fibrosis or a slight increase in follow-up. The study confirms the accuracy of TE and liver tests for the assessment of fibrosis at baseline and at follow-up in treated or untreated patients with chronic hepatitis C patients. Another study by Christiansen et al (2014) evaluated liver stiffness monitoring with TE overtime in patients with chronic hepatitis B or C. The study found that a TE cut-off of 17</w:t>
      </w:r>
      <w:r w:rsidR="001E4A20">
        <w:t> </w:t>
      </w:r>
      <w:proofErr w:type="spellStart"/>
      <w:r>
        <w:t>kPa</w:t>
      </w:r>
      <w:proofErr w:type="spellEnd"/>
      <w:r>
        <w:t xml:space="preserve"> correctly classified 96% as having cirrhosis with 92% sensitivity and 95% specificity. There are no clear guidelines on the frequency of TE monitoring although most of the included studies performed annual assessments. Christiansen et al. (2014) and Kemp et al. (2015) recommend more frequent monitoring when the repeated liver stiffness scores are between 7 to 9</w:t>
      </w:r>
      <w:r w:rsidR="001E4A20">
        <w:t> </w:t>
      </w:r>
      <w:proofErr w:type="spellStart"/>
      <w:r>
        <w:t>kPa</w:t>
      </w:r>
      <w:proofErr w:type="spellEnd"/>
      <w:r>
        <w:t xml:space="preserve"> and when</w:t>
      </w:r>
      <w:r w:rsidR="001E4A20">
        <w:t xml:space="preserve"> there are other comorbidities.</w:t>
      </w:r>
    </w:p>
    <w:p w14:paraId="68DF5983" w14:textId="77777777" w:rsidR="000638D2" w:rsidRDefault="000638D2" w:rsidP="000638D2"/>
    <w:p w14:paraId="5B79EDA6" w14:textId="7EFC61F7" w:rsidR="000638D2" w:rsidRDefault="000638D2" w:rsidP="000638D2">
      <w:r>
        <w:t>TE is an effective predictive and prognostic test in patients with chronic hepatitis B or C. One prospective cohort study compared the performance of TE plus clinical assessment in predicting the development of hepatocellular carcinoma in patients with chronic hepatitis B (Chon, Jung et al. 2012). It showed that in predicting hepatocellular carcinoma, TE had a slightly higher accuracy compared with TE plus clinical assessment (0.789 vs 0.788, respectively), but this was</w:t>
      </w:r>
      <w:r w:rsidR="001E4A20">
        <w:t xml:space="preserve"> not statistically significant.</w:t>
      </w:r>
    </w:p>
    <w:p w14:paraId="6F9EEB31" w14:textId="77777777" w:rsidR="000638D2" w:rsidRDefault="000638D2" w:rsidP="000638D2"/>
    <w:p w14:paraId="55070A3E" w14:textId="642BC13B" w:rsidR="00DB5833" w:rsidRPr="000F14B4" w:rsidRDefault="000638D2" w:rsidP="00FC111C">
      <w:r>
        <w:t xml:space="preserve">A number of large prospective studies and two meta-analyses demonstrated the effectiveness of TE alone as a non-invasive approach to predict chronic liver complications including cirrhosis, portal hypertension, oesophageal varices, liver cancer and mortality (Shi, Fan et al. 2013; Singh, </w:t>
      </w:r>
      <w:proofErr w:type="spellStart"/>
      <w:r>
        <w:t>Fujii</w:t>
      </w:r>
      <w:proofErr w:type="spellEnd"/>
      <w:r>
        <w:t xml:space="preserve"> et al. 2013). In these studies, TE was also performed at least once yearly and more frequently when necessary; however, none of the studies compared the outcome of various monitoring frequencies (e.g. annually versus every other year).</w:t>
      </w:r>
    </w:p>
    <w:p w14:paraId="0A20CF82" w14:textId="77777777" w:rsidR="00BC1364" w:rsidRPr="001E4A20" w:rsidRDefault="00BC1364" w:rsidP="00DD2858">
      <w:pPr>
        <w:rPr>
          <w:szCs w:val="24"/>
        </w:rPr>
      </w:pPr>
    </w:p>
    <w:p w14:paraId="27C55FAE" w14:textId="77777777" w:rsidR="00BC1364" w:rsidRDefault="00BC1364" w:rsidP="007B32D1">
      <w:pPr>
        <w:pStyle w:val="Heading1"/>
        <w:numPr>
          <w:ilvl w:val="0"/>
          <w:numId w:val="23"/>
        </w:numPr>
        <w:ind w:hanging="720"/>
      </w:pPr>
      <w:r w:rsidRPr="008D5885">
        <w:t>Economic evaluation</w:t>
      </w:r>
    </w:p>
    <w:p w14:paraId="59F46B8E" w14:textId="77777777" w:rsidR="00BC1364" w:rsidRPr="001E4A20" w:rsidRDefault="00BC1364" w:rsidP="00DD2858">
      <w:pPr>
        <w:rPr>
          <w:szCs w:val="24"/>
        </w:rPr>
      </w:pPr>
    </w:p>
    <w:p w14:paraId="10CEFC28" w14:textId="4D6DE6BC" w:rsidR="000638D2" w:rsidRPr="006C09E4" w:rsidRDefault="000638D2" w:rsidP="00FC111C">
      <w:pPr>
        <w:tabs>
          <w:tab w:val="left" w:pos="567"/>
          <w:tab w:val="num" w:pos="851"/>
        </w:tabs>
      </w:pPr>
      <w:r w:rsidRPr="006C09E4">
        <w:t xml:space="preserve">A cost-utility analysis was </w:t>
      </w:r>
      <w:r w:rsidR="001D2850">
        <w:t>presented</w:t>
      </w:r>
      <w:r w:rsidRPr="006C09E4">
        <w:t>. Due to the different treatment pathways involved in hepatitis B compared with hepatitis C, two separate Markov cohort models were constructed with annual cycles for both models. Each model ha</w:t>
      </w:r>
      <w:r w:rsidR="001E4A20">
        <w:t>d</w:t>
      </w:r>
      <w:r w:rsidRPr="006C09E4">
        <w:t xml:space="preserve"> two stages: 1) a decision tree for diagnostic accuracy of tests, and 2) Markov chains for long-term treatment effects for fibrosis. The tests compared in the models were TE plus clinical assessment, clinical assessment, and liver biopsy. The starting age of the cohort was 40 years and the model duration was until the age of 90. The main inputs in each model were the sensitivity and specificity of the tests, prevalence of liver fibrosis stages, transition probabilities between fibrosis stages (i.e. F1-F4), probability of hepatocellular carcinoma, treatment effectiveness, mortality of liver complications and age-related mortality, utility scores of the various liver fibrosis stages, and the costs of diagnosis and treatment. The key results are presented in Tables </w:t>
      </w:r>
      <w:r w:rsidR="003B5BD1">
        <w:t>2</w:t>
      </w:r>
      <w:r w:rsidRPr="006C09E4">
        <w:t xml:space="preserve"> and </w:t>
      </w:r>
      <w:r w:rsidR="003B5BD1">
        <w:t>3</w:t>
      </w:r>
      <w:r w:rsidRPr="006C09E4">
        <w:t>.</w:t>
      </w:r>
    </w:p>
    <w:p w14:paraId="6FAC4EA3" w14:textId="77777777" w:rsidR="000638D2" w:rsidRDefault="000638D2" w:rsidP="000638D2">
      <w:pPr>
        <w:tabs>
          <w:tab w:val="left" w:pos="567"/>
          <w:tab w:val="num" w:pos="851"/>
        </w:tabs>
        <w:rPr>
          <w:rFonts w:ascii="Garamond" w:hAnsi="Garamond"/>
        </w:rPr>
      </w:pPr>
    </w:p>
    <w:p w14:paraId="4051C7B0" w14:textId="1238E04B" w:rsidR="000638D2" w:rsidRDefault="000638D2" w:rsidP="000638D2">
      <w:pPr>
        <w:pStyle w:val="TableName"/>
        <w:ind w:left="0" w:firstLine="0"/>
      </w:pPr>
      <w:bookmarkStart w:id="1" w:name="_Toc436297200"/>
      <w:r w:rsidRPr="00E05A4F">
        <w:lastRenderedPageBreak/>
        <w:t xml:space="preserve">Table </w:t>
      </w:r>
      <w:r w:rsidR="003B5BD1">
        <w:t>2</w:t>
      </w:r>
      <w:r w:rsidRPr="00E05A4F">
        <w:t>: Key results of hepatitis C economic evaluation</w:t>
      </w:r>
      <w:bookmarkEnd w:id="1"/>
    </w:p>
    <w:tbl>
      <w:tblPr>
        <w:tblStyle w:val="TableGrid"/>
        <w:tblW w:w="5000" w:type="pct"/>
        <w:tblLook w:val="04A0" w:firstRow="1" w:lastRow="0" w:firstColumn="1" w:lastColumn="0" w:noHBand="0" w:noVBand="1"/>
        <w:tblCaption w:val="Key results of hepatitis C economic evaluation"/>
        <w:tblDescription w:val="Text below this table explains the results of this table."/>
      </w:tblPr>
      <w:tblGrid>
        <w:gridCol w:w="2235"/>
        <w:gridCol w:w="850"/>
        <w:gridCol w:w="993"/>
        <w:gridCol w:w="1133"/>
        <w:gridCol w:w="1216"/>
        <w:gridCol w:w="939"/>
        <w:gridCol w:w="1044"/>
        <w:gridCol w:w="832"/>
      </w:tblGrid>
      <w:tr w:rsidR="000638D2" w:rsidRPr="00C62447" w14:paraId="66DBCF05" w14:textId="77777777" w:rsidTr="000638D2">
        <w:trPr>
          <w:trHeight w:val="20"/>
          <w:tblHeader/>
        </w:trPr>
        <w:tc>
          <w:tcPr>
            <w:tcW w:w="1209" w:type="pct"/>
            <w:tcBorders>
              <w:bottom w:val="single" w:sz="4" w:space="0" w:color="auto"/>
            </w:tcBorders>
          </w:tcPr>
          <w:p w14:paraId="1C668A2D" w14:textId="77777777" w:rsidR="000638D2" w:rsidRPr="00C62447" w:rsidRDefault="000638D2" w:rsidP="000638D2">
            <w:pPr>
              <w:keepNext/>
              <w:tabs>
                <w:tab w:val="right" w:leader="dot" w:pos="9016"/>
              </w:tabs>
              <w:rPr>
                <w:rFonts w:ascii="Arial Narrow" w:hAnsi="Arial Narrow"/>
                <w:b/>
                <w:noProof/>
                <w:sz w:val="18"/>
                <w:szCs w:val="18"/>
                <w:lang w:eastAsia="ja-JP"/>
              </w:rPr>
            </w:pPr>
            <w:r w:rsidRPr="00C62447">
              <w:rPr>
                <w:rFonts w:ascii="Arial Narrow" w:hAnsi="Arial Narrow"/>
                <w:b/>
                <w:noProof/>
                <w:sz w:val="18"/>
                <w:szCs w:val="18"/>
                <w:lang w:eastAsia="ja-JP"/>
              </w:rPr>
              <w:t xml:space="preserve">Scenario </w:t>
            </w:r>
          </w:p>
        </w:tc>
        <w:tc>
          <w:tcPr>
            <w:tcW w:w="460" w:type="pct"/>
            <w:tcBorders>
              <w:bottom w:val="single" w:sz="4" w:space="0" w:color="auto"/>
            </w:tcBorders>
          </w:tcPr>
          <w:p w14:paraId="24CF8EA8" w14:textId="77777777" w:rsidR="000638D2" w:rsidRPr="00C62447" w:rsidRDefault="000638D2" w:rsidP="000638D2">
            <w:pPr>
              <w:keepNext/>
              <w:tabs>
                <w:tab w:val="right" w:leader="dot" w:pos="9016"/>
              </w:tabs>
              <w:jc w:val="center"/>
              <w:rPr>
                <w:rFonts w:ascii="Arial Narrow" w:hAnsi="Arial Narrow"/>
                <w:b/>
                <w:noProof/>
                <w:sz w:val="18"/>
                <w:szCs w:val="18"/>
                <w:lang w:eastAsia="ja-JP"/>
              </w:rPr>
            </w:pPr>
            <w:r w:rsidRPr="00C62447">
              <w:rPr>
                <w:rFonts w:ascii="Arial Narrow" w:hAnsi="Arial Narrow"/>
                <w:b/>
                <w:noProof/>
                <w:sz w:val="18"/>
                <w:szCs w:val="18"/>
                <w:lang w:eastAsia="ja-JP"/>
              </w:rPr>
              <w:t>Test</w:t>
            </w:r>
          </w:p>
        </w:tc>
        <w:tc>
          <w:tcPr>
            <w:tcW w:w="537" w:type="pct"/>
            <w:tcBorders>
              <w:bottom w:val="single" w:sz="4" w:space="0" w:color="auto"/>
            </w:tcBorders>
          </w:tcPr>
          <w:p w14:paraId="49A0803F" w14:textId="77777777" w:rsidR="000638D2" w:rsidRPr="00C62447" w:rsidRDefault="000638D2" w:rsidP="000638D2">
            <w:pPr>
              <w:keepNext/>
              <w:tabs>
                <w:tab w:val="right" w:leader="dot" w:pos="9016"/>
              </w:tabs>
              <w:jc w:val="center"/>
              <w:rPr>
                <w:rFonts w:ascii="Arial Narrow" w:hAnsi="Arial Narrow"/>
                <w:b/>
                <w:noProof/>
                <w:sz w:val="18"/>
                <w:szCs w:val="18"/>
                <w:vertAlign w:val="superscript"/>
                <w:lang w:eastAsia="ja-JP"/>
              </w:rPr>
            </w:pPr>
            <w:r w:rsidRPr="00C62447">
              <w:rPr>
                <w:rFonts w:ascii="Arial Narrow" w:hAnsi="Arial Narrow"/>
                <w:b/>
                <w:noProof/>
                <w:sz w:val="18"/>
                <w:szCs w:val="18"/>
                <w:lang w:eastAsia="ja-JP"/>
              </w:rPr>
              <w:t>Mean LY</w:t>
            </w:r>
            <w:r w:rsidRPr="00C62447">
              <w:rPr>
                <w:rFonts w:ascii="Arial Narrow" w:hAnsi="Arial Narrow"/>
                <w:b/>
                <w:noProof/>
                <w:sz w:val="18"/>
                <w:szCs w:val="18"/>
                <w:vertAlign w:val="superscript"/>
                <w:lang w:eastAsia="ja-JP"/>
              </w:rPr>
              <w:t>a</w:t>
            </w:r>
          </w:p>
        </w:tc>
        <w:tc>
          <w:tcPr>
            <w:tcW w:w="613" w:type="pct"/>
            <w:tcBorders>
              <w:bottom w:val="single" w:sz="4" w:space="0" w:color="auto"/>
            </w:tcBorders>
          </w:tcPr>
          <w:p w14:paraId="2D64DA16" w14:textId="77777777" w:rsidR="000638D2" w:rsidRPr="00C62447" w:rsidRDefault="000638D2" w:rsidP="000638D2">
            <w:pPr>
              <w:keepNext/>
              <w:tabs>
                <w:tab w:val="right" w:leader="dot" w:pos="9016"/>
              </w:tabs>
              <w:jc w:val="right"/>
              <w:rPr>
                <w:rFonts w:ascii="Arial Narrow" w:hAnsi="Arial Narrow"/>
                <w:b/>
                <w:noProof/>
                <w:sz w:val="18"/>
                <w:szCs w:val="18"/>
                <w:lang w:eastAsia="ja-JP"/>
              </w:rPr>
            </w:pPr>
            <w:r w:rsidRPr="00C62447">
              <w:rPr>
                <w:rFonts w:ascii="Arial Narrow" w:hAnsi="Arial Narrow"/>
                <w:b/>
                <w:noProof/>
                <w:sz w:val="18"/>
                <w:szCs w:val="18"/>
                <w:lang w:eastAsia="ja-JP"/>
              </w:rPr>
              <w:t>Mean Costs</w:t>
            </w:r>
          </w:p>
        </w:tc>
        <w:tc>
          <w:tcPr>
            <w:tcW w:w="658" w:type="pct"/>
            <w:tcBorders>
              <w:bottom w:val="single" w:sz="4" w:space="0" w:color="auto"/>
            </w:tcBorders>
          </w:tcPr>
          <w:p w14:paraId="110F58BC" w14:textId="77777777" w:rsidR="000638D2" w:rsidRPr="00C62447" w:rsidRDefault="000638D2" w:rsidP="000638D2">
            <w:pPr>
              <w:keepNext/>
              <w:tabs>
                <w:tab w:val="right" w:leader="dot" w:pos="9016"/>
              </w:tabs>
              <w:jc w:val="center"/>
              <w:rPr>
                <w:rFonts w:ascii="Arial Narrow" w:hAnsi="Arial Narrow"/>
                <w:b/>
                <w:noProof/>
                <w:sz w:val="18"/>
                <w:szCs w:val="18"/>
                <w:lang w:eastAsia="ja-JP"/>
              </w:rPr>
            </w:pPr>
            <w:r w:rsidRPr="00C62447">
              <w:rPr>
                <w:rFonts w:ascii="Arial Narrow" w:hAnsi="Arial Narrow"/>
                <w:b/>
                <w:noProof/>
                <w:sz w:val="18"/>
                <w:szCs w:val="18"/>
                <w:lang w:eastAsia="ja-JP"/>
              </w:rPr>
              <w:t>Mean QALYs</w:t>
            </w:r>
          </w:p>
        </w:tc>
        <w:tc>
          <w:tcPr>
            <w:tcW w:w="508" w:type="pct"/>
            <w:tcBorders>
              <w:bottom w:val="single" w:sz="4" w:space="0" w:color="auto"/>
            </w:tcBorders>
          </w:tcPr>
          <w:p w14:paraId="14CBD680" w14:textId="77777777" w:rsidR="000638D2" w:rsidRPr="00C62447" w:rsidRDefault="000638D2" w:rsidP="000638D2">
            <w:pPr>
              <w:keepNext/>
              <w:tabs>
                <w:tab w:val="right" w:leader="dot" w:pos="9016"/>
              </w:tabs>
              <w:jc w:val="right"/>
              <w:rPr>
                <w:rFonts w:ascii="Arial Narrow" w:hAnsi="Arial Narrow"/>
                <w:b/>
                <w:noProof/>
                <w:sz w:val="18"/>
                <w:szCs w:val="18"/>
                <w:lang w:eastAsia="ja-JP"/>
              </w:rPr>
            </w:pPr>
            <w:r w:rsidRPr="00C62447">
              <w:rPr>
                <w:rFonts w:ascii="Arial Narrow" w:hAnsi="Arial Narrow"/>
                <w:b/>
                <w:noProof/>
                <w:sz w:val="18"/>
                <w:szCs w:val="18"/>
                <w:lang w:eastAsia="ja-JP"/>
              </w:rPr>
              <w:t>Inc Costs</w:t>
            </w:r>
          </w:p>
        </w:tc>
        <w:tc>
          <w:tcPr>
            <w:tcW w:w="565" w:type="pct"/>
            <w:tcBorders>
              <w:bottom w:val="single" w:sz="4" w:space="0" w:color="auto"/>
            </w:tcBorders>
          </w:tcPr>
          <w:p w14:paraId="6AF0BACC" w14:textId="77777777" w:rsidR="000638D2" w:rsidRPr="00C62447" w:rsidRDefault="000638D2" w:rsidP="000638D2">
            <w:pPr>
              <w:keepNext/>
              <w:tabs>
                <w:tab w:val="right" w:leader="dot" w:pos="9016"/>
              </w:tabs>
              <w:jc w:val="center"/>
              <w:rPr>
                <w:rFonts w:ascii="Arial Narrow" w:hAnsi="Arial Narrow"/>
                <w:b/>
                <w:noProof/>
                <w:sz w:val="18"/>
                <w:szCs w:val="18"/>
                <w:lang w:eastAsia="ja-JP"/>
              </w:rPr>
            </w:pPr>
            <w:r w:rsidRPr="00C62447">
              <w:rPr>
                <w:rFonts w:ascii="Arial Narrow" w:hAnsi="Arial Narrow"/>
                <w:b/>
                <w:noProof/>
                <w:sz w:val="18"/>
                <w:szCs w:val="18"/>
                <w:lang w:eastAsia="ja-JP"/>
              </w:rPr>
              <w:t>Inc QALYs</w:t>
            </w:r>
          </w:p>
        </w:tc>
        <w:tc>
          <w:tcPr>
            <w:tcW w:w="450" w:type="pct"/>
            <w:tcBorders>
              <w:bottom w:val="single" w:sz="4" w:space="0" w:color="auto"/>
            </w:tcBorders>
          </w:tcPr>
          <w:p w14:paraId="303B1D32" w14:textId="77777777" w:rsidR="000638D2" w:rsidRPr="00C62447" w:rsidRDefault="000638D2" w:rsidP="000638D2">
            <w:pPr>
              <w:keepNext/>
              <w:tabs>
                <w:tab w:val="right" w:leader="dot" w:pos="9016"/>
              </w:tabs>
              <w:jc w:val="right"/>
              <w:rPr>
                <w:rFonts w:ascii="Arial Narrow" w:hAnsi="Arial Narrow"/>
                <w:b/>
                <w:noProof/>
                <w:sz w:val="18"/>
                <w:szCs w:val="18"/>
                <w:lang w:eastAsia="ja-JP"/>
              </w:rPr>
            </w:pPr>
            <w:r w:rsidRPr="00C62447">
              <w:rPr>
                <w:rFonts w:ascii="Arial Narrow" w:hAnsi="Arial Narrow"/>
                <w:b/>
                <w:noProof/>
                <w:sz w:val="18"/>
                <w:szCs w:val="18"/>
                <w:lang w:eastAsia="ja-JP"/>
              </w:rPr>
              <w:t>ICER</w:t>
            </w:r>
          </w:p>
        </w:tc>
      </w:tr>
      <w:tr w:rsidR="000638D2" w:rsidRPr="00C62447" w14:paraId="7BCF1823" w14:textId="77777777" w:rsidTr="000638D2">
        <w:trPr>
          <w:trHeight w:val="413"/>
        </w:trPr>
        <w:tc>
          <w:tcPr>
            <w:tcW w:w="1209" w:type="pct"/>
            <w:tcBorders>
              <w:bottom w:val="nil"/>
            </w:tcBorders>
          </w:tcPr>
          <w:p w14:paraId="19A1D413" w14:textId="5EF11211" w:rsidR="000638D2" w:rsidRPr="00C62447" w:rsidRDefault="00772C98" w:rsidP="000638D2">
            <w:pPr>
              <w:keepNext/>
              <w:tabs>
                <w:tab w:val="right" w:leader="dot" w:pos="9016"/>
              </w:tabs>
              <w:rPr>
                <w:rFonts w:ascii="Arial Narrow" w:hAnsi="Arial Narrow"/>
                <w:noProof/>
                <w:sz w:val="18"/>
                <w:szCs w:val="18"/>
                <w:lang w:eastAsia="ja-JP"/>
              </w:rPr>
            </w:pPr>
            <w:r>
              <w:rPr>
                <w:rFonts w:ascii="Arial Narrow" w:hAnsi="Arial Narrow"/>
                <w:noProof/>
                <w:sz w:val="18"/>
                <w:szCs w:val="18"/>
                <w:lang w:eastAsia="ja-JP"/>
              </w:rPr>
              <w:t xml:space="preserve">TE </w:t>
            </w:r>
            <w:r w:rsidR="000638D2" w:rsidRPr="00C62447">
              <w:rPr>
                <w:rFonts w:ascii="Arial Narrow" w:hAnsi="Arial Narrow"/>
                <w:noProof/>
                <w:sz w:val="18"/>
                <w:szCs w:val="18"/>
                <w:lang w:eastAsia="ja-JP"/>
              </w:rPr>
              <w:t>plus clinical assessments for diagnosis and monitoring</w:t>
            </w:r>
          </w:p>
        </w:tc>
        <w:tc>
          <w:tcPr>
            <w:tcW w:w="460" w:type="pct"/>
            <w:tcBorders>
              <w:bottom w:val="single" w:sz="4" w:space="0" w:color="auto"/>
            </w:tcBorders>
            <w:vAlign w:val="center"/>
          </w:tcPr>
          <w:p w14:paraId="7051ADE6" w14:textId="77777777" w:rsidR="000638D2" w:rsidRPr="00C62447" w:rsidRDefault="000638D2" w:rsidP="000638D2">
            <w:pPr>
              <w:keepNext/>
              <w:tabs>
                <w:tab w:val="right" w:leader="dot" w:pos="9016"/>
              </w:tabs>
              <w:rPr>
                <w:rFonts w:ascii="Arial Narrow" w:hAnsi="Arial Narrow"/>
                <w:noProof/>
                <w:sz w:val="18"/>
                <w:szCs w:val="18"/>
                <w:lang w:eastAsia="ja-JP"/>
              </w:rPr>
            </w:pPr>
            <w:r w:rsidRPr="00C62447">
              <w:rPr>
                <w:rFonts w:ascii="Arial Narrow" w:hAnsi="Arial Narrow"/>
                <w:noProof/>
                <w:sz w:val="18"/>
                <w:szCs w:val="18"/>
                <w:lang w:eastAsia="ja-JP"/>
              </w:rPr>
              <w:t xml:space="preserve">Biopsy </w:t>
            </w:r>
          </w:p>
        </w:tc>
        <w:tc>
          <w:tcPr>
            <w:tcW w:w="537" w:type="pct"/>
            <w:tcBorders>
              <w:bottom w:val="single" w:sz="4" w:space="0" w:color="auto"/>
            </w:tcBorders>
            <w:vAlign w:val="center"/>
          </w:tcPr>
          <w:p w14:paraId="088937F6" w14:textId="77777777" w:rsidR="000638D2" w:rsidRPr="00C62447" w:rsidRDefault="000638D2" w:rsidP="000638D2">
            <w:pPr>
              <w:keepNext/>
              <w:tabs>
                <w:tab w:val="right" w:leader="dot" w:pos="9016"/>
              </w:tabs>
              <w:jc w:val="center"/>
              <w:rPr>
                <w:rFonts w:ascii="Arial Narrow" w:hAnsi="Arial Narrow"/>
                <w:noProof/>
                <w:sz w:val="18"/>
                <w:szCs w:val="18"/>
                <w:lang w:eastAsia="ja-JP"/>
              </w:rPr>
            </w:pPr>
            <w:r w:rsidRPr="00C62447">
              <w:rPr>
                <w:rFonts w:ascii="Arial Narrow" w:hAnsi="Arial Narrow"/>
                <w:noProof/>
                <w:sz w:val="18"/>
                <w:szCs w:val="18"/>
                <w:lang w:eastAsia="ja-JP"/>
              </w:rPr>
              <w:t>33.68</w:t>
            </w:r>
          </w:p>
        </w:tc>
        <w:tc>
          <w:tcPr>
            <w:tcW w:w="613" w:type="pct"/>
            <w:tcBorders>
              <w:bottom w:val="single" w:sz="4" w:space="0" w:color="auto"/>
            </w:tcBorders>
            <w:vAlign w:val="center"/>
          </w:tcPr>
          <w:p w14:paraId="13347EF5" w14:textId="77777777" w:rsidR="000638D2" w:rsidRPr="00C62447" w:rsidRDefault="000638D2" w:rsidP="000638D2">
            <w:pPr>
              <w:keepNext/>
              <w:tabs>
                <w:tab w:val="right" w:leader="dot" w:pos="9016"/>
              </w:tabs>
              <w:jc w:val="right"/>
              <w:rPr>
                <w:rFonts w:ascii="Arial Narrow" w:hAnsi="Arial Narrow"/>
                <w:noProof/>
                <w:sz w:val="18"/>
                <w:szCs w:val="18"/>
                <w:lang w:eastAsia="ja-JP"/>
              </w:rPr>
            </w:pPr>
            <w:r w:rsidRPr="00C62447">
              <w:rPr>
                <w:rFonts w:ascii="Arial Narrow" w:hAnsi="Arial Narrow"/>
                <w:noProof/>
                <w:sz w:val="18"/>
                <w:szCs w:val="18"/>
                <w:lang w:eastAsia="ja-JP"/>
              </w:rPr>
              <w:t>$39,596</w:t>
            </w:r>
          </w:p>
        </w:tc>
        <w:tc>
          <w:tcPr>
            <w:tcW w:w="658" w:type="pct"/>
            <w:tcBorders>
              <w:bottom w:val="single" w:sz="4" w:space="0" w:color="auto"/>
            </w:tcBorders>
            <w:vAlign w:val="center"/>
          </w:tcPr>
          <w:p w14:paraId="5FF74562" w14:textId="77777777" w:rsidR="000638D2" w:rsidRPr="00C62447" w:rsidRDefault="000638D2" w:rsidP="000638D2">
            <w:pPr>
              <w:keepNext/>
              <w:tabs>
                <w:tab w:val="right" w:leader="dot" w:pos="9016"/>
              </w:tabs>
              <w:jc w:val="center"/>
              <w:rPr>
                <w:rFonts w:ascii="Arial Narrow" w:hAnsi="Arial Narrow"/>
                <w:noProof/>
                <w:sz w:val="18"/>
                <w:szCs w:val="18"/>
                <w:lang w:eastAsia="ja-JP"/>
              </w:rPr>
            </w:pPr>
            <w:r w:rsidRPr="00C62447">
              <w:rPr>
                <w:rFonts w:ascii="Arial Narrow" w:hAnsi="Arial Narrow"/>
                <w:noProof/>
                <w:sz w:val="18"/>
                <w:szCs w:val="18"/>
                <w:lang w:eastAsia="ja-JP"/>
              </w:rPr>
              <w:t>5.01</w:t>
            </w:r>
          </w:p>
        </w:tc>
        <w:tc>
          <w:tcPr>
            <w:tcW w:w="508" w:type="pct"/>
            <w:tcBorders>
              <w:bottom w:val="single" w:sz="4" w:space="0" w:color="auto"/>
            </w:tcBorders>
          </w:tcPr>
          <w:p w14:paraId="2C2DAC46" w14:textId="77777777" w:rsidR="000638D2" w:rsidRPr="00C62447" w:rsidRDefault="000638D2" w:rsidP="000638D2">
            <w:pPr>
              <w:keepNext/>
              <w:tabs>
                <w:tab w:val="right" w:leader="dot" w:pos="9016"/>
              </w:tabs>
              <w:jc w:val="right"/>
              <w:rPr>
                <w:rFonts w:ascii="Arial Narrow" w:hAnsi="Arial Narrow"/>
                <w:noProof/>
                <w:sz w:val="18"/>
                <w:szCs w:val="18"/>
                <w:lang w:eastAsia="ja-JP"/>
              </w:rPr>
            </w:pPr>
            <w:r w:rsidRPr="00C62447">
              <w:rPr>
                <w:rFonts w:ascii="Arial Narrow" w:hAnsi="Arial Narrow"/>
                <w:noProof/>
                <w:sz w:val="18"/>
                <w:szCs w:val="18"/>
                <w:lang w:eastAsia="ja-JP"/>
              </w:rPr>
              <w:t>-</w:t>
            </w:r>
          </w:p>
        </w:tc>
        <w:tc>
          <w:tcPr>
            <w:tcW w:w="565" w:type="pct"/>
            <w:tcBorders>
              <w:bottom w:val="single" w:sz="4" w:space="0" w:color="auto"/>
            </w:tcBorders>
          </w:tcPr>
          <w:p w14:paraId="6F36D3F1" w14:textId="77777777" w:rsidR="000638D2" w:rsidRPr="00C62447" w:rsidRDefault="000638D2" w:rsidP="000638D2">
            <w:pPr>
              <w:keepNext/>
              <w:tabs>
                <w:tab w:val="right" w:leader="dot" w:pos="9016"/>
              </w:tabs>
              <w:jc w:val="center"/>
              <w:rPr>
                <w:rFonts w:ascii="Arial Narrow" w:hAnsi="Arial Narrow"/>
                <w:noProof/>
                <w:sz w:val="18"/>
                <w:szCs w:val="18"/>
                <w:lang w:eastAsia="ja-JP"/>
              </w:rPr>
            </w:pPr>
            <w:r w:rsidRPr="00C62447">
              <w:rPr>
                <w:rFonts w:ascii="Arial Narrow" w:hAnsi="Arial Narrow"/>
                <w:noProof/>
                <w:sz w:val="18"/>
                <w:szCs w:val="18"/>
                <w:lang w:eastAsia="ja-JP"/>
              </w:rPr>
              <w:t>-</w:t>
            </w:r>
          </w:p>
        </w:tc>
        <w:tc>
          <w:tcPr>
            <w:tcW w:w="450" w:type="pct"/>
            <w:tcBorders>
              <w:bottom w:val="single" w:sz="4" w:space="0" w:color="auto"/>
            </w:tcBorders>
          </w:tcPr>
          <w:p w14:paraId="256DAE94" w14:textId="77777777" w:rsidR="000638D2" w:rsidRPr="00C62447" w:rsidRDefault="000638D2" w:rsidP="000638D2">
            <w:pPr>
              <w:keepNext/>
              <w:tabs>
                <w:tab w:val="right" w:leader="dot" w:pos="9016"/>
              </w:tabs>
              <w:jc w:val="right"/>
              <w:rPr>
                <w:rFonts w:ascii="Arial Narrow" w:hAnsi="Arial Narrow"/>
                <w:noProof/>
                <w:sz w:val="18"/>
                <w:szCs w:val="18"/>
                <w:lang w:eastAsia="ja-JP"/>
              </w:rPr>
            </w:pPr>
            <w:r w:rsidRPr="00C62447">
              <w:rPr>
                <w:rFonts w:ascii="Arial Narrow" w:hAnsi="Arial Narrow"/>
                <w:noProof/>
                <w:sz w:val="18"/>
                <w:szCs w:val="18"/>
                <w:lang w:eastAsia="ja-JP"/>
              </w:rPr>
              <w:t>-</w:t>
            </w:r>
          </w:p>
        </w:tc>
      </w:tr>
      <w:tr w:rsidR="000638D2" w:rsidRPr="00C62447" w14:paraId="18A06D81" w14:textId="77777777" w:rsidTr="000638D2">
        <w:trPr>
          <w:trHeight w:val="340"/>
        </w:trPr>
        <w:tc>
          <w:tcPr>
            <w:tcW w:w="1209" w:type="pct"/>
            <w:tcBorders>
              <w:top w:val="nil"/>
              <w:bottom w:val="nil"/>
            </w:tcBorders>
          </w:tcPr>
          <w:p w14:paraId="52DDF5A4" w14:textId="77777777" w:rsidR="000638D2" w:rsidRPr="00C62447" w:rsidRDefault="000638D2" w:rsidP="000638D2">
            <w:pPr>
              <w:keepNext/>
              <w:tabs>
                <w:tab w:val="right" w:leader="dot" w:pos="9016"/>
              </w:tabs>
              <w:rPr>
                <w:rFonts w:ascii="Arial Narrow" w:hAnsi="Arial Narrow"/>
                <w:noProof/>
                <w:sz w:val="18"/>
                <w:szCs w:val="18"/>
                <w:lang w:eastAsia="ja-JP"/>
              </w:rPr>
            </w:pPr>
            <w:r>
              <w:rPr>
                <w:rFonts w:ascii="Arial Narrow" w:hAnsi="Arial Narrow"/>
                <w:noProof/>
                <w:sz w:val="18"/>
                <w:szCs w:val="18"/>
                <w:lang w:eastAsia="ja-JP"/>
              </w:rPr>
              <w:t>-</w:t>
            </w:r>
          </w:p>
        </w:tc>
        <w:tc>
          <w:tcPr>
            <w:tcW w:w="460" w:type="pct"/>
            <w:tcBorders>
              <w:top w:val="single" w:sz="4" w:space="0" w:color="auto"/>
              <w:bottom w:val="single" w:sz="4" w:space="0" w:color="auto"/>
            </w:tcBorders>
            <w:vAlign w:val="center"/>
          </w:tcPr>
          <w:p w14:paraId="28258965" w14:textId="77777777" w:rsidR="000638D2" w:rsidRPr="00C62447" w:rsidRDefault="000638D2" w:rsidP="000638D2">
            <w:pPr>
              <w:keepNext/>
              <w:tabs>
                <w:tab w:val="right" w:leader="dot" w:pos="9016"/>
              </w:tabs>
              <w:rPr>
                <w:rFonts w:ascii="Arial Narrow" w:hAnsi="Arial Narrow"/>
                <w:b/>
                <w:noProof/>
                <w:sz w:val="18"/>
                <w:szCs w:val="18"/>
                <w:lang w:eastAsia="ja-JP"/>
              </w:rPr>
            </w:pPr>
            <w:r w:rsidRPr="00C62447">
              <w:rPr>
                <w:rFonts w:ascii="Arial Narrow" w:hAnsi="Arial Narrow"/>
                <w:b/>
                <w:noProof/>
                <w:sz w:val="18"/>
                <w:szCs w:val="18"/>
                <w:lang w:eastAsia="ja-JP"/>
              </w:rPr>
              <w:t>CA</w:t>
            </w:r>
          </w:p>
        </w:tc>
        <w:tc>
          <w:tcPr>
            <w:tcW w:w="537" w:type="pct"/>
            <w:tcBorders>
              <w:top w:val="single" w:sz="4" w:space="0" w:color="auto"/>
              <w:bottom w:val="single" w:sz="4" w:space="0" w:color="auto"/>
            </w:tcBorders>
            <w:vAlign w:val="center"/>
          </w:tcPr>
          <w:p w14:paraId="4314A1FC" w14:textId="77777777" w:rsidR="000638D2" w:rsidRPr="00C62447" w:rsidRDefault="000638D2" w:rsidP="000638D2">
            <w:pPr>
              <w:keepNext/>
              <w:tabs>
                <w:tab w:val="right" w:leader="dot" w:pos="9016"/>
              </w:tabs>
              <w:jc w:val="center"/>
              <w:rPr>
                <w:rFonts w:ascii="Arial Narrow" w:hAnsi="Arial Narrow"/>
                <w:b/>
                <w:noProof/>
                <w:sz w:val="18"/>
                <w:szCs w:val="18"/>
                <w:lang w:eastAsia="ja-JP"/>
              </w:rPr>
            </w:pPr>
            <w:r w:rsidRPr="00C62447">
              <w:rPr>
                <w:rFonts w:ascii="Arial Narrow" w:hAnsi="Arial Narrow"/>
                <w:b/>
                <w:noProof/>
                <w:sz w:val="18"/>
                <w:szCs w:val="18"/>
                <w:lang w:eastAsia="ja-JP"/>
              </w:rPr>
              <w:t>33.59</w:t>
            </w:r>
          </w:p>
        </w:tc>
        <w:tc>
          <w:tcPr>
            <w:tcW w:w="613" w:type="pct"/>
            <w:tcBorders>
              <w:top w:val="single" w:sz="4" w:space="0" w:color="auto"/>
              <w:bottom w:val="single" w:sz="4" w:space="0" w:color="auto"/>
            </w:tcBorders>
            <w:vAlign w:val="center"/>
          </w:tcPr>
          <w:p w14:paraId="09972687" w14:textId="77777777" w:rsidR="000638D2" w:rsidRPr="00C62447" w:rsidRDefault="000638D2" w:rsidP="000638D2">
            <w:pPr>
              <w:keepNext/>
              <w:tabs>
                <w:tab w:val="right" w:leader="dot" w:pos="9016"/>
              </w:tabs>
              <w:jc w:val="right"/>
              <w:rPr>
                <w:rFonts w:ascii="Arial Narrow" w:hAnsi="Arial Narrow"/>
                <w:b/>
                <w:noProof/>
                <w:sz w:val="18"/>
                <w:szCs w:val="18"/>
                <w:lang w:eastAsia="ja-JP"/>
              </w:rPr>
            </w:pPr>
            <w:r w:rsidRPr="00C62447">
              <w:rPr>
                <w:rFonts w:ascii="Arial Narrow" w:hAnsi="Arial Narrow"/>
                <w:b/>
                <w:noProof/>
                <w:sz w:val="18"/>
                <w:szCs w:val="18"/>
                <w:lang w:eastAsia="ja-JP"/>
              </w:rPr>
              <w:t>$44,187</w:t>
            </w:r>
          </w:p>
        </w:tc>
        <w:tc>
          <w:tcPr>
            <w:tcW w:w="658" w:type="pct"/>
            <w:tcBorders>
              <w:top w:val="single" w:sz="4" w:space="0" w:color="auto"/>
              <w:bottom w:val="single" w:sz="4" w:space="0" w:color="auto"/>
            </w:tcBorders>
            <w:vAlign w:val="center"/>
          </w:tcPr>
          <w:p w14:paraId="06ADC4B1" w14:textId="77777777" w:rsidR="000638D2" w:rsidRPr="00C62447" w:rsidRDefault="000638D2" w:rsidP="000638D2">
            <w:pPr>
              <w:keepNext/>
              <w:tabs>
                <w:tab w:val="right" w:leader="dot" w:pos="9016"/>
              </w:tabs>
              <w:jc w:val="center"/>
              <w:rPr>
                <w:rFonts w:ascii="Arial Narrow" w:hAnsi="Arial Narrow"/>
                <w:b/>
                <w:noProof/>
                <w:sz w:val="18"/>
                <w:szCs w:val="18"/>
                <w:lang w:eastAsia="ja-JP"/>
              </w:rPr>
            </w:pPr>
            <w:r w:rsidRPr="00C62447">
              <w:rPr>
                <w:rFonts w:ascii="Arial Narrow" w:hAnsi="Arial Narrow"/>
                <w:b/>
                <w:noProof/>
                <w:sz w:val="18"/>
                <w:szCs w:val="18"/>
                <w:lang w:eastAsia="ja-JP"/>
              </w:rPr>
              <w:t>6.37</w:t>
            </w:r>
          </w:p>
        </w:tc>
        <w:tc>
          <w:tcPr>
            <w:tcW w:w="508" w:type="pct"/>
            <w:tcBorders>
              <w:top w:val="single" w:sz="4" w:space="0" w:color="auto"/>
              <w:bottom w:val="single" w:sz="4" w:space="0" w:color="auto"/>
            </w:tcBorders>
            <w:vAlign w:val="center"/>
          </w:tcPr>
          <w:p w14:paraId="535F5DE4" w14:textId="77777777" w:rsidR="000638D2" w:rsidRPr="00C62447" w:rsidRDefault="000638D2" w:rsidP="000638D2">
            <w:pPr>
              <w:keepNext/>
              <w:tabs>
                <w:tab w:val="right" w:leader="dot" w:pos="9016"/>
              </w:tabs>
              <w:jc w:val="right"/>
              <w:rPr>
                <w:rFonts w:ascii="Arial Narrow" w:hAnsi="Arial Narrow"/>
                <w:b/>
                <w:noProof/>
                <w:sz w:val="18"/>
                <w:szCs w:val="18"/>
                <w:lang w:eastAsia="ja-JP"/>
              </w:rPr>
            </w:pPr>
            <w:r w:rsidRPr="00C62447">
              <w:rPr>
                <w:rFonts w:ascii="Arial Narrow" w:hAnsi="Arial Narrow"/>
                <w:b/>
                <w:noProof/>
                <w:sz w:val="18"/>
                <w:szCs w:val="18"/>
                <w:lang w:eastAsia="ja-JP"/>
              </w:rPr>
              <w:t>$4,594</w:t>
            </w:r>
          </w:p>
        </w:tc>
        <w:tc>
          <w:tcPr>
            <w:tcW w:w="565" w:type="pct"/>
            <w:tcBorders>
              <w:top w:val="single" w:sz="4" w:space="0" w:color="auto"/>
              <w:bottom w:val="single" w:sz="4" w:space="0" w:color="auto"/>
            </w:tcBorders>
            <w:vAlign w:val="center"/>
          </w:tcPr>
          <w:p w14:paraId="0CA1D863" w14:textId="77777777" w:rsidR="000638D2" w:rsidRPr="00C62447" w:rsidRDefault="000638D2" w:rsidP="000638D2">
            <w:pPr>
              <w:keepNext/>
              <w:tabs>
                <w:tab w:val="right" w:leader="dot" w:pos="9016"/>
              </w:tabs>
              <w:jc w:val="center"/>
              <w:rPr>
                <w:rFonts w:ascii="Arial Narrow" w:hAnsi="Arial Narrow"/>
                <w:b/>
                <w:noProof/>
                <w:sz w:val="18"/>
                <w:szCs w:val="18"/>
                <w:lang w:eastAsia="ja-JP"/>
              </w:rPr>
            </w:pPr>
            <w:r w:rsidRPr="00C62447">
              <w:rPr>
                <w:rFonts w:ascii="Arial Narrow" w:hAnsi="Arial Narrow"/>
                <w:b/>
                <w:noProof/>
                <w:sz w:val="18"/>
                <w:szCs w:val="18"/>
                <w:lang w:eastAsia="ja-JP"/>
              </w:rPr>
              <w:t>1.36</w:t>
            </w:r>
          </w:p>
        </w:tc>
        <w:tc>
          <w:tcPr>
            <w:tcW w:w="450" w:type="pct"/>
            <w:tcBorders>
              <w:top w:val="single" w:sz="4" w:space="0" w:color="auto"/>
              <w:bottom w:val="single" w:sz="4" w:space="0" w:color="auto"/>
            </w:tcBorders>
            <w:vAlign w:val="center"/>
          </w:tcPr>
          <w:p w14:paraId="37F6F84D" w14:textId="77777777" w:rsidR="000638D2" w:rsidRPr="00C62447" w:rsidRDefault="000638D2" w:rsidP="000638D2">
            <w:pPr>
              <w:keepNext/>
              <w:tabs>
                <w:tab w:val="right" w:leader="dot" w:pos="9016"/>
              </w:tabs>
              <w:jc w:val="right"/>
              <w:rPr>
                <w:rFonts w:ascii="Arial Narrow" w:hAnsi="Arial Narrow"/>
                <w:b/>
                <w:noProof/>
                <w:sz w:val="18"/>
                <w:szCs w:val="18"/>
                <w:lang w:eastAsia="ja-JP"/>
              </w:rPr>
            </w:pPr>
            <w:r w:rsidRPr="00C62447">
              <w:rPr>
                <w:rFonts w:ascii="Arial Narrow" w:hAnsi="Arial Narrow"/>
                <w:b/>
                <w:noProof/>
                <w:sz w:val="18"/>
                <w:szCs w:val="18"/>
                <w:lang w:eastAsia="ja-JP"/>
              </w:rPr>
              <w:t>$3,388</w:t>
            </w:r>
          </w:p>
        </w:tc>
      </w:tr>
      <w:tr w:rsidR="000638D2" w:rsidRPr="00C62447" w14:paraId="177D8E38" w14:textId="77777777" w:rsidTr="000638D2">
        <w:trPr>
          <w:trHeight w:val="340"/>
        </w:trPr>
        <w:tc>
          <w:tcPr>
            <w:tcW w:w="1209" w:type="pct"/>
            <w:tcBorders>
              <w:top w:val="nil"/>
              <w:bottom w:val="single" w:sz="4" w:space="0" w:color="auto"/>
            </w:tcBorders>
          </w:tcPr>
          <w:p w14:paraId="5D95A4EF" w14:textId="77777777" w:rsidR="000638D2" w:rsidRPr="00C62447" w:rsidRDefault="000638D2" w:rsidP="000638D2">
            <w:pPr>
              <w:keepNext/>
              <w:tabs>
                <w:tab w:val="right" w:leader="dot" w:pos="9016"/>
              </w:tabs>
              <w:rPr>
                <w:rFonts w:ascii="Arial Narrow" w:hAnsi="Arial Narrow"/>
                <w:noProof/>
                <w:sz w:val="18"/>
                <w:szCs w:val="18"/>
                <w:lang w:eastAsia="ja-JP"/>
              </w:rPr>
            </w:pPr>
            <w:r>
              <w:rPr>
                <w:rFonts w:ascii="Arial Narrow" w:hAnsi="Arial Narrow"/>
                <w:noProof/>
                <w:sz w:val="18"/>
                <w:szCs w:val="18"/>
                <w:lang w:eastAsia="ja-JP"/>
              </w:rPr>
              <w:t>-</w:t>
            </w:r>
          </w:p>
        </w:tc>
        <w:tc>
          <w:tcPr>
            <w:tcW w:w="460" w:type="pct"/>
            <w:tcBorders>
              <w:top w:val="single" w:sz="4" w:space="0" w:color="auto"/>
              <w:bottom w:val="single" w:sz="4" w:space="0" w:color="auto"/>
            </w:tcBorders>
            <w:vAlign w:val="center"/>
          </w:tcPr>
          <w:p w14:paraId="50E55212" w14:textId="77777777" w:rsidR="000638D2" w:rsidRPr="00C62447" w:rsidRDefault="000638D2" w:rsidP="000638D2">
            <w:pPr>
              <w:keepNext/>
              <w:tabs>
                <w:tab w:val="right" w:leader="dot" w:pos="9016"/>
              </w:tabs>
              <w:rPr>
                <w:rFonts w:ascii="Arial Narrow" w:hAnsi="Arial Narrow"/>
                <w:noProof/>
                <w:sz w:val="18"/>
                <w:szCs w:val="18"/>
                <w:lang w:eastAsia="ja-JP"/>
              </w:rPr>
            </w:pPr>
            <w:r w:rsidRPr="00C62447">
              <w:rPr>
                <w:rFonts w:ascii="Arial Narrow" w:hAnsi="Arial Narrow"/>
                <w:noProof/>
                <w:sz w:val="18"/>
                <w:szCs w:val="18"/>
                <w:lang w:eastAsia="ja-JP"/>
              </w:rPr>
              <w:t>TE+CA</w:t>
            </w:r>
          </w:p>
        </w:tc>
        <w:tc>
          <w:tcPr>
            <w:tcW w:w="537" w:type="pct"/>
            <w:tcBorders>
              <w:top w:val="single" w:sz="4" w:space="0" w:color="auto"/>
              <w:bottom w:val="single" w:sz="4" w:space="0" w:color="auto"/>
            </w:tcBorders>
            <w:vAlign w:val="center"/>
          </w:tcPr>
          <w:p w14:paraId="088A4FF0" w14:textId="77777777" w:rsidR="000638D2" w:rsidRPr="00C62447" w:rsidRDefault="000638D2" w:rsidP="000638D2">
            <w:pPr>
              <w:keepNext/>
              <w:tabs>
                <w:tab w:val="right" w:leader="dot" w:pos="9016"/>
              </w:tabs>
              <w:jc w:val="center"/>
              <w:rPr>
                <w:rFonts w:ascii="Arial Narrow" w:hAnsi="Arial Narrow"/>
                <w:noProof/>
                <w:sz w:val="18"/>
                <w:szCs w:val="18"/>
                <w:lang w:eastAsia="ja-JP"/>
              </w:rPr>
            </w:pPr>
            <w:r w:rsidRPr="00C62447">
              <w:rPr>
                <w:rFonts w:ascii="Arial Narrow" w:hAnsi="Arial Narrow"/>
                <w:noProof/>
                <w:sz w:val="18"/>
                <w:szCs w:val="18"/>
                <w:lang w:eastAsia="ja-JP"/>
              </w:rPr>
              <w:t>33.62</w:t>
            </w:r>
          </w:p>
        </w:tc>
        <w:tc>
          <w:tcPr>
            <w:tcW w:w="613" w:type="pct"/>
            <w:tcBorders>
              <w:top w:val="single" w:sz="4" w:space="0" w:color="auto"/>
              <w:bottom w:val="single" w:sz="4" w:space="0" w:color="auto"/>
            </w:tcBorders>
            <w:vAlign w:val="center"/>
          </w:tcPr>
          <w:p w14:paraId="3D296408" w14:textId="77777777" w:rsidR="000638D2" w:rsidRPr="00C62447" w:rsidRDefault="000638D2" w:rsidP="000638D2">
            <w:pPr>
              <w:keepNext/>
              <w:tabs>
                <w:tab w:val="right" w:leader="dot" w:pos="9016"/>
              </w:tabs>
              <w:jc w:val="right"/>
              <w:rPr>
                <w:rFonts w:ascii="Arial Narrow" w:hAnsi="Arial Narrow"/>
                <w:noProof/>
                <w:sz w:val="18"/>
                <w:szCs w:val="18"/>
                <w:lang w:eastAsia="ja-JP"/>
              </w:rPr>
            </w:pPr>
            <w:r w:rsidRPr="00C62447">
              <w:rPr>
                <w:rFonts w:ascii="Arial Narrow" w:hAnsi="Arial Narrow"/>
                <w:noProof/>
                <w:sz w:val="18"/>
                <w:szCs w:val="18"/>
                <w:lang w:eastAsia="ja-JP"/>
              </w:rPr>
              <w:t>$46,673</w:t>
            </w:r>
          </w:p>
        </w:tc>
        <w:tc>
          <w:tcPr>
            <w:tcW w:w="658" w:type="pct"/>
            <w:tcBorders>
              <w:top w:val="single" w:sz="4" w:space="0" w:color="auto"/>
              <w:bottom w:val="single" w:sz="4" w:space="0" w:color="auto"/>
            </w:tcBorders>
            <w:vAlign w:val="center"/>
          </w:tcPr>
          <w:p w14:paraId="77EF696F" w14:textId="77777777" w:rsidR="000638D2" w:rsidRPr="00C62447" w:rsidRDefault="000638D2" w:rsidP="000638D2">
            <w:pPr>
              <w:keepNext/>
              <w:tabs>
                <w:tab w:val="right" w:leader="dot" w:pos="9016"/>
              </w:tabs>
              <w:jc w:val="center"/>
              <w:rPr>
                <w:rFonts w:ascii="Arial Narrow" w:hAnsi="Arial Narrow"/>
                <w:noProof/>
                <w:sz w:val="18"/>
                <w:szCs w:val="18"/>
                <w:lang w:eastAsia="ja-JP"/>
              </w:rPr>
            </w:pPr>
            <w:r w:rsidRPr="00C62447">
              <w:rPr>
                <w:rFonts w:ascii="Arial Narrow" w:hAnsi="Arial Narrow"/>
                <w:noProof/>
                <w:sz w:val="18"/>
                <w:szCs w:val="18"/>
                <w:lang w:eastAsia="ja-JP"/>
              </w:rPr>
              <w:t>6.38</w:t>
            </w:r>
          </w:p>
        </w:tc>
        <w:tc>
          <w:tcPr>
            <w:tcW w:w="508" w:type="pct"/>
            <w:tcBorders>
              <w:top w:val="single" w:sz="4" w:space="0" w:color="auto"/>
              <w:bottom w:val="single" w:sz="4" w:space="0" w:color="auto"/>
            </w:tcBorders>
            <w:vAlign w:val="center"/>
          </w:tcPr>
          <w:p w14:paraId="36ACC20F" w14:textId="77777777" w:rsidR="000638D2" w:rsidRPr="00C62447" w:rsidRDefault="000638D2" w:rsidP="000638D2">
            <w:pPr>
              <w:keepNext/>
              <w:tabs>
                <w:tab w:val="right" w:leader="dot" w:pos="9016"/>
              </w:tabs>
              <w:jc w:val="right"/>
              <w:rPr>
                <w:rFonts w:ascii="Arial Narrow" w:hAnsi="Arial Narrow"/>
                <w:noProof/>
                <w:sz w:val="18"/>
                <w:szCs w:val="18"/>
                <w:lang w:eastAsia="ja-JP"/>
              </w:rPr>
            </w:pPr>
            <w:r w:rsidRPr="00C62447">
              <w:rPr>
                <w:rFonts w:ascii="Arial Narrow" w:hAnsi="Arial Narrow"/>
                <w:noProof/>
                <w:sz w:val="18"/>
                <w:szCs w:val="18"/>
                <w:lang w:eastAsia="ja-JP"/>
              </w:rPr>
              <w:t>$2,486</w:t>
            </w:r>
          </w:p>
        </w:tc>
        <w:tc>
          <w:tcPr>
            <w:tcW w:w="565" w:type="pct"/>
            <w:tcBorders>
              <w:top w:val="single" w:sz="4" w:space="0" w:color="auto"/>
              <w:bottom w:val="single" w:sz="4" w:space="0" w:color="auto"/>
            </w:tcBorders>
            <w:vAlign w:val="center"/>
          </w:tcPr>
          <w:p w14:paraId="1C9D814F" w14:textId="77777777" w:rsidR="000638D2" w:rsidRPr="00C62447" w:rsidRDefault="000638D2" w:rsidP="000638D2">
            <w:pPr>
              <w:keepNext/>
              <w:tabs>
                <w:tab w:val="right" w:leader="dot" w:pos="9016"/>
              </w:tabs>
              <w:jc w:val="center"/>
              <w:rPr>
                <w:rFonts w:ascii="Arial Narrow" w:hAnsi="Arial Narrow"/>
                <w:noProof/>
                <w:sz w:val="18"/>
                <w:szCs w:val="18"/>
                <w:lang w:eastAsia="ja-JP"/>
              </w:rPr>
            </w:pPr>
            <w:r w:rsidRPr="00C62447">
              <w:rPr>
                <w:rFonts w:ascii="Arial Narrow" w:hAnsi="Arial Narrow"/>
                <w:noProof/>
                <w:sz w:val="18"/>
                <w:szCs w:val="18"/>
                <w:lang w:eastAsia="ja-JP"/>
              </w:rPr>
              <w:t>0.01</w:t>
            </w:r>
          </w:p>
        </w:tc>
        <w:tc>
          <w:tcPr>
            <w:tcW w:w="450" w:type="pct"/>
            <w:tcBorders>
              <w:top w:val="single" w:sz="4" w:space="0" w:color="auto"/>
              <w:bottom w:val="single" w:sz="4" w:space="0" w:color="auto"/>
            </w:tcBorders>
            <w:vAlign w:val="center"/>
          </w:tcPr>
          <w:p w14:paraId="61766E97" w14:textId="77777777" w:rsidR="000638D2" w:rsidRPr="00C62447" w:rsidRDefault="000638D2" w:rsidP="000638D2">
            <w:pPr>
              <w:keepNext/>
              <w:tabs>
                <w:tab w:val="right" w:leader="dot" w:pos="9016"/>
              </w:tabs>
              <w:jc w:val="right"/>
              <w:rPr>
                <w:rFonts w:ascii="Arial Narrow" w:hAnsi="Arial Narrow"/>
                <w:noProof/>
                <w:sz w:val="18"/>
                <w:szCs w:val="18"/>
                <w:lang w:eastAsia="ja-JP"/>
              </w:rPr>
            </w:pPr>
            <w:r w:rsidRPr="00C62447">
              <w:rPr>
                <w:rFonts w:ascii="Arial Narrow" w:hAnsi="Arial Narrow"/>
                <w:noProof/>
                <w:sz w:val="18"/>
                <w:szCs w:val="18"/>
                <w:lang w:eastAsia="ja-JP"/>
              </w:rPr>
              <w:t>$226,560</w:t>
            </w:r>
          </w:p>
        </w:tc>
      </w:tr>
      <w:tr w:rsidR="000638D2" w:rsidRPr="00C62447" w14:paraId="3EFD28CB" w14:textId="77777777" w:rsidTr="000638D2">
        <w:trPr>
          <w:trHeight w:val="413"/>
        </w:trPr>
        <w:tc>
          <w:tcPr>
            <w:tcW w:w="1209" w:type="pct"/>
            <w:tcBorders>
              <w:bottom w:val="nil"/>
            </w:tcBorders>
          </w:tcPr>
          <w:p w14:paraId="46C5BB62" w14:textId="2F151BB3" w:rsidR="000638D2" w:rsidRPr="00C62447" w:rsidRDefault="00772C98" w:rsidP="000638D2">
            <w:pPr>
              <w:keepNext/>
              <w:tabs>
                <w:tab w:val="right" w:leader="dot" w:pos="9016"/>
              </w:tabs>
              <w:rPr>
                <w:rFonts w:ascii="Arial Narrow" w:hAnsi="Arial Narrow"/>
                <w:noProof/>
                <w:sz w:val="18"/>
                <w:szCs w:val="18"/>
                <w:lang w:eastAsia="ja-JP"/>
              </w:rPr>
            </w:pPr>
            <w:r>
              <w:rPr>
                <w:rFonts w:ascii="Arial Narrow" w:hAnsi="Arial Narrow"/>
                <w:noProof/>
                <w:sz w:val="18"/>
                <w:szCs w:val="18"/>
                <w:lang w:eastAsia="ja-JP"/>
              </w:rPr>
              <w:t xml:space="preserve">TE </w:t>
            </w:r>
            <w:r w:rsidR="000638D2" w:rsidRPr="00C62447">
              <w:rPr>
                <w:rFonts w:ascii="Arial Narrow" w:hAnsi="Arial Narrow"/>
                <w:noProof/>
                <w:sz w:val="18"/>
                <w:szCs w:val="18"/>
                <w:lang w:eastAsia="ja-JP"/>
              </w:rPr>
              <w:t>plus clinical assessments for diagnosis only</w:t>
            </w:r>
          </w:p>
        </w:tc>
        <w:tc>
          <w:tcPr>
            <w:tcW w:w="460" w:type="pct"/>
            <w:tcBorders>
              <w:top w:val="single" w:sz="4" w:space="0" w:color="auto"/>
              <w:bottom w:val="single" w:sz="4" w:space="0" w:color="auto"/>
            </w:tcBorders>
            <w:vAlign w:val="center"/>
          </w:tcPr>
          <w:p w14:paraId="2AB26B8E" w14:textId="77777777" w:rsidR="000638D2" w:rsidRPr="00C62447" w:rsidRDefault="000638D2" w:rsidP="000638D2">
            <w:pPr>
              <w:keepNext/>
              <w:tabs>
                <w:tab w:val="right" w:leader="dot" w:pos="9016"/>
              </w:tabs>
              <w:rPr>
                <w:rFonts w:ascii="Arial Narrow" w:hAnsi="Arial Narrow"/>
                <w:noProof/>
                <w:sz w:val="18"/>
                <w:szCs w:val="18"/>
                <w:lang w:eastAsia="ja-JP"/>
              </w:rPr>
            </w:pPr>
            <w:r w:rsidRPr="00C62447">
              <w:rPr>
                <w:rFonts w:ascii="Arial Narrow" w:hAnsi="Arial Narrow"/>
                <w:noProof/>
                <w:sz w:val="18"/>
                <w:szCs w:val="18"/>
                <w:lang w:eastAsia="ja-JP"/>
              </w:rPr>
              <w:t>CA</w:t>
            </w:r>
          </w:p>
        </w:tc>
        <w:tc>
          <w:tcPr>
            <w:tcW w:w="537" w:type="pct"/>
            <w:tcBorders>
              <w:top w:val="single" w:sz="4" w:space="0" w:color="auto"/>
              <w:bottom w:val="single" w:sz="4" w:space="0" w:color="auto"/>
            </w:tcBorders>
            <w:vAlign w:val="center"/>
          </w:tcPr>
          <w:p w14:paraId="19D4EEF8" w14:textId="77777777" w:rsidR="000638D2" w:rsidRPr="00C62447" w:rsidRDefault="000638D2" w:rsidP="000638D2">
            <w:pPr>
              <w:keepNext/>
              <w:tabs>
                <w:tab w:val="right" w:leader="dot" w:pos="9016"/>
              </w:tabs>
              <w:jc w:val="center"/>
              <w:rPr>
                <w:rFonts w:ascii="Arial Narrow" w:hAnsi="Arial Narrow"/>
                <w:noProof/>
                <w:sz w:val="18"/>
                <w:szCs w:val="18"/>
                <w:lang w:eastAsia="ja-JP"/>
              </w:rPr>
            </w:pPr>
            <w:r w:rsidRPr="00C62447">
              <w:rPr>
                <w:rFonts w:ascii="Arial Narrow" w:hAnsi="Arial Narrow"/>
                <w:noProof/>
                <w:sz w:val="18"/>
                <w:szCs w:val="18"/>
                <w:lang w:eastAsia="ja-JP"/>
              </w:rPr>
              <w:t>33.68</w:t>
            </w:r>
          </w:p>
        </w:tc>
        <w:tc>
          <w:tcPr>
            <w:tcW w:w="613" w:type="pct"/>
            <w:tcBorders>
              <w:top w:val="single" w:sz="4" w:space="0" w:color="auto"/>
              <w:bottom w:val="single" w:sz="4" w:space="0" w:color="auto"/>
            </w:tcBorders>
            <w:vAlign w:val="center"/>
          </w:tcPr>
          <w:p w14:paraId="18E06568" w14:textId="77777777" w:rsidR="000638D2" w:rsidRPr="00C62447" w:rsidRDefault="000638D2" w:rsidP="000638D2">
            <w:pPr>
              <w:keepNext/>
              <w:tabs>
                <w:tab w:val="right" w:leader="dot" w:pos="9016"/>
              </w:tabs>
              <w:jc w:val="right"/>
              <w:rPr>
                <w:rFonts w:ascii="Arial Narrow" w:hAnsi="Arial Narrow"/>
                <w:noProof/>
                <w:sz w:val="18"/>
                <w:szCs w:val="18"/>
                <w:lang w:eastAsia="ja-JP"/>
              </w:rPr>
            </w:pPr>
            <w:r w:rsidRPr="00C62447">
              <w:rPr>
                <w:rFonts w:ascii="Arial Narrow" w:hAnsi="Arial Narrow"/>
                <w:noProof/>
                <w:sz w:val="18"/>
                <w:szCs w:val="18"/>
                <w:lang w:eastAsia="ja-JP"/>
              </w:rPr>
              <w:t>$30,476</w:t>
            </w:r>
          </w:p>
        </w:tc>
        <w:tc>
          <w:tcPr>
            <w:tcW w:w="658" w:type="pct"/>
            <w:tcBorders>
              <w:top w:val="single" w:sz="4" w:space="0" w:color="auto"/>
              <w:bottom w:val="single" w:sz="4" w:space="0" w:color="auto"/>
            </w:tcBorders>
            <w:vAlign w:val="center"/>
          </w:tcPr>
          <w:p w14:paraId="739EFAEE" w14:textId="77777777" w:rsidR="000638D2" w:rsidRPr="00C62447" w:rsidRDefault="000638D2" w:rsidP="000638D2">
            <w:pPr>
              <w:keepNext/>
              <w:tabs>
                <w:tab w:val="right" w:leader="dot" w:pos="9016"/>
              </w:tabs>
              <w:jc w:val="center"/>
              <w:rPr>
                <w:rFonts w:ascii="Arial Narrow" w:hAnsi="Arial Narrow"/>
                <w:noProof/>
                <w:sz w:val="18"/>
                <w:szCs w:val="18"/>
                <w:lang w:eastAsia="ja-JP"/>
              </w:rPr>
            </w:pPr>
            <w:r w:rsidRPr="00C62447">
              <w:rPr>
                <w:rFonts w:ascii="Arial Narrow" w:hAnsi="Arial Narrow"/>
                <w:noProof/>
                <w:sz w:val="18"/>
                <w:szCs w:val="18"/>
                <w:lang w:eastAsia="ja-JP"/>
              </w:rPr>
              <w:t>6.09</w:t>
            </w:r>
          </w:p>
        </w:tc>
        <w:tc>
          <w:tcPr>
            <w:tcW w:w="508" w:type="pct"/>
            <w:tcBorders>
              <w:top w:val="single" w:sz="4" w:space="0" w:color="auto"/>
              <w:bottom w:val="single" w:sz="4" w:space="0" w:color="auto"/>
            </w:tcBorders>
            <w:vAlign w:val="center"/>
          </w:tcPr>
          <w:p w14:paraId="350D667C" w14:textId="77777777" w:rsidR="000638D2" w:rsidRPr="00C62447" w:rsidRDefault="000638D2" w:rsidP="000638D2">
            <w:pPr>
              <w:keepNext/>
              <w:tabs>
                <w:tab w:val="right" w:leader="dot" w:pos="9016"/>
              </w:tabs>
              <w:jc w:val="right"/>
              <w:rPr>
                <w:rFonts w:ascii="Arial Narrow" w:hAnsi="Arial Narrow"/>
                <w:noProof/>
                <w:sz w:val="18"/>
                <w:szCs w:val="18"/>
                <w:lang w:eastAsia="ja-JP"/>
              </w:rPr>
            </w:pPr>
            <w:r w:rsidRPr="00C62447">
              <w:rPr>
                <w:rFonts w:ascii="Arial Narrow" w:hAnsi="Arial Narrow"/>
                <w:noProof/>
                <w:sz w:val="18"/>
                <w:szCs w:val="18"/>
                <w:lang w:eastAsia="ja-JP"/>
              </w:rPr>
              <w:t>-</w:t>
            </w:r>
          </w:p>
        </w:tc>
        <w:tc>
          <w:tcPr>
            <w:tcW w:w="565" w:type="pct"/>
            <w:tcBorders>
              <w:top w:val="single" w:sz="4" w:space="0" w:color="auto"/>
              <w:bottom w:val="single" w:sz="4" w:space="0" w:color="auto"/>
            </w:tcBorders>
            <w:vAlign w:val="center"/>
          </w:tcPr>
          <w:p w14:paraId="5E217DC9" w14:textId="77777777" w:rsidR="000638D2" w:rsidRPr="00C62447" w:rsidRDefault="000638D2" w:rsidP="000638D2">
            <w:pPr>
              <w:keepNext/>
              <w:tabs>
                <w:tab w:val="right" w:leader="dot" w:pos="9016"/>
              </w:tabs>
              <w:jc w:val="center"/>
              <w:rPr>
                <w:rFonts w:ascii="Arial Narrow" w:hAnsi="Arial Narrow"/>
                <w:noProof/>
                <w:sz w:val="18"/>
                <w:szCs w:val="18"/>
                <w:lang w:eastAsia="ja-JP"/>
              </w:rPr>
            </w:pPr>
            <w:r w:rsidRPr="00C62447">
              <w:rPr>
                <w:rFonts w:ascii="Arial Narrow" w:hAnsi="Arial Narrow"/>
                <w:noProof/>
                <w:sz w:val="18"/>
                <w:szCs w:val="18"/>
                <w:lang w:eastAsia="ja-JP"/>
              </w:rPr>
              <w:t>-</w:t>
            </w:r>
          </w:p>
        </w:tc>
        <w:tc>
          <w:tcPr>
            <w:tcW w:w="450" w:type="pct"/>
            <w:tcBorders>
              <w:top w:val="single" w:sz="4" w:space="0" w:color="auto"/>
              <w:bottom w:val="single" w:sz="4" w:space="0" w:color="auto"/>
            </w:tcBorders>
            <w:vAlign w:val="center"/>
          </w:tcPr>
          <w:p w14:paraId="45E36096" w14:textId="77777777" w:rsidR="000638D2" w:rsidRPr="00C62447" w:rsidRDefault="000638D2" w:rsidP="000638D2">
            <w:pPr>
              <w:keepNext/>
              <w:tabs>
                <w:tab w:val="right" w:leader="dot" w:pos="9016"/>
              </w:tabs>
              <w:jc w:val="right"/>
              <w:rPr>
                <w:rFonts w:ascii="Arial Narrow" w:hAnsi="Arial Narrow"/>
                <w:noProof/>
                <w:sz w:val="18"/>
                <w:szCs w:val="18"/>
                <w:lang w:eastAsia="ja-JP"/>
              </w:rPr>
            </w:pPr>
            <w:r w:rsidRPr="00C62447">
              <w:rPr>
                <w:rFonts w:ascii="Arial Narrow" w:hAnsi="Arial Narrow"/>
                <w:noProof/>
                <w:sz w:val="18"/>
                <w:szCs w:val="18"/>
                <w:lang w:eastAsia="ja-JP"/>
              </w:rPr>
              <w:t>-</w:t>
            </w:r>
          </w:p>
        </w:tc>
      </w:tr>
      <w:tr w:rsidR="000638D2" w:rsidRPr="00C62447" w14:paraId="210718B6" w14:textId="77777777" w:rsidTr="000638D2">
        <w:trPr>
          <w:trHeight w:val="340"/>
        </w:trPr>
        <w:tc>
          <w:tcPr>
            <w:tcW w:w="1209" w:type="pct"/>
            <w:tcBorders>
              <w:top w:val="nil"/>
              <w:bottom w:val="nil"/>
            </w:tcBorders>
          </w:tcPr>
          <w:p w14:paraId="1112C678" w14:textId="77777777" w:rsidR="000638D2" w:rsidRPr="00C62447" w:rsidRDefault="000638D2" w:rsidP="000638D2">
            <w:pPr>
              <w:keepNext/>
              <w:tabs>
                <w:tab w:val="right" w:leader="dot" w:pos="9016"/>
              </w:tabs>
              <w:rPr>
                <w:rFonts w:ascii="Arial Narrow" w:hAnsi="Arial Narrow"/>
                <w:noProof/>
                <w:sz w:val="18"/>
                <w:szCs w:val="18"/>
                <w:lang w:eastAsia="ja-JP"/>
              </w:rPr>
            </w:pPr>
            <w:r>
              <w:rPr>
                <w:rFonts w:ascii="Arial Narrow" w:hAnsi="Arial Narrow"/>
                <w:noProof/>
                <w:sz w:val="18"/>
                <w:szCs w:val="18"/>
                <w:lang w:eastAsia="ja-JP"/>
              </w:rPr>
              <w:t>-</w:t>
            </w:r>
          </w:p>
        </w:tc>
        <w:tc>
          <w:tcPr>
            <w:tcW w:w="460" w:type="pct"/>
            <w:tcBorders>
              <w:top w:val="single" w:sz="4" w:space="0" w:color="auto"/>
              <w:bottom w:val="single" w:sz="4" w:space="0" w:color="auto"/>
            </w:tcBorders>
            <w:vAlign w:val="center"/>
          </w:tcPr>
          <w:p w14:paraId="1854B174" w14:textId="77777777" w:rsidR="000638D2" w:rsidRPr="00C62447" w:rsidRDefault="000638D2" w:rsidP="000638D2">
            <w:pPr>
              <w:keepNext/>
              <w:tabs>
                <w:tab w:val="right" w:leader="dot" w:pos="9016"/>
              </w:tabs>
              <w:rPr>
                <w:rFonts w:ascii="Arial Narrow" w:hAnsi="Arial Narrow"/>
                <w:b/>
                <w:noProof/>
                <w:sz w:val="18"/>
                <w:szCs w:val="18"/>
                <w:lang w:eastAsia="ja-JP"/>
              </w:rPr>
            </w:pPr>
            <w:r w:rsidRPr="00C62447">
              <w:rPr>
                <w:rFonts w:ascii="Arial Narrow" w:hAnsi="Arial Narrow"/>
                <w:b/>
                <w:noProof/>
                <w:sz w:val="18"/>
                <w:szCs w:val="18"/>
                <w:lang w:eastAsia="ja-JP"/>
              </w:rPr>
              <w:t>Biopsy</w:t>
            </w:r>
          </w:p>
        </w:tc>
        <w:tc>
          <w:tcPr>
            <w:tcW w:w="537" w:type="pct"/>
            <w:tcBorders>
              <w:top w:val="single" w:sz="4" w:space="0" w:color="auto"/>
              <w:bottom w:val="single" w:sz="4" w:space="0" w:color="auto"/>
            </w:tcBorders>
            <w:vAlign w:val="center"/>
          </w:tcPr>
          <w:p w14:paraId="04286A0A" w14:textId="77777777" w:rsidR="000638D2" w:rsidRPr="00C62447" w:rsidRDefault="000638D2" w:rsidP="000638D2">
            <w:pPr>
              <w:keepNext/>
              <w:tabs>
                <w:tab w:val="right" w:leader="dot" w:pos="9016"/>
              </w:tabs>
              <w:jc w:val="center"/>
              <w:rPr>
                <w:rFonts w:ascii="Arial Narrow" w:hAnsi="Arial Narrow"/>
                <w:b/>
                <w:noProof/>
                <w:sz w:val="18"/>
                <w:szCs w:val="18"/>
                <w:lang w:eastAsia="ja-JP"/>
              </w:rPr>
            </w:pPr>
            <w:r w:rsidRPr="00C62447">
              <w:rPr>
                <w:rFonts w:ascii="Arial Narrow" w:hAnsi="Arial Narrow"/>
                <w:b/>
                <w:noProof/>
                <w:sz w:val="18"/>
                <w:szCs w:val="18"/>
                <w:lang w:eastAsia="ja-JP"/>
              </w:rPr>
              <w:t>33.59</w:t>
            </w:r>
          </w:p>
        </w:tc>
        <w:tc>
          <w:tcPr>
            <w:tcW w:w="613" w:type="pct"/>
            <w:tcBorders>
              <w:top w:val="single" w:sz="4" w:space="0" w:color="auto"/>
              <w:bottom w:val="single" w:sz="4" w:space="0" w:color="auto"/>
            </w:tcBorders>
            <w:vAlign w:val="center"/>
          </w:tcPr>
          <w:p w14:paraId="1D78AC45" w14:textId="77777777" w:rsidR="000638D2" w:rsidRPr="00C62447" w:rsidRDefault="000638D2" w:rsidP="000638D2">
            <w:pPr>
              <w:keepNext/>
              <w:tabs>
                <w:tab w:val="right" w:leader="dot" w:pos="9016"/>
              </w:tabs>
              <w:jc w:val="right"/>
              <w:rPr>
                <w:rFonts w:ascii="Arial Narrow" w:hAnsi="Arial Narrow"/>
                <w:b/>
                <w:noProof/>
                <w:sz w:val="18"/>
                <w:szCs w:val="18"/>
                <w:lang w:eastAsia="ja-JP"/>
              </w:rPr>
            </w:pPr>
            <w:r w:rsidRPr="00C62447">
              <w:rPr>
                <w:rFonts w:ascii="Arial Narrow" w:hAnsi="Arial Narrow"/>
                <w:b/>
                <w:noProof/>
                <w:sz w:val="18"/>
                <w:szCs w:val="18"/>
                <w:lang w:eastAsia="ja-JP"/>
              </w:rPr>
              <w:t>$30,822</w:t>
            </w:r>
          </w:p>
        </w:tc>
        <w:tc>
          <w:tcPr>
            <w:tcW w:w="658" w:type="pct"/>
            <w:tcBorders>
              <w:top w:val="single" w:sz="4" w:space="0" w:color="auto"/>
              <w:bottom w:val="single" w:sz="4" w:space="0" w:color="auto"/>
            </w:tcBorders>
            <w:vAlign w:val="center"/>
          </w:tcPr>
          <w:p w14:paraId="3975941B" w14:textId="77777777" w:rsidR="000638D2" w:rsidRPr="00C62447" w:rsidRDefault="000638D2" w:rsidP="000638D2">
            <w:pPr>
              <w:keepNext/>
              <w:tabs>
                <w:tab w:val="right" w:leader="dot" w:pos="9016"/>
              </w:tabs>
              <w:jc w:val="center"/>
              <w:rPr>
                <w:rFonts w:ascii="Arial Narrow" w:hAnsi="Arial Narrow"/>
                <w:b/>
                <w:noProof/>
                <w:sz w:val="18"/>
                <w:szCs w:val="18"/>
                <w:lang w:eastAsia="ja-JP"/>
              </w:rPr>
            </w:pPr>
            <w:r w:rsidRPr="00C62447">
              <w:rPr>
                <w:rFonts w:ascii="Arial Narrow" w:hAnsi="Arial Narrow"/>
                <w:b/>
                <w:noProof/>
                <w:sz w:val="18"/>
                <w:szCs w:val="18"/>
                <w:lang w:eastAsia="ja-JP"/>
              </w:rPr>
              <w:t>6.10</w:t>
            </w:r>
          </w:p>
        </w:tc>
        <w:tc>
          <w:tcPr>
            <w:tcW w:w="508" w:type="pct"/>
            <w:tcBorders>
              <w:top w:val="single" w:sz="4" w:space="0" w:color="auto"/>
              <w:bottom w:val="single" w:sz="4" w:space="0" w:color="auto"/>
            </w:tcBorders>
            <w:vAlign w:val="center"/>
          </w:tcPr>
          <w:p w14:paraId="6EBF9CC2" w14:textId="77777777" w:rsidR="000638D2" w:rsidRPr="00C62447" w:rsidRDefault="000638D2" w:rsidP="000638D2">
            <w:pPr>
              <w:keepNext/>
              <w:tabs>
                <w:tab w:val="right" w:leader="dot" w:pos="9016"/>
              </w:tabs>
              <w:jc w:val="right"/>
              <w:rPr>
                <w:rFonts w:ascii="Arial Narrow" w:hAnsi="Arial Narrow"/>
                <w:b/>
                <w:noProof/>
                <w:sz w:val="18"/>
                <w:szCs w:val="18"/>
                <w:lang w:eastAsia="ja-JP"/>
              </w:rPr>
            </w:pPr>
            <w:r w:rsidRPr="00C62447">
              <w:rPr>
                <w:rFonts w:ascii="Arial Narrow" w:hAnsi="Arial Narrow"/>
                <w:b/>
                <w:noProof/>
                <w:sz w:val="18"/>
                <w:szCs w:val="18"/>
                <w:lang w:eastAsia="ja-JP"/>
              </w:rPr>
              <w:t>$346</w:t>
            </w:r>
          </w:p>
        </w:tc>
        <w:tc>
          <w:tcPr>
            <w:tcW w:w="565" w:type="pct"/>
            <w:tcBorders>
              <w:top w:val="single" w:sz="4" w:space="0" w:color="auto"/>
              <w:bottom w:val="single" w:sz="4" w:space="0" w:color="auto"/>
            </w:tcBorders>
            <w:vAlign w:val="center"/>
          </w:tcPr>
          <w:p w14:paraId="47EDAD38" w14:textId="77777777" w:rsidR="000638D2" w:rsidRPr="00C62447" w:rsidRDefault="000638D2" w:rsidP="000638D2">
            <w:pPr>
              <w:keepNext/>
              <w:tabs>
                <w:tab w:val="right" w:leader="dot" w:pos="9016"/>
              </w:tabs>
              <w:jc w:val="center"/>
              <w:rPr>
                <w:rFonts w:ascii="Arial Narrow" w:hAnsi="Arial Narrow"/>
                <w:b/>
                <w:noProof/>
                <w:sz w:val="18"/>
                <w:szCs w:val="18"/>
                <w:lang w:eastAsia="ja-JP"/>
              </w:rPr>
            </w:pPr>
            <w:r w:rsidRPr="00C62447">
              <w:rPr>
                <w:rFonts w:ascii="Arial Narrow" w:hAnsi="Arial Narrow"/>
                <w:b/>
                <w:noProof/>
                <w:sz w:val="18"/>
                <w:szCs w:val="18"/>
                <w:lang w:eastAsia="ja-JP"/>
              </w:rPr>
              <w:t>0.02</w:t>
            </w:r>
          </w:p>
        </w:tc>
        <w:tc>
          <w:tcPr>
            <w:tcW w:w="450" w:type="pct"/>
            <w:tcBorders>
              <w:top w:val="single" w:sz="4" w:space="0" w:color="auto"/>
              <w:bottom w:val="single" w:sz="4" w:space="0" w:color="auto"/>
            </w:tcBorders>
            <w:vAlign w:val="center"/>
          </w:tcPr>
          <w:p w14:paraId="041B292B" w14:textId="77777777" w:rsidR="000638D2" w:rsidRPr="00C62447" w:rsidRDefault="000638D2" w:rsidP="000638D2">
            <w:pPr>
              <w:keepNext/>
              <w:tabs>
                <w:tab w:val="right" w:leader="dot" w:pos="9016"/>
              </w:tabs>
              <w:jc w:val="right"/>
              <w:rPr>
                <w:rFonts w:ascii="Arial Narrow" w:hAnsi="Arial Narrow"/>
                <w:b/>
                <w:noProof/>
                <w:sz w:val="18"/>
                <w:szCs w:val="18"/>
                <w:lang w:eastAsia="ja-JP"/>
              </w:rPr>
            </w:pPr>
            <w:r w:rsidRPr="00C62447">
              <w:rPr>
                <w:rFonts w:ascii="Arial Narrow" w:hAnsi="Arial Narrow"/>
                <w:b/>
                <w:noProof/>
                <w:sz w:val="18"/>
                <w:szCs w:val="18"/>
                <w:lang w:eastAsia="ja-JP"/>
              </w:rPr>
              <w:t>$14,208</w:t>
            </w:r>
          </w:p>
        </w:tc>
      </w:tr>
      <w:tr w:rsidR="000638D2" w:rsidRPr="00C62447" w14:paraId="0B63A985" w14:textId="77777777" w:rsidTr="000638D2">
        <w:trPr>
          <w:trHeight w:val="340"/>
        </w:trPr>
        <w:tc>
          <w:tcPr>
            <w:tcW w:w="1209" w:type="pct"/>
            <w:tcBorders>
              <w:top w:val="nil"/>
            </w:tcBorders>
          </w:tcPr>
          <w:p w14:paraId="284BB989" w14:textId="77777777" w:rsidR="000638D2" w:rsidRPr="00C62447" w:rsidRDefault="000638D2" w:rsidP="000638D2">
            <w:pPr>
              <w:keepNext/>
              <w:tabs>
                <w:tab w:val="right" w:leader="dot" w:pos="9016"/>
              </w:tabs>
              <w:rPr>
                <w:rFonts w:ascii="Arial Narrow" w:hAnsi="Arial Narrow"/>
                <w:noProof/>
                <w:sz w:val="18"/>
                <w:szCs w:val="18"/>
                <w:lang w:eastAsia="ja-JP"/>
              </w:rPr>
            </w:pPr>
            <w:r>
              <w:rPr>
                <w:rFonts w:ascii="Arial Narrow" w:hAnsi="Arial Narrow"/>
                <w:noProof/>
                <w:sz w:val="18"/>
                <w:szCs w:val="18"/>
                <w:lang w:eastAsia="ja-JP"/>
              </w:rPr>
              <w:t>-</w:t>
            </w:r>
          </w:p>
        </w:tc>
        <w:tc>
          <w:tcPr>
            <w:tcW w:w="460" w:type="pct"/>
            <w:tcBorders>
              <w:top w:val="single" w:sz="4" w:space="0" w:color="auto"/>
            </w:tcBorders>
            <w:vAlign w:val="center"/>
          </w:tcPr>
          <w:p w14:paraId="7C19982E" w14:textId="77777777" w:rsidR="000638D2" w:rsidRPr="00C62447" w:rsidRDefault="000638D2" w:rsidP="000638D2">
            <w:pPr>
              <w:keepNext/>
              <w:tabs>
                <w:tab w:val="right" w:leader="dot" w:pos="9016"/>
              </w:tabs>
              <w:rPr>
                <w:rFonts w:ascii="Arial Narrow" w:hAnsi="Arial Narrow"/>
                <w:noProof/>
                <w:sz w:val="18"/>
                <w:szCs w:val="18"/>
                <w:lang w:eastAsia="ja-JP"/>
              </w:rPr>
            </w:pPr>
            <w:r w:rsidRPr="00C62447">
              <w:rPr>
                <w:rFonts w:ascii="Arial Narrow" w:hAnsi="Arial Narrow"/>
                <w:noProof/>
                <w:sz w:val="18"/>
                <w:szCs w:val="18"/>
                <w:lang w:eastAsia="ja-JP"/>
              </w:rPr>
              <w:t>TE+CA</w:t>
            </w:r>
          </w:p>
        </w:tc>
        <w:tc>
          <w:tcPr>
            <w:tcW w:w="537" w:type="pct"/>
            <w:tcBorders>
              <w:top w:val="single" w:sz="4" w:space="0" w:color="auto"/>
            </w:tcBorders>
            <w:vAlign w:val="center"/>
          </w:tcPr>
          <w:p w14:paraId="7CF00DA0" w14:textId="77777777" w:rsidR="000638D2" w:rsidRPr="00C62447" w:rsidRDefault="000638D2" w:rsidP="000638D2">
            <w:pPr>
              <w:keepNext/>
              <w:tabs>
                <w:tab w:val="right" w:leader="dot" w:pos="9016"/>
              </w:tabs>
              <w:jc w:val="center"/>
              <w:rPr>
                <w:rFonts w:ascii="Arial Narrow" w:hAnsi="Arial Narrow"/>
                <w:noProof/>
                <w:sz w:val="18"/>
                <w:szCs w:val="18"/>
                <w:lang w:eastAsia="ja-JP"/>
              </w:rPr>
            </w:pPr>
            <w:r w:rsidRPr="00C62447">
              <w:rPr>
                <w:rFonts w:ascii="Arial Narrow" w:hAnsi="Arial Narrow"/>
                <w:noProof/>
                <w:sz w:val="18"/>
                <w:szCs w:val="18"/>
                <w:lang w:eastAsia="ja-JP"/>
              </w:rPr>
              <w:t>33.62</w:t>
            </w:r>
          </w:p>
        </w:tc>
        <w:tc>
          <w:tcPr>
            <w:tcW w:w="613" w:type="pct"/>
            <w:tcBorders>
              <w:top w:val="single" w:sz="4" w:space="0" w:color="auto"/>
            </w:tcBorders>
            <w:vAlign w:val="center"/>
          </w:tcPr>
          <w:p w14:paraId="2047A924" w14:textId="77777777" w:rsidR="000638D2" w:rsidRPr="00C62447" w:rsidRDefault="000638D2" w:rsidP="000638D2">
            <w:pPr>
              <w:keepNext/>
              <w:tabs>
                <w:tab w:val="right" w:leader="dot" w:pos="9016"/>
              </w:tabs>
              <w:jc w:val="right"/>
              <w:rPr>
                <w:rFonts w:ascii="Arial Narrow" w:hAnsi="Arial Narrow"/>
                <w:noProof/>
                <w:sz w:val="18"/>
                <w:szCs w:val="18"/>
                <w:lang w:eastAsia="ja-JP"/>
              </w:rPr>
            </w:pPr>
            <w:r w:rsidRPr="00C62447">
              <w:rPr>
                <w:rFonts w:ascii="Arial Narrow" w:hAnsi="Arial Narrow"/>
                <w:noProof/>
                <w:sz w:val="18"/>
                <w:szCs w:val="18"/>
                <w:lang w:eastAsia="ja-JP"/>
              </w:rPr>
              <w:t>$34,784</w:t>
            </w:r>
          </w:p>
        </w:tc>
        <w:tc>
          <w:tcPr>
            <w:tcW w:w="658" w:type="pct"/>
            <w:tcBorders>
              <w:top w:val="single" w:sz="4" w:space="0" w:color="auto"/>
            </w:tcBorders>
            <w:vAlign w:val="center"/>
          </w:tcPr>
          <w:p w14:paraId="783080D9" w14:textId="77777777" w:rsidR="000638D2" w:rsidRPr="00C62447" w:rsidRDefault="000638D2" w:rsidP="000638D2">
            <w:pPr>
              <w:keepNext/>
              <w:tabs>
                <w:tab w:val="right" w:leader="dot" w:pos="9016"/>
              </w:tabs>
              <w:jc w:val="center"/>
              <w:rPr>
                <w:rFonts w:ascii="Arial Narrow" w:hAnsi="Arial Narrow"/>
                <w:noProof/>
                <w:sz w:val="18"/>
                <w:szCs w:val="18"/>
                <w:lang w:eastAsia="ja-JP"/>
              </w:rPr>
            </w:pPr>
            <w:r w:rsidRPr="00C62447">
              <w:rPr>
                <w:rFonts w:ascii="Arial Narrow" w:hAnsi="Arial Narrow"/>
                <w:noProof/>
                <w:sz w:val="18"/>
                <w:szCs w:val="18"/>
                <w:lang w:eastAsia="ja-JP"/>
              </w:rPr>
              <w:t>6.15</w:t>
            </w:r>
          </w:p>
        </w:tc>
        <w:tc>
          <w:tcPr>
            <w:tcW w:w="508" w:type="pct"/>
            <w:tcBorders>
              <w:top w:val="single" w:sz="4" w:space="0" w:color="auto"/>
            </w:tcBorders>
            <w:vAlign w:val="center"/>
          </w:tcPr>
          <w:p w14:paraId="77CBFC90" w14:textId="77777777" w:rsidR="000638D2" w:rsidRPr="00C62447" w:rsidRDefault="000638D2" w:rsidP="000638D2">
            <w:pPr>
              <w:keepNext/>
              <w:tabs>
                <w:tab w:val="right" w:leader="dot" w:pos="9016"/>
              </w:tabs>
              <w:jc w:val="right"/>
              <w:rPr>
                <w:rFonts w:ascii="Arial Narrow" w:hAnsi="Arial Narrow"/>
                <w:noProof/>
                <w:sz w:val="18"/>
                <w:szCs w:val="18"/>
                <w:lang w:eastAsia="ja-JP"/>
              </w:rPr>
            </w:pPr>
            <w:r w:rsidRPr="00C62447">
              <w:rPr>
                <w:rFonts w:ascii="Arial Narrow" w:hAnsi="Arial Narrow"/>
                <w:noProof/>
                <w:sz w:val="18"/>
                <w:szCs w:val="18"/>
                <w:lang w:eastAsia="ja-JP"/>
              </w:rPr>
              <w:t>$3,962</w:t>
            </w:r>
          </w:p>
        </w:tc>
        <w:tc>
          <w:tcPr>
            <w:tcW w:w="565" w:type="pct"/>
            <w:tcBorders>
              <w:top w:val="single" w:sz="4" w:space="0" w:color="auto"/>
            </w:tcBorders>
            <w:vAlign w:val="center"/>
          </w:tcPr>
          <w:p w14:paraId="67A52AB4" w14:textId="77777777" w:rsidR="000638D2" w:rsidRPr="00C62447" w:rsidRDefault="000638D2" w:rsidP="000638D2">
            <w:pPr>
              <w:keepNext/>
              <w:tabs>
                <w:tab w:val="right" w:leader="dot" w:pos="9016"/>
              </w:tabs>
              <w:jc w:val="center"/>
              <w:rPr>
                <w:rFonts w:ascii="Arial Narrow" w:hAnsi="Arial Narrow"/>
                <w:noProof/>
                <w:sz w:val="18"/>
                <w:szCs w:val="18"/>
                <w:lang w:eastAsia="ja-JP"/>
              </w:rPr>
            </w:pPr>
            <w:r w:rsidRPr="00C62447">
              <w:rPr>
                <w:rFonts w:ascii="Arial Narrow" w:hAnsi="Arial Narrow"/>
                <w:noProof/>
                <w:sz w:val="18"/>
                <w:szCs w:val="18"/>
                <w:lang w:eastAsia="ja-JP"/>
              </w:rPr>
              <w:t>0.04</w:t>
            </w:r>
          </w:p>
        </w:tc>
        <w:tc>
          <w:tcPr>
            <w:tcW w:w="450" w:type="pct"/>
            <w:tcBorders>
              <w:top w:val="single" w:sz="4" w:space="0" w:color="auto"/>
            </w:tcBorders>
            <w:vAlign w:val="center"/>
          </w:tcPr>
          <w:p w14:paraId="4664281D" w14:textId="77777777" w:rsidR="000638D2" w:rsidRPr="00C62447" w:rsidRDefault="000638D2" w:rsidP="000638D2">
            <w:pPr>
              <w:keepNext/>
              <w:tabs>
                <w:tab w:val="right" w:leader="dot" w:pos="9016"/>
              </w:tabs>
              <w:jc w:val="right"/>
              <w:rPr>
                <w:rFonts w:ascii="Arial Narrow" w:hAnsi="Arial Narrow"/>
                <w:noProof/>
                <w:sz w:val="18"/>
                <w:szCs w:val="18"/>
                <w:lang w:eastAsia="ja-JP"/>
              </w:rPr>
            </w:pPr>
            <w:r w:rsidRPr="00C62447">
              <w:rPr>
                <w:rFonts w:ascii="Arial Narrow" w:hAnsi="Arial Narrow"/>
                <w:noProof/>
                <w:sz w:val="18"/>
                <w:szCs w:val="18"/>
                <w:lang w:eastAsia="ja-JP"/>
              </w:rPr>
              <w:t>$112,992</w:t>
            </w:r>
          </w:p>
        </w:tc>
      </w:tr>
    </w:tbl>
    <w:p w14:paraId="096B03A6" w14:textId="77777777" w:rsidR="000638D2" w:rsidRPr="00E316A9" w:rsidRDefault="000638D2" w:rsidP="000638D2">
      <w:pPr>
        <w:rPr>
          <w:rFonts w:ascii="Arial Narrow" w:hAnsi="Arial Narrow"/>
          <w:sz w:val="16"/>
          <w:szCs w:val="16"/>
        </w:rPr>
      </w:pPr>
      <w:r w:rsidRPr="00E316A9">
        <w:rPr>
          <w:rFonts w:ascii="Arial Narrow" w:hAnsi="Arial Narrow"/>
          <w:sz w:val="16"/>
          <w:szCs w:val="16"/>
        </w:rPr>
        <w:t xml:space="preserve">TE = transient </w:t>
      </w:r>
      <w:proofErr w:type="spellStart"/>
      <w:r w:rsidRPr="00E316A9">
        <w:rPr>
          <w:rFonts w:ascii="Arial Narrow" w:hAnsi="Arial Narrow"/>
          <w:sz w:val="16"/>
          <w:szCs w:val="16"/>
        </w:rPr>
        <w:t>elastography</w:t>
      </w:r>
      <w:proofErr w:type="spellEnd"/>
      <w:r>
        <w:rPr>
          <w:rFonts w:ascii="Arial Narrow" w:hAnsi="Arial Narrow"/>
          <w:sz w:val="16"/>
          <w:szCs w:val="16"/>
        </w:rPr>
        <w:t>;</w:t>
      </w:r>
      <w:r w:rsidRPr="00E316A9">
        <w:rPr>
          <w:rFonts w:ascii="Arial Narrow" w:hAnsi="Arial Narrow"/>
          <w:sz w:val="16"/>
          <w:szCs w:val="16"/>
        </w:rPr>
        <w:t xml:space="preserve"> CA = clinical assessment; </w:t>
      </w:r>
      <w:proofErr w:type="spellStart"/>
      <w:r w:rsidRPr="00E316A9">
        <w:rPr>
          <w:rFonts w:ascii="Arial Narrow" w:hAnsi="Arial Narrow"/>
          <w:sz w:val="16"/>
          <w:szCs w:val="16"/>
        </w:rPr>
        <w:t>Inc</w:t>
      </w:r>
      <w:proofErr w:type="spellEnd"/>
      <w:r w:rsidRPr="00E316A9">
        <w:rPr>
          <w:rFonts w:ascii="Arial Narrow" w:hAnsi="Arial Narrow"/>
          <w:sz w:val="16"/>
          <w:szCs w:val="16"/>
        </w:rPr>
        <w:t xml:space="preserve"> = incremental; ICER = incremental cost-effectiveness ratio; QALY = quality-adjusted life</w:t>
      </w:r>
      <w:r>
        <w:rPr>
          <w:rFonts w:ascii="Arial Narrow" w:hAnsi="Arial Narrow"/>
          <w:sz w:val="16"/>
          <w:szCs w:val="16"/>
        </w:rPr>
        <w:t xml:space="preserve"> </w:t>
      </w:r>
      <w:r w:rsidRPr="00E316A9">
        <w:rPr>
          <w:rFonts w:ascii="Arial Narrow" w:hAnsi="Arial Narrow"/>
          <w:sz w:val="16"/>
          <w:szCs w:val="16"/>
        </w:rPr>
        <w:t>year; LY = life years</w:t>
      </w:r>
    </w:p>
    <w:p w14:paraId="6977B0D9" w14:textId="77777777" w:rsidR="000638D2" w:rsidRPr="00E316A9" w:rsidRDefault="000638D2" w:rsidP="000638D2">
      <w:pPr>
        <w:rPr>
          <w:rFonts w:ascii="Arial Narrow" w:hAnsi="Arial Narrow"/>
          <w:sz w:val="16"/>
          <w:szCs w:val="16"/>
        </w:rPr>
      </w:pPr>
      <w:proofErr w:type="gramStart"/>
      <w:r w:rsidRPr="00E316A9">
        <w:rPr>
          <w:rFonts w:ascii="Arial Narrow" w:hAnsi="Arial Narrow"/>
          <w:sz w:val="16"/>
          <w:szCs w:val="16"/>
          <w:vertAlign w:val="superscript"/>
        </w:rPr>
        <w:t>a</w:t>
      </w:r>
      <w:proofErr w:type="gramEnd"/>
      <w:r w:rsidRPr="00E316A9">
        <w:rPr>
          <w:rFonts w:ascii="Arial Narrow" w:hAnsi="Arial Narrow"/>
          <w:sz w:val="16"/>
          <w:szCs w:val="16"/>
        </w:rPr>
        <w:t xml:space="preserve"> Undiscounted</w:t>
      </w:r>
    </w:p>
    <w:p w14:paraId="2FC861DB" w14:textId="77777777" w:rsidR="000638D2" w:rsidRPr="00E316A9" w:rsidRDefault="000638D2" w:rsidP="000638D2">
      <w:pPr>
        <w:rPr>
          <w:rFonts w:ascii="Arial Narrow" w:hAnsi="Arial Narrow"/>
          <w:sz w:val="20"/>
        </w:rPr>
      </w:pPr>
      <w:r w:rsidRPr="00E316A9">
        <w:rPr>
          <w:rFonts w:ascii="Arial Narrow" w:hAnsi="Arial Narrow"/>
          <w:b/>
          <w:sz w:val="16"/>
          <w:szCs w:val="16"/>
        </w:rPr>
        <w:t>Bold</w:t>
      </w:r>
      <w:r w:rsidRPr="00E316A9">
        <w:rPr>
          <w:rFonts w:ascii="Arial Narrow" w:hAnsi="Arial Narrow"/>
          <w:sz w:val="16"/>
          <w:szCs w:val="16"/>
        </w:rPr>
        <w:t xml:space="preserve"> = the cost-effective option of the three options.</w:t>
      </w:r>
    </w:p>
    <w:p w14:paraId="355ECD0D" w14:textId="77777777" w:rsidR="000638D2" w:rsidRDefault="000638D2" w:rsidP="000638D2">
      <w:pPr>
        <w:tabs>
          <w:tab w:val="left" w:pos="567"/>
          <w:tab w:val="num" w:pos="851"/>
        </w:tabs>
        <w:rPr>
          <w:rFonts w:ascii="Garamond" w:hAnsi="Garamond"/>
        </w:rPr>
      </w:pPr>
    </w:p>
    <w:p w14:paraId="10ED31EF" w14:textId="78D5DA73" w:rsidR="000638D2" w:rsidRPr="0065371A" w:rsidRDefault="000638D2" w:rsidP="00FC111C">
      <w:r w:rsidRPr="0065371A">
        <w:t>For patients with chronic hepat</w:t>
      </w:r>
      <w:r w:rsidR="001E4A20">
        <w:t>itis C, the economic model estimated</w:t>
      </w:r>
      <w:r w:rsidRPr="0065371A">
        <w:t xml:space="preserve"> that patients would live for an average of approximately 34 years irrespective of annual monitoring. TE plus clinical assessment for the initial diagnosis and annual monitoring of liver stiffness would incur an average cost of $46,637 and gain 6.38 QALYs compared with $44,187 and 6.37 QALYs for clinical assessment alone resulting in an ICER of $226,560 per QALY gained. TE plus clinical assessment </w:t>
      </w:r>
      <w:r w:rsidR="001E4A20">
        <w:t>wa</w:t>
      </w:r>
      <w:r w:rsidRPr="0065371A">
        <w:t>s not cost effective compared to clinical assessment alone.</w:t>
      </w:r>
    </w:p>
    <w:p w14:paraId="76A158DD" w14:textId="77777777" w:rsidR="000638D2" w:rsidRDefault="000638D2" w:rsidP="000638D2">
      <w:pPr>
        <w:jc w:val="both"/>
        <w:rPr>
          <w:rFonts w:ascii="Garamond" w:hAnsi="Garamond"/>
        </w:rPr>
      </w:pPr>
    </w:p>
    <w:p w14:paraId="26DB1B96" w14:textId="73447FCD" w:rsidR="000638D2" w:rsidRDefault="000638D2" w:rsidP="000638D2">
      <w:pPr>
        <w:pStyle w:val="TableName"/>
        <w:ind w:left="0" w:firstLine="0"/>
      </w:pPr>
      <w:bookmarkStart w:id="2" w:name="_Toc436297201"/>
      <w:r w:rsidRPr="00E316A9">
        <w:t xml:space="preserve">Table </w:t>
      </w:r>
      <w:r w:rsidR="003B5BD1">
        <w:t>3</w:t>
      </w:r>
      <w:r w:rsidRPr="00E316A9">
        <w:t>: Key results of hepatitis B economic evaluation</w:t>
      </w:r>
      <w:bookmarkEnd w:id="2"/>
    </w:p>
    <w:tbl>
      <w:tblPr>
        <w:tblStyle w:val="TableGrid"/>
        <w:tblW w:w="5000" w:type="pct"/>
        <w:tblLook w:val="04A0" w:firstRow="1" w:lastRow="0" w:firstColumn="1" w:lastColumn="0" w:noHBand="0" w:noVBand="1"/>
        <w:tblCaption w:val="Key results of hepatitis B economic evaluation"/>
        <w:tblDescription w:val="Text below this table explains the results of this table."/>
      </w:tblPr>
      <w:tblGrid>
        <w:gridCol w:w="2259"/>
        <w:gridCol w:w="850"/>
        <w:gridCol w:w="850"/>
        <w:gridCol w:w="1135"/>
        <w:gridCol w:w="1196"/>
        <w:gridCol w:w="941"/>
        <w:gridCol w:w="1081"/>
        <w:gridCol w:w="930"/>
      </w:tblGrid>
      <w:tr w:rsidR="000638D2" w:rsidRPr="00C62447" w14:paraId="08C33623" w14:textId="77777777" w:rsidTr="000638D2">
        <w:trPr>
          <w:tblHeader/>
        </w:trPr>
        <w:tc>
          <w:tcPr>
            <w:tcW w:w="1222" w:type="pct"/>
            <w:tcBorders>
              <w:bottom w:val="single" w:sz="4" w:space="0" w:color="auto"/>
            </w:tcBorders>
          </w:tcPr>
          <w:p w14:paraId="3EBE025D" w14:textId="77777777" w:rsidR="000638D2" w:rsidRPr="00C62447" w:rsidRDefault="000638D2" w:rsidP="000638D2">
            <w:pPr>
              <w:keepNext/>
              <w:keepLines/>
              <w:tabs>
                <w:tab w:val="right" w:leader="dot" w:pos="9016"/>
              </w:tabs>
              <w:spacing w:before="40" w:after="40"/>
              <w:rPr>
                <w:rFonts w:ascii="Arial Narrow" w:hAnsi="Arial Narrow"/>
                <w:b/>
                <w:noProof/>
                <w:sz w:val="18"/>
                <w:szCs w:val="18"/>
                <w:lang w:eastAsia="ja-JP"/>
              </w:rPr>
            </w:pPr>
            <w:r w:rsidRPr="00C62447">
              <w:rPr>
                <w:rFonts w:ascii="Arial Narrow" w:hAnsi="Arial Narrow"/>
                <w:b/>
                <w:noProof/>
                <w:sz w:val="18"/>
                <w:szCs w:val="18"/>
                <w:lang w:eastAsia="ja-JP"/>
              </w:rPr>
              <w:t xml:space="preserve">Scenario </w:t>
            </w:r>
          </w:p>
        </w:tc>
        <w:tc>
          <w:tcPr>
            <w:tcW w:w="460" w:type="pct"/>
          </w:tcPr>
          <w:p w14:paraId="1A6D7E75" w14:textId="77777777" w:rsidR="000638D2" w:rsidRPr="00C62447" w:rsidRDefault="000638D2" w:rsidP="000638D2">
            <w:pPr>
              <w:keepNext/>
              <w:keepLines/>
              <w:tabs>
                <w:tab w:val="right" w:leader="dot" w:pos="9016"/>
              </w:tabs>
              <w:spacing w:before="40" w:after="40"/>
              <w:jc w:val="center"/>
              <w:rPr>
                <w:rFonts w:ascii="Arial Narrow" w:hAnsi="Arial Narrow"/>
                <w:b/>
                <w:noProof/>
                <w:sz w:val="18"/>
                <w:szCs w:val="18"/>
                <w:lang w:eastAsia="ja-JP"/>
              </w:rPr>
            </w:pPr>
            <w:r w:rsidRPr="00C62447">
              <w:rPr>
                <w:rFonts w:ascii="Arial Narrow" w:hAnsi="Arial Narrow"/>
                <w:b/>
                <w:noProof/>
                <w:sz w:val="18"/>
                <w:szCs w:val="18"/>
                <w:lang w:eastAsia="ja-JP"/>
              </w:rPr>
              <w:t>Test</w:t>
            </w:r>
          </w:p>
        </w:tc>
        <w:tc>
          <w:tcPr>
            <w:tcW w:w="460" w:type="pct"/>
          </w:tcPr>
          <w:p w14:paraId="75990BB8" w14:textId="77777777" w:rsidR="000638D2" w:rsidRPr="00C62447" w:rsidRDefault="000638D2" w:rsidP="000638D2">
            <w:pPr>
              <w:keepNext/>
              <w:keepLines/>
              <w:tabs>
                <w:tab w:val="right" w:leader="dot" w:pos="9016"/>
              </w:tabs>
              <w:spacing w:before="40" w:after="40"/>
              <w:rPr>
                <w:rFonts w:ascii="Arial Narrow" w:hAnsi="Arial Narrow"/>
                <w:b/>
                <w:noProof/>
                <w:sz w:val="18"/>
                <w:szCs w:val="18"/>
                <w:lang w:eastAsia="ja-JP"/>
              </w:rPr>
            </w:pPr>
            <w:r w:rsidRPr="00C62447">
              <w:rPr>
                <w:rFonts w:ascii="Arial Narrow" w:hAnsi="Arial Narrow"/>
                <w:b/>
                <w:noProof/>
                <w:sz w:val="18"/>
                <w:szCs w:val="18"/>
                <w:lang w:eastAsia="ja-JP"/>
              </w:rPr>
              <w:t>Mean LY</w:t>
            </w:r>
          </w:p>
        </w:tc>
        <w:tc>
          <w:tcPr>
            <w:tcW w:w="614" w:type="pct"/>
          </w:tcPr>
          <w:p w14:paraId="0B637B0C" w14:textId="77777777" w:rsidR="000638D2" w:rsidRPr="00C62447" w:rsidRDefault="000638D2" w:rsidP="000638D2">
            <w:pPr>
              <w:keepNext/>
              <w:keepLines/>
              <w:tabs>
                <w:tab w:val="right" w:leader="dot" w:pos="9016"/>
              </w:tabs>
              <w:spacing w:before="40" w:after="40"/>
              <w:jc w:val="right"/>
              <w:rPr>
                <w:rFonts w:ascii="Arial Narrow" w:hAnsi="Arial Narrow"/>
                <w:b/>
                <w:noProof/>
                <w:sz w:val="18"/>
                <w:szCs w:val="18"/>
                <w:lang w:eastAsia="ja-JP"/>
              </w:rPr>
            </w:pPr>
            <w:r w:rsidRPr="00C62447">
              <w:rPr>
                <w:rFonts w:ascii="Arial Narrow" w:hAnsi="Arial Narrow"/>
                <w:b/>
                <w:noProof/>
                <w:sz w:val="18"/>
                <w:szCs w:val="18"/>
                <w:lang w:eastAsia="ja-JP"/>
              </w:rPr>
              <w:t>Mean Costs</w:t>
            </w:r>
          </w:p>
        </w:tc>
        <w:tc>
          <w:tcPr>
            <w:tcW w:w="647" w:type="pct"/>
          </w:tcPr>
          <w:p w14:paraId="02742FBD" w14:textId="77777777" w:rsidR="000638D2" w:rsidRPr="00C62447" w:rsidRDefault="000638D2" w:rsidP="000638D2">
            <w:pPr>
              <w:keepNext/>
              <w:keepLines/>
              <w:tabs>
                <w:tab w:val="right" w:leader="dot" w:pos="9016"/>
              </w:tabs>
              <w:spacing w:before="40" w:after="40"/>
              <w:rPr>
                <w:rFonts w:ascii="Arial Narrow" w:hAnsi="Arial Narrow"/>
                <w:b/>
                <w:noProof/>
                <w:sz w:val="18"/>
                <w:szCs w:val="18"/>
                <w:lang w:eastAsia="ja-JP"/>
              </w:rPr>
            </w:pPr>
            <w:r w:rsidRPr="00C62447">
              <w:rPr>
                <w:rFonts w:ascii="Arial Narrow" w:hAnsi="Arial Narrow"/>
                <w:b/>
                <w:noProof/>
                <w:sz w:val="18"/>
                <w:szCs w:val="18"/>
                <w:lang w:eastAsia="ja-JP"/>
              </w:rPr>
              <w:t>Mean QALYs</w:t>
            </w:r>
          </w:p>
        </w:tc>
        <w:tc>
          <w:tcPr>
            <w:tcW w:w="509" w:type="pct"/>
          </w:tcPr>
          <w:p w14:paraId="3E5817DD" w14:textId="77777777" w:rsidR="000638D2" w:rsidRPr="00C62447" w:rsidRDefault="000638D2" w:rsidP="000638D2">
            <w:pPr>
              <w:keepNext/>
              <w:keepLines/>
              <w:tabs>
                <w:tab w:val="right" w:leader="dot" w:pos="9016"/>
              </w:tabs>
              <w:spacing w:before="40" w:after="40"/>
              <w:jc w:val="right"/>
              <w:rPr>
                <w:rFonts w:ascii="Arial Narrow" w:hAnsi="Arial Narrow"/>
                <w:b/>
                <w:noProof/>
                <w:sz w:val="18"/>
                <w:szCs w:val="18"/>
                <w:lang w:eastAsia="ja-JP"/>
              </w:rPr>
            </w:pPr>
            <w:r w:rsidRPr="00C62447">
              <w:rPr>
                <w:rFonts w:ascii="Arial Narrow" w:hAnsi="Arial Narrow"/>
                <w:b/>
                <w:noProof/>
                <w:sz w:val="18"/>
                <w:szCs w:val="18"/>
                <w:lang w:eastAsia="ja-JP"/>
              </w:rPr>
              <w:t>Inc Costs</w:t>
            </w:r>
          </w:p>
        </w:tc>
        <w:tc>
          <w:tcPr>
            <w:tcW w:w="585" w:type="pct"/>
          </w:tcPr>
          <w:p w14:paraId="54984796" w14:textId="77777777" w:rsidR="000638D2" w:rsidRPr="00C62447" w:rsidRDefault="000638D2" w:rsidP="000638D2">
            <w:pPr>
              <w:keepNext/>
              <w:keepLines/>
              <w:tabs>
                <w:tab w:val="right" w:leader="dot" w:pos="9016"/>
              </w:tabs>
              <w:spacing w:before="40" w:after="40"/>
              <w:rPr>
                <w:rFonts w:ascii="Arial Narrow" w:hAnsi="Arial Narrow"/>
                <w:b/>
                <w:noProof/>
                <w:sz w:val="18"/>
                <w:szCs w:val="18"/>
                <w:lang w:eastAsia="ja-JP"/>
              </w:rPr>
            </w:pPr>
            <w:r w:rsidRPr="00C62447">
              <w:rPr>
                <w:rFonts w:ascii="Arial Narrow" w:hAnsi="Arial Narrow"/>
                <w:b/>
                <w:noProof/>
                <w:sz w:val="18"/>
                <w:szCs w:val="18"/>
                <w:lang w:eastAsia="ja-JP"/>
              </w:rPr>
              <w:t>Inc QALYs</w:t>
            </w:r>
          </w:p>
        </w:tc>
        <w:tc>
          <w:tcPr>
            <w:tcW w:w="503" w:type="pct"/>
            <w:vAlign w:val="bottom"/>
          </w:tcPr>
          <w:p w14:paraId="70FF2F37" w14:textId="77777777" w:rsidR="000638D2" w:rsidRPr="00C62447" w:rsidRDefault="000638D2" w:rsidP="000638D2">
            <w:pPr>
              <w:keepNext/>
              <w:keepLines/>
              <w:tabs>
                <w:tab w:val="right" w:leader="dot" w:pos="9016"/>
              </w:tabs>
              <w:spacing w:before="40" w:after="40"/>
              <w:jc w:val="right"/>
              <w:rPr>
                <w:rFonts w:ascii="Arial Narrow" w:hAnsi="Arial Narrow"/>
                <w:b/>
                <w:noProof/>
                <w:sz w:val="18"/>
                <w:szCs w:val="18"/>
                <w:lang w:eastAsia="ja-JP"/>
              </w:rPr>
            </w:pPr>
            <w:r w:rsidRPr="00C62447">
              <w:rPr>
                <w:rFonts w:ascii="Arial Narrow" w:hAnsi="Arial Narrow"/>
                <w:b/>
                <w:noProof/>
                <w:sz w:val="18"/>
                <w:szCs w:val="18"/>
                <w:lang w:eastAsia="ja-JP"/>
              </w:rPr>
              <w:t>ICER</w:t>
            </w:r>
          </w:p>
        </w:tc>
      </w:tr>
      <w:tr w:rsidR="000638D2" w:rsidRPr="00C62447" w14:paraId="41492861" w14:textId="77777777" w:rsidTr="000638D2">
        <w:trPr>
          <w:trHeight w:val="139"/>
        </w:trPr>
        <w:tc>
          <w:tcPr>
            <w:tcW w:w="1222" w:type="pct"/>
            <w:tcBorders>
              <w:bottom w:val="nil"/>
            </w:tcBorders>
          </w:tcPr>
          <w:p w14:paraId="44009895" w14:textId="0CF72CF4" w:rsidR="000638D2" w:rsidRPr="00C62447" w:rsidRDefault="00772C98" w:rsidP="000638D2">
            <w:pPr>
              <w:keepNext/>
              <w:keepLines/>
              <w:tabs>
                <w:tab w:val="right" w:leader="dot" w:pos="9016"/>
              </w:tabs>
              <w:spacing w:before="40" w:after="40"/>
              <w:rPr>
                <w:rFonts w:ascii="Arial Narrow" w:hAnsi="Arial Narrow"/>
                <w:noProof/>
                <w:sz w:val="18"/>
                <w:szCs w:val="18"/>
                <w:lang w:eastAsia="ja-JP"/>
              </w:rPr>
            </w:pPr>
            <w:r>
              <w:rPr>
                <w:rFonts w:ascii="Arial Narrow" w:hAnsi="Arial Narrow"/>
                <w:noProof/>
                <w:sz w:val="18"/>
                <w:szCs w:val="18"/>
                <w:lang w:eastAsia="ja-JP"/>
              </w:rPr>
              <w:t xml:space="preserve">TE </w:t>
            </w:r>
            <w:r w:rsidR="000638D2" w:rsidRPr="00C62447">
              <w:rPr>
                <w:rFonts w:ascii="Arial Narrow" w:hAnsi="Arial Narrow"/>
                <w:noProof/>
                <w:sz w:val="18"/>
                <w:szCs w:val="18"/>
                <w:lang w:eastAsia="ja-JP"/>
              </w:rPr>
              <w:t>plus clinical assessments for diagnosis and monitoring</w:t>
            </w:r>
          </w:p>
        </w:tc>
        <w:tc>
          <w:tcPr>
            <w:tcW w:w="460" w:type="pct"/>
            <w:vAlign w:val="bottom"/>
          </w:tcPr>
          <w:p w14:paraId="65EA6AFC" w14:textId="77777777" w:rsidR="000638D2" w:rsidRPr="00C62447" w:rsidRDefault="000638D2" w:rsidP="000638D2">
            <w:pPr>
              <w:keepNext/>
              <w:keepLines/>
              <w:tabs>
                <w:tab w:val="right" w:leader="dot" w:pos="9016"/>
              </w:tabs>
              <w:spacing w:before="40" w:after="40"/>
              <w:rPr>
                <w:rFonts w:ascii="Arial Narrow" w:hAnsi="Arial Narrow"/>
                <w:b/>
                <w:noProof/>
                <w:sz w:val="18"/>
                <w:szCs w:val="18"/>
                <w:lang w:eastAsia="ja-JP"/>
              </w:rPr>
            </w:pPr>
            <w:r w:rsidRPr="00C62447">
              <w:rPr>
                <w:rFonts w:ascii="Arial Narrow" w:hAnsi="Arial Narrow"/>
                <w:b/>
                <w:noProof/>
                <w:sz w:val="18"/>
                <w:szCs w:val="18"/>
                <w:lang w:eastAsia="ja-JP"/>
              </w:rPr>
              <w:t>TE+CA</w:t>
            </w:r>
          </w:p>
        </w:tc>
        <w:tc>
          <w:tcPr>
            <w:tcW w:w="460" w:type="pct"/>
            <w:vAlign w:val="bottom"/>
          </w:tcPr>
          <w:p w14:paraId="6D174419" w14:textId="77777777" w:rsidR="000638D2" w:rsidRPr="00C62447" w:rsidRDefault="000638D2" w:rsidP="000638D2">
            <w:pPr>
              <w:keepNext/>
              <w:keepLines/>
              <w:tabs>
                <w:tab w:val="right" w:leader="dot" w:pos="9016"/>
              </w:tabs>
              <w:spacing w:before="40" w:after="40"/>
              <w:jc w:val="center"/>
              <w:rPr>
                <w:rFonts w:ascii="Arial Narrow" w:hAnsi="Arial Narrow"/>
                <w:b/>
                <w:noProof/>
                <w:sz w:val="18"/>
                <w:szCs w:val="18"/>
                <w:lang w:eastAsia="ja-JP"/>
              </w:rPr>
            </w:pPr>
            <w:r w:rsidRPr="00C62447">
              <w:rPr>
                <w:rFonts w:ascii="Arial Narrow" w:hAnsi="Arial Narrow"/>
                <w:b/>
                <w:noProof/>
                <w:sz w:val="18"/>
                <w:szCs w:val="18"/>
                <w:lang w:eastAsia="ja-JP"/>
              </w:rPr>
              <w:t>28.46</w:t>
            </w:r>
          </w:p>
        </w:tc>
        <w:tc>
          <w:tcPr>
            <w:tcW w:w="614" w:type="pct"/>
            <w:vAlign w:val="bottom"/>
          </w:tcPr>
          <w:p w14:paraId="309C6B45" w14:textId="77777777" w:rsidR="000638D2" w:rsidRPr="00C62447" w:rsidRDefault="000638D2" w:rsidP="000638D2">
            <w:pPr>
              <w:keepNext/>
              <w:keepLines/>
              <w:tabs>
                <w:tab w:val="right" w:leader="dot" w:pos="9016"/>
              </w:tabs>
              <w:spacing w:before="40" w:after="40"/>
              <w:jc w:val="right"/>
              <w:rPr>
                <w:rFonts w:ascii="Arial Narrow" w:hAnsi="Arial Narrow"/>
                <w:b/>
                <w:noProof/>
                <w:sz w:val="18"/>
                <w:szCs w:val="18"/>
                <w:lang w:eastAsia="ja-JP"/>
              </w:rPr>
            </w:pPr>
            <w:r w:rsidRPr="00C62447">
              <w:rPr>
                <w:rFonts w:ascii="Arial Narrow" w:hAnsi="Arial Narrow"/>
                <w:b/>
                <w:noProof/>
                <w:sz w:val="18"/>
                <w:szCs w:val="18"/>
                <w:lang w:eastAsia="ja-JP"/>
              </w:rPr>
              <w:t>$67,069</w:t>
            </w:r>
          </w:p>
        </w:tc>
        <w:tc>
          <w:tcPr>
            <w:tcW w:w="647" w:type="pct"/>
            <w:vAlign w:val="bottom"/>
          </w:tcPr>
          <w:p w14:paraId="7BCBF707" w14:textId="77777777" w:rsidR="000638D2" w:rsidRPr="00C62447" w:rsidRDefault="000638D2" w:rsidP="000638D2">
            <w:pPr>
              <w:keepNext/>
              <w:keepLines/>
              <w:tabs>
                <w:tab w:val="right" w:leader="dot" w:pos="9016"/>
              </w:tabs>
              <w:spacing w:before="40" w:after="40"/>
              <w:jc w:val="center"/>
              <w:rPr>
                <w:rFonts w:ascii="Arial Narrow" w:hAnsi="Arial Narrow"/>
                <w:b/>
                <w:noProof/>
                <w:sz w:val="18"/>
                <w:szCs w:val="18"/>
                <w:lang w:eastAsia="ja-JP"/>
              </w:rPr>
            </w:pPr>
            <w:r w:rsidRPr="00C62447">
              <w:rPr>
                <w:rFonts w:ascii="Arial Narrow" w:hAnsi="Arial Narrow"/>
                <w:b/>
                <w:noProof/>
                <w:sz w:val="18"/>
                <w:szCs w:val="18"/>
                <w:lang w:eastAsia="ja-JP"/>
              </w:rPr>
              <w:t>5.76</w:t>
            </w:r>
          </w:p>
        </w:tc>
        <w:tc>
          <w:tcPr>
            <w:tcW w:w="509" w:type="pct"/>
            <w:vAlign w:val="bottom"/>
          </w:tcPr>
          <w:p w14:paraId="5AD0B3E3" w14:textId="77777777" w:rsidR="000638D2" w:rsidRPr="00C62447" w:rsidRDefault="000638D2" w:rsidP="000638D2">
            <w:pPr>
              <w:keepNext/>
              <w:keepLines/>
              <w:tabs>
                <w:tab w:val="right" w:leader="dot" w:pos="9016"/>
              </w:tabs>
              <w:spacing w:before="40" w:after="40"/>
              <w:jc w:val="center"/>
              <w:rPr>
                <w:rFonts w:ascii="Arial Narrow" w:hAnsi="Arial Narrow"/>
                <w:b/>
                <w:noProof/>
                <w:sz w:val="18"/>
                <w:szCs w:val="18"/>
                <w:lang w:eastAsia="ja-JP"/>
              </w:rPr>
            </w:pPr>
            <w:r w:rsidRPr="00C62447">
              <w:rPr>
                <w:rFonts w:ascii="Arial Narrow" w:hAnsi="Arial Narrow"/>
                <w:b/>
                <w:noProof/>
                <w:sz w:val="18"/>
                <w:szCs w:val="18"/>
                <w:lang w:eastAsia="ja-JP"/>
              </w:rPr>
              <w:t>-</w:t>
            </w:r>
          </w:p>
        </w:tc>
        <w:tc>
          <w:tcPr>
            <w:tcW w:w="585" w:type="pct"/>
            <w:vAlign w:val="bottom"/>
          </w:tcPr>
          <w:p w14:paraId="1391FE7C" w14:textId="77777777" w:rsidR="000638D2" w:rsidRPr="00C62447" w:rsidRDefault="000638D2" w:rsidP="000638D2">
            <w:pPr>
              <w:keepNext/>
              <w:keepLines/>
              <w:tabs>
                <w:tab w:val="right" w:leader="dot" w:pos="9016"/>
              </w:tabs>
              <w:spacing w:before="40" w:after="40"/>
              <w:jc w:val="center"/>
              <w:rPr>
                <w:rFonts w:ascii="Arial Narrow" w:hAnsi="Arial Narrow"/>
                <w:b/>
                <w:noProof/>
                <w:sz w:val="18"/>
                <w:szCs w:val="18"/>
                <w:lang w:eastAsia="ja-JP"/>
              </w:rPr>
            </w:pPr>
            <w:r w:rsidRPr="00C62447">
              <w:rPr>
                <w:rFonts w:ascii="Arial Narrow" w:hAnsi="Arial Narrow"/>
                <w:b/>
                <w:noProof/>
                <w:sz w:val="18"/>
                <w:szCs w:val="18"/>
                <w:lang w:eastAsia="ja-JP"/>
              </w:rPr>
              <w:t>-</w:t>
            </w:r>
          </w:p>
        </w:tc>
        <w:tc>
          <w:tcPr>
            <w:tcW w:w="503" w:type="pct"/>
            <w:vAlign w:val="bottom"/>
          </w:tcPr>
          <w:p w14:paraId="62DC878D" w14:textId="77777777" w:rsidR="000638D2" w:rsidRPr="00C62447" w:rsidRDefault="000638D2" w:rsidP="000638D2">
            <w:pPr>
              <w:keepNext/>
              <w:keepLines/>
              <w:tabs>
                <w:tab w:val="right" w:leader="dot" w:pos="9016"/>
              </w:tabs>
              <w:spacing w:before="40" w:after="40"/>
              <w:jc w:val="right"/>
              <w:rPr>
                <w:rFonts w:ascii="Arial Narrow" w:hAnsi="Arial Narrow"/>
                <w:b/>
                <w:noProof/>
                <w:sz w:val="18"/>
                <w:szCs w:val="18"/>
                <w:lang w:eastAsia="ja-JP"/>
              </w:rPr>
            </w:pPr>
            <w:r w:rsidRPr="00C62447">
              <w:rPr>
                <w:rFonts w:ascii="Arial Narrow" w:hAnsi="Arial Narrow"/>
                <w:b/>
                <w:noProof/>
                <w:sz w:val="18"/>
                <w:szCs w:val="18"/>
                <w:lang w:eastAsia="ja-JP"/>
              </w:rPr>
              <w:t>Preferred</w:t>
            </w:r>
          </w:p>
        </w:tc>
      </w:tr>
      <w:tr w:rsidR="000638D2" w:rsidRPr="00C62447" w14:paraId="70515BF7" w14:textId="77777777" w:rsidTr="000638D2">
        <w:trPr>
          <w:trHeight w:val="137"/>
        </w:trPr>
        <w:tc>
          <w:tcPr>
            <w:tcW w:w="1222" w:type="pct"/>
            <w:tcBorders>
              <w:top w:val="nil"/>
              <w:bottom w:val="nil"/>
            </w:tcBorders>
          </w:tcPr>
          <w:p w14:paraId="2E9EEA41" w14:textId="77777777" w:rsidR="000638D2" w:rsidRPr="00C62447" w:rsidRDefault="000638D2" w:rsidP="000638D2">
            <w:pPr>
              <w:keepNext/>
              <w:tabs>
                <w:tab w:val="right" w:leader="dot" w:pos="9016"/>
              </w:tabs>
              <w:spacing w:before="40" w:after="40"/>
              <w:rPr>
                <w:rFonts w:ascii="Arial Narrow" w:hAnsi="Arial Narrow"/>
                <w:noProof/>
                <w:sz w:val="18"/>
                <w:szCs w:val="18"/>
                <w:lang w:eastAsia="ja-JP"/>
              </w:rPr>
            </w:pPr>
            <w:r>
              <w:rPr>
                <w:rFonts w:ascii="Arial Narrow" w:hAnsi="Arial Narrow"/>
                <w:noProof/>
                <w:sz w:val="18"/>
                <w:szCs w:val="18"/>
                <w:lang w:eastAsia="ja-JP"/>
              </w:rPr>
              <w:t>-</w:t>
            </w:r>
          </w:p>
        </w:tc>
        <w:tc>
          <w:tcPr>
            <w:tcW w:w="460" w:type="pct"/>
          </w:tcPr>
          <w:p w14:paraId="218D915D" w14:textId="77777777" w:rsidR="000638D2" w:rsidRPr="00C62447" w:rsidRDefault="000638D2" w:rsidP="000638D2">
            <w:pPr>
              <w:keepNext/>
              <w:tabs>
                <w:tab w:val="right" w:leader="dot" w:pos="9016"/>
              </w:tabs>
              <w:spacing w:before="40" w:after="40"/>
              <w:rPr>
                <w:rFonts w:ascii="Arial Narrow" w:hAnsi="Arial Narrow"/>
                <w:noProof/>
                <w:sz w:val="18"/>
                <w:szCs w:val="18"/>
                <w:lang w:eastAsia="ja-JP"/>
              </w:rPr>
            </w:pPr>
            <w:r w:rsidRPr="00C62447">
              <w:rPr>
                <w:rFonts w:ascii="Arial Narrow" w:hAnsi="Arial Narrow"/>
                <w:noProof/>
                <w:sz w:val="18"/>
                <w:szCs w:val="18"/>
                <w:lang w:eastAsia="ja-JP"/>
              </w:rPr>
              <w:t>CA</w:t>
            </w:r>
          </w:p>
        </w:tc>
        <w:tc>
          <w:tcPr>
            <w:tcW w:w="460" w:type="pct"/>
          </w:tcPr>
          <w:p w14:paraId="4F0E56C7" w14:textId="77777777" w:rsidR="000638D2" w:rsidRPr="00C62447" w:rsidRDefault="000638D2" w:rsidP="000638D2">
            <w:pPr>
              <w:keepNext/>
              <w:tabs>
                <w:tab w:val="right" w:leader="dot" w:pos="9016"/>
              </w:tabs>
              <w:spacing w:before="40" w:after="40"/>
              <w:jc w:val="center"/>
              <w:rPr>
                <w:rFonts w:ascii="Arial Narrow" w:hAnsi="Arial Narrow"/>
                <w:noProof/>
                <w:sz w:val="18"/>
                <w:szCs w:val="18"/>
                <w:lang w:eastAsia="ja-JP"/>
              </w:rPr>
            </w:pPr>
            <w:r w:rsidRPr="00C62447">
              <w:rPr>
                <w:rFonts w:ascii="Arial Narrow" w:hAnsi="Arial Narrow"/>
                <w:noProof/>
                <w:sz w:val="18"/>
                <w:szCs w:val="18"/>
                <w:lang w:eastAsia="ja-JP"/>
              </w:rPr>
              <w:t>28.36</w:t>
            </w:r>
          </w:p>
        </w:tc>
        <w:tc>
          <w:tcPr>
            <w:tcW w:w="614" w:type="pct"/>
          </w:tcPr>
          <w:p w14:paraId="742400C2" w14:textId="77777777" w:rsidR="000638D2" w:rsidRPr="00C62447" w:rsidRDefault="000638D2" w:rsidP="000638D2">
            <w:pPr>
              <w:keepNext/>
              <w:tabs>
                <w:tab w:val="right" w:leader="dot" w:pos="9016"/>
              </w:tabs>
              <w:spacing w:before="40" w:after="40"/>
              <w:jc w:val="right"/>
              <w:rPr>
                <w:rFonts w:ascii="Arial Narrow" w:hAnsi="Arial Narrow"/>
                <w:noProof/>
                <w:sz w:val="18"/>
                <w:szCs w:val="18"/>
                <w:lang w:eastAsia="ja-JP"/>
              </w:rPr>
            </w:pPr>
            <w:r w:rsidRPr="00C62447">
              <w:rPr>
                <w:rFonts w:ascii="Arial Narrow" w:hAnsi="Arial Narrow"/>
                <w:noProof/>
                <w:sz w:val="18"/>
                <w:szCs w:val="18"/>
                <w:lang w:eastAsia="ja-JP"/>
              </w:rPr>
              <w:t>$67,203</w:t>
            </w:r>
          </w:p>
        </w:tc>
        <w:tc>
          <w:tcPr>
            <w:tcW w:w="647" w:type="pct"/>
          </w:tcPr>
          <w:p w14:paraId="243E04F8" w14:textId="77777777" w:rsidR="000638D2" w:rsidRPr="00C62447" w:rsidRDefault="000638D2" w:rsidP="000638D2">
            <w:pPr>
              <w:keepNext/>
              <w:tabs>
                <w:tab w:val="right" w:leader="dot" w:pos="9016"/>
              </w:tabs>
              <w:spacing w:before="40" w:after="40"/>
              <w:jc w:val="center"/>
              <w:rPr>
                <w:rFonts w:ascii="Arial Narrow" w:hAnsi="Arial Narrow"/>
                <w:noProof/>
                <w:sz w:val="18"/>
                <w:szCs w:val="18"/>
                <w:lang w:eastAsia="ja-JP"/>
              </w:rPr>
            </w:pPr>
            <w:r w:rsidRPr="00C62447">
              <w:rPr>
                <w:rFonts w:ascii="Arial Narrow" w:hAnsi="Arial Narrow"/>
                <w:noProof/>
                <w:sz w:val="18"/>
                <w:szCs w:val="18"/>
                <w:lang w:eastAsia="ja-JP"/>
              </w:rPr>
              <w:t>5.75</w:t>
            </w:r>
          </w:p>
        </w:tc>
        <w:tc>
          <w:tcPr>
            <w:tcW w:w="509" w:type="pct"/>
          </w:tcPr>
          <w:p w14:paraId="7A51668C" w14:textId="77777777" w:rsidR="000638D2" w:rsidRPr="00C62447" w:rsidRDefault="000638D2" w:rsidP="000638D2">
            <w:pPr>
              <w:keepNext/>
              <w:tabs>
                <w:tab w:val="right" w:leader="dot" w:pos="9016"/>
              </w:tabs>
              <w:spacing w:before="40" w:after="40"/>
              <w:jc w:val="right"/>
              <w:rPr>
                <w:rFonts w:ascii="Arial Narrow" w:hAnsi="Arial Narrow"/>
                <w:noProof/>
                <w:sz w:val="18"/>
                <w:szCs w:val="18"/>
                <w:lang w:eastAsia="ja-JP"/>
              </w:rPr>
            </w:pPr>
            <w:r w:rsidRPr="00C62447">
              <w:rPr>
                <w:rFonts w:ascii="Arial Narrow" w:hAnsi="Arial Narrow"/>
                <w:noProof/>
                <w:sz w:val="18"/>
                <w:szCs w:val="18"/>
                <w:lang w:eastAsia="ja-JP"/>
              </w:rPr>
              <w:t>$132</w:t>
            </w:r>
          </w:p>
        </w:tc>
        <w:tc>
          <w:tcPr>
            <w:tcW w:w="585" w:type="pct"/>
          </w:tcPr>
          <w:p w14:paraId="1FD7FB81" w14:textId="77777777" w:rsidR="000638D2" w:rsidRPr="00C62447" w:rsidRDefault="000638D2" w:rsidP="000638D2">
            <w:pPr>
              <w:keepNext/>
              <w:tabs>
                <w:tab w:val="right" w:leader="dot" w:pos="9016"/>
              </w:tabs>
              <w:spacing w:before="40" w:after="40"/>
              <w:jc w:val="center"/>
              <w:rPr>
                <w:rFonts w:ascii="Arial Narrow" w:hAnsi="Arial Narrow"/>
                <w:noProof/>
                <w:sz w:val="18"/>
                <w:szCs w:val="18"/>
                <w:lang w:eastAsia="ja-JP"/>
              </w:rPr>
            </w:pPr>
            <w:r w:rsidRPr="00C62447">
              <w:rPr>
                <w:rFonts w:ascii="Arial Narrow" w:hAnsi="Arial Narrow"/>
                <w:noProof/>
                <w:sz w:val="18"/>
                <w:szCs w:val="18"/>
                <w:lang w:eastAsia="ja-JP"/>
              </w:rPr>
              <w:t>- 0.00</w:t>
            </w:r>
          </w:p>
        </w:tc>
        <w:tc>
          <w:tcPr>
            <w:tcW w:w="503" w:type="pct"/>
            <w:vAlign w:val="bottom"/>
          </w:tcPr>
          <w:p w14:paraId="3BD8340B" w14:textId="77777777" w:rsidR="000638D2" w:rsidRPr="00C62447" w:rsidRDefault="000638D2" w:rsidP="000638D2">
            <w:pPr>
              <w:keepNext/>
              <w:tabs>
                <w:tab w:val="right" w:leader="dot" w:pos="9016"/>
              </w:tabs>
              <w:spacing w:before="40" w:after="40"/>
              <w:jc w:val="right"/>
              <w:rPr>
                <w:rFonts w:ascii="Arial Narrow" w:hAnsi="Arial Narrow"/>
                <w:noProof/>
                <w:sz w:val="18"/>
                <w:szCs w:val="18"/>
                <w:lang w:eastAsia="ja-JP"/>
              </w:rPr>
            </w:pPr>
            <w:r w:rsidRPr="00C62447">
              <w:rPr>
                <w:rFonts w:ascii="Arial Narrow" w:hAnsi="Arial Narrow"/>
                <w:noProof/>
                <w:sz w:val="18"/>
                <w:szCs w:val="18"/>
                <w:lang w:eastAsia="ja-JP"/>
              </w:rPr>
              <w:t>Dominated</w:t>
            </w:r>
          </w:p>
        </w:tc>
      </w:tr>
      <w:tr w:rsidR="000638D2" w:rsidRPr="00C62447" w14:paraId="3AD2B354" w14:textId="77777777" w:rsidTr="000638D2">
        <w:trPr>
          <w:trHeight w:val="137"/>
        </w:trPr>
        <w:tc>
          <w:tcPr>
            <w:tcW w:w="1222" w:type="pct"/>
            <w:tcBorders>
              <w:top w:val="nil"/>
              <w:bottom w:val="single" w:sz="4" w:space="0" w:color="auto"/>
            </w:tcBorders>
          </w:tcPr>
          <w:p w14:paraId="7C4207FD" w14:textId="77777777" w:rsidR="000638D2" w:rsidRPr="00C62447" w:rsidRDefault="000638D2" w:rsidP="000638D2">
            <w:pPr>
              <w:keepNext/>
              <w:tabs>
                <w:tab w:val="right" w:leader="dot" w:pos="9016"/>
              </w:tabs>
              <w:spacing w:before="40" w:after="40"/>
              <w:rPr>
                <w:rFonts w:ascii="Arial Narrow" w:hAnsi="Arial Narrow"/>
                <w:noProof/>
                <w:sz w:val="18"/>
                <w:szCs w:val="18"/>
                <w:lang w:eastAsia="ja-JP"/>
              </w:rPr>
            </w:pPr>
            <w:r>
              <w:rPr>
                <w:rFonts w:ascii="Arial Narrow" w:hAnsi="Arial Narrow"/>
                <w:noProof/>
                <w:sz w:val="18"/>
                <w:szCs w:val="18"/>
                <w:lang w:eastAsia="ja-JP"/>
              </w:rPr>
              <w:t>-</w:t>
            </w:r>
          </w:p>
        </w:tc>
        <w:tc>
          <w:tcPr>
            <w:tcW w:w="460" w:type="pct"/>
          </w:tcPr>
          <w:p w14:paraId="0C397F75" w14:textId="77777777" w:rsidR="000638D2" w:rsidRPr="00C62447" w:rsidRDefault="000638D2" w:rsidP="000638D2">
            <w:pPr>
              <w:keepNext/>
              <w:tabs>
                <w:tab w:val="right" w:leader="dot" w:pos="9016"/>
              </w:tabs>
              <w:spacing w:before="40" w:after="40"/>
              <w:rPr>
                <w:rFonts w:ascii="Arial Narrow" w:hAnsi="Arial Narrow"/>
                <w:noProof/>
                <w:sz w:val="18"/>
                <w:szCs w:val="18"/>
                <w:lang w:eastAsia="ja-JP"/>
              </w:rPr>
            </w:pPr>
            <w:r w:rsidRPr="00C62447">
              <w:rPr>
                <w:rFonts w:ascii="Arial Narrow" w:hAnsi="Arial Narrow"/>
                <w:noProof/>
                <w:sz w:val="18"/>
                <w:szCs w:val="18"/>
                <w:lang w:eastAsia="ja-JP"/>
              </w:rPr>
              <w:t xml:space="preserve">Biopsy </w:t>
            </w:r>
          </w:p>
        </w:tc>
        <w:tc>
          <w:tcPr>
            <w:tcW w:w="460" w:type="pct"/>
          </w:tcPr>
          <w:p w14:paraId="14DB5970" w14:textId="77777777" w:rsidR="000638D2" w:rsidRPr="00C62447" w:rsidRDefault="000638D2" w:rsidP="000638D2">
            <w:pPr>
              <w:keepNext/>
              <w:tabs>
                <w:tab w:val="right" w:leader="dot" w:pos="9016"/>
              </w:tabs>
              <w:spacing w:before="40" w:after="40"/>
              <w:jc w:val="center"/>
              <w:rPr>
                <w:rFonts w:ascii="Arial Narrow" w:hAnsi="Arial Narrow"/>
                <w:noProof/>
                <w:sz w:val="18"/>
                <w:szCs w:val="18"/>
                <w:lang w:eastAsia="ja-JP"/>
              </w:rPr>
            </w:pPr>
            <w:r w:rsidRPr="00C62447">
              <w:rPr>
                <w:rFonts w:ascii="Arial Narrow" w:hAnsi="Arial Narrow"/>
                <w:noProof/>
                <w:sz w:val="18"/>
                <w:szCs w:val="18"/>
                <w:lang w:eastAsia="ja-JP"/>
              </w:rPr>
              <w:t>28.33</w:t>
            </w:r>
          </w:p>
        </w:tc>
        <w:tc>
          <w:tcPr>
            <w:tcW w:w="614" w:type="pct"/>
          </w:tcPr>
          <w:p w14:paraId="3E02DE6D" w14:textId="77777777" w:rsidR="000638D2" w:rsidRPr="00C62447" w:rsidRDefault="000638D2" w:rsidP="000638D2">
            <w:pPr>
              <w:keepNext/>
              <w:tabs>
                <w:tab w:val="right" w:leader="dot" w:pos="9016"/>
              </w:tabs>
              <w:spacing w:before="40" w:after="40"/>
              <w:jc w:val="right"/>
              <w:rPr>
                <w:rFonts w:ascii="Arial Narrow" w:hAnsi="Arial Narrow"/>
                <w:noProof/>
                <w:sz w:val="18"/>
                <w:szCs w:val="18"/>
                <w:lang w:eastAsia="ja-JP"/>
              </w:rPr>
            </w:pPr>
            <w:r w:rsidRPr="00C62447">
              <w:rPr>
                <w:rFonts w:ascii="Arial Narrow" w:hAnsi="Arial Narrow"/>
                <w:noProof/>
                <w:sz w:val="18"/>
                <w:szCs w:val="18"/>
                <w:lang w:eastAsia="ja-JP"/>
              </w:rPr>
              <w:t>$70,741</w:t>
            </w:r>
          </w:p>
        </w:tc>
        <w:tc>
          <w:tcPr>
            <w:tcW w:w="647" w:type="pct"/>
          </w:tcPr>
          <w:p w14:paraId="0F1BD30B" w14:textId="77777777" w:rsidR="000638D2" w:rsidRPr="00C62447" w:rsidRDefault="000638D2" w:rsidP="000638D2">
            <w:pPr>
              <w:keepNext/>
              <w:tabs>
                <w:tab w:val="right" w:leader="dot" w:pos="9016"/>
              </w:tabs>
              <w:spacing w:before="40" w:after="40"/>
              <w:jc w:val="center"/>
              <w:rPr>
                <w:rFonts w:ascii="Arial Narrow" w:hAnsi="Arial Narrow"/>
                <w:noProof/>
                <w:sz w:val="18"/>
                <w:szCs w:val="18"/>
                <w:lang w:eastAsia="ja-JP"/>
              </w:rPr>
            </w:pPr>
            <w:r w:rsidRPr="00C62447">
              <w:rPr>
                <w:rFonts w:ascii="Arial Narrow" w:hAnsi="Arial Narrow"/>
                <w:noProof/>
                <w:sz w:val="18"/>
                <w:szCs w:val="18"/>
                <w:lang w:eastAsia="ja-JP"/>
              </w:rPr>
              <w:t>4.39</w:t>
            </w:r>
          </w:p>
        </w:tc>
        <w:tc>
          <w:tcPr>
            <w:tcW w:w="509" w:type="pct"/>
          </w:tcPr>
          <w:p w14:paraId="397BFF80" w14:textId="77777777" w:rsidR="000638D2" w:rsidRPr="00C62447" w:rsidRDefault="000638D2" w:rsidP="000638D2">
            <w:pPr>
              <w:keepNext/>
              <w:tabs>
                <w:tab w:val="right" w:leader="dot" w:pos="9016"/>
              </w:tabs>
              <w:spacing w:before="40" w:after="40"/>
              <w:jc w:val="right"/>
              <w:rPr>
                <w:rFonts w:ascii="Arial Narrow" w:hAnsi="Arial Narrow"/>
                <w:noProof/>
                <w:sz w:val="18"/>
                <w:szCs w:val="18"/>
                <w:lang w:eastAsia="ja-JP"/>
              </w:rPr>
            </w:pPr>
            <w:r w:rsidRPr="00C62447">
              <w:rPr>
                <w:rFonts w:ascii="Arial Narrow" w:hAnsi="Arial Narrow"/>
                <w:noProof/>
                <w:sz w:val="18"/>
                <w:szCs w:val="18"/>
                <w:lang w:eastAsia="ja-JP"/>
              </w:rPr>
              <w:t>$3,672</w:t>
            </w:r>
          </w:p>
        </w:tc>
        <w:tc>
          <w:tcPr>
            <w:tcW w:w="585" w:type="pct"/>
          </w:tcPr>
          <w:p w14:paraId="6505954F" w14:textId="77777777" w:rsidR="000638D2" w:rsidRPr="00C62447" w:rsidRDefault="000638D2" w:rsidP="000638D2">
            <w:pPr>
              <w:keepNext/>
              <w:tabs>
                <w:tab w:val="right" w:leader="dot" w:pos="9016"/>
              </w:tabs>
              <w:spacing w:before="40" w:after="40"/>
              <w:jc w:val="center"/>
              <w:rPr>
                <w:rFonts w:ascii="Arial Narrow" w:hAnsi="Arial Narrow"/>
                <w:noProof/>
                <w:sz w:val="18"/>
                <w:szCs w:val="18"/>
                <w:lang w:eastAsia="ja-JP"/>
              </w:rPr>
            </w:pPr>
            <w:r w:rsidRPr="00C62447">
              <w:rPr>
                <w:rFonts w:ascii="Arial Narrow" w:hAnsi="Arial Narrow"/>
                <w:noProof/>
                <w:sz w:val="18"/>
                <w:szCs w:val="18"/>
                <w:lang w:eastAsia="ja-JP"/>
              </w:rPr>
              <w:t>-1.36</w:t>
            </w:r>
          </w:p>
        </w:tc>
        <w:tc>
          <w:tcPr>
            <w:tcW w:w="503" w:type="pct"/>
            <w:vAlign w:val="bottom"/>
          </w:tcPr>
          <w:p w14:paraId="223DE04D" w14:textId="77777777" w:rsidR="000638D2" w:rsidRPr="00C62447" w:rsidRDefault="000638D2" w:rsidP="000638D2">
            <w:pPr>
              <w:keepNext/>
              <w:tabs>
                <w:tab w:val="right" w:leader="dot" w:pos="9016"/>
              </w:tabs>
              <w:spacing w:before="40" w:after="40"/>
              <w:jc w:val="right"/>
              <w:rPr>
                <w:rFonts w:ascii="Arial Narrow" w:hAnsi="Arial Narrow"/>
                <w:noProof/>
                <w:sz w:val="18"/>
                <w:szCs w:val="18"/>
                <w:lang w:eastAsia="ja-JP"/>
              </w:rPr>
            </w:pPr>
            <w:r w:rsidRPr="00C62447">
              <w:rPr>
                <w:rFonts w:ascii="Arial Narrow" w:hAnsi="Arial Narrow"/>
                <w:noProof/>
                <w:sz w:val="18"/>
                <w:szCs w:val="18"/>
                <w:lang w:eastAsia="ja-JP"/>
              </w:rPr>
              <w:t>Dominated</w:t>
            </w:r>
          </w:p>
        </w:tc>
      </w:tr>
      <w:tr w:rsidR="000638D2" w:rsidRPr="00C62447" w14:paraId="56F89004" w14:textId="77777777" w:rsidTr="000638D2">
        <w:trPr>
          <w:trHeight w:val="139"/>
        </w:trPr>
        <w:tc>
          <w:tcPr>
            <w:tcW w:w="1222" w:type="pct"/>
            <w:tcBorders>
              <w:bottom w:val="nil"/>
            </w:tcBorders>
          </w:tcPr>
          <w:p w14:paraId="403670B0" w14:textId="4B7C9AF9" w:rsidR="000638D2" w:rsidRPr="00C62447" w:rsidRDefault="00772C98" w:rsidP="000638D2">
            <w:pPr>
              <w:keepNext/>
              <w:tabs>
                <w:tab w:val="right" w:leader="dot" w:pos="9016"/>
              </w:tabs>
              <w:spacing w:before="40" w:after="40"/>
              <w:rPr>
                <w:rFonts w:ascii="Arial Narrow" w:hAnsi="Arial Narrow"/>
                <w:noProof/>
                <w:sz w:val="18"/>
                <w:szCs w:val="18"/>
                <w:lang w:eastAsia="ja-JP"/>
              </w:rPr>
            </w:pPr>
            <w:r>
              <w:rPr>
                <w:rFonts w:ascii="Arial Narrow" w:hAnsi="Arial Narrow"/>
                <w:noProof/>
                <w:sz w:val="18"/>
                <w:szCs w:val="18"/>
                <w:lang w:eastAsia="ja-JP"/>
              </w:rPr>
              <w:t xml:space="preserve">TE </w:t>
            </w:r>
            <w:r w:rsidR="000638D2" w:rsidRPr="00C62447">
              <w:rPr>
                <w:rFonts w:ascii="Arial Narrow" w:hAnsi="Arial Narrow"/>
                <w:noProof/>
                <w:sz w:val="18"/>
                <w:szCs w:val="18"/>
                <w:lang w:eastAsia="ja-JP"/>
              </w:rPr>
              <w:t>plus clinical assessments for diagnosis only</w:t>
            </w:r>
          </w:p>
        </w:tc>
        <w:tc>
          <w:tcPr>
            <w:tcW w:w="460" w:type="pct"/>
            <w:vAlign w:val="bottom"/>
          </w:tcPr>
          <w:p w14:paraId="038DDB3F" w14:textId="77777777" w:rsidR="000638D2" w:rsidRPr="00C62447" w:rsidRDefault="000638D2" w:rsidP="000638D2">
            <w:pPr>
              <w:keepNext/>
              <w:tabs>
                <w:tab w:val="right" w:leader="dot" w:pos="9016"/>
              </w:tabs>
              <w:spacing w:before="40" w:after="40"/>
              <w:rPr>
                <w:rFonts w:ascii="Arial Narrow" w:hAnsi="Arial Narrow"/>
                <w:b/>
                <w:noProof/>
                <w:sz w:val="18"/>
                <w:szCs w:val="18"/>
                <w:lang w:eastAsia="ja-JP"/>
              </w:rPr>
            </w:pPr>
            <w:r w:rsidRPr="00C62447">
              <w:rPr>
                <w:rFonts w:ascii="Arial Narrow" w:hAnsi="Arial Narrow"/>
                <w:b/>
                <w:noProof/>
                <w:sz w:val="18"/>
                <w:szCs w:val="18"/>
                <w:lang w:eastAsia="ja-JP"/>
              </w:rPr>
              <w:t>CA</w:t>
            </w:r>
          </w:p>
        </w:tc>
        <w:tc>
          <w:tcPr>
            <w:tcW w:w="460" w:type="pct"/>
            <w:vAlign w:val="bottom"/>
          </w:tcPr>
          <w:p w14:paraId="7420A20D" w14:textId="77777777" w:rsidR="000638D2" w:rsidRPr="00C62447" w:rsidRDefault="000638D2" w:rsidP="000638D2">
            <w:pPr>
              <w:keepNext/>
              <w:tabs>
                <w:tab w:val="right" w:leader="dot" w:pos="9016"/>
              </w:tabs>
              <w:spacing w:before="40" w:after="40"/>
              <w:jc w:val="center"/>
              <w:rPr>
                <w:rFonts w:ascii="Arial Narrow" w:hAnsi="Arial Narrow"/>
                <w:b/>
                <w:noProof/>
                <w:sz w:val="18"/>
                <w:szCs w:val="18"/>
                <w:lang w:eastAsia="ja-JP"/>
              </w:rPr>
            </w:pPr>
            <w:r w:rsidRPr="00C62447">
              <w:rPr>
                <w:rFonts w:ascii="Arial Narrow" w:hAnsi="Arial Narrow"/>
                <w:b/>
                <w:noProof/>
                <w:sz w:val="18"/>
                <w:szCs w:val="18"/>
                <w:lang w:eastAsia="ja-JP"/>
              </w:rPr>
              <w:t>26.81</w:t>
            </w:r>
          </w:p>
        </w:tc>
        <w:tc>
          <w:tcPr>
            <w:tcW w:w="614" w:type="pct"/>
            <w:vAlign w:val="bottom"/>
          </w:tcPr>
          <w:p w14:paraId="22F5C655" w14:textId="77777777" w:rsidR="000638D2" w:rsidRPr="00C62447" w:rsidRDefault="000638D2" w:rsidP="000638D2">
            <w:pPr>
              <w:keepNext/>
              <w:tabs>
                <w:tab w:val="right" w:leader="dot" w:pos="9016"/>
              </w:tabs>
              <w:spacing w:before="40" w:after="40"/>
              <w:jc w:val="right"/>
              <w:rPr>
                <w:rFonts w:ascii="Arial Narrow" w:hAnsi="Arial Narrow"/>
                <w:b/>
                <w:noProof/>
                <w:sz w:val="18"/>
                <w:szCs w:val="18"/>
                <w:lang w:eastAsia="ja-JP"/>
              </w:rPr>
            </w:pPr>
            <w:r w:rsidRPr="00C62447">
              <w:rPr>
                <w:rFonts w:ascii="Arial Narrow" w:hAnsi="Arial Narrow"/>
                <w:b/>
                <w:noProof/>
                <w:sz w:val="18"/>
                <w:szCs w:val="18"/>
                <w:lang w:eastAsia="ja-JP"/>
              </w:rPr>
              <w:t>$46,085</w:t>
            </w:r>
          </w:p>
        </w:tc>
        <w:tc>
          <w:tcPr>
            <w:tcW w:w="647" w:type="pct"/>
            <w:vAlign w:val="bottom"/>
          </w:tcPr>
          <w:p w14:paraId="49C67D3A" w14:textId="77777777" w:rsidR="000638D2" w:rsidRPr="00C62447" w:rsidRDefault="000638D2" w:rsidP="000638D2">
            <w:pPr>
              <w:keepNext/>
              <w:tabs>
                <w:tab w:val="right" w:leader="dot" w:pos="9016"/>
              </w:tabs>
              <w:spacing w:before="40" w:after="40"/>
              <w:jc w:val="center"/>
              <w:rPr>
                <w:rFonts w:ascii="Arial Narrow" w:hAnsi="Arial Narrow"/>
                <w:b/>
                <w:noProof/>
                <w:sz w:val="18"/>
                <w:szCs w:val="18"/>
                <w:lang w:eastAsia="ja-JP"/>
              </w:rPr>
            </w:pPr>
            <w:r w:rsidRPr="00C62447">
              <w:rPr>
                <w:rFonts w:ascii="Arial Narrow" w:hAnsi="Arial Narrow"/>
                <w:b/>
                <w:noProof/>
                <w:sz w:val="18"/>
                <w:szCs w:val="18"/>
                <w:lang w:eastAsia="ja-JP"/>
              </w:rPr>
              <w:t>5.65</w:t>
            </w:r>
          </w:p>
        </w:tc>
        <w:tc>
          <w:tcPr>
            <w:tcW w:w="509" w:type="pct"/>
            <w:vAlign w:val="bottom"/>
          </w:tcPr>
          <w:p w14:paraId="5EBEE572" w14:textId="77777777" w:rsidR="000638D2" w:rsidRPr="00C62447" w:rsidRDefault="000638D2" w:rsidP="000638D2">
            <w:pPr>
              <w:keepNext/>
              <w:tabs>
                <w:tab w:val="right" w:leader="dot" w:pos="9016"/>
              </w:tabs>
              <w:spacing w:before="40" w:after="40"/>
              <w:jc w:val="center"/>
              <w:rPr>
                <w:rFonts w:ascii="Arial Narrow" w:hAnsi="Arial Narrow"/>
                <w:b/>
                <w:noProof/>
                <w:sz w:val="18"/>
                <w:szCs w:val="18"/>
                <w:lang w:eastAsia="ja-JP"/>
              </w:rPr>
            </w:pPr>
            <w:r w:rsidRPr="00C62447">
              <w:rPr>
                <w:rFonts w:ascii="Arial Narrow" w:hAnsi="Arial Narrow"/>
                <w:b/>
                <w:noProof/>
                <w:sz w:val="18"/>
                <w:szCs w:val="18"/>
                <w:lang w:eastAsia="ja-JP"/>
              </w:rPr>
              <w:t>-</w:t>
            </w:r>
          </w:p>
        </w:tc>
        <w:tc>
          <w:tcPr>
            <w:tcW w:w="585" w:type="pct"/>
            <w:vAlign w:val="bottom"/>
          </w:tcPr>
          <w:p w14:paraId="5C753C46" w14:textId="77777777" w:rsidR="000638D2" w:rsidRPr="00C62447" w:rsidRDefault="000638D2" w:rsidP="000638D2">
            <w:pPr>
              <w:keepNext/>
              <w:tabs>
                <w:tab w:val="right" w:leader="dot" w:pos="9016"/>
              </w:tabs>
              <w:spacing w:before="40" w:after="40"/>
              <w:jc w:val="center"/>
              <w:rPr>
                <w:rFonts w:ascii="Arial Narrow" w:hAnsi="Arial Narrow"/>
                <w:b/>
                <w:noProof/>
                <w:sz w:val="18"/>
                <w:szCs w:val="18"/>
                <w:lang w:eastAsia="ja-JP"/>
              </w:rPr>
            </w:pPr>
            <w:r w:rsidRPr="00C62447">
              <w:rPr>
                <w:rFonts w:ascii="Arial Narrow" w:hAnsi="Arial Narrow"/>
                <w:b/>
                <w:noProof/>
                <w:sz w:val="18"/>
                <w:szCs w:val="18"/>
                <w:lang w:eastAsia="ja-JP"/>
              </w:rPr>
              <w:t>-</w:t>
            </w:r>
          </w:p>
        </w:tc>
        <w:tc>
          <w:tcPr>
            <w:tcW w:w="503" w:type="pct"/>
            <w:vAlign w:val="bottom"/>
          </w:tcPr>
          <w:p w14:paraId="18963EEC" w14:textId="77777777" w:rsidR="000638D2" w:rsidRPr="00C62447" w:rsidRDefault="000638D2" w:rsidP="000638D2">
            <w:pPr>
              <w:keepNext/>
              <w:tabs>
                <w:tab w:val="right" w:leader="dot" w:pos="9016"/>
              </w:tabs>
              <w:spacing w:before="40" w:after="40"/>
              <w:jc w:val="right"/>
              <w:rPr>
                <w:rFonts w:ascii="Arial Narrow" w:hAnsi="Arial Narrow"/>
                <w:b/>
                <w:noProof/>
                <w:sz w:val="18"/>
                <w:szCs w:val="18"/>
                <w:lang w:eastAsia="ja-JP"/>
              </w:rPr>
            </w:pPr>
            <w:r w:rsidRPr="00C62447">
              <w:rPr>
                <w:rFonts w:ascii="Arial Narrow" w:hAnsi="Arial Narrow"/>
                <w:b/>
                <w:noProof/>
                <w:sz w:val="18"/>
                <w:szCs w:val="18"/>
                <w:lang w:eastAsia="ja-JP"/>
              </w:rPr>
              <w:t>Preferred</w:t>
            </w:r>
          </w:p>
        </w:tc>
      </w:tr>
      <w:tr w:rsidR="000638D2" w:rsidRPr="00C62447" w14:paraId="3AAD8C67" w14:textId="77777777" w:rsidTr="000638D2">
        <w:trPr>
          <w:trHeight w:val="137"/>
        </w:trPr>
        <w:tc>
          <w:tcPr>
            <w:tcW w:w="1222" w:type="pct"/>
            <w:tcBorders>
              <w:top w:val="nil"/>
              <w:bottom w:val="nil"/>
            </w:tcBorders>
          </w:tcPr>
          <w:p w14:paraId="18B9D0B5" w14:textId="77777777" w:rsidR="000638D2" w:rsidRPr="00C62447" w:rsidRDefault="000638D2" w:rsidP="000638D2">
            <w:pPr>
              <w:keepNext/>
              <w:tabs>
                <w:tab w:val="right" w:leader="dot" w:pos="9016"/>
              </w:tabs>
              <w:spacing w:before="40" w:after="40"/>
              <w:rPr>
                <w:rFonts w:ascii="Arial Narrow" w:hAnsi="Arial Narrow"/>
                <w:noProof/>
                <w:sz w:val="18"/>
                <w:szCs w:val="18"/>
                <w:lang w:eastAsia="ja-JP"/>
              </w:rPr>
            </w:pPr>
            <w:r>
              <w:rPr>
                <w:rFonts w:ascii="Arial Narrow" w:hAnsi="Arial Narrow"/>
                <w:noProof/>
                <w:sz w:val="18"/>
                <w:szCs w:val="18"/>
                <w:lang w:eastAsia="ja-JP"/>
              </w:rPr>
              <w:t>-</w:t>
            </w:r>
          </w:p>
        </w:tc>
        <w:tc>
          <w:tcPr>
            <w:tcW w:w="460" w:type="pct"/>
          </w:tcPr>
          <w:p w14:paraId="2B886EC5" w14:textId="77777777" w:rsidR="000638D2" w:rsidRPr="00C62447" w:rsidRDefault="000638D2" w:rsidP="000638D2">
            <w:pPr>
              <w:keepNext/>
              <w:tabs>
                <w:tab w:val="right" w:leader="dot" w:pos="9016"/>
              </w:tabs>
              <w:spacing w:before="40" w:after="40"/>
              <w:rPr>
                <w:rFonts w:ascii="Arial Narrow" w:hAnsi="Arial Narrow"/>
                <w:noProof/>
                <w:sz w:val="18"/>
                <w:szCs w:val="18"/>
                <w:lang w:eastAsia="ja-JP"/>
              </w:rPr>
            </w:pPr>
            <w:r w:rsidRPr="00C62447">
              <w:rPr>
                <w:rFonts w:ascii="Arial Narrow" w:hAnsi="Arial Narrow"/>
                <w:noProof/>
                <w:sz w:val="18"/>
                <w:szCs w:val="18"/>
                <w:lang w:eastAsia="ja-JP"/>
              </w:rPr>
              <w:t>TE+CA</w:t>
            </w:r>
          </w:p>
        </w:tc>
        <w:tc>
          <w:tcPr>
            <w:tcW w:w="460" w:type="pct"/>
          </w:tcPr>
          <w:p w14:paraId="2C0E4C31" w14:textId="77777777" w:rsidR="000638D2" w:rsidRPr="00C62447" w:rsidRDefault="000638D2" w:rsidP="000638D2">
            <w:pPr>
              <w:keepNext/>
              <w:tabs>
                <w:tab w:val="right" w:leader="dot" w:pos="9016"/>
              </w:tabs>
              <w:spacing w:before="40" w:after="40"/>
              <w:jc w:val="center"/>
              <w:rPr>
                <w:rFonts w:ascii="Arial Narrow" w:hAnsi="Arial Narrow"/>
                <w:noProof/>
                <w:sz w:val="18"/>
                <w:szCs w:val="18"/>
                <w:lang w:eastAsia="ja-JP"/>
              </w:rPr>
            </w:pPr>
            <w:r w:rsidRPr="00C62447">
              <w:rPr>
                <w:rFonts w:ascii="Arial Narrow" w:hAnsi="Arial Narrow"/>
                <w:noProof/>
                <w:sz w:val="18"/>
                <w:szCs w:val="18"/>
                <w:lang w:eastAsia="ja-JP"/>
              </w:rPr>
              <w:t>27.07</w:t>
            </w:r>
          </w:p>
        </w:tc>
        <w:tc>
          <w:tcPr>
            <w:tcW w:w="614" w:type="pct"/>
          </w:tcPr>
          <w:p w14:paraId="3B8DB85C" w14:textId="77777777" w:rsidR="000638D2" w:rsidRPr="00C62447" w:rsidRDefault="000638D2" w:rsidP="000638D2">
            <w:pPr>
              <w:keepNext/>
              <w:tabs>
                <w:tab w:val="right" w:leader="dot" w:pos="9016"/>
              </w:tabs>
              <w:spacing w:before="40" w:after="40"/>
              <w:jc w:val="right"/>
              <w:rPr>
                <w:rFonts w:ascii="Arial Narrow" w:hAnsi="Arial Narrow"/>
                <w:noProof/>
                <w:sz w:val="18"/>
                <w:szCs w:val="18"/>
                <w:lang w:eastAsia="ja-JP"/>
              </w:rPr>
            </w:pPr>
            <w:r w:rsidRPr="00C62447">
              <w:rPr>
                <w:rFonts w:ascii="Arial Narrow" w:hAnsi="Arial Narrow"/>
                <w:noProof/>
                <w:sz w:val="18"/>
                <w:szCs w:val="18"/>
                <w:lang w:eastAsia="ja-JP"/>
              </w:rPr>
              <w:t>$48,644</w:t>
            </w:r>
          </w:p>
        </w:tc>
        <w:tc>
          <w:tcPr>
            <w:tcW w:w="647" w:type="pct"/>
          </w:tcPr>
          <w:p w14:paraId="46E682FA" w14:textId="77777777" w:rsidR="000638D2" w:rsidRPr="00C62447" w:rsidRDefault="000638D2" w:rsidP="000638D2">
            <w:pPr>
              <w:keepNext/>
              <w:tabs>
                <w:tab w:val="right" w:leader="dot" w:pos="9016"/>
              </w:tabs>
              <w:spacing w:before="40" w:after="40"/>
              <w:jc w:val="center"/>
              <w:rPr>
                <w:rFonts w:ascii="Arial Narrow" w:hAnsi="Arial Narrow"/>
                <w:noProof/>
                <w:sz w:val="18"/>
                <w:szCs w:val="18"/>
                <w:lang w:eastAsia="ja-JP"/>
              </w:rPr>
            </w:pPr>
            <w:r w:rsidRPr="00C62447">
              <w:rPr>
                <w:rFonts w:ascii="Arial Narrow" w:hAnsi="Arial Narrow"/>
                <w:noProof/>
                <w:sz w:val="18"/>
                <w:szCs w:val="18"/>
                <w:lang w:eastAsia="ja-JP"/>
              </w:rPr>
              <w:t>5.66</w:t>
            </w:r>
          </w:p>
        </w:tc>
        <w:tc>
          <w:tcPr>
            <w:tcW w:w="509" w:type="pct"/>
          </w:tcPr>
          <w:p w14:paraId="143B9DB2" w14:textId="77777777" w:rsidR="000638D2" w:rsidRPr="00C62447" w:rsidRDefault="000638D2" w:rsidP="000638D2">
            <w:pPr>
              <w:keepNext/>
              <w:tabs>
                <w:tab w:val="right" w:leader="dot" w:pos="9016"/>
              </w:tabs>
              <w:spacing w:before="40" w:after="40"/>
              <w:jc w:val="right"/>
              <w:rPr>
                <w:rFonts w:ascii="Arial Narrow" w:hAnsi="Arial Narrow"/>
                <w:noProof/>
                <w:sz w:val="18"/>
                <w:szCs w:val="18"/>
                <w:lang w:eastAsia="ja-JP"/>
              </w:rPr>
            </w:pPr>
            <w:r w:rsidRPr="00C62447">
              <w:rPr>
                <w:rFonts w:ascii="Arial Narrow" w:hAnsi="Arial Narrow"/>
                <w:noProof/>
                <w:sz w:val="18"/>
                <w:szCs w:val="18"/>
                <w:lang w:eastAsia="ja-JP"/>
              </w:rPr>
              <w:t>$2,559</w:t>
            </w:r>
          </w:p>
        </w:tc>
        <w:tc>
          <w:tcPr>
            <w:tcW w:w="585" w:type="pct"/>
          </w:tcPr>
          <w:p w14:paraId="4E1D6638" w14:textId="77777777" w:rsidR="000638D2" w:rsidRPr="00C62447" w:rsidRDefault="000638D2" w:rsidP="000638D2">
            <w:pPr>
              <w:keepNext/>
              <w:tabs>
                <w:tab w:val="right" w:leader="dot" w:pos="9016"/>
              </w:tabs>
              <w:spacing w:before="40" w:after="40"/>
              <w:jc w:val="center"/>
              <w:rPr>
                <w:rFonts w:ascii="Arial Narrow" w:hAnsi="Arial Narrow"/>
                <w:noProof/>
                <w:sz w:val="18"/>
                <w:szCs w:val="18"/>
                <w:lang w:eastAsia="ja-JP"/>
              </w:rPr>
            </w:pPr>
            <w:r w:rsidRPr="00C62447">
              <w:rPr>
                <w:rFonts w:ascii="Arial Narrow" w:hAnsi="Arial Narrow"/>
                <w:noProof/>
                <w:sz w:val="18"/>
                <w:szCs w:val="18"/>
                <w:lang w:eastAsia="ja-JP"/>
              </w:rPr>
              <w:t>0.02</w:t>
            </w:r>
          </w:p>
        </w:tc>
        <w:tc>
          <w:tcPr>
            <w:tcW w:w="503" w:type="pct"/>
            <w:vAlign w:val="bottom"/>
          </w:tcPr>
          <w:p w14:paraId="58E740CB" w14:textId="77777777" w:rsidR="000638D2" w:rsidRPr="00C62447" w:rsidRDefault="000638D2" w:rsidP="000638D2">
            <w:pPr>
              <w:keepNext/>
              <w:tabs>
                <w:tab w:val="right" w:leader="dot" w:pos="9016"/>
              </w:tabs>
              <w:spacing w:before="40" w:after="40"/>
              <w:jc w:val="right"/>
              <w:rPr>
                <w:rFonts w:ascii="Arial Narrow" w:hAnsi="Arial Narrow"/>
                <w:noProof/>
                <w:sz w:val="18"/>
                <w:szCs w:val="18"/>
                <w:lang w:eastAsia="ja-JP"/>
              </w:rPr>
            </w:pPr>
            <w:r w:rsidRPr="00C62447">
              <w:rPr>
                <w:rFonts w:ascii="Arial Narrow" w:hAnsi="Arial Narrow"/>
                <w:noProof/>
                <w:sz w:val="18"/>
                <w:szCs w:val="18"/>
                <w:lang w:eastAsia="ja-JP"/>
              </w:rPr>
              <w:t>$148,044</w:t>
            </w:r>
          </w:p>
        </w:tc>
      </w:tr>
      <w:tr w:rsidR="000638D2" w:rsidRPr="00C62447" w14:paraId="6F3D4E2E" w14:textId="77777777" w:rsidTr="000638D2">
        <w:trPr>
          <w:trHeight w:val="137"/>
        </w:trPr>
        <w:tc>
          <w:tcPr>
            <w:tcW w:w="1222" w:type="pct"/>
            <w:tcBorders>
              <w:top w:val="nil"/>
            </w:tcBorders>
          </w:tcPr>
          <w:p w14:paraId="2EF03166" w14:textId="77777777" w:rsidR="000638D2" w:rsidRPr="00C62447" w:rsidRDefault="000638D2" w:rsidP="000638D2">
            <w:pPr>
              <w:keepNext/>
              <w:tabs>
                <w:tab w:val="right" w:leader="dot" w:pos="9016"/>
              </w:tabs>
              <w:spacing w:before="40" w:after="40"/>
              <w:rPr>
                <w:rFonts w:ascii="Arial Narrow" w:hAnsi="Arial Narrow"/>
                <w:noProof/>
                <w:sz w:val="18"/>
                <w:szCs w:val="18"/>
                <w:lang w:eastAsia="ja-JP"/>
              </w:rPr>
            </w:pPr>
            <w:r>
              <w:rPr>
                <w:rFonts w:ascii="Arial Narrow" w:hAnsi="Arial Narrow"/>
                <w:noProof/>
                <w:sz w:val="18"/>
                <w:szCs w:val="18"/>
                <w:lang w:eastAsia="ja-JP"/>
              </w:rPr>
              <w:t>-</w:t>
            </w:r>
          </w:p>
        </w:tc>
        <w:tc>
          <w:tcPr>
            <w:tcW w:w="460" w:type="pct"/>
          </w:tcPr>
          <w:p w14:paraId="4FA3D1B2" w14:textId="77777777" w:rsidR="000638D2" w:rsidRPr="00C62447" w:rsidRDefault="000638D2" w:rsidP="000638D2">
            <w:pPr>
              <w:keepNext/>
              <w:tabs>
                <w:tab w:val="right" w:leader="dot" w:pos="9016"/>
              </w:tabs>
              <w:spacing w:before="40" w:after="40"/>
              <w:rPr>
                <w:rFonts w:ascii="Arial Narrow" w:hAnsi="Arial Narrow"/>
                <w:noProof/>
                <w:sz w:val="18"/>
                <w:szCs w:val="18"/>
                <w:lang w:eastAsia="ja-JP"/>
              </w:rPr>
            </w:pPr>
            <w:r w:rsidRPr="00C62447">
              <w:rPr>
                <w:rFonts w:ascii="Arial Narrow" w:hAnsi="Arial Narrow"/>
                <w:noProof/>
                <w:sz w:val="18"/>
                <w:szCs w:val="18"/>
                <w:lang w:eastAsia="ja-JP"/>
              </w:rPr>
              <w:t xml:space="preserve">Biopsy </w:t>
            </w:r>
          </w:p>
        </w:tc>
        <w:tc>
          <w:tcPr>
            <w:tcW w:w="460" w:type="pct"/>
          </w:tcPr>
          <w:p w14:paraId="5AB089FB" w14:textId="77777777" w:rsidR="000638D2" w:rsidRPr="00C62447" w:rsidRDefault="000638D2" w:rsidP="000638D2">
            <w:pPr>
              <w:keepNext/>
              <w:tabs>
                <w:tab w:val="right" w:leader="dot" w:pos="9016"/>
              </w:tabs>
              <w:spacing w:before="40" w:after="40"/>
              <w:jc w:val="center"/>
              <w:rPr>
                <w:rFonts w:ascii="Arial Narrow" w:hAnsi="Arial Narrow"/>
                <w:noProof/>
                <w:sz w:val="18"/>
                <w:szCs w:val="18"/>
                <w:lang w:eastAsia="ja-JP"/>
              </w:rPr>
            </w:pPr>
            <w:r w:rsidRPr="00C62447">
              <w:rPr>
                <w:rFonts w:ascii="Arial Narrow" w:hAnsi="Arial Narrow"/>
                <w:noProof/>
                <w:sz w:val="18"/>
                <w:szCs w:val="18"/>
                <w:lang w:eastAsia="ja-JP"/>
              </w:rPr>
              <w:t>27.49</w:t>
            </w:r>
          </w:p>
        </w:tc>
        <w:tc>
          <w:tcPr>
            <w:tcW w:w="614" w:type="pct"/>
          </w:tcPr>
          <w:p w14:paraId="41AA46BD" w14:textId="77777777" w:rsidR="000638D2" w:rsidRPr="00C62447" w:rsidRDefault="000638D2" w:rsidP="000638D2">
            <w:pPr>
              <w:keepNext/>
              <w:tabs>
                <w:tab w:val="right" w:leader="dot" w:pos="9016"/>
              </w:tabs>
              <w:spacing w:before="40" w:after="40"/>
              <w:jc w:val="right"/>
              <w:rPr>
                <w:rFonts w:ascii="Arial Narrow" w:hAnsi="Arial Narrow"/>
                <w:noProof/>
                <w:sz w:val="18"/>
                <w:szCs w:val="18"/>
                <w:lang w:eastAsia="ja-JP"/>
              </w:rPr>
            </w:pPr>
            <w:r w:rsidRPr="00C62447">
              <w:rPr>
                <w:rFonts w:ascii="Arial Narrow" w:hAnsi="Arial Narrow"/>
                <w:noProof/>
                <w:sz w:val="18"/>
                <w:szCs w:val="18"/>
                <w:lang w:eastAsia="ja-JP"/>
              </w:rPr>
              <w:t>$61,177</w:t>
            </w:r>
          </w:p>
        </w:tc>
        <w:tc>
          <w:tcPr>
            <w:tcW w:w="647" w:type="pct"/>
          </w:tcPr>
          <w:p w14:paraId="3C68915C" w14:textId="77777777" w:rsidR="000638D2" w:rsidRPr="00C62447" w:rsidRDefault="000638D2" w:rsidP="000638D2">
            <w:pPr>
              <w:keepNext/>
              <w:tabs>
                <w:tab w:val="right" w:leader="dot" w:pos="9016"/>
              </w:tabs>
              <w:spacing w:before="40" w:after="40"/>
              <w:jc w:val="center"/>
              <w:rPr>
                <w:rFonts w:ascii="Arial Narrow" w:hAnsi="Arial Narrow"/>
                <w:noProof/>
                <w:sz w:val="18"/>
                <w:szCs w:val="18"/>
                <w:lang w:eastAsia="ja-JP"/>
              </w:rPr>
            </w:pPr>
            <w:r w:rsidRPr="00C62447">
              <w:rPr>
                <w:rFonts w:ascii="Arial Narrow" w:hAnsi="Arial Narrow"/>
                <w:noProof/>
                <w:sz w:val="18"/>
                <w:szCs w:val="18"/>
                <w:lang w:eastAsia="ja-JP"/>
              </w:rPr>
              <w:t>5.53</w:t>
            </w:r>
          </w:p>
        </w:tc>
        <w:tc>
          <w:tcPr>
            <w:tcW w:w="509" w:type="pct"/>
          </w:tcPr>
          <w:p w14:paraId="129D41F4" w14:textId="77777777" w:rsidR="000638D2" w:rsidRPr="00C62447" w:rsidRDefault="000638D2" w:rsidP="000638D2">
            <w:pPr>
              <w:keepNext/>
              <w:tabs>
                <w:tab w:val="right" w:leader="dot" w:pos="9016"/>
              </w:tabs>
              <w:spacing w:before="40" w:after="40"/>
              <w:jc w:val="right"/>
              <w:rPr>
                <w:rFonts w:ascii="Arial Narrow" w:hAnsi="Arial Narrow"/>
                <w:noProof/>
                <w:sz w:val="18"/>
                <w:szCs w:val="18"/>
                <w:lang w:eastAsia="ja-JP"/>
              </w:rPr>
            </w:pPr>
            <w:r w:rsidRPr="00C62447">
              <w:rPr>
                <w:rFonts w:ascii="Arial Narrow" w:hAnsi="Arial Narrow"/>
                <w:noProof/>
                <w:sz w:val="18"/>
                <w:szCs w:val="18"/>
                <w:lang w:eastAsia="ja-JP"/>
              </w:rPr>
              <w:t>$13,763</w:t>
            </w:r>
          </w:p>
        </w:tc>
        <w:tc>
          <w:tcPr>
            <w:tcW w:w="585" w:type="pct"/>
          </w:tcPr>
          <w:p w14:paraId="35F7E4B7" w14:textId="77777777" w:rsidR="000638D2" w:rsidRPr="00C62447" w:rsidRDefault="000638D2" w:rsidP="000638D2">
            <w:pPr>
              <w:keepNext/>
              <w:tabs>
                <w:tab w:val="right" w:leader="dot" w:pos="9016"/>
              </w:tabs>
              <w:spacing w:before="40" w:after="40"/>
              <w:jc w:val="center"/>
              <w:rPr>
                <w:rFonts w:ascii="Arial Narrow" w:hAnsi="Arial Narrow"/>
                <w:noProof/>
                <w:sz w:val="18"/>
                <w:szCs w:val="18"/>
                <w:lang w:eastAsia="ja-JP"/>
              </w:rPr>
            </w:pPr>
            <w:r w:rsidRPr="00C62447">
              <w:rPr>
                <w:rFonts w:ascii="Arial Narrow" w:hAnsi="Arial Narrow"/>
                <w:noProof/>
                <w:sz w:val="18"/>
                <w:szCs w:val="18"/>
                <w:lang w:eastAsia="ja-JP"/>
              </w:rPr>
              <w:t>-0.132</w:t>
            </w:r>
          </w:p>
        </w:tc>
        <w:tc>
          <w:tcPr>
            <w:tcW w:w="503" w:type="pct"/>
            <w:vAlign w:val="bottom"/>
          </w:tcPr>
          <w:p w14:paraId="020E075E" w14:textId="77777777" w:rsidR="000638D2" w:rsidRPr="00C62447" w:rsidRDefault="000638D2" w:rsidP="000638D2">
            <w:pPr>
              <w:keepNext/>
              <w:tabs>
                <w:tab w:val="right" w:leader="dot" w:pos="9016"/>
              </w:tabs>
              <w:spacing w:before="40" w:after="40"/>
              <w:jc w:val="right"/>
              <w:rPr>
                <w:rFonts w:ascii="Arial Narrow" w:hAnsi="Arial Narrow"/>
                <w:noProof/>
                <w:sz w:val="18"/>
                <w:szCs w:val="18"/>
                <w:lang w:eastAsia="ja-JP"/>
              </w:rPr>
            </w:pPr>
            <w:r w:rsidRPr="00C62447">
              <w:rPr>
                <w:rFonts w:ascii="Arial Narrow" w:hAnsi="Arial Narrow"/>
                <w:noProof/>
                <w:sz w:val="18"/>
                <w:szCs w:val="18"/>
                <w:lang w:eastAsia="ja-JP"/>
              </w:rPr>
              <w:t>Dominated</w:t>
            </w:r>
          </w:p>
        </w:tc>
      </w:tr>
    </w:tbl>
    <w:p w14:paraId="1DED1AEC" w14:textId="77777777" w:rsidR="000638D2" w:rsidRPr="00E316A9" w:rsidRDefault="000638D2" w:rsidP="000638D2">
      <w:pPr>
        <w:rPr>
          <w:rFonts w:ascii="Garamond" w:hAnsi="Garamond"/>
          <w:sz w:val="16"/>
          <w:szCs w:val="16"/>
        </w:rPr>
      </w:pPr>
      <w:r w:rsidRPr="00E316A9">
        <w:rPr>
          <w:rFonts w:ascii="Arial Narrow" w:hAnsi="Arial Narrow"/>
          <w:sz w:val="16"/>
          <w:szCs w:val="16"/>
        </w:rPr>
        <w:t xml:space="preserve">TE = transient </w:t>
      </w:r>
      <w:proofErr w:type="spellStart"/>
      <w:r w:rsidRPr="00E316A9">
        <w:rPr>
          <w:rFonts w:ascii="Arial Narrow" w:hAnsi="Arial Narrow"/>
          <w:sz w:val="16"/>
          <w:szCs w:val="16"/>
        </w:rPr>
        <w:t>elastography</w:t>
      </w:r>
      <w:proofErr w:type="spellEnd"/>
      <w:r>
        <w:rPr>
          <w:rFonts w:ascii="Arial Narrow" w:hAnsi="Arial Narrow"/>
          <w:sz w:val="16"/>
          <w:szCs w:val="16"/>
        </w:rPr>
        <w:t>;</w:t>
      </w:r>
      <w:r w:rsidRPr="00E316A9">
        <w:rPr>
          <w:rFonts w:ascii="Arial Narrow" w:hAnsi="Arial Narrow"/>
          <w:sz w:val="16"/>
          <w:szCs w:val="16"/>
        </w:rPr>
        <w:t xml:space="preserve"> CA = clinical assessment; </w:t>
      </w:r>
      <w:proofErr w:type="spellStart"/>
      <w:r w:rsidRPr="00E316A9">
        <w:rPr>
          <w:rFonts w:ascii="Arial Narrow" w:hAnsi="Arial Narrow"/>
          <w:sz w:val="16"/>
          <w:szCs w:val="16"/>
        </w:rPr>
        <w:t>Inc</w:t>
      </w:r>
      <w:proofErr w:type="spellEnd"/>
      <w:r w:rsidRPr="00E316A9">
        <w:rPr>
          <w:rFonts w:ascii="Arial Narrow" w:hAnsi="Arial Narrow"/>
          <w:sz w:val="16"/>
          <w:szCs w:val="16"/>
        </w:rPr>
        <w:t xml:space="preserve"> = incremental; ICER = incremental cost-effectiveness ratio; QALY = quality-adjusted life</w:t>
      </w:r>
      <w:r>
        <w:rPr>
          <w:rFonts w:ascii="Arial Narrow" w:hAnsi="Arial Narrow"/>
          <w:sz w:val="16"/>
          <w:szCs w:val="16"/>
        </w:rPr>
        <w:t xml:space="preserve"> year; LY </w:t>
      </w:r>
      <w:r w:rsidRPr="00E316A9">
        <w:rPr>
          <w:rFonts w:ascii="Arial Narrow" w:hAnsi="Arial Narrow"/>
          <w:sz w:val="16"/>
          <w:szCs w:val="16"/>
        </w:rPr>
        <w:t>= life years</w:t>
      </w:r>
      <w:r>
        <w:rPr>
          <w:rFonts w:ascii="Arial Narrow" w:hAnsi="Arial Narrow"/>
          <w:sz w:val="16"/>
          <w:szCs w:val="16"/>
        </w:rPr>
        <w:t xml:space="preserve"> (undiscounted)</w:t>
      </w:r>
    </w:p>
    <w:p w14:paraId="2C2EA2FB" w14:textId="77777777" w:rsidR="000638D2" w:rsidRPr="00E316A9" w:rsidRDefault="000638D2" w:rsidP="000638D2">
      <w:pPr>
        <w:rPr>
          <w:rFonts w:ascii="Arial Narrow" w:hAnsi="Arial Narrow"/>
          <w:sz w:val="20"/>
        </w:rPr>
      </w:pPr>
      <w:r w:rsidRPr="00E316A9">
        <w:rPr>
          <w:rFonts w:ascii="Arial Narrow" w:hAnsi="Arial Narrow"/>
          <w:b/>
          <w:sz w:val="16"/>
          <w:szCs w:val="16"/>
        </w:rPr>
        <w:t>Bold</w:t>
      </w:r>
      <w:r w:rsidRPr="00E316A9">
        <w:rPr>
          <w:rFonts w:ascii="Arial Narrow" w:hAnsi="Arial Narrow"/>
          <w:sz w:val="16"/>
          <w:szCs w:val="16"/>
        </w:rPr>
        <w:t xml:space="preserve"> = the cost-effective option of the three options.</w:t>
      </w:r>
    </w:p>
    <w:p w14:paraId="142F4975" w14:textId="77777777" w:rsidR="000638D2" w:rsidRDefault="000638D2" w:rsidP="000638D2">
      <w:pPr>
        <w:jc w:val="both"/>
        <w:rPr>
          <w:rFonts w:ascii="Garamond" w:hAnsi="Garamond"/>
        </w:rPr>
      </w:pPr>
    </w:p>
    <w:p w14:paraId="3AD9E654" w14:textId="4A399306" w:rsidR="00DB5833" w:rsidRPr="000F14B4" w:rsidRDefault="000638D2" w:rsidP="00FC111C">
      <w:r w:rsidRPr="006C09E4">
        <w:t xml:space="preserve">The hepatitis B </w:t>
      </w:r>
      <w:r w:rsidR="001E4A20">
        <w:t xml:space="preserve">modelled </w:t>
      </w:r>
      <w:r w:rsidRPr="006C09E4">
        <w:t>economic evaluation</w:t>
      </w:r>
      <w:r w:rsidR="00AC077A">
        <w:t xml:space="preserve"> results</w:t>
      </w:r>
      <w:r w:rsidR="000812D6">
        <w:t xml:space="preserve"> </w:t>
      </w:r>
      <w:r w:rsidR="001E4A20">
        <w:t>estimated</w:t>
      </w:r>
      <w:r w:rsidRPr="006C09E4">
        <w:t xml:space="preserve"> that patients would survive, on average, 28</w:t>
      </w:r>
      <w:r w:rsidR="000812D6">
        <w:t> </w:t>
      </w:r>
      <w:r w:rsidRPr="006C09E4">
        <w:t>years with annual monitoring and 27 years without monitoring. The cohort of patients diagnosed and annually monitored with TE plus clinical assessment would incur an average cost of $67,069 and gain 5.76 QALYs, making this test superior to liver biops</w:t>
      </w:r>
      <w:r w:rsidR="001E4A20">
        <w:t>y or clinical assessment alone.</w:t>
      </w:r>
    </w:p>
    <w:p w14:paraId="5465FA28" w14:textId="77777777" w:rsidR="00BC1364" w:rsidRPr="0075468E" w:rsidRDefault="00BC1364" w:rsidP="00DD2858">
      <w:pPr>
        <w:rPr>
          <w:szCs w:val="24"/>
        </w:rPr>
      </w:pPr>
    </w:p>
    <w:p w14:paraId="673AC1F8" w14:textId="77777777" w:rsidR="00BC1364" w:rsidRDefault="00BC1364" w:rsidP="007B32D1">
      <w:pPr>
        <w:pStyle w:val="Heading1"/>
        <w:numPr>
          <w:ilvl w:val="0"/>
          <w:numId w:val="23"/>
        </w:numPr>
        <w:ind w:hanging="720"/>
      </w:pPr>
      <w:r w:rsidRPr="008D5885">
        <w:t>Financial/budgetary impacts</w:t>
      </w:r>
    </w:p>
    <w:p w14:paraId="54304772" w14:textId="77777777" w:rsidR="00BC1364" w:rsidRDefault="00BC1364" w:rsidP="00D340DE">
      <w:pPr>
        <w:pStyle w:val="Default"/>
      </w:pPr>
    </w:p>
    <w:p w14:paraId="5B31C005" w14:textId="3F2A5DB8" w:rsidR="000638D2" w:rsidRPr="00C3596F" w:rsidRDefault="000638D2" w:rsidP="000638D2">
      <w:r w:rsidRPr="00C3596F">
        <w:t xml:space="preserve">The financial impact </w:t>
      </w:r>
      <w:r>
        <w:t>was</w:t>
      </w:r>
      <w:r w:rsidRPr="00C3596F">
        <w:t xml:space="preserve"> calculated for the next five years taking into consideration the prevalent population of chronic hepatitis B or C and the </w:t>
      </w:r>
      <w:r w:rsidR="009D3C36">
        <w:t xml:space="preserve">assumed numbers of </w:t>
      </w:r>
      <w:r w:rsidRPr="00C3596F">
        <w:t xml:space="preserve">new cases of </w:t>
      </w:r>
      <w:r w:rsidR="00ED23D9">
        <w:t xml:space="preserve">significant </w:t>
      </w:r>
      <w:r w:rsidRPr="00C3596F">
        <w:t>fibrosis diagnosed with TE every year. By listing TE, the MBS w</w:t>
      </w:r>
      <w:r w:rsidR="009D3C36">
        <w:t xml:space="preserve">as estimated to </w:t>
      </w:r>
      <w:r w:rsidRPr="00C3596F">
        <w:t xml:space="preserve">incur costs of approximately $8 million over the next five years. Table </w:t>
      </w:r>
      <w:r w:rsidR="000812D6">
        <w:t>4</w:t>
      </w:r>
      <w:r w:rsidRPr="00C3596F">
        <w:t xml:space="preserve"> summarises the key f</w:t>
      </w:r>
      <w:r w:rsidR="001E4A20">
        <w:t>inancial estimates for the MBS.</w:t>
      </w:r>
    </w:p>
    <w:p w14:paraId="1EA07754" w14:textId="77777777" w:rsidR="000638D2" w:rsidRDefault="000638D2" w:rsidP="000638D2">
      <w:pPr>
        <w:jc w:val="both"/>
        <w:rPr>
          <w:rFonts w:ascii="Garamond" w:hAnsi="Garamond"/>
        </w:rPr>
      </w:pPr>
    </w:p>
    <w:p w14:paraId="3DA2A7FD" w14:textId="77777777" w:rsidR="000812D6" w:rsidRDefault="000812D6">
      <w:pPr>
        <w:rPr>
          <w:rFonts w:ascii="Arial" w:hAnsi="Arial" w:cs="Arial"/>
          <w:b/>
          <w:sz w:val="20"/>
        </w:rPr>
      </w:pPr>
      <w:bookmarkStart w:id="3" w:name="_Toc436297202"/>
      <w:r>
        <w:rPr>
          <w:rFonts w:ascii="Arial" w:hAnsi="Arial" w:cs="Arial"/>
          <w:b/>
          <w:sz w:val="20"/>
        </w:rPr>
        <w:br w:type="page"/>
      </w:r>
    </w:p>
    <w:p w14:paraId="0D0EA07E" w14:textId="67E31726" w:rsidR="000638D2" w:rsidRPr="009C5703" w:rsidRDefault="000638D2" w:rsidP="009C5703">
      <w:pPr>
        <w:pStyle w:val="TableName"/>
        <w:ind w:left="0" w:firstLine="0"/>
        <w:rPr>
          <w:rFonts w:cs="Arial"/>
        </w:rPr>
      </w:pPr>
      <w:r w:rsidRPr="009C5703">
        <w:lastRenderedPageBreak/>
        <w:t>Table</w:t>
      </w:r>
      <w:r w:rsidRPr="009C5703">
        <w:rPr>
          <w:rFonts w:cs="Arial"/>
        </w:rPr>
        <w:t xml:space="preserve"> </w:t>
      </w:r>
      <w:r w:rsidR="000812D6" w:rsidRPr="009C5703">
        <w:rPr>
          <w:rFonts w:cs="Arial"/>
        </w:rPr>
        <w:t>4</w:t>
      </w:r>
      <w:r w:rsidRPr="009C5703">
        <w:rPr>
          <w:rFonts w:cs="Arial"/>
        </w:rPr>
        <w:t>: Results of the financial estimates over next five years</w:t>
      </w:r>
      <w:bookmarkEnd w:id="3"/>
    </w:p>
    <w:tbl>
      <w:tblPr>
        <w:tblW w:w="921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sults of the financial estimates over next five years"/>
        <w:tblDescription w:val="Text below this table explains the findings outlined in the table."/>
      </w:tblPr>
      <w:tblGrid>
        <w:gridCol w:w="3685"/>
        <w:gridCol w:w="1134"/>
        <w:gridCol w:w="1134"/>
        <w:gridCol w:w="1134"/>
        <w:gridCol w:w="1134"/>
        <w:gridCol w:w="992"/>
      </w:tblGrid>
      <w:tr w:rsidR="000638D2" w:rsidRPr="00C62447" w14:paraId="2FA45F06" w14:textId="77777777" w:rsidTr="000638D2">
        <w:trPr>
          <w:trHeight w:val="20"/>
          <w:tblHeader/>
        </w:trPr>
        <w:tc>
          <w:tcPr>
            <w:tcW w:w="3685" w:type="dxa"/>
            <w:shd w:val="clear" w:color="auto" w:fill="auto"/>
            <w:noWrap/>
            <w:vAlign w:val="center"/>
            <w:hideMark/>
          </w:tcPr>
          <w:p w14:paraId="052FC67D" w14:textId="0D768E34" w:rsidR="000638D2" w:rsidRPr="00C62447" w:rsidRDefault="000638D2" w:rsidP="000638D2">
            <w:pPr>
              <w:rPr>
                <w:rFonts w:ascii="Arial Narrow" w:hAnsi="Arial Narrow"/>
                <w:sz w:val="18"/>
                <w:szCs w:val="18"/>
              </w:rPr>
            </w:pPr>
          </w:p>
        </w:tc>
        <w:tc>
          <w:tcPr>
            <w:tcW w:w="1134" w:type="dxa"/>
            <w:shd w:val="clear" w:color="auto" w:fill="auto"/>
            <w:noWrap/>
            <w:vAlign w:val="center"/>
          </w:tcPr>
          <w:p w14:paraId="14DE4C2E" w14:textId="77777777" w:rsidR="000638D2" w:rsidRPr="00C62447" w:rsidRDefault="000638D2" w:rsidP="000638D2">
            <w:pPr>
              <w:jc w:val="center"/>
              <w:rPr>
                <w:rFonts w:ascii="Arial Narrow" w:hAnsi="Arial Narrow"/>
                <w:b/>
                <w:bCs/>
                <w:sz w:val="18"/>
                <w:szCs w:val="18"/>
              </w:rPr>
            </w:pPr>
            <w:r w:rsidRPr="00C62447">
              <w:rPr>
                <w:rFonts w:ascii="Arial Narrow" w:hAnsi="Arial Narrow"/>
                <w:b/>
                <w:bCs/>
                <w:sz w:val="18"/>
                <w:szCs w:val="18"/>
              </w:rPr>
              <w:t>2016</w:t>
            </w:r>
          </w:p>
        </w:tc>
        <w:tc>
          <w:tcPr>
            <w:tcW w:w="1134" w:type="dxa"/>
            <w:shd w:val="clear" w:color="auto" w:fill="auto"/>
            <w:noWrap/>
            <w:vAlign w:val="center"/>
          </w:tcPr>
          <w:p w14:paraId="2F1D3EFA" w14:textId="77777777" w:rsidR="000638D2" w:rsidRPr="00C62447" w:rsidRDefault="000638D2" w:rsidP="000638D2">
            <w:pPr>
              <w:jc w:val="center"/>
              <w:rPr>
                <w:rFonts w:ascii="Arial Narrow" w:hAnsi="Arial Narrow"/>
                <w:b/>
                <w:bCs/>
                <w:sz w:val="18"/>
                <w:szCs w:val="18"/>
              </w:rPr>
            </w:pPr>
            <w:r w:rsidRPr="00C62447">
              <w:rPr>
                <w:rFonts w:ascii="Arial Narrow" w:hAnsi="Arial Narrow"/>
                <w:b/>
                <w:bCs/>
                <w:sz w:val="18"/>
                <w:szCs w:val="18"/>
              </w:rPr>
              <w:t>2017</w:t>
            </w:r>
          </w:p>
        </w:tc>
        <w:tc>
          <w:tcPr>
            <w:tcW w:w="1134" w:type="dxa"/>
            <w:shd w:val="clear" w:color="auto" w:fill="auto"/>
            <w:noWrap/>
            <w:vAlign w:val="center"/>
          </w:tcPr>
          <w:p w14:paraId="1005D47D" w14:textId="77777777" w:rsidR="000638D2" w:rsidRPr="00C62447" w:rsidRDefault="000638D2" w:rsidP="000638D2">
            <w:pPr>
              <w:jc w:val="center"/>
              <w:rPr>
                <w:rFonts w:ascii="Arial Narrow" w:hAnsi="Arial Narrow"/>
                <w:b/>
                <w:bCs/>
                <w:sz w:val="18"/>
                <w:szCs w:val="18"/>
              </w:rPr>
            </w:pPr>
            <w:r w:rsidRPr="00C62447">
              <w:rPr>
                <w:rFonts w:ascii="Arial Narrow" w:hAnsi="Arial Narrow"/>
                <w:b/>
                <w:bCs/>
                <w:sz w:val="18"/>
                <w:szCs w:val="18"/>
              </w:rPr>
              <w:t>2018</w:t>
            </w:r>
          </w:p>
        </w:tc>
        <w:tc>
          <w:tcPr>
            <w:tcW w:w="1134" w:type="dxa"/>
            <w:shd w:val="clear" w:color="auto" w:fill="auto"/>
            <w:noWrap/>
            <w:vAlign w:val="center"/>
          </w:tcPr>
          <w:p w14:paraId="4AB586D1" w14:textId="77777777" w:rsidR="000638D2" w:rsidRPr="00C62447" w:rsidRDefault="000638D2" w:rsidP="000638D2">
            <w:pPr>
              <w:jc w:val="center"/>
              <w:rPr>
                <w:rFonts w:ascii="Arial Narrow" w:hAnsi="Arial Narrow"/>
                <w:b/>
                <w:bCs/>
                <w:sz w:val="18"/>
                <w:szCs w:val="18"/>
              </w:rPr>
            </w:pPr>
            <w:r w:rsidRPr="00C62447">
              <w:rPr>
                <w:rFonts w:ascii="Arial Narrow" w:hAnsi="Arial Narrow"/>
                <w:b/>
                <w:bCs/>
                <w:sz w:val="18"/>
                <w:szCs w:val="18"/>
              </w:rPr>
              <w:t>2019</w:t>
            </w:r>
          </w:p>
        </w:tc>
        <w:tc>
          <w:tcPr>
            <w:tcW w:w="992" w:type="dxa"/>
            <w:shd w:val="clear" w:color="auto" w:fill="auto"/>
            <w:noWrap/>
            <w:vAlign w:val="center"/>
          </w:tcPr>
          <w:p w14:paraId="3101DDBD" w14:textId="77777777" w:rsidR="000638D2" w:rsidRPr="00C62447" w:rsidRDefault="000638D2" w:rsidP="000638D2">
            <w:pPr>
              <w:jc w:val="center"/>
              <w:rPr>
                <w:rFonts w:ascii="Arial Narrow" w:hAnsi="Arial Narrow"/>
                <w:b/>
                <w:bCs/>
                <w:sz w:val="18"/>
                <w:szCs w:val="18"/>
              </w:rPr>
            </w:pPr>
            <w:r w:rsidRPr="00C62447">
              <w:rPr>
                <w:rFonts w:ascii="Arial Narrow" w:hAnsi="Arial Narrow"/>
                <w:b/>
                <w:bCs/>
                <w:sz w:val="18"/>
                <w:szCs w:val="18"/>
              </w:rPr>
              <w:t>2020</w:t>
            </w:r>
          </w:p>
        </w:tc>
      </w:tr>
      <w:tr w:rsidR="000638D2" w:rsidRPr="00C62447" w14:paraId="4C51ABF9" w14:textId="77777777" w:rsidTr="000638D2">
        <w:trPr>
          <w:trHeight w:val="20"/>
          <w:tblHeader/>
        </w:trPr>
        <w:tc>
          <w:tcPr>
            <w:tcW w:w="3685" w:type="dxa"/>
            <w:shd w:val="clear" w:color="auto" w:fill="auto"/>
            <w:noWrap/>
            <w:vAlign w:val="bottom"/>
          </w:tcPr>
          <w:p w14:paraId="4FDE27F8" w14:textId="77777777" w:rsidR="000638D2" w:rsidRPr="00C62447" w:rsidRDefault="000638D2" w:rsidP="000638D2">
            <w:pPr>
              <w:rPr>
                <w:rFonts w:ascii="Arial Narrow" w:hAnsi="Arial Narrow"/>
                <w:sz w:val="18"/>
                <w:szCs w:val="18"/>
              </w:rPr>
            </w:pPr>
            <w:r w:rsidRPr="00C62447">
              <w:rPr>
                <w:rFonts w:ascii="Arial Narrow" w:hAnsi="Arial Narrow"/>
                <w:b/>
                <w:bCs/>
                <w:sz w:val="18"/>
                <w:szCs w:val="18"/>
              </w:rPr>
              <w:t>HEPATITIS B</w:t>
            </w:r>
          </w:p>
        </w:tc>
        <w:tc>
          <w:tcPr>
            <w:tcW w:w="1134" w:type="dxa"/>
            <w:shd w:val="clear" w:color="auto" w:fill="auto"/>
          </w:tcPr>
          <w:p w14:paraId="18B0372D" w14:textId="6E3D0BA0" w:rsidR="000638D2" w:rsidRPr="007225D1" w:rsidRDefault="000638D2" w:rsidP="000638D2">
            <w:pPr>
              <w:jc w:val="center"/>
              <w:rPr>
                <w:rFonts w:ascii="Arial Narrow" w:hAnsi="Arial Narrow"/>
                <w:b/>
                <w:sz w:val="18"/>
                <w:szCs w:val="18"/>
              </w:rPr>
            </w:pPr>
          </w:p>
        </w:tc>
        <w:tc>
          <w:tcPr>
            <w:tcW w:w="1134" w:type="dxa"/>
            <w:shd w:val="clear" w:color="auto" w:fill="auto"/>
          </w:tcPr>
          <w:p w14:paraId="3B418A45" w14:textId="19305517" w:rsidR="000638D2" w:rsidRPr="007225D1" w:rsidRDefault="000638D2" w:rsidP="000638D2">
            <w:pPr>
              <w:jc w:val="center"/>
              <w:rPr>
                <w:rFonts w:ascii="Arial Narrow" w:hAnsi="Arial Narrow"/>
                <w:b/>
                <w:sz w:val="18"/>
                <w:szCs w:val="18"/>
              </w:rPr>
            </w:pPr>
          </w:p>
        </w:tc>
        <w:tc>
          <w:tcPr>
            <w:tcW w:w="1134" w:type="dxa"/>
            <w:shd w:val="clear" w:color="auto" w:fill="auto"/>
          </w:tcPr>
          <w:p w14:paraId="5C62597F" w14:textId="5C1127CA" w:rsidR="000638D2" w:rsidRPr="007225D1" w:rsidRDefault="000638D2" w:rsidP="000638D2">
            <w:pPr>
              <w:jc w:val="center"/>
              <w:rPr>
                <w:rFonts w:ascii="Arial Narrow" w:hAnsi="Arial Narrow"/>
                <w:b/>
                <w:sz w:val="18"/>
                <w:szCs w:val="18"/>
              </w:rPr>
            </w:pPr>
          </w:p>
        </w:tc>
        <w:tc>
          <w:tcPr>
            <w:tcW w:w="1134" w:type="dxa"/>
            <w:shd w:val="clear" w:color="auto" w:fill="auto"/>
          </w:tcPr>
          <w:p w14:paraId="44105493" w14:textId="1F996DAC" w:rsidR="000638D2" w:rsidRPr="007225D1" w:rsidRDefault="000638D2" w:rsidP="000638D2">
            <w:pPr>
              <w:jc w:val="center"/>
              <w:rPr>
                <w:rFonts w:ascii="Arial Narrow" w:hAnsi="Arial Narrow"/>
                <w:b/>
                <w:sz w:val="18"/>
                <w:szCs w:val="18"/>
              </w:rPr>
            </w:pPr>
          </w:p>
        </w:tc>
        <w:tc>
          <w:tcPr>
            <w:tcW w:w="992" w:type="dxa"/>
            <w:shd w:val="clear" w:color="auto" w:fill="auto"/>
          </w:tcPr>
          <w:p w14:paraId="41895369" w14:textId="07E2B72A" w:rsidR="000638D2" w:rsidRPr="007225D1" w:rsidRDefault="000638D2" w:rsidP="000638D2">
            <w:pPr>
              <w:jc w:val="center"/>
              <w:rPr>
                <w:rFonts w:ascii="Arial Narrow" w:hAnsi="Arial Narrow"/>
                <w:b/>
                <w:sz w:val="18"/>
                <w:szCs w:val="18"/>
              </w:rPr>
            </w:pPr>
          </w:p>
        </w:tc>
      </w:tr>
      <w:tr w:rsidR="000638D2" w:rsidRPr="00C62447" w14:paraId="2E51CB46" w14:textId="77777777" w:rsidTr="009D3C36">
        <w:trPr>
          <w:trHeight w:val="20"/>
          <w:tblHeader/>
        </w:trPr>
        <w:tc>
          <w:tcPr>
            <w:tcW w:w="3685" w:type="dxa"/>
            <w:shd w:val="clear" w:color="auto" w:fill="auto"/>
            <w:noWrap/>
            <w:vAlign w:val="bottom"/>
            <w:hideMark/>
          </w:tcPr>
          <w:p w14:paraId="743F5E93" w14:textId="77777777" w:rsidR="000638D2" w:rsidRPr="00C62447" w:rsidRDefault="000638D2" w:rsidP="000638D2">
            <w:pPr>
              <w:rPr>
                <w:rFonts w:ascii="Arial Narrow" w:hAnsi="Arial Narrow"/>
                <w:b/>
                <w:bCs/>
                <w:sz w:val="18"/>
                <w:szCs w:val="18"/>
              </w:rPr>
            </w:pPr>
            <w:r w:rsidRPr="00C62447">
              <w:rPr>
                <w:rFonts w:ascii="Arial Narrow" w:hAnsi="Arial Narrow"/>
                <w:b/>
                <w:bCs/>
                <w:sz w:val="18"/>
                <w:szCs w:val="18"/>
              </w:rPr>
              <w:t>Eligible population</w:t>
            </w:r>
          </w:p>
        </w:tc>
        <w:tc>
          <w:tcPr>
            <w:tcW w:w="1134" w:type="dxa"/>
            <w:shd w:val="clear" w:color="auto" w:fill="auto"/>
            <w:noWrap/>
          </w:tcPr>
          <w:p w14:paraId="3E1C158E" w14:textId="16CF0E9E" w:rsidR="000638D2" w:rsidRPr="00C62447" w:rsidRDefault="000638D2" w:rsidP="000638D2">
            <w:pPr>
              <w:pStyle w:val="TableText"/>
              <w:spacing w:before="0" w:after="0"/>
              <w:jc w:val="center"/>
              <w:rPr>
                <w:bCs/>
                <w:szCs w:val="18"/>
              </w:rPr>
            </w:pPr>
          </w:p>
        </w:tc>
        <w:tc>
          <w:tcPr>
            <w:tcW w:w="1134" w:type="dxa"/>
            <w:shd w:val="clear" w:color="auto" w:fill="auto"/>
            <w:noWrap/>
          </w:tcPr>
          <w:p w14:paraId="5673AEA5" w14:textId="6FC940FD" w:rsidR="000638D2" w:rsidRPr="00C62447" w:rsidRDefault="000638D2" w:rsidP="000638D2">
            <w:pPr>
              <w:pStyle w:val="TableText"/>
              <w:spacing w:before="0" w:after="0"/>
              <w:jc w:val="center"/>
              <w:rPr>
                <w:bCs/>
                <w:szCs w:val="18"/>
              </w:rPr>
            </w:pPr>
          </w:p>
        </w:tc>
        <w:tc>
          <w:tcPr>
            <w:tcW w:w="1134" w:type="dxa"/>
            <w:shd w:val="clear" w:color="auto" w:fill="auto"/>
            <w:noWrap/>
          </w:tcPr>
          <w:p w14:paraId="2EFFC36A" w14:textId="1B5D927B" w:rsidR="000638D2" w:rsidRPr="00C62447" w:rsidRDefault="000638D2" w:rsidP="000638D2">
            <w:pPr>
              <w:pStyle w:val="TableText"/>
              <w:spacing w:before="0" w:after="0"/>
              <w:jc w:val="center"/>
              <w:rPr>
                <w:bCs/>
                <w:szCs w:val="18"/>
              </w:rPr>
            </w:pPr>
          </w:p>
        </w:tc>
        <w:tc>
          <w:tcPr>
            <w:tcW w:w="1134" w:type="dxa"/>
            <w:shd w:val="clear" w:color="auto" w:fill="auto"/>
            <w:noWrap/>
          </w:tcPr>
          <w:p w14:paraId="24F87A53" w14:textId="454FA444" w:rsidR="000638D2" w:rsidRPr="00C62447" w:rsidRDefault="000638D2" w:rsidP="000638D2">
            <w:pPr>
              <w:pStyle w:val="TableText"/>
              <w:spacing w:before="0" w:after="0"/>
              <w:jc w:val="center"/>
              <w:rPr>
                <w:bCs/>
                <w:szCs w:val="18"/>
              </w:rPr>
            </w:pPr>
          </w:p>
        </w:tc>
        <w:tc>
          <w:tcPr>
            <w:tcW w:w="992" w:type="dxa"/>
            <w:shd w:val="clear" w:color="auto" w:fill="auto"/>
            <w:noWrap/>
          </w:tcPr>
          <w:p w14:paraId="6B797A32" w14:textId="36F3E2C6" w:rsidR="000638D2" w:rsidRPr="00C62447" w:rsidRDefault="000638D2" w:rsidP="000638D2">
            <w:pPr>
              <w:pStyle w:val="TableText"/>
              <w:spacing w:before="0" w:after="0"/>
              <w:jc w:val="center"/>
              <w:rPr>
                <w:bCs/>
                <w:szCs w:val="18"/>
              </w:rPr>
            </w:pPr>
          </w:p>
        </w:tc>
      </w:tr>
      <w:tr w:rsidR="000638D2" w:rsidRPr="00C62447" w14:paraId="2DDE1880" w14:textId="77777777" w:rsidTr="000638D2">
        <w:trPr>
          <w:trHeight w:val="20"/>
          <w:tblHeader/>
        </w:trPr>
        <w:tc>
          <w:tcPr>
            <w:tcW w:w="3685" w:type="dxa"/>
            <w:shd w:val="clear" w:color="auto" w:fill="auto"/>
            <w:noWrap/>
            <w:vAlign w:val="bottom"/>
          </w:tcPr>
          <w:p w14:paraId="12F000B1"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Australian population estimate</w:t>
            </w:r>
          </w:p>
        </w:tc>
        <w:tc>
          <w:tcPr>
            <w:tcW w:w="1134" w:type="dxa"/>
            <w:shd w:val="clear" w:color="auto" w:fill="auto"/>
            <w:noWrap/>
          </w:tcPr>
          <w:p w14:paraId="1C574BFD" w14:textId="77777777" w:rsidR="000638D2" w:rsidRPr="00C62447" w:rsidRDefault="000638D2" w:rsidP="000638D2">
            <w:pPr>
              <w:pStyle w:val="TableText"/>
              <w:spacing w:before="0" w:after="0"/>
              <w:jc w:val="center"/>
              <w:rPr>
                <w:bCs/>
                <w:szCs w:val="18"/>
              </w:rPr>
            </w:pPr>
            <w:r w:rsidRPr="00C62447">
              <w:rPr>
                <w:bCs/>
                <w:szCs w:val="18"/>
              </w:rPr>
              <w:t>24,359,761</w:t>
            </w:r>
          </w:p>
        </w:tc>
        <w:tc>
          <w:tcPr>
            <w:tcW w:w="1134" w:type="dxa"/>
            <w:shd w:val="clear" w:color="auto" w:fill="auto"/>
            <w:noWrap/>
          </w:tcPr>
          <w:p w14:paraId="5C0AD98A" w14:textId="77777777" w:rsidR="000638D2" w:rsidRPr="00C62447" w:rsidRDefault="000638D2" w:rsidP="000638D2">
            <w:pPr>
              <w:pStyle w:val="TableText"/>
              <w:spacing w:before="0" w:after="0"/>
              <w:jc w:val="center"/>
              <w:rPr>
                <w:bCs/>
                <w:szCs w:val="18"/>
              </w:rPr>
            </w:pPr>
            <w:r w:rsidRPr="00C62447">
              <w:rPr>
                <w:bCs/>
                <w:szCs w:val="18"/>
              </w:rPr>
              <w:t>24.781,121</w:t>
            </w:r>
          </w:p>
        </w:tc>
        <w:tc>
          <w:tcPr>
            <w:tcW w:w="1134" w:type="dxa"/>
            <w:shd w:val="clear" w:color="auto" w:fill="auto"/>
            <w:noWrap/>
          </w:tcPr>
          <w:p w14:paraId="2748588E" w14:textId="77777777" w:rsidR="000638D2" w:rsidRPr="00C62447" w:rsidRDefault="000638D2" w:rsidP="000638D2">
            <w:pPr>
              <w:pStyle w:val="TableText"/>
              <w:spacing w:before="0" w:after="0"/>
              <w:jc w:val="center"/>
              <w:rPr>
                <w:bCs/>
                <w:szCs w:val="18"/>
              </w:rPr>
            </w:pPr>
            <w:r w:rsidRPr="00C62447">
              <w:rPr>
                <w:bCs/>
                <w:szCs w:val="18"/>
              </w:rPr>
              <w:t>25,201,317</w:t>
            </w:r>
          </w:p>
        </w:tc>
        <w:tc>
          <w:tcPr>
            <w:tcW w:w="1134" w:type="dxa"/>
            <w:shd w:val="clear" w:color="auto" w:fill="auto"/>
            <w:noWrap/>
          </w:tcPr>
          <w:p w14:paraId="1D79F5C3" w14:textId="77777777" w:rsidR="000638D2" w:rsidRPr="00C62447" w:rsidRDefault="000638D2" w:rsidP="000638D2">
            <w:pPr>
              <w:pStyle w:val="TableText"/>
              <w:spacing w:before="0" w:after="0"/>
              <w:jc w:val="center"/>
              <w:rPr>
                <w:bCs/>
                <w:szCs w:val="18"/>
              </w:rPr>
            </w:pPr>
            <w:r w:rsidRPr="00C62447">
              <w:rPr>
                <w:bCs/>
                <w:szCs w:val="18"/>
              </w:rPr>
              <w:t>25,619,895</w:t>
            </w:r>
          </w:p>
        </w:tc>
        <w:tc>
          <w:tcPr>
            <w:tcW w:w="992" w:type="dxa"/>
            <w:shd w:val="clear" w:color="auto" w:fill="auto"/>
            <w:noWrap/>
          </w:tcPr>
          <w:p w14:paraId="6AD5F9D4" w14:textId="77777777" w:rsidR="000638D2" w:rsidRPr="00C62447" w:rsidRDefault="000638D2" w:rsidP="000638D2">
            <w:pPr>
              <w:pStyle w:val="TableText"/>
              <w:spacing w:before="0" w:after="0"/>
              <w:jc w:val="center"/>
              <w:rPr>
                <w:bCs/>
                <w:szCs w:val="18"/>
              </w:rPr>
            </w:pPr>
            <w:r w:rsidRPr="00C62447">
              <w:rPr>
                <w:bCs/>
                <w:szCs w:val="18"/>
              </w:rPr>
              <w:t>26,037,356</w:t>
            </w:r>
          </w:p>
        </w:tc>
      </w:tr>
      <w:tr w:rsidR="000638D2" w:rsidRPr="00C62447" w14:paraId="4EABE4A1" w14:textId="77777777" w:rsidTr="000638D2">
        <w:trPr>
          <w:trHeight w:val="20"/>
          <w:tblHeader/>
        </w:trPr>
        <w:tc>
          <w:tcPr>
            <w:tcW w:w="3685" w:type="dxa"/>
            <w:shd w:val="clear" w:color="auto" w:fill="auto"/>
            <w:noWrap/>
            <w:vAlign w:val="bottom"/>
          </w:tcPr>
          <w:p w14:paraId="3C5EC24A"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Proportion with chronic hepatitis B</w:t>
            </w:r>
          </w:p>
        </w:tc>
        <w:tc>
          <w:tcPr>
            <w:tcW w:w="1134" w:type="dxa"/>
            <w:shd w:val="clear" w:color="auto" w:fill="auto"/>
            <w:noWrap/>
          </w:tcPr>
          <w:p w14:paraId="1A5057EB" w14:textId="77777777" w:rsidR="000638D2" w:rsidRPr="00C62447" w:rsidRDefault="000638D2" w:rsidP="000638D2">
            <w:pPr>
              <w:pStyle w:val="TableText"/>
              <w:spacing w:before="0" w:after="0"/>
              <w:jc w:val="center"/>
              <w:rPr>
                <w:bCs/>
                <w:szCs w:val="18"/>
              </w:rPr>
            </w:pPr>
            <w:r w:rsidRPr="00C62447">
              <w:rPr>
                <w:bCs/>
                <w:szCs w:val="18"/>
              </w:rPr>
              <w:t>236,290</w:t>
            </w:r>
          </w:p>
        </w:tc>
        <w:tc>
          <w:tcPr>
            <w:tcW w:w="1134" w:type="dxa"/>
            <w:shd w:val="clear" w:color="auto" w:fill="auto"/>
            <w:noWrap/>
          </w:tcPr>
          <w:p w14:paraId="17498D58" w14:textId="77777777" w:rsidR="000638D2" w:rsidRPr="00C62447" w:rsidRDefault="000638D2" w:rsidP="000638D2">
            <w:pPr>
              <w:pStyle w:val="TableText"/>
              <w:spacing w:before="0" w:after="0"/>
              <w:jc w:val="center"/>
              <w:rPr>
                <w:bCs/>
                <w:szCs w:val="18"/>
              </w:rPr>
            </w:pPr>
            <w:r w:rsidRPr="00C62447">
              <w:rPr>
                <w:bCs/>
                <w:szCs w:val="18"/>
              </w:rPr>
              <w:t>240,377</w:t>
            </w:r>
          </w:p>
        </w:tc>
        <w:tc>
          <w:tcPr>
            <w:tcW w:w="1134" w:type="dxa"/>
            <w:shd w:val="clear" w:color="auto" w:fill="auto"/>
            <w:noWrap/>
          </w:tcPr>
          <w:p w14:paraId="7BC01A91" w14:textId="77777777" w:rsidR="000638D2" w:rsidRPr="00C62447" w:rsidRDefault="000638D2" w:rsidP="000638D2">
            <w:pPr>
              <w:pStyle w:val="TableText"/>
              <w:spacing w:before="0" w:after="0"/>
              <w:jc w:val="center"/>
              <w:rPr>
                <w:bCs/>
                <w:szCs w:val="18"/>
              </w:rPr>
            </w:pPr>
            <w:r w:rsidRPr="00C62447">
              <w:rPr>
                <w:bCs/>
                <w:szCs w:val="18"/>
              </w:rPr>
              <w:t>244,453</w:t>
            </w:r>
          </w:p>
        </w:tc>
        <w:tc>
          <w:tcPr>
            <w:tcW w:w="1134" w:type="dxa"/>
            <w:shd w:val="clear" w:color="auto" w:fill="auto"/>
            <w:noWrap/>
          </w:tcPr>
          <w:p w14:paraId="13C83652" w14:textId="77777777" w:rsidR="000638D2" w:rsidRPr="00C62447" w:rsidRDefault="000638D2" w:rsidP="000638D2">
            <w:pPr>
              <w:pStyle w:val="TableText"/>
              <w:spacing w:before="0" w:after="0"/>
              <w:jc w:val="center"/>
              <w:rPr>
                <w:bCs/>
                <w:szCs w:val="18"/>
              </w:rPr>
            </w:pPr>
            <w:r w:rsidRPr="00C62447">
              <w:rPr>
                <w:bCs/>
                <w:szCs w:val="18"/>
              </w:rPr>
              <w:t>248,513</w:t>
            </w:r>
          </w:p>
        </w:tc>
        <w:tc>
          <w:tcPr>
            <w:tcW w:w="992" w:type="dxa"/>
            <w:shd w:val="clear" w:color="auto" w:fill="auto"/>
            <w:noWrap/>
          </w:tcPr>
          <w:p w14:paraId="02D8B532" w14:textId="77777777" w:rsidR="000638D2" w:rsidRPr="00C62447" w:rsidRDefault="000638D2" w:rsidP="000638D2">
            <w:pPr>
              <w:pStyle w:val="TableText"/>
              <w:spacing w:before="0" w:after="0"/>
              <w:jc w:val="center"/>
              <w:rPr>
                <w:bCs/>
                <w:szCs w:val="18"/>
              </w:rPr>
            </w:pPr>
            <w:r w:rsidRPr="00C62447">
              <w:rPr>
                <w:bCs/>
                <w:szCs w:val="18"/>
              </w:rPr>
              <w:t>252,562</w:t>
            </w:r>
          </w:p>
        </w:tc>
      </w:tr>
      <w:tr w:rsidR="000638D2" w:rsidRPr="00C62447" w14:paraId="6063E647" w14:textId="77777777" w:rsidTr="000638D2">
        <w:trPr>
          <w:trHeight w:val="20"/>
          <w:tblHeader/>
        </w:trPr>
        <w:tc>
          <w:tcPr>
            <w:tcW w:w="3685" w:type="dxa"/>
            <w:shd w:val="clear" w:color="auto" w:fill="auto"/>
            <w:noWrap/>
            <w:vAlign w:val="bottom"/>
          </w:tcPr>
          <w:p w14:paraId="336EC770"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Proportion engaged in care</w:t>
            </w:r>
          </w:p>
        </w:tc>
        <w:tc>
          <w:tcPr>
            <w:tcW w:w="1134" w:type="dxa"/>
            <w:shd w:val="clear" w:color="auto" w:fill="auto"/>
            <w:noWrap/>
          </w:tcPr>
          <w:p w14:paraId="3BE5E117" w14:textId="77777777" w:rsidR="000638D2" w:rsidRPr="00C62447" w:rsidRDefault="000638D2" w:rsidP="000638D2">
            <w:pPr>
              <w:pStyle w:val="TableText"/>
              <w:spacing w:before="0" w:after="0"/>
              <w:jc w:val="center"/>
              <w:rPr>
                <w:bCs/>
                <w:szCs w:val="18"/>
              </w:rPr>
            </w:pPr>
            <w:r w:rsidRPr="00C62447">
              <w:rPr>
                <w:bCs/>
                <w:szCs w:val="18"/>
              </w:rPr>
              <w:t>30,718</w:t>
            </w:r>
          </w:p>
        </w:tc>
        <w:tc>
          <w:tcPr>
            <w:tcW w:w="1134" w:type="dxa"/>
            <w:shd w:val="clear" w:color="auto" w:fill="auto"/>
            <w:noWrap/>
          </w:tcPr>
          <w:p w14:paraId="7CF8FB2E" w14:textId="77777777" w:rsidR="000638D2" w:rsidRPr="00C62447" w:rsidRDefault="000638D2" w:rsidP="000638D2">
            <w:pPr>
              <w:pStyle w:val="TableText"/>
              <w:spacing w:before="0" w:after="0"/>
              <w:jc w:val="center"/>
              <w:rPr>
                <w:bCs/>
                <w:szCs w:val="18"/>
              </w:rPr>
            </w:pPr>
            <w:r w:rsidRPr="00C62447">
              <w:rPr>
                <w:bCs/>
                <w:szCs w:val="18"/>
              </w:rPr>
              <w:t>31,249</w:t>
            </w:r>
          </w:p>
        </w:tc>
        <w:tc>
          <w:tcPr>
            <w:tcW w:w="1134" w:type="dxa"/>
            <w:shd w:val="clear" w:color="auto" w:fill="auto"/>
            <w:noWrap/>
          </w:tcPr>
          <w:p w14:paraId="76C90D04" w14:textId="77777777" w:rsidR="000638D2" w:rsidRPr="00C62447" w:rsidRDefault="000638D2" w:rsidP="000638D2">
            <w:pPr>
              <w:pStyle w:val="TableText"/>
              <w:spacing w:before="0" w:after="0"/>
              <w:jc w:val="center"/>
              <w:rPr>
                <w:bCs/>
                <w:szCs w:val="18"/>
              </w:rPr>
            </w:pPr>
            <w:r w:rsidRPr="00C62447">
              <w:rPr>
                <w:bCs/>
                <w:szCs w:val="18"/>
              </w:rPr>
              <w:t>31,779</w:t>
            </w:r>
          </w:p>
        </w:tc>
        <w:tc>
          <w:tcPr>
            <w:tcW w:w="1134" w:type="dxa"/>
            <w:shd w:val="clear" w:color="auto" w:fill="auto"/>
            <w:noWrap/>
          </w:tcPr>
          <w:p w14:paraId="1A0555A8" w14:textId="77777777" w:rsidR="000638D2" w:rsidRPr="00C62447" w:rsidRDefault="000638D2" w:rsidP="000638D2">
            <w:pPr>
              <w:pStyle w:val="TableText"/>
              <w:spacing w:before="0" w:after="0"/>
              <w:jc w:val="center"/>
              <w:rPr>
                <w:bCs/>
                <w:szCs w:val="18"/>
              </w:rPr>
            </w:pPr>
            <w:r w:rsidRPr="00C62447">
              <w:rPr>
                <w:bCs/>
                <w:szCs w:val="18"/>
              </w:rPr>
              <w:t>32,307</w:t>
            </w:r>
          </w:p>
        </w:tc>
        <w:tc>
          <w:tcPr>
            <w:tcW w:w="992" w:type="dxa"/>
            <w:shd w:val="clear" w:color="auto" w:fill="auto"/>
            <w:noWrap/>
          </w:tcPr>
          <w:p w14:paraId="59B3C39B" w14:textId="77777777" w:rsidR="000638D2" w:rsidRPr="00C62447" w:rsidRDefault="000638D2" w:rsidP="000638D2">
            <w:pPr>
              <w:pStyle w:val="TableText"/>
              <w:spacing w:before="0" w:after="0"/>
              <w:jc w:val="center"/>
              <w:rPr>
                <w:bCs/>
                <w:szCs w:val="18"/>
              </w:rPr>
            </w:pPr>
            <w:r w:rsidRPr="00C62447">
              <w:rPr>
                <w:bCs/>
                <w:szCs w:val="18"/>
              </w:rPr>
              <w:t>32,833</w:t>
            </w:r>
          </w:p>
        </w:tc>
      </w:tr>
      <w:tr w:rsidR="000638D2" w:rsidRPr="00C62447" w14:paraId="350499BA" w14:textId="77777777" w:rsidTr="009D3C36">
        <w:trPr>
          <w:trHeight w:val="20"/>
          <w:tblHeader/>
        </w:trPr>
        <w:tc>
          <w:tcPr>
            <w:tcW w:w="3685" w:type="dxa"/>
            <w:shd w:val="clear" w:color="auto" w:fill="auto"/>
            <w:noWrap/>
            <w:vAlign w:val="bottom"/>
            <w:hideMark/>
          </w:tcPr>
          <w:p w14:paraId="73860AE1" w14:textId="77777777" w:rsidR="000638D2" w:rsidRPr="00C62447" w:rsidRDefault="000638D2" w:rsidP="000638D2">
            <w:pPr>
              <w:rPr>
                <w:rFonts w:ascii="Arial Narrow" w:hAnsi="Arial Narrow"/>
                <w:b/>
                <w:bCs/>
                <w:sz w:val="18"/>
                <w:szCs w:val="18"/>
              </w:rPr>
            </w:pPr>
            <w:r w:rsidRPr="00C62447">
              <w:rPr>
                <w:rFonts w:ascii="Arial Narrow" w:hAnsi="Arial Narrow"/>
                <w:b/>
                <w:bCs/>
                <w:sz w:val="18"/>
                <w:szCs w:val="18"/>
              </w:rPr>
              <w:t>Estimated number of TEs</w:t>
            </w:r>
          </w:p>
        </w:tc>
        <w:tc>
          <w:tcPr>
            <w:tcW w:w="1134" w:type="dxa"/>
            <w:shd w:val="clear" w:color="auto" w:fill="auto"/>
            <w:noWrap/>
          </w:tcPr>
          <w:p w14:paraId="785C58D0" w14:textId="502F5330" w:rsidR="000638D2" w:rsidRPr="00C62447" w:rsidRDefault="000638D2" w:rsidP="000638D2">
            <w:pPr>
              <w:pStyle w:val="TableText"/>
              <w:spacing w:before="0" w:after="0"/>
              <w:jc w:val="center"/>
              <w:rPr>
                <w:bCs/>
                <w:szCs w:val="18"/>
              </w:rPr>
            </w:pPr>
          </w:p>
        </w:tc>
        <w:tc>
          <w:tcPr>
            <w:tcW w:w="1134" w:type="dxa"/>
            <w:shd w:val="clear" w:color="auto" w:fill="auto"/>
            <w:noWrap/>
          </w:tcPr>
          <w:p w14:paraId="09C8262B" w14:textId="22F29AF4" w:rsidR="000638D2" w:rsidRPr="00C62447" w:rsidRDefault="000638D2" w:rsidP="000638D2">
            <w:pPr>
              <w:pStyle w:val="TableText"/>
              <w:spacing w:before="0" w:after="0"/>
              <w:jc w:val="center"/>
              <w:rPr>
                <w:bCs/>
                <w:szCs w:val="18"/>
              </w:rPr>
            </w:pPr>
          </w:p>
        </w:tc>
        <w:tc>
          <w:tcPr>
            <w:tcW w:w="1134" w:type="dxa"/>
            <w:shd w:val="clear" w:color="auto" w:fill="auto"/>
            <w:noWrap/>
          </w:tcPr>
          <w:p w14:paraId="5E6CE3CF" w14:textId="789FBBC0" w:rsidR="000638D2" w:rsidRPr="00C62447" w:rsidRDefault="000638D2" w:rsidP="000638D2">
            <w:pPr>
              <w:pStyle w:val="TableText"/>
              <w:spacing w:before="0" w:after="0"/>
              <w:jc w:val="center"/>
              <w:rPr>
                <w:bCs/>
                <w:szCs w:val="18"/>
              </w:rPr>
            </w:pPr>
          </w:p>
        </w:tc>
        <w:tc>
          <w:tcPr>
            <w:tcW w:w="1134" w:type="dxa"/>
            <w:shd w:val="clear" w:color="auto" w:fill="auto"/>
            <w:noWrap/>
          </w:tcPr>
          <w:p w14:paraId="126C7224" w14:textId="164538C6" w:rsidR="000638D2" w:rsidRPr="00C62447" w:rsidRDefault="000638D2" w:rsidP="000638D2">
            <w:pPr>
              <w:pStyle w:val="TableText"/>
              <w:spacing w:before="0" w:after="0"/>
              <w:jc w:val="center"/>
              <w:rPr>
                <w:bCs/>
                <w:szCs w:val="18"/>
              </w:rPr>
            </w:pPr>
          </w:p>
        </w:tc>
        <w:tc>
          <w:tcPr>
            <w:tcW w:w="992" w:type="dxa"/>
            <w:shd w:val="clear" w:color="auto" w:fill="auto"/>
            <w:noWrap/>
          </w:tcPr>
          <w:p w14:paraId="65637ECE" w14:textId="20707BAC" w:rsidR="000638D2" w:rsidRPr="00C62447" w:rsidRDefault="000638D2" w:rsidP="000638D2">
            <w:pPr>
              <w:pStyle w:val="TableText"/>
              <w:spacing w:before="0" w:after="0"/>
              <w:jc w:val="center"/>
              <w:rPr>
                <w:bCs/>
                <w:szCs w:val="18"/>
              </w:rPr>
            </w:pPr>
          </w:p>
        </w:tc>
      </w:tr>
      <w:tr w:rsidR="000638D2" w:rsidRPr="00C62447" w14:paraId="7B03ADB4" w14:textId="77777777" w:rsidTr="000638D2">
        <w:trPr>
          <w:trHeight w:val="20"/>
          <w:tblHeader/>
        </w:trPr>
        <w:tc>
          <w:tcPr>
            <w:tcW w:w="3685" w:type="dxa"/>
            <w:shd w:val="clear" w:color="auto" w:fill="auto"/>
            <w:noWrap/>
            <w:vAlign w:val="bottom"/>
            <w:hideMark/>
          </w:tcPr>
          <w:p w14:paraId="0C8A35D6"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 xml:space="preserve">Annual scans on F≥2 fibrosis (50% have </w:t>
            </w:r>
            <w:r>
              <w:rPr>
                <w:rFonts w:ascii="Arial Narrow" w:hAnsi="Arial Narrow"/>
                <w:sz w:val="18"/>
                <w:szCs w:val="18"/>
              </w:rPr>
              <w:t>F≤1</w:t>
            </w:r>
            <w:r w:rsidRPr="00C62447">
              <w:rPr>
                <w:rFonts w:ascii="Arial Narrow" w:hAnsi="Arial Narrow"/>
                <w:sz w:val="18"/>
                <w:szCs w:val="18"/>
              </w:rPr>
              <w:t>)</w:t>
            </w:r>
          </w:p>
        </w:tc>
        <w:tc>
          <w:tcPr>
            <w:tcW w:w="1134" w:type="dxa"/>
            <w:shd w:val="clear" w:color="auto" w:fill="auto"/>
            <w:noWrap/>
            <w:hideMark/>
          </w:tcPr>
          <w:p w14:paraId="2D400E3D" w14:textId="77777777" w:rsidR="000638D2" w:rsidRPr="00C62447" w:rsidRDefault="000638D2" w:rsidP="000638D2">
            <w:pPr>
              <w:pStyle w:val="TableText"/>
              <w:spacing w:before="0" w:after="0"/>
              <w:jc w:val="center"/>
              <w:rPr>
                <w:bCs/>
                <w:szCs w:val="18"/>
              </w:rPr>
            </w:pPr>
            <w:r w:rsidRPr="00C62447">
              <w:rPr>
                <w:bCs/>
                <w:szCs w:val="18"/>
              </w:rPr>
              <w:t>15,359</w:t>
            </w:r>
          </w:p>
        </w:tc>
        <w:tc>
          <w:tcPr>
            <w:tcW w:w="1134" w:type="dxa"/>
            <w:shd w:val="clear" w:color="auto" w:fill="auto"/>
            <w:noWrap/>
            <w:hideMark/>
          </w:tcPr>
          <w:p w14:paraId="0D6EF62E" w14:textId="77777777" w:rsidR="000638D2" w:rsidRPr="00C62447" w:rsidRDefault="000638D2" w:rsidP="000638D2">
            <w:pPr>
              <w:pStyle w:val="TableText"/>
              <w:spacing w:before="0" w:after="0"/>
              <w:jc w:val="center"/>
              <w:rPr>
                <w:bCs/>
                <w:szCs w:val="18"/>
              </w:rPr>
            </w:pPr>
            <w:r w:rsidRPr="00C62447">
              <w:rPr>
                <w:bCs/>
                <w:szCs w:val="18"/>
              </w:rPr>
              <w:t>15,625</w:t>
            </w:r>
          </w:p>
        </w:tc>
        <w:tc>
          <w:tcPr>
            <w:tcW w:w="1134" w:type="dxa"/>
            <w:shd w:val="clear" w:color="auto" w:fill="auto"/>
            <w:noWrap/>
            <w:hideMark/>
          </w:tcPr>
          <w:p w14:paraId="74E70924" w14:textId="77777777" w:rsidR="000638D2" w:rsidRPr="00C62447" w:rsidRDefault="000638D2" w:rsidP="000638D2">
            <w:pPr>
              <w:pStyle w:val="TableText"/>
              <w:spacing w:before="0" w:after="0"/>
              <w:jc w:val="center"/>
              <w:rPr>
                <w:bCs/>
                <w:szCs w:val="18"/>
              </w:rPr>
            </w:pPr>
            <w:r w:rsidRPr="00C62447">
              <w:rPr>
                <w:bCs/>
                <w:szCs w:val="18"/>
              </w:rPr>
              <w:t>15,890</w:t>
            </w:r>
          </w:p>
        </w:tc>
        <w:tc>
          <w:tcPr>
            <w:tcW w:w="1134" w:type="dxa"/>
            <w:shd w:val="clear" w:color="auto" w:fill="auto"/>
            <w:noWrap/>
            <w:hideMark/>
          </w:tcPr>
          <w:p w14:paraId="5E56A063" w14:textId="77777777" w:rsidR="000638D2" w:rsidRPr="00C62447" w:rsidRDefault="000638D2" w:rsidP="000638D2">
            <w:pPr>
              <w:pStyle w:val="TableText"/>
              <w:spacing w:before="0" w:after="0"/>
              <w:jc w:val="center"/>
              <w:rPr>
                <w:bCs/>
                <w:szCs w:val="18"/>
              </w:rPr>
            </w:pPr>
            <w:r w:rsidRPr="00C62447">
              <w:rPr>
                <w:bCs/>
                <w:szCs w:val="18"/>
              </w:rPr>
              <w:t>16,154</w:t>
            </w:r>
          </w:p>
        </w:tc>
        <w:tc>
          <w:tcPr>
            <w:tcW w:w="992" w:type="dxa"/>
            <w:shd w:val="clear" w:color="auto" w:fill="auto"/>
            <w:noWrap/>
            <w:hideMark/>
          </w:tcPr>
          <w:p w14:paraId="3C53EEF9" w14:textId="77777777" w:rsidR="000638D2" w:rsidRPr="00C62447" w:rsidRDefault="000638D2" w:rsidP="000638D2">
            <w:pPr>
              <w:pStyle w:val="TableText"/>
              <w:spacing w:before="0" w:after="0"/>
              <w:jc w:val="center"/>
              <w:rPr>
                <w:bCs/>
                <w:szCs w:val="18"/>
              </w:rPr>
            </w:pPr>
            <w:r w:rsidRPr="00C62447">
              <w:rPr>
                <w:bCs/>
                <w:szCs w:val="18"/>
              </w:rPr>
              <w:t>16,417</w:t>
            </w:r>
          </w:p>
        </w:tc>
      </w:tr>
      <w:tr w:rsidR="000638D2" w:rsidRPr="00C62447" w14:paraId="260FF3C9" w14:textId="77777777" w:rsidTr="009D3C36">
        <w:trPr>
          <w:trHeight w:val="20"/>
          <w:tblHeader/>
        </w:trPr>
        <w:tc>
          <w:tcPr>
            <w:tcW w:w="3685" w:type="dxa"/>
            <w:shd w:val="clear" w:color="auto" w:fill="auto"/>
            <w:noWrap/>
            <w:vAlign w:val="bottom"/>
            <w:hideMark/>
          </w:tcPr>
          <w:p w14:paraId="572BDE21" w14:textId="77777777" w:rsidR="000638D2" w:rsidRPr="00C62447" w:rsidRDefault="000638D2" w:rsidP="000638D2">
            <w:pPr>
              <w:rPr>
                <w:rFonts w:ascii="Arial Narrow" w:hAnsi="Arial Narrow"/>
                <w:b/>
                <w:bCs/>
                <w:sz w:val="18"/>
                <w:szCs w:val="18"/>
              </w:rPr>
            </w:pPr>
            <w:r w:rsidRPr="00C62447">
              <w:rPr>
                <w:rFonts w:ascii="Arial Narrow" w:hAnsi="Arial Narrow"/>
                <w:b/>
                <w:bCs/>
                <w:sz w:val="18"/>
                <w:szCs w:val="18"/>
              </w:rPr>
              <w:t xml:space="preserve">MBS Costs </w:t>
            </w:r>
          </w:p>
        </w:tc>
        <w:tc>
          <w:tcPr>
            <w:tcW w:w="1134" w:type="dxa"/>
            <w:shd w:val="clear" w:color="auto" w:fill="auto"/>
            <w:noWrap/>
          </w:tcPr>
          <w:p w14:paraId="48F58F0D" w14:textId="66307E7A" w:rsidR="000638D2" w:rsidRPr="00C62447" w:rsidRDefault="000638D2" w:rsidP="000638D2">
            <w:pPr>
              <w:pStyle w:val="TableText"/>
              <w:spacing w:before="0" w:after="0"/>
              <w:jc w:val="center"/>
              <w:rPr>
                <w:bCs/>
                <w:szCs w:val="18"/>
              </w:rPr>
            </w:pPr>
          </w:p>
        </w:tc>
        <w:tc>
          <w:tcPr>
            <w:tcW w:w="1134" w:type="dxa"/>
            <w:shd w:val="clear" w:color="auto" w:fill="auto"/>
            <w:noWrap/>
          </w:tcPr>
          <w:p w14:paraId="0F7DB141" w14:textId="442BFA5C" w:rsidR="000638D2" w:rsidRPr="00C62447" w:rsidRDefault="000638D2" w:rsidP="000638D2">
            <w:pPr>
              <w:pStyle w:val="TableText"/>
              <w:spacing w:before="0" w:after="0"/>
              <w:jc w:val="center"/>
              <w:rPr>
                <w:bCs/>
                <w:szCs w:val="18"/>
              </w:rPr>
            </w:pPr>
          </w:p>
        </w:tc>
        <w:tc>
          <w:tcPr>
            <w:tcW w:w="1134" w:type="dxa"/>
            <w:shd w:val="clear" w:color="auto" w:fill="auto"/>
            <w:noWrap/>
          </w:tcPr>
          <w:p w14:paraId="6405C1AF" w14:textId="4BC448DC" w:rsidR="000638D2" w:rsidRPr="00C62447" w:rsidRDefault="000638D2" w:rsidP="000638D2">
            <w:pPr>
              <w:pStyle w:val="TableText"/>
              <w:spacing w:before="0" w:after="0"/>
              <w:jc w:val="center"/>
              <w:rPr>
                <w:bCs/>
                <w:szCs w:val="18"/>
              </w:rPr>
            </w:pPr>
          </w:p>
        </w:tc>
        <w:tc>
          <w:tcPr>
            <w:tcW w:w="1134" w:type="dxa"/>
            <w:shd w:val="clear" w:color="auto" w:fill="auto"/>
            <w:noWrap/>
          </w:tcPr>
          <w:p w14:paraId="4BE443D2" w14:textId="3EF4AE02" w:rsidR="000638D2" w:rsidRPr="00C62447" w:rsidRDefault="000638D2" w:rsidP="000638D2">
            <w:pPr>
              <w:pStyle w:val="TableText"/>
              <w:spacing w:before="0" w:after="0"/>
              <w:jc w:val="center"/>
              <w:rPr>
                <w:bCs/>
                <w:szCs w:val="18"/>
              </w:rPr>
            </w:pPr>
          </w:p>
        </w:tc>
        <w:tc>
          <w:tcPr>
            <w:tcW w:w="992" w:type="dxa"/>
            <w:shd w:val="clear" w:color="auto" w:fill="auto"/>
            <w:noWrap/>
          </w:tcPr>
          <w:p w14:paraId="0F0AA2B0" w14:textId="42973C64" w:rsidR="000638D2" w:rsidRPr="00C62447" w:rsidRDefault="000638D2" w:rsidP="000638D2">
            <w:pPr>
              <w:pStyle w:val="TableText"/>
              <w:spacing w:before="0" w:after="0"/>
              <w:jc w:val="center"/>
              <w:rPr>
                <w:bCs/>
                <w:szCs w:val="18"/>
              </w:rPr>
            </w:pPr>
          </w:p>
        </w:tc>
      </w:tr>
      <w:tr w:rsidR="000638D2" w:rsidRPr="00C62447" w14:paraId="7EB6C790" w14:textId="77777777" w:rsidTr="000638D2">
        <w:trPr>
          <w:trHeight w:val="20"/>
          <w:tblHeader/>
        </w:trPr>
        <w:tc>
          <w:tcPr>
            <w:tcW w:w="3685" w:type="dxa"/>
            <w:shd w:val="clear" w:color="auto" w:fill="auto"/>
            <w:noWrap/>
            <w:vAlign w:val="bottom"/>
            <w:hideMark/>
          </w:tcPr>
          <w:p w14:paraId="4D082230" w14:textId="05D61B37" w:rsidR="000638D2" w:rsidRPr="00C62447" w:rsidRDefault="000638D2" w:rsidP="000638D2">
            <w:pPr>
              <w:rPr>
                <w:rFonts w:ascii="Arial Narrow" w:hAnsi="Arial Narrow"/>
                <w:sz w:val="18"/>
                <w:szCs w:val="18"/>
              </w:rPr>
            </w:pPr>
            <w:r w:rsidRPr="00C62447">
              <w:rPr>
                <w:rFonts w:ascii="Arial Narrow" w:hAnsi="Arial Narrow"/>
                <w:sz w:val="18"/>
                <w:szCs w:val="18"/>
              </w:rPr>
              <w:t>TE</w:t>
            </w:r>
            <w:r w:rsidR="009D3C36">
              <w:rPr>
                <w:rFonts w:ascii="Arial Narrow" w:hAnsi="Arial Narrow"/>
                <w:sz w:val="18"/>
                <w:szCs w:val="18"/>
              </w:rPr>
              <w:t>s</w:t>
            </w:r>
          </w:p>
        </w:tc>
        <w:tc>
          <w:tcPr>
            <w:tcW w:w="1134" w:type="dxa"/>
            <w:shd w:val="clear" w:color="auto" w:fill="auto"/>
            <w:noWrap/>
            <w:vAlign w:val="center"/>
          </w:tcPr>
          <w:p w14:paraId="4C145FCE" w14:textId="77777777" w:rsidR="000638D2" w:rsidRPr="00C62447" w:rsidRDefault="000638D2" w:rsidP="000638D2">
            <w:pPr>
              <w:pStyle w:val="TableText"/>
              <w:spacing w:before="0" w:after="0"/>
              <w:jc w:val="right"/>
              <w:rPr>
                <w:bCs/>
                <w:szCs w:val="18"/>
              </w:rPr>
            </w:pPr>
            <w:r w:rsidRPr="00C62447">
              <w:rPr>
                <w:bCs/>
                <w:szCs w:val="18"/>
              </w:rPr>
              <w:t>$727,249</w:t>
            </w:r>
          </w:p>
        </w:tc>
        <w:tc>
          <w:tcPr>
            <w:tcW w:w="1134" w:type="dxa"/>
            <w:shd w:val="clear" w:color="auto" w:fill="auto"/>
            <w:noWrap/>
            <w:vAlign w:val="center"/>
          </w:tcPr>
          <w:p w14:paraId="44AC4FE8" w14:textId="77777777" w:rsidR="000638D2" w:rsidRPr="00C62447" w:rsidRDefault="000638D2" w:rsidP="000638D2">
            <w:pPr>
              <w:pStyle w:val="TableText"/>
              <w:spacing w:before="0" w:after="0"/>
              <w:jc w:val="right"/>
              <w:rPr>
                <w:bCs/>
                <w:szCs w:val="18"/>
              </w:rPr>
            </w:pPr>
            <w:r w:rsidRPr="00C62447">
              <w:rPr>
                <w:bCs/>
                <w:szCs w:val="18"/>
              </w:rPr>
              <w:t>$739,820</w:t>
            </w:r>
          </w:p>
        </w:tc>
        <w:tc>
          <w:tcPr>
            <w:tcW w:w="1134" w:type="dxa"/>
            <w:shd w:val="clear" w:color="auto" w:fill="auto"/>
            <w:noWrap/>
            <w:vAlign w:val="center"/>
          </w:tcPr>
          <w:p w14:paraId="21824A9B" w14:textId="77777777" w:rsidR="000638D2" w:rsidRPr="00C62447" w:rsidRDefault="000638D2" w:rsidP="000638D2">
            <w:pPr>
              <w:pStyle w:val="TableText"/>
              <w:spacing w:before="0" w:after="0"/>
              <w:jc w:val="right"/>
              <w:rPr>
                <w:bCs/>
                <w:szCs w:val="18"/>
              </w:rPr>
            </w:pPr>
            <w:r w:rsidRPr="00C62447">
              <w:rPr>
                <w:bCs/>
                <w:szCs w:val="18"/>
              </w:rPr>
              <w:t>$752,368</w:t>
            </w:r>
          </w:p>
        </w:tc>
        <w:tc>
          <w:tcPr>
            <w:tcW w:w="1134" w:type="dxa"/>
            <w:shd w:val="clear" w:color="auto" w:fill="auto"/>
            <w:noWrap/>
            <w:vAlign w:val="center"/>
          </w:tcPr>
          <w:p w14:paraId="1E74CF30" w14:textId="77777777" w:rsidR="000638D2" w:rsidRPr="00C62447" w:rsidRDefault="000638D2" w:rsidP="000638D2">
            <w:pPr>
              <w:pStyle w:val="TableText"/>
              <w:spacing w:before="0" w:after="0"/>
              <w:jc w:val="right"/>
              <w:rPr>
                <w:bCs/>
                <w:szCs w:val="18"/>
              </w:rPr>
            </w:pPr>
            <w:r w:rsidRPr="00C62447">
              <w:rPr>
                <w:bCs/>
                <w:szCs w:val="18"/>
              </w:rPr>
              <w:t>$764,868</w:t>
            </w:r>
          </w:p>
        </w:tc>
        <w:tc>
          <w:tcPr>
            <w:tcW w:w="992" w:type="dxa"/>
            <w:shd w:val="clear" w:color="auto" w:fill="auto"/>
            <w:noWrap/>
            <w:vAlign w:val="center"/>
          </w:tcPr>
          <w:p w14:paraId="023D24BB" w14:textId="77777777" w:rsidR="000638D2" w:rsidRPr="00C62447" w:rsidRDefault="000638D2" w:rsidP="000638D2">
            <w:pPr>
              <w:pStyle w:val="TableText"/>
              <w:spacing w:before="0" w:after="0"/>
              <w:jc w:val="right"/>
              <w:rPr>
                <w:bCs/>
                <w:szCs w:val="18"/>
              </w:rPr>
            </w:pPr>
            <w:r w:rsidRPr="00C62447">
              <w:rPr>
                <w:bCs/>
                <w:szCs w:val="18"/>
              </w:rPr>
              <w:t>$777,321</w:t>
            </w:r>
          </w:p>
        </w:tc>
      </w:tr>
      <w:tr w:rsidR="000638D2" w:rsidRPr="00C62447" w14:paraId="70ACE91B" w14:textId="77777777" w:rsidTr="009D3C36">
        <w:trPr>
          <w:trHeight w:val="20"/>
          <w:tblHeader/>
        </w:trPr>
        <w:tc>
          <w:tcPr>
            <w:tcW w:w="3685" w:type="dxa"/>
            <w:shd w:val="clear" w:color="auto" w:fill="auto"/>
            <w:noWrap/>
            <w:vAlign w:val="bottom"/>
            <w:hideMark/>
          </w:tcPr>
          <w:p w14:paraId="4512D0E8" w14:textId="77777777" w:rsidR="000638D2" w:rsidRPr="00C62447" w:rsidRDefault="000638D2" w:rsidP="000638D2">
            <w:pPr>
              <w:rPr>
                <w:rFonts w:ascii="Arial Narrow" w:hAnsi="Arial Narrow"/>
                <w:b/>
                <w:bCs/>
                <w:sz w:val="18"/>
                <w:szCs w:val="18"/>
              </w:rPr>
            </w:pPr>
            <w:r w:rsidRPr="00C62447">
              <w:rPr>
                <w:rFonts w:ascii="Arial Narrow" w:hAnsi="Arial Narrow"/>
                <w:b/>
                <w:bCs/>
                <w:sz w:val="18"/>
                <w:szCs w:val="18"/>
              </w:rPr>
              <w:t>Costs associated with additional patients treated</w:t>
            </w:r>
          </w:p>
        </w:tc>
        <w:tc>
          <w:tcPr>
            <w:tcW w:w="1134" w:type="dxa"/>
            <w:shd w:val="clear" w:color="auto" w:fill="auto"/>
            <w:noWrap/>
          </w:tcPr>
          <w:p w14:paraId="7DE52CEB" w14:textId="0E01DD87" w:rsidR="000638D2" w:rsidRPr="00C62447" w:rsidRDefault="000638D2" w:rsidP="000638D2">
            <w:pPr>
              <w:pStyle w:val="TableText"/>
              <w:spacing w:before="0" w:after="0"/>
              <w:jc w:val="center"/>
              <w:rPr>
                <w:bCs/>
                <w:szCs w:val="18"/>
              </w:rPr>
            </w:pPr>
          </w:p>
        </w:tc>
        <w:tc>
          <w:tcPr>
            <w:tcW w:w="1134" w:type="dxa"/>
            <w:shd w:val="clear" w:color="auto" w:fill="auto"/>
            <w:noWrap/>
          </w:tcPr>
          <w:p w14:paraId="5BF92F00" w14:textId="4E3979C8" w:rsidR="000638D2" w:rsidRPr="00C62447" w:rsidRDefault="000638D2" w:rsidP="000638D2">
            <w:pPr>
              <w:pStyle w:val="TableText"/>
              <w:spacing w:before="0" w:after="0"/>
              <w:jc w:val="center"/>
              <w:rPr>
                <w:bCs/>
                <w:szCs w:val="18"/>
              </w:rPr>
            </w:pPr>
          </w:p>
        </w:tc>
        <w:tc>
          <w:tcPr>
            <w:tcW w:w="1134" w:type="dxa"/>
            <w:shd w:val="clear" w:color="auto" w:fill="auto"/>
            <w:noWrap/>
          </w:tcPr>
          <w:p w14:paraId="018D081E" w14:textId="109F66DA" w:rsidR="000638D2" w:rsidRPr="00C62447" w:rsidRDefault="000638D2" w:rsidP="000638D2">
            <w:pPr>
              <w:pStyle w:val="TableText"/>
              <w:spacing w:before="0" w:after="0"/>
              <w:jc w:val="center"/>
              <w:rPr>
                <w:bCs/>
                <w:szCs w:val="18"/>
              </w:rPr>
            </w:pPr>
          </w:p>
        </w:tc>
        <w:tc>
          <w:tcPr>
            <w:tcW w:w="1134" w:type="dxa"/>
            <w:shd w:val="clear" w:color="auto" w:fill="auto"/>
            <w:noWrap/>
          </w:tcPr>
          <w:p w14:paraId="1A7D16B5" w14:textId="2044F608" w:rsidR="000638D2" w:rsidRPr="00C62447" w:rsidRDefault="000638D2" w:rsidP="000638D2">
            <w:pPr>
              <w:pStyle w:val="TableText"/>
              <w:spacing w:before="0" w:after="0"/>
              <w:jc w:val="center"/>
              <w:rPr>
                <w:bCs/>
                <w:szCs w:val="18"/>
              </w:rPr>
            </w:pPr>
          </w:p>
        </w:tc>
        <w:tc>
          <w:tcPr>
            <w:tcW w:w="992" w:type="dxa"/>
            <w:shd w:val="clear" w:color="auto" w:fill="auto"/>
            <w:noWrap/>
          </w:tcPr>
          <w:p w14:paraId="4BDCCCE2" w14:textId="6D70ED1A" w:rsidR="000638D2" w:rsidRPr="00C62447" w:rsidRDefault="000638D2" w:rsidP="000638D2">
            <w:pPr>
              <w:pStyle w:val="TableText"/>
              <w:spacing w:before="0" w:after="0"/>
              <w:jc w:val="center"/>
              <w:rPr>
                <w:bCs/>
                <w:szCs w:val="18"/>
              </w:rPr>
            </w:pPr>
          </w:p>
        </w:tc>
      </w:tr>
      <w:tr w:rsidR="000638D2" w:rsidRPr="00C62447" w14:paraId="6DAC0817" w14:textId="77777777" w:rsidTr="000638D2">
        <w:trPr>
          <w:trHeight w:val="20"/>
          <w:tblHeader/>
        </w:trPr>
        <w:tc>
          <w:tcPr>
            <w:tcW w:w="3685" w:type="dxa"/>
            <w:shd w:val="clear" w:color="auto" w:fill="auto"/>
            <w:noWrap/>
            <w:vAlign w:val="bottom"/>
          </w:tcPr>
          <w:p w14:paraId="3477A1A7"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 xml:space="preserve">Incidence of hepatitis B </w:t>
            </w:r>
          </w:p>
        </w:tc>
        <w:tc>
          <w:tcPr>
            <w:tcW w:w="1134" w:type="dxa"/>
            <w:shd w:val="clear" w:color="auto" w:fill="auto"/>
            <w:noWrap/>
          </w:tcPr>
          <w:p w14:paraId="6C814C6C" w14:textId="77777777" w:rsidR="000638D2" w:rsidRPr="00C62447" w:rsidRDefault="000638D2" w:rsidP="000638D2">
            <w:pPr>
              <w:pStyle w:val="TableText"/>
              <w:spacing w:before="0" w:after="0"/>
              <w:jc w:val="center"/>
              <w:rPr>
                <w:bCs/>
                <w:szCs w:val="18"/>
              </w:rPr>
            </w:pPr>
            <w:r w:rsidRPr="00C62447">
              <w:rPr>
                <w:bCs/>
                <w:szCs w:val="18"/>
              </w:rPr>
              <w:t>7,527</w:t>
            </w:r>
          </w:p>
        </w:tc>
        <w:tc>
          <w:tcPr>
            <w:tcW w:w="1134" w:type="dxa"/>
            <w:shd w:val="clear" w:color="auto" w:fill="auto"/>
            <w:noWrap/>
          </w:tcPr>
          <w:p w14:paraId="375DB363" w14:textId="77777777" w:rsidR="000638D2" w:rsidRPr="00C62447" w:rsidRDefault="000638D2" w:rsidP="000638D2">
            <w:pPr>
              <w:pStyle w:val="TableText"/>
              <w:spacing w:before="0" w:after="0"/>
              <w:jc w:val="center"/>
              <w:rPr>
                <w:bCs/>
                <w:szCs w:val="18"/>
              </w:rPr>
            </w:pPr>
            <w:r w:rsidRPr="00C62447">
              <w:rPr>
                <w:bCs/>
                <w:szCs w:val="18"/>
              </w:rPr>
              <w:t>7,657</w:t>
            </w:r>
          </w:p>
        </w:tc>
        <w:tc>
          <w:tcPr>
            <w:tcW w:w="1134" w:type="dxa"/>
            <w:shd w:val="clear" w:color="auto" w:fill="auto"/>
            <w:noWrap/>
          </w:tcPr>
          <w:p w14:paraId="20B7A306" w14:textId="77777777" w:rsidR="000638D2" w:rsidRPr="00C62447" w:rsidRDefault="000638D2" w:rsidP="000638D2">
            <w:pPr>
              <w:pStyle w:val="TableText"/>
              <w:spacing w:before="0" w:after="0"/>
              <w:jc w:val="center"/>
              <w:rPr>
                <w:bCs/>
                <w:szCs w:val="18"/>
              </w:rPr>
            </w:pPr>
            <w:r w:rsidRPr="00C62447">
              <w:rPr>
                <w:bCs/>
                <w:szCs w:val="18"/>
              </w:rPr>
              <w:t>7,787</w:t>
            </w:r>
          </w:p>
        </w:tc>
        <w:tc>
          <w:tcPr>
            <w:tcW w:w="1134" w:type="dxa"/>
            <w:shd w:val="clear" w:color="auto" w:fill="auto"/>
            <w:noWrap/>
          </w:tcPr>
          <w:p w14:paraId="3FF5F0A6" w14:textId="77777777" w:rsidR="000638D2" w:rsidRPr="00C62447" w:rsidRDefault="000638D2" w:rsidP="000638D2">
            <w:pPr>
              <w:pStyle w:val="TableText"/>
              <w:spacing w:before="0" w:after="0"/>
              <w:jc w:val="center"/>
              <w:rPr>
                <w:bCs/>
                <w:szCs w:val="18"/>
              </w:rPr>
            </w:pPr>
            <w:r w:rsidRPr="00C62447">
              <w:rPr>
                <w:bCs/>
                <w:szCs w:val="18"/>
              </w:rPr>
              <w:t>7,917</w:t>
            </w:r>
          </w:p>
        </w:tc>
        <w:tc>
          <w:tcPr>
            <w:tcW w:w="992" w:type="dxa"/>
            <w:shd w:val="clear" w:color="auto" w:fill="auto"/>
            <w:noWrap/>
          </w:tcPr>
          <w:p w14:paraId="591DF77B" w14:textId="77777777" w:rsidR="000638D2" w:rsidRPr="00C62447" w:rsidRDefault="000638D2" w:rsidP="000638D2">
            <w:pPr>
              <w:pStyle w:val="TableText"/>
              <w:spacing w:before="0" w:after="0"/>
              <w:jc w:val="center"/>
              <w:rPr>
                <w:bCs/>
                <w:szCs w:val="18"/>
              </w:rPr>
            </w:pPr>
            <w:r w:rsidRPr="00C62447">
              <w:rPr>
                <w:bCs/>
                <w:szCs w:val="18"/>
              </w:rPr>
              <w:t>8,046</w:t>
            </w:r>
          </w:p>
        </w:tc>
      </w:tr>
      <w:tr w:rsidR="000638D2" w:rsidRPr="00C62447" w14:paraId="5C32702F" w14:textId="77777777" w:rsidTr="000638D2">
        <w:trPr>
          <w:trHeight w:val="20"/>
          <w:tblHeader/>
        </w:trPr>
        <w:tc>
          <w:tcPr>
            <w:tcW w:w="3685" w:type="dxa"/>
            <w:shd w:val="clear" w:color="auto" w:fill="auto"/>
            <w:noWrap/>
            <w:vAlign w:val="bottom"/>
          </w:tcPr>
          <w:p w14:paraId="7BBF5576"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New cases of F ≥2 fibrosis diagnosed with TE</w:t>
            </w:r>
          </w:p>
        </w:tc>
        <w:tc>
          <w:tcPr>
            <w:tcW w:w="1134" w:type="dxa"/>
            <w:shd w:val="clear" w:color="auto" w:fill="auto"/>
            <w:noWrap/>
          </w:tcPr>
          <w:p w14:paraId="763E7A7D" w14:textId="77777777" w:rsidR="000638D2" w:rsidRPr="00C62447" w:rsidRDefault="000638D2" w:rsidP="000638D2">
            <w:pPr>
              <w:pStyle w:val="TableText"/>
              <w:spacing w:before="0" w:after="0"/>
              <w:jc w:val="center"/>
              <w:rPr>
                <w:bCs/>
                <w:szCs w:val="18"/>
              </w:rPr>
            </w:pPr>
            <w:r w:rsidRPr="00C62447">
              <w:rPr>
                <w:bCs/>
                <w:szCs w:val="18"/>
              </w:rPr>
              <w:t>673</w:t>
            </w:r>
          </w:p>
        </w:tc>
        <w:tc>
          <w:tcPr>
            <w:tcW w:w="1134" w:type="dxa"/>
            <w:shd w:val="clear" w:color="auto" w:fill="auto"/>
            <w:noWrap/>
          </w:tcPr>
          <w:p w14:paraId="55EDF988" w14:textId="77777777" w:rsidR="000638D2" w:rsidRPr="00C62447" w:rsidRDefault="000638D2" w:rsidP="000638D2">
            <w:pPr>
              <w:pStyle w:val="TableText"/>
              <w:spacing w:before="0" w:after="0"/>
              <w:jc w:val="center"/>
              <w:rPr>
                <w:bCs/>
                <w:szCs w:val="18"/>
              </w:rPr>
            </w:pPr>
            <w:r w:rsidRPr="00C62447">
              <w:rPr>
                <w:bCs/>
                <w:szCs w:val="18"/>
              </w:rPr>
              <w:t>685</w:t>
            </w:r>
          </w:p>
        </w:tc>
        <w:tc>
          <w:tcPr>
            <w:tcW w:w="1134" w:type="dxa"/>
            <w:shd w:val="clear" w:color="auto" w:fill="auto"/>
            <w:noWrap/>
          </w:tcPr>
          <w:p w14:paraId="258AB471" w14:textId="77777777" w:rsidR="000638D2" w:rsidRPr="00C62447" w:rsidRDefault="000638D2" w:rsidP="000638D2">
            <w:pPr>
              <w:pStyle w:val="TableText"/>
              <w:spacing w:before="0" w:after="0"/>
              <w:jc w:val="center"/>
              <w:rPr>
                <w:bCs/>
                <w:szCs w:val="18"/>
              </w:rPr>
            </w:pPr>
            <w:r w:rsidRPr="00C62447">
              <w:rPr>
                <w:bCs/>
                <w:szCs w:val="18"/>
              </w:rPr>
              <w:t>696</w:t>
            </w:r>
          </w:p>
        </w:tc>
        <w:tc>
          <w:tcPr>
            <w:tcW w:w="1134" w:type="dxa"/>
            <w:shd w:val="clear" w:color="auto" w:fill="auto"/>
            <w:noWrap/>
          </w:tcPr>
          <w:p w14:paraId="55392B51" w14:textId="77777777" w:rsidR="000638D2" w:rsidRPr="00C62447" w:rsidRDefault="000638D2" w:rsidP="000638D2">
            <w:pPr>
              <w:pStyle w:val="TableText"/>
              <w:spacing w:before="0" w:after="0"/>
              <w:jc w:val="center"/>
              <w:rPr>
                <w:bCs/>
                <w:szCs w:val="18"/>
              </w:rPr>
            </w:pPr>
            <w:r w:rsidRPr="00C62447">
              <w:rPr>
                <w:bCs/>
                <w:szCs w:val="18"/>
              </w:rPr>
              <w:t>708</w:t>
            </w:r>
          </w:p>
        </w:tc>
        <w:tc>
          <w:tcPr>
            <w:tcW w:w="992" w:type="dxa"/>
            <w:shd w:val="clear" w:color="auto" w:fill="auto"/>
            <w:noWrap/>
          </w:tcPr>
          <w:p w14:paraId="0D3F9B38" w14:textId="77777777" w:rsidR="000638D2" w:rsidRPr="00C62447" w:rsidRDefault="000638D2" w:rsidP="000638D2">
            <w:pPr>
              <w:pStyle w:val="TableText"/>
              <w:spacing w:before="0" w:after="0"/>
              <w:jc w:val="center"/>
              <w:rPr>
                <w:bCs/>
                <w:szCs w:val="18"/>
              </w:rPr>
            </w:pPr>
            <w:r w:rsidRPr="00C62447">
              <w:rPr>
                <w:bCs/>
                <w:szCs w:val="18"/>
              </w:rPr>
              <w:t>719</w:t>
            </w:r>
          </w:p>
        </w:tc>
      </w:tr>
      <w:tr w:rsidR="000638D2" w:rsidRPr="00C62447" w14:paraId="2974DA06" w14:textId="77777777" w:rsidTr="000638D2">
        <w:trPr>
          <w:trHeight w:val="20"/>
          <w:tblHeader/>
        </w:trPr>
        <w:tc>
          <w:tcPr>
            <w:tcW w:w="3685" w:type="dxa"/>
            <w:shd w:val="clear" w:color="auto" w:fill="auto"/>
            <w:noWrap/>
            <w:vAlign w:val="bottom"/>
          </w:tcPr>
          <w:p w14:paraId="1606A7CC"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 xml:space="preserve">New cases of F ≥2 fibrosis diagnosed with TE and engaged in care </w:t>
            </w:r>
          </w:p>
        </w:tc>
        <w:tc>
          <w:tcPr>
            <w:tcW w:w="1134" w:type="dxa"/>
            <w:shd w:val="clear" w:color="auto" w:fill="auto"/>
            <w:noWrap/>
          </w:tcPr>
          <w:p w14:paraId="18600618" w14:textId="77777777" w:rsidR="000638D2" w:rsidRPr="00C62447" w:rsidRDefault="000638D2" w:rsidP="000638D2">
            <w:pPr>
              <w:pStyle w:val="TableText"/>
              <w:spacing w:before="0" w:after="0"/>
              <w:jc w:val="center"/>
              <w:rPr>
                <w:bCs/>
                <w:szCs w:val="18"/>
              </w:rPr>
            </w:pPr>
            <w:r w:rsidRPr="00C62447">
              <w:rPr>
                <w:bCs/>
                <w:szCs w:val="18"/>
              </w:rPr>
              <w:t>87</w:t>
            </w:r>
          </w:p>
        </w:tc>
        <w:tc>
          <w:tcPr>
            <w:tcW w:w="1134" w:type="dxa"/>
            <w:shd w:val="clear" w:color="auto" w:fill="auto"/>
            <w:noWrap/>
          </w:tcPr>
          <w:p w14:paraId="36D6770C" w14:textId="77777777" w:rsidR="000638D2" w:rsidRPr="00C62447" w:rsidRDefault="000638D2" w:rsidP="000638D2">
            <w:pPr>
              <w:pStyle w:val="TableText"/>
              <w:spacing w:before="0" w:after="0"/>
              <w:jc w:val="center"/>
              <w:rPr>
                <w:bCs/>
                <w:szCs w:val="18"/>
              </w:rPr>
            </w:pPr>
            <w:r w:rsidRPr="00C62447">
              <w:rPr>
                <w:bCs/>
                <w:szCs w:val="18"/>
              </w:rPr>
              <w:t>89</w:t>
            </w:r>
          </w:p>
        </w:tc>
        <w:tc>
          <w:tcPr>
            <w:tcW w:w="1134" w:type="dxa"/>
            <w:shd w:val="clear" w:color="auto" w:fill="auto"/>
            <w:noWrap/>
          </w:tcPr>
          <w:p w14:paraId="5CA1E744" w14:textId="77777777" w:rsidR="000638D2" w:rsidRPr="00C62447" w:rsidRDefault="000638D2" w:rsidP="000638D2">
            <w:pPr>
              <w:pStyle w:val="TableText"/>
              <w:spacing w:before="0" w:after="0"/>
              <w:jc w:val="center"/>
              <w:rPr>
                <w:bCs/>
                <w:szCs w:val="18"/>
              </w:rPr>
            </w:pPr>
            <w:r w:rsidRPr="00C62447">
              <w:rPr>
                <w:bCs/>
                <w:szCs w:val="18"/>
              </w:rPr>
              <w:t>90</w:t>
            </w:r>
          </w:p>
        </w:tc>
        <w:tc>
          <w:tcPr>
            <w:tcW w:w="1134" w:type="dxa"/>
            <w:shd w:val="clear" w:color="auto" w:fill="auto"/>
            <w:noWrap/>
          </w:tcPr>
          <w:p w14:paraId="4A3208B9" w14:textId="77777777" w:rsidR="000638D2" w:rsidRPr="00C62447" w:rsidRDefault="000638D2" w:rsidP="000638D2">
            <w:pPr>
              <w:pStyle w:val="TableText"/>
              <w:spacing w:before="0" w:after="0"/>
              <w:jc w:val="center"/>
              <w:rPr>
                <w:bCs/>
                <w:szCs w:val="18"/>
              </w:rPr>
            </w:pPr>
            <w:r w:rsidRPr="00C62447">
              <w:rPr>
                <w:bCs/>
                <w:szCs w:val="18"/>
              </w:rPr>
              <w:t>92</w:t>
            </w:r>
          </w:p>
        </w:tc>
        <w:tc>
          <w:tcPr>
            <w:tcW w:w="992" w:type="dxa"/>
            <w:shd w:val="clear" w:color="auto" w:fill="auto"/>
            <w:noWrap/>
          </w:tcPr>
          <w:p w14:paraId="7C85860F" w14:textId="77777777" w:rsidR="000638D2" w:rsidRPr="00C62447" w:rsidRDefault="000638D2" w:rsidP="000638D2">
            <w:pPr>
              <w:pStyle w:val="TableText"/>
              <w:spacing w:before="0" w:after="0"/>
              <w:jc w:val="center"/>
              <w:rPr>
                <w:bCs/>
                <w:szCs w:val="18"/>
              </w:rPr>
            </w:pPr>
            <w:r w:rsidRPr="00C62447">
              <w:rPr>
                <w:bCs/>
                <w:szCs w:val="18"/>
              </w:rPr>
              <w:t>93</w:t>
            </w:r>
          </w:p>
        </w:tc>
      </w:tr>
      <w:tr w:rsidR="000638D2" w:rsidRPr="00C62447" w14:paraId="05EC29BC" w14:textId="77777777" w:rsidTr="000638D2">
        <w:trPr>
          <w:trHeight w:val="20"/>
          <w:tblHeader/>
        </w:trPr>
        <w:tc>
          <w:tcPr>
            <w:tcW w:w="3685" w:type="dxa"/>
            <w:shd w:val="clear" w:color="auto" w:fill="auto"/>
            <w:noWrap/>
            <w:vAlign w:val="bottom"/>
          </w:tcPr>
          <w:p w14:paraId="02DCD34D"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MBS costs (HCC screening)</w:t>
            </w:r>
          </w:p>
        </w:tc>
        <w:tc>
          <w:tcPr>
            <w:tcW w:w="1134" w:type="dxa"/>
            <w:shd w:val="clear" w:color="auto" w:fill="auto"/>
            <w:noWrap/>
            <w:vAlign w:val="center"/>
          </w:tcPr>
          <w:p w14:paraId="6CA2F082" w14:textId="77777777" w:rsidR="000638D2" w:rsidRPr="00C62447" w:rsidRDefault="000638D2" w:rsidP="000638D2">
            <w:pPr>
              <w:pStyle w:val="TableText"/>
              <w:spacing w:before="0" w:after="0"/>
              <w:jc w:val="right"/>
              <w:rPr>
                <w:bCs/>
                <w:szCs w:val="18"/>
              </w:rPr>
            </w:pPr>
            <w:r w:rsidRPr="00C62447">
              <w:rPr>
                <w:bCs/>
                <w:szCs w:val="18"/>
              </w:rPr>
              <w:t>$17,217</w:t>
            </w:r>
          </w:p>
        </w:tc>
        <w:tc>
          <w:tcPr>
            <w:tcW w:w="1134" w:type="dxa"/>
            <w:shd w:val="clear" w:color="auto" w:fill="auto"/>
            <w:noWrap/>
            <w:vAlign w:val="center"/>
          </w:tcPr>
          <w:p w14:paraId="41F1ACA1" w14:textId="77777777" w:rsidR="000638D2" w:rsidRPr="00C62447" w:rsidRDefault="000638D2" w:rsidP="000638D2">
            <w:pPr>
              <w:pStyle w:val="TableText"/>
              <w:spacing w:before="0" w:after="0"/>
              <w:jc w:val="right"/>
              <w:rPr>
                <w:bCs/>
                <w:szCs w:val="18"/>
              </w:rPr>
            </w:pPr>
            <w:r w:rsidRPr="00C62447">
              <w:rPr>
                <w:bCs/>
                <w:szCs w:val="18"/>
              </w:rPr>
              <w:t>$17,613</w:t>
            </w:r>
          </w:p>
        </w:tc>
        <w:tc>
          <w:tcPr>
            <w:tcW w:w="1134" w:type="dxa"/>
            <w:shd w:val="clear" w:color="auto" w:fill="auto"/>
            <w:noWrap/>
            <w:vAlign w:val="center"/>
          </w:tcPr>
          <w:p w14:paraId="6F788190" w14:textId="77777777" w:rsidR="000638D2" w:rsidRPr="00C62447" w:rsidRDefault="000638D2" w:rsidP="000638D2">
            <w:pPr>
              <w:pStyle w:val="TableText"/>
              <w:spacing w:before="0" w:after="0"/>
              <w:jc w:val="right"/>
              <w:rPr>
                <w:bCs/>
                <w:szCs w:val="18"/>
              </w:rPr>
            </w:pPr>
            <w:r w:rsidRPr="00C62447">
              <w:rPr>
                <w:bCs/>
                <w:szCs w:val="18"/>
              </w:rPr>
              <w:t>$17,811</w:t>
            </w:r>
          </w:p>
        </w:tc>
        <w:tc>
          <w:tcPr>
            <w:tcW w:w="1134" w:type="dxa"/>
            <w:shd w:val="clear" w:color="auto" w:fill="auto"/>
            <w:noWrap/>
            <w:vAlign w:val="center"/>
          </w:tcPr>
          <w:p w14:paraId="7D0F72C9" w14:textId="77777777" w:rsidR="000638D2" w:rsidRPr="00C62447" w:rsidRDefault="000638D2" w:rsidP="000638D2">
            <w:pPr>
              <w:pStyle w:val="TableText"/>
              <w:spacing w:before="0" w:after="0"/>
              <w:jc w:val="right"/>
              <w:rPr>
                <w:bCs/>
                <w:szCs w:val="18"/>
              </w:rPr>
            </w:pPr>
            <w:r w:rsidRPr="00C62447">
              <w:rPr>
                <w:bCs/>
                <w:szCs w:val="18"/>
              </w:rPr>
              <w:t>$18,207</w:t>
            </w:r>
          </w:p>
        </w:tc>
        <w:tc>
          <w:tcPr>
            <w:tcW w:w="992" w:type="dxa"/>
            <w:shd w:val="clear" w:color="auto" w:fill="auto"/>
            <w:noWrap/>
            <w:vAlign w:val="center"/>
          </w:tcPr>
          <w:p w14:paraId="54B3846D" w14:textId="77777777" w:rsidR="000638D2" w:rsidRPr="00C62447" w:rsidRDefault="000638D2" w:rsidP="000638D2">
            <w:pPr>
              <w:pStyle w:val="TableText"/>
              <w:spacing w:before="0" w:after="0"/>
              <w:jc w:val="right"/>
              <w:rPr>
                <w:bCs/>
                <w:szCs w:val="18"/>
              </w:rPr>
            </w:pPr>
            <w:r w:rsidRPr="00C62447">
              <w:rPr>
                <w:bCs/>
                <w:szCs w:val="18"/>
              </w:rPr>
              <w:t>$18,405</w:t>
            </w:r>
          </w:p>
        </w:tc>
      </w:tr>
      <w:tr w:rsidR="000638D2" w:rsidRPr="00C62447" w14:paraId="6CA9CD06" w14:textId="77777777" w:rsidTr="000638D2">
        <w:trPr>
          <w:trHeight w:val="20"/>
          <w:tblHeader/>
        </w:trPr>
        <w:tc>
          <w:tcPr>
            <w:tcW w:w="3685" w:type="dxa"/>
            <w:shd w:val="clear" w:color="auto" w:fill="auto"/>
            <w:noWrap/>
            <w:vAlign w:val="bottom"/>
            <w:hideMark/>
          </w:tcPr>
          <w:p w14:paraId="5009C67F" w14:textId="77777777" w:rsidR="000638D2" w:rsidRPr="00C62447" w:rsidRDefault="000638D2" w:rsidP="000638D2">
            <w:pPr>
              <w:rPr>
                <w:rFonts w:ascii="Arial Narrow" w:hAnsi="Arial Narrow"/>
                <w:b/>
                <w:bCs/>
                <w:sz w:val="18"/>
                <w:szCs w:val="18"/>
              </w:rPr>
            </w:pPr>
            <w:r w:rsidRPr="00C62447">
              <w:rPr>
                <w:rFonts w:ascii="Arial Narrow" w:hAnsi="Arial Narrow"/>
                <w:b/>
                <w:bCs/>
                <w:sz w:val="18"/>
                <w:szCs w:val="18"/>
              </w:rPr>
              <w:t>TOTAL MBS COSTS – Hepatitis B</w:t>
            </w:r>
          </w:p>
        </w:tc>
        <w:tc>
          <w:tcPr>
            <w:tcW w:w="1134" w:type="dxa"/>
            <w:shd w:val="clear" w:color="auto" w:fill="auto"/>
            <w:noWrap/>
            <w:vAlign w:val="center"/>
          </w:tcPr>
          <w:p w14:paraId="2210CEA1" w14:textId="77777777" w:rsidR="000638D2" w:rsidRPr="009D3C36" w:rsidRDefault="000638D2" w:rsidP="000638D2">
            <w:pPr>
              <w:pStyle w:val="TableText"/>
              <w:spacing w:before="0" w:after="0"/>
              <w:jc w:val="right"/>
              <w:rPr>
                <w:b/>
                <w:bCs/>
                <w:szCs w:val="18"/>
              </w:rPr>
            </w:pPr>
            <w:r w:rsidRPr="009D3C36">
              <w:rPr>
                <w:b/>
                <w:bCs/>
                <w:szCs w:val="18"/>
              </w:rPr>
              <w:t>$744,466</w:t>
            </w:r>
          </w:p>
        </w:tc>
        <w:tc>
          <w:tcPr>
            <w:tcW w:w="1134" w:type="dxa"/>
            <w:shd w:val="clear" w:color="auto" w:fill="auto"/>
            <w:noWrap/>
            <w:vAlign w:val="center"/>
          </w:tcPr>
          <w:p w14:paraId="79D3BDD1" w14:textId="77777777" w:rsidR="000638D2" w:rsidRPr="009D3C36" w:rsidRDefault="000638D2" w:rsidP="000638D2">
            <w:pPr>
              <w:pStyle w:val="TableText"/>
              <w:spacing w:before="0" w:after="0"/>
              <w:jc w:val="right"/>
              <w:rPr>
                <w:b/>
                <w:bCs/>
                <w:szCs w:val="18"/>
              </w:rPr>
            </w:pPr>
            <w:r w:rsidRPr="009D3C36">
              <w:rPr>
                <w:b/>
                <w:bCs/>
                <w:szCs w:val="18"/>
              </w:rPr>
              <w:t>$757,433</w:t>
            </w:r>
          </w:p>
        </w:tc>
        <w:tc>
          <w:tcPr>
            <w:tcW w:w="1134" w:type="dxa"/>
            <w:shd w:val="clear" w:color="auto" w:fill="auto"/>
            <w:noWrap/>
            <w:vAlign w:val="center"/>
          </w:tcPr>
          <w:p w14:paraId="4B25F821" w14:textId="77777777" w:rsidR="000638D2" w:rsidRPr="009D3C36" w:rsidRDefault="000638D2" w:rsidP="000638D2">
            <w:pPr>
              <w:pStyle w:val="TableText"/>
              <w:spacing w:before="0" w:after="0"/>
              <w:jc w:val="right"/>
              <w:rPr>
                <w:b/>
                <w:bCs/>
                <w:szCs w:val="18"/>
              </w:rPr>
            </w:pPr>
            <w:r w:rsidRPr="009D3C36">
              <w:rPr>
                <w:b/>
                <w:bCs/>
                <w:szCs w:val="18"/>
              </w:rPr>
              <w:t>$770,179</w:t>
            </w:r>
          </w:p>
        </w:tc>
        <w:tc>
          <w:tcPr>
            <w:tcW w:w="1134" w:type="dxa"/>
            <w:shd w:val="clear" w:color="auto" w:fill="auto"/>
            <w:noWrap/>
            <w:vAlign w:val="center"/>
          </w:tcPr>
          <w:p w14:paraId="0AACF7E9" w14:textId="77777777" w:rsidR="000638D2" w:rsidRPr="009D3C36" w:rsidRDefault="000638D2" w:rsidP="000638D2">
            <w:pPr>
              <w:pStyle w:val="TableText"/>
              <w:spacing w:before="0" w:after="0"/>
              <w:jc w:val="right"/>
              <w:rPr>
                <w:b/>
                <w:bCs/>
                <w:szCs w:val="18"/>
              </w:rPr>
            </w:pPr>
            <w:r w:rsidRPr="009D3C36">
              <w:rPr>
                <w:b/>
                <w:bCs/>
                <w:szCs w:val="18"/>
              </w:rPr>
              <w:t>$783,075</w:t>
            </w:r>
          </w:p>
        </w:tc>
        <w:tc>
          <w:tcPr>
            <w:tcW w:w="992" w:type="dxa"/>
            <w:shd w:val="clear" w:color="auto" w:fill="auto"/>
            <w:noWrap/>
            <w:vAlign w:val="center"/>
          </w:tcPr>
          <w:p w14:paraId="28AF6B08" w14:textId="77777777" w:rsidR="000638D2" w:rsidRPr="009D3C36" w:rsidRDefault="000638D2" w:rsidP="000638D2">
            <w:pPr>
              <w:pStyle w:val="TableText"/>
              <w:spacing w:before="0" w:after="0"/>
              <w:jc w:val="right"/>
              <w:rPr>
                <w:b/>
                <w:bCs/>
                <w:szCs w:val="18"/>
              </w:rPr>
            </w:pPr>
            <w:r w:rsidRPr="009D3C36">
              <w:rPr>
                <w:b/>
                <w:bCs/>
                <w:szCs w:val="18"/>
              </w:rPr>
              <w:t>$795,726</w:t>
            </w:r>
          </w:p>
        </w:tc>
      </w:tr>
      <w:tr w:rsidR="000638D2" w:rsidRPr="00C62447" w14:paraId="35702670" w14:textId="77777777" w:rsidTr="000638D2">
        <w:trPr>
          <w:trHeight w:val="20"/>
          <w:tblHeader/>
        </w:trPr>
        <w:tc>
          <w:tcPr>
            <w:tcW w:w="3685" w:type="dxa"/>
            <w:shd w:val="clear" w:color="auto" w:fill="auto"/>
            <w:noWrap/>
            <w:vAlign w:val="bottom"/>
          </w:tcPr>
          <w:p w14:paraId="1C0611AB" w14:textId="77777777" w:rsidR="000638D2" w:rsidRPr="00C62447" w:rsidRDefault="000638D2" w:rsidP="000638D2">
            <w:pPr>
              <w:rPr>
                <w:rFonts w:ascii="Arial Narrow" w:hAnsi="Arial Narrow"/>
                <w:bCs/>
                <w:sz w:val="18"/>
                <w:szCs w:val="18"/>
              </w:rPr>
            </w:pPr>
            <w:r w:rsidRPr="00C62447">
              <w:rPr>
                <w:rFonts w:ascii="Arial Narrow" w:hAnsi="Arial Narrow"/>
                <w:b/>
                <w:bCs/>
                <w:sz w:val="18"/>
                <w:szCs w:val="18"/>
              </w:rPr>
              <w:t>HEPATITIS C</w:t>
            </w:r>
          </w:p>
        </w:tc>
        <w:tc>
          <w:tcPr>
            <w:tcW w:w="1134" w:type="dxa"/>
            <w:shd w:val="clear" w:color="auto" w:fill="auto"/>
          </w:tcPr>
          <w:p w14:paraId="2FE09B33" w14:textId="0E8C29F7" w:rsidR="000638D2" w:rsidRPr="007225D1" w:rsidRDefault="000638D2" w:rsidP="000638D2">
            <w:pPr>
              <w:jc w:val="center"/>
              <w:rPr>
                <w:rFonts w:ascii="Arial Narrow" w:hAnsi="Arial Narrow"/>
                <w:b/>
                <w:bCs/>
                <w:sz w:val="18"/>
                <w:szCs w:val="18"/>
              </w:rPr>
            </w:pPr>
          </w:p>
        </w:tc>
        <w:tc>
          <w:tcPr>
            <w:tcW w:w="1134" w:type="dxa"/>
            <w:shd w:val="clear" w:color="auto" w:fill="auto"/>
          </w:tcPr>
          <w:p w14:paraId="56AEB158" w14:textId="7B267CBC" w:rsidR="000638D2" w:rsidRPr="007225D1" w:rsidRDefault="000638D2" w:rsidP="000638D2">
            <w:pPr>
              <w:jc w:val="center"/>
              <w:rPr>
                <w:rFonts w:ascii="Arial Narrow" w:hAnsi="Arial Narrow"/>
                <w:b/>
                <w:bCs/>
                <w:sz w:val="18"/>
                <w:szCs w:val="18"/>
              </w:rPr>
            </w:pPr>
          </w:p>
        </w:tc>
        <w:tc>
          <w:tcPr>
            <w:tcW w:w="1134" w:type="dxa"/>
            <w:shd w:val="clear" w:color="auto" w:fill="auto"/>
          </w:tcPr>
          <w:p w14:paraId="06D65131" w14:textId="2B6274C5" w:rsidR="000638D2" w:rsidRPr="007225D1" w:rsidRDefault="000638D2" w:rsidP="000638D2">
            <w:pPr>
              <w:jc w:val="center"/>
              <w:rPr>
                <w:rFonts w:ascii="Arial Narrow" w:hAnsi="Arial Narrow"/>
                <w:b/>
                <w:bCs/>
                <w:sz w:val="18"/>
                <w:szCs w:val="18"/>
              </w:rPr>
            </w:pPr>
          </w:p>
        </w:tc>
        <w:tc>
          <w:tcPr>
            <w:tcW w:w="1134" w:type="dxa"/>
            <w:shd w:val="clear" w:color="auto" w:fill="auto"/>
          </w:tcPr>
          <w:p w14:paraId="66F57E92" w14:textId="1D218E72" w:rsidR="000638D2" w:rsidRPr="007225D1" w:rsidRDefault="000638D2" w:rsidP="000638D2">
            <w:pPr>
              <w:jc w:val="center"/>
              <w:rPr>
                <w:rFonts w:ascii="Arial Narrow" w:hAnsi="Arial Narrow"/>
                <w:b/>
                <w:bCs/>
                <w:sz w:val="18"/>
                <w:szCs w:val="18"/>
              </w:rPr>
            </w:pPr>
          </w:p>
        </w:tc>
        <w:tc>
          <w:tcPr>
            <w:tcW w:w="992" w:type="dxa"/>
            <w:shd w:val="clear" w:color="auto" w:fill="auto"/>
          </w:tcPr>
          <w:p w14:paraId="73058299" w14:textId="789C3EC9" w:rsidR="000638D2" w:rsidRPr="007225D1" w:rsidRDefault="000638D2" w:rsidP="000638D2">
            <w:pPr>
              <w:jc w:val="center"/>
              <w:rPr>
                <w:rFonts w:ascii="Arial Narrow" w:hAnsi="Arial Narrow"/>
                <w:b/>
                <w:bCs/>
                <w:sz w:val="18"/>
                <w:szCs w:val="18"/>
              </w:rPr>
            </w:pPr>
          </w:p>
        </w:tc>
      </w:tr>
      <w:tr w:rsidR="000638D2" w:rsidRPr="00C62447" w14:paraId="25315FA3" w14:textId="77777777" w:rsidTr="000638D2">
        <w:trPr>
          <w:trHeight w:val="20"/>
          <w:tblHeader/>
        </w:trPr>
        <w:tc>
          <w:tcPr>
            <w:tcW w:w="3685" w:type="dxa"/>
            <w:shd w:val="clear" w:color="auto" w:fill="auto"/>
            <w:noWrap/>
            <w:vAlign w:val="bottom"/>
          </w:tcPr>
          <w:p w14:paraId="2A7F5E19" w14:textId="77777777" w:rsidR="000638D2" w:rsidRPr="00C62447" w:rsidRDefault="000638D2" w:rsidP="000638D2">
            <w:pPr>
              <w:rPr>
                <w:rFonts w:ascii="Arial Narrow" w:hAnsi="Arial Narrow"/>
                <w:b/>
                <w:bCs/>
                <w:sz w:val="18"/>
                <w:szCs w:val="18"/>
              </w:rPr>
            </w:pPr>
            <w:r w:rsidRPr="00C62447">
              <w:rPr>
                <w:rFonts w:ascii="Arial Narrow" w:hAnsi="Arial Narrow"/>
                <w:b/>
                <w:bCs/>
                <w:sz w:val="18"/>
                <w:szCs w:val="18"/>
              </w:rPr>
              <w:t>Eligible population</w:t>
            </w:r>
          </w:p>
        </w:tc>
        <w:tc>
          <w:tcPr>
            <w:tcW w:w="1134" w:type="dxa"/>
            <w:shd w:val="clear" w:color="auto" w:fill="auto"/>
            <w:noWrap/>
          </w:tcPr>
          <w:p w14:paraId="73499C87" w14:textId="5ECC6706" w:rsidR="000638D2" w:rsidRPr="007225D1" w:rsidRDefault="000638D2" w:rsidP="000638D2">
            <w:pPr>
              <w:pStyle w:val="TableText"/>
              <w:spacing w:before="0" w:after="0"/>
              <w:jc w:val="center"/>
              <w:rPr>
                <w:b/>
                <w:bCs/>
                <w:szCs w:val="18"/>
              </w:rPr>
            </w:pPr>
          </w:p>
        </w:tc>
        <w:tc>
          <w:tcPr>
            <w:tcW w:w="1134" w:type="dxa"/>
            <w:shd w:val="clear" w:color="auto" w:fill="auto"/>
            <w:noWrap/>
          </w:tcPr>
          <w:p w14:paraId="6A06D0C4" w14:textId="38F309D1" w:rsidR="000638D2" w:rsidRPr="007225D1" w:rsidRDefault="000638D2" w:rsidP="000638D2">
            <w:pPr>
              <w:pStyle w:val="TableText"/>
              <w:spacing w:before="0" w:after="0"/>
              <w:jc w:val="center"/>
              <w:rPr>
                <w:b/>
                <w:bCs/>
                <w:szCs w:val="18"/>
              </w:rPr>
            </w:pPr>
          </w:p>
        </w:tc>
        <w:tc>
          <w:tcPr>
            <w:tcW w:w="1134" w:type="dxa"/>
            <w:shd w:val="clear" w:color="auto" w:fill="auto"/>
            <w:noWrap/>
          </w:tcPr>
          <w:p w14:paraId="2283D46F" w14:textId="2AFFF8A8" w:rsidR="000638D2" w:rsidRPr="007225D1" w:rsidRDefault="000638D2" w:rsidP="000638D2">
            <w:pPr>
              <w:pStyle w:val="TableText"/>
              <w:spacing w:before="0" w:after="0"/>
              <w:jc w:val="center"/>
              <w:rPr>
                <w:b/>
                <w:bCs/>
                <w:szCs w:val="18"/>
              </w:rPr>
            </w:pPr>
          </w:p>
        </w:tc>
        <w:tc>
          <w:tcPr>
            <w:tcW w:w="1134" w:type="dxa"/>
            <w:shd w:val="clear" w:color="auto" w:fill="auto"/>
            <w:noWrap/>
          </w:tcPr>
          <w:p w14:paraId="36796903" w14:textId="5DCA0A74" w:rsidR="000638D2" w:rsidRPr="007225D1" w:rsidRDefault="000638D2" w:rsidP="000638D2">
            <w:pPr>
              <w:pStyle w:val="TableText"/>
              <w:spacing w:before="0" w:after="0"/>
              <w:jc w:val="center"/>
              <w:rPr>
                <w:b/>
                <w:bCs/>
                <w:szCs w:val="18"/>
              </w:rPr>
            </w:pPr>
          </w:p>
        </w:tc>
        <w:tc>
          <w:tcPr>
            <w:tcW w:w="992" w:type="dxa"/>
            <w:shd w:val="clear" w:color="auto" w:fill="auto"/>
            <w:noWrap/>
          </w:tcPr>
          <w:p w14:paraId="6ABE64E4" w14:textId="3232B156" w:rsidR="000638D2" w:rsidRPr="007225D1" w:rsidRDefault="000638D2" w:rsidP="000638D2">
            <w:pPr>
              <w:pStyle w:val="TableText"/>
              <w:spacing w:before="0" w:after="0"/>
              <w:jc w:val="center"/>
              <w:rPr>
                <w:b/>
                <w:bCs/>
                <w:szCs w:val="18"/>
              </w:rPr>
            </w:pPr>
          </w:p>
        </w:tc>
      </w:tr>
      <w:tr w:rsidR="000638D2" w:rsidRPr="00C62447" w14:paraId="2BCCB905" w14:textId="77777777" w:rsidTr="000638D2">
        <w:trPr>
          <w:trHeight w:val="20"/>
          <w:tblHeader/>
        </w:trPr>
        <w:tc>
          <w:tcPr>
            <w:tcW w:w="3685" w:type="dxa"/>
            <w:shd w:val="clear" w:color="auto" w:fill="auto"/>
            <w:noWrap/>
            <w:vAlign w:val="bottom"/>
          </w:tcPr>
          <w:p w14:paraId="722EBDC3"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Australian population estimate</w:t>
            </w:r>
          </w:p>
        </w:tc>
        <w:tc>
          <w:tcPr>
            <w:tcW w:w="1134" w:type="dxa"/>
            <w:shd w:val="clear" w:color="auto" w:fill="auto"/>
            <w:noWrap/>
          </w:tcPr>
          <w:p w14:paraId="0632E1F9" w14:textId="77777777" w:rsidR="000638D2" w:rsidRPr="00C62447" w:rsidRDefault="000638D2" w:rsidP="000638D2">
            <w:pPr>
              <w:pStyle w:val="TableText"/>
              <w:spacing w:before="0" w:after="0"/>
              <w:jc w:val="center"/>
              <w:rPr>
                <w:bCs/>
                <w:szCs w:val="18"/>
              </w:rPr>
            </w:pPr>
            <w:r w:rsidRPr="00C62447">
              <w:rPr>
                <w:bCs/>
                <w:szCs w:val="18"/>
              </w:rPr>
              <w:t>24,359,761</w:t>
            </w:r>
          </w:p>
        </w:tc>
        <w:tc>
          <w:tcPr>
            <w:tcW w:w="1134" w:type="dxa"/>
            <w:shd w:val="clear" w:color="auto" w:fill="auto"/>
            <w:noWrap/>
          </w:tcPr>
          <w:p w14:paraId="6913B1F2" w14:textId="77777777" w:rsidR="000638D2" w:rsidRPr="00C62447" w:rsidRDefault="000638D2" w:rsidP="000638D2">
            <w:pPr>
              <w:pStyle w:val="TableText"/>
              <w:spacing w:before="0" w:after="0"/>
              <w:jc w:val="center"/>
              <w:rPr>
                <w:bCs/>
                <w:szCs w:val="18"/>
              </w:rPr>
            </w:pPr>
            <w:r w:rsidRPr="00C62447">
              <w:rPr>
                <w:bCs/>
                <w:szCs w:val="18"/>
              </w:rPr>
              <w:t>24,781,121</w:t>
            </w:r>
          </w:p>
        </w:tc>
        <w:tc>
          <w:tcPr>
            <w:tcW w:w="1134" w:type="dxa"/>
            <w:shd w:val="clear" w:color="auto" w:fill="auto"/>
            <w:noWrap/>
          </w:tcPr>
          <w:p w14:paraId="339E7C5D" w14:textId="77777777" w:rsidR="000638D2" w:rsidRPr="00C62447" w:rsidRDefault="000638D2" w:rsidP="000638D2">
            <w:pPr>
              <w:pStyle w:val="TableText"/>
              <w:spacing w:before="0" w:after="0"/>
              <w:jc w:val="center"/>
              <w:rPr>
                <w:bCs/>
                <w:szCs w:val="18"/>
              </w:rPr>
            </w:pPr>
            <w:r w:rsidRPr="00C62447">
              <w:rPr>
                <w:bCs/>
                <w:szCs w:val="18"/>
              </w:rPr>
              <w:t>25,201,317</w:t>
            </w:r>
          </w:p>
        </w:tc>
        <w:tc>
          <w:tcPr>
            <w:tcW w:w="1134" w:type="dxa"/>
            <w:shd w:val="clear" w:color="auto" w:fill="auto"/>
            <w:noWrap/>
          </w:tcPr>
          <w:p w14:paraId="6215C164" w14:textId="77777777" w:rsidR="000638D2" w:rsidRPr="00C62447" w:rsidRDefault="000638D2" w:rsidP="000638D2">
            <w:pPr>
              <w:pStyle w:val="TableText"/>
              <w:spacing w:before="0" w:after="0"/>
              <w:jc w:val="center"/>
              <w:rPr>
                <w:bCs/>
                <w:szCs w:val="18"/>
              </w:rPr>
            </w:pPr>
            <w:r w:rsidRPr="00C62447">
              <w:rPr>
                <w:bCs/>
                <w:szCs w:val="18"/>
              </w:rPr>
              <w:t>25,619,895</w:t>
            </w:r>
          </w:p>
        </w:tc>
        <w:tc>
          <w:tcPr>
            <w:tcW w:w="992" w:type="dxa"/>
            <w:shd w:val="clear" w:color="auto" w:fill="auto"/>
            <w:noWrap/>
          </w:tcPr>
          <w:p w14:paraId="77A90FB6" w14:textId="77777777" w:rsidR="000638D2" w:rsidRPr="00C62447" w:rsidRDefault="000638D2" w:rsidP="000638D2">
            <w:pPr>
              <w:pStyle w:val="TableText"/>
              <w:spacing w:before="0" w:after="0"/>
              <w:jc w:val="center"/>
              <w:rPr>
                <w:bCs/>
                <w:szCs w:val="18"/>
              </w:rPr>
            </w:pPr>
            <w:r w:rsidRPr="00C62447">
              <w:rPr>
                <w:bCs/>
                <w:szCs w:val="18"/>
              </w:rPr>
              <w:t>26,037,356</w:t>
            </w:r>
          </w:p>
        </w:tc>
      </w:tr>
      <w:tr w:rsidR="000638D2" w:rsidRPr="00C62447" w14:paraId="38C1BBBF" w14:textId="77777777" w:rsidTr="000638D2">
        <w:trPr>
          <w:trHeight w:val="20"/>
          <w:tblHeader/>
        </w:trPr>
        <w:tc>
          <w:tcPr>
            <w:tcW w:w="3685" w:type="dxa"/>
            <w:shd w:val="clear" w:color="auto" w:fill="auto"/>
            <w:noWrap/>
            <w:vAlign w:val="bottom"/>
          </w:tcPr>
          <w:p w14:paraId="67E2D10D"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Proportion with chronic hepatitis C</w:t>
            </w:r>
          </w:p>
        </w:tc>
        <w:tc>
          <w:tcPr>
            <w:tcW w:w="1134" w:type="dxa"/>
            <w:shd w:val="clear" w:color="auto" w:fill="auto"/>
            <w:noWrap/>
          </w:tcPr>
          <w:p w14:paraId="037AD092" w14:textId="77777777" w:rsidR="000638D2" w:rsidRPr="00C62447" w:rsidRDefault="000638D2" w:rsidP="000638D2">
            <w:pPr>
              <w:pStyle w:val="TableText"/>
              <w:spacing w:before="0" w:after="0"/>
              <w:jc w:val="center"/>
              <w:rPr>
                <w:bCs/>
                <w:szCs w:val="18"/>
              </w:rPr>
            </w:pPr>
            <w:r w:rsidRPr="00C62447">
              <w:rPr>
                <w:bCs/>
                <w:szCs w:val="18"/>
              </w:rPr>
              <w:t>253,027</w:t>
            </w:r>
          </w:p>
        </w:tc>
        <w:tc>
          <w:tcPr>
            <w:tcW w:w="1134" w:type="dxa"/>
            <w:shd w:val="clear" w:color="auto" w:fill="auto"/>
            <w:noWrap/>
          </w:tcPr>
          <w:p w14:paraId="19A01349" w14:textId="77777777" w:rsidR="000638D2" w:rsidRPr="00C62447" w:rsidRDefault="000638D2" w:rsidP="000638D2">
            <w:pPr>
              <w:pStyle w:val="TableText"/>
              <w:spacing w:before="0" w:after="0"/>
              <w:jc w:val="center"/>
              <w:rPr>
                <w:bCs/>
                <w:szCs w:val="18"/>
              </w:rPr>
            </w:pPr>
            <w:r w:rsidRPr="00C62447">
              <w:rPr>
                <w:bCs/>
                <w:szCs w:val="18"/>
              </w:rPr>
              <w:t>257,404</w:t>
            </w:r>
          </w:p>
        </w:tc>
        <w:tc>
          <w:tcPr>
            <w:tcW w:w="1134" w:type="dxa"/>
            <w:shd w:val="clear" w:color="auto" w:fill="auto"/>
            <w:noWrap/>
          </w:tcPr>
          <w:p w14:paraId="2D108B5F" w14:textId="77777777" w:rsidR="000638D2" w:rsidRPr="00C62447" w:rsidRDefault="000638D2" w:rsidP="000638D2">
            <w:pPr>
              <w:pStyle w:val="TableText"/>
              <w:spacing w:before="0" w:after="0"/>
              <w:jc w:val="center"/>
              <w:rPr>
                <w:bCs/>
                <w:szCs w:val="18"/>
              </w:rPr>
            </w:pPr>
            <w:r w:rsidRPr="00C62447">
              <w:rPr>
                <w:bCs/>
                <w:szCs w:val="18"/>
              </w:rPr>
              <w:t>261,768</w:t>
            </w:r>
          </w:p>
        </w:tc>
        <w:tc>
          <w:tcPr>
            <w:tcW w:w="1134" w:type="dxa"/>
            <w:shd w:val="clear" w:color="auto" w:fill="auto"/>
            <w:noWrap/>
          </w:tcPr>
          <w:p w14:paraId="6EBF89A9" w14:textId="77777777" w:rsidR="000638D2" w:rsidRPr="00C62447" w:rsidRDefault="000638D2" w:rsidP="000638D2">
            <w:pPr>
              <w:pStyle w:val="TableText"/>
              <w:spacing w:before="0" w:after="0"/>
              <w:jc w:val="center"/>
              <w:rPr>
                <w:bCs/>
                <w:szCs w:val="18"/>
              </w:rPr>
            </w:pPr>
            <w:r w:rsidRPr="00C62447">
              <w:rPr>
                <w:bCs/>
                <w:szCs w:val="18"/>
              </w:rPr>
              <w:t>266,117</w:t>
            </w:r>
          </w:p>
        </w:tc>
        <w:tc>
          <w:tcPr>
            <w:tcW w:w="992" w:type="dxa"/>
            <w:shd w:val="clear" w:color="auto" w:fill="auto"/>
            <w:noWrap/>
          </w:tcPr>
          <w:p w14:paraId="4511038B" w14:textId="77777777" w:rsidR="000638D2" w:rsidRPr="00C62447" w:rsidRDefault="000638D2" w:rsidP="000638D2">
            <w:pPr>
              <w:pStyle w:val="TableText"/>
              <w:spacing w:before="0" w:after="0"/>
              <w:jc w:val="center"/>
              <w:rPr>
                <w:bCs/>
                <w:szCs w:val="18"/>
              </w:rPr>
            </w:pPr>
            <w:r w:rsidRPr="00C62447">
              <w:rPr>
                <w:bCs/>
                <w:szCs w:val="18"/>
              </w:rPr>
              <w:t>270,453</w:t>
            </w:r>
          </w:p>
        </w:tc>
      </w:tr>
      <w:tr w:rsidR="000638D2" w:rsidRPr="00C62447" w14:paraId="3D855FAD" w14:textId="77777777" w:rsidTr="000638D2">
        <w:trPr>
          <w:trHeight w:val="20"/>
          <w:tblHeader/>
        </w:trPr>
        <w:tc>
          <w:tcPr>
            <w:tcW w:w="3685" w:type="dxa"/>
            <w:shd w:val="clear" w:color="auto" w:fill="auto"/>
            <w:noWrap/>
            <w:vAlign w:val="bottom"/>
          </w:tcPr>
          <w:p w14:paraId="7B4C5677"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Proportion engaged in care</w:t>
            </w:r>
          </w:p>
        </w:tc>
        <w:tc>
          <w:tcPr>
            <w:tcW w:w="1134" w:type="dxa"/>
            <w:shd w:val="clear" w:color="auto" w:fill="auto"/>
            <w:noWrap/>
          </w:tcPr>
          <w:p w14:paraId="3A9E0965" w14:textId="77777777" w:rsidR="000638D2" w:rsidRPr="00C62447" w:rsidRDefault="000638D2" w:rsidP="000638D2">
            <w:pPr>
              <w:pStyle w:val="TableText"/>
              <w:spacing w:before="0" w:after="0"/>
              <w:jc w:val="center"/>
              <w:rPr>
                <w:bCs/>
                <w:szCs w:val="18"/>
              </w:rPr>
            </w:pPr>
            <w:r w:rsidRPr="00C62447">
              <w:rPr>
                <w:bCs/>
                <w:szCs w:val="18"/>
              </w:rPr>
              <w:t>32,894</w:t>
            </w:r>
          </w:p>
        </w:tc>
        <w:tc>
          <w:tcPr>
            <w:tcW w:w="1134" w:type="dxa"/>
            <w:shd w:val="clear" w:color="auto" w:fill="auto"/>
            <w:noWrap/>
          </w:tcPr>
          <w:p w14:paraId="5BDB2C66" w14:textId="77777777" w:rsidR="000638D2" w:rsidRPr="00C62447" w:rsidRDefault="000638D2" w:rsidP="000638D2">
            <w:pPr>
              <w:pStyle w:val="TableText"/>
              <w:spacing w:before="0" w:after="0"/>
              <w:jc w:val="center"/>
              <w:rPr>
                <w:bCs/>
                <w:szCs w:val="18"/>
              </w:rPr>
            </w:pPr>
            <w:r w:rsidRPr="00C62447">
              <w:rPr>
                <w:bCs/>
                <w:szCs w:val="18"/>
              </w:rPr>
              <w:t>33,463</w:t>
            </w:r>
          </w:p>
        </w:tc>
        <w:tc>
          <w:tcPr>
            <w:tcW w:w="1134" w:type="dxa"/>
            <w:shd w:val="clear" w:color="auto" w:fill="auto"/>
            <w:noWrap/>
          </w:tcPr>
          <w:p w14:paraId="0243348D" w14:textId="77777777" w:rsidR="000638D2" w:rsidRPr="00C62447" w:rsidRDefault="000638D2" w:rsidP="000638D2">
            <w:pPr>
              <w:pStyle w:val="TableText"/>
              <w:spacing w:before="0" w:after="0"/>
              <w:jc w:val="center"/>
              <w:rPr>
                <w:bCs/>
                <w:szCs w:val="18"/>
              </w:rPr>
            </w:pPr>
            <w:r w:rsidRPr="00C62447">
              <w:rPr>
                <w:bCs/>
                <w:szCs w:val="18"/>
              </w:rPr>
              <w:t>34,030</w:t>
            </w:r>
          </w:p>
        </w:tc>
        <w:tc>
          <w:tcPr>
            <w:tcW w:w="1134" w:type="dxa"/>
            <w:shd w:val="clear" w:color="auto" w:fill="auto"/>
            <w:noWrap/>
          </w:tcPr>
          <w:p w14:paraId="6743C37C" w14:textId="77777777" w:rsidR="000638D2" w:rsidRPr="00C62447" w:rsidRDefault="000638D2" w:rsidP="000638D2">
            <w:pPr>
              <w:pStyle w:val="TableText"/>
              <w:spacing w:before="0" w:after="0"/>
              <w:jc w:val="center"/>
              <w:rPr>
                <w:bCs/>
                <w:szCs w:val="18"/>
              </w:rPr>
            </w:pPr>
            <w:r w:rsidRPr="00C62447">
              <w:rPr>
                <w:bCs/>
                <w:szCs w:val="18"/>
              </w:rPr>
              <w:t>3,4595</w:t>
            </w:r>
          </w:p>
        </w:tc>
        <w:tc>
          <w:tcPr>
            <w:tcW w:w="992" w:type="dxa"/>
            <w:shd w:val="clear" w:color="auto" w:fill="auto"/>
            <w:noWrap/>
          </w:tcPr>
          <w:p w14:paraId="2DAF6A14" w14:textId="77777777" w:rsidR="000638D2" w:rsidRPr="00C62447" w:rsidRDefault="000638D2" w:rsidP="000638D2">
            <w:pPr>
              <w:pStyle w:val="TableText"/>
              <w:spacing w:before="0" w:after="0"/>
              <w:jc w:val="center"/>
              <w:rPr>
                <w:bCs/>
                <w:szCs w:val="18"/>
              </w:rPr>
            </w:pPr>
            <w:r w:rsidRPr="00C62447">
              <w:rPr>
                <w:bCs/>
                <w:szCs w:val="18"/>
              </w:rPr>
              <w:t>35,159</w:t>
            </w:r>
          </w:p>
        </w:tc>
      </w:tr>
      <w:tr w:rsidR="000638D2" w:rsidRPr="00C62447" w14:paraId="503A2FEE" w14:textId="77777777" w:rsidTr="000638D2">
        <w:trPr>
          <w:trHeight w:val="20"/>
          <w:tblHeader/>
        </w:trPr>
        <w:tc>
          <w:tcPr>
            <w:tcW w:w="3685" w:type="dxa"/>
            <w:shd w:val="clear" w:color="auto" w:fill="auto"/>
            <w:noWrap/>
            <w:vAlign w:val="bottom"/>
          </w:tcPr>
          <w:p w14:paraId="40B44498" w14:textId="77777777" w:rsidR="000638D2" w:rsidRPr="00C62447" w:rsidRDefault="000638D2" w:rsidP="000638D2">
            <w:pPr>
              <w:rPr>
                <w:rFonts w:ascii="Arial Narrow" w:hAnsi="Arial Narrow"/>
                <w:b/>
                <w:bCs/>
                <w:sz w:val="18"/>
                <w:szCs w:val="18"/>
              </w:rPr>
            </w:pPr>
            <w:r w:rsidRPr="00C62447">
              <w:rPr>
                <w:rFonts w:ascii="Arial Narrow" w:hAnsi="Arial Narrow"/>
                <w:b/>
                <w:bCs/>
                <w:sz w:val="18"/>
                <w:szCs w:val="18"/>
              </w:rPr>
              <w:t>Estimated number of TEs</w:t>
            </w:r>
          </w:p>
        </w:tc>
        <w:tc>
          <w:tcPr>
            <w:tcW w:w="1134" w:type="dxa"/>
            <w:shd w:val="clear" w:color="auto" w:fill="auto"/>
            <w:noWrap/>
          </w:tcPr>
          <w:p w14:paraId="5EB83F67" w14:textId="77777777" w:rsidR="000638D2" w:rsidRPr="00C62447" w:rsidRDefault="000638D2" w:rsidP="000638D2">
            <w:pPr>
              <w:pStyle w:val="TableText"/>
              <w:spacing w:before="0" w:after="0"/>
              <w:jc w:val="center"/>
              <w:rPr>
                <w:bCs/>
                <w:szCs w:val="18"/>
              </w:rPr>
            </w:pPr>
          </w:p>
        </w:tc>
        <w:tc>
          <w:tcPr>
            <w:tcW w:w="1134" w:type="dxa"/>
            <w:shd w:val="clear" w:color="auto" w:fill="auto"/>
            <w:noWrap/>
          </w:tcPr>
          <w:p w14:paraId="5D65377F" w14:textId="77777777" w:rsidR="000638D2" w:rsidRPr="00C62447" w:rsidRDefault="000638D2" w:rsidP="000638D2">
            <w:pPr>
              <w:pStyle w:val="TableText"/>
              <w:spacing w:before="0" w:after="0"/>
              <w:jc w:val="center"/>
              <w:rPr>
                <w:bCs/>
                <w:szCs w:val="18"/>
              </w:rPr>
            </w:pPr>
          </w:p>
        </w:tc>
        <w:tc>
          <w:tcPr>
            <w:tcW w:w="1134" w:type="dxa"/>
            <w:shd w:val="clear" w:color="auto" w:fill="auto"/>
            <w:noWrap/>
          </w:tcPr>
          <w:p w14:paraId="0F0EDE41" w14:textId="77777777" w:rsidR="000638D2" w:rsidRPr="00C62447" w:rsidRDefault="000638D2" w:rsidP="000638D2">
            <w:pPr>
              <w:pStyle w:val="TableText"/>
              <w:spacing w:before="0" w:after="0"/>
              <w:jc w:val="center"/>
              <w:rPr>
                <w:bCs/>
                <w:szCs w:val="18"/>
              </w:rPr>
            </w:pPr>
          </w:p>
        </w:tc>
        <w:tc>
          <w:tcPr>
            <w:tcW w:w="1134" w:type="dxa"/>
            <w:shd w:val="clear" w:color="auto" w:fill="auto"/>
            <w:noWrap/>
          </w:tcPr>
          <w:p w14:paraId="4871124B" w14:textId="77777777" w:rsidR="000638D2" w:rsidRPr="00C62447" w:rsidRDefault="000638D2" w:rsidP="000638D2">
            <w:pPr>
              <w:pStyle w:val="TableText"/>
              <w:spacing w:before="0" w:after="0"/>
              <w:jc w:val="center"/>
              <w:rPr>
                <w:bCs/>
                <w:szCs w:val="18"/>
              </w:rPr>
            </w:pPr>
          </w:p>
        </w:tc>
        <w:tc>
          <w:tcPr>
            <w:tcW w:w="992" w:type="dxa"/>
            <w:shd w:val="clear" w:color="auto" w:fill="auto"/>
            <w:noWrap/>
          </w:tcPr>
          <w:p w14:paraId="34D7A74E" w14:textId="77777777" w:rsidR="000638D2" w:rsidRPr="00C62447" w:rsidRDefault="000638D2" w:rsidP="000638D2">
            <w:pPr>
              <w:pStyle w:val="TableText"/>
              <w:spacing w:before="0" w:after="0"/>
              <w:jc w:val="center"/>
              <w:rPr>
                <w:bCs/>
                <w:szCs w:val="18"/>
              </w:rPr>
            </w:pPr>
          </w:p>
        </w:tc>
      </w:tr>
      <w:tr w:rsidR="000638D2" w:rsidRPr="00C62447" w14:paraId="2A56247B" w14:textId="77777777" w:rsidTr="000638D2">
        <w:trPr>
          <w:trHeight w:val="20"/>
          <w:tblHeader/>
        </w:trPr>
        <w:tc>
          <w:tcPr>
            <w:tcW w:w="3685" w:type="dxa"/>
            <w:shd w:val="clear" w:color="auto" w:fill="auto"/>
            <w:noWrap/>
            <w:vAlign w:val="bottom"/>
          </w:tcPr>
          <w:p w14:paraId="634D9A12"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 xml:space="preserve">Annual scans on F≥2 fibrosis (50% have </w:t>
            </w:r>
            <w:r>
              <w:rPr>
                <w:rFonts w:ascii="Arial Narrow" w:hAnsi="Arial Narrow"/>
                <w:sz w:val="18"/>
                <w:szCs w:val="18"/>
              </w:rPr>
              <w:t>F≤1</w:t>
            </w:r>
            <w:r w:rsidRPr="00C62447">
              <w:rPr>
                <w:rFonts w:ascii="Arial Narrow" w:hAnsi="Arial Narrow"/>
                <w:sz w:val="18"/>
                <w:szCs w:val="18"/>
              </w:rPr>
              <w:t>)</w:t>
            </w:r>
          </w:p>
        </w:tc>
        <w:tc>
          <w:tcPr>
            <w:tcW w:w="1134" w:type="dxa"/>
            <w:shd w:val="clear" w:color="auto" w:fill="auto"/>
            <w:noWrap/>
          </w:tcPr>
          <w:p w14:paraId="331C91DC" w14:textId="77777777" w:rsidR="000638D2" w:rsidRPr="00C62447" w:rsidRDefault="000638D2" w:rsidP="000638D2">
            <w:pPr>
              <w:pStyle w:val="TableText"/>
              <w:spacing w:before="0" w:after="0"/>
              <w:jc w:val="center"/>
              <w:rPr>
                <w:bCs/>
                <w:szCs w:val="18"/>
              </w:rPr>
            </w:pPr>
            <w:r w:rsidRPr="00C62447">
              <w:rPr>
                <w:bCs/>
                <w:szCs w:val="18"/>
              </w:rPr>
              <w:t>16,447</w:t>
            </w:r>
          </w:p>
        </w:tc>
        <w:tc>
          <w:tcPr>
            <w:tcW w:w="1134" w:type="dxa"/>
            <w:shd w:val="clear" w:color="auto" w:fill="auto"/>
            <w:noWrap/>
          </w:tcPr>
          <w:p w14:paraId="6A147F48" w14:textId="77777777" w:rsidR="000638D2" w:rsidRPr="00C62447" w:rsidRDefault="000638D2" w:rsidP="000638D2">
            <w:pPr>
              <w:pStyle w:val="TableText"/>
              <w:spacing w:before="0" w:after="0"/>
              <w:jc w:val="center"/>
              <w:rPr>
                <w:bCs/>
                <w:szCs w:val="18"/>
              </w:rPr>
            </w:pPr>
            <w:r w:rsidRPr="00C62447">
              <w:rPr>
                <w:bCs/>
                <w:szCs w:val="18"/>
              </w:rPr>
              <w:t>16,732</w:t>
            </w:r>
          </w:p>
        </w:tc>
        <w:tc>
          <w:tcPr>
            <w:tcW w:w="1134" w:type="dxa"/>
            <w:shd w:val="clear" w:color="auto" w:fill="auto"/>
            <w:noWrap/>
          </w:tcPr>
          <w:p w14:paraId="2F63EF9C" w14:textId="77777777" w:rsidR="000638D2" w:rsidRPr="00C62447" w:rsidRDefault="000638D2" w:rsidP="000638D2">
            <w:pPr>
              <w:pStyle w:val="TableText"/>
              <w:spacing w:before="0" w:after="0"/>
              <w:jc w:val="center"/>
              <w:rPr>
                <w:bCs/>
                <w:szCs w:val="18"/>
              </w:rPr>
            </w:pPr>
            <w:r w:rsidRPr="00C62447">
              <w:rPr>
                <w:bCs/>
                <w:szCs w:val="18"/>
              </w:rPr>
              <w:t>17,015</w:t>
            </w:r>
          </w:p>
        </w:tc>
        <w:tc>
          <w:tcPr>
            <w:tcW w:w="1134" w:type="dxa"/>
            <w:shd w:val="clear" w:color="auto" w:fill="auto"/>
            <w:noWrap/>
          </w:tcPr>
          <w:p w14:paraId="27EBF037" w14:textId="77777777" w:rsidR="000638D2" w:rsidRPr="00C62447" w:rsidRDefault="000638D2" w:rsidP="000638D2">
            <w:pPr>
              <w:pStyle w:val="TableText"/>
              <w:spacing w:before="0" w:after="0"/>
              <w:jc w:val="center"/>
              <w:rPr>
                <w:bCs/>
                <w:szCs w:val="18"/>
              </w:rPr>
            </w:pPr>
            <w:r w:rsidRPr="00C62447">
              <w:rPr>
                <w:bCs/>
                <w:szCs w:val="18"/>
              </w:rPr>
              <w:t>17,298</w:t>
            </w:r>
          </w:p>
        </w:tc>
        <w:tc>
          <w:tcPr>
            <w:tcW w:w="992" w:type="dxa"/>
            <w:shd w:val="clear" w:color="auto" w:fill="auto"/>
            <w:noWrap/>
          </w:tcPr>
          <w:p w14:paraId="216B3ED5" w14:textId="77777777" w:rsidR="000638D2" w:rsidRPr="00C62447" w:rsidRDefault="000638D2" w:rsidP="000638D2">
            <w:pPr>
              <w:pStyle w:val="TableText"/>
              <w:spacing w:before="0" w:after="0"/>
              <w:jc w:val="center"/>
              <w:rPr>
                <w:bCs/>
                <w:szCs w:val="18"/>
              </w:rPr>
            </w:pPr>
            <w:r w:rsidRPr="00C62447">
              <w:rPr>
                <w:bCs/>
                <w:szCs w:val="18"/>
              </w:rPr>
              <w:t>17,580</w:t>
            </w:r>
          </w:p>
        </w:tc>
      </w:tr>
      <w:tr w:rsidR="000638D2" w:rsidRPr="00C62447" w14:paraId="719267C1" w14:textId="77777777" w:rsidTr="000638D2">
        <w:trPr>
          <w:trHeight w:val="20"/>
          <w:tblHeader/>
        </w:trPr>
        <w:tc>
          <w:tcPr>
            <w:tcW w:w="3685" w:type="dxa"/>
            <w:shd w:val="clear" w:color="auto" w:fill="auto"/>
            <w:noWrap/>
            <w:vAlign w:val="bottom"/>
          </w:tcPr>
          <w:p w14:paraId="45C257E1" w14:textId="77777777" w:rsidR="000638D2" w:rsidRPr="00C62447" w:rsidRDefault="000638D2" w:rsidP="000638D2">
            <w:pPr>
              <w:rPr>
                <w:rFonts w:ascii="Arial Narrow" w:hAnsi="Arial Narrow"/>
                <w:b/>
                <w:bCs/>
                <w:sz w:val="18"/>
                <w:szCs w:val="18"/>
              </w:rPr>
            </w:pPr>
            <w:r w:rsidRPr="00C62447">
              <w:rPr>
                <w:rFonts w:ascii="Arial Narrow" w:hAnsi="Arial Narrow"/>
                <w:b/>
                <w:bCs/>
                <w:sz w:val="18"/>
                <w:szCs w:val="18"/>
              </w:rPr>
              <w:t xml:space="preserve">MBS Costs </w:t>
            </w:r>
          </w:p>
        </w:tc>
        <w:tc>
          <w:tcPr>
            <w:tcW w:w="1134" w:type="dxa"/>
            <w:shd w:val="clear" w:color="auto" w:fill="auto"/>
            <w:noWrap/>
          </w:tcPr>
          <w:p w14:paraId="4BB21A5F" w14:textId="68BA509E" w:rsidR="000638D2" w:rsidRPr="00C62447" w:rsidRDefault="000638D2" w:rsidP="000638D2">
            <w:pPr>
              <w:pStyle w:val="TableText"/>
              <w:spacing w:before="0" w:after="0"/>
              <w:jc w:val="center"/>
              <w:rPr>
                <w:bCs/>
                <w:szCs w:val="18"/>
              </w:rPr>
            </w:pPr>
          </w:p>
        </w:tc>
        <w:tc>
          <w:tcPr>
            <w:tcW w:w="1134" w:type="dxa"/>
            <w:shd w:val="clear" w:color="auto" w:fill="auto"/>
            <w:noWrap/>
          </w:tcPr>
          <w:p w14:paraId="0AAA7ADE" w14:textId="436DDCBE" w:rsidR="000638D2" w:rsidRPr="00C62447" w:rsidRDefault="000638D2" w:rsidP="000638D2">
            <w:pPr>
              <w:pStyle w:val="TableText"/>
              <w:spacing w:before="0" w:after="0"/>
              <w:jc w:val="center"/>
              <w:rPr>
                <w:bCs/>
                <w:szCs w:val="18"/>
              </w:rPr>
            </w:pPr>
          </w:p>
        </w:tc>
        <w:tc>
          <w:tcPr>
            <w:tcW w:w="1134" w:type="dxa"/>
            <w:shd w:val="clear" w:color="auto" w:fill="auto"/>
            <w:noWrap/>
          </w:tcPr>
          <w:p w14:paraId="49384DA5" w14:textId="5D0FD511" w:rsidR="000638D2" w:rsidRPr="00C62447" w:rsidRDefault="000638D2" w:rsidP="000638D2">
            <w:pPr>
              <w:pStyle w:val="TableText"/>
              <w:spacing w:before="0" w:after="0"/>
              <w:jc w:val="center"/>
              <w:rPr>
                <w:bCs/>
                <w:szCs w:val="18"/>
              </w:rPr>
            </w:pPr>
          </w:p>
        </w:tc>
        <w:tc>
          <w:tcPr>
            <w:tcW w:w="1134" w:type="dxa"/>
            <w:shd w:val="clear" w:color="auto" w:fill="auto"/>
            <w:noWrap/>
          </w:tcPr>
          <w:p w14:paraId="10079939" w14:textId="2A1404FB" w:rsidR="000638D2" w:rsidRPr="00C62447" w:rsidRDefault="000638D2" w:rsidP="000638D2">
            <w:pPr>
              <w:pStyle w:val="TableText"/>
              <w:spacing w:before="0" w:after="0"/>
              <w:jc w:val="center"/>
              <w:rPr>
                <w:bCs/>
                <w:szCs w:val="18"/>
              </w:rPr>
            </w:pPr>
          </w:p>
        </w:tc>
        <w:tc>
          <w:tcPr>
            <w:tcW w:w="992" w:type="dxa"/>
            <w:shd w:val="clear" w:color="auto" w:fill="auto"/>
            <w:noWrap/>
          </w:tcPr>
          <w:p w14:paraId="0E8DD0DD" w14:textId="629931AF" w:rsidR="000638D2" w:rsidRPr="00C62447" w:rsidRDefault="000638D2" w:rsidP="000638D2">
            <w:pPr>
              <w:pStyle w:val="TableText"/>
              <w:spacing w:before="0" w:after="0"/>
              <w:jc w:val="center"/>
              <w:rPr>
                <w:bCs/>
                <w:szCs w:val="18"/>
              </w:rPr>
            </w:pPr>
          </w:p>
        </w:tc>
      </w:tr>
      <w:tr w:rsidR="000638D2" w:rsidRPr="00C62447" w14:paraId="794FEF0F" w14:textId="77777777" w:rsidTr="000638D2">
        <w:trPr>
          <w:trHeight w:val="20"/>
          <w:tblHeader/>
        </w:trPr>
        <w:tc>
          <w:tcPr>
            <w:tcW w:w="3685" w:type="dxa"/>
            <w:shd w:val="clear" w:color="auto" w:fill="auto"/>
            <w:noWrap/>
            <w:vAlign w:val="bottom"/>
          </w:tcPr>
          <w:p w14:paraId="18A33D2B"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TEs</w:t>
            </w:r>
          </w:p>
        </w:tc>
        <w:tc>
          <w:tcPr>
            <w:tcW w:w="1134" w:type="dxa"/>
            <w:shd w:val="clear" w:color="auto" w:fill="auto"/>
            <w:noWrap/>
            <w:vAlign w:val="center"/>
          </w:tcPr>
          <w:p w14:paraId="496E5D62" w14:textId="77777777" w:rsidR="000638D2" w:rsidRPr="00C62447" w:rsidRDefault="000638D2" w:rsidP="000638D2">
            <w:pPr>
              <w:pStyle w:val="TableText"/>
              <w:spacing w:before="0" w:after="0"/>
              <w:jc w:val="right"/>
              <w:rPr>
                <w:bCs/>
                <w:szCs w:val="18"/>
              </w:rPr>
            </w:pPr>
            <w:r w:rsidRPr="00C62447">
              <w:rPr>
                <w:bCs/>
                <w:szCs w:val="18"/>
              </w:rPr>
              <w:t>$778,765</w:t>
            </w:r>
          </w:p>
        </w:tc>
        <w:tc>
          <w:tcPr>
            <w:tcW w:w="1134" w:type="dxa"/>
            <w:shd w:val="clear" w:color="auto" w:fill="auto"/>
            <w:noWrap/>
            <w:vAlign w:val="center"/>
          </w:tcPr>
          <w:p w14:paraId="2A014C60" w14:textId="77777777" w:rsidR="000638D2" w:rsidRPr="00C62447" w:rsidRDefault="000638D2" w:rsidP="000638D2">
            <w:pPr>
              <w:pStyle w:val="TableText"/>
              <w:spacing w:before="0" w:after="0"/>
              <w:jc w:val="right"/>
              <w:rPr>
                <w:bCs/>
                <w:szCs w:val="18"/>
              </w:rPr>
            </w:pPr>
            <w:r w:rsidRPr="00C62447">
              <w:rPr>
                <w:bCs/>
                <w:szCs w:val="18"/>
              </w:rPr>
              <w:t>$792,237</w:t>
            </w:r>
          </w:p>
        </w:tc>
        <w:tc>
          <w:tcPr>
            <w:tcW w:w="1134" w:type="dxa"/>
            <w:shd w:val="clear" w:color="auto" w:fill="auto"/>
            <w:noWrap/>
            <w:vAlign w:val="center"/>
          </w:tcPr>
          <w:p w14:paraId="0EDBB534" w14:textId="77777777" w:rsidR="000638D2" w:rsidRPr="00C62447" w:rsidRDefault="000638D2" w:rsidP="000638D2">
            <w:pPr>
              <w:pStyle w:val="TableText"/>
              <w:spacing w:before="0" w:after="0"/>
              <w:jc w:val="right"/>
              <w:rPr>
                <w:bCs/>
                <w:szCs w:val="18"/>
              </w:rPr>
            </w:pPr>
            <w:r w:rsidRPr="00C62447">
              <w:rPr>
                <w:bCs/>
                <w:szCs w:val="18"/>
              </w:rPr>
              <w:t>$805,660</w:t>
            </w:r>
          </w:p>
        </w:tc>
        <w:tc>
          <w:tcPr>
            <w:tcW w:w="1134" w:type="dxa"/>
            <w:shd w:val="clear" w:color="auto" w:fill="auto"/>
            <w:noWrap/>
            <w:vAlign w:val="center"/>
          </w:tcPr>
          <w:p w14:paraId="1DC33375" w14:textId="77777777" w:rsidR="000638D2" w:rsidRPr="00C62447" w:rsidRDefault="000638D2" w:rsidP="000638D2">
            <w:pPr>
              <w:pStyle w:val="TableText"/>
              <w:spacing w:before="0" w:after="0"/>
              <w:jc w:val="right"/>
              <w:rPr>
                <w:bCs/>
                <w:szCs w:val="18"/>
              </w:rPr>
            </w:pPr>
            <w:r w:rsidRPr="00C62447">
              <w:rPr>
                <w:bCs/>
                <w:szCs w:val="18"/>
              </w:rPr>
              <w:t>$819,037</w:t>
            </w:r>
          </w:p>
        </w:tc>
        <w:tc>
          <w:tcPr>
            <w:tcW w:w="992" w:type="dxa"/>
            <w:shd w:val="clear" w:color="auto" w:fill="auto"/>
            <w:noWrap/>
            <w:vAlign w:val="center"/>
          </w:tcPr>
          <w:p w14:paraId="6499BF62" w14:textId="77777777" w:rsidR="000638D2" w:rsidRPr="00C62447" w:rsidRDefault="000638D2" w:rsidP="000638D2">
            <w:pPr>
              <w:pStyle w:val="TableText"/>
              <w:spacing w:before="0" w:after="0"/>
              <w:jc w:val="right"/>
              <w:rPr>
                <w:bCs/>
                <w:szCs w:val="18"/>
              </w:rPr>
            </w:pPr>
            <w:r w:rsidRPr="00C62447">
              <w:rPr>
                <w:bCs/>
                <w:szCs w:val="18"/>
              </w:rPr>
              <w:t>$832,389</w:t>
            </w:r>
          </w:p>
        </w:tc>
      </w:tr>
      <w:tr w:rsidR="000638D2" w:rsidRPr="00C62447" w14:paraId="548058E4" w14:textId="77777777" w:rsidTr="000638D2">
        <w:trPr>
          <w:trHeight w:val="20"/>
          <w:tblHeader/>
        </w:trPr>
        <w:tc>
          <w:tcPr>
            <w:tcW w:w="3685" w:type="dxa"/>
            <w:shd w:val="clear" w:color="auto" w:fill="auto"/>
            <w:noWrap/>
            <w:vAlign w:val="bottom"/>
          </w:tcPr>
          <w:p w14:paraId="0A931833" w14:textId="77777777" w:rsidR="000638D2" w:rsidRPr="00C62447" w:rsidRDefault="000638D2" w:rsidP="000638D2">
            <w:pPr>
              <w:rPr>
                <w:rFonts w:ascii="Arial Narrow" w:hAnsi="Arial Narrow"/>
                <w:b/>
                <w:bCs/>
                <w:sz w:val="18"/>
                <w:szCs w:val="18"/>
              </w:rPr>
            </w:pPr>
            <w:r w:rsidRPr="00C62447">
              <w:rPr>
                <w:rFonts w:ascii="Arial Narrow" w:hAnsi="Arial Narrow"/>
                <w:b/>
                <w:bCs/>
                <w:sz w:val="18"/>
                <w:szCs w:val="18"/>
              </w:rPr>
              <w:t>Costs associated with additional patients treated</w:t>
            </w:r>
          </w:p>
        </w:tc>
        <w:tc>
          <w:tcPr>
            <w:tcW w:w="1134" w:type="dxa"/>
            <w:shd w:val="clear" w:color="auto" w:fill="auto"/>
            <w:noWrap/>
          </w:tcPr>
          <w:p w14:paraId="481418D8" w14:textId="1C124351" w:rsidR="000638D2" w:rsidRPr="00B90C05" w:rsidRDefault="000638D2" w:rsidP="000638D2">
            <w:pPr>
              <w:pStyle w:val="TableText"/>
              <w:spacing w:before="0" w:after="0"/>
              <w:jc w:val="center"/>
              <w:rPr>
                <w:b/>
                <w:bCs/>
                <w:szCs w:val="18"/>
              </w:rPr>
            </w:pPr>
          </w:p>
        </w:tc>
        <w:tc>
          <w:tcPr>
            <w:tcW w:w="1134" w:type="dxa"/>
            <w:shd w:val="clear" w:color="auto" w:fill="auto"/>
            <w:noWrap/>
            <w:vAlign w:val="center"/>
          </w:tcPr>
          <w:p w14:paraId="4609F8C6" w14:textId="3BA09F76" w:rsidR="000638D2" w:rsidRPr="00B90C05" w:rsidRDefault="000638D2" w:rsidP="000638D2">
            <w:pPr>
              <w:jc w:val="center"/>
              <w:rPr>
                <w:rFonts w:ascii="Arial Narrow" w:hAnsi="Arial Narrow"/>
                <w:b/>
                <w:bCs/>
                <w:sz w:val="18"/>
                <w:szCs w:val="18"/>
              </w:rPr>
            </w:pPr>
          </w:p>
        </w:tc>
        <w:tc>
          <w:tcPr>
            <w:tcW w:w="1134" w:type="dxa"/>
            <w:shd w:val="clear" w:color="auto" w:fill="auto"/>
            <w:noWrap/>
            <w:vAlign w:val="center"/>
          </w:tcPr>
          <w:p w14:paraId="0799A9C3" w14:textId="701DA06E" w:rsidR="000638D2" w:rsidRPr="00C62447" w:rsidRDefault="000638D2" w:rsidP="000638D2">
            <w:pPr>
              <w:jc w:val="center"/>
              <w:rPr>
                <w:rFonts w:ascii="Arial Narrow" w:hAnsi="Arial Narrow"/>
                <w:b/>
                <w:bCs/>
                <w:sz w:val="18"/>
                <w:szCs w:val="18"/>
              </w:rPr>
            </w:pPr>
          </w:p>
        </w:tc>
        <w:tc>
          <w:tcPr>
            <w:tcW w:w="1134" w:type="dxa"/>
            <w:shd w:val="clear" w:color="auto" w:fill="auto"/>
            <w:noWrap/>
            <w:vAlign w:val="center"/>
          </w:tcPr>
          <w:p w14:paraId="2D124B8C" w14:textId="75D4646D" w:rsidR="000638D2" w:rsidRPr="00C62447" w:rsidRDefault="000638D2" w:rsidP="000638D2">
            <w:pPr>
              <w:jc w:val="center"/>
              <w:rPr>
                <w:rFonts w:ascii="Arial Narrow" w:hAnsi="Arial Narrow"/>
                <w:b/>
                <w:bCs/>
                <w:sz w:val="18"/>
                <w:szCs w:val="18"/>
              </w:rPr>
            </w:pPr>
          </w:p>
        </w:tc>
        <w:tc>
          <w:tcPr>
            <w:tcW w:w="992" w:type="dxa"/>
            <w:shd w:val="clear" w:color="auto" w:fill="auto"/>
            <w:noWrap/>
            <w:vAlign w:val="center"/>
          </w:tcPr>
          <w:p w14:paraId="31E90C0F" w14:textId="34B3EE94" w:rsidR="000638D2" w:rsidRPr="00C62447" w:rsidRDefault="000638D2" w:rsidP="000638D2">
            <w:pPr>
              <w:jc w:val="center"/>
              <w:rPr>
                <w:rFonts w:ascii="Arial Narrow" w:hAnsi="Arial Narrow"/>
                <w:b/>
                <w:bCs/>
                <w:sz w:val="18"/>
                <w:szCs w:val="18"/>
              </w:rPr>
            </w:pPr>
          </w:p>
        </w:tc>
      </w:tr>
      <w:tr w:rsidR="000638D2" w:rsidRPr="00C62447" w14:paraId="4B76A09F" w14:textId="77777777" w:rsidTr="000638D2">
        <w:trPr>
          <w:trHeight w:val="20"/>
          <w:tblHeader/>
        </w:trPr>
        <w:tc>
          <w:tcPr>
            <w:tcW w:w="3685" w:type="dxa"/>
            <w:shd w:val="clear" w:color="auto" w:fill="auto"/>
            <w:noWrap/>
            <w:vAlign w:val="bottom"/>
          </w:tcPr>
          <w:p w14:paraId="5ADEFA91"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Incidence of hepatitis C</w:t>
            </w:r>
          </w:p>
        </w:tc>
        <w:tc>
          <w:tcPr>
            <w:tcW w:w="1134" w:type="dxa"/>
            <w:shd w:val="clear" w:color="auto" w:fill="auto"/>
            <w:noWrap/>
          </w:tcPr>
          <w:p w14:paraId="373F816A" w14:textId="77777777" w:rsidR="000638D2" w:rsidRPr="00C62447" w:rsidRDefault="000638D2" w:rsidP="000638D2">
            <w:pPr>
              <w:pStyle w:val="TableText"/>
              <w:spacing w:before="0" w:after="0"/>
              <w:jc w:val="center"/>
              <w:rPr>
                <w:bCs/>
                <w:szCs w:val="18"/>
              </w:rPr>
            </w:pPr>
            <w:r w:rsidRPr="00C62447">
              <w:rPr>
                <w:bCs/>
                <w:szCs w:val="18"/>
              </w:rPr>
              <w:t>11,279</w:t>
            </w:r>
          </w:p>
        </w:tc>
        <w:tc>
          <w:tcPr>
            <w:tcW w:w="1134" w:type="dxa"/>
            <w:shd w:val="clear" w:color="auto" w:fill="auto"/>
            <w:noWrap/>
          </w:tcPr>
          <w:p w14:paraId="1A549933" w14:textId="77777777" w:rsidR="000638D2" w:rsidRPr="00C62447" w:rsidRDefault="000638D2" w:rsidP="000638D2">
            <w:pPr>
              <w:pStyle w:val="TableText"/>
              <w:spacing w:before="0" w:after="0"/>
              <w:jc w:val="center"/>
              <w:rPr>
                <w:bCs/>
                <w:szCs w:val="18"/>
              </w:rPr>
            </w:pPr>
            <w:r w:rsidRPr="00C62447">
              <w:rPr>
                <w:bCs/>
                <w:szCs w:val="18"/>
              </w:rPr>
              <w:t>11,474</w:t>
            </w:r>
          </w:p>
        </w:tc>
        <w:tc>
          <w:tcPr>
            <w:tcW w:w="1134" w:type="dxa"/>
            <w:shd w:val="clear" w:color="auto" w:fill="auto"/>
            <w:noWrap/>
          </w:tcPr>
          <w:p w14:paraId="3A85FD43" w14:textId="77777777" w:rsidR="000638D2" w:rsidRPr="00C62447" w:rsidRDefault="000638D2" w:rsidP="000638D2">
            <w:pPr>
              <w:pStyle w:val="TableText"/>
              <w:spacing w:before="0" w:after="0"/>
              <w:jc w:val="center"/>
              <w:rPr>
                <w:bCs/>
                <w:szCs w:val="18"/>
              </w:rPr>
            </w:pPr>
            <w:r w:rsidRPr="00C62447">
              <w:rPr>
                <w:bCs/>
                <w:szCs w:val="18"/>
              </w:rPr>
              <w:t>11,668</w:t>
            </w:r>
          </w:p>
        </w:tc>
        <w:tc>
          <w:tcPr>
            <w:tcW w:w="1134" w:type="dxa"/>
            <w:shd w:val="clear" w:color="auto" w:fill="auto"/>
            <w:noWrap/>
          </w:tcPr>
          <w:p w14:paraId="4151D4F9" w14:textId="77777777" w:rsidR="000638D2" w:rsidRPr="00C62447" w:rsidRDefault="000638D2" w:rsidP="000638D2">
            <w:pPr>
              <w:pStyle w:val="TableText"/>
              <w:spacing w:before="0" w:after="0"/>
              <w:jc w:val="center"/>
              <w:rPr>
                <w:bCs/>
                <w:szCs w:val="18"/>
              </w:rPr>
            </w:pPr>
            <w:r w:rsidRPr="00C62447">
              <w:rPr>
                <w:bCs/>
                <w:szCs w:val="18"/>
              </w:rPr>
              <w:t>11,862</w:t>
            </w:r>
          </w:p>
        </w:tc>
        <w:tc>
          <w:tcPr>
            <w:tcW w:w="992" w:type="dxa"/>
            <w:shd w:val="clear" w:color="auto" w:fill="auto"/>
            <w:noWrap/>
          </w:tcPr>
          <w:p w14:paraId="7B6421EE" w14:textId="77777777" w:rsidR="000638D2" w:rsidRPr="00C62447" w:rsidRDefault="000638D2" w:rsidP="000638D2">
            <w:pPr>
              <w:pStyle w:val="TableText"/>
              <w:spacing w:before="0" w:after="0"/>
              <w:jc w:val="center"/>
              <w:rPr>
                <w:bCs/>
                <w:szCs w:val="18"/>
              </w:rPr>
            </w:pPr>
            <w:r w:rsidRPr="00C62447">
              <w:rPr>
                <w:bCs/>
                <w:szCs w:val="18"/>
              </w:rPr>
              <w:t>12,055</w:t>
            </w:r>
          </w:p>
        </w:tc>
      </w:tr>
      <w:tr w:rsidR="000638D2" w:rsidRPr="00C62447" w14:paraId="22BCA5BC" w14:textId="77777777" w:rsidTr="000638D2">
        <w:trPr>
          <w:trHeight w:val="20"/>
          <w:tblHeader/>
        </w:trPr>
        <w:tc>
          <w:tcPr>
            <w:tcW w:w="3685" w:type="dxa"/>
            <w:shd w:val="clear" w:color="auto" w:fill="auto"/>
            <w:noWrap/>
            <w:vAlign w:val="bottom"/>
          </w:tcPr>
          <w:p w14:paraId="20FCC2AA"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New cases of F ≥2 fibrosis diagnosed with TE</w:t>
            </w:r>
          </w:p>
        </w:tc>
        <w:tc>
          <w:tcPr>
            <w:tcW w:w="1134" w:type="dxa"/>
            <w:shd w:val="clear" w:color="auto" w:fill="auto"/>
            <w:noWrap/>
          </w:tcPr>
          <w:p w14:paraId="1BC4B180" w14:textId="77777777" w:rsidR="000638D2" w:rsidRPr="00C62447" w:rsidRDefault="000638D2" w:rsidP="000638D2">
            <w:pPr>
              <w:pStyle w:val="TableText"/>
              <w:spacing w:before="0" w:after="0"/>
              <w:jc w:val="center"/>
              <w:rPr>
                <w:bCs/>
                <w:szCs w:val="18"/>
              </w:rPr>
            </w:pPr>
            <w:r w:rsidRPr="00C62447">
              <w:rPr>
                <w:bCs/>
                <w:szCs w:val="18"/>
              </w:rPr>
              <w:t>1,008</w:t>
            </w:r>
          </w:p>
        </w:tc>
        <w:tc>
          <w:tcPr>
            <w:tcW w:w="1134" w:type="dxa"/>
            <w:shd w:val="clear" w:color="auto" w:fill="auto"/>
            <w:noWrap/>
          </w:tcPr>
          <w:p w14:paraId="63DA48C0" w14:textId="77777777" w:rsidR="000638D2" w:rsidRPr="00C62447" w:rsidRDefault="000638D2" w:rsidP="000638D2">
            <w:pPr>
              <w:pStyle w:val="TableText"/>
              <w:spacing w:before="0" w:after="0"/>
              <w:jc w:val="center"/>
              <w:rPr>
                <w:bCs/>
                <w:szCs w:val="18"/>
              </w:rPr>
            </w:pPr>
            <w:r w:rsidRPr="00C62447">
              <w:rPr>
                <w:bCs/>
                <w:szCs w:val="18"/>
              </w:rPr>
              <w:t>1,026</w:t>
            </w:r>
          </w:p>
        </w:tc>
        <w:tc>
          <w:tcPr>
            <w:tcW w:w="1134" w:type="dxa"/>
            <w:shd w:val="clear" w:color="auto" w:fill="auto"/>
            <w:noWrap/>
          </w:tcPr>
          <w:p w14:paraId="4825D201" w14:textId="77777777" w:rsidR="000638D2" w:rsidRPr="00C62447" w:rsidRDefault="000638D2" w:rsidP="000638D2">
            <w:pPr>
              <w:pStyle w:val="TableText"/>
              <w:spacing w:before="0" w:after="0"/>
              <w:jc w:val="center"/>
              <w:rPr>
                <w:bCs/>
                <w:szCs w:val="18"/>
              </w:rPr>
            </w:pPr>
            <w:r w:rsidRPr="00C62447">
              <w:rPr>
                <w:bCs/>
                <w:szCs w:val="18"/>
              </w:rPr>
              <w:t>1,043</w:t>
            </w:r>
          </w:p>
        </w:tc>
        <w:tc>
          <w:tcPr>
            <w:tcW w:w="1134" w:type="dxa"/>
            <w:shd w:val="clear" w:color="auto" w:fill="auto"/>
            <w:noWrap/>
          </w:tcPr>
          <w:p w14:paraId="6DF64B8C" w14:textId="77777777" w:rsidR="000638D2" w:rsidRPr="00C62447" w:rsidRDefault="000638D2" w:rsidP="000638D2">
            <w:pPr>
              <w:pStyle w:val="TableText"/>
              <w:spacing w:before="0" w:after="0"/>
              <w:jc w:val="center"/>
              <w:rPr>
                <w:bCs/>
                <w:szCs w:val="18"/>
              </w:rPr>
            </w:pPr>
            <w:r w:rsidRPr="00C62447">
              <w:rPr>
                <w:bCs/>
                <w:szCs w:val="18"/>
              </w:rPr>
              <w:t>1,060</w:t>
            </w:r>
          </w:p>
        </w:tc>
        <w:tc>
          <w:tcPr>
            <w:tcW w:w="992" w:type="dxa"/>
            <w:shd w:val="clear" w:color="auto" w:fill="auto"/>
            <w:noWrap/>
          </w:tcPr>
          <w:p w14:paraId="1CBD3C3D" w14:textId="77777777" w:rsidR="000638D2" w:rsidRPr="00C62447" w:rsidRDefault="000638D2" w:rsidP="000638D2">
            <w:pPr>
              <w:pStyle w:val="TableText"/>
              <w:spacing w:before="0" w:after="0"/>
              <w:jc w:val="center"/>
              <w:rPr>
                <w:bCs/>
                <w:szCs w:val="18"/>
              </w:rPr>
            </w:pPr>
            <w:r w:rsidRPr="00C62447">
              <w:rPr>
                <w:bCs/>
                <w:szCs w:val="18"/>
              </w:rPr>
              <w:t>1,078</w:t>
            </w:r>
          </w:p>
        </w:tc>
      </w:tr>
      <w:tr w:rsidR="000638D2" w:rsidRPr="00C62447" w14:paraId="0C1FD0A1" w14:textId="77777777" w:rsidTr="000638D2">
        <w:trPr>
          <w:trHeight w:val="20"/>
          <w:tblHeader/>
        </w:trPr>
        <w:tc>
          <w:tcPr>
            <w:tcW w:w="3685" w:type="dxa"/>
            <w:shd w:val="clear" w:color="auto" w:fill="auto"/>
            <w:noWrap/>
            <w:vAlign w:val="bottom"/>
          </w:tcPr>
          <w:p w14:paraId="3A2EF244"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New cases of F ≥2 fibrosis diagnosed with TE and engaged in care</w:t>
            </w:r>
          </w:p>
        </w:tc>
        <w:tc>
          <w:tcPr>
            <w:tcW w:w="1134" w:type="dxa"/>
            <w:shd w:val="clear" w:color="auto" w:fill="auto"/>
            <w:noWrap/>
          </w:tcPr>
          <w:p w14:paraId="3610F3CB" w14:textId="77777777" w:rsidR="000638D2" w:rsidRPr="00C62447" w:rsidRDefault="000638D2" w:rsidP="000638D2">
            <w:pPr>
              <w:pStyle w:val="TableText"/>
              <w:spacing w:before="0" w:after="0"/>
              <w:jc w:val="center"/>
              <w:rPr>
                <w:bCs/>
                <w:szCs w:val="18"/>
              </w:rPr>
            </w:pPr>
            <w:r w:rsidRPr="00C62447">
              <w:rPr>
                <w:bCs/>
                <w:szCs w:val="18"/>
              </w:rPr>
              <w:t>131</w:t>
            </w:r>
          </w:p>
        </w:tc>
        <w:tc>
          <w:tcPr>
            <w:tcW w:w="1134" w:type="dxa"/>
            <w:shd w:val="clear" w:color="auto" w:fill="auto"/>
            <w:noWrap/>
          </w:tcPr>
          <w:p w14:paraId="43658B76" w14:textId="77777777" w:rsidR="000638D2" w:rsidRPr="00C62447" w:rsidRDefault="000638D2" w:rsidP="000638D2">
            <w:pPr>
              <w:pStyle w:val="TableText"/>
              <w:spacing w:before="0" w:after="0"/>
              <w:jc w:val="center"/>
              <w:rPr>
                <w:bCs/>
                <w:szCs w:val="18"/>
              </w:rPr>
            </w:pPr>
            <w:r w:rsidRPr="00C62447">
              <w:rPr>
                <w:bCs/>
                <w:szCs w:val="18"/>
              </w:rPr>
              <w:t>133</w:t>
            </w:r>
          </w:p>
        </w:tc>
        <w:tc>
          <w:tcPr>
            <w:tcW w:w="1134" w:type="dxa"/>
            <w:shd w:val="clear" w:color="auto" w:fill="auto"/>
            <w:noWrap/>
          </w:tcPr>
          <w:p w14:paraId="29A40A1B" w14:textId="77777777" w:rsidR="000638D2" w:rsidRPr="00C62447" w:rsidRDefault="000638D2" w:rsidP="000638D2">
            <w:pPr>
              <w:pStyle w:val="TableText"/>
              <w:spacing w:before="0" w:after="0"/>
              <w:jc w:val="center"/>
              <w:rPr>
                <w:bCs/>
                <w:szCs w:val="18"/>
              </w:rPr>
            </w:pPr>
            <w:r w:rsidRPr="00C62447">
              <w:rPr>
                <w:bCs/>
                <w:szCs w:val="18"/>
              </w:rPr>
              <w:t>136</w:t>
            </w:r>
          </w:p>
        </w:tc>
        <w:tc>
          <w:tcPr>
            <w:tcW w:w="1134" w:type="dxa"/>
            <w:shd w:val="clear" w:color="auto" w:fill="auto"/>
            <w:noWrap/>
          </w:tcPr>
          <w:p w14:paraId="1524784A" w14:textId="77777777" w:rsidR="000638D2" w:rsidRPr="00C62447" w:rsidRDefault="000638D2" w:rsidP="000638D2">
            <w:pPr>
              <w:pStyle w:val="TableText"/>
              <w:spacing w:before="0" w:after="0"/>
              <w:jc w:val="center"/>
              <w:rPr>
                <w:bCs/>
                <w:szCs w:val="18"/>
              </w:rPr>
            </w:pPr>
            <w:r w:rsidRPr="00C62447">
              <w:rPr>
                <w:bCs/>
                <w:szCs w:val="18"/>
              </w:rPr>
              <w:t>138</w:t>
            </w:r>
          </w:p>
        </w:tc>
        <w:tc>
          <w:tcPr>
            <w:tcW w:w="992" w:type="dxa"/>
            <w:shd w:val="clear" w:color="auto" w:fill="auto"/>
            <w:noWrap/>
          </w:tcPr>
          <w:p w14:paraId="3327777D" w14:textId="77777777" w:rsidR="000638D2" w:rsidRPr="00C62447" w:rsidRDefault="000638D2" w:rsidP="000638D2">
            <w:pPr>
              <w:pStyle w:val="TableText"/>
              <w:spacing w:before="0" w:after="0"/>
              <w:jc w:val="center"/>
              <w:rPr>
                <w:bCs/>
                <w:szCs w:val="18"/>
              </w:rPr>
            </w:pPr>
            <w:r w:rsidRPr="00C62447">
              <w:rPr>
                <w:bCs/>
                <w:szCs w:val="18"/>
              </w:rPr>
              <w:t>140</w:t>
            </w:r>
          </w:p>
        </w:tc>
      </w:tr>
      <w:tr w:rsidR="000638D2" w:rsidRPr="00C62447" w14:paraId="011E6347" w14:textId="77777777" w:rsidTr="000638D2">
        <w:trPr>
          <w:trHeight w:val="20"/>
          <w:tblHeader/>
        </w:trPr>
        <w:tc>
          <w:tcPr>
            <w:tcW w:w="3685" w:type="dxa"/>
            <w:shd w:val="clear" w:color="auto" w:fill="auto"/>
            <w:noWrap/>
            <w:vAlign w:val="bottom"/>
          </w:tcPr>
          <w:p w14:paraId="3B935847" w14:textId="77777777" w:rsidR="000638D2" w:rsidRPr="00C62447" w:rsidRDefault="000638D2" w:rsidP="000638D2">
            <w:pPr>
              <w:rPr>
                <w:rFonts w:ascii="Arial Narrow" w:hAnsi="Arial Narrow"/>
                <w:sz w:val="18"/>
                <w:szCs w:val="18"/>
              </w:rPr>
            </w:pPr>
            <w:r w:rsidRPr="00C62447">
              <w:rPr>
                <w:rFonts w:ascii="Arial Narrow" w:hAnsi="Arial Narrow"/>
                <w:sz w:val="18"/>
                <w:szCs w:val="18"/>
              </w:rPr>
              <w:t>MBS costs (HCC screening)</w:t>
            </w:r>
          </w:p>
        </w:tc>
        <w:tc>
          <w:tcPr>
            <w:tcW w:w="1134" w:type="dxa"/>
            <w:shd w:val="clear" w:color="auto" w:fill="auto"/>
            <w:noWrap/>
            <w:vAlign w:val="bottom"/>
          </w:tcPr>
          <w:p w14:paraId="1EAE6094" w14:textId="77777777" w:rsidR="000638D2" w:rsidRPr="00C62447" w:rsidRDefault="000638D2" w:rsidP="000638D2">
            <w:pPr>
              <w:pStyle w:val="TableText"/>
              <w:spacing w:before="0" w:after="0"/>
              <w:jc w:val="right"/>
              <w:rPr>
                <w:bCs/>
                <w:szCs w:val="18"/>
              </w:rPr>
            </w:pPr>
            <w:r w:rsidRPr="00C62447">
              <w:rPr>
                <w:bCs/>
                <w:szCs w:val="18"/>
              </w:rPr>
              <w:t>$25,925</w:t>
            </w:r>
          </w:p>
        </w:tc>
        <w:tc>
          <w:tcPr>
            <w:tcW w:w="1134" w:type="dxa"/>
            <w:shd w:val="clear" w:color="auto" w:fill="auto"/>
            <w:noWrap/>
            <w:vAlign w:val="bottom"/>
          </w:tcPr>
          <w:p w14:paraId="22BBDDDE" w14:textId="77777777" w:rsidR="000638D2" w:rsidRPr="00C62447" w:rsidRDefault="000638D2" w:rsidP="000638D2">
            <w:pPr>
              <w:pStyle w:val="TableText"/>
              <w:spacing w:before="0" w:after="0"/>
              <w:jc w:val="right"/>
              <w:rPr>
                <w:bCs/>
                <w:szCs w:val="18"/>
              </w:rPr>
            </w:pPr>
            <w:r w:rsidRPr="00C62447">
              <w:rPr>
                <w:bCs/>
                <w:szCs w:val="18"/>
              </w:rPr>
              <w:t>$26,321</w:t>
            </w:r>
          </w:p>
        </w:tc>
        <w:tc>
          <w:tcPr>
            <w:tcW w:w="1134" w:type="dxa"/>
            <w:shd w:val="clear" w:color="auto" w:fill="auto"/>
            <w:noWrap/>
            <w:vAlign w:val="bottom"/>
          </w:tcPr>
          <w:p w14:paraId="1C3B47CC" w14:textId="77777777" w:rsidR="000638D2" w:rsidRPr="00C62447" w:rsidRDefault="000638D2" w:rsidP="000638D2">
            <w:pPr>
              <w:pStyle w:val="TableText"/>
              <w:spacing w:before="0" w:after="0"/>
              <w:jc w:val="right"/>
              <w:rPr>
                <w:bCs/>
                <w:szCs w:val="18"/>
              </w:rPr>
            </w:pPr>
            <w:r w:rsidRPr="00C62447">
              <w:rPr>
                <w:bCs/>
                <w:szCs w:val="18"/>
              </w:rPr>
              <w:t>$26,914</w:t>
            </w:r>
          </w:p>
        </w:tc>
        <w:tc>
          <w:tcPr>
            <w:tcW w:w="1134" w:type="dxa"/>
            <w:shd w:val="clear" w:color="auto" w:fill="auto"/>
            <w:noWrap/>
            <w:vAlign w:val="bottom"/>
          </w:tcPr>
          <w:p w14:paraId="293E0ECA" w14:textId="77777777" w:rsidR="000638D2" w:rsidRPr="00C62447" w:rsidRDefault="000638D2" w:rsidP="000638D2">
            <w:pPr>
              <w:pStyle w:val="TableText"/>
              <w:spacing w:before="0" w:after="0"/>
              <w:jc w:val="right"/>
              <w:rPr>
                <w:bCs/>
                <w:szCs w:val="18"/>
              </w:rPr>
            </w:pPr>
            <w:r w:rsidRPr="00C62447">
              <w:rPr>
                <w:bCs/>
                <w:szCs w:val="18"/>
              </w:rPr>
              <w:t>$27,310</w:t>
            </w:r>
          </w:p>
        </w:tc>
        <w:tc>
          <w:tcPr>
            <w:tcW w:w="992" w:type="dxa"/>
            <w:shd w:val="clear" w:color="auto" w:fill="auto"/>
            <w:noWrap/>
            <w:vAlign w:val="bottom"/>
          </w:tcPr>
          <w:p w14:paraId="4CCA1F44" w14:textId="77777777" w:rsidR="000638D2" w:rsidRPr="00C62447" w:rsidRDefault="000638D2" w:rsidP="000638D2">
            <w:pPr>
              <w:pStyle w:val="TableText"/>
              <w:spacing w:before="0" w:after="0"/>
              <w:jc w:val="right"/>
              <w:rPr>
                <w:bCs/>
                <w:szCs w:val="18"/>
              </w:rPr>
            </w:pPr>
            <w:r w:rsidRPr="00C62447">
              <w:rPr>
                <w:bCs/>
                <w:szCs w:val="18"/>
              </w:rPr>
              <w:t>$27,706</w:t>
            </w:r>
          </w:p>
        </w:tc>
      </w:tr>
      <w:tr w:rsidR="000638D2" w:rsidRPr="00C62447" w14:paraId="2869C7AD" w14:textId="77777777" w:rsidTr="000638D2">
        <w:trPr>
          <w:trHeight w:val="20"/>
          <w:tblHeader/>
        </w:trPr>
        <w:tc>
          <w:tcPr>
            <w:tcW w:w="3685" w:type="dxa"/>
            <w:shd w:val="clear" w:color="auto" w:fill="auto"/>
            <w:noWrap/>
            <w:vAlign w:val="bottom"/>
          </w:tcPr>
          <w:p w14:paraId="05D339AB" w14:textId="77777777" w:rsidR="000638D2" w:rsidRPr="00C62447" w:rsidRDefault="000638D2" w:rsidP="000638D2">
            <w:pPr>
              <w:rPr>
                <w:rFonts w:ascii="Arial Narrow" w:hAnsi="Arial Narrow"/>
                <w:b/>
                <w:bCs/>
                <w:sz w:val="18"/>
                <w:szCs w:val="18"/>
              </w:rPr>
            </w:pPr>
            <w:r w:rsidRPr="00C62447">
              <w:rPr>
                <w:rFonts w:ascii="Arial Narrow" w:hAnsi="Arial Narrow"/>
                <w:b/>
                <w:bCs/>
                <w:sz w:val="18"/>
                <w:szCs w:val="18"/>
              </w:rPr>
              <w:t>TOTAL MBS COSTS – Hepatitis C</w:t>
            </w:r>
          </w:p>
        </w:tc>
        <w:tc>
          <w:tcPr>
            <w:tcW w:w="1134" w:type="dxa"/>
            <w:shd w:val="clear" w:color="auto" w:fill="auto"/>
            <w:noWrap/>
            <w:vAlign w:val="bottom"/>
          </w:tcPr>
          <w:p w14:paraId="1358024F" w14:textId="77777777" w:rsidR="000638D2" w:rsidRPr="009D3C36" w:rsidRDefault="000638D2" w:rsidP="000638D2">
            <w:pPr>
              <w:pStyle w:val="TableText"/>
              <w:spacing w:before="0" w:after="0"/>
              <w:jc w:val="right"/>
              <w:rPr>
                <w:b/>
                <w:bCs/>
                <w:szCs w:val="18"/>
              </w:rPr>
            </w:pPr>
            <w:r w:rsidRPr="009D3C36">
              <w:rPr>
                <w:b/>
                <w:bCs/>
                <w:szCs w:val="18"/>
              </w:rPr>
              <w:t xml:space="preserve"> $804,690 </w:t>
            </w:r>
          </w:p>
        </w:tc>
        <w:tc>
          <w:tcPr>
            <w:tcW w:w="1134" w:type="dxa"/>
            <w:shd w:val="clear" w:color="auto" w:fill="auto"/>
            <w:noWrap/>
            <w:vAlign w:val="bottom"/>
          </w:tcPr>
          <w:p w14:paraId="325D3D9D" w14:textId="77777777" w:rsidR="000638D2" w:rsidRPr="009D3C36" w:rsidRDefault="000638D2" w:rsidP="000638D2">
            <w:pPr>
              <w:pStyle w:val="TableText"/>
              <w:spacing w:before="0" w:after="0"/>
              <w:jc w:val="right"/>
              <w:rPr>
                <w:b/>
                <w:bCs/>
                <w:szCs w:val="18"/>
              </w:rPr>
            </w:pPr>
            <w:r w:rsidRPr="009D3C36">
              <w:rPr>
                <w:b/>
                <w:bCs/>
                <w:szCs w:val="18"/>
              </w:rPr>
              <w:t xml:space="preserve"> $818,558 </w:t>
            </w:r>
          </w:p>
        </w:tc>
        <w:tc>
          <w:tcPr>
            <w:tcW w:w="1134" w:type="dxa"/>
            <w:shd w:val="clear" w:color="auto" w:fill="auto"/>
            <w:noWrap/>
            <w:vAlign w:val="bottom"/>
          </w:tcPr>
          <w:p w14:paraId="3E119159" w14:textId="77777777" w:rsidR="000638D2" w:rsidRPr="009D3C36" w:rsidRDefault="000638D2" w:rsidP="000638D2">
            <w:pPr>
              <w:pStyle w:val="TableText"/>
              <w:spacing w:before="0" w:after="0"/>
              <w:jc w:val="right"/>
              <w:rPr>
                <w:b/>
                <w:bCs/>
                <w:szCs w:val="18"/>
              </w:rPr>
            </w:pPr>
            <w:r w:rsidRPr="009D3C36">
              <w:rPr>
                <w:b/>
                <w:bCs/>
                <w:szCs w:val="18"/>
              </w:rPr>
              <w:t xml:space="preserve"> $832,574 </w:t>
            </w:r>
          </w:p>
        </w:tc>
        <w:tc>
          <w:tcPr>
            <w:tcW w:w="1134" w:type="dxa"/>
            <w:shd w:val="clear" w:color="auto" w:fill="auto"/>
            <w:noWrap/>
            <w:vAlign w:val="bottom"/>
          </w:tcPr>
          <w:p w14:paraId="4301E32A" w14:textId="77777777" w:rsidR="000638D2" w:rsidRPr="009D3C36" w:rsidRDefault="000638D2" w:rsidP="000638D2">
            <w:pPr>
              <w:pStyle w:val="TableText"/>
              <w:spacing w:before="0" w:after="0"/>
              <w:jc w:val="right"/>
              <w:rPr>
                <w:b/>
                <w:bCs/>
                <w:szCs w:val="18"/>
              </w:rPr>
            </w:pPr>
            <w:r w:rsidRPr="009D3C36">
              <w:rPr>
                <w:b/>
                <w:bCs/>
                <w:szCs w:val="18"/>
              </w:rPr>
              <w:t xml:space="preserve"> $846,347 </w:t>
            </w:r>
          </w:p>
        </w:tc>
        <w:tc>
          <w:tcPr>
            <w:tcW w:w="992" w:type="dxa"/>
            <w:shd w:val="clear" w:color="auto" w:fill="auto"/>
            <w:noWrap/>
            <w:vAlign w:val="bottom"/>
          </w:tcPr>
          <w:p w14:paraId="3A74A850" w14:textId="77777777" w:rsidR="000638D2" w:rsidRPr="009D3C36" w:rsidRDefault="000638D2" w:rsidP="000638D2">
            <w:pPr>
              <w:pStyle w:val="TableText"/>
              <w:spacing w:before="0" w:after="0"/>
              <w:jc w:val="right"/>
              <w:rPr>
                <w:b/>
                <w:bCs/>
                <w:szCs w:val="18"/>
              </w:rPr>
            </w:pPr>
            <w:r w:rsidRPr="009D3C36">
              <w:rPr>
                <w:b/>
                <w:bCs/>
                <w:szCs w:val="18"/>
              </w:rPr>
              <w:t xml:space="preserve"> $860,095 </w:t>
            </w:r>
          </w:p>
        </w:tc>
      </w:tr>
      <w:tr w:rsidR="000638D2" w:rsidRPr="00C62447" w14:paraId="3074CC74" w14:textId="77777777" w:rsidTr="000638D2">
        <w:trPr>
          <w:trHeight w:val="20"/>
          <w:tblHeader/>
        </w:trPr>
        <w:tc>
          <w:tcPr>
            <w:tcW w:w="3685" w:type="dxa"/>
            <w:shd w:val="clear" w:color="auto" w:fill="auto"/>
            <w:noWrap/>
            <w:vAlign w:val="bottom"/>
          </w:tcPr>
          <w:p w14:paraId="6070E767" w14:textId="1CBA5DFA" w:rsidR="000638D2" w:rsidRPr="00C62447" w:rsidRDefault="000638D2" w:rsidP="000638D2">
            <w:pPr>
              <w:rPr>
                <w:rFonts w:ascii="Arial Narrow" w:hAnsi="Arial Narrow"/>
                <w:b/>
                <w:bCs/>
                <w:sz w:val="18"/>
                <w:szCs w:val="18"/>
              </w:rPr>
            </w:pPr>
            <w:r w:rsidRPr="00C62447">
              <w:rPr>
                <w:rFonts w:ascii="Arial Narrow" w:hAnsi="Arial Narrow"/>
                <w:b/>
                <w:bCs/>
                <w:sz w:val="18"/>
                <w:szCs w:val="18"/>
              </w:rPr>
              <w:t xml:space="preserve">TOTAL MBS COSTS </w:t>
            </w:r>
            <w:r w:rsidR="009D3C36" w:rsidRPr="00C62447">
              <w:rPr>
                <w:rFonts w:ascii="Arial Narrow" w:hAnsi="Arial Narrow"/>
                <w:b/>
                <w:bCs/>
                <w:sz w:val="18"/>
                <w:szCs w:val="18"/>
              </w:rPr>
              <w:t>– Hepatitis B + Hepatitis C</w:t>
            </w:r>
          </w:p>
        </w:tc>
        <w:tc>
          <w:tcPr>
            <w:tcW w:w="1134" w:type="dxa"/>
            <w:shd w:val="clear" w:color="auto" w:fill="auto"/>
            <w:noWrap/>
            <w:vAlign w:val="bottom"/>
          </w:tcPr>
          <w:p w14:paraId="666A33EB" w14:textId="77777777" w:rsidR="000638D2" w:rsidRPr="00C62447" w:rsidRDefault="000638D2" w:rsidP="000638D2">
            <w:pPr>
              <w:pStyle w:val="TableText"/>
              <w:spacing w:before="0" w:after="0"/>
              <w:jc w:val="right"/>
              <w:rPr>
                <w:b/>
                <w:bCs/>
                <w:szCs w:val="18"/>
              </w:rPr>
            </w:pPr>
            <w:r w:rsidRPr="00C62447">
              <w:rPr>
                <w:b/>
                <w:bCs/>
                <w:szCs w:val="18"/>
              </w:rPr>
              <w:t xml:space="preserve">$1,549,156 </w:t>
            </w:r>
          </w:p>
        </w:tc>
        <w:tc>
          <w:tcPr>
            <w:tcW w:w="1134" w:type="dxa"/>
            <w:shd w:val="clear" w:color="auto" w:fill="auto"/>
            <w:noWrap/>
            <w:vAlign w:val="bottom"/>
          </w:tcPr>
          <w:p w14:paraId="1356AA45" w14:textId="77777777" w:rsidR="000638D2" w:rsidRPr="00C62447" w:rsidRDefault="000638D2" w:rsidP="000638D2">
            <w:pPr>
              <w:pStyle w:val="TableText"/>
              <w:spacing w:before="0" w:after="0"/>
              <w:jc w:val="right"/>
              <w:rPr>
                <w:b/>
                <w:bCs/>
                <w:szCs w:val="18"/>
              </w:rPr>
            </w:pPr>
            <w:r w:rsidRPr="00C62447">
              <w:rPr>
                <w:b/>
                <w:bCs/>
                <w:szCs w:val="18"/>
              </w:rPr>
              <w:t xml:space="preserve">$1,575,991 </w:t>
            </w:r>
          </w:p>
        </w:tc>
        <w:tc>
          <w:tcPr>
            <w:tcW w:w="1134" w:type="dxa"/>
            <w:shd w:val="clear" w:color="auto" w:fill="auto"/>
            <w:noWrap/>
            <w:vAlign w:val="bottom"/>
          </w:tcPr>
          <w:p w14:paraId="7ECEE21E" w14:textId="77777777" w:rsidR="000638D2" w:rsidRPr="00C62447" w:rsidRDefault="000638D2" w:rsidP="000638D2">
            <w:pPr>
              <w:pStyle w:val="TableText"/>
              <w:spacing w:before="0" w:after="0"/>
              <w:jc w:val="right"/>
              <w:rPr>
                <w:b/>
                <w:bCs/>
                <w:szCs w:val="18"/>
              </w:rPr>
            </w:pPr>
            <w:r w:rsidRPr="00C62447">
              <w:rPr>
                <w:b/>
                <w:bCs/>
                <w:szCs w:val="18"/>
              </w:rPr>
              <w:t xml:space="preserve">$1,602,753 </w:t>
            </w:r>
          </w:p>
        </w:tc>
        <w:tc>
          <w:tcPr>
            <w:tcW w:w="1134" w:type="dxa"/>
            <w:shd w:val="clear" w:color="auto" w:fill="auto"/>
            <w:noWrap/>
            <w:vAlign w:val="bottom"/>
          </w:tcPr>
          <w:p w14:paraId="61C59CEC" w14:textId="77777777" w:rsidR="000638D2" w:rsidRPr="00C62447" w:rsidRDefault="000638D2" w:rsidP="000638D2">
            <w:pPr>
              <w:pStyle w:val="TableText"/>
              <w:spacing w:before="0" w:after="0"/>
              <w:jc w:val="right"/>
              <w:rPr>
                <w:b/>
                <w:bCs/>
                <w:szCs w:val="18"/>
              </w:rPr>
            </w:pPr>
            <w:r w:rsidRPr="00C62447">
              <w:rPr>
                <w:b/>
                <w:bCs/>
                <w:szCs w:val="18"/>
              </w:rPr>
              <w:t xml:space="preserve">$1,629,422 </w:t>
            </w:r>
          </w:p>
        </w:tc>
        <w:tc>
          <w:tcPr>
            <w:tcW w:w="992" w:type="dxa"/>
            <w:shd w:val="clear" w:color="auto" w:fill="auto"/>
            <w:noWrap/>
            <w:vAlign w:val="bottom"/>
          </w:tcPr>
          <w:p w14:paraId="7521E5AB" w14:textId="77777777" w:rsidR="000638D2" w:rsidRPr="00C62447" w:rsidRDefault="000638D2" w:rsidP="000638D2">
            <w:pPr>
              <w:pStyle w:val="TableText"/>
              <w:spacing w:before="0" w:after="0"/>
              <w:jc w:val="right"/>
              <w:rPr>
                <w:b/>
                <w:bCs/>
                <w:szCs w:val="18"/>
              </w:rPr>
            </w:pPr>
            <w:r w:rsidRPr="00C62447">
              <w:rPr>
                <w:b/>
                <w:bCs/>
                <w:szCs w:val="18"/>
              </w:rPr>
              <w:t xml:space="preserve">$1,655,822 </w:t>
            </w:r>
          </w:p>
        </w:tc>
      </w:tr>
    </w:tbl>
    <w:p w14:paraId="0BD45762" w14:textId="77777777" w:rsidR="000638D2" w:rsidRPr="00C62447" w:rsidRDefault="000638D2" w:rsidP="000638D2">
      <w:pPr>
        <w:rPr>
          <w:rFonts w:ascii="Arial Narrow" w:hAnsi="Arial Narrow"/>
          <w:sz w:val="16"/>
          <w:szCs w:val="16"/>
        </w:rPr>
      </w:pPr>
      <w:r w:rsidRPr="00C62447">
        <w:rPr>
          <w:rFonts w:ascii="Arial Narrow" w:hAnsi="Arial Narrow"/>
          <w:sz w:val="16"/>
          <w:szCs w:val="16"/>
        </w:rPr>
        <w:t xml:space="preserve">MBS = Medicare Benefits Schedule, PBS = Pharmaceutical Benefits Scheme, TE = transient </w:t>
      </w:r>
      <w:proofErr w:type="spellStart"/>
      <w:r w:rsidRPr="00C62447">
        <w:rPr>
          <w:rFonts w:ascii="Arial Narrow" w:hAnsi="Arial Narrow"/>
          <w:sz w:val="16"/>
          <w:szCs w:val="16"/>
        </w:rPr>
        <w:t>elastography</w:t>
      </w:r>
      <w:proofErr w:type="spellEnd"/>
      <w:r w:rsidRPr="00C62447">
        <w:rPr>
          <w:rFonts w:ascii="Arial Narrow" w:hAnsi="Arial Narrow"/>
          <w:sz w:val="16"/>
          <w:szCs w:val="16"/>
        </w:rPr>
        <w:t>; HCC = hepatocellular carcinoma</w:t>
      </w:r>
    </w:p>
    <w:p w14:paraId="6C290AE3" w14:textId="77777777" w:rsidR="000638D2" w:rsidRDefault="000638D2" w:rsidP="000638D2">
      <w:pPr>
        <w:jc w:val="both"/>
        <w:rPr>
          <w:rFonts w:ascii="Garamond" w:hAnsi="Garamond"/>
        </w:rPr>
      </w:pPr>
    </w:p>
    <w:p w14:paraId="7D93A0D2" w14:textId="46BA8F04" w:rsidR="000638D2" w:rsidRPr="0073082F" w:rsidRDefault="000638D2" w:rsidP="000638D2">
      <w:r w:rsidRPr="0073082F">
        <w:t xml:space="preserve">The addition of TE to clinical assessment </w:t>
      </w:r>
      <w:r w:rsidR="009C5703">
        <w:t>wa</w:t>
      </w:r>
      <w:r>
        <w:t xml:space="preserve">s anticipated to </w:t>
      </w:r>
      <w:r w:rsidRPr="0073082F">
        <w:t>increase the number of patients diagnosed with significant fibrosis each year by 8.9%. This w</w:t>
      </w:r>
      <w:r>
        <w:t>ould</w:t>
      </w:r>
      <w:r w:rsidRPr="0073082F">
        <w:t xml:space="preserve"> result in an increase in the number of patients screened for hepatocellular carcinoma together with additional costs for treatment incurred by the PBS. On the other hand, listing TE on the MBS would result in a cost saving to state hospital systems since they would be eligible to claim for the service provided. Table </w:t>
      </w:r>
      <w:r w:rsidR="000812D6">
        <w:t>5</w:t>
      </w:r>
      <w:r w:rsidRPr="0073082F">
        <w:t xml:space="preserve"> summarises the estimated costs for other health budgets.</w:t>
      </w:r>
    </w:p>
    <w:p w14:paraId="238D89F5" w14:textId="77777777" w:rsidR="000638D2" w:rsidRDefault="000638D2" w:rsidP="000638D2">
      <w:pPr>
        <w:rPr>
          <w:rFonts w:ascii="Garamond" w:hAnsi="Garamond"/>
        </w:rPr>
      </w:pPr>
    </w:p>
    <w:p w14:paraId="07F2449D" w14:textId="7F8682A1" w:rsidR="000638D2" w:rsidRPr="009C5703" w:rsidRDefault="000638D2" w:rsidP="009C5703">
      <w:pPr>
        <w:pStyle w:val="TableName"/>
        <w:ind w:left="0" w:firstLine="0"/>
        <w:rPr>
          <w:rFonts w:cs="Arial"/>
        </w:rPr>
      </w:pPr>
      <w:bookmarkStart w:id="4" w:name="_Toc436297203"/>
      <w:r w:rsidRPr="009C5703">
        <w:t>Table</w:t>
      </w:r>
      <w:r w:rsidRPr="009C5703">
        <w:rPr>
          <w:rFonts w:cs="Arial"/>
        </w:rPr>
        <w:t xml:space="preserve"> </w:t>
      </w:r>
      <w:r w:rsidR="000812D6" w:rsidRPr="009C5703">
        <w:rPr>
          <w:rFonts w:cs="Arial"/>
        </w:rPr>
        <w:t>5</w:t>
      </w:r>
      <w:r w:rsidRPr="009C5703">
        <w:rPr>
          <w:rFonts w:cs="Arial"/>
        </w:rPr>
        <w:t>: Estimated costs to other health budgets</w:t>
      </w: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stimated costs to other health budgets"/>
        <w:tblDescription w:val="Text below this table explains the estimated costs outlined in this table."/>
      </w:tblPr>
      <w:tblGrid>
        <w:gridCol w:w="3237"/>
        <w:gridCol w:w="1276"/>
        <w:gridCol w:w="1134"/>
        <w:gridCol w:w="1134"/>
        <w:gridCol w:w="1134"/>
        <w:gridCol w:w="1275"/>
      </w:tblGrid>
      <w:tr w:rsidR="000638D2" w:rsidRPr="00C62447" w14:paraId="63DA5B2E" w14:textId="77777777" w:rsidTr="000638D2">
        <w:trPr>
          <w:trHeight w:val="20"/>
          <w:tblHeader/>
        </w:trPr>
        <w:tc>
          <w:tcPr>
            <w:tcW w:w="3237" w:type="dxa"/>
            <w:shd w:val="clear" w:color="auto" w:fill="auto"/>
            <w:noWrap/>
            <w:vAlign w:val="bottom"/>
            <w:hideMark/>
          </w:tcPr>
          <w:p w14:paraId="743EEEE2" w14:textId="4EFC258A" w:rsidR="000638D2" w:rsidRPr="007225D1" w:rsidRDefault="000638D2" w:rsidP="000638D2">
            <w:pPr>
              <w:pStyle w:val="TableText"/>
              <w:spacing w:before="0" w:after="0"/>
              <w:rPr>
                <w:b/>
                <w:bCs/>
                <w:szCs w:val="18"/>
              </w:rPr>
            </w:pPr>
          </w:p>
        </w:tc>
        <w:tc>
          <w:tcPr>
            <w:tcW w:w="1276" w:type="dxa"/>
            <w:shd w:val="clear" w:color="auto" w:fill="auto"/>
            <w:noWrap/>
            <w:vAlign w:val="center"/>
            <w:hideMark/>
          </w:tcPr>
          <w:p w14:paraId="2D5F489E" w14:textId="77777777" w:rsidR="000638D2" w:rsidRPr="007225D1" w:rsidRDefault="000638D2" w:rsidP="000638D2">
            <w:pPr>
              <w:pStyle w:val="TableText"/>
              <w:spacing w:before="0" w:after="0"/>
              <w:jc w:val="center"/>
              <w:rPr>
                <w:b/>
                <w:bCs/>
                <w:szCs w:val="18"/>
              </w:rPr>
            </w:pPr>
            <w:r w:rsidRPr="007225D1">
              <w:rPr>
                <w:b/>
                <w:bCs/>
                <w:szCs w:val="18"/>
              </w:rPr>
              <w:t>2016</w:t>
            </w:r>
          </w:p>
        </w:tc>
        <w:tc>
          <w:tcPr>
            <w:tcW w:w="1134" w:type="dxa"/>
            <w:shd w:val="clear" w:color="auto" w:fill="auto"/>
            <w:noWrap/>
            <w:vAlign w:val="center"/>
            <w:hideMark/>
          </w:tcPr>
          <w:p w14:paraId="3B719A42" w14:textId="77777777" w:rsidR="000638D2" w:rsidRPr="007225D1" w:rsidRDefault="000638D2" w:rsidP="000638D2">
            <w:pPr>
              <w:pStyle w:val="TableText"/>
              <w:spacing w:before="0" w:after="0"/>
              <w:jc w:val="center"/>
              <w:rPr>
                <w:b/>
                <w:bCs/>
                <w:szCs w:val="18"/>
              </w:rPr>
            </w:pPr>
            <w:r w:rsidRPr="007225D1">
              <w:rPr>
                <w:b/>
                <w:bCs/>
                <w:szCs w:val="18"/>
              </w:rPr>
              <w:t>2017</w:t>
            </w:r>
          </w:p>
        </w:tc>
        <w:tc>
          <w:tcPr>
            <w:tcW w:w="1134" w:type="dxa"/>
            <w:shd w:val="clear" w:color="auto" w:fill="auto"/>
            <w:noWrap/>
            <w:vAlign w:val="center"/>
            <w:hideMark/>
          </w:tcPr>
          <w:p w14:paraId="1037AD0C" w14:textId="77777777" w:rsidR="000638D2" w:rsidRPr="007225D1" w:rsidRDefault="000638D2" w:rsidP="000638D2">
            <w:pPr>
              <w:pStyle w:val="TableText"/>
              <w:spacing w:before="0" w:after="0"/>
              <w:jc w:val="center"/>
              <w:rPr>
                <w:b/>
                <w:bCs/>
                <w:szCs w:val="18"/>
              </w:rPr>
            </w:pPr>
            <w:r w:rsidRPr="007225D1">
              <w:rPr>
                <w:b/>
                <w:bCs/>
                <w:szCs w:val="18"/>
              </w:rPr>
              <w:t>2018</w:t>
            </w:r>
          </w:p>
        </w:tc>
        <w:tc>
          <w:tcPr>
            <w:tcW w:w="1134" w:type="dxa"/>
            <w:shd w:val="clear" w:color="auto" w:fill="auto"/>
            <w:noWrap/>
            <w:vAlign w:val="center"/>
            <w:hideMark/>
          </w:tcPr>
          <w:p w14:paraId="42F65B62" w14:textId="77777777" w:rsidR="000638D2" w:rsidRPr="007225D1" w:rsidRDefault="000638D2" w:rsidP="000638D2">
            <w:pPr>
              <w:pStyle w:val="TableText"/>
              <w:spacing w:before="0" w:after="0"/>
              <w:jc w:val="center"/>
              <w:rPr>
                <w:b/>
                <w:bCs/>
                <w:szCs w:val="18"/>
              </w:rPr>
            </w:pPr>
            <w:r w:rsidRPr="007225D1">
              <w:rPr>
                <w:b/>
                <w:bCs/>
                <w:szCs w:val="18"/>
              </w:rPr>
              <w:t>2019</w:t>
            </w:r>
          </w:p>
        </w:tc>
        <w:tc>
          <w:tcPr>
            <w:tcW w:w="1275" w:type="dxa"/>
            <w:shd w:val="clear" w:color="auto" w:fill="auto"/>
            <w:noWrap/>
            <w:vAlign w:val="center"/>
            <w:hideMark/>
          </w:tcPr>
          <w:p w14:paraId="001C9705" w14:textId="77777777" w:rsidR="000638D2" w:rsidRPr="007225D1" w:rsidRDefault="000638D2" w:rsidP="000638D2">
            <w:pPr>
              <w:pStyle w:val="TableText"/>
              <w:spacing w:before="0" w:after="0"/>
              <w:jc w:val="center"/>
              <w:rPr>
                <w:b/>
                <w:bCs/>
                <w:szCs w:val="18"/>
              </w:rPr>
            </w:pPr>
            <w:r w:rsidRPr="007225D1">
              <w:rPr>
                <w:b/>
                <w:bCs/>
                <w:szCs w:val="18"/>
              </w:rPr>
              <w:t>2020</w:t>
            </w:r>
          </w:p>
        </w:tc>
      </w:tr>
      <w:tr w:rsidR="000638D2" w:rsidRPr="00C62447" w14:paraId="4CBC1B71" w14:textId="77777777" w:rsidTr="000638D2">
        <w:trPr>
          <w:trHeight w:val="20"/>
          <w:tblHeader/>
        </w:trPr>
        <w:tc>
          <w:tcPr>
            <w:tcW w:w="3237" w:type="dxa"/>
            <w:shd w:val="clear" w:color="auto" w:fill="auto"/>
            <w:noWrap/>
            <w:vAlign w:val="bottom"/>
          </w:tcPr>
          <w:p w14:paraId="4AE8CEAD" w14:textId="77777777" w:rsidR="000638D2" w:rsidRPr="007225D1" w:rsidRDefault="000638D2" w:rsidP="000638D2">
            <w:pPr>
              <w:rPr>
                <w:rFonts w:ascii="Arial Narrow" w:hAnsi="Arial Narrow"/>
                <w:b/>
                <w:sz w:val="18"/>
                <w:szCs w:val="18"/>
              </w:rPr>
            </w:pPr>
            <w:r w:rsidRPr="007225D1">
              <w:rPr>
                <w:rFonts w:ascii="Arial Narrow" w:hAnsi="Arial Narrow"/>
                <w:b/>
                <w:sz w:val="18"/>
                <w:szCs w:val="18"/>
              </w:rPr>
              <w:t>Hepatitis B</w:t>
            </w:r>
          </w:p>
        </w:tc>
        <w:tc>
          <w:tcPr>
            <w:tcW w:w="1276" w:type="dxa"/>
            <w:shd w:val="clear" w:color="auto" w:fill="auto"/>
            <w:noWrap/>
            <w:vAlign w:val="bottom"/>
          </w:tcPr>
          <w:p w14:paraId="604D9857" w14:textId="072DB20E" w:rsidR="000638D2" w:rsidRPr="007225D1" w:rsidRDefault="000638D2" w:rsidP="000638D2">
            <w:pPr>
              <w:pStyle w:val="TableText"/>
              <w:spacing w:before="0" w:after="0"/>
              <w:jc w:val="right"/>
              <w:rPr>
                <w:bCs/>
                <w:szCs w:val="18"/>
              </w:rPr>
            </w:pPr>
          </w:p>
        </w:tc>
        <w:tc>
          <w:tcPr>
            <w:tcW w:w="1134" w:type="dxa"/>
            <w:shd w:val="clear" w:color="auto" w:fill="auto"/>
            <w:noWrap/>
            <w:vAlign w:val="bottom"/>
          </w:tcPr>
          <w:p w14:paraId="1BDA251D" w14:textId="4A7BB724" w:rsidR="000638D2" w:rsidRPr="007225D1" w:rsidRDefault="000638D2" w:rsidP="000638D2">
            <w:pPr>
              <w:pStyle w:val="TableText"/>
              <w:spacing w:before="0" w:after="0"/>
              <w:jc w:val="right"/>
              <w:rPr>
                <w:bCs/>
                <w:szCs w:val="18"/>
              </w:rPr>
            </w:pPr>
          </w:p>
        </w:tc>
        <w:tc>
          <w:tcPr>
            <w:tcW w:w="1134" w:type="dxa"/>
            <w:shd w:val="clear" w:color="auto" w:fill="auto"/>
            <w:noWrap/>
            <w:vAlign w:val="bottom"/>
          </w:tcPr>
          <w:p w14:paraId="1ACE8568" w14:textId="1E7A076E" w:rsidR="000638D2" w:rsidRPr="007225D1" w:rsidRDefault="000638D2" w:rsidP="000638D2">
            <w:pPr>
              <w:pStyle w:val="TableText"/>
              <w:spacing w:before="0" w:after="0"/>
              <w:jc w:val="right"/>
              <w:rPr>
                <w:bCs/>
                <w:szCs w:val="18"/>
              </w:rPr>
            </w:pPr>
          </w:p>
        </w:tc>
        <w:tc>
          <w:tcPr>
            <w:tcW w:w="1134" w:type="dxa"/>
            <w:shd w:val="clear" w:color="auto" w:fill="auto"/>
            <w:noWrap/>
            <w:vAlign w:val="bottom"/>
          </w:tcPr>
          <w:p w14:paraId="7FE09F46" w14:textId="28534B3C" w:rsidR="000638D2" w:rsidRPr="007225D1" w:rsidRDefault="000638D2" w:rsidP="000638D2">
            <w:pPr>
              <w:pStyle w:val="TableText"/>
              <w:spacing w:before="0" w:after="0"/>
              <w:jc w:val="right"/>
              <w:rPr>
                <w:bCs/>
                <w:szCs w:val="18"/>
              </w:rPr>
            </w:pPr>
          </w:p>
        </w:tc>
        <w:tc>
          <w:tcPr>
            <w:tcW w:w="1275" w:type="dxa"/>
            <w:shd w:val="clear" w:color="auto" w:fill="auto"/>
            <w:noWrap/>
            <w:vAlign w:val="bottom"/>
          </w:tcPr>
          <w:p w14:paraId="674B3EFB" w14:textId="03AD3EEA" w:rsidR="000638D2" w:rsidRPr="007225D1" w:rsidRDefault="000638D2" w:rsidP="000638D2">
            <w:pPr>
              <w:pStyle w:val="TableText"/>
              <w:spacing w:before="0" w:after="0"/>
              <w:jc w:val="right"/>
              <w:rPr>
                <w:bCs/>
                <w:szCs w:val="18"/>
              </w:rPr>
            </w:pPr>
          </w:p>
        </w:tc>
      </w:tr>
      <w:tr w:rsidR="000638D2" w:rsidRPr="00C62447" w14:paraId="2C4D07AE" w14:textId="77777777" w:rsidTr="000638D2">
        <w:trPr>
          <w:trHeight w:val="20"/>
          <w:tblHeader/>
        </w:trPr>
        <w:tc>
          <w:tcPr>
            <w:tcW w:w="3237" w:type="dxa"/>
            <w:shd w:val="clear" w:color="auto" w:fill="auto"/>
            <w:noWrap/>
            <w:vAlign w:val="bottom"/>
          </w:tcPr>
          <w:p w14:paraId="6775AC58" w14:textId="77777777" w:rsidR="000638D2" w:rsidRPr="007225D1" w:rsidRDefault="000638D2" w:rsidP="000638D2">
            <w:pPr>
              <w:rPr>
                <w:rFonts w:ascii="Arial Narrow" w:hAnsi="Arial Narrow"/>
                <w:sz w:val="18"/>
                <w:szCs w:val="18"/>
              </w:rPr>
            </w:pPr>
            <w:r w:rsidRPr="007225D1">
              <w:rPr>
                <w:rFonts w:ascii="Arial Narrow" w:hAnsi="Arial Narrow"/>
                <w:b/>
                <w:bCs/>
                <w:sz w:val="18"/>
                <w:szCs w:val="18"/>
              </w:rPr>
              <w:t xml:space="preserve">Total MBS costs </w:t>
            </w:r>
          </w:p>
        </w:tc>
        <w:tc>
          <w:tcPr>
            <w:tcW w:w="1276" w:type="dxa"/>
            <w:shd w:val="clear" w:color="auto" w:fill="auto"/>
            <w:noWrap/>
            <w:vAlign w:val="bottom"/>
          </w:tcPr>
          <w:p w14:paraId="28619432" w14:textId="77777777" w:rsidR="000638D2" w:rsidRPr="007225D1" w:rsidRDefault="000638D2" w:rsidP="000638D2">
            <w:pPr>
              <w:pStyle w:val="TableText"/>
              <w:spacing w:before="0" w:after="0"/>
              <w:jc w:val="right"/>
              <w:rPr>
                <w:bCs/>
                <w:szCs w:val="18"/>
              </w:rPr>
            </w:pPr>
            <w:r w:rsidRPr="007225D1">
              <w:rPr>
                <w:bCs/>
                <w:szCs w:val="18"/>
              </w:rPr>
              <w:t xml:space="preserve"> $744,466 </w:t>
            </w:r>
          </w:p>
        </w:tc>
        <w:tc>
          <w:tcPr>
            <w:tcW w:w="1134" w:type="dxa"/>
            <w:shd w:val="clear" w:color="auto" w:fill="auto"/>
            <w:noWrap/>
            <w:vAlign w:val="bottom"/>
          </w:tcPr>
          <w:p w14:paraId="427F0F0A" w14:textId="77777777" w:rsidR="000638D2" w:rsidRPr="007225D1" w:rsidRDefault="000638D2" w:rsidP="000638D2">
            <w:pPr>
              <w:pStyle w:val="TableText"/>
              <w:spacing w:before="0" w:after="0"/>
              <w:jc w:val="right"/>
              <w:rPr>
                <w:bCs/>
                <w:szCs w:val="18"/>
              </w:rPr>
            </w:pPr>
            <w:r w:rsidRPr="007225D1">
              <w:rPr>
                <w:bCs/>
                <w:szCs w:val="18"/>
              </w:rPr>
              <w:t xml:space="preserve"> $757,433 </w:t>
            </w:r>
          </w:p>
        </w:tc>
        <w:tc>
          <w:tcPr>
            <w:tcW w:w="1134" w:type="dxa"/>
            <w:shd w:val="clear" w:color="auto" w:fill="auto"/>
            <w:noWrap/>
            <w:vAlign w:val="bottom"/>
          </w:tcPr>
          <w:p w14:paraId="1F70DA69" w14:textId="77777777" w:rsidR="000638D2" w:rsidRPr="007225D1" w:rsidRDefault="000638D2" w:rsidP="000638D2">
            <w:pPr>
              <w:pStyle w:val="TableText"/>
              <w:spacing w:before="0" w:after="0"/>
              <w:jc w:val="right"/>
              <w:rPr>
                <w:bCs/>
                <w:szCs w:val="18"/>
              </w:rPr>
            </w:pPr>
            <w:r w:rsidRPr="007225D1">
              <w:rPr>
                <w:bCs/>
                <w:szCs w:val="18"/>
              </w:rPr>
              <w:t xml:space="preserve"> $770,179 </w:t>
            </w:r>
          </w:p>
        </w:tc>
        <w:tc>
          <w:tcPr>
            <w:tcW w:w="1134" w:type="dxa"/>
            <w:shd w:val="clear" w:color="auto" w:fill="auto"/>
            <w:noWrap/>
            <w:vAlign w:val="bottom"/>
          </w:tcPr>
          <w:p w14:paraId="4777B793" w14:textId="77777777" w:rsidR="000638D2" w:rsidRPr="007225D1" w:rsidRDefault="000638D2" w:rsidP="000638D2">
            <w:pPr>
              <w:pStyle w:val="TableText"/>
              <w:spacing w:before="0" w:after="0"/>
              <w:jc w:val="right"/>
              <w:rPr>
                <w:bCs/>
                <w:szCs w:val="18"/>
              </w:rPr>
            </w:pPr>
            <w:r w:rsidRPr="007225D1">
              <w:rPr>
                <w:bCs/>
                <w:szCs w:val="18"/>
              </w:rPr>
              <w:t xml:space="preserve"> $783,075 </w:t>
            </w:r>
          </w:p>
        </w:tc>
        <w:tc>
          <w:tcPr>
            <w:tcW w:w="1275" w:type="dxa"/>
            <w:shd w:val="clear" w:color="auto" w:fill="auto"/>
            <w:noWrap/>
            <w:vAlign w:val="bottom"/>
          </w:tcPr>
          <w:p w14:paraId="56CA5C8A" w14:textId="77777777" w:rsidR="000638D2" w:rsidRPr="007225D1" w:rsidRDefault="000638D2" w:rsidP="000638D2">
            <w:pPr>
              <w:pStyle w:val="TableText"/>
              <w:spacing w:before="0" w:after="0"/>
              <w:jc w:val="right"/>
              <w:rPr>
                <w:bCs/>
                <w:szCs w:val="18"/>
              </w:rPr>
            </w:pPr>
            <w:r w:rsidRPr="007225D1">
              <w:rPr>
                <w:bCs/>
                <w:szCs w:val="18"/>
              </w:rPr>
              <w:t xml:space="preserve"> $795,726 </w:t>
            </w:r>
          </w:p>
        </w:tc>
      </w:tr>
      <w:tr w:rsidR="000638D2" w:rsidRPr="00C62447" w14:paraId="12B18264" w14:textId="77777777" w:rsidTr="000638D2">
        <w:trPr>
          <w:trHeight w:val="20"/>
          <w:tblHeader/>
        </w:trPr>
        <w:tc>
          <w:tcPr>
            <w:tcW w:w="3237" w:type="dxa"/>
            <w:shd w:val="clear" w:color="auto" w:fill="auto"/>
            <w:noWrap/>
            <w:vAlign w:val="bottom"/>
          </w:tcPr>
          <w:p w14:paraId="222C671E" w14:textId="77777777" w:rsidR="000638D2" w:rsidRPr="007225D1" w:rsidRDefault="000638D2" w:rsidP="000638D2">
            <w:pPr>
              <w:rPr>
                <w:rFonts w:ascii="Arial Narrow" w:hAnsi="Arial Narrow"/>
                <w:sz w:val="18"/>
                <w:szCs w:val="18"/>
              </w:rPr>
            </w:pPr>
            <w:r w:rsidRPr="007225D1">
              <w:rPr>
                <w:rFonts w:ascii="Arial Narrow" w:hAnsi="Arial Narrow"/>
                <w:b/>
                <w:bCs/>
                <w:sz w:val="18"/>
                <w:szCs w:val="18"/>
              </w:rPr>
              <w:t>PBS costs</w:t>
            </w:r>
          </w:p>
        </w:tc>
        <w:tc>
          <w:tcPr>
            <w:tcW w:w="1276" w:type="dxa"/>
            <w:shd w:val="clear" w:color="auto" w:fill="auto"/>
            <w:noWrap/>
          </w:tcPr>
          <w:p w14:paraId="1C7CB9A0" w14:textId="77777777" w:rsidR="000638D2" w:rsidRPr="007225D1" w:rsidRDefault="000638D2" w:rsidP="000638D2">
            <w:pPr>
              <w:pStyle w:val="TableText"/>
              <w:spacing w:before="0" w:after="0"/>
              <w:jc w:val="right"/>
              <w:rPr>
                <w:szCs w:val="18"/>
              </w:rPr>
            </w:pPr>
            <w:r w:rsidRPr="007225D1">
              <w:rPr>
                <w:szCs w:val="18"/>
              </w:rPr>
              <w:t>$1,014,410</w:t>
            </w:r>
          </w:p>
        </w:tc>
        <w:tc>
          <w:tcPr>
            <w:tcW w:w="1134" w:type="dxa"/>
            <w:shd w:val="clear" w:color="auto" w:fill="auto"/>
            <w:noWrap/>
          </w:tcPr>
          <w:p w14:paraId="77E9ECCA" w14:textId="77777777" w:rsidR="000638D2" w:rsidRPr="007225D1" w:rsidRDefault="000638D2" w:rsidP="000638D2">
            <w:pPr>
              <w:pStyle w:val="TableText"/>
              <w:spacing w:before="0" w:after="0"/>
              <w:jc w:val="right"/>
              <w:rPr>
                <w:szCs w:val="18"/>
              </w:rPr>
            </w:pPr>
            <w:r w:rsidRPr="007225D1">
              <w:rPr>
                <w:szCs w:val="18"/>
              </w:rPr>
              <w:t>$1,037,729</w:t>
            </w:r>
          </w:p>
        </w:tc>
        <w:tc>
          <w:tcPr>
            <w:tcW w:w="1134" w:type="dxa"/>
            <w:shd w:val="clear" w:color="auto" w:fill="auto"/>
            <w:noWrap/>
          </w:tcPr>
          <w:p w14:paraId="642DEE07" w14:textId="77777777" w:rsidR="000638D2" w:rsidRPr="007225D1" w:rsidRDefault="000638D2" w:rsidP="000638D2">
            <w:pPr>
              <w:pStyle w:val="TableText"/>
              <w:spacing w:before="0" w:after="0"/>
              <w:jc w:val="right"/>
              <w:rPr>
                <w:szCs w:val="18"/>
              </w:rPr>
            </w:pPr>
            <w:r w:rsidRPr="007225D1">
              <w:rPr>
                <w:szCs w:val="18"/>
              </w:rPr>
              <w:t>$1,049,389</w:t>
            </w:r>
          </w:p>
        </w:tc>
        <w:tc>
          <w:tcPr>
            <w:tcW w:w="1134" w:type="dxa"/>
            <w:shd w:val="clear" w:color="auto" w:fill="auto"/>
            <w:noWrap/>
          </w:tcPr>
          <w:p w14:paraId="51116B11" w14:textId="77777777" w:rsidR="000638D2" w:rsidRPr="007225D1" w:rsidRDefault="000638D2" w:rsidP="000638D2">
            <w:pPr>
              <w:pStyle w:val="TableText"/>
              <w:spacing w:before="0" w:after="0"/>
              <w:jc w:val="right"/>
              <w:rPr>
                <w:szCs w:val="18"/>
              </w:rPr>
            </w:pPr>
            <w:r w:rsidRPr="007225D1">
              <w:rPr>
                <w:szCs w:val="18"/>
              </w:rPr>
              <w:t>$1,072,709</w:t>
            </w:r>
          </w:p>
        </w:tc>
        <w:tc>
          <w:tcPr>
            <w:tcW w:w="1275" w:type="dxa"/>
            <w:shd w:val="clear" w:color="auto" w:fill="auto"/>
            <w:noWrap/>
          </w:tcPr>
          <w:p w14:paraId="244553ED" w14:textId="77777777" w:rsidR="000638D2" w:rsidRPr="007225D1" w:rsidRDefault="000638D2" w:rsidP="000638D2">
            <w:pPr>
              <w:pStyle w:val="TableText"/>
              <w:spacing w:before="0" w:after="0"/>
              <w:jc w:val="right"/>
              <w:rPr>
                <w:szCs w:val="18"/>
              </w:rPr>
            </w:pPr>
            <w:r w:rsidRPr="007225D1">
              <w:rPr>
                <w:szCs w:val="18"/>
              </w:rPr>
              <w:t>$1,084,369</w:t>
            </w:r>
          </w:p>
        </w:tc>
      </w:tr>
      <w:tr w:rsidR="000638D2" w:rsidRPr="00C62447" w14:paraId="1A712DB6" w14:textId="77777777" w:rsidTr="000638D2">
        <w:trPr>
          <w:trHeight w:val="20"/>
          <w:tblHeader/>
        </w:trPr>
        <w:tc>
          <w:tcPr>
            <w:tcW w:w="3237" w:type="dxa"/>
            <w:shd w:val="clear" w:color="auto" w:fill="auto"/>
            <w:noWrap/>
            <w:vAlign w:val="bottom"/>
          </w:tcPr>
          <w:p w14:paraId="3EE40142" w14:textId="77777777" w:rsidR="000638D2" w:rsidRPr="007225D1" w:rsidRDefault="000638D2" w:rsidP="000638D2">
            <w:pPr>
              <w:rPr>
                <w:rFonts w:ascii="Arial Narrow" w:hAnsi="Arial Narrow"/>
                <w:b/>
                <w:bCs/>
                <w:sz w:val="18"/>
                <w:szCs w:val="18"/>
              </w:rPr>
            </w:pPr>
            <w:r w:rsidRPr="007225D1">
              <w:rPr>
                <w:rFonts w:ascii="Arial Narrow" w:hAnsi="Arial Narrow"/>
                <w:b/>
                <w:bCs/>
                <w:sz w:val="18"/>
                <w:szCs w:val="18"/>
              </w:rPr>
              <w:t xml:space="preserve">State hospital cost saving </w:t>
            </w:r>
          </w:p>
        </w:tc>
        <w:tc>
          <w:tcPr>
            <w:tcW w:w="1276" w:type="dxa"/>
            <w:shd w:val="clear" w:color="auto" w:fill="auto"/>
            <w:noWrap/>
            <w:vAlign w:val="bottom"/>
          </w:tcPr>
          <w:p w14:paraId="4C110D07" w14:textId="77777777" w:rsidR="000638D2" w:rsidRPr="007225D1" w:rsidRDefault="000638D2" w:rsidP="000638D2">
            <w:pPr>
              <w:pStyle w:val="TableText"/>
              <w:spacing w:before="0" w:after="0"/>
              <w:jc w:val="right"/>
              <w:rPr>
                <w:bCs/>
                <w:szCs w:val="18"/>
              </w:rPr>
            </w:pPr>
            <w:r w:rsidRPr="007225D1">
              <w:rPr>
                <w:bCs/>
                <w:szCs w:val="18"/>
              </w:rPr>
              <w:t xml:space="preserve"> -$727,249 </w:t>
            </w:r>
          </w:p>
        </w:tc>
        <w:tc>
          <w:tcPr>
            <w:tcW w:w="1134" w:type="dxa"/>
            <w:shd w:val="clear" w:color="auto" w:fill="auto"/>
            <w:noWrap/>
            <w:vAlign w:val="bottom"/>
          </w:tcPr>
          <w:p w14:paraId="452DAD65" w14:textId="77777777" w:rsidR="000638D2" w:rsidRPr="007225D1" w:rsidRDefault="000638D2" w:rsidP="000638D2">
            <w:pPr>
              <w:pStyle w:val="TableText"/>
              <w:spacing w:before="0" w:after="0"/>
              <w:jc w:val="right"/>
              <w:rPr>
                <w:bCs/>
                <w:szCs w:val="18"/>
              </w:rPr>
            </w:pPr>
            <w:r w:rsidRPr="007225D1">
              <w:rPr>
                <w:bCs/>
                <w:szCs w:val="18"/>
              </w:rPr>
              <w:t xml:space="preserve">- $739,820 </w:t>
            </w:r>
          </w:p>
        </w:tc>
        <w:tc>
          <w:tcPr>
            <w:tcW w:w="1134" w:type="dxa"/>
            <w:shd w:val="clear" w:color="auto" w:fill="auto"/>
            <w:noWrap/>
            <w:vAlign w:val="bottom"/>
          </w:tcPr>
          <w:p w14:paraId="0461CC18" w14:textId="77777777" w:rsidR="000638D2" w:rsidRPr="007225D1" w:rsidRDefault="000638D2" w:rsidP="000638D2">
            <w:pPr>
              <w:pStyle w:val="TableText"/>
              <w:spacing w:before="0" w:after="0"/>
              <w:jc w:val="right"/>
              <w:rPr>
                <w:bCs/>
                <w:szCs w:val="18"/>
              </w:rPr>
            </w:pPr>
            <w:r w:rsidRPr="007225D1">
              <w:rPr>
                <w:bCs/>
                <w:szCs w:val="18"/>
              </w:rPr>
              <w:t xml:space="preserve"> -$752,368 </w:t>
            </w:r>
          </w:p>
        </w:tc>
        <w:tc>
          <w:tcPr>
            <w:tcW w:w="1134" w:type="dxa"/>
            <w:shd w:val="clear" w:color="auto" w:fill="auto"/>
            <w:noWrap/>
            <w:vAlign w:val="bottom"/>
          </w:tcPr>
          <w:p w14:paraId="36DF6460" w14:textId="77777777" w:rsidR="000638D2" w:rsidRPr="007225D1" w:rsidRDefault="000638D2" w:rsidP="000638D2">
            <w:pPr>
              <w:pStyle w:val="TableText"/>
              <w:spacing w:before="0" w:after="0"/>
              <w:jc w:val="right"/>
              <w:rPr>
                <w:bCs/>
                <w:szCs w:val="18"/>
              </w:rPr>
            </w:pPr>
            <w:r w:rsidRPr="007225D1">
              <w:rPr>
                <w:bCs/>
                <w:szCs w:val="18"/>
              </w:rPr>
              <w:t xml:space="preserve"> -$764,868 </w:t>
            </w:r>
          </w:p>
        </w:tc>
        <w:tc>
          <w:tcPr>
            <w:tcW w:w="1275" w:type="dxa"/>
            <w:shd w:val="clear" w:color="auto" w:fill="auto"/>
            <w:noWrap/>
            <w:vAlign w:val="bottom"/>
          </w:tcPr>
          <w:p w14:paraId="331A7E6F" w14:textId="77777777" w:rsidR="000638D2" w:rsidRPr="007225D1" w:rsidRDefault="000638D2" w:rsidP="000638D2">
            <w:pPr>
              <w:pStyle w:val="TableText"/>
              <w:spacing w:before="0" w:after="0"/>
              <w:jc w:val="right"/>
              <w:rPr>
                <w:bCs/>
                <w:szCs w:val="18"/>
              </w:rPr>
            </w:pPr>
            <w:r w:rsidRPr="007225D1">
              <w:rPr>
                <w:bCs/>
                <w:szCs w:val="18"/>
              </w:rPr>
              <w:t xml:space="preserve"> -$777,321 </w:t>
            </w:r>
          </w:p>
        </w:tc>
      </w:tr>
      <w:tr w:rsidR="000638D2" w:rsidRPr="00C62447" w14:paraId="307262B5" w14:textId="77777777" w:rsidTr="000638D2">
        <w:trPr>
          <w:trHeight w:val="20"/>
          <w:tblHeader/>
        </w:trPr>
        <w:tc>
          <w:tcPr>
            <w:tcW w:w="3237" w:type="dxa"/>
            <w:shd w:val="clear" w:color="auto" w:fill="auto"/>
            <w:noWrap/>
            <w:vAlign w:val="bottom"/>
          </w:tcPr>
          <w:p w14:paraId="02F35A3D" w14:textId="77777777" w:rsidR="000638D2" w:rsidRPr="007225D1" w:rsidRDefault="000638D2" w:rsidP="000638D2">
            <w:pPr>
              <w:rPr>
                <w:rFonts w:ascii="Arial Narrow" w:hAnsi="Arial Narrow"/>
                <w:b/>
                <w:sz w:val="18"/>
                <w:szCs w:val="18"/>
              </w:rPr>
            </w:pPr>
            <w:r w:rsidRPr="007225D1">
              <w:rPr>
                <w:rFonts w:ascii="Arial Narrow" w:hAnsi="Arial Narrow"/>
                <w:b/>
                <w:sz w:val="18"/>
                <w:szCs w:val="18"/>
              </w:rPr>
              <w:t>Total cost of Hepatitis B</w:t>
            </w:r>
          </w:p>
        </w:tc>
        <w:tc>
          <w:tcPr>
            <w:tcW w:w="1276" w:type="dxa"/>
            <w:shd w:val="clear" w:color="auto" w:fill="auto"/>
            <w:noWrap/>
            <w:vAlign w:val="bottom"/>
          </w:tcPr>
          <w:p w14:paraId="4CD995B3" w14:textId="77777777" w:rsidR="000638D2" w:rsidRPr="00C62447" w:rsidRDefault="000638D2" w:rsidP="000638D2">
            <w:pPr>
              <w:pStyle w:val="TableText"/>
              <w:spacing w:before="0" w:after="0"/>
              <w:jc w:val="right"/>
              <w:rPr>
                <w:b/>
                <w:bCs/>
                <w:szCs w:val="18"/>
              </w:rPr>
            </w:pPr>
            <w:r w:rsidRPr="00C62447">
              <w:rPr>
                <w:b/>
                <w:bCs/>
                <w:szCs w:val="18"/>
              </w:rPr>
              <w:t>$1,031,627</w:t>
            </w:r>
          </w:p>
        </w:tc>
        <w:tc>
          <w:tcPr>
            <w:tcW w:w="1134" w:type="dxa"/>
            <w:shd w:val="clear" w:color="auto" w:fill="auto"/>
            <w:noWrap/>
            <w:vAlign w:val="bottom"/>
          </w:tcPr>
          <w:p w14:paraId="5250CF11" w14:textId="77777777" w:rsidR="000638D2" w:rsidRPr="00C62447" w:rsidRDefault="000638D2" w:rsidP="000638D2">
            <w:pPr>
              <w:pStyle w:val="TableText"/>
              <w:spacing w:before="0" w:after="0"/>
              <w:jc w:val="right"/>
              <w:rPr>
                <w:b/>
                <w:bCs/>
                <w:szCs w:val="18"/>
              </w:rPr>
            </w:pPr>
            <w:r w:rsidRPr="00C62447">
              <w:rPr>
                <w:b/>
                <w:bCs/>
                <w:szCs w:val="18"/>
              </w:rPr>
              <w:t>$1,055,342</w:t>
            </w:r>
          </w:p>
        </w:tc>
        <w:tc>
          <w:tcPr>
            <w:tcW w:w="1134" w:type="dxa"/>
            <w:shd w:val="clear" w:color="auto" w:fill="auto"/>
            <w:noWrap/>
            <w:vAlign w:val="bottom"/>
          </w:tcPr>
          <w:p w14:paraId="0124A442" w14:textId="77777777" w:rsidR="000638D2" w:rsidRPr="00A95C1E" w:rsidRDefault="000638D2" w:rsidP="000638D2">
            <w:pPr>
              <w:pStyle w:val="TableText"/>
              <w:spacing w:before="0" w:after="0"/>
              <w:jc w:val="right"/>
              <w:rPr>
                <w:b/>
                <w:bCs/>
                <w:szCs w:val="18"/>
              </w:rPr>
            </w:pPr>
            <w:r w:rsidRPr="00A95C1E">
              <w:rPr>
                <w:b/>
                <w:bCs/>
                <w:szCs w:val="18"/>
              </w:rPr>
              <w:t>$1,067,200</w:t>
            </w:r>
          </w:p>
        </w:tc>
        <w:tc>
          <w:tcPr>
            <w:tcW w:w="1134" w:type="dxa"/>
            <w:shd w:val="clear" w:color="auto" w:fill="auto"/>
            <w:noWrap/>
            <w:vAlign w:val="bottom"/>
          </w:tcPr>
          <w:p w14:paraId="75BE2CB9" w14:textId="77777777" w:rsidR="000638D2" w:rsidRPr="00B610EA" w:rsidRDefault="000638D2" w:rsidP="000638D2">
            <w:pPr>
              <w:pStyle w:val="TableText"/>
              <w:spacing w:before="0" w:after="0"/>
              <w:jc w:val="right"/>
              <w:rPr>
                <w:b/>
                <w:bCs/>
                <w:szCs w:val="18"/>
              </w:rPr>
            </w:pPr>
            <w:r w:rsidRPr="002178CE">
              <w:rPr>
                <w:b/>
                <w:bCs/>
                <w:szCs w:val="18"/>
              </w:rPr>
              <w:t>$</w:t>
            </w:r>
            <w:r w:rsidRPr="00B610EA">
              <w:rPr>
                <w:b/>
                <w:bCs/>
                <w:szCs w:val="18"/>
              </w:rPr>
              <w:t>1,090,916</w:t>
            </w:r>
          </w:p>
        </w:tc>
        <w:tc>
          <w:tcPr>
            <w:tcW w:w="1275" w:type="dxa"/>
            <w:shd w:val="clear" w:color="auto" w:fill="auto"/>
            <w:noWrap/>
            <w:vAlign w:val="bottom"/>
          </w:tcPr>
          <w:p w14:paraId="1BC6B09E" w14:textId="77777777" w:rsidR="000638D2" w:rsidRPr="00B610EA" w:rsidRDefault="000638D2" w:rsidP="000638D2">
            <w:pPr>
              <w:pStyle w:val="TableText"/>
              <w:spacing w:before="0" w:after="0"/>
              <w:jc w:val="right"/>
              <w:rPr>
                <w:b/>
                <w:bCs/>
                <w:szCs w:val="18"/>
              </w:rPr>
            </w:pPr>
            <w:r w:rsidRPr="00B610EA">
              <w:rPr>
                <w:b/>
                <w:bCs/>
                <w:szCs w:val="18"/>
              </w:rPr>
              <w:t>$1,102,274</w:t>
            </w:r>
          </w:p>
        </w:tc>
      </w:tr>
      <w:tr w:rsidR="000638D2" w:rsidRPr="00C62447" w14:paraId="040D5B41" w14:textId="77777777" w:rsidTr="000638D2">
        <w:trPr>
          <w:trHeight w:val="20"/>
          <w:tblHeader/>
        </w:trPr>
        <w:tc>
          <w:tcPr>
            <w:tcW w:w="3237" w:type="dxa"/>
            <w:shd w:val="clear" w:color="auto" w:fill="auto"/>
            <w:noWrap/>
            <w:vAlign w:val="bottom"/>
          </w:tcPr>
          <w:p w14:paraId="32EE736F" w14:textId="77777777" w:rsidR="000638D2" w:rsidRPr="007225D1" w:rsidRDefault="000638D2" w:rsidP="000638D2">
            <w:pPr>
              <w:rPr>
                <w:rFonts w:ascii="Arial Narrow" w:hAnsi="Arial Narrow"/>
                <w:b/>
                <w:sz w:val="18"/>
                <w:szCs w:val="18"/>
              </w:rPr>
            </w:pPr>
            <w:r w:rsidRPr="007225D1">
              <w:rPr>
                <w:rFonts w:ascii="Arial Narrow" w:hAnsi="Arial Narrow"/>
                <w:b/>
                <w:sz w:val="18"/>
                <w:szCs w:val="18"/>
              </w:rPr>
              <w:t>Hepatitis C</w:t>
            </w:r>
          </w:p>
        </w:tc>
        <w:tc>
          <w:tcPr>
            <w:tcW w:w="1276" w:type="dxa"/>
            <w:shd w:val="clear" w:color="auto" w:fill="auto"/>
            <w:noWrap/>
            <w:vAlign w:val="bottom"/>
          </w:tcPr>
          <w:p w14:paraId="00CF317C" w14:textId="02571B95" w:rsidR="000638D2" w:rsidRPr="007225D1" w:rsidRDefault="000638D2" w:rsidP="000638D2">
            <w:pPr>
              <w:pStyle w:val="TableText"/>
              <w:spacing w:before="0" w:after="0"/>
              <w:jc w:val="right"/>
              <w:rPr>
                <w:szCs w:val="18"/>
              </w:rPr>
            </w:pPr>
          </w:p>
        </w:tc>
        <w:tc>
          <w:tcPr>
            <w:tcW w:w="1134" w:type="dxa"/>
            <w:shd w:val="clear" w:color="auto" w:fill="auto"/>
            <w:noWrap/>
            <w:vAlign w:val="bottom"/>
          </w:tcPr>
          <w:p w14:paraId="27AA1274" w14:textId="6107C681" w:rsidR="000638D2" w:rsidRPr="007225D1" w:rsidRDefault="000638D2" w:rsidP="000638D2">
            <w:pPr>
              <w:pStyle w:val="TableText"/>
              <w:spacing w:before="0" w:after="0"/>
              <w:jc w:val="right"/>
              <w:rPr>
                <w:szCs w:val="18"/>
              </w:rPr>
            </w:pPr>
          </w:p>
        </w:tc>
        <w:tc>
          <w:tcPr>
            <w:tcW w:w="1134" w:type="dxa"/>
            <w:shd w:val="clear" w:color="auto" w:fill="auto"/>
            <w:noWrap/>
            <w:vAlign w:val="bottom"/>
          </w:tcPr>
          <w:p w14:paraId="4292ACA8" w14:textId="2043B873" w:rsidR="000638D2" w:rsidRPr="007225D1" w:rsidRDefault="000638D2" w:rsidP="000638D2">
            <w:pPr>
              <w:pStyle w:val="TableText"/>
              <w:spacing w:before="0" w:after="0"/>
              <w:jc w:val="right"/>
              <w:rPr>
                <w:szCs w:val="18"/>
              </w:rPr>
            </w:pPr>
          </w:p>
        </w:tc>
        <w:tc>
          <w:tcPr>
            <w:tcW w:w="1134" w:type="dxa"/>
            <w:shd w:val="clear" w:color="auto" w:fill="auto"/>
            <w:noWrap/>
            <w:vAlign w:val="bottom"/>
          </w:tcPr>
          <w:p w14:paraId="0FF67713" w14:textId="5C2205C2" w:rsidR="000638D2" w:rsidRPr="007225D1" w:rsidRDefault="000638D2" w:rsidP="000638D2">
            <w:pPr>
              <w:pStyle w:val="TableText"/>
              <w:spacing w:before="0" w:after="0"/>
              <w:jc w:val="right"/>
              <w:rPr>
                <w:szCs w:val="18"/>
              </w:rPr>
            </w:pPr>
          </w:p>
        </w:tc>
        <w:tc>
          <w:tcPr>
            <w:tcW w:w="1275" w:type="dxa"/>
            <w:shd w:val="clear" w:color="auto" w:fill="auto"/>
            <w:noWrap/>
            <w:vAlign w:val="bottom"/>
          </w:tcPr>
          <w:p w14:paraId="7D42BB03" w14:textId="65ED4FFA" w:rsidR="000638D2" w:rsidRPr="007225D1" w:rsidRDefault="000638D2" w:rsidP="000638D2">
            <w:pPr>
              <w:pStyle w:val="TableText"/>
              <w:spacing w:before="0" w:after="0"/>
              <w:jc w:val="right"/>
              <w:rPr>
                <w:szCs w:val="18"/>
              </w:rPr>
            </w:pPr>
          </w:p>
        </w:tc>
      </w:tr>
      <w:tr w:rsidR="000638D2" w:rsidRPr="00C62447" w14:paraId="6431A3F0" w14:textId="77777777" w:rsidTr="000638D2">
        <w:trPr>
          <w:trHeight w:val="20"/>
          <w:tblHeader/>
        </w:trPr>
        <w:tc>
          <w:tcPr>
            <w:tcW w:w="3237" w:type="dxa"/>
            <w:shd w:val="clear" w:color="auto" w:fill="auto"/>
            <w:noWrap/>
            <w:vAlign w:val="bottom"/>
          </w:tcPr>
          <w:p w14:paraId="0F727527" w14:textId="77777777" w:rsidR="000638D2" w:rsidRPr="007225D1" w:rsidRDefault="000638D2" w:rsidP="000638D2">
            <w:pPr>
              <w:rPr>
                <w:rFonts w:ascii="Arial Narrow" w:hAnsi="Arial Narrow"/>
                <w:sz w:val="18"/>
                <w:szCs w:val="18"/>
              </w:rPr>
            </w:pPr>
            <w:r w:rsidRPr="007225D1">
              <w:rPr>
                <w:rFonts w:ascii="Arial Narrow" w:hAnsi="Arial Narrow"/>
                <w:b/>
                <w:bCs/>
                <w:sz w:val="18"/>
                <w:szCs w:val="18"/>
              </w:rPr>
              <w:t xml:space="preserve">Total MBS costs </w:t>
            </w:r>
          </w:p>
        </w:tc>
        <w:tc>
          <w:tcPr>
            <w:tcW w:w="1276" w:type="dxa"/>
            <w:shd w:val="clear" w:color="auto" w:fill="auto"/>
            <w:noWrap/>
            <w:vAlign w:val="bottom"/>
          </w:tcPr>
          <w:p w14:paraId="350516E9" w14:textId="77777777" w:rsidR="000638D2" w:rsidRPr="007225D1" w:rsidRDefault="000638D2" w:rsidP="000638D2">
            <w:pPr>
              <w:pStyle w:val="TableText"/>
              <w:spacing w:before="0" w:after="0"/>
              <w:jc w:val="right"/>
              <w:rPr>
                <w:bCs/>
                <w:szCs w:val="18"/>
              </w:rPr>
            </w:pPr>
            <w:r w:rsidRPr="007225D1">
              <w:rPr>
                <w:bCs/>
                <w:szCs w:val="18"/>
              </w:rPr>
              <w:t xml:space="preserve"> $804,690 </w:t>
            </w:r>
          </w:p>
        </w:tc>
        <w:tc>
          <w:tcPr>
            <w:tcW w:w="1134" w:type="dxa"/>
            <w:shd w:val="clear" w:color="auto" w:fill="auto"/>
            <w:noWrap/>
            <w:vAlign w:val="bottom"/>
          </w:tcPr>
          <w:p w14:paraId="1F4CB5E6" w14:textId="77777777" w:rsidR="000638D2" w:rsidRPr="007225D1" w:rsidRDefault="000638D2" w:rsidP="000638D2">
            <w:pPr>
              <w:pStyle w:val="TableText"/>
              <w:spacing w:before="0" w:after="0"/>
              <w:jc w:val="right"/>
              <w:rPr>
                <w:bCs/>
                <w:szCs w:val="18"/>
              </w:rPr>
            </w:pPr>
            <w:r w:rsidRPr="007225D1">
              <w:rPr>
                <w:bCs/>
                <w:szCs w:val="18"/>
              </w:rPr>
              <w:t xml:space="preserve"> $818,558 </w:t>
            </w:r>
          </w:p>
        </w:tc>
        <w:tc>
          <w:tcPr>
            <w:tcW w:w="1134" w:type="dxa"/>
            <w:shd w:val="clear" w:color="auto" w:fill="auto"/>
            <w:noWrap/>
            <w:vAlign w:val="bottom"/>
          </w:tcPr>
          <w:p w14:paraId="5CEAF672" w14:textId="77777777" w:rsidR="000638D2" w:rsidRPr="007225D1" w:rsidRDefault="000638D2" w:rsidP="000638D2">
            <w:pPr>
              <w:pStyle w:val="TableText"/>
              <w:spacing w:before="0" w:after="0"/>
              <w:jc w:val="right"/>
              <w:rPr>
                <w:bCs/>
                <w:szCs w:val="18"/>
              </w:rPr>
            </w:pPr>
            <w:r w:rsidRPr="007225D1">
              <w:rPr>
                <w:bCs/>
                <w:szCs w:val="18"/>
              </w:rPr>
              <w:t xml:space="preserve"> $832,574 </w:t>
            </w:r>
          </w:p>
        </w:tc>
        <w:tc>
          <w:tcPr>
            <w:tcW w:w="1134" w:type="dxa"/>
            <w:shd w:val="clear" w:color="auto" w:fill="auto"/>
            <w:noWrap/>
            <w:vAlign w:val="bottom"/>
          </w:tcPr>
          <w:p w14:paraId="3CFD4E9A" w14:textId="77777777" w:rsidR="000638D2" w:rsidRPr="007225D1" w:rsidRDefault="000638D2" w:rsidP="000638D2">
            <w:pPr>
              <w:pStyle w:val="TableText"/>
              <w:spacing w:before="0" w:after="0"/>
              <w:jc w:val="right"/>
              <w:rPr>
                <w:bCs/>
                <w:szCs w:val="18"/>
              </w:rPr>
            </w:pPr>
            <w:r w:rsidRPr="007225D1">
              <w:rPr>
                <w:bCs/>
                <w:szCs w:val="18"/>
              </w:rPr>
              <w:t xml:space="preserve"> $846,347 </w:t>
            </w:r>
          </w:p>
        </w:tc>
        <w:tc>
          <w:tcPr>
            <w:tcW w:w="1275" w:type="dxa"/>
            <w:shd w:val="clear" w:color="auto" w:fill="auto"/>
            <w:noWrap/>
            <w:vAlign w:val="bottom"/>
          </w:tcPr>
          <w:p w14:paraId="5CBD45F5" w14:textId="77777777" w:rsidR="000638D2" w:rsidRPr="007225D1" w:rsidRDefault="000638D2" w:rsidP="000638D2">
            <w:pPr>
              <w:pStyle w:val="TableText"/>
              <w:spacing w:before="0" w:after="0"/>
              <w:jc w:val="right"/>
              <w:rPr>
                <w:bCs/>
                <w:szCs w:val="18"/>
              </w:rPr>
            </w:pPr>
            <w:r w:rsidRPr="007225D1">
              <w:rPr>
                <w:bCs/>
                <w:szCs w:val="18"/>
              </w:rPr>
              <w:t xml:space="preserve"> $860,095 </w:t>
            </w:r>
          </w:p>
        </w:tc>
      </w:tr>
      <w:tr w:rsidR="000638D2" w:rsidRPr="00C62447" w14:paraId="0AF16FDE" w14:textId="77777777" w:rsidTr="000638D2">
        <w:trPr>
          <w:trHeight w:val="20"/>
          <w:tblHeader/>
        </w:trPr>
        <w:tc>
          <w:tcPr>
            <w:tcW w:w="3237" w:type="dxa"/>
            <w:shd w:val="clear" w:color="auto" w:fill="auto"/>
            <w:noWrap/>
            <w:vAlign w:val="bottom"/>
            <w:hideMark/>
          </w:tcPr>
          <w:p w14:paraId="5F6B2985" w14:textId="77777777" w:rsidR="000638D2" w:rsidRPr="007225D1" w:rsidRDefault="000638D2" w:rsidP="000638D2">
            <w:pPr>
              <w:rPr>
                <w:rFonts w:ascii="Arial Narrow" w:hAnsi="Arial Narrow"/>
                <w:sz w:val="18"/>
                <w:szCs w:val="18"/>
              </w:rPr>
            </w:pPr>
            <w:r w:rsidRPr="007225D1">
              <w:rPr>
                <w:rFonts w:ascii="Arial Narrow" w:hAnsi="Arial Narrow"/>
                <w:b/>
                <w:bCs/>
                <w:sz w:val="18"/>
                <w:szCs w:val="18"/>
              </w:rPr>
              <w:t>PBS costs</w:t>
            </w:r>
          </w:p>
        </w:tc>
        <w:tc>
          <w:tcPr>
            <w:tcW w:w="1276" w:type="dxa"/>
            <w:shd w:val="clear" w:color="auto" w:fill="auto"/>
            <w:noWrap/>
            <w:vAlign w:val="bottom"/>
          </w:tcPr>
          <w:p w14:paraId="2D24AC68" w14:textId="77777777" w:rsidR="000638D2" w:rsidRPr="007225D1" w:rsidRDefault="000638D2" w:rsidP="000638D2">
            <w:pPr>
              <w:pStyle w:val="TableText"/>
              <w:spacing w:before="0" w:after="0"/>
              <w:jc w:val="right"/>
              <w:rPr>
                <w:bCs/>
                <w:szCs w:val="18"/>
              </w:rPr>
            </w:pPr>
            <w:r w:rsidRPr="007225D1">
              <w:rPr>
                <w:bCs/>
                <w:szCs w:val="18"/>
              </w:rPr>
              <w:t xml:space="preserve"> $9,954,935 </w:t>
            </w:r>
          </w:p>
        </w:tc>
        <w:tc>
          <w:tcPr>
            <w:tcW w:w="1134" w:type="dxa"/>
            <w:shd w:val="clear" w:color="auto" w:fill="auto"/>
            <w:noWrap/>
            <w:vAlign w:val="bottom"/>
          </w:tcPr>
          <w:p w14:paraId="72F6EA7E" w14:textId="77777777" w:rsidR="000638D2" w:rsidRPr="007225D1" w:rsidRDefault="000638D2" w:rsidP="000638D2">
            <w:pPr>
              <w:pStyle w:val="TableText"/>
              <w:spacing w:before="0" w:after="0"/>
              <w:jc w:val="right"/>
              <w:rPr>
                <w:bCs/>
                <w:szCs w:val="18"/>
              </w:rPr>
            </w:pPr>
            <w:r w:rsidRPr="007225D1">
              <w:rPr>
                <w:bCs/>
                <w:szCs w:val="18"/>
              </w:rPr>
              <w:t xml:space="preserve">$10,106,919 </w:t>
            </w:r>
          </w:p>
        </w:tc>
        <w:tc>
          <w:tcPr>
            <w:tcW w:w="1134" w:type="dxa"/>
            <w:shd w:val="clear" w:color="auto" w:fill="auto"/>
            <w:noWrap/>
            <w:vAlign w:val="bottom"/>
          </w:tcPr>
          <w:p w14:paraId="058EE661" w14:textId="77777777" w:rsidR="000638D2" w:rsidRPr="007225D1" w:rsidRDefault="000638D2" w:rsidP="000638D2">
            <w:pPr>
              <w:pStyle w:val="TableText"/>
              <w:spacing w:before="0" w:after="0"/>
              <w:jc w:val="right"/>
              <w:rPr>
                <w:bCs/>
                <w:szCs w:val="18"/>
              </w:rPr>
            </w:pPr>
            <w:r w:rsidRPr="007225D1">
              <w:rPr>
                <w:bCs/>
                <w:szCs w:val="18"/>
              </w:rPr>
              <w:t xml:space="preserve">$10,334,894 </w:t>
            </w:r>
          </w:p>
        </w:tc>
        <w:tc>
          <w:tcPr>
            <w:tcW w:w="1134" w:type="dxa"/>
            <w:shd w:val="clear" w:color="auto" w:fill="auto"/>
            <w:noWrap/>
            <w:vAlign w:val="bottom"/>
          </w:tcPr>
          <w:p w14:paraId="5628BB6D" w14:textId="77777777" w:rsidR="000638D2" w:rsidRPr="007225D1" w:rsidRDefault="000638D2" w:rsidP="000638D2">
            <w:pPr>
              <w:pStyle w:val="TableText"/>
              <w:spacing w:before="0" w:after="0"/>
              <w:jc w:val="right"/>
              <w:rPr>
                <w:bCs/>
                <w:szCs w:val="18"/>
              </w:rPr>
            </w:pPr>
            <w:r w:rsidRPr="007225D1">
              <w:rPr>
                <w:bCs/>
                <w:szCs w:val="18"/>
              </w:rPr>
              <w:t xml:space="preserve">$10,486,878 </w:t>
            </w:r>
          </w:p>
        </w:tc>
        <w:tc>
          <w:tcPr>
            <w:tcW w:w="1275" w:type="dxa"/>
            <w:shd w:val="clear" w:color="auto" w:fill="auto"/>
            <w:noWrap/>
            <w:vAlign w:val="bottom"/>
          </w:tcPr>
          <w:p w14:paraId="73AB3A88" w14:textId="77777777" w:rsidR="000638D2" w:rsidRPr="007225D1" w:rsidRDefault="000638D2" w:rsidP="000638D2">
            <w:pPr>
              <w:pStyle w:val="TableText"/>
              <w:spacing w:before="0" w:after="0"/>
              <w:jc w:val="right"/>
              <w:rPr>
                <w:bCs/>
                <w:szCs w:val="18"/>
              </w:rPr>
            </w:pPr>
            <w:r w:rsidRPr="007225D1">
              <w:rPr>
                <w:bCs/>
                <w:szCs w:val="18"/>
              </w:rPr>
              <w:t xml:space="preserve"> $10,638,862 </w:t>
            </w:r>
          </w:p>
        </w:tc>
      </w:tr>
      <w:tr w:rsidR="000638D2" w:rsidRPr="00C62447" w14:paraId="61BD1767" w14:textId="77777777" w:rsidTr="000638D2">
        <w:trPr>
          <w:trHeight w:val="20"/>
          <w:tblHeader/>
        </w:trPr>
        <w:tc>
          <w:tcPr>
            <w:tcW w:w="3237" w:type="dxa"/>
            <w:shd w:val="clear" w:color="auto" w:fill="auto"/>
            <w:noWrap/>
            <w:vAlign w:val="bottom"/>
          </w:tcPr>
          <w:p w14:paraId="6B5D3FE2" w14:textId="77777777" w:rsidR="000638D2" w:rsidRPr="007225D1" w:rsidRDefault="000638D2" w:rsidP="000638D2">
            <w:pPr>
              <w:rPr>
                <w:rFonts w:ascii="Arial Narrow" w:hAnsi="Arial Narrow"/>
                <w:b/>
                <w:bCs/>
                <w:sz w:val="18"/>
                <w:szCs w:val="18"/>
              </w:rPr>
            </w:pPr>
            <w:r w:rsidRPr="007225D1">
              <w:rPr>
                <w:rFonts w:ascii="Arial Narrow" w:hAnsi="Arial Narrow"/>
                <w:b/>
                <w:bCs/>
                <w:sz w:val="18"/>
                <w:szCs w:val="18"/>
              </w:rPr>
              <w:t>State hospital cost saving</w:t>
            </w:r>
          </w:p>
        </w:tc>
        <w:tc>
          <w:tcPr>
            <w:tcW w:w="1276" w:type="dxa"/>
            <w:shd w:val="clear" w:color="auto" w:fill="auto"/>
            <w:noWrap/>
            <w:vAlign w:val="bottom"/>
          </w:tcPr>
          <w:p w14:paraId="7368AFB1" w14:textId="77777777" w:rsidR="000638D2" w:rsidRPr="007225D1" w:rsidRDefault="000638D2" w:rsidP="000638D2">
            <w:pPr>
              <w:pStyle w:val="TableText"/>
              <w:spacing w:before="0" w:after="0"/>
              <w:jc w:val="right"/>
              <w:rPr>
                <w:bCs/>
                <w:szCs w:val="18"/>
              </w:rPr>
            </w:pPr>
            <w:r w:rsidRPr="007225D1">
              <w:rPr>
                <w:bCs/>
                <w:szCs w:val="18"/>
              </w:rPr>
              <w:t xml:space="preserve"> -$778,765 </w:t>
            </w:r>
          </w:p>
        </w:tc>
        <w:tc>
          <w:tcPr>
            <w:tcW w:w="1134" w:type="dxa"/>
            <w:shd w:val="clear" w:color="auto" w:fill="auto"/>
            <w:noWrap/>
            <w:vAlign w:val="bottom"/>
          </w:tcPr>
          <w:p w14:paraId="12291D67" w14:textId="77777777" w:rsidR="000638D2" w:rsidRPr="007225D1" w:rsidRDefault="000638D2" w:rsidP="000638D2">
            <w:pPr>
              <w:pStyle w:val="TableText"/>
              <w:spacing w:before="0" w:after="0"/>
              <w:jc w:val="right"/>
              <w:rPr>
                <w:bCs/>
                <w:szCs w:val="18"/>
              </w:rPr>
            </w:pPr>
            <w:r w:rsidRPr="007225D1">
              <w:rPr>
                <w:bCs/>
                <w:szCs w:val="18"/>
              </w:rPr>
              <w:t xml:space="preserve"> -$792,237 </w:t>
            </w:r>
          </w:p>
        </w:tc>
        <w:tc>
          <w:tcPr>
            <w:tcW w:w="1134" w:type="dxa"/>
            <w:shd w:val="clear" w:color="auto" w:fill="auto"/>
            <w:noWrap/>
            <w:vAlign w:val="bottom"/>
          </w:tcPr>
          <w:p w14:paraId="4E59B4E2" w14:textId="77777777" w:rsidR="000638D2" w:rsidRPr="007225D1" w:rsidRDefault="000638D2" w:rsidP="000638D2">
            <w:pPr>
              <w:pStyle w:val="TableText"/>
              <w:spacing w:before="0" w:after="0"/>
              <w:jc w:val="right"/>
              <w:rPr>
                <w:bCs/>
                <w:szCs w:val="18"/>
              </w:rPr>
            </w:pPr>
            <w:r w:rsidRPr="007225D1">
              <w:rPr>
                <w:bCs/>
                <w:szCs w:val="18"/>
              </w:rPr>
              <w:t xml:space="preserve"> -$805,660 </w:t>
            </w:r>
          </w:p>
        </w:tc>
        <w:tc>
          <w:tcPr>
            <w:tcW w:w="1134" w:type="dxa"/>
            <w:shd w:val="clear" w:color="auto" w:fill="auto"/>
            <w:noWrap/>
            <w:vAlign w:val="bottom"/>
          </w:tcPr>
          <w:p w14:paraId="627D3258" w14:textId="39BC2836" w:rsidR="000638D2" w:rsidRPr="007225D1" w:rsidRDefault="000638D2" w:rsidP="00ED23D9">
            <w:pPr>
              <w:pStyle w:val="TableText"/>
              <w:spacing w:before="0" w:after="0"/>
              <w:jc w:val="right"/>
              <w:rPr>
                <w:bCs/>
                <w:szCs w:val="18"/>
              </w:rPr>
            </w:pPr>
            <w:r w:rsidRPr="007225D1">
              <w:rPr>
                <w:bCs/>
                <w:szCs w:val="18"/>
              </w:rPr>
              <w:t xml:space="preserve">-$819,037 </w:t>
            </w:r>
          </w:p>
        </w:tc>
        <w:tc>
          <w:tcPr>
            <w:tcW w:w="1275" w:type="dxa"/>
            <w:shd w:val="clear" w:color="auto" w:fill="auto"/>
            <w:noWrap/>
            <w:vAlign w:val="bottom"/>
          </w:tcPr>
          <w:p w14:paraId="7801378D" w14:textId="025F84A0" w:rsidR="000638D2" w:rsidRPr="007225D1" w:rsidRDefault="000638D2" w:rsidP="00ED23D9">
            <w:pPr>
              <w:pStyle w:val="TableText"/>
              <w:spacing w:before="0" w:after="0"/>
              <w:jc w:val="right"/>
              <w:rPr>
                <w:bCs/>
                <w:szCs w:val="18"/>
              </w:rPr>
            </w:pPr>
            <w:r w:rsidRPr="007225D1">
              <w:rPr>
                <w:bCs/>
                <w:szCs w:val="18"/>
              </w:rPr>
              <w:t xml:space="preserve">-$832,389 </w:t>
            </w:r>
          </w:p>
        </w:tc>
      </w:tr>
      <w:tr w:rsidR="000638D2" w:rsidRPr="00C62447" w14:paraId="409EE380" w14:textId="77777777" w:rsidTr="000638D2">
        <w:trPr>
          <w:trHeight w:val="20"/>
          <w:tblHeader/>
        </w:trPr>
        <w:tc>
          <w:tcPr>
            <w:tcW w:w="3237" w:type="dxa"/>
            <w:shd w:val="clear" w:color="auto" w:fill="auto"/>
            <w:noWrap/>
            <w:vAlign w:val="bottom"/>
            <w:hideMark/>
          </w:tcPr>
          <w:p w14:paraId="2E37BBF0" w14:textId="77777777" w:rsidR="000638D2" w:rsidRPr="007225D1" w:rsidRDefault="000638D2" w:rsidP="000638D2">
            <w:pPr>
              <w:rPr>
                <w:rFonts w:ascii="Arial Narrow" w:hAnsi="Arial Narrow"/>
                <w:b/>
                <w:sz w:val="18"/>
                <w:szCs w:val="18"/>
              </w:rPr>
            </w:pPr>
            <w:r w:rsidRPr="007225D1">
              <w:rPr>
                <w:rFonts w:ascii="Arial Narrow" w:hAnsi="Arial Narrow"/>
                <w:b/>
                <w:sz w:val="18"/>
                <w:szCs w:val="18"/>
              </w:rPr>
              <w:t>Total cost of Hepatitis C</w:t>
            </w:r>
          </w:p>
        </w:tc>
        <w:tc>
          <w:tcPr>
            <w:tcW w:w="1276" w:type="dxa"/>
            <w:shd w:val="clear" w:color="auto" w:fill="auto"/>
            <w:noWrap/>
            <w:vAlign w:val="bottom"/>
          </w:tcPr>
          <w:p w14:paraId="2B31A0C8" w14:textId="77777777" w:rsidR="000638D2" w:rsidRPr="00C62447" w:rsidRDefault="000638D2" w:rsidP="000638D2">
            <w:pPr>
              <w:pStyle w:val="TableText"/>
              <w:spacing w:before="0" w:after="0"/>
              <w:jc w:val="right"/>
              <w:rPr>
                <w:b/>
                <w:bCs/>
                <w:szCs w:val="18"/>
              </w:rPr>
            </w:pPr>
            <w:r w:rsidRPr="00C62447">
              <w:rPr>
                <w:b/>
                <w:bCs/>
                <w:szCs w:val="18"/>
              </w:rPr>
              <w:t>$9,980,860</w:t>
            </w:r>
          </w:p>
        </w:tc>
        <w:tc>
          <w:tcPr>
            <w:tcW w:w="1134" w:type="dxa"/>
            <w:shd w:val="clear" w:color="auto" w:fill="auto"/>
            <w:noWrap/>
            <w:vAlign w:val="bottom"/>
          </w:tcPr>
          <w:p w14:paraId="29F1F425" w14:textId="77777777" w:rsidR="000638D2" w:rsidRPr="00C62447" w:rsidRDefault="000638D2" w:rsidP="000638D2">
            <w:pPr>
              <w:pStyle w:val="TableText"/>
              <w:spacing w:before="0" w:after="0"/>
              <w:jc w:val="right"/>
              <w:rPr>
                <w:b/>
                <w:bCs/>
                <w:szCs w:val="18"/>
              </w:rPr>
            </w:pPr>
            <w:r w:rsidRPr="00C62447">
              <w:rPr>
                <w:b/>
                <w:bCs/>
                <w:szCs w:val="18"/>
              </w:rPr>
              <w:t>$10,133,240</w:t>
            </w:r>
          </w:p>
        </w:tc>
        <w:tc>
          <w:tcPr>
            <w:tcW w:w="1134" w:type="dxa"/>
            <w:shd w:val="clear" w:color="auto" w:fill="auto"/>
            <w:noWrap/>
            <w:vAlign w:val="bottom"/>
          </w:tcPr>
          <w:p w14:paraId="423000F7" w14:textId="77777777" w:rsidR="000638D2" w:rsidRPr="00C62447" w:rsidRDefault="000638D2" w:rsidP="000638D2">
            <w:pPr>
              <w:pStyle w:val="TableText"/>
              <w:spacing w:before="0" w:after="0"/>
              <w:jc w:val="right"/>
              <w:rPr>
                <w:b/>
                <w:bCs/>
                <w:szCs w:val="18"/>
              </w:rPr>
            </w:pPr>
            <w:r w:rsidRPr="00C62447">
              <w:rPr>
                <w:b/>
                <w:bCs/>
                <w:szCs w:val="18"/>
              </w:rPr>
              <w:t>$10,361,808</w:t>
            </w:r>
          </w:p>
        </w:tc>
        <w:tc>
          <w:tcPr>
            <w:tcW w:w="1134" w:type="dxa"/>
            <w:shd w:val="clear" w:color="auto" w:fill="auto"/>
            <w:noWrap/>
            <w:vAlign w:val="bottom"/>
          </w:tcPr>
          <w:p w14:paraId="46A1CF2F" w14:textId="77777777" w:rsidR="000638D2" w:rsidRPr="00A95C1E" w:rsidRDefault="000638D2" w:rsidP="000638D2">
            <w:pPr>
              <w:pStyle w:val="TableText"/>
              <w:spacing w:before="0" w:after="0"/>
              <w:jc w:val="right"/>
              <w:rPr>
                <w:b/>
                <w:bCs/>
                <w:szCs w:val="18"/>
              </w:rPr>
            </w:pPr>
            <w:r w:rsidRPr="00A95C1E">
              <w:rPr>
                <w:b/>
                <w:bCs/>
                <w:szCs w:val="18"/>
              </w:rPr>
              <w:t>$10,514,188</w:t>
            </w:r>
          </w:p>
        </w:tc>
        <w:tc>
          <w:tcPr>
            <w:tcW w:w="1275" w:type="dxa"/>
            <w:shd w:val="clear" w:color="auto" w:fill="auto"/>
            <w:noWrap/>
            <w:vAlign w:val="bottom"/>
          </w:tcPr>
          <w:p w14:paraId="4896148B" w14:textId="77777777" w:rsidR="000638D2" w:rsidRPr="002178CE" w:rsidRDefault="000638D2" w:rsidP="000638D2">
            <w:pPr>
              <w:pStyle w:val="TableText"/>
              <w:spacing w:before="0" w:after="0"/>
              <w:jc w:val="right"/>
              <w:rPr>
                <w:b/>
                <w:bCs/>
                <w:szCs w:val="18"/>
              </w:rPr>
            </w:pPr>
            <w:r w:rsidRPr="002178CE">
              <w:rPr>
                <w:b/>
                <w:bCs/>
                <w:szCs w:val="18"/>
              </w:rPr>
              <w:t>$10,666,568</w:t>
            </w:r>
          </w:p>
        </w:tc>
      </w:tr>
      <w:tr w:rsidR="000638D2" w:rsidRPr="00C62447" w14:paraId="30C458CF" w14:textId="77777777" w:rsidTr="000638D2">
        <w:trPr>
          <w:trHeight w:val="20"/>
          <w:tblHeader/>
        </w:trPr>
        <w:tc>
          <w:tcPr>
            <w:tcW w:w="3237" w:type="dxa"/>
            <w:shd w:val="clear" w:color="auto" w:fill="auto"/>
            <w:noWrap/>
            <w:vAlign w:val="bottom"/>
          </w:tcPr>
          <w:p w14:paraId="03D250BF" w14:textId="77777777" w:rsidR="000638D2" w:rsidRPr="007225D1" w:rsidRDefault="000638D2" w:rsidP="000638D2">
            <w:pPr>
              <w:rPr>
                <w:rFonts w:ascii="Arial Narrow" w:hAnsi="Arial Narrow"/>
                <w:b/>
                <w:sz w:val="18"/>
                <w:szCs w:val="18"/>
              </w:rPr>
            </w:pPr>
            <w:r w:rsidRPr="007225D1">
              <w:rPr>
                <w:rFonts w:ascii="Arial Narrow" w:hAnsi="Arial Narrow"/>
                <w:b/>
                <w:bCs/>
                <w:sz w:val="18"/>
                <w:szCs w:val="18"/>
              </w:rPr>
              <w:t>Hepatitis B + Hepatitis C</w:t>
            </w:r>
          </w:p>
        </w:tc>
        <w:tc>
          <w:tcPr>
            <w:tcW w:w="1276" w:type="dxa"/>
            <w:shd w:val="clear" w:color="auto" w:fill="auto"/>
            <w:noWrap/>
            <w:vAlign w:val="bottom"/>
          </w:tcPr>
          <w:p w14:paraId="367069E8" w14:textId="714714F6" w:rsidR="000638D2" w:rsidRPr="007225D1" w:rsidRDefault="000638D2" w:rsidP="000638D2">
            <w:pPr>
              <w:pStyle w:val="TableText"/>
              <w:spacing w:before="0" w:after="0"/>
              <w:jc w:val="right"/>
              <w:rPr>
                <w:bCs/>
                <w:szCs w:val="18"/>
              </w:rPr>
            </w:pPr>
          </w:p>
        </w:tc>
        <w:tc>
          <w:tcPr>
            <w:tcW w:w="1134" w:type="dxa"/>
            <w:shd w:val="clear" w:color="auto" w:fill="auto"/>
            <w:noWrap/>
            <w:vAlign w:val="bottom"/>
          </w:tcPr>
          <w:p w14:paraId="119BBDCE" w14:textId="626FACDA" w:rsidR="000638D2" w:rsidRPr="007225D1" w:rsidRDefault="000638D2" w:rsidP="000638D2">
            <w:pPr>
              <w:pStyle w:val="TableText"/>
              <w:spacing w:before="0" w:after="0"/>
              <w:jc w:val="right"/>
              <w:rPr>
                <w:bCs/>
                <w:szCs w:val="18"/>
              </w:rPr>
            </w:pPr>
          </w:p>
        </w:tc>
        <w:tc>
          <w:tcPr>
            <w:tcW w:w="1134" w:type="dxa"/>
            <w:shd w:val="clear" w:color="auto" w:fill="auto"/>
            <w:noWrap/>
            <w:vAlign w:val="bottom"/>
          </w:tcPr>
          <w:p w14:paraId="1ECD371E" w14:textId="12D076F1" w:rsidR="000638D2" w:rsidRPr="007225D1" w:rsidRDefault="000638D2" w:rsidP="000638D2">
            <w:pPr>
              <w:pStyle w:val="TableText"/>
              <w:spacing w:before="0" w:after="0"/>
              <w:jc w:val="right"/>
              <w:rPr>
                <w:bCs/>
                <w:szCs w:val="18"/>
              </w:rPr>
            </w:pPr>
          </w:p>
        </w:tc>
        <w:tc>
          <w:tcPr>
            <w:tcW w:w="1134" w:type="dxa"/>
            <w:shd w:val="clear" w:color="auto" w:fill="auto"/>
            <w:noWrap/>
            <w:vAlign w:val="bottom"/>
          </w:tcPr>
          <w:p w14:paraId="41C844FA" w14:textId="27E8389C" w:rsidR="000638D2" w:rsidRPr="007225D1" w:rsidRDefault="000638D2" w:rsidP="000638D2">
            <w:pPr>
              <w:pStyle w:val="TableText"/>
              <w:spacing w:before="0" w:after="0"/>
              <w:jc w:val="right"/>
              <w:rPr>
                <w:bCs/>
                <w:szCs w:val="18"/>
              </w:rPr>
            </w:pPr>
          </w:p>
        </w:tc>
        <w:tc>
          <w:tcPr>
            <w:tcW w:w="1275" w:type="dxa"/>
            <w:shd w:val="clear" w:color="auto" w:fill="auto"/>
            <w:noWrap/>
            <w:vAlign w:val="bottom"/>
          </w:tcPr>
          <w:p w14:paraId="3B0B04CF" w14:textId="457801C2" w:rsidR="000638D2" w:rsidRPr="007225D1" w:rsidRDefault="000638D2" w:rsidP="000638D2">
            <w:pPr>
              <w:pStyle w:val="TableText"/>
              <w:spacing w:before="0" w:after="0"/>
              <w:jc w:val="right"/>
              <w:rPr>
                <w:bCs/>
                <w:szCs w:val="18"/>
              </w:rPr>
            </w:pPr>
          </w:p>
        </w:tc>
      </w:tr>
      <w:tr w:rsidR="000638D2" w:rsidRPr="00C62447" w14:paraId="2FA3C50B" w14:textId="77777777" w:rsidTr="000638D2">
        <w:trPr>
          <w:trHeight w:val="20"/>
          <w:tblHeader/>
        </w:trPr>
        <w:tc>
          <w:tcPr>
            <w:tcW w:w="3237" w:type="dxa"/>
            <w:shd w:val="clear" w:color="auto" w:fill="auto"/>
            <w:noWrap/>
            <w:vAlign w:val="bottom"/>
          </w:tcPr>
          <w:p w14:paraId="778FCE58" w14:textId="77777777" w:rsidR="000638D2" w:rsidRPr="007225D1" w:rsidRDefault="000638D2" w:rsidP="000638D2">
            <w:pPr>
              <w:rPr>
                <w:rFonts w:ascii="Arial Narrow" w:hAnsi="Arial Narrow"/>
                <w:b/>
                <w:bCs/>
                <w:sz w:val="18"/>
                <w:szCs w:val="18"/>
              </w:rPr>
            </w:pPr>
            <w:r w:rsidRPr="007225D1">
              <w:rPr>
                <w:rFonts w:ascii="Arial Narrow" w:hAnsi="Arial Narrow"/>
                <w:b/>
                <w:bCs/>
                <w:sz w:val="18"/>
                <w:szCs w:val="18"/>
              </w:rPr>
              <w:t>Total MBS cost</w:t>
            </w:r>
          </w:p>
        </w:tc>
        <w:tc>
          <w:tcPr>
            <w:tcW w:w="1276" w:type="dxa"/>
            <w:shd w:val="clear" w:color="auto" w:fill="auto"/>
            <w:noWrap/>
            <w:vAlign w:val="bottom"/>
          </w:tcPr>
          <w:p w14:paraId="62EBFB4E" w14:textId="77777777" w:rsidR="000638D2" w:rsidRPr="007225D1" w:rsidRDefault="000638D2" w:rsidP="000638D2">
            <w:pPr>
              <w:pStyle w:val="TableText"/>
              <w:spacing w:before="0" w:after="0"/>
              <w:jc w:val="right"/>
              <w:rPr>
                <w:bCs/>
                <w:szCs w:val="18"/>
              </w:rPr>
            </w:pPr>
            <w:r w:rsidRPr="007225D1">
              <w:rPr>
                <w:bCs/>
                <w:szCs w:val="18"/>
              </w:rPr>
              <w:t xml:space="preserve">$1,549,156 </w:t>
            </w:r>
          </w:p>
        </w:tc>
        <w:tc>
          <w:tcPr>
            <w:tcW w:w="1134" w:type="dxa"/>
            <w:shd w:val="clear" w:color="auto" w:fill="auto"/>
            <w:noWrap/>
            <w:vAlign w:val="bottom"/>
          </w:tcPr>
          <w:p w14:paraId="1214CA90" w14:textId="77777777" w:rsidR="000638D2" w:rsidRPr="007225D1" w:rsidRDefault="000638D2" w:rsidP="000638D2">
            <w:pPr>
              <w:pStyle w:val="TableText"/>
              <w:spacing w:before="0" w:after="0"/>
              <w:jc w:val="right"/>
              <w:rPr>
                <w:bCs/>
                <w:szCs w:val="18"/>
              </w:rPr>
            </w:pPr>
            <w:r w:rsidRPr="007225D1">
              <w:rPr>
                <w:bCs/>
                <w:szCs w:val="18"/>
              </w:rPr>
              <w:t xml:space="preserve">$1,575,991 </w:t>
            </w:r>
          </w:p>
        </w:tc>
        <w:tc>
          <w:tcPr>
            <w:tcW w:w="1134" w:type="dxa"/>
            <w:shd w:val="clear" w:color="auto" w:fill="auto"/>
            <w:noWrap/>
            <w:vAlign w:val="bottom"/>
          </w:tcPr>
          <w:p w14:paraId="42ABA704" w14:textId="77777777" w:rsidR="000638D2" w:rsidRPr="007225D1" w:rsidRDefault="000638D2" w:rsidP="000638D2">
            <w:pPr>
              <w:pStyle w:val="TableText"/>
              <w:spacing w:before="0" w:after="0"/>
              <w:jc w:val="right"/>
              <w:rPr>
                <w:bCs/>
                <w:szCs w:val="18"/>
              </w:rPr>
            </w:pPr>
            <w:r w:rsidRPr="007225D1">
              <w:rPr>
                <w:bCs/>
                <w:szCs w:val="18"/>
              </w:rPr>
              <w:t xml:space="preserve">$1,602,753 </w:t>
            </w:r>
          </w:p>
        </w:tc>
        <w:tc>
          <w:tcPr>
            <w:tcW w:w="1134" w:type="dxa"/>
            <w:shd w:val="clear" w:color="auto" w:fill="auto"/>
            <w:noWrap/>
            <w:vAlign w:val="bottom"/>
          </w:tcPr>
          <w:p w14:paraId="4E3320D7" w14:textId="77777777" w:rsidR="000638D2" w:rsidRPr="007225D1" w:rsidRDefault="000638D2" w:rsidP="000638D2">
            <w:pPr>
              <w:pStyle w:val="TableText"/>
              <w:spacing w:before="0" w:after="0"/>
              <w:jc w:val="right"/>
              <w:rPr>
                <w:bCs/>
                <w:szCs w:val="18"/>
              </w:rPr>
            </w:pPr>
            <w:r w:rsidRPr="007225D1">
              <w:rPr>
                <w:bCs/>
                <w:szCs w:val="18"/>
              </w:rPr>
              <w:t xml:space="preserve">$1,629,422 </w:t>
            </w:r>
          </w:p>
        </w:tc>
        <w:tc>
          <w:tcPr>
            <w:tcW w:w="1275" w:type="dxa"/>
            <w:shd w:val="clear" w:color="auto" w:fill="auto"/>
            <w:noWrap/>
            <w:vAlign w:val="bottom"/>
          </w:tcPr>
          <w:p w14:paraId="1A7FB086" w14:textId="77777777" w:rsidR="000638D2" w:rsidRPr="007225D1" w:rsidRDefault="000638D2" w:rsidP="000638D2">
            <w:pPr>
              <w:pStyle w:val="TableText"/>
              <w:spacing w:before="0" w:after="0"/>
              <w:jc w:val="right"/>
              <w:rPr>
                <w:bCs/>
                <w:szCs w:val="18"/>
              </w:rPr>
            </w:pPr>
            <w:r w:rsidRPr="007225D1">
              <w:rPr>
                <w:bCs/>
                <w:szCs w:val="18"/>
              </w:rPr>
              <w:t xml:space="preserve">$1,655,822 </w:t>
            </w:r>
          </w:p>
        </w:tc>
      </w:tr>
      <w:tr w:rsidR="000638D2" w:rsidRPr="00C62447" w14:paraId="32BACF76" w14:textId="77777777" w:rsidTr="000638D2">
        <w:trPr>
          <w:trHeight w:val="20"/>
          <w:tblHeader/>
        </w:trPr>
        <w:tc>
          <w:tcPr>
            <w:tcW w:w="3237" w:type="dxa"/>
            <w:shd w:val="clear" w:color="auto" w:fill="auto"/>
            <w:noWrap/>
            <w:vAlign w:val="bottom"/>
          </w:tcPr>
          <w:p w14:paraId="38CB11F6" w14:textId="77777777" w:rsidR="000638D2" w:rsidRPr="007225D1" w:rsidRDefault="000638D2" w:rsidP="000638D2">
            <w:pPr>
              <w:rPr>
                <w:rFonts w:ascii="Arial Narrow" w:hAnsi="Arial Narrow"/>
                <w:b/>
                <w:bCs/>
                <w:sz w:val="18"/>
                <w:szCs w:val="18"/>
              </w:rPr>
            </w:pPr>
            <w:r w:rsidRPr="007225D1">
              <w:rPr>
                <w:rFonts w:ascii="Arial Narrow" w:hAnsi="Arial Narrow"/>
                <w:b/>
                <w:bCs/>
                <w:sz w:val="18"/>
                <w:szCs w:val="18"/>
              </w:rPr>
              <w:t>Total PBS cost</w:t>
            </w:r>
          </w:p>
        </w:tc>
        <w:tc>
          <w:tcPr>
            <w:tcW w:w="1276" w:type="dxa"/>
            <w:shd w:val="clear" w:color="auto" w:fill="auto"/>
            <w:noWrap/>
            <w:vAlign w:val="bottom"/>
          </w:tcPr>
          <w:p w14:paraId="617CD179" w14:textId="77777777" w:rsidR="000638D2" w:rsidRPr="007225D1" w:rsidRDefault="000638D2" w:rsidP="000638D2">
            <w:pPr>
              <w:pStyle w:val="TableText"/>
              <w:spacing w:before="0" w:after="0"/>
              <w:jc w:val="right"/>
              <w:rPr>
                <w:bCs/>
                <w:szCs w:val="18"/>
              </w:rPr>
            </w:pPr>
            <w:r w:rsidRPr="007225D1">
              <w:rPr>
                <w:bCs/>
                <w:szCs w:val="18"/>
              </w:rPr>
              <w:t xml:space="preserve">$10,969,345 </w:t>
            </w:r>
          </w:p>
        </w:tc>
        <w:tc>
          <w:tcPr>
            <w:tcW w:w="1134" w:type="dxa"/>
            <w:shd w:val="clear" w:color="auto" w:fill="auto"/>
            <w:noWrap/>
            <w:vAlign w:val="bottom"/>
          </w:tcPr>
          <w:p w14:paraId="0C7CF743" w14:textId="77777777" w:rsidR="000638D2" w:rsidRPr="007225D1" w:rsidRDefault="000638D2" w:rsidP="000638D2">
            <w:pPr>
              <w:pStyle w:val="TableText"/>
              <w:spacing w:before="0" w:after="0"/>
              <w:jc w:val="right"/>
              <w:rPr>
                <w:bCs/>
                <w:szCs w:val="18"/>
              </w:rPr>
            </w:pPr>
            <w:r w:rsidRPr="007225D1">
              <w:rPr>
                <w:bCs/>
                <w:szCs w:val="18"/>
              </w:rPr>
              <w:t xml:space="preserve">$11,144,648 </w:t>
            </w:r>
          </w:p>
        </w:tc>
        <w:tc>
          <w:tcPr>
            <w:tcW w:w="1134" w:type="dxa"/>
            <w:shd w:val="clear" w:color="auto" w:fill="auto"/>
            <w:noWrap/>
            <w:vAlign w:val="bottom"/>
          </w:tcPr>
          <w:p w14:paraId="312672D3" w14:textId="77777777" w:rsidR="000638D2" w:rsidRPr="007225D1" w:rsidRDefault="000638D2" w:rsidP="000638D2">
            <w:pPr>
              <w:pStyle w:val="TableText"/>
              <w:spacing w:before="0" w:after="0"/>
              <w:jc w:val="right"/>
              <w:rPr>
                <w:bCs/>
                <w:szCs w:val="18"/>
              </w:rPr>
            </w:pPr>
            <w:r w:rsidRPr="007225D1">
              <w:rPr>
                <w:bCs/>
                <w:szCs w:val="18"/>
              </w:rPr>
              <w:t xml:space="preserve">$11,384,284 </w:t>
            </w:r>
          </w:p>
        </w:tc>
        <w:tc>
          <w:tcPr>
            <w:tcW w:w="1134" w:type="dxa"/>
            <w:shd w:val="clear" w:color="auto" w:fill="auto"/>
            <w:noWrap/>
            <w:vAlign w:val="bottom"/>
          </w:tcPr>
          <w:p w14:paraId="2B0FC5F2" w14:textId="77777777" w:rsidR="000638D2" w:rsidRPr="007225D1" w:rsidRDefault="000638D2" w:rsidP="000638D2">
            <w:pPr>
              <w:pStyle w:val="TableText"/>
              <w:spacing w:before="0" w:after="0"/>
              <w:jc w:val="right"/>
              <w:rPr>
                <w:bCs/>
                <w:szCs w:val="18"/>
              </w:rPr>
            </w:pPr>
            <w:r w:rsidRPr="007225D1">
              <w:rPr>
                <w:bCs/>
                <w:szCs w:val="18"/>
              </w:rPr>
              <w:t xml:space="preserve">$11,559,587 </w:t>
            </w:r>
          </w:p>
        </w:tc>
        <w:tc>
          <w:tcPr>
            <w:tcW w:w="1275" w:type="dxa"/>
            <w:shd w:val="clear" w:color="auto" w:fill="auto"/>
            <w:noWrap/>
            <w:vAlign w:val="bottom"/>
          </w:tcPr>
          <w:p w14:paraId="17299EB9" w14:textId="77777777" w:rsidR="000638D2" w:rsidRPr="007225D1" w:rsidRDefault="000638D2" w:rsidP="000638D2">
            <w:pPr>
              <w:pStyle w:val="TableText"/>
              <w:spacing w:before="0" w:after="0"/>
              <w:jc w:val="right"/>
              <w:rPr>
                <w:bCs/>
                <w:szCs w:val="18"/>
              </w:rPr>
            </w:pPr>
            <w:r w:rsidRPr="007225D1">
              <w:rPr>
                <w:bCs/>
                <w:szCs w:val="18"/>
              </w:rPr>
              <w:t xml:space="preserve">$11,723,231 </w:t>
            </w:r>
          </w:p>
        </w:tc>
      </w:tr>
      <w:tr w:rsidR="000638D2" w:rsidRPr="00C62447" w14:paraId="6D256B37" w14:textId="77777777" w:rsidTr="000638D2">
        <w:trPr>
          <w:trHeight w:val="20"/>
          <w:tblHeader/>
        </w:trPr>
        <w:tc>
          <w:tcPr>
            <w:tcW w:w="3237" w:type="dxa"/>
            <w:shd w:val="clear" w:color="auto" w:fill="auto"/>
            <w:noWrap/>
            <w:vAlign w:val="bottom"/>
          </w:tcPr>
          <w:p w14:paraId="43B5BACF" w14:textId="77777777" w:rsidR="000638D2" w:rsidRPr="007225D1" w:rsidRDefault="000638D2" w:rsidP="000638D2">
            <w:pPr>
              <w:rPr>
                <w:rFonts w:ascii="Arial Narrow" w:hAnsi="Arial Narrow"/>
                <w:b/>
                <w:bCs/>
                <w:sz w:val="18"/>
                <w:szCs w:val="18"/>
              </w:rPr>
            </w:pPr>
            <w:r w:rsidRPr="007225D1">
              <w:rPr>
                <w:rFonts w:ascii="Arial Narrow" w:hAnsi="Arial Narrow"/>
                <w:b/>
                <w:bCs/>
                <w:sz w:val="18"/>
                <w:szCs w:val="18"/>
              </w:rPr>
              <w:t>Total State hospital cost saving</w:t>
            </w:r>
          </w:p>
        </w:tc>
        <w:tc>
          <w:tcPr>
            <w:tcW w:w="1276" w:type="dxa"/>
            <w:shd w:val="clear" w:color="auto" w:fill="auto"/>
            <w:noWrap/>
            <w:vAlign w:val="bottom"/>
          </w:tcPr>
          <w:p w14:paraId="2DCC61FB" w14:textId="77777777" w:rsidR="000638D2" w:rsidRPr="007225D1" w:rsidRDefault="000638D2" w:rsidP="000638D2">
            <w:pPr>
              <w:pStyle w:val="TableText"/>
              <w:spacing w:before="0" w:after="0"/>
              <w:jc w:val="right"/>
              <w:rPr>
                <w:bCs/>
                <w:szCs w:val="18"/>
              </w:rPr>
            </w:pPr>
            <w:r w:rsidRPr="007225D1">
              <w:rPr>
                <w:bCs/>
                <w:szCs w:val="18"/>
              </w:rPr>
              <w:t xml:space="preserve">-$1,506,014 </w:t>
            </w:r>
          </w:p>
        </w:tc>
        <w:tc>
          <w:tcPr>
            <w:tcW w:w="1134" w:type="dxa"/>
            <w:shd w:val="clear" w:color="auto" w:fill="auto"/>
            <w:noWrap/>
            <w:vAlign w:val="bottom"/>
          </w:tcPr>
          <w:p w14:paraId="14D7984D" w14:textId="77777777" w:rsidR="000638D2" w:rsidRPr="007225D1" w:rsidRDefault="000638D2" w:rsidP="000638D2">
            <w:pPr>
              <w:pStyle w:val="TableText"/>
              <w:spacing w:before="0" w:after="0"/>
              <w:jc w:val="right"/>
              <w:rPr>
                <w:bCs/>
                <w:szCs w:val="18"/>
              </w:rPr>
            </w:pPr>
            <w:r w:rsidRPr="007225D1">
              <w:rPr>
                <w:bCs/>
                <w:szCs w:val="18"/>
              </w:rPr>
              <w:t xml:space="preserve">-$1,532,057 </w:t>
            </w:r>
          </w:p>
        </w:tc>
        <w:tc>
          <w:tcPr>
            <w:tcW w:w="1134" w:type="dxa"/>
            <w:shd w:val="clear" w:color="auto" w:fill="auto"/>
            <w:noWrap/>
            <w:vAlign w:val="bottom"/>
          </w:tcPr>
          <w:p w14:paraId="2DFA8BB4" w14:textId="77777777" w:rsidR="000638D2" w:rsidRPr="007225D1" w:rsidRDefault="000638D2" w:rsidP="000638D2">
            <w:pPr>
              <w:pStyle w:val="TableText"/>
              <w:spacing w:before="0" w:after="0"/>
              <w:jc w:val="right"/>
              <w:rPr>
                <w:bCs/>
                <w:szCs w:val="18"/>
              </w:rPr>
            </w:pPr>
            <w:r w:rsidRPr="007225D1">
              <w:rPr>
                <w:bCs/>
                <w:szCs w:val="18"/>
              </w:rPr>
              <w:t xml:space="preserve">-$1,558,028 </w:t>
            </w:r>
          </w:p>
        </w:tc>
        <w:tc>
          <w:tcPr>
            <w:tcW w:w="1134" w:type="dxa"/>
            <w:shd w:val="clear" w:color="auto" w:fill="auto"/>
            <w:noWrap/>
            <w:vAlign w:val="bottom"/>
          </w:tcPr>
          <w:p w14:paraId="7FCE4809" w14:textId="77777777" w:rsidR="000638D2" w:rsidRPr="007225D1" w:rsidRDefault="000638D2" w:rsidP="000638D2">
            <w:pPr>
              <w:pStyle w:val="TableText"/>
              <w:spacing w:before="0" w:after="0"/>
              <w:jc w:val="right"/>
              <w:rPr>
                <w:bCs/>
                <w:szCs w:val="18"/>
              </w:rPr>
            </w:pPr>
            <w:r w:rsidRPr="007225D1">
              <w:rPr>
                <w:bCs/>
                <w:szCs w:val="18"/>
              </w:rPr>
              <w:t xml:space="preserve">-$1,583,905 </w:t>
            </w:r>
          </w:p>
        </w:tc>
        <w:tc>
          <w:tcPr>
            <w:tcW w:w="1275" w:type="dxa"/>
            <w:shd w:val="clear" w:color="auto" w:fill="auto"/>
            <w:noWrap/>
            <w:vAlign w:val="bottom"/>
          </w:tcPr>
          <w:p w14:paraId="27AE84B2" w14:textId="77777777" w:rsidR="000638D2" w:rsidRPr="007225D1" w:rsidRDefault="000638D2" w:rsidP="000638D2">
            <w:pPr>
              <w:pStyle w:val="TableText"/>
              <w:spacing w:before="0" w:after="0"/>
              <w:jc w:val="right"/>
              <w:rPr>
                <w:bCs/>
                <w:szCs w:val="18"/>
              </w:rPr>
            </w:pPr>
            <w:r w:rsidRPr="007225D1">
              <w:rPr>
                <w:bCs/>
                <w:szCs w:val="18"/>
              </w:rPr>
              <w:t xml:space="preserve">-$1,609,711 </w:t>
            </w:r>
          </w:p>
        </w:tc>
      </w:tr>
      <w:tr w:rsidR="000638D2" w:rsidRPr="00C62447" w14:paraId="089FC27E" w14:textId="77777777" w:rsidTr="000638D2">
        <w:trPr>
          <w:trHeight w:val="20"/>
          <w:tblHeader/>
        </w:trPr>
        <w:tc>
          <w:tcPr>
            <w:tcW w:w="3237" w:type="dxa"/>
            <w:shd w:val="clear" w:color="auto" w:fill="auto"/>
            <w:noWrap/>
            <w:vAlign w:val="bottom"/>
          </w:tcPr>
          <w:p w14:paraId="4F8F12EB" w14:textId="77777777" w:rsidR="000638D2" w:rsidRPr="007225D1" w:rsidRDefault="000638D2" w:rsidP="000638D2">
            <w:pPr>
              <w:rPr>
                <w:rFonts w:ascii="Arial Narrow" w:hAnsi="Arial Narrow"/>
                <w:b/>
                <w:bCs/>
                <w:sz w:val="18"/>
                <w:szCs w:val="18"/>
              </w:rPr>
            </w:pPr>
            <w:r w:rsidRPr="007225D1">
              <w:rPr>
                <w:rFonts w:ascii="Arial Narrow" w:hAnsi="Arial Narrow"/>
                <w:b/>
                <w:bCs/>
                <w:sz w:val="18"/>
                <w:szCs w:val="18"/>
              </w:rPr>
              <w:t>Total cost of Hepatitis B + Hepatitis C</w:t>
            </w:r>
          </w:p>
        </w:tc>
        <w:tc>
          <w:tcPr>
            <w:tcW w:w="1276" w:type="dxa"/>
            <w:shd w:val="clear" w:color="auto" w:fill="auto"/>
            <w:noWrap/>
            <w:vAlign w:val="bottom"/>
          </w:tcPr>
          <w:p w14:paraId="3ED5979D" w14:textId="77777777" w:rsidR="000638D2" w:rsidRPr="007225D1" w:rsidRDefault="000638D2" w:rsidP="000638D2">
            <w:pPr>
              <w:pStyle w:val="TableText"/>
              <w:spacing w:before="0" w:after="0"/>
              <w:jc w:val="right"/>
              <w:rPr>
                <w:b/>
                <w:bCs/>
                <w:szCs w:val="18"/>
              </w:rPr>
            </w:pPr>
            <w:r w:rsidRPr="007225D1">
              <w:rPr>
                <w:b/>
                <w:bCs/>
                <w:szCs w:val="18"/>
              </w:rPr>
              <w:t xml:space="preserve">$11,012,487 </w:t>
            </w:r>
          </w:p>
        </w:tc>
        <w:tc>
          <w:tcPr>
            <w:tcW w:w="1134" w:type="dxa"/>
            <w:shd w:val="clear" w:color="auto" w:fill="auto"/>
            <w:noWrap/>
            <w:vAlign w:val="bottom"/>
          </w:tcPr>
          <w:p w14:paraId="23263E80" w14:textId="77777777" w:rsidR="000638D2" w:rsidRPr="007225D1" w:rsidRDefault="000638D2" w:rsidP="000638D2">
            <w:pPr>
              <w:pStyle w:val="TableText"/>
              <w:spacing w:before="0" w:after="0"/>
              <w:jc w:val="right"/>
              <w:rPr>
                <w:b/>
                <w:bCs/>
                <w:szCs w:val="18"/>
              </w:rPr>
            </w:pPr>
            <w:r w:rsidRPr="007225D1">
              <w:rPr>
                <w:b/>
                <w:bCs/>
                <w:szCs w:val="18"/>
              </w:rPr>
              <w:t xml:space="preserve">$11,188,582 </w:t>
            </w:r>
          </w:p>
        </w:tc>
        <w:tc>
          <w:tcPr>
            <w:tcW w:w="1134" w:type="dxa"/>
            <w:shd w:val="clear" w:color="auto" w:fill="auto"/>
            <w:noWrap/>
            <w:vAlign w:val="bottom"/>
          </w:tcPr>
          <w:p w14:paraId="0D386D86" w14:textId="77777777" w:rsidR="000638D2" w:rsidRPr="007225D1" w:rsidRDefault="000638D2" w:rsidP="000638D2">
            <w:pPr>
              <w:pStyle w:val="TableText"/>
              <w:spacing w:before="0" w:after="0"/>
              <w:jc w:val="right"/>
              <w:rPr>
                <w:b/>
                <w:bCs/>
                <w:szCs w:val="18"/>
              </w:rPr>
            </w:pPr>
            <w:r w:rsidRPr="007225D1">
              <w:rPr>
                <w:b/>
                <w:bCs/>
                <w:szCs w:val="18"/>
              </w:rPr>
              <w:t xml:space="preserve">$11,429,009 </w:t>
            </w:r>
          </w:p>
        </w:tc>
        <w:tc>
          <w:tcPr>
            <w:tcW w:w="1134" w:type="dxa"/>
            <w:shd w:val="clear" w:color="auto" w:fill="auto"/>
            <w:noWrap/>
            <w:vAlign w:val="bottom"/>
          </w:tcPr>
          <w:p w14:paraId="48CE69EC" w14:textId="77777777" w:rsidR="000638D2" w:rsidRPr="007225D1" w:rsidRDefault="000638D2" w:rsidP="000638D2">
            <w:pPr>
              <w:pStyle w:val="TableText"/>
              <w:spacing w:before="0" w:after="0"/>
              <w:jc w:val="right"/>
              <w:rPr>
                <w:b/>
                <w:bCs/>
                <w:szCs w:val="18"/>
              </w:rPr>
            </w:pPr>
            <w:r w:rsidRPr="007225D1">
              <w:rPr>
                <w:b/>
                <w:bCs/>
                <w:szCs w:val="18"/>
              </w:rPr>
              <w:t xml:space="preserve">$11,605,104 </w:t>
            </w:r>
          </w:p>
        </w:tc>
        <w:tc>
          <w:tcPr>
            <w:tcW w:w="1275" w:type="dxa"/>
            <w:shd w:val="clear" w:color="auto" w:fill="auto"/>
            <w:noWrap/>
            <w:vAlign w:val="bottom"/>
          </w:tcPr>
          <w:p w14:paraId="31C25E13" w14:textId="77777777" w:rsidR="000638D2" w:rsidRPr="007225D1" w:rsidRDefault="000638D2" w:rsidP="000638D2">
            <w:pPr>
              <w:pStyle w:val="TableText"/>
              <w:spacing w:before="0" w:after="0"/>
              <w:jc w:val="right"/>
              <w:rPr>
                <w:b/>
                <w:bCs/>
                <w:szCs w:val="18"/>
              </w:rPr>
            </w:pPr>
            <w:r w:rsidRPr="007225D1">
              <w:rPr>
                <w:b/>
                <w:bCs/>
                <w:szCs w:val="18"/>
              </w:rPr>
              <w:t xml:space="preserve">$11,769,342 </w:t>
            </w:r>
          </w:p>
        </w:tc>
      </w:tr>
    </w:tbl>
    <w:p w14:paraId="73F5091A" w14:textId="77777777" w:rsidR="000638D2" w:rsidRPr="00C62447" w:rsidRDefault="000638D2" w:rsidP="000638D2">
      <w:pPr>
        <w:rPr>
          <w:rFonts w:ascii="Garamond" w:hAnsi="Garamond"/>
          <w:sz w:val="16"/>
          <w:szCs w:val="16"/>
        </w:rPr>
      </w:pPr>
      <w:r w:rsidRPr="00C62447">
        <w:rPr>
          <w:rFonts w:ascii="Arial Narrow" w:hAnsi="Arial Narrow"/>
          <w:sz w:val="16"/>
          <w:szCs w:val="16"/>
        </w:rPr>
        <w:t>MBS = Medicare Benefits Schedule; PBS = Pharmaceutical Benefits Scheme</w:t>
      </w:r>
    </w:p>
    <w:bookmarkEnd w:id="4"/>
    <w:p w14:paraId="1A6B2687" w14:textId="77777777" w:rsidR="000638D2" w:rsidRDefault="000638D2" w:rsidP="000638D2">
      <w:pPr>
        <w:jc w:val="both"/>
        <w:rPr>
          <w:rFonts w:ascii="Garamond" w:hAnsi="Garamond"/>
        </w:rPr>
      </w:pPr>
    </w:p>
    <w:p w14:paraId="1BB1DB18" w14:textId="5331D4C3" w:rsidR="000638D2" w:rsidRPr="006C09E4" w:rsidRDefault="000638D2" w:rsidP="000638D2">
      <w:r w:rsidRPr="006C09E4">
        <w:lastRenderedPageBreak/>
        <w:t xml:space="preserve">The estimated increase to the PBS </w:t>
      </w:r>
      <w:r w:rsidR="009C5703">
        <w:t>wa</w:t>
      </w:r>
      <w:r w:rsidRPr="006C09E4">
        <w:t xml:space="preserve">s $10,969,345 in the first year of listing. Total costs to the health system over the next five years </w:t>
      </w:r>
      <w:r w:rsidR="009C5703">
        <w:t>we</w:t>
      </w:r>
      <w:r w:rsidRPr="006C09E4">
        <w:t>re estimated at $57 mil</w:t>
      </w:r>
      <w:r w:rsidR="00ED23D9">
        <w:t>lion.</w:t>
      </w:r>
    </w:p>
    <w:p w14:paraId="112ED73A" w14:textId="77777777" w:rsidR="000638D2" w:rsidRPr="006C09E4" w:rsidRDefault="000638D2" w:rsidP="000638D2"/>
    <w:p w14:paraId="4D0385B1" w14:textId="42C6C806" w:rsidR="000638D2" w:rsidRPr="006C09E4" w:rsidRDefault="000638D2" w:rsidP="000638D2">
      <w:r w:rsidRPr="006C09E4">
        <w:t xml:space="preserve">Providing 15% of the scans in a primary care setting would reduce total MBS costs from $3.055 million to $3.049 million. This decrease </w:t>
      </w:r>
      <w:r w:rsidR="009C5703">
        <w:t>would be</w:t>
      </w:r>
      <w:r w:rsidRPr="006C09E4">
        <w:t xml:space="preserve"> due to a slight reduction in consultation costs charged to the MBS. This would also reduce the out-of-pocket cost to patients and total state hospital cost savings of $14.238 millio</w:t>
      </w:r>
      <w:r w:rsidR="009C5703">
        <w:t>n in the first year of listing.</w:t>
      </w:r>
    </w:p>
    <w:p w14:paraId="1B2CA4EE" w14:textId="77777777" w:rsidR="00BC1364" w:rsidRPr="009C5703" w:rsidRDefault="00BC1364" w:rsidP="00D340DE">
      <w:pPr>
        <w:rPr>
          <w:szCs w:val="24"/>
        </w:rPr>
      </w:pPr>
    </w:p>
    <w:p w14:paraId="1ABFF8D5" w14:textId="77777777" w:rsidR="006A0D97" w:rsidRDefault="006A0D97" w:rsidP="006A0D97">
      <w:pPr>
        <w:pStyle w:val="Heading1"/>
        <w:numPr>
          <w:ilvl w:val="0"/>
          <w:numId w:val="23"/>
        </w:numPr>
        <w:ind w:hanging="720"/>
      </w:pPr>
      <w:r w:rsidRPr="006A0D97">
        <w:t>Key issues from ESC for MSAC</w:t>
      </w:r>
    </w:p>
    <w:p w14:paraId="2B5CDC35" w14:textId="77777777" w:rsidR="002F3E64" w:rsidRPr="009C5703" w:rsidRDefault="002F3E64" w:rsidP="009C5703">
      <w:pPr>
        <w:rPr>
          <w:szCs w:val="24"/>
        </w:rPr>
      </w:pPr>
    </w:p>
    <w:p w14:paraId="51B9C9F6" w14:textId="77777777" w:rsidR="005B2878" w:rsidRDefault="005B2878" w:rsidP="005B2878">
      <w:pPr>
        <w:pStyle w:val="ListParagraph"/>
        <w:numPr>
          <w:ilvl w:val="0"/>
          <w:numId w:val="28"/>
        </w:numPr>
        <w:ind w:left="426" w:hanging="426"/>
        <w:rPr>
          <w:szCs w:val="24"/>
        </w:rPr>
      </w:pPr>
      <w:r>
        <w:rPr>
          <w:szCs w:val="24"/>
        </w:rPr>
        <w:t xml:space="preserve">Transient </w:t>
      </w:r>
      <w:proofErr w:type="spellStart"/>
      <w:r>
        <w:rPr>
          <w:szCs w:val="24"/>
        </w:rPr>
        <w:t>elastography</w:t>
      </w:r>
      <w:proofErr w:type="spellEnd"/>
      <w:r>
        <w:rPr>
          <w:szCs w:val="24"/>
        </w:rPr>
        <w:t xml:space="preserve"> appears to be safe and accurate in the detection of liver fibrosis;</w:t>
      </w:r>
    </w:p>
    <w:p w14:paraId="5F85C040" w14:textId="77777777" w:rsidR="005B2878" w:rsidRDefault="005B2878" w:rsidP="005B2878">
      <w:pPr>
        <w:pStyle w:val="ListParagraph"/>
        <w:ind w:left="426" w:hanging="426"/>
        <w:rPr>
          <w:szCs w:val="24"/>
        </w:rPr>
      </w:pPr>
    </w:p>
    <w:p w14:paraId="292D47F2" w14:textId="2BFD6D85" w:rsidR="005B2878" w:rsidRDefault="005B2878" w:rsidP="005B2878">
      <w:pPr>
        <w:pStyle w:val="ListParagraph"/>
        <w:numPr>
          <w:ilvl w:val="0"/>
          <w:numId w:val="28"/>
        </w:numPr>
        <w:ind w:left="426" w:hanging="426"/>
        <w:rPr>
          <w:szCs w:val="24"/>
        </w:rPr>
      </w:pPr>
      <w:r>
        <w:rPr>
          <w:szCs w:val="24"/>
        </w:rPr>
        <w:t>It</w:t>
      </w:r>
      <w:r w:rsidRPr="00CD04E6">
        <w:rPr>
          <w:szCs w:val="24"/>
        </w:rPr>
        <w:t xml:space="preserve"> </w:t>
      </w:r>
      <w:r>
        <w:rPr>
          <w:szCs w:val="24"/>
        </w:rPr>
        <w:t xml:space="preserve">is unlikely to fully substitute </w:t>
      </w:r>
      <w:r w:rsidRPr="00CD04E6">
        <w:rPr>
          <w:szCs w:val="24"/>
        </w:rPr>
        <w:t>conventional ultrasound</w:t>
      </w:r>
      <w:r>
        <w:rPr>
          <w:szCs w:val="24"/>
        </w:rPr>
        <w:t xml:space="preserve"> due to yielding limited information;</w:t>
      </w:r>
    </w:p>
    <w:p w14:paraId="492DC995" w14:textId="77777777" w:rsidR="005B2878" w:rsidRPr="00CD04E6" w:rsidRDefault="005B2878" w:rsidP="005B2878">
      <w:pPr>
        <w:pStyle w:val="ListParagraph"/>
        <w:ind w:left="426" w:hanging="426"/>
        <w:rPr>
          <w:szCs w:val="24"/>
        </w:rPr>
      </w:pPr>
    </w:p>
    <w:p w14:paraId="7C9B3B95" w14:textId="77777777" w:rsidR="005B2878" w:rsidRDefault="005B2878" w:rsidP="005B2878">
      <w:pPr>
        <w:pStyle w:val="ListParagraph"/>
        <w:numPr>
          <w:ilvl w:val="0"/>
          <w:numId w:val="28"/>
        </w:numPr>
        <w:ind w:left="426" w:hanging="426"/>
        <w:rPr>
          <w:szCs w:val="24"/>
        </w:rPr>
      </w:pPr>
      <w:r>
        <w:rPr>
          <w:szCs w:val="24"/>
        </w:rPr>
        <w:t>Liver biopsy is not a suitable comparator, as this is an undesirable initial method of testing;</w:t>
      </w:r>
    </w:p>
    <w:p w14:paraId="6A49B6E4" w14:textId="77777777" w:rsidR="005B2878" w:rsidRPr="00F629AE" w:rsidRDefault="005B2878" w:rsidP="005B2878">
      <w:pPr>
        <w:ind w:left="426" w:hanging="426"/>
        <w:rPr>
          <w:szCs w:val="24"/>
        </w:rPr>
      </w:pPr>
    </w:p>
    <w:p w14:paraId="28FA3B18" w14:textId="4647F96F" w:rsidR="005B2878" w:rsidRDefault="005B2878" w:rsidP="005B2878">
      <w:pPr>
        <w:pStyle w:val="ListParagraph"/>
        <w:numPr>
          <w:ilvl w:val="0"/>
          <w:numId w:val="28"/>
        </w:numPr>
        <w:ind w:left="426" w:hanging="426"/>
      </w:pPr>
      <w:r>
        <w:t>The clinical utility claims are unknown</w:t>
      </w:r>
      <w:r w:rsidR="00FC111C">
        <w:t xml:space="preserve">. There is no demonstration of </w:t>
      </w:r>
      <w:r w:rsidR="009C5703">
        <w:t xml:space="preserve">transient </w:t>
      </w:r>
      <w:proofErr w:type="spellStart"/>
      <w:r w:rsidR="009C5703">
        <w:t>elastography</w:t>
      </w:r>
      <w:proofErr w:type="spellEnd"/>
      <w:r>
        <w:t xml:space="preserve"> resulting in changes to clinical management of the patient;</w:t>
      </w:r>
    </w:p>
    <w:p w14:paraId="22B9E1A3" w14:textId="77777777" w:rsidR="005B2878" w:rsidRDefault="005B2878" w:rsidP="005B2878">
      <w:pPr>
        <w:ind w:left="426" w:hanging="426"/>
      </w:pPr>
    </w:p>
    <w:p w14:paraId="5011DC7E" w14:textId="47BF00FC" w:rsidR="005B2878" w:rsidRPr="00F629AE" w:rsidRDefault="005B2878" w:rsidP="005B2878">
      <w:pPr>
        <w:pStyle w:val="ListParagraph"/>
        <w:numPr>
          <w:ilvl w:val="0"/>
          <w:numId w:val="28"/>
        </w:numPr>
        <w:ind w:left="426" w:hanging="426"/>
        <w:rPr>
          <w:szCs w:val="24"/>
        </w:rPr>
      </w:pPr>
      <w:r>
        <w:rPr>
          <w:szCs w:val="24"/>
        </w:rPr>
        <w:t xml:space="preserve">Given the </w:t>
      </w:r>
      <w:r w:rsidRPr="007A55A8">
        <w:rPr>
          <w:szCs w:val="24"/>
        </w:rPr>
        <w:t xml:space="preserve">high </w:t>
      </w:r>
      <w:r>
        <w:rPr>
          <w:szCs w:val="24"/>
        </w:rPr>
        <w:t>incremental cost-effectiveness ratio</w:t>
      </w:r>
      <w:r w:rsidRPr="007A55A8">
        <w:rPr>
          <w:szCs w:val="24"/>
        </w:rPr>
        <w:t xml:space="preserve"> for Hep</w:t>
      </w:r>
      <w:r>
        <w:rPr>
          <w:szCs w:val="24"/>
        </w:rPr>
        <w:t>atitis</w:t>
      </w:r>
      <w:r w:rsidRPr="007A55A8">
        <w:rPr>
          <w:szCs w:val="24"/>
        </w:rPr>
        <w:t xml:space="preserve"> C</w:t>
      </w:r>
      <w:r w:rsidR="009C5703">
        <w:rPr>
          <w:szCs w:val="24"/>
        </w:rPr>
        <w:t>:</w:t>
      </w:r>
      <w:r>
        <w:rPr>
          <w:szCs w:val="24"/>
        </w:rPr>
        <w:t xml:space="preserve"> MSAC may wish to limit the</w:t>
      </w:r>
      <w:r w:rsidRPr="007A55A8">
        <w:rPr>
          <w:szCs w:val="24"/>
        </w:rPr>
        <w:t xml:space="preserve"> </w:t>
      </w:r>
      <w:r w:rsidR="009C5703">
        <w:rPr>
          <w:szCs w:val="24"/>
        </w:rPr>
        <w:t xml:space="preserve">proposed MBS </w:t>
      </w:r>
      <w:r w:rsidRPr="007A55A8">
        <w:rPr>
          <w:szCs w:val="24"/>
        </w:rPr>
        <w:t xml:space="preserve">item to </w:t>
      </w:r>
      <w:r>
        <w:rPr>
          <w:szCs w:val="24"/>
        </w:rPr>
        <w:t xml:space="preserve">patients with </w:t>
      </w:r>
      <w:r w:rsidRPr="007A55A8">
        <w:rPr>
          <w:szCs w:val="24"/>
        </w:rPr>
        <w:t>Hep</w:t>
      </w:r>
      <w:r>
        <w:rPr>
          <w:szCs w:val="24"/>
        </w:rPr>
        <w:t>atitis</w:t>
      </w:r>
      <w:r w:rsidRPr="007A55A8">
        <w:rPr>
          <w:szCs w:val="24"/>
        </w:rPr>
        <w:t xml:space="preserve"> B</w:t>
      </w:r>
      <w:r>
        <w:rPr>
          <w:szCs w:val="24"/>
        </w:rPr>
        <w:t xml:space="preserve"> only; </w:t>
      </w:r>
    </w:p>
    <w:p w14:paraId="5844A30A" w14:textId="77777777" w:rsidR="005B2878" w:rsidRPr="007A55A8" w:rsidRDefault="005B2878" w:rsidP="005B2878">
      <w:pPr>
        <w:pStyle w:val="ListParagraph"/>
        <w:ind w:left="426" w:hanging="426"/>
        <w:rPr>
          <w:szCs w:val="24"/>
        </w:rPr>
      </w:pPr>
    </w:p>
    <w:p w14:paraId="5C2FAB98" w14:textId="5448D5A9" w:rsidR="005B2878" w:rsidRPr="00C0501A" w:rsidRDefault="005B2878" w:rsidP="005B2878">
      <w:pPr>
        <w:pStyle w:val="ListParagraph"/>
        <w:numPr>
          <w:ilvl w:val="0"/>
          <w:numId w:val="28"/>
        </w:numPr>
        <w:ind w:left="426" w:hanging="426"/>
      </w:pPr>
      <w:r w:rsidRPr="00B90C05">
        <w:rPr>
          <w:szCs w:val="24"/>
        </w:rPr>
        <w:t xml:space="preserve">There are cost implications to other health systems due to </w:t>
      </w:r>
      <w:r>
        <w:rPr>
          <w:szCs w:val="24"/>
        </w:rPr>
        <w:t>a likely</w:t>
      </w:r>
      <w:r w:rsidRPr="00B90C05">
        <w:rPr>
          <w:szCs w:val="24"/>
        </w:rPr>
        <w:t xml:space="preserve"> increase in the number of patients </w:t>
      </w:r>
      <w:r>
        <w:rPr>
          <w:szCs w:val="24"/>
        </w:rPr>
        <w:t xml:space="preserve">needing to be </w:t>
      </w:r>
      <w:r w:rsidRPr="0073082F">
        <w:t>screened for hepatocellular carcinoma</w:t>
      </w:r>
      <w:r>
        <w:t>,</w:t>
      </w:r>
      <w:r w:rsidRPr="0073082F">
        <w:t xml:space="preserve"> </w:t>
      </w:r>
      <w:r>
        <w:t>plus</w:t>
      </w:r>
      <w:r w:rsidRPr="0073082F">
        <w:t xml:space="preserve"> treatment incurred by the </w:t>
      </w:r>
      <w:r w:rsidR="00507D64">
        <w:t>PBS</w:t>
      </w:r>
      <w:r w:rsidR="00C0501A">
        <w:rPr>
          <w:szCs w:val="24"/>
        </w:rPr>
        <w:t>; and</w:t>
      </w:r>
    </w:p>
    <w:p w14:paraId="4EA711EA" w14:textId="77777777" w:rsidR="00C0501A" w:rsidRDefault="00C0501A" w:rsidP="009C5703"/>
    <w:p w14:paraId="28DE37E9" w14:textId="12887720" w:rsidR="00C0501A" w:rsidRPr="00C9395D" w:rsidRDefault="000812D6" w:rsidP="00FC111C">
      <w:pPr>
        <w:pStyle w:val="ListParagraph"/>
        <w:numPr>
          <w:ilvl w:val="0"/>
          <w:numId w:val="28"/>
        </w:numPr>
        <w:ind w:left="426" w:hanging="426"/>
      </w:pPr>
      <w:r>
        <w:t>T</w:t>
      </w:r>
      <w:r w:rsidR="00C0501A" w:rsidRPr="00C9395D">
        <w:t>raining for use of the device is provided by the sponsor</w:t>
      </w:r>
      <w:r w:rsidR="009C5703">
        <w:t>:</w:t>
      </w:r>
      <w:r w:rsidR="00C0501A" w:rsidRPr="00C9395D">
        <w:t xml:space="preserve"> </w:t>
      </w:r>
      <w:r>
        <w:t xml:space="preserve">ESC </w:t>
      </w:r>
      <w:r w:rsidR="00C0501A" w:rsidRPr="00C9395D">
        <w:t>questioned</w:t>
      </w:r>
      <w:r>
        <w:t xml:space="preserve"> </w:t>
      </w:r>
      <w:r w:rsidR="00C0501A" w:rsidRPr="00C9395D">
        <w:t>whether it is plausible for the sponsor to continue providing free training to providers if uptake is high following listing on the MBS.</w:t>
      </w:r>
    </w:p>
    <w:p w14:paraId="6BAF0D4C" w14:textId="77777777" w:rsidR="006A0D97" w:rsidRPr="006A0D97" w:rsidRDefault="006A0D97" w:rsidP="006A0D97"/>
    <w:p w14:paraId="359DFF5E" w14:textId="77777777" w:rsidR="00BC1364" w:rsidRDefault="00BC1364" w:rsidP="007B32D1">
      <w:pPr>
        <w:pStyle w:val="Heading1"/>
        <w:numPr>
          <w:ilvl w:val="0"/>
          <w:numId w:val="23"/>
        </w:numPr>
        <w:ind w:hanging="720"/>
      </w:pPr>
      <w:r w:rsidRPr="008D5885">
        <w:t>Other significant factors</w:t>
      </w:r>
    </w:p>
    <w:p w14:paraId="095A7C37" w14:textId="77777777" w:rsidR="00D90A38" w:rsidRDefault="00D90A38" w:rsidP="00DD2858">
      <w:pPr>
        <w:rPr>
          <w:szCs w:val="24"/>
        </w:rPr>
      </w:pPr>
    </w:p>
    <w:p w14:paraId="6F5BECE5" w14:textId="77777777" w:rsidR="00BC1364" w:rsidRPr="005B2878" w:rsidRDefault="005B2878" w:rsidP="00DD2858">
      <w:pPr>
        <w:rPr>
          <w:szCs w:val="24"/>
        </w:rPr>
      </w:pPr>
      <w:proofErr w:type="gramStart"/>
      <w:r w:rsidRPr="005B2878">
        <w:rPr>
          <w:szCs w:val="24"/>
        </w:rPr>
        <w:t>Nil.</w:t>
      </w:r>
      <w:proofErr w:type="gramEnd"/>
    </w:p>
    <w:p w14:paraId="349BFFC2" w14:textId="77777777" w:rsidR="00BC1364" w:rsidRPr="00707064" w:rsidRDefault="00BC1364" w:rsidP="00DD2858">
      <w:pPr>
        <w:tabs>
          <w:tab w:val="left" w:pos="720"/>
        </w:tabs>
        <w:ind w:left="709" w:hanging="709"/>
        <w:rPr>
          <w:szCs w:val="24"/>
        </w:rPr>
      </w:pPr>
    </w:p>
    <w:p w14:paraId="5FAF84F9" w14:textId="77777777" w:rsidR="00BC1364" w:rsidRDefault="00BC1364" w:rsidP="007B32D1">
      <w:pPr>
        <w:pStyle w:val="Heading1"/>
        <w:numPr>
          <w:ilvl w:val="0"/>
          <w:numId w:val="23"/>
        </w:numPr>
        <w:ind w:hanging="720"/>
      </w:pPr>
      <w:r w:rsidRPr="008D5885">
        <w:t xml:space="preserve">Applicant’s comments on MSAC’s </w:t>
      </w:r>
      <w:r w:rsidR="00DA56AA">
        <w:t>Public Summary Document</w:t>
      </w:r>
    </w:p>
    <w:p w14:paraId="6B8D39F1" w14:textId="77777777" w:rsidR="00BC1364" w:rsidRPr="00B06DB4" w:rsidRDefault="00BC1364" w:rsidP="00230D6B">
      <w:pPr>
        <w:tabs>
          <w:tab w:val="left" w:pos="720"/>
        </w:tabs>
        <w:ind w:left="709" w:hanging="709"/>
        <w:rPr>
          <w:szCs w:val="24"/>
        </w:rPr>
      </w:pPr>
    </w:p>
    <w:p w14:paraId="01321448" w14:textId="0BEA3BBD" w:rsidR="00BC1364" w:rsidRPr="00C07876" w:rsidRDefault="00B06DB4" w:rsidP="00230D6B">
      <w:pPr>
        <w:rPr>
          <w:szCs w:val="24"/>
        </w:rPr>
      </w:pPr>
      <w:r w:rsidRPr="00C07876">
        <w:rPr>
          <w:szCs w:val="24"/>
        </w:rPr>
        <w:t xml:space="preserve">The PSD references the 2016 consensus statement issued by the Hepatitis C Virus Consensus Statement Working Group. The statement was prepared by an expert panel representing the majority of medical organizations in Australia involved the diagnosis and treatment of Hepatitis. The consensus statement on page 11 states “Transient </w:t>
      </w:r>
      <w:proofErr w:type="spellStart"/>
      <w:r w:rsidRPr="00C07876">
        <w:rPr>
          <w:szCs w:val="24"/>
        </w:rPr>
        <w:t>elastography</w:t>
      </w:r>
      <w:proofErr w:type="spellEnd"/>
      <w:r w:rsidRPr="00C07876">
        <w:rPr>
          <w:szCs w:val="24"/>
        </w:rPr>
        <w:t xml:space="preserve">, or </w:t>
      </w:r>
      <w:proofErr w:type="spellStart"/>
      <w:r w:rsidRPr="00C07876">
        <w:rPr>
          <w:szCs w:val="24"/>
        </w:rPr>
        <w:t>FibroScan</w:t>
      </w:r>
      <w:proofErr w:type="spellEnd"/>
      <w:r w:rsidRPr="00C07876">
        <w:rPr>
          <w:szCs w:val="24"/>
        </w:rPr>
        <w:t xml:space="preserve"> (</w:t>
      </w:r>
      <w:proofErr w:type="spellStart"/>
      <w:r w:rsidRPr="00C07876">
        <w:rPr>
          <w:szCs w:val="24"/>
        </w:rPr>
        <w:t>EchoSens</w:t>
      </w:r>
      <w:proofErr w:type="spellEnd"/>
      <w:r w:rsidRPr="00C07876">
        <w:rPr>
          <w:szCs w:val="24"/>
        </w:rPr>
        <w:t xml:space="preserve">, Paris), measures liver stiffness and is the most common method used for diagnosing cirrhosis. It has been extensively evaluated and validated in people with chronic HCV infection and outperforms serum biomarkers for detecting cirrhosis. </w:t>
      </w:r>
      <w:proofErr w:type="spellStart"/>
      <w:r w:rsidRPr="00C07876">
        <w:rPr>
          <w:szCs w:val="24"/>
        </w:rPr>
        <w:t>FibroScan</w:t>
      </w:r>
      <w:proofErr w:type="spellEnd"/>
      <w:r w:rsidRPr="00C07876">
        <w:rPr>
          <w:szCs w:val="24"/>
        </w:rPr>
        <w:t xml:space="preserve"> is available in most metropolitan centres.” </w:t>
      </w:r>
    </w:p>
    <w:p w14:paraId="3402743D" w14:textId="77777777" w:rsidR="00B06DB4" w:rsidRPr="009C5703" w:rsidRDefault="00B06DB4" w:rsidP="00230D6B">
      <w:pPr>
        <w:rPr>
          <w:szCs w:val="24"/>
        </w:rPr>
      </w:pPr>
    </w:p>
    <w:p w14:paraId="7940ADC6" w14:textId="77777777" w:rsidR="00BC1364" w:rsidRDefault="00271F18" w:rsidP="007B32D1">
      <w:pPr>
        <w:pStyle w:val="Heading1"/>
        <w:numPr>
          <w:ilvl w:val="0"/>
          <w:numId w:val="23"/>
        </w:numPr>
        <w:ind w:hanging="720"/>
      </w:pPr>
      <w:r>
        <w:t>Further information on MSAC</w:t>
      </w:r>
    </w:p>
    <w:p w14:paraId="415777CC" w14:textId="77777777" w:rsidR="00BC1364" w:rsidRPr="009C5703" w:rsidRDefault="00BC1364" w:rsidP="00DD2858">
      <w:pPr>
        <w:tabs>
          <w:tab w:val="left" w:pos="720"/>
        </w:tabs>
        <w:ind w:left="709" w:hanging="709"/>
        <w:rPr>
          <w:szCs w:val="24"/>
        </w:rPr>
      </w:pPr>
    </w:p>
    <w:p w14:paraId="539B9DA8" w14:textId="175C4984"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3" w:tooltip="This is a link to the MSAC website" w:history="1">
        <w:r w:rsidR="00BC1364" w:rsidRPr="00DD2858">
          <w:rPr>
            <w:rStyle w:val="Hyperlink"/>
            <w:color w:val="auto"/>
            <w:szCs w:val="24"/>
          </w:rPr>
          <w:t>www.msac.gov.au</w:t>
        </w:r>
      </w:hyperlink>
      <w:r w:rsidR="00BC1364" w:rsidRPr="00DD2858">
        <w:rPr>
          <w:szCs w:val="24"/>
        </w:rPr>
        <w:t>.</w:t>
      </w:r>
    </w:p>
    <w:sectPr w:rsidR="00BC1364" w:rsidRPr="00DD2858" w:rsidSect="00271F18">
      <w:footerReference w:type="default" r:id="rId14"/>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7258E" w14:textId="77777777" w:rsidR="008E17CD" w:rsidRDefault="008E17CD" w:rsidP="00065623">
      <w:r>
        <w:separator/>
      </w:r>
    </w:p>
  </w:endnote>
  <w:endnote w:type="continuationSeparator" w:id="0">
    <w:p w14:paraId="00CCA39B" w14:textId="77777777" w:rsidR="008E17CD" w:rsidRDefault="008E17C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7E820BD9" w14:textId="77777777" w:rsidR="008C0CD5" w:rsidRDefault="008C0CD5">
        <w:pPr>
          <w:pStyle w:val="Footer"/>
          <w:jc w:val="right"/>
        </w:pPr>
        <w:r>
          <w:fldChar w:fldCharType="begin"/>
        </w:r>
        <w:r>
          <w:instrText xml:space="preserve"> PAGE   \* MERGEFORMAT </w:instrText>
        </w:r>
        <w:r>
          <w:fldChar w:fldCharType="separate"/>
        </w:r>
        <w:r w:rsidR="00AE418E">
          <w:rPr>
            <w:noProof/>
          </w:rPr>
          <w:t>1</w:t>
        </w:r>
        <w:r>
          <w:rPr>
            <w:noProof/>
          </w:rPr>
          <w:fldChar w:fldCharType="end"/>
        </w:r>
      </w:p>
    </w:sdtContent>
  </w:sdt>
  <w:p w14:paraId="5E0D7905" w14:textId="77777777" w:rsidR="008C0CD5" w:rsidRDefault="008C0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3ED93" w14:textId="77777777" w:rsidR="008E17CD" w:rsidRDefault="008E17CD" w:rsidP="00065623">
      <w:r>
        <w:separator/>
      </w:r>
    </w:p>
  </w:footnote>
  <w:footnote w:type="continuationSeparator" w:id="0">
    <w:p w14:paraId="7671B424" w14:textId="77777777" w:rsidR="008E17CD" w:rsidRDefault="008E17CD"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635B7F"/>
    <w:multiLevelType w:val="hybridMultilevel"/>
    <w:tmpl w:val="A7A26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E272B0"/>
    <w:multiLevelType w:val="hybridMultilevel"/>
    <w:tmpl w:val="39E2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7D4B723F"/>
    <w:multiLevelType w:val="hybridMultilevel"/>
    <w:tmpl w:val="63A64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
  </w:num>
  <w:num w:numId="4">
    <w:abstractNumId w:val="17"/>
  </w:num>
  <w:num w:numId="5">
    <w:abstractNumId w:val="11"/>
  </w:num>
  <w:num w:numId="6">
    <w:abstractNumId w:val="16"/>
  </w:num>
  <w:num w:numId="7">
    <w:abstractNumId w:val="20"/>
  </w:num>
  <w:num w:numId="8">
    <w:abstractNumId w:val="12"/>
  </w:num>
  <w:num w:numId="9">
    <w:abstractNumId w:val="27"/>
  </w:num>
  <w:num w:numId="10">
    <w:abstractNumId w:val="0"/>
  </w:num>
  <w:num w:numId="11">
    <w:abstractNumId w:val="19"/>
  </w:num>
  <w:num w:numId="12">
    <w:abstractNumId w:val="21"/>
  </w:num>
  <w:num w:numId="13">
    <w:abstractNumId w:val="4"/>
  </w:num>
  <w:num w:numId="14">
    <w:abstractNumId w:val="25"/>
  </w:num>
  <w:num w:numId="15">
    <w:abstractNumId w:val="18"/>
  </w:num>
  <w:num w:numId="16">
    <w:abstractNumId w:val="22"/>
  </w:num>
  <w:num w:numId="17">
    <w:abstractNumId w:val="13"/>
  </w:num>
  <w:num w:numId="18">
    <w:abstractNumId w:val="14"/>
  </w:num>
  <w:num w:numId="19">
    <w:abstractNumId w:val="24"/>
  </w:num>
  <w:num w:numId="20">
    <w:abstractNumId w:val="23"/>
  </w:num>
  <w:num w:numId="21">
    <w:abstractNumId w:val="3"/>
  </w:num>
  <w:num w:numId="22">
    <w:abstractNumId w:val="10"/>
  </w:num>
  <w:num w:numId="23">
    <w:abstractNumId w:val="2"/>
  </w:num>
  <w:num w:numId="24">
    <w:abstractNumId w:val="9"/>
  </w:num>
  <w:num w:numId="25">
    <w:abstractNumId w:val="5"/>
  </w:num>
  <w:num w:numId="26">
    <w:abstractNumId w:val="7"/>
  </w:num>
  <w:num w:numId="27">
    <w:abstractNumId w:val="26"/>
  </w:num>
  <w:num w:numId="2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AD" w15:userId="S-1-5-21-620321403-24207062-1845911597-740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D33"/>
    <w:rsid w:val="00011A36"/>
    <w:rsid w:val="00036865"/>
    <w:rsid w:val="00047606"/>
    <w:rsid w:val="000608E8"/>
    <w:rsid w:val="00060CE1"/>
    <w:rsid w:val="000638D2"/>
    <w:rsid w:val="00065623"/>
    <w:rsid w:val="000661A0"/>
    <w:rsid w:val="00071AB5"/>
    <w:rsid w:val="000756B9"/>
    <w:rsid w:val="000812D6"/>
    <w:rsid w:val="0009238F"/>
    <w:rsid w:val="00096B67"/>
    <w:rsid w:val="00096DAF"/>
    <w:rsid w:val="000C2F47"/>
    <w:rsid w:val="000D6C00"/>
    <w:rsid w:val="000E4E04"/>
    <w:rsid w:val="000F14B4"/>
    <w:rsid w:val="000F2679"/>
    <w:rsid w:val="000F75DF"/>
    <w:rsid w:val="001328FA"/>
    <w:rsid w:val="00140DAD"/>
    <w:rsid w:val="00147AAF"/>
    <w:rsid w:val="001552C0"/>
    <w:rsid w:val="001640B1"/>
    <w:rsid w:val="00176420"/>
    <w:rsid w:val="0018435E"/>
    <w:rsid w:val="00196A3B"/>
    <w:rsid w:val="001D2850"/>
    <w:rsid w:val="001E0C2E"/>
    <w:rsid w:val="001E4A20"/>
    <w:rsid w:val="002041A1"/>
    <w:rsid w:val="002054F0"/>
    <w:rsid w:val="00226DD5"/>
    <w:rsid w:val="00230D6B"/>
    <w:rsid w:val="00232068"/>
    <w:rsid w:val="002330F2"/>
    <w:rsid w:val="00243D9E"/>
    <w:rsid w:val="00253B66"/>
    <w:rsid w:val="00261DF1"/>
    <w:rsid w:val="002677A0"/>
    <w:rsid w:val="00271935"/>
    <w:rsid w:val="00271F18"/>
    <w:rsid w:val="00272577"/>
    <w:rsid w:val="00282779"/>
    <w:rsid w:val="0028334D"/>
    <w:rsid w:val="002B42E1"/>
    <w:rsid w:val="002B7FFA"/>
    <w:rsid w:val="002C2BCF"/>
    <w:rsid w:val="002D124B"/>
    <w:rsid w:val="002F279D"/>
    <w:rsid w:val="002F3E64"/>
    <w:rsid w:val="002F43B8"/>
    <w:rsid w:val="00332299"/>
    <w:rsid w:val="00336856"/>
    <w:rsid w:val="0034554D"/>
    <w:rsid w:val="00352224"/>
    <w:rsid w:val="003671E6"/>
    <w:rsid w:val="00384272"/>
    <w:rsid w:val="00386D67"/>
    <w:rsid w:val="003945B8"/>
    <w:rsid w:val="003B5BD1"/>
    <w:rsid w:val="003D7162"/>
    <w:rsid w:val="003D7F29"/>
    <w:rsid w:val="00405A6B"/>
    <w:rsid w:val="00407B1F"/>
    <w:rsid w:val="00414C57"/>
    <w:rsid w:val="0041758C"/>
    <w:rsid w:val="0043526D"/>
    <w:rsid w:val="004539DE"/>
    <w:rsid w:val="0048535F"/>
    <w:rsid w:val="004A2CF1"/>
    <w:rsid w:val="004B77E7"/>
    <w:rsid w:val="004C3035"/>
    <w:rsid w:val="004C307F"/>
    <w:rsid w:val="004E4BA8"/>
    <w:rsid w:val="004F340F"/>
    <w:rsid w:val="004F7B7C"/>
    <w:rsid w:val="00507D64"/>
    <w:rsid w:val="0052243D"/>
    <w:rsid w:val="00532435"/>
    <w:rsid w:val="0054665C"/>
    <w:rsid w:val="00550354"/>
    <w:rsid w:val="00570E5D"/>
    <w:rsid w:val="00571236"/>
    <w:rsid w:val="005867F5"/>
    <w:rsid w:val="005953A1"/>
    <w:rsid w:val="00596D98"/>
    <w:rsid w:val="005A6849"/>
    <w:rsid w:val="005B2878"/>
    <w:rsid w:val="005D0332"/>
    <w:rsid w:val="005D0D8C"/>
    <w:rsid w:val="005D2045"/>
    <w:rsid w:val="005F6457"/>
    <w:rsid w:val="006776AE"/>
    <w:rsid w:val="006842BE"/>
    <w:rsid w:val="006A0D97"/>
    <w:rsid w:val="006A5253"/>
    <w:rsid w:val="006B1F86"/>
    <w:rsid w:val="006C0A91"/>
    <w:rsid w:val="006E49DB"/>
    <w:rsid w:val="006F36D7"/>
    <w:rsid w:val="007054BB"/>
    <w:rsid w:val="00707064"/>
    <w:rsid w:val="00730683"/>
    <w:rsid w:val="00734980"/>
    <w:rsid w:val="00750432"/>
    <w:rsid w:val="0075261F"/>
    <w:rsid w:val="0075468E"/>
    <w:rsid w:val="007665D8"/>
    <w:rsid w:val="00766E36"/>
    <w:rsid w:val="00772C98"/>
    <w:rsid w:val="007765F4"/>
    <w:rsid w:val="00776633"/>
    <w:rsid w:val="00784D53"/>
    <w:rsid w:val="00797797"/>
    <w:rsid w:val="007A12E5"/>
    <w:rsid w:val="007A3B4B"/>
    <w:rsid w:val="007A63C9"/>
    <w:rsid w:val="007B32D1"/>
    <w:rsid w:val="007B7095"/>
    <w:rsid w:val="007D24E1"/>
    <w:rsid w:val="007D712C"/>
    <w:rsid w:val="007E5C57"/>
    <w:rsid w:val="007F4CE9"/>
    <w:rsid w:val="007F4E20"/>
    <w:rsid w:val="00822C7E"/>
    <w:rsid w:val="00825C28"/>
    <w:rsid w:val="00847060"/>
    <w:rsid w:val="00855B22"/>
    <w:rsid w:val="00856A33"/>
    <w:rsid w:val="00892620"/>
    <w:rsid w:val="00896814"/>
    <w:rsid w:val="008C0CD5"/>
    <w:rsid w:val="008C70AC"/>
    <w:rsid w:val="008C7D37"/>
    <w:rsid w:val="008D5885"/>
    <w:rsid w:val="008E17CD"/>
    <w:rsid w:val="00902A21"/>
    <w:rsid w:val="00923FA2"/>
    <w:rsid w:val="0096060D"/>
    <w:rsid w:val="00974A50"/>
    <w:rsid w:val="0097585A"/>
    <w:rsid w:val="009823D1"/>
    <w:rsid w:val="0098336B"/>
    <w:rsid w:val="009924B0"/>
    <w:rsid w:val="009942C9"/>
    <w:rsid w:val="009B35C4"/>
    <w:rsid w:val="009C5703"/>
    <w:rsid w:val="009C630A"/>
    <w:rsid w:val="009D3C36"/>
    <w:rsid w:val="009E0D98"/>
    <w:rsid w:val="00A068A1"/>
    <w:rsid w:val="00A1207D"/>
    <w:rsid w:val="00A12FD8"/>
    <w:rsid w:val="00A17CA0"/>
    <w:rsid w:val="00A346FC"/>
    <w:rsid w:val="00A4290A"/>
    <w:rsid w:val="00A84F93"/>
    <w:rsid w:val="00AB1AC5"/>
    <w:rsid w:val="00AB3BFC"/>
    <w:rsid w:val="00AC077A"/>
    <w:rsid w:val="00AC4F2E"/>
    <w:rsid w:val="00AD0C37"/>
    <w:rsid w:val="00AD385F"/>
    <w:rsid w:val="00AE418E"/>
    <w:rsid w:val="00AE6E2A"/>
    <w:rsid w:val="00B06DB4"/>
    <w:rsid w:val="00B31E9C"/>
    <w:rsid w:val="00B35595"/>
    <w:rsid w:val="00B379E5"/>
    <w:rsid w:val="00B4367D"/>
    <w:rsid w:val="00B51C6D"/>
    <w:rsid w:val="00B815B2"/>
    <w:rsid w:val="00B86D64"/>
    <w:rsid w:val="00B87CC3"/>
    <w:rsid w:val="00BA4AC5"/>
    <w:rsid w:val="00BC1364"/>
    <w:rsid w:val="00BC7DE9"/>
    <w:rsid w:val="00BD38CA"/>
    <w:rsid w:val="00BF479B"/>
    <w:rsid w:val="00C00DCA"/>
    <w:rsid w:val="00C02577"/>
    <w:rsid w:val="00C0501A"/>
    <w:rsid w:val="00C07876"/>
    <w:rsid w:val="00C204FB"/>
    <w:rsid w:val="00C20BEE"/>
    <w:rsid w:val="00C2158D"/>
    <w:rsid w:val="00C57AB1"/>
    <w:rsid w:val="00C6691E"/>
    <w:rsid w:val="00C67DD2"/>
    <w:rsid w:val="00C725CB"/>
    <w:rsid w:val="00C76F5C"/>
    <w:rsid w:val="00C9395D"/>
    <w:rsid w:val="00C96BAD"/>
    <w:rsid w:val="00CA6944"/>
    <w:rsid w:val="00CB0F8E"/>
    <w:rsid w:val="00CB7E7D"/>
    <w:rsid w:val="00CC2911"/>
    <w:rsid w:val="00CF0C6D"/>
    <w:rsid w:val="00CF7307"/>
    <w:rsid w:val="00CF7C68"/>
    <w:rsid w:val="00D124FA"/>
    <w:rsid w:val="00D340DE"/>
    <w:rsid w:val="00D55723"/>
    <w:rsid w:val="00D62FAD"/>
    <w:rsid w:val="00D70450"/>
    <w:rsid w:val="00D83BFD"/>
    <w:rsid w:val="00D90A38"/>
    <w:rsid w:val="00DA0515"/>
    <w:rsid w:val="00DA171E"/>
    <w:rsid w:val="00DA2A7E"/>
    <w:rsid w:val="00DA3B7D"/>
    <w:rsid w:val="00DA56AA"/>
    <w:rsid w:val="00DB5833"/>
    <w:rsid w:val="00DB7C1D"/>
    <w:rsid w:val="00DD2858"/>
    <w:rsid w:val="00DF71C1"/>
    <w:rsid w:val="00E03E33"/>
    <w:rsid w:val="00E3642A"/>
    <w:rsid w:val="00E415C4"/>
    <w:rsid w:val="00E50016"/>
    <w:rsid w:val="00E50EAA"/>
    <w:rsid w:val="00E656D6"/>
    <w:rsid w:val="00E91259"/>
    <w:rsid w:val="00E977EE"/>
    <w:rsid w:val="00EA67A2"/>
    <w:rsid w:val="00EC4F98"/>
    <w:rsid w:val="00ED05E9"/>
    <w:rsid w:val="00ED23D9"/>
    <w:rsid w:val="00EE3423"/>
    <w:rsid w:val="00EE3CD7"/>
    <w:rsid w:val="00EF219E"/>
    <w:rsid w:val="00F12F02"/>
    <w:rsid w:val="00F32E0D"/>
    <w:rsid w:val="00F35134"/>
    <w:rsid w:val="00F41812"/>
    <w:rsid w:val="00F43E88"/>
    <w:rsid w:val="00F73333"/>
    <w:rsid w:val="00F95D8F"/>
    <w:rsid w:val="00F96BAF"/>
    <w:rsid w:val="00FB350A"/>
    <w:rsid w:val="00FC111C"/>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C1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Text">
    <w:name w:val="TableText"/>
    <w:basedOn w:val="Normal"/>
    <w:link w:val="TableTextChar"/>
    <w:qFormat/>
    <w:rsid w:val="0098336B"/>
    <w:pPr>
      <w:keepNext/>
      <w:spacing w:before="40" w:after="40"/>
    </w:pPr>
    <w:rPr>
      <w:rFonts w:ascii="Arial Narrow" w:hAnsi="Arial Narrow"/>
      <w:sz w:val="18"/>
      <w:szCs w:val="24"/>
      <w:lang w:val="en-GB" w:eastAsia="en-GB"/>
    </w:rPr>
  </w:style>
  <w:style w:type="character" w:customStyle="1" w:styleId="TableTextChar">
    <w:name w:val="TableText Char"/>
    <w:link w:val="TableText"/>
    <w:rsid w:val="0098336B"/>
    <w:rPr>
      <w:rFonts w:ascii="Arial Narrow" w:eastAsia="Times New Roman" w:hAnsi="Arial Narrow"/>
      <w:sz w:val="18"/>
      <w:szCs w:val="24"/>
      <w:lang w:val="en-GB" w:eastAsia="en-GB"/>
    </w:rPr>
  </w:style>
  <w:style w:type="table" w:styleId="TableGrid">
    <w:name w:val="Table Grid"/>
    <w:basedOn w:val="TableNormal"/>
    <w:uiPriority w:val="59"/>
    <w:locked/>
    <w:rsid w:val="000638D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
    <w:name w:val="TableName"/>
    <w:basedOn w:val="Normal"/>
    <w:link w:val="TableNameChar"/>
    <w:qFormat/>
    <w:rsid w:val="000638D2"/>
    <w:pPr>
      <w:keepNext/>
      <w:spacing w:before="40" w:after="40"/>
      <w:ind w:left="1440" w:hanging="720"/>
    </w:pPr>
    <w:rPr>
      <w:rFonts w:ascii="Arial Narrow" w:hAnsi="Arial Narrow"/>
      <w:b/>
      <w:sz w:val="20"/>
      <w:szCs w:val="24"/>
      <w:lang w:val="en-GB" w:eastAsia="en-GB"/>
    </w:rPr>
  </w:style>
  <w:style w:type="character" w:customStyle="1" w:styleId="TableNameChar">
    <w:name w:val="TableName Char"/>
    <w:link w:val="TableName"/>
    <w:rsid w:val="000638D2"/>
    <w:rPr>
      <w:rFonts w:ascii="Arial Narrow" w:eastAsia="Times New Roman" w:hAnsi="Arial Narrow"/>
      <w:b/>
      <w:sz w:val="20"/>
      <w:szCs w:val="24"/>
      <w:lang w:val="en-GB" w:eastAsia="en-GB"/>
    </w:rPr>
  </w:style>
  <w:style w:type="paragraph" w:styleId="Title">
    <w:name w:val="Title"/>
    <w:basedOn w:val="Normal"/>
    <w:next w:val="Normal"/>
    <w:link w:val="TitleChar"/>
    <w:qFormat/>
    <w:locked/>
    <w:rsid w:val="006842BE"/>
    <w:pPr>
      <w:jc w:val="center"/>
    </w:pPr>
    <w:rPr>
      <w:rFonts w:ascii="Arial" w:hAnsi="Arial" w:cs="Arial"/>
      <w:b/>
      <w:bCs/>
      <w:color w:val="000080"/>
      <w:sz w:val="36"/>
      <w:szCs w:val="36"/>
    </w:rPr>
  </w:style>
  <w:style w:type="character" w:customStyle="1" w:styleId="TitleChar">
    <w:name w:val="Title Char"/>
    <w:basedOn w:val="DefaultParagraphFont"/>
    <w:link w:val="Title"/>
    <w:rsid w:val="006842BE"/>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6842BE"/>
    <w:pPr>
      <w:jc w:val="center"/>
    </w:pPr>
    <w:rPr>
      <w:rFonts w:ascii="Arial" w:hAnsi="Arial" w:cs="Arial"/>
      <w:b/>
      <w:bCs/>
      <w:i/>
      <w:color w:val="000080"/>
      <w:sz w:val="28"/>
      <w:szCs w:val="28"/>
    </w:rPr>
  </w:style>
  <w:style w:type="character" w:customStyle="1" w:styleId="SubtitleChar">
    <w:name w:val="Subtitle Char"/>
    <w:basedOn w:val="DefaultParagraphFont"/>
    <w:link w:val="Subtitle"/>
    <w:rsid w:val="006842BE"/>
    <w:rPr>
      <w:rFonts w:ascii="Arial" w:eastAsia="Times New Roman" w:hAnsi="Arial" w:cs="Arial"/>
      <w:b/>
      <w:bCs/>
      <w:i/>
      <w:color w:val="000080"/>
      <w:sz w:val="28"/>
      <w:szCs w:val="28"/>
    </w:rPr>
  </w:style>
  <w:style w:type="table" w:styleId="MediumGrid1-Accent2">
    <w:name w:val="Medium Grid 1 Accent 2"/>
    <w:basedOn w:val="TableNormal"/>
    <w:uiPriority w:val="67"/>
    <w:rsid w:val="006842B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Text">
    <w:name w:val="TableText"/>
    <w:basedOn w:val="Normal"/>
    <w:link w:val="TableTextChar"/>
    <w:qFormat/>
    <w:rsid w:val="0098336B"/>
    <w:pPr>
      <w:keepNext/>
      <w:spacing w:before="40" w:after="40"/>
    </w:pPr>
    <w:rPr>
      <w:rFonts w:ascii="Arial Narrow" w:hAnsi="Arial Narrow"/>
      <w:sz w:val="18"/>
      <w:szCs w:val="24"/>
      <w:lang w:val="en-GB" w:eastAsia="en-GB"/>
    </w:rPr>
  </w:style>
  <w:style w:type="character" w:customStyle="1" w:styleId="TableTextChar">
    <w:name w:val="TableText Char"/>
    <w:link w:val="TableText"/>
    <w:rsid w:val="0098336B"/>
    <w:rPr>
      <w:rFonts w:ascii="Arial Narrow" w:eastAsia="Times New Roman" w:hAnsi="Arial Narrow"/>
      <w:sz w:val="18"/>
      <w:szCs w:val="24"/>
      <w:lang w:val="en-GB" w:eastAsia="en-GB"/>
    </w:rPr>
  </w:style>
  <w:style w:type="table" w:styleId="TableGrid">
    <w:name w:val="Table Grid"/>
    <w:basedOn w:val="TableNormal"/>
    <w:uiPriority w:val="59"/>
    <w:locked/>
    <w:rsid w:val="000638D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
    <w:name w:val="TableName"/>
    <w:basedOn w:val="Normal"/>
    <w:link w:val="TableNameChar"/>
    <w:qFormat/>
    <w:rsid w:val="000638D2"/>
    <w:pPr>
      <w:keepNext/>
      <w:spacing w:before="40" w:after="40"/>
      <w:ind w:left="1440" w:hanging="720"/>
    </w:pPr>
    <w:rPr>
      <w:rFonts w:ascii="Arial Narrow" w:hAnsi="Arial Narrow"/>
      <w:b/>
      <w:sz w:val="20"/>
      <w:szCs w:val="24"/>
      <w:lang w:val="en-GB" w:eastAsia="en-GB"/>
    </w:rPr>
  </w:style>
  <w:style w:type="character" w:customStyle="1" w:styleId="TableNameChar">
    <w:name w:val="TableName Char"/>
    <w:link w:val="TableName"/>
    <w:rsid w:val="000638D2"/>
    <w:rPr>
      <w:rFonts w:ascii="Arial Narrow" w:eastAsia="Times New Roman" w:hAnsi="Arial Narrow"/>
      <w:b/>
      <w:sz w:val="20"/>
      <w:szCs w:val="24"/>
      <w:lang w:val="en-GB" w:eastAsia="en-GB"/>
    </w:rPr>
  </w:style>
  <w:style w:type="paragraph" w:styleId="Title">
    <w:name w:val="Title"/>
    <w:basedOn w:val="Normal"/>
    <w:next w:val="Normal"/>
    <w:link w:val="TitleChar"/>
    <w:qFormat/>
    <w:locked/>
    <w:rsid w:val="006842BE"/>
    <w:pPr>
      <w:jc w:val="center"/>
    </w:pPr>
    <w:rPr>
      <w:rFonts w:ascii="Arial" w:hAnsi="Arial" w:cs="Arial"/>
      <w:b/>
      <w:bCs/>
      <w:color w:val="000080"/>
      <w:sz w:val="36"/>
      <w:szCs w:val="36"/>
    </w:rPr>
  </w:style>
  <w:style w:type="character" w:customStyle="1" w:styleId="TitleChar">
    <w:name w:val="Title Char"/>
    <w:basedOn w:val="DefaultParagraphFont"/>
    <w:link w:val="Title"/>
    <w:rsid w:val="006842BE"/>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6842BE"/>
    <w:pPr>
      <w:jc w:val="center"/>
    </w:pPr>
    <w:rPr>
      <w:rFonts w:ascii="Arial" w:hAnsi="Arial" w:cs="Arial"/>
      <w:b/>
      <w:bCs/>
      <w:i/>
      <w:color w:val="000080"/>
      <w:sz w:val="28"/>
      <w:szCs w:val="28"/>
    </w:rPr>
  </w:style>
  <w:style w:type="character" w:customStyle="1" w:styleId="SubtitleChar">
    <w:name w:val="Subtitle Char"/>
    <w:basedOn w:val="DefaultParagraphFont"/>
    <w:link w:val="Subtitle"/>
    <w:rsid w:val="006842BE"/>
    <w:rPr>
      <w:rFonts w:ascii="Arial" w:eastAsia="Times New Roman" w:hAnsi="Arial" w:cs="Arial"/>
      <w:b/>
      <w:bCs/>
      <w:i/>
      <w:color w:val="000080"/>
      <w:sz w:val="28"/>
      <w:szCs w:val="28"/>
    </w:rPr>
  </w:style>
  <w:style w:type="table" w:styleId="MediumGrid1-Accent2">
    <w:name w:val="Medium Grid 1 Accent 2"/>
    <w:basedOn w:val="TableNormal"/>
    <w:uiPriority w:val="67"/>
    <w:rsid w:val="006842B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t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sa.org.au/files/editor_upload/File/PBS%20and%20MBS/Hepatitis%20C%20virus%20infection%20a%20consensus%20statement%202016.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C4CF1-AA3D-4CE0-BA82-5199938A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5022</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Valenzuela Marcela</cp:lastModifiedBy>
  <cp:revision>11</cp:revision>
  <cp:lastPrinted>2016-05-04T03:56:00Z</cp:lastPrinted>
  <dcterms:created xsi:type="dcterms:W3CDTF">2016-07-04T05:32:00Z</dcterms:created>
  <dcterms:modified xsi:type="dcterms:W3CDTF">2016-07-08T00:00:00Z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